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621"/>
        <w:gridCol w:w="3135"/>
        <w:gridCol w:w="709"/>
        <w:gridCol w:w="723"/>
        <w:gridCol w:w="4388"/>
        <w:gridCol w:w="811"/>
        <w:gridCol w:w="2336"/>
      </w:tblGrid>
      <w:tr w:rsidR="00A11CAA" w:rsidRPr="00A77153" w:rsidTr="00A77153">
        <w:trPr>
          <w:trHeight w:val="615"/>
          <w:jc w:val="center"/>
        </w:trPr>
        <w:tc>
          <w:tcPr>
            <w:tcW w:w="14174" w:type="dxa"/>
            <w:gridSpan w:val="8"/>
            <w:tcBorders>
              <w:top w:val="nil"/>
              <w:left w:val="nil"/>
              <w:right w:val="nil"/>
            </w:tcBorders>
            <w:vAlign w:val="center"/>
          </w:tcPr>
          <w:p w:rsidR="00A11CAA" w:rsidRPr="00A77153" w:rsidRDefault="006241F2">
            <w:pPr>
              <w:spacing w:line="360" w:lineRule="auto"/>
              <w:jc w:val="center"/>
              <w:rPr>
                <w:rFonts w:asciiTheme="majorEastAsia" w:eastAsiaTheme="majorEastAsia" w:hAnsiTheme="majorEastAsia" w:cs="仿宋_GB2312"/>
                <w:b/>
                <w:bCs/>
                <w:color w:val="000000"/>
                <w:sz w:val="36"/>
                <w:szCs w:val="36"/>
              </w:rPr>
            </w:pPr>
            <w:r w:rsidRPr="00A77153">
              <w:rPr>
                <w:rFonts w:asciiTheme="majorEastAsia" w:eastAsiaTheme="majorEastAsia" w:hAnsiTheme="majorEastAsia" w:cs="宋体" w:hint="eastAsia"/>
                <w:b/>
                <w:bCs/>
                <w:color w:val="000000" w:themeColor="text1"/>
                <w:kern w:val="0"/>
                <w:sz w:val="32"/>
                <w:szCs w:val="32"/>
              </w:rPr>
              <w:t>鹤山市财政支出项目预算绩效评审综合评分表</w:t>
            </w:r>
          </w:p>
        </w:tc>
      </w:tr>
      <w:tr w:rsidR="00A11CAA" w:rsidRPr="00A77153" w:rsidTr="00A77153">
        <w:trPr>
          <w:trHeight w:val="608"/>
          <w:jc w:val="center"/>
        </w:trPr>
        <w:tc>
          <w:tcPr>
            <w:tcW w:w="14174" w:type="dxa"/>
            <w:gridSpan w:val="8"/>
            <w:vAlign w:val="center"/>
          </w:tcPr>
          <w:p w:rsidR="00A11CAA" w:rsidRPr="00A77153" w:rsidRDefault="006241F2">
            <w:pPr>
              <w:autoSpaceDN w:val="0"/>
              <w:textAlignment w:val="center"/>
              <w:rPr>
                <w:rFonts w:ascii="仿宋_GB2312" w:eastAsia="仿宋_GB2312" w:hAnsi="仿宋" w:cs="仿宋_GB2312"/>
                <w:b/>
                <w:bCs/>
                <w:color w:val="000000"/>
                <w:sz w:val="24"/>
                <w:szCs w:val="24"/>
              </w:rPr>
            </w:pPr>
            <w:r w:rsidRPr="00A77153">
              <w:rPr>
                <w:rFonts w:ascii="仿宋_GB2312" w:eastAsia="仿宋_GB2312" w:hAnsi="仿宋" w:cs="仿宋_GB2312" w:hint="eastAsia"/>
                <w:b/>
                <w:bCs/>
                <w:color w:val="000000"/>
                <w:sz w:val="24"/>
                <w:szCs w:val="24"/>
              </w:rPr>
              <w:t>项目名称：</w:t>
            </w:r>
            <w:r w:rsidRPr="00A77153">
              <w:rPr>
                <w:rFonts w:ascii="仿宋_GB2312" w:eastAsia="仿宋_GB2312" w:hAnsi="宋体" w:cs="宋体" w:hint="eastAsia"/>
                <w:color w:val="000000" w:themeColor="text1"/>
                <w:kern w:val="0"/>
                <w:sz w:val="24"/>
                <w:szCs w:val="24"/>
              </w:rPr>
              <w:t xml:space="preserve">旅游产业发展资金　</w:t>
            </w:r>
          </w:p>
        </w:tc>
      </w:tr>
      <w:tr w:rsidR="00A11CAA" w:rsidRPr="00A77153" w:rsidTr="00A77153">
        <w:trPr>
          <w:trHeight w:val="606"/>
          <w:jc w:val="center"/>
        </w:trPr>
        <w:tc>
          <w:tcPr>
            <w:tcW w:w="14174" w:type="dxa"/>
            <w:gridSpan w:val="8"/>
            <w:vAlign w:val="center"/>
          </w:tcPr>
          <w:p w:rsidR="00A11CAA" w:rsidRPr="00A77153" w:rsidRDefault="006241F2">
            <w:pPr>
              <w:autoSpaceDN w:val="0"/>
              <w:textAlignment w:val="center"/>
              <w:rPr>
                <w:rFonts w:ascii="仿宋_GB2312" w:eastAsia="仿宋_GB2312" w:hAnsi="仿宋" w:cs="仿宋_GB2312"/>
                <w:b/>
                <w:bCs/>
                <w:color w:val="000000"/>
                <w:sz w:val="36"/>
                <w:szCs w:val="36"/>
              </w:rPr>
            </w:pPr>
            <w:r w:rsidRPr="00A77153">
              <w:rPr>
                <w:rFonts w:ascii="仿宋_GB2312" w:eastAsia="仿宋_GB2312" w:hAnsi="仿宋" w:cs="仿宋_GB2312" w:hint="eastAsia"/>
                <w:b/>
                <w:bCs/>
                <w:color w:val="000000"/>
                <w:sz w:val="24"/>
                <w:szCs w:val="24"/>
              </w:rPr>
              <w:t>申报单位：</w:t>
            </w:r>
            <w:r w:rsidRPr="00A77153">
              <w:rPr>
                <w:rFonts w:ascii="仿宋_GB2312" w:eastAsia="仿宋_GB2312" w:hAnsi="宋体" w:cs="宋体" w:hint="eastAsia"/>
                <w:color w:val="000000" w:themeColor="text1"/>
                <w:kern w:val="0"/>
                <w:sz w:val="24"/>
                <w:szCs w:val="24"/>
              </w:rPr>
              <w:t>鹤山市旅游局</w:t>
            </w:r>
          </w:p>
        </w:tc>
      </w:tr>
      <w:tr w:rsidR="00A11CAA" w:rsidRPr="00A77153" w:rsidTr="00A77153">
        <w:trPr>
          <w:trHeight w:val="606"/>
          <w:jc w:val="center"/>
        </w:trPr>
        <w:tc>
          <w:tcPr>
            <w:tcW w:w="6639" w:type="dxa"/>
            <w:gridSpan w:val="5"/>
            <w:vAlign w:val="center"/>
          </w:tcPr>
          <w:p w:rsidR="00A11CAA" w:rsidRPr="00A77153" w:rsidRDefault="006241F2">
            <w:pPr>
              <w:autoSpaceDN w:val="0"/>
              <w:textAlignment w:val="center"/>
              <w:rPr>
                <w:rFonts w:ascii="仿宋_GB2312" w:eastAsia="仿宋_GB2312" w:hAnsi="仿宋" w:cs="仿宋_GB2312"/>
                <w:b/>
                <w:bCs/>
                <w:color w:val="000000"/>
                <w:sz w:val="24"/>
                <w:szCs w:val="24"/>
              </w:rPr>
            </w:pPr>
            <w:r w:rsidRPr="00A77153">
              <w:rPr>
                <w:rFonts w:ascii="仿宋_GB2312" w:eastAsia="仿宋_GB2312" w:hAnsi="仿宋" w:cs="仿宋_GB2312" w:hint="eastAsia"/>
                <w:b/>
                <w:bCs/>
                <w:color w:val="000000"/>
                <w:sz w:val="24"/>
                <w:szCs w:val="24"/>
              </w:rPr>
              <w:t>申请金额</w:t>
            </w:r>
            <w:r w:rsidR="00A77153">
              <w:rPr>
                <w:rFonts w:ascii="仿宋_GB2312" w:eastAsia="仿宋_GB2312" w:hAnsi="仿宋" w:cs="仿宋_GB2312" w:hint="eastAsia"/>
                <w:b/>
                <w:bCs/>
                <w:color w:val="000000"/>
                <w:sz w:val="24"/>
                <w:szCs w:val="24"/>
              </w:rPr>
              <w:t xml:space="preserve">: </w:t>
            </w:r>
            <w:r w:rsidRPr="00A77153">
              <w:rPr>
                <w:rFonts w:ascii="仿宋_GB2312" w:eastAsia="仿宋_GB2312" w:hAnsi="仿宋" w:cs="仿宋_GB2312" w:hint="eastAsia"/>
                <w:bCs/>
                <w:color w:val="000000"/>
                <w:sz w:val="24"/>
                <w:szCs w:val="24"/>
              </w:rPr>
              <w:t>490万元</w:t>
            </w:r>
          </w:p>
        </w:tc>
        <w:tc>
          <w:tcPr>
            <w:tcW w:w="7535" w:type="dxa"/>
            <w:gridSpan w:val="3"/>
            <w:vAlign w:val="center"/>
          </w:tcPr>
          <w:p w:rsidR="00A11CAA" w:rsidRPr="00A77153" w:rsidRDefault="006241F2">
            <w:pPr>
              <w:autoSpaceDN w:val="0"/>
              <w:textAlignment w:val="center"/>
              <w:rPr>
                <w:rFonts w:ascii="仿宋_GB2312" w:eastAsia="仿宋_GB2312" w:hAnsi="仿宋" w:cs="仿宋_GB2312"/>
                <w:b/>
                <w:bCs/>
                <w:color w:val="000000"/>
                <w:sz w:val="24"/>
                <w:szCs w:val="24"/>
              </w:rPr>
            </w:pPr>
            <w:r w:rsidRPr="00A77153">
              <w:rPr>
                <w:rFonts w:ascii="仿宋_GB2312" w:eastAsia="仿宋_GB2312" w:hAnsi="仿宋" w:cs="仿宋_GB2312" w:hint="eastAsia"/>
                <w:b/>
                <w:bCs/>
                <w:color w:val="000000"/>
                <w:sz w:val="24"/>
                <w:szCs w:val="24"/>
              </w:rPr>
              <w:t>核定金额：</w:t>
            </w:r>
            <w:r w:rsidRPr="00A77153">
              <w:rPr>
                <w:rFonts w:ascii="仿宋_GB2312" w:eastAsia="仿宋_GB2312" w:hAnsi="仿宋" w:cs="仿宋_GB2312" w:hint="eastAsia"/>
                <w:bCs/>
                <w:color w:val="000000"/>
                <w:sz w:val="24"/>
                <w:szCs w:val="24"/>
              </w:rPr>
              <w:t>490万元</w:t>
            </w:r>
          </w:p>
        </w:tc>
      </w:tr>
      <w:tr w:rsidR="00A11CAA" w:rsidRPr="00A77153" w:rsidTr="00A77153">
        <w:trPr>
          <w:trHeight w:val="606"/>
          <w:jc w:val="center"/>
        </w:trPr>
        <w:tc>
          <w:tcPr>
            <w:tcW w:w="6639" w:type="dxa"/>
            <w:gridSpan w:val="5"/>
            <w:vAlign w:val="center"/>
          </w:tcPr>
          <w:p w:rsidR="00A11CAA" w:rsidRPr="00A77153" w:rsidRDefault="006241F2">
            <w:pPr>
              <w:autoSpaceDN w:val="0"/>
              <w:textAlignment w:val="center"/>
              <w:rPr>
                <w:rFonts w:ascii="仿宋_GB2312" w:eastAsia="仿宋_GB2312" w:hAnsi="仿宋" w:cs="仿宋_GB2312"/>
                <w:b/>
                <w:bCs/>
                <w:color w:val="000000"/>
                <w:sz w:val="36"/>
                <w:szCs w:val="36"/>
              </w:rPr>
            </w:pPr>
            <w:r w:rsidRPr="00A77153">
              <w:rPr>
                <w:rFonts w:ascii="仿宋_GB2312" w:eastAsia="仿宋_GB2312" w:hAnsi="仿宋" w:cs="仿宋_GB2312" w:hint="eastAsia"/>
                <w:b/>
                <w:bCs/>
                <w:color w:val="000000"/>
                <w:kern w:val="0"/>
                <w:sz w:val="24"/>
                <w:szCs w:val="24"/>
              </w:rPr>
              <w:t>项目得分：</w:t>
            </w:r>
            <w:r w:rsidR="0073737D">
              <w:rPr>
                <w:rFonts w:ascii="仿宋_GB2312" w:eastAsia="仿宋_GB2312" w:hAnsi="仿宋" w:cs="仿宋_GB2312" w:hint="eastAsia"/>
                <w:bCs/>
                <w:color w:val="000000"/>
                <w:kern w:val="0"/>
                <w:sz w:val="24"/>
                <w:szCs w:val="24"/>
              </w:rPr>
              <w:t>82</w:t>
            </w:r>
            <w:bookmarkStart w:id="0" w:name="_GoBack"/>
            <w:bookmarkEnd w:id="0"/>
          </w:p>
        </w:tc>
        <w:tc>
          <w:tcPr>
            <w:tcW w:w="7535" w:type="dxa"/>
            <w:gridSpan w:val="3"/>
            <w:vAlign w:val="center"/>
          </w:tcPr>
          <w:p w:rsidR="00A11CAA" w:rsidRPr="00A77153" w:rsidRDefault="006241F2">
            <w:pPr>
              <w:autoSpaceDN w:val="0"/>
              <w:textAlignment w:val="center"/>
              <w:rPr>
                <w:rFonts w:ascii="仿宋_GB2312" w:eastAsia="仿宋_GB2312" w:hAnsi="仿宋" w:cs="仿宋_GB2312"/>
                <w:b/>
                <w:bCs/>
                <w:color w:val="000000"/>
                <w:sz w:val="36"/>
                <w:szCs w:val="36"/>
              </w:rPr>
            </w:pPr>
            <w:r w:rsidRPr="00A77153">
              <w:rPr>
                <w:rFonts w:ascii="仿宋_GB2312" w:eastAsia="仿宋_GB2312" w:hAnsi="仿宋" w:cs="仿宋_GB2312" w:hint="eastAsia"/>
                <w:b/>
                <w:bCs/>
                <w:color w:val="000000"/>
                <w:kern w:val="0"/>
                <w:sz w:val="24"/>
                <w:szCs w:val="24"/>
              </w:rPr>
              <w:t>评审等级：</w:t>
            </w:r>
            <w:r w:rsidRPr="00A77153">
              <w:rPr>
                <w:rFonts w:ascii="仿宋_GB2312" w:eastAsia="仿宋_GB2312" w:hAnsi="仿宋" w:cs="仿宋_GB2312" w:hint="eastAsia"/>
                <w:bCs/>
                <w:color w:val="000000"/>
                <w:kern w:val="0"/>
                <w:sz w:val="24"/>
                <w:szCs w:val="24"/>
              </w:rPr>
              <w:t>良</w:t>
            </w:r>
          </w:p>
        </w:tc>
      </w:tr>
      <w:tr w:rsidR="00A11CAA" w:rsidRPr="00A77153" w:rsidTr="00A77153">
        <w:trPr>
          <w:trHeight w:val="606"/>
          <w:jc w:val="center"/>
        </w:trPr>
        <w:tc>
          <w:tcPr>
            <w:tcW w:w="14174" w:type="dxa"/>
            <w:gridSpan w:val="8"/>
            <w:vAlign w:val="center"/>
          </w:tcPr>
          <w:p w:rsidR="00A11CAA" w:rsidRPr="00A77153" w:rsidRDefault="006241F2">
            <w:pPr>
              <w:autoSpaceDN w:val="0"/>
              <w:spacing w:line="360" w:lineRule="auto"/>
              <w:jc w:val="center"/>
              <w:textAlignment w:val="center"/>
              <w:rPr>
                <w:rFonts w:ascii="仿宋_GB2312" w:eastAsia="仿宋_GB2312" w:hAnsi="仿宋" w:cs="仿宋_GB2312"/>
                <w:b/>
                <w:bCs/>
                <w:color w:val="000000"/>
                <w:sz w:val="36"/>
                <w:szCs w:val="36"/>
              </w:rPr>
            </w:pPr>
            <w:r w:rsidRPr="00A77153">
              <w:rPr>
                <w:rFonts w:ascii="仿宋_GB2312" w:eastAsia="仿宋_GB2312" w:hAnsi="仿宋" w:cs="仿宋_GB2312" w:hint="eastAsia"/>
                <w:b/>
                <w:bCs/>
                <w:color w:val="000000"/>
                <w:sz w:val="32"/>
                <w:szCs w:val="36"/>
              </w:rPr>
              <w:t>专家评分表</w:t>
            </w:r>
          </w:p>
        </w:tc>
      </w:tr>
      <w:tr w:rsidR="00A11CAA" w:rsidRPr="00A77153" w:rsidTr="00A77153">
        <w:tblPrEx>
          <w:tblCellMar>
            <w:left w:w="0" w:type="dxa"/>
            <w:right w:w="0" w:type="dxa"/>
          </w:tblCellMar>
        </w:tblPrEx>
        <w:trPr>
          <w:trHeight w:val="212"/>
          <w:jc w:val="center"/>
        </w:trPr>
        <w:tc>
          <w:tcPr>
            <w:tcW w:w="1451" w:type="dxa"/>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b/>
                <w:bCs/>
                <w:color w:val="000000"/>
                <w:sz w:val="24"/>
                <w:szCs w:val="24"/>
              </w:rPr>
            </w:pPr>
            <w:r w:rsidRPr="00A77153">
              <w:rPr>
                <w:rFonts w:ascii="仿宋_GB2312" w:eastAsia="仿宋_GB2312" w:hAnsi="仿宋" w:cs="仿宋_GB2312" w:hint="eastAsia"/>
                <w:b/>
                <w:bCs/>
                <w:color w:val="000000"/>
                <w:sz w:val="24"/>
                <w:szCs w:val="24"/>
              </w:rPr>
              <w:t>一级指标</w:t>
            </w:r>
          </w:p>
        </w:tc>
        <w:tc>
          <w:tcPr>
            <w:tcW w:w="621" w:type="dxa"/>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b/>
                <w:bCs/>
                <w:color w:val="000000"/>
                <w:sz w:val="24"/>
                <w:szCs w:val="24"/>
              </w:rPr>
            </w:pPr>
            <w:r w:rsidRPr="00A77153">
              <w:rPr>
                <w:rFonts w:ascii="仿宋_GB2312" w:eastAsia="仿宋_GB2312" w:hAnsi="仿宋" w:cs="仿宋_GB2312" w:hint="eastAsia"/>
                <w:b/>
                <w:bCs/>
                <w:color w:val="000000"/>
                <w:sz w:val="24"/>
                <w:szCs w:val="24"/>
              </w:rPr>
              <w:t>分值</w:t>
            </w:r>
          </w:p>
        </w:tc>
        <w:tc>
          <w:tcPr>
            <w:tcW w:w="3135" w:type="dxa"/>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b/>
                <w:bCs/>
                <w:color w:val="000000"/>
                <w:sz w:val="24"/>
                <w:szCs w:val="24"/>
              </w:rPr>
            </w:pPr>
            <w:r w:rsidRPr="00A77153">
              <w:rPr>
                <w:rFonts w:ascii="仿宋_GB2312" w:eastAsia="仿宋_GB2312" w:hAnsi="仿宋" w:cs="仿宋_GB2312" w:hint="eastAsia"/>
                <w:b/>
                <w:bCs/>
                <w:color w:val="000000"/>
                <w:sz w:val="24"/>
                <w:szCs w:val="24"/>
              </w:rPr>
              <w:t>二级指标</w:t>
            </w:r>
          </w:p>
        </w:tc>
        <w:tc>
          <w:tcPr>
            <w:tcW w:w="709" w:type="dxa"/>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b/>
                <w:bCs/>
                <w:color w:val="000000"/>
                <w:sz w:val="24"/>
                <w:szCs w:val="24"/>
              </w:rPr>
            </w:pPr>
            <w:r w:rsidRPr="00A77153">
              <w:rPr>
                <w:rFonts w:ascii="仿宋_GB2312" w:eastAsia="仿宋_GB2312" w:hAnsi="仿宋" w:cs="仿宋_GB2312" w:hint="eastAsia"/>
                <w:b/>
                <w:bCs/>
                <w:color w:val="000000"/>
                <w:sz w:val="24"/>
                <w:szCs w:val="24"/>
              </w:rPr>
              <w:t>分值</w:t>
            </w:r>
          </w:p>
        </w:tc>
        <w:tc>
          <w:tcPr>
            <w:tcW w:w="5111" w:type="dxa"/>
            <w:gridSpan w:val="2"/>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b/>
                <w:bCs/>
                <w:color w:val="000000"/>
                <w:sz w:val="24"/>
                <w:szCs w:val="24"/>
              </w:rPr>
            </w:pPr>
            <w:r w:rsidRPr="00A77153">
              <w:rPr>
                <w:rFonts w:ascii="仿宋_GB2312" w:eastAsia="仿宋_GB2312" w:hAnsi="仿宋" w:cs="仿宋_GB2312" w:hint="eastAsia"/>
                <w:b/>
                <w:bCs/>
                <w:color w:val="000000"/>
                <w:sz w:val="24"/>
                <w:szCs w:val="24"/>
              </w:rPr>
              <w:t>评分标准</w:t>
            </w:r>
          </w:p>
        </w:tc>
        <w:tc>
          <w:tcPr>
            <w:tcW w:w="811" w:type="dxa"/>
            <w:vAlign w:val="center"/>
          </w:tcPr>
          <w:p w:rsidR="00A11CAA" w:rsidRPr="00A77153" w:rsidRDefault="006241F2">
            <w:pPr>
              <w:autoSpaceDN w:val="0"/>
              <w:spacing w:line="440" w:lineRule="exact"/>
              <w:jc w:val="center"/>
              <w:textAlignment w:val="center"/>
              <w:rPr>
                <w:rFonts w:ascii="仿宋_GB2312" w:eastAsia="仿宋_GB2312" w:hAnsi="仿宋" w:cs="仿宋_GB2312"/>
                <w:b/>
                <w:bCs/>
                <w:color w:val="000000"/>
                <w:sz w:val="24"/>
                <w:szCs w:val="24"/>
              </w:rPr>
            </w:pPr>
            <w:r w:rsidRPr="00A77153">
              <w:rPr>
                <w:rFonts w:ascii="仿宋_GB2312" w:eastAsia="仿宋_GB2312" w:hAnsi="仿宋" w:cs="仿宋_GB2312" w:hint="eastAsia"/>
                <w:b/>
                <w:bCs/>
                <w:color w:val="000000"/>
                <w:sz w:val="24"/>
                <w:szCs w:val="24"/>
              </w:rPr>
              <w:t>得分</w:t>
            </w:r>
          </w:p>
        </w:tc>
        <w:tc>
          <w:tcPr>
            <w:tcW w:w="2336" w:type="dxa"/>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b/>
                <w:bCs/>
                <w:color w:val="000000"/>
                <w:sz w:val="24"/>
                <w:szCs w:val="24"/>
              </w:rPr>
            </w:pPr>
            <w:r w:rsidRPr="00A77153">
              <w:rPr>
                <w:rFonts w:ascii="仿宋_GB2312" w:eastAsia="仿宋_GB2312" w:hAnsi="仿宋" w:cs="仿宋_GB2312" w:hint="eastAsia"/>
                <w:b/>
                <w:bCs/>
                <w:color w:val="000000"/>
                <w:sz w:val="24"/>
                <w:szCs w:val="24"/>
              </w:rPr>
              <w:t>评分依据</w:t>
            </w:r>
          </w:p>
        </w:tc>
      </w:tr>
      <w:tr w:rsidR="00A11CAA" w:rsidRPr="00A77153" w:rsidTr="00A77153">
        <w:tblPrEx>
          <w:tblCellMar>
            <w:left w:w="0" w:type="dxa"/>
            <w:right w:w="0" w:type="dxa"/>
          </w:tblCellMar>
        </w:tblPrEx>
        <w:trPr>
          <w:trHeight w:val="604"/>
          <w:jc w:val="center"/>
        </w:trPr>
        <w:tc>
          <w:tcPr>
            <w:tcW w:w="1451" w:type="dxa"/>
            <w:vMerge w:val="restart"/>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b/>
                <w:bCs/>
                <w:color w:val="000000"/>
                <w:sz w:val="24"/>
                <w:szCs w:val="24"/>
              </w:rPr>
            </w:pPr>
            <w:r w:rsidRPr="00A77153">
              <w:rPr>
                <w:rFonts w:ascii="仿宋_GB2312" w:eastAsia="仿宋_GB2312" w:hAnsi="仿宋" w:cs="仿宋_GB2312" w:hint="eastAsia"/>
                <w:b/>
                <w:bCs/>
                <w:color w:val="000000"/>
                <w:sz w:val="24"/>
                <w:szCs w:val="24"/>
              </w:rPr>
              <w:t>项目必要性</w:t>
            </w:r>
          </w:p>
        </w:tc>
        <w:tc>
          <w:tcPr>
            <w:tcW w:w="621" w:type="dxa"/>
            <w:vMerge w:val="restart"/>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25</w:t>
            </w:r>
          </w:p>
        </w:tc>
        <w:tc>
          <w:tcPr>
            <w:tcW w:w="3135" w:type="dxa"/>
            <w:vMerge w:val="restart"/>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项目立项依据</w:t>
            </w:r>
          </w:p>
        </w:tc>
        <w:tc>
          <w:tcPr>
            <w:tcW w:w="709" w:type="dxa"/>
            <w:vMerge w:val="restart"/>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5</w:t>
            </w:r>
          </w:p>
        </w:tc>
        <w:tc>
          <w:tcPr>
            <w:tcW w:w="5111" w:type="dxa"/>
            <w:gridSpan w:val="2"/>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1．列出项目依据的相关法律法规、上级的正式批复、部门领导批示的得2分，未列出的得0分；</w:t>
            </w:r>
          </w:p>
        </w:tc>
        <w:tc>
          <w:tcPr>
            <w:tcW w:w="811" w:type="dxa"/>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2</w:t>
            </w:r>
          </w:p>
        </w:tc>
        <w:tc>
          <w:tcPr>
            <w:tcW w:w="2336" w:type="dxa"/>
            <w:tcMar>
              <w:top w:w="15" w:type="dxa"/>
              <w:left w:w="15" w:type="dxa"/>
              <w:right w:w="15" w:type="dxa"/>
            </w:tcMar>
            <w:vAlign w:val="center"/>
          </w:tcPr>
          <w:p w:rsidR="00A11CAA" w:rsidRPr="00A77153" w:rsidRDefault="006241F2" w:rsidP="001D17B5">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贯彻落实《中共江门市委江门市人民政府关于进一步加快旅游业发展的意见》（</w:t>
            </w:r>
            <w:proofErr w:type="gramStart"/>
            <w:r w:rsidRPr="00A77153">
              <w:rPr>
                <w:rFonts w:ascii="仿宋_GB2312" w:eastAsia="仿宋_GB2312" w:hAnsi="仿宋" w:cs="仿宋_GB2312" w:hint="eastAsia"/>
                <w:color w:val="000000"/>
                <w:szCs w:val="24"/>
              </w:rPr>
              <w:t>江发〔2013〕</w:t>
            </w:r>
            <w:proofErr w:type="gramEnd"/>
            <w:r w:rsidRPr="00A77153">
              <w:rPr>
                <w:rFonts w:ascii="仿宋_GB2312" w:eastAsia="仿宋_GB2312" w:hAnsi="仿宋" w:cs="仿宋_GB2312" w:hint="eastAsia"/>
                <w:color w:val="000000"/>
                <w:szCs w:val="24"/>
              </w:rPr>
              <w:t>5号）和《江门市旅游业发展扶持办法》（江府办〔2013〕17号），促进鹤山旅游业发展。鹤府办〔2013〕29 号《印发贯彻落实江门市关于进一步加快旅游业发展的意见和江门市旅游业发展扶持办法实施</w:t>
            </w:r>
            <w:r w:rsidRPr="00A77153">
              <w:rPr>
                <w:rFonts w:ascii="仿宋_GB2312" w:eastAsia="仿宋_GB2312" w:hAnsi="仿宋" w:cs="仿宋_GB2312" w:hint="eastAsia"/>
                <w:color w:val="000000"/>
                <w:szCs w:val="24"/>
              </w:rPr>
              <w:lastRenderedPageBreak/>
              <w:t>方案的通知》等文件进一步说明该项目实施的必要性。</w:t>
            </w:r>
          </w:p>
        </w:tc>
      </w:tr>
      <w:tr w:rsidR="00A11CAA" w:rsidRPr="00A77153" w:rsidTr="00A77153">
        <w:tblPrEx>
          <w:tblCellMar>
            <w:left w:w="0" w:type="dxa"/>
            <w:right w:w="0" w:type="dxa"/>
          </w:tblCellMar>
        </w:tblPrEx>
        <w:trPr>
          <w:trHeight w:val="408"/>
          <w:jc w:val="center"/>
        </w:trPr>
        <w:tc>
          <w:tcPr>
            <w:tcW w:w="1451" w:type="dxa"/>
            <w:vMerge/>
            <w:tcMar>
              <w:top w:w="15" w:type="dxa"/>
              <w:left w:w="15" w:type="dxa"/>
              <w:right w:w="15" w:type="dxa"/>
            </w:tcMar>
            <w:vAlign w:val="center"/>
          </w:tcPr>
          <w:p w:rsidR="00A11CAA" w:rsidRPr="00A77153" w:rsidRDefault="00A11CAA">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A11CAA" w:rsidRPr="00A77153" w:rsidRDefault="00A11CAA">
            <w:pPr>
              <w:autoSpaceDN w:val="0"/>
              <w:spacing w:line="440" w:lineRule="exact"/>
              <w:rPr>
                <w:rFonts w:ascii="仿宋_GB2312" w:eastAsia="仿宋_GB2312" w:hAnsi="仿宋" w:cs="仿宋_GB2312"/>
                <w:color w:val="000000"/>
                <w:sz w:val="24"/>
                <w:szCs w:val="24"/>
              </w:rPr>
            </w:pPr>
          </w:p>
        </w:tc>
        <w:tc>
          <w:tcPr>
            <w:tcW w:w="3135" w:type="dxa"/>
            <w:vMerge/>
            <w:tcMar>
              <w:top w:w="15" w:type="dxa"/>
              <w:left w:w="15" w:type="dxa"/>
              <w:right w:w="15" w:type="dxa"/>
            </w:tcMar>
            <w:vAlign w:val="center"/>
          </w:tcPr>
          <w:p w:rsidR="00A11CAA" w:rsidRPr="00A77153" w:rsidRDefault="00A11CAA">
            <w:pPr>
              <w:spacing w:beforeLines="20" w:before="62" w:afterLines="20" w:after="62"/>
              <w:rPr>
                <w:rFonts w:ascii="仿宋_GB2312" w:eastAsia="仿宋_GB2312" w:hAnsi="仿宋" w:cs="仿宋_GB2312"/>
                <w:color w:val="000000"/>
                <w:sz w:val="24"/>
                <w:szCs w:val="24"/>
              </w:rPr>
            </w:pPr>
          </w:p>
        </w:tc>
        <w:tc>
          <w:tcPr>
            <w:tcW w:w="709" w:type="dxa"/>
            <w:vMerge/>
            <w:tcMar>
              <w:top w:w="15" w:type="dxa"/>
              <w:left w:w="15" w:type="dxa"/>
              <w:right w:w="15" w:type="dxa"/>
            </w:tcMar>
            <w:vAlign w:val="center"/>
          </w:tcPr>
          <w:p w:rsidR="00A11CAA" w:rsidRPr="00A77153" w:rsidRDefault="00A11CAA">
            <w:pPr>
              <w:spacing w:line="440" w:lineRule="exact"/>
              <w:rPr>
                <w:rFonts w:ascii="仿宋_GB2312" w:eastAsia="仿宋_GB2312" w:hAnsi="仿宋" w:cs="仿宋_GB2312"/>
                <w:color w:val="000000"/>
                <w:sz w:val="24"/>
                <w:szCs w:val="24"/>
              </w:rPr>
            </w:pPr>
          </w:p>
        </w:tc>
        <w:tc>
          <w:tcPr>
            <w:tcW w:w="5111" w:type="dxa"/>
            <w:gridSpan w:val="2"/>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2．列出文件名称、文号，引用具体条款的得1分，未列出的得0分；</w:t>
            </w:r>
          </w:p>
        </w:tc>
        <w:tc>
          <w:tcPr>
            <w:tcW w:w="811" w:type="dxa"/>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1</w:t>
            </w:r>
          </w:p>
        </w:tc>
        <w:tc>
          <w:tcPr>
            <w:tcW w:w="2336" w:type="dxa"/>
            <w:tcMar>
              <w:top w:w="15" w:type="dxa"/>
              <w:left w:w="15" w:type="dxa"/>
              <w:right w:w="15" w:type="dxa"/>
            </w:tcMar>
            <w:vAlign w:val="center"/>
          </w:tcPr>
          <w:p w:rsidR="00A11CAA" w:rsidRPr="00A77153" w:rsidRDefault="006241F2" w:rsidP="00A77153">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列出项目立项依据的文件名称、文号，未列出具体条款</w:t>
            </w:r>
          </w:p>
        </w:tc>
      </w:tr>
      <w:tr w:rsidR="00A11CAA" w:rsidRPr="00A77153" w:rsidTr="00A77153">
        <w:tblPrEx>
          <w:tblCellMar>
            <w:left w:w="0" w:type="dxa"/>
            <w:right w:w="0" w:type="dxa"/>
          </w:tblCellMar>
        </w:tblPrEx>
        <w:trPr>
          <w:trHeight w:val="408"/>
          <w:jc w:val="center"/>
        </w:trPr>
        <w:tc>
          <w:tcPr>
            <w:tcW w:w="1451" w:type="dxa"/>
            <w:vMerge/>
            <w:tcMar>
              <w:top w:w="15" w:type="dxa"/>
              <w:left w:w="15" w:type="dxa"/>
              <w:right w:w="15" w:type="dxa"/>
            </w:tcMar>
            <w:vAlign w:val="center"/>
          </w:tcPr>
          <w:p w:rsidR="00A11CAA" w:rsidRPr="00A77153" w:rsidRDefault="00A11CAA">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A11CAA" w:rsidRPr="00A77153" w:rsidRDefault="00A11CAA">
            <w:pPr>
              <w:autoSpaceDN w:val="0"/>
              <w:spacing w:line="440" w:lineRule="exact"/>
              <w:rPr>
                <w:rFonts w:ascii="仿宋_GB2312" w:eastAsia="仿宋_GB2312" w:hAnsi="仿宋" w:cs="仿宋_GB2312"/>
                <w:color w:val="000000"/>
                <w:sz w:val="24"/>
                <w:szCs w:val="24"/>
              </w:rPr>
            </w:pPr>
          </w:p>
        </w:tc>
        <w:tc>
          <w:tcPr>
            <w:tcW w:w="3135" w:type="dxa"/>
            <w:vMerge/>
            <w:tcMar>
              <w:top w:w="15" w:type="dxa"/>
              <w:left w:w="15" w:type="dxa"/>
              <w:right w:w="15" w:type="dxa"/>
            </w:tcMar>
            <w:vAlign w:val="center"/>
          </w:tcPr>
          <w:p w:rsidR="00A11CAA" w:rsidRPr="00A77153" w:rsidRDefault="00A11CAA">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709" w:type="dxa"/>
            <w:vMerge/>
            <w:tcMar>
              <w:top w:w="15" w:type="dxa"/>
              <w:left w:w="15" w:type="dxa"/>
              <w:right w:w="15" w:type="dxa"/>
            </w:tcMar>
            <w:vAlign w:val="center"/>
          </w:tcPr>
          <w:p w:rsidR="00A11CAA" w:rsidRPr="00A77153" w:rsidRDefault="00A11CAA">
            <w:pPr>
              <w:autoSpaceDN w:val="0"/>
              <w:spacing w:line="440" w:lineRule="exact"/>
              <w:jc w:val="left"/>
              <w:textAlignment w:val="center"/>
              <w:rPr>
                <w:rFonts w:ascii="仿宋_GB2312" w:eastAsia="仿宋_GB2312" w:hAnsi="仿宋" w:cs="仿宋_GB2312"/>
                <w:color w:val="000000"/>
                <w:sz w:val="24"/>
                <w:szCs w:val="24"/>
              </w:rPr>
            </w:pPr>
          </w:p>
        </w:tc>
        <w:tc>
          <w:tcPr>
            <w:tcW w:w="5111" w:type="dxa"/>
            <w:gridSpan w:val="2"/>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3．符合财政重点支持方向和范围的得2分，不符合的得0分。</w:t>
            </w:r>
          </w:p>
        </w:tc>
        <w:tc>
          <w:tcPr>
            <w:tcW w:w="811" w:type="dxa"/>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2</w:t>
            </w:r>
          </w:p>
        </w:tc>
        <w:tc>
          <w:tcPr>
            <w:tcW w:w="2336" w:type="dxa"/>
            <w:tcMar>
              <w:top w:w="15" w:type="dxa"/>
              <w:left w:w="15" w:type="dxa"/>
              <w:right w:w="15" w:type="dxa"/>
            </w:tcMar>
            <w:vAlign w:val="center"/>
          </w:tcPr>
          <w:p w:rsidR="00A11CAA" w:rsidRPr="00A77153" w:rsidRDefault="006241F2" w:rsidP="00A77153">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鹤府办〔2013〕29 号《印发贯彻落实江门市关于进一步加快旅游业发展的意见和江门市旅游业发展扶持办法实施方案的通知》明确了财政重点支持的方向和范围。</w:t>
            </w:r>
          </w:p>
        </w:tc>
      </w:tr>
      <w:tr w:rsidR="00A11CAA" w:rsidRPr="00A77153" w:rsidTr="00A77153">
        <w:tblPrEx>
          <w:tblCellMar>
            <w:left w:w="0" w:type="dxa"/>
            <w:right w:w="0" w:type="dxa"/>
          </w:tblCellMar>
        </w:tblPrEx>
        <w:trPr>
          <w:trHeight w:val="408"/>
          <w:jc w:val="center"/>
        </w:trPr>
        <w:tc>
          <w:tcPr>
            <w:tcW w:w="1451" w:type="dxa"/>
            <w:vMerge/>
            <w:tcMar>
              <w:top w:w="15" w:type="dxa"/>
              <w:left w:w="15" w:type="dxa"/>
              <w:right w:w="15" w:type="dxa"/>
            </w:tcMar>
            <w:vAlign w:val="center"/>
          </w:tcPr>
          <w:p w:rsidR="00A11CAA" w:rsidRPr="00A77153" w:rsidRDefault="00A11CAA">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A11CAA" w:rsidRPr="00A77153" w:rsidRDefault="00A11CAA">
            <w:pPr>
              <w:autoSpaceDN w:val="0"/>
              <w:spacing w:line="440" w:lineRule="exact"/>
              <w:rPr>
                <w:rFonts w:ascii="仿宋_GB2312" w:eastAsia="仿宋_GB2312" w:hAnsi="仿宋" w:cs="仿宋_GB2312"/>
                <w:color w:val="000000"/>
                <w:sz w:val="24"/>
                <w:szCs w:val="24"/>
              </w:rPr>
            </w:pPr>
          </w:p>
        </w:tc>
        <w:tc>
          <w:tcPr>
            <w:tcW w:w="3135" w:type="dxa"/>
            <w:vMerge w:val="restart"/>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项目实施与申报单位履行职责的相关性及必要性</w:t>
            </w:r>
          </w:p>
        </w:tc>
        <w:tc>
          <w:tcPr>
            <w:tcW w:w="709" w:type="dxa"/>
            <w:vMerge w:val="restart"/>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5</w:t>
            </w:r>
          </w:p>
        </w:tc>
        <w:tc>
          <w:tcPr>
            <w:tcW w:w="5111" w:type="dxa"/>
            <w:gridSpan w:val="2"/>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1．说明单位职责的得2分，未说明的得0分；</w:t>
            </w:r>
          </w:p>
        </w:tc>
        <w:tc>
          <w:tcPr>
            <w:tcW w:w="811" w:type="dxa"/>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2</w:t>
            </w:r>
          </w:p>
        </w:tc>
        <w:tc>
          <w:tcPr>
            <w:tcW w:w="2336" w:type="dxa"/>
            <w:tcMar>
              <w:top w:w="15" w:type="dxa"/>
              <w:left w:w="15" w:type="dxa"/>
              <w:right w:w="15" w:type="dxa"/>
            </w:tcMar>
            <w:vAlign w:val="center"/>
          </w:tcPr>
          <w:p w:rsidR="00A11CAA" w:rsidRPr="00A77153" w:rsidRDefault="006241F2" w:rsidP="00A77153">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鹤山市旅游局三定方案明确了单位的职责范围，此项目与单位指责吻合。</w:t>
            </w:r>
          </w:p>
        </w:tc>
      </w:tr>
      <w:tr w:rsidR="00A11CAA" w:rsidRPr="00A77153" w:rsidTr="00A77153">
        <w:tblPrEx>
          <w:tblCellMar>
            <w:left w:w="0" w:type="dxa"/>
            <w:right w:w="0" w:type="dxa"/>
          </w:tblCellMar>
        </w:tblPrEx>
        <w:trPr>
          <w:trHeight w:val="800"/>
          <w:jc w:val="center"/>
        </w:trPr>
        <w:tc>
          <w:tcPr>
            <w:tcW w:w="1451" w:type="dxa"/>
            <w:vMerge/>
            <w:tcMar>
              <w:top w:w="15" w:type="dxa"/>
              <w:left w:w="15" w:type="dxa"/>
              <w:right w:w="15" w:type="dxa"/>
            </w:tcMar>
            <w:vAlign w:val="center"/>
          </w:tcPr>
          <w:p w:rsidR="00A11CAA" w:rsidRPr="00A77153" w:rsidRDefault="00A11CAA">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A11CAA" w:rsidRPr="00A77153" w:rsidRDefault="00A11CAA">
            <w:pPr>
              <w:autoSpaceDN w:val="0"/>
              <w:spacing w:line="440" w:lineRule="exact"/>
              <w:rPr>
                <w:rFonts w:ascii="仿宋_GB2312" w:eastAsia="仿宋_GB2312" w:hAnsi="仿宋" w:cs="仿宋_GB2312"/>
                <w:color w:val="000000"/>
                <w:sz w:val="24"/>
                <w:szCs w:val="24"/>
              </w:rPr>
            </w:pPr>
          </w:p>
        </w:tc>
        <w:tc>
          <w:tcPr>
            <w:tcW w:w="3135" w:type="dxa"/>
            <w:vMerge/>
            <w:tcMar>
              <w:top w:w="15" w:type="dxa"/>
              <w:left w:w="15" w:type="dxa"/>
              <w:right w:w="15" w:type="dxa"/>
            </w:tcMar>
            <w:vAlign w:val="center"/>
          </w:tcPr>
          <w:p w:rsidR="00A11CAA" w:rsidRPr="00A77153" w:rsidRDefault="00A11CAA">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709" w:type="dxa"/>
            <w:vMerge/>
            <w:tcMar>
              <w:top w:w="15" w:type="dxa"/>
              <w:left w:w="15" w:type="dxa"/>
              <w:right w:w="15" w:type="dxa"/>
            </w:tcMar>
            <w:vAlign w:val="center"/>
          </w:tcPr>
          <w:p w:rsidR="00A11CAA" w:rsidRPr="00A77153" w:rsidRDefault="00A11CAA">
            <w:pPr>
              <w:autoSpaceDN w:val="0"/>
              <w:spacing w:line="440" w:lineRule="exact"/>
              <w:jc w:val="left"/>
              <w:textAlignment w:val="center"/>
              <w:rPr>
                <w:rFonts w:ascii="仿宋_GB2312" w:eastAsia="仿宋_GB2312" w:hAnsi="仿宋" w:cs="仿宋_GB2312"/>
                <w:color w:val="000000"/>
                <w:sz w:val="24"/>
                <w:szCs w:val="24"/>
              </w:rPr>
            </w:pPr>
          </w:p>
        </w:tc>
        <w:tc>
          <w:tcPr>
            <w:tcW w:w="5111" w:type="dxa"/>
            <w:gridSpan w:val="2"/>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2．项目对单位履职需要相关性强且十分必要的得3分，相关性较强且有必要的得1分，相关性和必要性一般的得0分。</w:t>
            </w:r>
          </w:p>
        </w:tc>
        <w:tc>
          <w:tcPr>
            <w:tcW w:w="811" w:type="dxa"/>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3</w:t>
            </w:r>
          </w:p>
        </w:tc>
        <w:tc>
          <w:tcPr>
            <w:tcW w:w="2336" w:type="dxa"/>
            <w:tcMar>
              <w:top w:w="15" w:type="dxa"/>
              <w:left w:w="15" w:type="dxa"/>
              <w:right w:w="15" w:type="dxa"/>
            </w:tcMar>
            <w:vAlign w:val="center"/>
          </w:tcPr>
          <w:p w:rsidR="00A11CAA" w:rsidRPr="00A77153" w:rsidRDefault="006241F2" w:rsidP="00A77153">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项目单位的职责范围包括此项目的相关内容，相关性强而且十分必要。</w:t>
            </w:r>
          </w:p>
        </w:tc>
      </w:tr>
      <w:tr w:rsidR="00A11CAA" w:rsidRPr="00A77153" w:rsidTr="00A77153">
        <w:tblPrEx>
          <w:tblCellMar>
            <w:left w:w="0" w:type="dxa"/>
            <w:right w:w="0" w:type="dxa"/>
          </w:tblCellMar>
        </w:tblPrEx>
        <w:trPr>
          <w:trHeight w:val="408"/>
          <w:jc w:val="center"/>
        </w:trPr>
        <w:tc>
          <w:tcPr>
            <w:tcW w:w="1451" w:type="dxa"/>
            <w:vMerge/>
            <w:tcMar>
              <w:top w:w="15" w:type="dxa"/>
              <w:left w:w="15" w:type="dxa"/>
              <w:right w:w="15" w:type="dxa"/>
            </w:tcMar>
            <w:vAlign w:val="center"/>
          </w:tcPr>
          <w:p w:rsidR="00A11CAA" w:rsidRPr="00A77153" w:rsidRDefault="00A11CAA">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A11CAA" w:rsidRPr="00A77153" w:rsidRDefault="00A11CAA">
            <w:pPr>
              <w:autoSpaceDN w:val="0"/>
              <w:spacing w:line="440" w:lineRule="exact"/>
              <w:rPr>
                <w:rFonts w:ascii="仿宋_GB2312" w:eastAsia="仿宋_GB2312" w:hAnsi="仿宋" w:cs="仿宋_GB2312"/>
                <w:color w:val="000000"/>
                <w:sz w:val="24"/>
                <w:szCs w:val="24"/>
              </w:rPr>
            </w:pPr>
          </w:p>
        </w:tc>
        <w:tc>
          <w:tcPr>
            <w:tcW w:w="3135" w:type="dxa"/>
            <w:vMerge w:val="restart"/>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项目的重要性和紧迫性</w:t>
            </w:r>
          </w:p>
        </w:tc>
        <w:tc>
          <w:tcPr>
            <w:tcW w:w="709" w:type="dxa"/>
            <w:vMerge w:val="restart"/>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15</w:t>
            </w:r>
          </w:p>
        </w:tc>
        <w:tc>
          <w:tcPr>
            <w:tcW w:w="5111" w:type="dxa"/>
            <w:gridSpan w:val="2"/>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1．说明项目的紧迫性得3分，未说明的得0分；</w:t>
            </w:r>
          </w:p>
        </w:tc>
        <w:tc>
          <w:tcPr>
            <w:tcW w:w="811" w:type="dxa"/>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3</w:t>
            </w:r>
          </w:p>
        </w:tc>
        <w:tc>
          <w:tcPr>
            <w:tcW w:w="2336" w:type="dxa"/>
            <w:tcMar>
              <w:top w:w="15" w:type="dxa"/>
              <w:left w:w="15" w:type="dxa"/>
              <w:right w:w="15" w:type="dxa"/>
            </w:tcMar>
            <w:vAlign w:val="center"/>
          </w:tcPr>
          <w:p w:rsidR="00A11CAA" w:rsidRPr="00A77153" w:rsidRDefault="006241F2" w:rsidP="00A77153">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此项目是持续性项目，部分子项目已完成</w:t>
            </w:r>
            <w:r w:rsidR="001D17B5">
              <w:rPr>
                <w:rFonts w:ascii="仿宋_GB2312" w:eastAsia="仿宋_GB2312" w:hAnsi="仿宋" w:cs="仿宋_GB2312" w:hint="eastAsia"/>
                <w:color w:val="000000"/>
                <w:szCs w:val="24"/>
              </w:rPr>
              <w:t>，需要按照合同要求分年度付款；一些新上项目具有旅游局的批复，</w:t>
            </w:r>
            <w:r w:rsidRPr="00A77153">
              <w:rPr>
                <w:rFonts w:ascii="仿宋_GB2312" w:eastAsia="仿宋_GB2312" w:hAnsi="仿宋" w:cs="仿宋_GB2312" w:hint="eastAsia"/>
                <w:color w:val="000000"/>
                <w:szCs w:val="24"/>
              </w:rPr>
              <w:t>项目具有紧迫</w:t>
            </w:r>
            <w:r w:rsidRPr="00A77153">
              <w:rPr>
                <w:rFonts w:ascii="仿宋_GB2312" w:eastAsia="仿宋_GB2312" w:hAnsi="仿宋" w:cs="仿宋_GB2312" w:hint="eastAsia"/>
                <w:color w:val="000000"/>
                <w:szCs w:val="24"/>
              </w:rPr>
              <w:lastRenderedPageBreak/>
              <w:t>性。</w:t>
            </w:r>
          </w:p>
        </w:tc>
      </w:tr>
      <w:tr w:rsidR="00A11CAA" w:rsidRPr="00A77153" w:rsidTr="00A77153">
        <w:tblPrEx>
          <w:tblCellMar>
            <w:left w:w="0" w:type="dxa"/>
            <w:right w:w="0" w:type="dxa"/>
          </w:tblCellMar>
        </w:tblPrEx>
        <w:trPr>
          <w:trHeight w:val="800"/>
          <w:jc w:val="center"/>
        </w:trPr>
        <w:tc>
          <w:tcPr>
            <w:tcW w:w="1451" w:type="dxa"/>
            <w:vMerge/>
            <w:tcMar>
              <w:top w:w="15" w:type="dxa"/>
              <w:left w:w="15" w:type="dxa"/>
              <w:right w:w="15" w:type="dxa"/>
            </w:tcMar>
            <w:vAlign w:val="center"/>
          </w:tcPr>
          <w:p w:rsidR="00A11CAA" w:rsidRPr="00A77153" w:rsidRDefault="00A11CAA">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A11CAA" w:rsidRPr="00A77153" w:rsidRDefault="00A11CAA">
            <w:pPr>
              <w:autoSpaceDN w:val="0"/>
              <w:spacing w:line="440" w:lineRule="exact"/>
              <w:rPr>
                <w:rFonts w:ascii="仿宋_GB2312" w:eastAsia="仿宋_GB2312" w:hAnsi="仿宋" w:cs="仿宋_GB2312"/>
                <w:color w:val="000000"/>
                <w:sz w:val="24"/>
                <w:szCs w:val="24"/>
              </w:rPr>
            </w:pPr>
          </w:p>
        </w:tc>
        <w:tc>
          <w:tcPr>
            <w:tcW w:w="3135" w:type="dxa"/>
            <w:vMerge/>
            <w:tcMar>
              <w:top w:w="15" w:type="dxa"/>
              <w:left w:w="15" w:type="dxa"/>
              <w:right w:w="15" w:type="dxa"/>
            </w:tcMar>
            <w:vAlign w:val="center"/>
          </w:tcPr>
          <w:p w:rsidR="00A11CAA" w:rsidRPr="00A77153" w:rsidRDefault="00A11CAA">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709" w:type="dxa"/>
            <w:vMerge/>
            <w:tcMar>
              <w:top w:w="15" w:type="dxa"/>
              <w:left w:w="15" w:type="dxa"/>
              <w:right w:w="15" w:type="dxa"/>
            </w:tcMar>
            <w:vAlign w:val="center"/>
          </w:tcPr>
          <w:p w:rsidR="00A11CAA" w:rsidRPr="00A77153" w:rsidRDefault="00A11CAA">
            <w:pPr>
              <w:autoSpaceDN w:val="0"/>
              <w:spacing w:line="440" w:lineRule="exact"/>
              <w:jc w:val="left"/>
              <w:textAlignment w:val="center"/>
              <w:rPr>
                <w:rFonts w:ascii="仿宋_GB2312" w:eastAsia="仿宋_GB2312" w:hAnsi="仿宋" w:cs="仿宋_GB2312"/>
                <w:color w:val="000000"/>
                <w:sz w:val="24"/>
                <w:szCs w:val="24"/>
              </w:rPr>
            </w:pPr>
          </w:p>
        </w:tc>
        <w:tc>
          <w:tcPr>
            <w:tcW w:w="5111" w:type="dxa"/>
            <w:gridSpan w:val="2"/>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2．项目对促进所属单位或所负责的领域事业发展十分重要且非常紧迫的得10-12分，重要且紧迫的得7-10分，重要性和紧迫性一般的得0分。</w:t>
            </w:r>
          </w:p>
        </w:tc>
        <w:tc>
          <w:tcPr>
            <w:tcW w:w="811" w:type="dxa"/>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12</w:t>
            </w:r>
          </w:p>
        </w:tc>
        <w:tc>
          <w:tcPr>
            <w:tcW w:w="2336" w:type="dxa"/>
            <w:tcMar>
              <w:top w:w="15" w:type="dxa"/>
              <w:left w:w="15" w:type="dxa"/>
              <w:right w:w="15" w:type="dxa"/>
            </w:tcMar>
            <w:vAlign w:val="center"/>
          </w:tcPr>
          <w:p w:rsidR="00A11CAA" w:rsidRPr="00A77153" w:rsidRDefault="006241F2" w:rsidP="00A77153">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建设完成游客服务中心、无障碍厕所、步行径等工程，可以提升景区档次；宣传推介旅游资源，可以提升旅游收入；完善旅游服务设施，提升服务水平，提高游客满意度</w:t>
            </w:r>
          </w:p>
        </w:tc>
      </w:tr>
      <w:tr w:rsidR="00A11CAA" w:rsidRPr="00A77153" w:rsidTr="00A77153">
        <w:tblPrEx>
          <w:tblCellMar>
            <w:left w:w="0" w:type="dxa"/>
            <w:right w:w="0" w:type="dxa"/>
          </w:tblCellMar>
        </w:tblPrEx>
        <w:trPr>
          <w:trHeight w:val="1684"/>
          <w:jc w:val="center"/>
        </w:trPr>
        <w:tc>
          <w:tcPr>
            <w:tcW w:w="1451" w:type="dxa"/>
            <w:vMerge w:val="restart"/>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b/>
                <w:bCs/>
                <w:color w:val="000000"/>
                <w:sz w:val="24"/>
                <w:szCs w:val="24"/>
              </w:rPr>
            </w:pPr>
            <w:r w:rsidRPr="00A77153">
              <w:rPr>
                <w:rFonts w:ascii="仿宋_GB2312" w:eastAsia="仿宋_GB2312" w:hAnsi="仿宋" w:cs="仿宋_GB2312" w:hint="eastAsia"/>
                <w:b/>
                <w:bCs/>
                <w:color w:val="000000"/>
                <w:sz w:val="24"/>
                <w:szCs w:val="24"/>
              </w:rPr>
              <w:t>项目可行性</w:t>
            </w:r>
          </w:p>
        </w:tc>
        <w:tc>
          <w:tcPr>
            <w:tcW w:w="621" w:type="dxa"/>
            <w:vMerge w:val="restart"/>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15</w:t>
            </w:r>
          </w:p>
        </w:tc>
        <w:tc>
          <w:tcPr>
            <w:tcW w:w="3135" w:type="dxa"/>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是否符合相关行业标准、技术规范等</w:t>
            </w:r>
          </w:p>
        </w:tc>
        <w:tc>
          <w:tcPr>
            <w:tcW w:w="709" w:type="dxa"/>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3</w:t>
            </w:r>
          </w:p>
        </w:tc>
        <w:tc>
          <w:tcPr>
            <w:tcW w:w="5111" w:type="dxa"/>
            <w:gridSpan w:val="2"/>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1．非常符合得3分；</w:t>
            </w:r>
          </w:p>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2．比较符合得2分；</w:t>
            </w:r>
          </w:p>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3．一般得1分；</w:t>
            </w:r>
          </w:p>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4．不符合得0分。</w:t>
            </w:r>
          </w:p>
        </w:tc>
        <w:tc>
          <w:tcPr>
            <w:tcW w:w="811" w:type="dxa"/>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2</w:t>
            </w:r>
          </w:p>
        </w:tc>
        <w:tc>
          <w:tcPr>
            <w:tcW w:w="2336" w:type="dxa"/>
            <w:tcMar>
              <w:top w:w="15" w:type="dxa"/>
              <w:left w:w="15" w:type="dxa"/>
              <w:right w:w="15" w:type="dxa"/>
            </w:tcMar>
            <w:vAlign w:val="center"/>
          </w:tcPr>
          <w:p w:rsidR="00A11CAA" w:rsidRPr="00A77153" w:rsidRDefault="006241F2" w:rsidP="00A77153">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项目比如符合《印发贯彻落实江门市关于进一步加快旅游业发展的意见和江门市旅游业发展扶持办法实施方案的通知》（鹤府办〔2013〕29 号）的要求。</w:t>
            </w:r>
          </w:p>
        </w:tc>
      </w:tr>
      <w:tr w:rsidR="00A11CAA" w:rsidRPr="00A77153" w:rsidTr="00A77153">
        <w:tblPrEx>
          <w:tblCellMar>
            <w:left w:w="0" w:type="dxa"/>
            <w:right w:w="0" w:type="dxa"/>
          </w:tblCellMar>
        </w:tblPrEx>
        <w:trPr>
          <w:trHeight w:val="1241"/>
          <w:jc w:val="center"/>
        </w:trPr>
        <w:tc>
          <w:tcPr>
            <w:tcW w:w="1451" w:type="dxa"/>
            <w:vMerge/>
            <w:tcMar>
              <w:top w:w="15" w:type="dxa"/>
              <w:left w:w="15" w:type="dxa"/>
              <w:right w:w="15" w:type="dxa"/>
            </w:tcMar>
            <w:vAlign w:val="center"/>
          </w:tcPr>
          <w:p w:rsidR="00A11CAA" w:rsidRPr="00A77153" w:rsidRDefault="00A11CAA">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A11CAA" w:rsidRPr="00A77153" w:rsidRDefault="00A11CAA">
            <w:pPr>
              <w:autoSpaceDN w:val="0"/>
              <w:spacing w:line="440" w:lineRule="exact"/>
              <w:rPr>
                <w:rFonts w:ascii="仿宋_GB2312" w:eastAsia="仿宋_GB2312" w:hAnsi="仿宋" w:cs="仿宋_GB2312"/>
                <w:color w:val="000000"/>
                <w:sz w:val="24"/>
                <w:szCs w:val="24"/>
              </w:rPr>
            </w:pPr>
          </w:p>
        </w:tc>
        <w:tc>
          <w:tcPr>
            <w:tcW w:w="3135" w:type="dxa"/>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新增项目：是否经过调研、论证、决策</w:t>
            </w:r>
          </w:p>
        </w:tc>
        <w:tc>
          <w:tcPr>
            <w:tcW w:w="709" w:type="dxa"/>
            <w:vMerge w:val="restart"/>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12</w:t>
            </w:r>
          </w:p>
        </w:tc>
        <w:tc>
          <w:tcPr>
            <w:tcW w:w="5111" w:type="dxa"/>
            <w:gridSpan w:val="2"/>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1.有可行性报告且内容完整、论证充分得8分，有可</w:t>
            </w:r>
            <w:proofErr w:type="gramStart"/>
            <w:r w:rsidRPr="00A77153">
              <w:rPr>
                <w:rFonts w:ascii="仿宋_GB2312" w:eastAsia="仿宋_GB2312" w:hAnsi="仿宋" w:cs="仿宋_GB2312" w:hint="eastAsia"/>
                <w:color w:val="000000"/>
                <w:szCs w:val="24"/>
              </w:rPr>
              <w:t>研</w:t>
            </w:r>
            <w:proofErr w:type="gramEnd"/>
            <w:r w:rsidRPr="00A77153">
              <w:rPr>
                <w:rFonts w:ascii="仿宋_GB2312" w:eastAsia="仿宋_GB2312" w:hAnsi="仿宋" w:cs="仿宋_GB2312" w:hint="eastAsia"/>
                <w:color w:val="000000"/>
                <w:szCs w:val="24"/>
              </w:rPr>
              <w:t>报告但论证不够充分最高得5分，没有得0分。</w:t>
            </w:r>
          </w:p>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2. 有决策会议纪要得4分；没有得0分。</w:t>
            </w:r>
          </w:p>
        </w:tc>
        <w:tc>
          <w:tcPr>
            <w:tcW w:w="811" w:type="dxa"/>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w:t>
            </w:r>
          </w:p>
        </w:tc>
        <w:tc>
          <w:tcPr>
            <w:tcW w:w="2336" w:type="dxa"/>
            <w:vMerge w:val="restart"/>
            <w:tcMar>
              <w:top w:w="15" w:type="dxa"/>
              <w:left w:w="15" w:type="dxa"/>
              <w:right w:w="15" w:type="dxa"/>
            </w:tcMar>
            <w:vAlign w:val="center"/>
          </w:tcPr>
          <w:p w:rsidR="00A11CAA" w:rsidRPr="00A77153" w:rsidRDefault="006241F2" w:rsidP="00A77153">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本年度的工作进度安排不够详尽，新增的部分子项目具体实施计划也未明确。</w:t>
            </w:r>
          </w:p>
        </w:tc>
      </w:tr>
      <w:tr w:rsidR="00A11CAA" w:rsidRPr="00A77153" w:rsidTr="00A77153">
        <w:tblPrEx>
          <w:tblCellMar>
            <w:left w:w="0" w:type="dxa"/>
            <w:right w:w="0" w:type="dxa"/>
          </w:tblCellMar>
        </w:tblPrEx>
        <w:trPr>
          <w:trHeight w:val="1131"/>
          <w:jc w:val="center"/>
        </w:trPr>
        <w:tc>
          <w:tcPr>
            <w:tcW w:w="1451" w:type="dxa"/>
            <w:vMerge/>
            <w:tcMar>
              <w:top w:w="15" w:type="dxa"/>
              <w:left w:w="15" w:type="dxa"/>
              <w:right w:w="15" w:type="dxa"/>
            </w:tcMar>
            <w:vAlign w:val="center"/>
          </w:tcPr>
          <w:p w:rsidR="00A11CAA" w:rsidRPr="00A77153" w:rsidRDefault="00A11CAA">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A11CAA" w:rsidRPr="00A77153" w:rsidRDefault="00A11CAA">
            <w:pPr>
              <w:autoSpaceDN w:val="0"/>
              <w:spacing w:line="440" w:lineRule="exact"/>
              <w:rPr>
                <w:rFonts w:ascii="仿宋_GB2312" w:eastAsia="仿宋_GB2312" w:hAnsi="仿宋" w:cs="仿宋_GB2312"/>
                <w:color w:val="000000"/>
                <w:sz w:val="24"/>
                <w:szCs w:val="24"/>
              </w:rPr>
            </w:pPr>
          </w:p>
        </w:tc>
        <w:tc>
          <w:tcPr>
            <w:tcW w:w="3135" w:type="dxa"/>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常规项目：是否制定实施计划</w:t>
            </w:r>
          </w:p>
        </w:tc>
        <w:tc>
          <w:tcPr>
            <w:tcW w:w="709" w:type="dxa"/>
            <w:vMerge/>
            <w:tcMar>
              <w:top w:w="15" w:type="dxa"/>
              <w:left w:w="15" w:type="dxa"/>
              <w:right w:w="15" w:type="dxa"/>
            </w:tcMar>
            <w:vAlign w:val="center"/>
          </w:tcPr>
          <w:p w:rsidR="00A11CAA" w:rsidRPr="00A77153" w:rsidRDefault="00A11CAA">
            <w:pPr>
              <w:autoSpaceDN w:val="0"/>
              <w:spacing w:line="440" w:lineRule="exact"/>
              <w:jc w:val="center"/>
              <w:textAlignment w:val="center"/>
              <w:rPr>
                <w:rFonts w:ascii="仿宋_GB2312" w:eastAsia="仿宋_GB2312" w:hAnsi="仿宋" w:cs="仿宋_GB2312"/>
                <w:color w:val="000000"/>
                <w:sz w:val="24"/>
                <w:szCs w:val="24"/>
              </w:rPr>
            </w:pPr>
          </w:p>
        </w:tc>
        <w:tc>
          <w:tcPr>
            <w:tcW w:w="5111" w:type="dxa"/>
            <w:gridSpan w:val="2"/>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实施计划包含总目标、阶段目标、本年度工作内容和技术要求、工作进度安排的得12分，计划不详尽酌情给分最高得7分，没有实施计划得0分；</w:t>
            </w:r>
          </w:p>
        </w:tc>
        <w:tc>
          <w:tcPr>
            <w:tcW w:w="811" w:type="dxa"/>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10</w:t>
            </w:r>
          </w:p>
        </w:tc>
        <w:tc>
          <w:tcPr>
            <w:tcW w:w="2336" w:type="dxa"/>
            <w:vMerge/>
            <w:tcMar>
              <w:top w:w="15" w:type="dxa"/>
              <w:left w:w="15" w:type="dxa"/>
              <w:right w:w="15" w:type="dxa"/>
            </w:tcMar>
            <w:vAlign w:val="center"/>
          </w:tcPr>
          <w:p w:rsidR="00A11CAA" w:rsidRPr="00A77153" w:rsidRDefault="00A11CAA" w:rsidP="00A77153">
            <w:pPr>
              <w:autoSpaceDN w:val="0"/>
              <w:spacing w:beforeLines="20" w:before="62" w:afterLines="20" w:after="62"/>
              <w:jc w:val="left"/>
              <w:textAlignment w:val="center"/>
              <w:rPr>
                <w:rFonts w:ascii="仿宋_GB2312" w:eastAsia="仿宋_GB2312" w:hAnsi="仿宋" w:cs="仿宋_GB2312"/>
                <w:color w:val="000000"/>
                <w:szCs w:val="24"/>
              </w:rPr>
            </w:pPr>
          </w:p>
        </w:tc>
      </w:tr>
      <w:tr w:rsidR="00A11CAA" w:rsidRPr="00A77153" w:rsidTr="00A77153">
        <w:tblPrEx>
          <w:tblCellMar>
            <w:left w:w="0" w:type="dxa"/>
            <w:right w:w="0" w:type="dxa"/>
          </w:tblCellMar>
        </w:tblPrEx>
        <w:trPr>
          <w:trHeight w:val="604"/>
          <w:jc w:val="center"/>
        </w:trPr>
        <w:tc>
          <w:tcPr>
            <w:tcW w:w="1451" w:type="dxa"/>
            <w:vMerge w:val="restart"/>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b/>
                <w:bCs/>
                <w:color w:val="000000"/>
                <w:sz w:val="24"/>
                <w:szCs w:val="24"/>
              </w:rPr>
            </w:pPr>
            <w:r w:rsidRPr="00A77153">
              <w:rPr>
                <w:rFonts w:ascii="仿宋_GB2312" w:eastAsia="仿宋_GB2312" w:hAnsi="仿宋" w:cs="仿宋_GB2312" w:hint="eastAsia"/>
                <w:b/>
                <w:bCs/>
                <w:color w:val="000000"/>
                <w:sz w:val="24"/>
                <w:szCs w:val="24"/>
              </w:rPr>
              <w:t>预算合理性</w:t>
            </w:r>
          </w:p>
        </w:tc>
        <w:tc>
          <w:tcPr>
            <w:tcW w:w="621" w:type="dxa"/>
            <w:vMerge w:val="restart"/>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20</w:t>
            </w:r>
          </w:p>
        </w:tc>
        <w:tc>
          <w:tcPr>
            <w:tcW w:w="3135" w:type="dxa"/>
            <w:vMerge w:val="restart"/>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预算明确</w:t>
            </w:r>
          </w:p>
        </w:tc>
        <w:tc>
          <w:tcPr>
            <w:tcW w:w="709" w:type="dxa"/>
            <w:vMerge w:val="restart"/>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10</w:t>
            </w:r>
          </w:p>
        </w:tc>
        <w:tc>
          <w:tcPr>
            <w:tcW w:w="5111" w:type="dxa"/>
            <w:gridSpan w:val="2"/>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1．每项支出内容细化到具体的工作活动和工作过程的得2分，没有得0分；</w:t>
            </w:r>
          </w:p>
        </w:tc>
        <w:tc>
          <w:tcPr>
            <w:tcW w:w="811" w:type="dxa"/>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1</w:t>
            </w:r>
          </w:p>
        </w:tc>
        <w:tc>
          <w:tcPr>
            <w:tcW w:w="2336" w:type="dxa"/>
            <w:tcMar>
              <w:top w:w="15" w:type="dxa"/>
              <w:left w:w="15" w:type="dxa"/>
              <w:right w:w="15" w:type="dxa"/>
            </w:tcMar>
            <w:vAlign w:val="center"/>
          </w:tcPr>
          <w:p w:rsidR="00A11CAA" w:rsidRPr="00A77153" w:rsidRDefault="006241F2" w:rsidP="00A77153">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项目单位提供的《预算绩效申报表》对项目支出的</w:t>
            </w:r>
            <w:r w:rsidRPr="00A77153">
              <w:rPr>
                <w:rFonts w:ascii="仿宋_GB2312" w:eastAsia="仿宋_GB2312" w:hAnsi="仿宋" w:cs="仿宋_GB2312" w:hint="eastAsia"/>
                <w:color w:val="000000"/>
                <w:szCs w:val="24"/>
              </w:rPr>
              <w:lastRenderedPageBreak/>
              <w:t>每项内容及其金额有清楚的列示，但2018年实施的项目未能列示工作活动内容和工作过程。</w:t>
            </w:r>
          </w:p>
        </w:tc>
      </w:tr>
      <w:tr w:rsidR="00A11CAA" w:rsidRPr="00A77153" w:rsidTr="00A77153">
        <w:tblPrEx>
          <w:tblCellMar>
            <w:left w:w="0" w:type="dxa"/>
            <w:right w:w="0" w:type="dxa"/>
          </w:tblCellMar>
        </w:tblPrEx>
        <w:trPr>
          <w:trHeight w:val="408"/>
          <w:jc w:val="center"/>
        </w:trPr>
        <w:tc>
          <w:tcPr>
            <w:tcW w:w="1451" w:type="dxa"/>
            <w:vMerge/>
            <w:tcMar>
              <w:top w:w="15" w:type="dxa"/>
              <w:left w:w="15" w:type="dxa"/>
              <w:right w:w="15" w:type="dxa"/>
            </w:tcMar>
            <w:vAlign w:val="center"/>
          </w:tcPr>
          <w:p w:rsidR="00A11CAA" w:rsidRPr="00A77153" w:rsidRDefault="00A11CAA">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A11CAA" w:rsidRPr="00A77153" w:rsidRDefault="00A11CAA">
            <w:pPr>
              <w:autoSpaceDN w:val="0"/>
              <w:spacing w:line="440" w:lineRule="exact"/>
              <w:rPr>
                <w:rFonts w:ascii="仿宋_GB2312" w:eastAsia="仿宋_GB2312" w:hAnsi="仿宋" w:cs="仿宋_GB2312"/>
                <w:color w:val="000000"/>
                <w:sz w:val="24"/>
                <w:szCs w:val="24"/>
              </w:rPr>
            </w:pPr>
          </w:p>
        </w:tc>
        <w:tc>
          <w:tcPr>
            <w:tcW w:w="3135" w:type="dxa"/>
            <w:vMerge/>
            <w:tcMar>
              <w:top w:w="15" w:type="dxa"/>
              <w:left w:w="15" w:type="dxa"/>
              <w:right w:w="15" w:type="dxa"/>
            </w:tcMar>
            <w:vAlign w:val="center"/>
          </w:tcPr>
          <w:p w:rsidR="00A11CAA" w:rsidRPr="00A77153" w:rsidRDefault="00A11CAA">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709" w:type="dxa"/>
            <w:vMerge/>
            <w:tcMar>
              <w:top w:w="15" w:type="dxa"/>
              <w:left w:w="15" w:type="dxa"/>
              <w:right w:w="15" w:type="dxa"/>
            </w:tcMar>
            <w:vAlign w:val="center"/>
          </w:tcPr>
          <w:p w:rsidR="00A11CAA" w:rsidRPr="00A77153" w:rsidRDefault="00A11CAA">
            <w:pPr>
              <w:autoSpaceDN w:val="0"/>
              <w:spacing w:line="440" w:lineRule="exact"/>
              <w:jc w:val="left"/>
              <w:textAlignment w:val="center"/>
              <w:rPr>
                <w:rFonts w:ascii="仿宋_GB2312" w:eastAsia="仿宋_GB2312" w:hAnsi="仿宋" w:cs="仿宋_GB2312"/>
                <w:color w:val="000000"/>
                <w:sz w:val="24"/>
                <w:szCs w:val="24"/>
              </w:rPr>
            </w:pPr>
          </w:p>
        </w:tc>
        <w:tc>
          <w:tcPr>
            <w:tcW w:w="5111" w:type="dxa"/>
            <w:gridSpan w:val="2"/>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2．每项工作内容有对应的经费数额得2分，没有得0分；</w:t>
            </w:r>
          </w:p>
        </w:tc>
        <w:tc>
          <w:tcPr>
            <w:tcW w:w="811" w:type="dxa"/>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2</w:t>
            </w:r>
          </w:p>
        </w:tc>
        <w:tc>
          <w:tcPr>
            <w:tcW w:w="2336" w:type="dxa"/>
            <w:tcMar>
              <w:top w:w="15" w:type="dxa"/>
              <w:left w:w="15" w:type="dxa"/>
              <w:right w:w="15" w:type="dxa"/>
            </w:tcMar>
            <w:vAlign w:val="center"/>
          </w:tcPr>
          <w:p w:rsidR="00A11CAA" w:rsidRPr="00A77153" w:rsidRDefault="006241F2" w:rsidP="00A77153">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《预算绩效申报表》中的每项工作内容均有对应的经费金额。</w:t>
            </w:r>
          </w:p>
        </w:tc>
      </w:tr>
      <w:tr w:rsidR="00A11CAA" w:rsidRPr="00A77153" w:rsidTr="00A77153">
        <w:tblPrEx>
          <w:tblCellMar>
            <w:left w:w="0" w:type="dxa"/>
            <w:right w:w="0" w:type="dxa"/>
          </w:tblCellMar>
        </w:tblPrEx>
        <w:trPr>
          <w:trHeight w:val="604"/>
          <w:jc w:val="center"/>
        </w:trPr>
        <w:tc>
          <w:tcPr>
            <w:tcW w:w="1451" w:type="dxa"/>
            <w:vMerge/>
            <w:tcMar>
              <w:top w:w="15" w:type="dxa"/>
              <w:left w:w="15" w:type="dxa"/>
              <w:right w:w="15" w:type="dxa"/>
            </w:tcMar>
            <w:vAlign w:val="center"/>
          </w:tcPr>
          <w:p w:rsidR="00A11CAA" w:rsidRPr="00A77153" w:rsidRDefault="00A11CAA">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A11CAA" w:rsidRPr="00A77153" w:rsidRDefault="00A11CAA">
            <w:pPr>
              <w:autoSpaceDN w:val="0"/>
              <w:spacing w:line="440" w:lineRule="exact"/>
              <w:rPr>
                <w:rFonts w:ascii="仿宋_GB2312" w:eastAsia="仿宋_GB2312" w:hAnsi="仿宋" w:cs="仿宋_GB2312"/>
                <w:color w:val="000000"/>
                <w:sz w:val="24"/>
                <w:szCs w:val="24"/>
              </w:rPr>
            </w:pPr>
          </w:p>
        </w:tc>
        <w:tc>
          <w:tcPr>
            <w:tcW w:w="3135" w:type="dxa"/>
            <w:vMerge/>
            <w:tcMar>
              <w:top w:w="15" w:type="dxa"/>
              <w:left w:w="15" w:type="dxa"/>
              <w:right w:w="15" w:type="dxa"/>
            </w:tcMar>
            <w:vAlign w:val="center"/>
          </w:tcPr>
          <w:p w:rsidR="00A11CAA" w:rsidRPr="00A77153" w:rsidRDefault="00A11CAA">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709" w:type="dxa"/>
            <w:vMerge/>
            <w:tcMar>
              <w:top w:w="15" w:type="dxa"/>
              <w:left w:w="15" w:type="dxa"/>
              <w:right w:w="15" w:type="dxa"/>
            </w:tcMar>
            <w:vAlign w:val="center"/>
          </w:tcPr>
          <w:p w:rsidR="00A11CAA" w:rsidRPr="00A77153" w:rsidRDefault="00A11CAA">
            <w:pPr>
              <w:autoSpaceDN w:val="0"/>
              <w:spacing w:line="440" w:lineRule="exact"/>
              <w:jc w:val="left"/>
              <w:textAlignment w:val="center"/>
              <w:rPr>
                <w:rFonts w:ascii="仿宋_GB2312" w:eastAsia="仿宋_GB2312" w:hAnsi="仿宋" w:cs="仿宋_GB2312"/>
                <w:color w:val="000000"/>
                <w:sz w:val="24"/>
                <w:szCs w:val="24"/>
              </w:rPr>
            </w:pPr>
          </w:p>
        </w:tc>
        <w:tc>
          <w:tcPr>
            <w:tcW w:w="5111" w:type="dxa"/>
            <w:gridSpan w:val="2"/>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3．每项工作内容经费数额有测算依据和说明的得6分，没有得0分。</w:t>
            </w:r>
          </w:p>
        </w:tc>
        <w:tc>
          <w:tcPr>
            <w:tcW w:w="811" w:type="dxa"/>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4</w:t>
            </w:r>
          </w:p>
        </w:tc>
        <w:tc>
          <w:tcPr>
            <w:tcW w:w="2336" w:type="dxa"/>
            <w:tcMar>
              <w:top w:w="15" w:type="dxa"/>
              <w:left w:w="15" w:type="dxa"/>
              <w:right w:w="15" w:type="dxa"/>
            </w:tcMar>
            <w:vAlign w:val="center"/>
          </w:tcPr>
          <w:p w:rsidR="00A11CAA" w:rsidRPr="00A77153" w:rsidRDefault="006241F2" w:rsidP="00A77153">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已完成的部分工作内容有经费测算依据的说明，2018年开始的工作内容未给出明确的经费测算依据。</w:t>
            </w:r>
          </w:p>
        </w:tc>
      </w:tr>
      <w:tr w:rsidR="00A11CAA" w:rsidRPr="00A77153" w:rsidTr="00A77153">
        <w:tblPrEx>
          <w:tblCellMar>
            <w:left w:w="0" w:type="dxa"/>
            <w:right w:w="0" w:type="dxa"/>
          </w:tblCellMar>
        </w:tblPrEx>
        <w:trPr>
          <w:trHeight w:val="1251"/>
          <w:jc w:val="center"/>
        </w:trPr>
        <w:tc>
          <w:tcPr>
            <w:tcW w:w="1451" w:type="dxa"/>
            <w:vMerge/>
            <w:tcMar>
              <w:top w:w="15" w:type="dxa"/>
              <w:left w:w="15" w:type="dxa"/>
              <w:right w:w="15" w:type="dxa"/>
            </w:tcMar>
            <w:vAlign w:val="center"/>
          </w:tcPr>
          <w:p w:rsidR="00A11CAA" w:rsidRPr="00A77153" w:rsidRDefault="00A11CAA">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A11CAA" w:rsidRPr="00A77153" w:rsidRDefault="00A11CAA">
            <w:pPr>
              <w:autoSpaceDN w:val="0"/>
              <w:spacing w:line="440" w:lineRule="exact"/>
              <w:rPr>
                <w:rFonts w:ascii="仿宋_GB2312" w:eastAsia="仿宋_GB2312" w:hAnsi="仿宋" w:cs="仿宋_GB2312"/>
                <w:color w:val="000000"/>
                <w:sz w:val="24"/>
                <w:szCs w:val="24"/>
              </w:rPr>
            </w:pPr>
          </w:p>
        </w:tc>
        <w:tc>
          <w:tcPr>
            <w:tcW w:w="3135" w:type="dxa"/>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规模、水平是否适当</w:t>
            </w:r>
          </w:p>
        </w:tc>
        <w:tc>
          <w:tcPr>
            <w:tcW w:w="709" w:type="dxa"/>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10</w:t>
            </w:r>
          </w:p>
        </w:tc>
        <w:tc>
          <w:tcPr>
            <w:tcW w:w="5111" w:type="dxa"/>
            <w:gridSpan w:val="2"/>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1．有与其他地区或部门类比相对详细的说明得10分；</w:t>
            </w:r>
          </w:p>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2．没有做比较说明但有一般性说明的酌情扣分，最高得6分。</w:t>
            </w:r>
          </w:p>
        </w:tc>
        <w:tc>
          <w:tcPr>
            <w:tcW w:w="811" w:type="dxa"/>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6</w:t>
            </w:r>
          </w:p>
        </w:tc>
        <w:tc>
          <w:tcPr>
            <w:tcW w:w="2336" w:type="dxa"/>
            <w:tcMar>
              <w:top w:w="15" w:type="dxa"/>
              <w:left w:w="15" w:type="dxa"/>
              <w:right w:w="15" w:type="dxa"/>
            </w:tcMar>
            <w:vAlign w:val="center"/>
          </w:tcPr>
          <w:p w:rsidR="00A11CAA" w:rsidRPr="00A77153" w:rsidRDefault="006241F2" w:rsidP="00A77153">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没有与其他地区或部门进行类比，但是预算说明比较详细，能够逻辑一致。</w:t>
            </w:r>
          </w:p>
        </w:tc>
      </w:tr>
      <w:tr w:rsidR="00A11CAA" w:rsidRPr="00A77153" w:rsidTr="00A77153">
        <w:tblPrEx>
          <w:tblCellMar>
            <w:left w:w="0" w:type="dxa"/>
            <w:right w:w="0" w:type="dxa"/>
          </w:tblCellMar>
        </w:tblPrEx>
        <w:trPr>
          <w:trHeight w:val="1251"/>
          <w:jc w:val="center"/>
        </w:trPr>
        <w:tc>
          <w:tcPr>
            <w:tcW w:w="1451" w:type="dxa"/>
            <w:vMerge w:val="restart"/>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b/>
                <w:bCs/>
                <w:color w:val="000000"/>
                <w:sz w:val="24"/>
                <w:szCs w:val="24"/>
              </w:rPr>
            </w:pPr>
            <w:r w:rsidRPr="00A77153">
              <w:rPr>
                <w:rFonts w:ascii="仿宋_GB2312" w:eastAsia="仿宋_GB2312" w:hAnsi="仿宋" w:cs="仿宋_GB2312" w:hint="eastAsia"/>
                <w:b/>
                <w:bCs/>
                <w:color w:val="000000"/>
                <w:sz w:val="24"/>
                <w:szCs w:val="24"/>
              </w:rPr>
              <w:t>项目实施</w:t>
            </w:r>
            <w:r w:rsidRPr="00A77153">
              <w:rPr>
                <w:rFonts w:ascii="仿宋_GB2312" w:eastAsia="仿宋_GB2312" w:hAnsi="仿宋" w:cs="仿宋_GB2312" w:hint="eastAsia"/>
                <w:b/>
                <w:bCs/>
                <w:color w:val="000000"/>
                <w:sz w:val="24"/>
                <w:szCs w:val="24"/>
              </w:rPr>
              <w:br/>
              <w:t>保障制度</w:t>
            </w:r>
          </w:p>
        </w:tc>
        <w:tc>
          <w:tcPr>
            <w:tcW w:w="621" w:type="dxa"/>
            <w:vMerge w:val="restart"/>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10</w:t>
            </w:r>
          </w:p>
        </w:tc>
        <w:tc>
          <w:tcPr>
            <w:tcW w:w="3135" w:type="dxa"/>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资金管理制度、财务会计制度的规范性</w:t>
            </w:r>
          </w:p>
        </w:tc>
        <w:tc>
          <w:tcPr>
            <w:tcW w:w="709" w:type="dxa"/>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5</w:t>
            </w:r>
          </w:p>
        </w:tc>
        <w:tc>
          <w:tcPr>
            <w:tcW w:w="5111" w:type="dxa"/>
            <w:gridSpan w:val="2"/>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1．两项基本都有</w:t>
            </w:r>
            <w:proofErr w:type="gramStart"/>
            <w:r w:rsidRPr="00A77153">
              <w:rPr>
                <w:rFonts w:ascii="仿宋_GB2312" w:eastAsia="仿宋_GB2312" w:hAnsi="仿宋" w:cs="仿宋_GB2312" w:hint="eastAsia"/>
                <w:color w:val="000000"/>
                <w:szCs w:val="24"/>
              </w:rPr>
              <w:t>且规范</w:t>
            </w:r>
            <w:proofErr w:type="gramEnd"/>
            <w:r w:rsidRPr="00A77153">
              <w:rPr>
                <w:rFonts w:ascii="仿宋_GB2312" w:eastAsia="仿宋_GB2312" w:hAnsi="仿宋" w:cs="仿宋_GB2312" w:hint="eastAsia"/>
                <w:color w:val="000000"/>
                <w:szCs w:val="24"/>
              </w:rPr>
              <w:t>得5分；</w:t>
            </w:r>
          </w:p>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2．只有一项制度</w:t>
            </w:r>
            <w:proofErr w:type="gramStart"/>
            <w:r w:rsidRPr="00A77153">
              <w:rPr>
                <w:rFonts w:ascii="仿宋_GB2312" w:eastAsia="仿宋_GB2312" w:hAnsi="仿宋" w:cs="仿宋_GB2312" w:hint="eastAsia"/>
                <w:color w:val="000000"/>
                <w:szCs w:val="24"/>
              </w:rPr>
              <w:t>且规范</w:t>
            </w:r>
            <w:proofErr w:type="gramEnd"/>
            <w:r w:rsidRPr="00A77153">
              <w:rPr>
                <w:rFonts w:ascii="仿宋_GB2312" w:eastAsia="仿宋_GB2312" w:hAnsi="仿宋" w:cs="仿宋_GB2312" w:hint="eastAsia"/>
                <w:color w:val="000000"/>
                <w:szCs w:val="24"/>
              </w:rPr>
              <w:t>得3分；</w:t>
            </w:r>
          </w:p>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3．两项制度都没有得0分。</w:t>
            </w:r>
          </w:p>
        </w:tc>
        <w:tc>
          <w:tcPr>
            <w:tcW w:w="811" w:type="dxa"/>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5</w:t>
            </w:r>
          </w:p>
        </w:tc>
        <w:tc>
          <w:tcPr>
            <w:tcW w:w="2336" w:type="dxa"/>
            <w:tcMar>
              <w:top w:w="15" w:type="dxa"/>
              <w:left w:w="15" w:type="dxa"/>
              <w:right w:w="15" w:type="dxa"/>
            </w:tcMar>
            <w:vAlign w:val="center"/>
          </w:tcPr>
          <w:p w:rsidR="00A11CAA" w:rsidRPr="00A77153" w:rsidRDefault="006241F2" w:rsidP="00A77153">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项目单位提供了《鹤山市旅游产业发展资金管理暂行办法》；《鹤山市旅游产业发展资金实施举措方案》；《市旅游局财务管理制度》共三项制度。</w:t>
            </w:r>
          </w:p>
        </w:tc>
      </w:tr>
      <w:tr w:rsidR="00A11CAA" w:rsidRPr="00A77153" w:rsidTr="00A77153">
        <w:tblPrEx>
          <w:tblCellMar>
            <w:left w:w="0" w:type="dxa"/>
            <w:right w:w="0" w:type="dxa"/>
          </w:tblCellMar>
        </w:tblPrEx>
        <w:trPr>
          <w:trHeight w:val="408"/>
          <w:jc w:val="center"/>
        </w:trPr>
        <w:tc>
          <w:tcPr>
            <w:tcW w:w="1451" w:type="dxa"/>
            <w:vMerge/>
            <w:tcMar>
              <w:top w:w="15" w:type="dxa"/>
              <w:left w:w="15" w:type="dxa"/>
              <w:right w:w="15" w:type="dxa"/>
            </w:tcMar>
            <w:vAlign w:val="center"/>
          </w:tcPr>
          <w:p w:rsidR="00A11CAA" w:rsidRPr="00A77153" w:rsidRDefault="00A11CAA">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A11CAA" w:rsidRPr="00A77153" w:rsidRDefault="00A11CAA">
            <w:pPr>
              <w:autoSpaceDN w:val="0"/>
              <w:spacing w:line="440" w:lineRule="exact"/>
              <w:rPr>
                <w:rFonts w:ascii="仿宋_GB2312" w:eastAsia="仿宋_GB2312" w:hAnsi="仿宋" w:cs="仿宋_GB2312"/>
                <w:color w:val="000000"/>
                <w:sz w:val="24"/>
                <w:szCs w:val="24"/>
              </w:rPr>
            </w:pPr>
          </w:p>
        </w:tc>
        <w:tc>
          <w:tcPr>
            <w:tcW w:w="3135" w:type="dxa"/>
            <w:vMerge w:val="restart"/>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项目运行的保证措施</w:t>
            </w:r>
          </w:p>
        </w:tc>
        <w:tc>
          <w:tcPr>
            <w:tcW w:w="709" w:type="dxa"/>
            <w:vMerge w:val="restart"/>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5</w:t>
            </w:r>
          </w:p>
        </w:tc>
        <w:tc>
          <w:tcPr>
            <w:tcW w:w="5111" w:type="dxa"/>
            <w:gridSpan w:val="2"/>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1．设置项目实施组织形式（</w:t>
            </w:r>
            <w:proofErr w:type="gramStart"/>
            <w:r w:rsidRPr="00A77153">
              <w:rPr>
                <w:rFonts w:ascii="仿宋_GB2312" w:eastAsia="仿宋_GB2312" w:hAnsi="仿宋" w:cs="仿宋_GB2312" w:hint="eastAsia"/>
                <w:color w:val="000000"/>
                <w:szCs w:val="24"/>
              </w:rPr>
              <w:t>预设置</w:t>
            </w:r>
            <w:proofErr w:type="gramEnd"/>
            <w:r w:rsidRPr="00A77153">
              <w:rPr>
                <w:rFonts w:ascii="仿宋_GB2312" w:eastAsia="仿宋_GB2312" w:hAnsi="仿宋" w:cs="仿宋_GB2312" w:hint="eastAsia"/>
                <w:color w:val="000000"/>
                <w:szCs w:val="24"/>
              </w:rPr>
              <w:t>有专职的组织机构和</w:t>
            </w:r>
            <w:r w:rsidRPr="00A77153">
              <w:rPr>
                <w:rFonts w:ascii="仿宋_GB2312" w:eastAsia="仿宋_GB2312" w:hAnsi="仿宋" w:cs="仿宋_GB2312" w:hint="eastAsia"/>
                <w:color w:val="000000"/>
                <w:szCs w:val="24"/>
              </w:rPr>
              <w:lastRenderedPageBreak/>
              <w:t>配置专业人员）得1分；</w:t>
            </w:r>
          </w:p>
        </w:tc>
        <w:tc>
          <w:tcPr>
            <w:tcW w:w="811" w:type="dxa"/>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lastRenderedPageBreak/>
              <w:t>1</w:t>
            </w:r>
          </w:p>
        </w:tc>
        <w:tc>
          <w:tcPr>
            <w:tcW w:w="2336" w:type="dxa"/>
            <w:tcMar>
              <w:top w:w="15" w:type="dxa"/>
              <w:left w:w="15" w:type="dxa"/>
              <w:right w:w="15" w:type="dxa"/>
            </w:tcMar>
            <w:vAlign w:val="center"/>
          </w:tcPr>
          <w:p w:rsidR="00A11CAA" w:rsidRPr="00A77153" w:rsidRDefault="006241F2" w:rsidP="00A77153">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《关于成立鹤山市旅游产业发展资金专项管理</w:t>
            </w:r>
            <w:r w:rsidRPr="00A77153">
              <w:rPr>
                <w:rFonts w:ascii="仿宋_GB2312" w:eastAsia="仿宋_GB2312" w:hAnsi="仿宋" w:cs="仿宋_GB2312" w:hint="eastAsia"/>
                <w:color w:val="000000"/>
                <w:szCs w:val="24"/>
              </w:rPr>
              <w:lastRenderedPageBreak/>
              <w:t>小组的通知》对项目的实施组织方式给予详细安排。</w:t>
            </w:r>
          </w:p>
        </w:tc>
      </w:tr>
      <w:tr w:rsidR="00A11CAA" w:rsidRPr="00A77153" w:rsidTr="00A77153">
        <w:tblPrEx>
          <w:tblCellMar>
            <w:left w:w="0" w:type="dxa"/>
            <w:right w:w="0" w:type="dxa"/>
          </w:tblCellMar>
        </w:tblPrEx>
        <w:trPr>
          <w:trHeight w:val="212"/>
          <w:jc w:val="center"/>
        </w:trPr>
        <w:tc>
          <w:tcPr>
            <w:tcW w:w="1451" w:type="dxa"/>
            <w:vMerge/>
            <w:tcMar>
              <w:top w:w="15" w:type="dxa"/>
              <w:left w:w="15" w:type="dxa"/>
              <w:right w:w="15" w:type="dxa"/>
            </w:tcMar>
            <w:vAlign w:val="center"/>
          </w:tcPr>
          <w:p w:rsidR="00A11CAA" w:rsidRPr="00A77153" w:rsidRDefault="00A11CAA">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A11CAA" w:rsidRPr="00A77153" w:rsidRDefault="00A11CAA">
            <w:pPr>
              <w:autoSpaceDN w:val="0"/>
              <w:spacing w:line="440" w:lineRule="exact"/>
              <w:rPr>
                <w:rFonts w:ascii="仿宋_GB2312" w:eastAsia="仿宋_GB2312" w:hAnsi="仿宋" w:cs="仿宋_GB2312"/>
                <w:color w:val="000000"/>
                <w:sz w:val="24"/>
                <w:szCs w:val="24"/>
              </w:rPr>
            </w:pPr>
          </w:p>
        </w:tc>
        <w:tc>
          <w:tcPr>
            <w:tcW w:w="3135" w:type="dxa"/>
            <w:vMerge/>
            <w:tcMar>
              <w:top w:w="15" w:type="dxa"/>
              <w:left w:w="15" w:type="dxa"/>
              <w:right w:w="15" w:type="dxa"/>
            </w:tcMar>
            <w:vAlign w:val="center"/>
          </w:tcPr>
          <w:p w:rsidR="00A11CAA" w:rsidRPr="00A77153" w:rsidRDefault="00A11CAA">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709" w:type="dxa"/>
            <w:vMerge/>
            <w:tcMar>
              <w:top w:w="15" w:type="dxa"/>
              <w:left w:w="15" w:type="dxa"/>
              <w:right w:w="15" w:type="dxa"/>
            </w:tcMar>
            <w:vAlign w:val="center"/>
          </w:tcPr>
          <w:p w:rsidR="00A11CAA" w:rsidRPr="00A77153" w:rsidRDefault="00A11CAA">
            <w:pPr>
              <w:autoSpaceDN w:val="0"/>
              <w:spacing w:line="440" w:lineRule="exact"/>
              <w:jc w:val="left"/>
              <w:textAlignment w:val="center"/>
              <w:rPr>
                <w:rFonts w:ascii="仿宋_GB2312" w:eastAsia="仿宋_GB2312" w:hAnsi="仿宋" w:cs="仿宋_GB2312"/>
                <w:color w:val="000000"/>
                <w:sz w:val="24"/>
                <w:szCs w:val="24"/>
              </w:rPr>
            </w:pPr>
          </w:p>
        </w:tc>
        <w:tc>
          <w:tcPr>
            <w:tcW w:w="5111" w:type="dxa"/>
            <w:gridSpan w:val="2"/>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2．制定项目管理办法得1分；</w:t>
            </w:r>
          </w:p>
        </w:tc>
        <w:tc>
          <w:tcPr>
            <w:tcW w:w="811" w:type="dxa"/>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1</w:t>
            </w:r>
          </w:p>
        </w:tc>
        <w:tc>
          <w:tcPr>
            <w:tcW w:w="2336" w:type="dxa"/>
            <w:tcMar>
              <w:top w:w="15" w:type="dxa"/>
              <w:left w:w="15" w:type="dxa"/>
              <w:right w:w="15" w:type="dxa"/>
            </w:tcMar>
            <w:vAlign w:val="center"/>
          </w:tcPr>
          <w:p w:rsidR="00A11CAA" w:rsidRPr="00A77153" w:rsidRDefault="006241F2" w:rsidP="00A77153">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《江门市旅游业发展扶持办法》（江府办〔2013〕17号）对项目管理进行了规定。</w:t>
            </w:r>
          </w:p>
        </w:tc>
      </w:tr>
      <w:tr w:rsidR="00A11CAA" w:rsidRPr="00A77153" w:rsidTr="00A77153">
        <w:tblPrEx>
          <w:tblCellMar>
            <w:left w:w="0" w:type="dxa"/>
            <w:right w:w="0" w:type="dxa"/>
          </w:tblCellMar>
        </w:tblPrEx>
        <w:trPr>
          <w:trHeight w:val="1144"/>
          <w:jc w:val="center"/>
        </w:trPr>
        <w:tc>
          <w:tcPr>
            <w:tcW w:w="1451" w:type="dxa"/>
            <w:vMerge/>
            <w:tcMar>
              <w:top w:w="15" w:type="dxa"/>
              <w:left w:w="15" w:type="dxa"/>
              <w:right w:w="15" w:type="dxa"/>
            </w:tcMar>
            <w:vAlign w:val="center"/>
          </w:tcPr>
          <w:p w:rsidR="00A11CAA" w:rsidRPr="00A77153" w:rsidRDefault="00A11CAA">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A11CAA" w:rsidRPr="00A77153" w:rsidRDefault="00A11CAA">
            <w:pPr>
              <w:autoSpaceDN w:val="0"/>
              <w:spacing w:line="440" w:lineRule="exact"/>
              <w:rPr>
                <w:rFonts w:ascii="仿宋_GB2312" w:eastAsia="仿宋_GB2312" w:hAnsi="仿宋" w:cs="仿宋_GB2312"/>
                <w:color w:val="000000"/>
                <w:sz w:val="24"/>
                <w:szCs w:val="24"/>
              </w:rPr>
            </w:pPr>
          </w:p>
        </w:tc>
        <w:tc>
          <w:tcPr>
            <w:tcW w:w="3135" w:type="dxa"/>
            <w:vMerge/>
            <w:tcMar>
              <w:top w:w="15" w:type="dxa"/>
              <w:left w:w="15" w:type="dxa"/>
              <w:right w:w="15" w:type="dxa"/>
            </w:tcMar>
            <w:vAlign w:val="center"/>
          </w:tcPr>
          <w:p w:rsidR="00A11CAA" w:rsidRPr="00A77153" w:rsidRDefault="00A11CAA">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709" w:type="dxa"/>
            <w:vMerge/>
            <w:tcMar>
              <w:top w:w="15" w:type="dxa"/>
              <w:left w:w="15" w:type="dxa"/>
              <w:right w:w="15" w:type="dxa"/>
            </w:tcMar>
            <w:vAlign w:val="center"/>
          </w:tcPr>
          <w:p w:rsidR="00A11CAA" w:rsidRPr="00A77153" w:rsidRDefault="00A11CAA">
            <w:pPr>
              <w:autoSpaceDN w:val="0"/>
              <w:spacing w:line="440" w:lineRule="exact"/>
              <w:jc w:val="left"/>
              <w:textAlignment w:val="center"/>
              <w:rPr>
                <w:rFonts w:ascii="仿宋_GB2312" w:eastAsia="仿宋_GB2312" w:hAnsi="仿宋" w:cs="仿宋_GB2312"/>
                <w:color w:val="000000"/>
                <w:sz w:val="24"/>
                <w:szCs w:val="24"/>
              </w:rPr>
            </w:pPr>
          </w:p>
        </w:tc>
        <w:tc>
          <w:tcPr>
            <w:tcW w:w="5111" w:type="dxa"/>
            <w:gridSpan w:val="2"/>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3．制定实施举措方案(</w:t>
            </w:r>
            <w:proofErr w:type="gramStart"/>
            <w:r w:rsidRPr="00A77153">
              <w:rPr>
                <w:rFonts w:ascii="仿宋_GB2312" w:eastAsia="仿宋_GB2312" w:hAnsi="仿宋" w:cs="仿宋_GB2312" w:hint="eastAsia"/>
                <w:color w:val="000000"/>
                <w:szCs w:val="24"/>
              </w:rPr>
              <w:t>需包括</w:t>
            </w:r>
            <w:proofErr w:type="gramEnd"/>
            <w:r w:rsidRPr="00A77153">
              <w:rPr>
                <w:rFonts w:ascii="仿宋_GB2312" w:eastAsia="仿宋_GB2312" w:hAnsi="仿宋" w:cs="仿宋_GB2312" w:hint="eastAsia"/>
                <w:color w:val="000000"/>
                <w:szCs w:val="24"/>
              </w:rPr>
              <w:t>完成项目本年度工作目标所采取的方法和手段、质量跟踪管理措施)得3分。</w:t>
            </w:r>
          </w:p>
        </w:tc>
        <w:tc>
          <w:tcPr>
            <w:tcW w:w="811" w:type="dxa"/>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0</w:t>
            </w:r>
          </w:p>
        </w:tc>
        <w:tc>
          <w:tcPr>
            <w:tcW w:w="2336" w:type="dxa"/>
            <w:tcMar>
              <w:top w:w="15" w:type="dxa"/>
              <w:left w:w="15" w:type="dxa"/>
              <w:right w:w="15" w:type="dxa"/>
            </w:tcMar>
            <w:vAlign w:val="center"/>
          </w:tcPr>
          <w:p w:rsidR="00A11CAA" w:rsidRPr="00A77153" w:rsidRDefault="00BC1721" w:rsidP="00A77153">
            <w:pPr>
              <w:autoSpaceDN w:val="0"/>
              <w:spacing w:beforeLines="20" w:before="62" w:afterLines="20" w:after="62"/>
              <w:jc w:val="left"/>
              <w:textAlignment w:val="center"/>
              <w:rPr>
                <w:rFonts w:ascii="仿宋_GB2312" w:eastAsia="仿宋_GB2312" w:hAnsi="仿宋" w:cs="仿宋_GB2312"/>
                <w:color w:val="000000"/>
                <w:szCs w:val="24"/>
              </w:rPr>
            </w:pPr>
            <w:r>
              <w:rPr>
                <w:rFonts w:ascii="仿宋_GB2312" w:eastAsia="仿宋_GB2312" w:hAnsi="仿宋" w:cs="仿宋_GB2312" w:hint="eastAsia"/>
                <w:color w:val="000000"/>
                <w:szCs w:val="24"/>
              </w:rPr>
              <w:t>未</w:t>
            </w:r>
            <w:r w:rsidR="006241F2" w:rsidRPr="00A77153">
              <w:rPr>
                <w:rFonts w:ascii="仿宋_GB2312" w:eastAsia="仿宋_GB2312" w:hAnsi="仿宋" w:cs="仿宋_GB2312" w:hint="eastAsia"/>
                <w:color w:val="000000"/>
                <w:szCs w:val="24"/>
              </w:rPr>
              <w:t>制定实施举措方案。</w:t>
            </w:r>
          </w:p>
        </w:tc>
      </w:tr>
      <w:tr w:rsidR="00A11CAA" w:rsidRPr="00A77153" w:rsidTr="00A77153">
        <w:tblPrEx>
          <w:tblCellMar>
            <w:left w:w="0" w:type="dxa"/>
            <w:right w:w="0" w:type="dxa"/>
          </w:tblCellMar>
        </w:tblPrEx>
        <w:trPr>
          <w:trHeight w:val="2077"/>
          <w:jc w:val="center"/>
        </w:trPr>
        <w:tc>
          <w:tcPr>
            <w:tcW w:w="1451" w:type="dxa"/>
            <w:vMerge w:val="restart"/>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b/>
                <w:bCs/>
                <w:color w:val="000000"/>
                <w:sz w:val="24"/>
                <w:szCs w:val="24"/>
              </w:rPr>
            </w:pPr>
            <w:r w:rsidRPr="00A77153">
              <w:rPr>
                <w:rFonts w:ascii="仿宋_GB2312" w:eastAsia="仿宋_GB2312" w:hAnsi="仿宋" w:cs="仿宋_GB2312" w:hint="eastAsia"/>
                <w:b/>
                <w:bCs/>
                <w:color w:val="000000"/>
                <w:sz w:val="24"/>
                <w:szCs w:val="24"/>
              </w:rPr>
              <w:t>项目绩效</w:t>
            </w:r>
            <w:r w:rsidRPr="00A77153">
              <w:rPr>
                <w:rFonts w:ascii="仿宋_GB2312" w:eastAsia="仿宋_GB2312" w:hAnsi="仿宋" w:cs="仿宋_GB2312" w:hint="eastAsia"/>
                <w:b/>
                <w:bCs/>
                <w:color w:val="000000"/>
                <w:sz w:val="24"/>
                <w:szCs w:val="24"/>
              </w:rPr>
              <w:br/>
              <w:t>目标设置</w:t>
            </w:r>
          </w:p>
        </w:tc>
        <w:tc>
          <w:tcPr>
            <w:tcW w:w="621" w:type="dxa"/>
            <w:vMerge w:val="restart"/>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20</w:t>
            </w:r>
          </w:p>
        </w:tc>
        <w:tc>
          <w:tcPr>
            <w:tcW w:w="3135" w:type="dxa"/>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绩效目标设定明确</w:t>
            </w:r>
          </w:p>
        </w:tc>
        <w:tc>
          <w:tcPr>
            <w:tcW w:w="709" w:type="dxa"/>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10</w:t>
            </w:r>
          </w:p>
        </w:tc>
        <w:tc>
          <w:tcPr>
            <w:tcW w:w="5111" w:type="dxa"/>
            <w:gridSpan w:val="2"/>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1．绩效目标细化、量化且与项目工作内容、实施计划相符得10分；</w:t>
            </w:r>
          </w:p>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2．绩效目标细化、量化，但与项目工作内容、实施计划相符程度一般得6分；</w:t>
            </w:r>
          </w:p>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3．绩效目标不明确且与项目工作内容、实施计划不相符得0分。</w:t>
            </w:r>
          </w:p>
        </w:tc>
        <w:tc>
          <w:tcPr>
            <w:tcW w:w="811" w:type="dxa"/>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6</w:t>
            </w:r>
          </w:p>
        </w:tc>
        <w:tc>
          <w:tcPr>
            <w:tcW w:w="2336" w:type="dxa"/>
            <w:tcMar>
              <w:top w:w="15" w:type="dxa"/>
              <w:left w:w="15" w:type="dxa"/>
              <w:right w:w="15" w:type="dxa"/>
            </w:tcMar>
            <w:vAlign w:val="center"/>
          </w:tcPr>
          <w:p w:rsidR="00A11CAA" w:rsidRPr="00A77153" w:rsidRDefault="006241F2" w:rsidP="00A77153">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《预算绩效申报表》中对项目绩效总目标和分季度的绩效目标进行了细化，但缺乏项目指标，与项目工作内容、实施计划相符程度一般。</w:t>
            </w:r>
          </w:p>
        </w:tc>
      </w:tr>
      <w:tr w:rsidR="00A11CAA" w:rsidRPr="00A77153" w:rsidTr="00A77153">
        <w:tblPrEx>
          <w:tblCellMar>
            <w:left w:w="0" w:type="dxa"/>
            <w:right w:w="0" w:type="dxa"/>
          </w:tblCellMar>
        </w:tblPrEx>
        <w:trPr>
          <w:trHeight w:val="1782"/>
          <w:jc w:val="center"/>
        </w:trPr>
        <w:tc>
          <w:tcPr>
            <w:tcW w:w="1451" w:type="dxa"/>
            <w:vMerge/>
            <w:tcMar>
              <w:top w:w="15" w:type="dxa"/>
              <w:left w:w="15" w:type="dxa"/>
              <w:right w:w="15" w:type="dxa"/>
            </w:tcMar>
            <w:vAlign w:val="center"/>
          </w:tcPr>
          <w:p w:rsidR="00A11CAA" w:rsidRPr="00A77153" w:rsidRDefault="00A11CAA">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A11CAA" w:rsidRPr="00A77153" w:rsidRDefault="00A11CAA">
            <w:pPr>
              <w:autoSpaceDN w:val="0"/>
              <w:spacing w:line="440" w:lineRule="exact"/>
              <w:rPr>
                <w:rFonts w:ascii="仿宋_GB2312" w:eastAsia="仿宋_GB2312" w:hAnsi="仿宋" w:cs="仿宋_GB2312"/>
                <w:color w:val="000000"/>
                <w:sz w:val="24"/>
                <w:szCs w:val="24"/>
              </w:rPr>
            </w:pPr>
          </w:p>
        </w:tc>
        <w:tc>
          <w:tcPr>
            <w:tcW w:w="3135" w:type="dxa"/>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项目产生的综合效益</w:t>
            </w:r>
          </w:p>
        </w:tc>
        <w:tc>
          <w:tcPr>
            <w:tcW w:w="709" w:type="dxa"/>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10</w:t>
            </w:r>
          </w:p>
        </w:tc>
        <w:tc>
          <w:tcPr>
            <w:tcW w:w="5111" w:type="dxa"/>
            <w:gridSpan w:val="2"/>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1．详细说明并有细化量化的项目预期社会或经济效益的得10分；</w:t>
            </w:r>
          </w:p>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2．有项目实施预期社会或经济效益指标，但指标值不明确的，最高得6分；</w:t>
            </w:r>
          </w:p>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3．未说明和细化量化的得0分。</w:t>
            </w:r>
          </w:p>
        </w:tc>
        <w:tc>
          <w:tcPr>
            <w:tcW w:w="811" w:type="dxa"/>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10</w:t>
            </w:r>
          </w:p>
        </w:tc>
        <w:tc>
          <w:tcPr>
            <w:tcW w:w="2336" w:type="dxa"/>
            <w:tcMar>
              <w:top w:w="15" w:type="dxa"/>
              <w:left w:w="15" w:type="dxa"/>
              <w:right w:w="15" w:type="dxa"/>
            </w:tcMar>
            <w:vAlign w:val="center"/>
          </w:tcPr>
          <w:p w:rsidR="00A11CAA" w:rsidRPr="00A77153" w:rsidRDefault="006241F2" w:rsidP="00A77153">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根据《预算绩效申报表》，项目社会效益、经济效益、生态效益有明确的指标并进行了一定的量化。</w:t>
            </w:r>
          </w:p>
        </w:tc>
      </w:tr>
      <w:tr w:rsidR="00A11CAA" w:rsidRPr="00A77153" w:rsidTr="00A77153">
        <w:tblPrEx>
          <w:tblCellMar>
            <w:left w:w="0" w:type="dxa"/>
            <w:right w:w="0" w:type="dxa"/>
          </w:tblCellMar>
        </w:tblPrEx>
        <w:trPr>
          <w:trHeight w:val="1358"/>
          <w:jc w:val="center"/>
        </w:trPr>
        <w:tc>
          <w:tcPr>
            <w:tcW w:w="1451" w:type="dxa"/>
            <w:vMerge w:val="restart"/>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b/>
                <w:bCs/>
                <w:color w:val="000000"/>
                <w:sz w:val="24"/>
                <w:szCs w:val="24"/>
              </w:rPr>
            </w:pPr>
            <w:r w:rsidRPr="00A77153">
              <w:rPr>
                <w:rFonts w:ascii="仿宋_GB2312" w:eastAsia="仿宋_GB2312" w:hAnsi="仿宋" w:cs="仿宋_GB2312" w:hint="eastAsia"/>
                <w:b/>
                <w:bCs/>
                <w:color w:val="000000"/>
                <w:sz w:val="24"/>
                <w:szCs w:val="24"/>
              </w:rPr>
              <w:lastRenderedPageBreak/>
              <w:t>申报材料</w:t>
            </w:r>
            <w:r w:rsidRPr="00A77153">
              <w:rPr>
                <w:rFonts w:ascii="仿宋_GB2312" w:eastAsia="仿宋_GB2312" w:hAnsi="仿宋" w:cs="仿宋_GB2312" w:hint="eastAsia"/>
                <w:b/>
                <w:bCs/>
                <w:color w:val="000000"/>
                <w:sz w:val="24"/>
                <w:szCs w:val="24"/>
              </w:rPr>
              <w:br/>
              <w:t>及表现</w:t>
            </w:r>
          </w:p>
        </w:tc>
        <w:tc>
          <w:tcPr>
            <w:tcW w:w="621" w:type="dxa"/>
            <w:vMerge w:val="restart"/>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10</w:t>
            </w:r>
          </w:p>
        </w:tc>
        <w:tc>
          <w:tcPr>
            <w:tcW w:w="3135" w:type="dxa"/>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申报材料的质量</w:t>
            </w:r>
          </w:p>
        </w:tc>
        <w:tc>
          <w:tcPr>
            <w:tcW w:w="709" w:type="dxa"/>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5</w:t>
            </w:r>
          </w:p>
        </w:tc>
        <w:tc>
          <w:tcPr>
            <w:tcW w:w="5111" w:type="dxa"/>
            <w:gridSpan w:val="2"/>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1．资料齐全、编写规范得5分；</w:t>
            </w:r>
          </w:p>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2．缺任何一份资料且不按要求补充完整，最高得3分；</w:t>
            </w:r>
          </w:p>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3．资料不全且不按要求及时补充完整得0分。</w:t>
            </w:r>
          </w:p>
        </w:tc>
        <w:tc>
          <w:tcPr>
            <w:tcW w:w="811" w:type="dxa"/>
            <w:vAlign w:val="center"/>
          </w:tcPr>
          <w:p w:rsidR="00A11CAA" w:rsidRPr="00A77153" w:rsidRDefault="008549E3">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t>4</w:t>
            </w:r>
          </w:p>
        </w:tc>
        <w:tc>
          <w:tcPr>
            <w:tcW w:w="2336" w:type="dxa"/>
            <w:tcMar>
              <w:top w:w="15" w:type="dxa"/>
              <w:left w:w="15" w:type="dxa"/>
              <w:right w:w="15" w:type="dxa"/>
            </w:tcMar>
            <w:vAlign w:val="center"/>
          </w:tcPr>
          <w:p w:rsidR="00A11CAA" w:rsidRPr="00A77153" w:rsidRDefault="008549E3" w:rsidP="00A77153">
            <w:pPr>
              <w:autoSpaceDN w:val="0"/>
              <w:spacing w:beforeLines="20" w:before="62" w:afterLines="20" w:after="62"/>
              <w:jc w:val="left"/>
              <w:textAlignment w:val="center"/>
              <w:rPr>
                <w:rFonts w:ascii="仿宋_GB2312" w:eastAsia="仿宋_GB2312" w:hAnsi="仿宋" w:cs="仿宋_GB2312"/>
                <w:color w:val="000000"/>
                <w:szCs w:val="24"/>
              </w:rPr>
            </w:pPr>
            <w:r>
              <w:rPr>
                <w:rFonts w:ascii="仿宋_GB2312" w:eastAsia="仿宋_GB2312" w:hAnsi="仿宋" w:cs="仿宋_GB2312" w:hint="eastAsia"/>
                <w:color w:val="000000"/>
                <w:szCs w:val="24"/>
              </w:rPr>
              <w:t>资料较为齐全，但资金测算依据尚有说明不足。</w:t>
            </w:r>
          </w:p>
        </w:tc>
      </w:tr>
      <w:tr w:rsidR="00A11CAA" w:rsidRPr="00A77153" w:rsidTr="00A77153">
        <w:tblPrEx>
          <w:tblCellMar>
            <w:left w:w="0" w:type="dxa"/>
            <w:right w:w="0" w:type="dxa"/>
          </w:tblCellMar>
        </w:tblPrEx>
        <w:trPr>
          <w:trHeight w:val="1305"/>
          <w:jc w:val="center"/>
        </w:trPr>
        <w:tc>
          <w:tcPr>
            <w:tcW w:w="1451" w:type="dxa"/>
            <w:vMerge/>
            <w:tcMar>
              <w:top w:w="15" w:type="dxa"/>
              <w:left w:w="15" w:type="dxa"/>
              <w:right w:w="15" w:type="dxa"/>
            </w:tcMar>
            <w:vAlign w:val="center"/>
          </w:tcPr>
          <w:p w:rsidR="00A11CAA" w:rsidRPr="00A77153" w:rsidRDefault="00A11CAA">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A11CAA" w:rsidRPr="00A77153" w:rsidRDefault="00A11CAA">
            <w:pPr>
              <w:autoSpaceDN w:val="0"/>
              <w:spacing w:line="440" w:lineRule="exact"/>
              <w:rPr>
                <w:rFonts w:ascii="仿宋_GB2312" w:eastAsia="仿宋_GB2312" w:hAnsi="仿宋" w:cs="仿宋_GB2312"/>
                <w:color w:val="000000"/>
                <w:sz w:val="24"/>
                <w:szCs w:val="24"/>
              </w:rPr>
            </w:pPr>
          </w:p>
        </w:tc>
        <w:tc>
          <w:tcPr>
            <w:tcW w:w="3135" w:type="dxa"/>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现场项目：</w:t>
            </w:r>
          </w:p>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申报单位现场查看或面谈会的表现</w:t>
            </w:r>
          </w:p>
        </w:tc>
        <w:tc>
          <w:tcPr>
            <w:tcW w:w="709" w:type="dxa"/>
            <w:vMerge w:val="restart"/>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5</w:t>
            </w:r>
          </w:p>
        </w:tc>
        <w:tc>
          <w:tcPr>
            <w:tcW w:w="5111" w:type="dxa"/>
            <w:gridSpan w:val="2"/>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1．现场应答简明有依据得5分；</w:t>
            </w:r>
          </w:p>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2．现场应答简明但依据不足，最高得3分；</w:t>
            </w:r>
          </w:p>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3．现场应答不对题得0分。</w:t>
            </w:r>
          </w:p>
        </w:tc>
        <w:tc>
          <w:tcPr>
            <w:tcW w:w="811" w:type="dxa"/>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w:t>
            </w:r>
          </w:p>
        </w:tc>
        <w:tc>
          <w:tcPr>
            <w:tcW w:w="2336" w:type="dxa"/>
            <w:vMerge w:val="restart"/>
            <w:tcMar>
              <w:top w:w="15" w:type="dxa"/>
              <w:left w:w="15" w:type="dxa"/>
              <w:right w:w="15" w:type="dxa"/>
            </w:tcMar>
            <w:vAlign w:val="center"/>
          </w:tcPr>
          <w:p w:rsidR="00A11CAA" w:rsidRPr="00A77153" w:rsidRDefault="000724D7" w:rsidP="00A77153">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时效性高、配合度好</w:t>
            </w:r>
            <w:r w:rsidR="008549E3">
              <w:rPr>
                <w:rFonts w:ascii="仿宋_GB2312" w:eastAsia="仿宋_GB2312" w:hAnsi="仿宋" w:cs="仿宋_GB2312" w:hint="eastAsia"/>
                <w:color w:val="000000"/>
                <w:szCs w:val="24"/>
              </w:rPr>
              <w:t>。</w:t>
            </w:r>
          </w:p>
        </w:tc>
      </w:tr>
      <w:tr w:rsidR="00A11CAA" w:rsidRPr="00A77153" w:rsidTr="00A77153">
        <w:tblPrEx>
          <w:tblCellMar>
            <w:left w:w="0" w:type="dxa"/>
            <w:right w:w="0" w:type="dxa"/>
          </w:tblCellMar>
        </w:tblPrEx>
        <w:trPr>
          <w:trHeight w:val="450"/>
          <w:jc w:val="center"/>
        </w:trPr>
        <w:tc>
          <w:tcPr>
            <w:tcW w:w="1451" w:type="dxa"/>
            <w:vMerge/>
            <w:tcMar>
              <w:top w:w="15" w:type="dxa"/>
              <w:left w:w="15" w:type="dxa"/>
              <w:right w:w="15" w:type="dxa"/>
            </w:tcMar>
            <w:vAlign w:val="center"/>
          </w:tcPr>
          <w:p w:rsidR="00A11CAA" w:rsidRPr="00A77153" w:rsidRDefault="00A11CAA">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A11CAA" w:rsidRPr="00A77153" w:rsidRDefault="00A11CAA">
            <w:pPr>
              <w:autoSpaceDN w:val="0"/>
              <w:spacing w:line="440" w:lineRule="exact"/>
              <w:rPr>
                <w:rFonts w:ascii="仿宋_GB2312" w:eastAsia="仿宋_GB2312" w:hAnsi="仿宋" w:cs="仿宋_GB2312"/>
                <w:color w:val="000000"/>
                <w:sz w:val="24"/>
                <w:szCs w:val="24"/>
              </w:rPr>
            </w:pPr>
          </w:p>
        </w:tc>
        <w:tc>
          <w:tcPr>
            <w:tcW w:w="3135" w:type="dxa"/>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非现场项目：</w:t>
            </w:r>
          </w:p>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申报材料的时效性、配合度</w:t>
            </w:r>
          </w:p>
        </w:tc>
        <w:tc>
          <w:tcPr>
            <w:tcW w:w="709" w:type="dxa"/>
            <w:vMerge/>
            <w:tcMar>
              <w:top w:w="15" w:type="dxa"/>
              <w:left w:w="15" w:type="dxa"/>
              <w:right w:w="15" w:type="dxa"/>
            </w:tcMar>
            <w:vAlign w:val="center"/>
          </w:tcPr>
          <w:p w:rsidR="00A11CAA" w:rsidRPr="00A77153" w:rsidRDefault="00A11CAA">
            <w:pPr>
              <w:autoSpaceDN w:val="0"/>
              <w:spacing w:line="440" w:lineRule="exact"/>
              <w:jc w:val="center"/>
              <w:textAlignment w:val="center"/>
              <w:rPr>
                <w:rFonts w:ascii="仿宋_GB2312" w:eastAsia="仿宋_GB2312" w:hAnsi="仿宋" w:cs="仿宋_GB2312"/>
                <w:color w:val="000000"/>
                <w:sz w:val="24"/>
                <w:szCs w:val="24"/>
              </w:rPr>
            </w:pPr>
          </w:p>
        </w:tc>
        <w:tc>
          <w:tcPr>
            <w:tcW w:w="5111" w:type="dxa"/>
            <w:gridSpan w:val="2"/>
            <w:tcMar>
              <w:top w:w="15" w:type="dxa"/>
              <w:left w:w="15" w:type="dxa"/>
              <w:right w:w="15" w:type="dxa"/>
            </w:tcMar>
            <w:vAlign w:val="center"/>
          </w:tcPr>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1．时效性高、配合度好得5分；</w:t>
            </w:r>
          </w:p>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2．时效性一般、配合度一般，最高得3分；</w:t>
            </w:r>
          </w:p>
          <w:p w:rsidR="00A11CAA" w:rsidRPr="00A77153" w:rsidRDefault="006241F2">
            <w:pPr>
              <w:autoSpaceDN w:val="0"/>
              <w:spacing w:beforeLines="20" w:before="62" w:afterLines="20" w:after="62"/>
              <w:jc w:val="left"/>
              <w:textAlignment w:val="center"/>
              <w:rPr>
                <w:rFonts w:ascii="仿宋_GB2312" w:eastAsia="仿宋_GB2312" w:hAnsi="仿宋" w:cs="仿宋_GB2312"/>
                <w:color w:val="000000"/>
                <w:szCs w:val="24"/>
              </w:rPr>
            </w:pPr>
            <w:r w:rsidRPr="00A77153">
              <w:rPr>
                <w:rFonts w:ascii="仿宋_GB2312" w:eastAsia="仿宋_GB2312" w:hAnsi="仿宋" w:cs="仿宋_GB2312" w:hint="eastAsia"/>
                <w:color w:val="000000"/>
                <w:szCs w:val="24"/>
              </w:rPr>
              <w:t>3．时效性低、配合度差得0分。</w:t>
            </w:r>
          </w:p>
        </w:tc>
        <w:tc>
          <w:tcPr>
            <w:tcW w:w="811" w:type="dxa"/>
            <w:vAlign w:val="center"/>
          </w:tcPr>
          <w:p w:rsidR="00A11CAA" w:rsidRPr="00A77153" w:rsidRDefault="006241F2">
            <w:pPr>
              <w:autoSpaceDN w:val="0"/>
              <w:spacing w:line="440" w:lineRule="exact"/>
              <w:jc w:val="center"/>
              <w:textAlignment w:val="center"/>
              <w:rPr>
                <w:rFonts w:ascii="仿宋_GB2312" w:eastAsia="仿宋_GB2312" w:hAnsi="仿宋" w:cs="仿宋_GB2312"/>
                <w:color w:val="000000"/>
                <w:sz w:val="24"/>
                <w:szCs w:val="24"/>
              </w:rPr>
            </w:pPr>
            <w:r w:rsidRPr="00A77153">
              <w:rPr>
                <w:rFonts w:ascii="仿宋_GB2312" w:eastAsia="仿宋_GB2312" w:hAnsi="仿宋" w:cs="仿宋_GB2312" w:hint="eastAsia"/>
                <w:color w:val="000000"/>
                <w:sz w:val="24"/>
                <w:szCs w:val="24"/>
              </w:rPr>
              <w:t>5</w:t>
            </w:r>
          </w:p>
        </w:tc>
        <w:tc>
          <w:tcPr>
            <w:tcW w:w="2336" w:type="dxa"/>
            <w:vMerge/>
            <w:tcMar>
              <w:top w:w="15" w:type="dxa"/>
              <w:left w:w="15" w:type="dxa"/>
              <w:right w:w="15" w:type="dxa"/>
            </w:tcMar>
            <w:vAlign w:val="center"/>
          </w:tcPr>
          <w:p w:rsidR="00A11CAA" w:rsidRPr="00A77153" w:rsidRDefault="00A11CAA">
            <w:pPr>
              <w:autoSpaceDN w:val="0"/>
              <w:spacing w:line="440" w:lineRule="exact"/>
              <w:jc w:val="center"/>
              <w:textAlignment w:val="center"/>
              <w:rPr>
                <w:rFonts w:ascii="仿宋_GB2312" w:eastAsia="仿宋_GB2312" w:hAnsi="仿宋" w:cs="仿宋_GB2312"/>
                <w:color w:val="000000"/>
                <w:sz w:val="24"/>
                <w:szCs w:val="24"/>
              </w:rPr>
            </w:pPr>
          </w:p>
        </w:tc>
      </w:tr>
      <w:tr w:rsidR="00A11CAA" w:rsidRPr="00A77153" w:rsidTr="00A77153">
        <w:tblPrEx>
          <w:tblCellMar>
            <w:left w:w="0" w:type="dxa"/>
            <w:right w:w="0" w:type="dxa"/>
          </w:tblCellMar>
        </w:tblPrEx>
        <w:trPr>
          <w:trHeight w:val="212"/>
          <w:jc w:val="center"/>
        </w:trPr>
        <w:tc>
          <w:tcPr>
            <w:tcW w:w="1451" w:type="dxa"/>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b/>
                <w:bCs/>
                <w:color w:val="000000"/>
                <w:sz w:val="24"/>
                <w:szCs w:val="24"/>
              </w:rPr>
            </w:pPr>
            <w:r w:rsidRPr="00A77153">
              <w:rPr>
                <w:rFonts w:ascii="仿宋_GB2312" w:eastAsia="仿宋_GB2312" w:hAnsi="仿宋" w:cs="仿宋_GB2312" w:hint="eastAsia"/>
                <w:b/>
                <w:bCs/>
                <w:color w:val="000000"/>
                <w:sz w:val="24"/>
                <w:szCs w:val="24"/>
              </w:rPr>
              <w:t>合计</w:t>
            </w:r>
          </w:p>
        </w:tc>
        <w:tc>
          <w:tcPr>
            <w:tcW w:w="621" w:type="dxa"/>
            <w:tcMar>
              <w:top w:w="15" w:type="dxa"/>
              <w:left w:w="15" w:type="dxa"/>
              <w:right w:w="15" w:type="dxa"/>
            </w:tcMar>
            <w:vAlign w:val="center"/>
          </w:tcPr>
          <w:p w:rsidR="00A11CAA" w:rsidRPr="00A77153" w:rsidRDefault="006241F2">
            <w:pPr>
              <w:autoSpaceDN w:val="0"/>
              <w:spacing w:line="440" w:lineRule="exact"/>
              <w:jc w:val="center"/>
              <w:textAlignment w:val="center"/>
              <w:rPr>
                <w:rFonts w:ascii="仿宋_GB2312" w:eastAsia="仿宋_GB2312" w:hAnsi="仿宋" w:cs="仿宋_GB2312"/>
                <w:b/>
                <w:bCs/>
                <w:color w:val="000000"/>
                <w:sz w:val="24"/>
                <w:szCs w:val="24"/>
              </w:rPr>
            </w:pPr>
            <w:r w:rsidRPr="00A77153">
              <w:rPr>
                <w:rFonts w:ascii="仿宋_GB2312" w:eastAsia="仿宋_GB2312" w:hAnsi="仿宋" w:cs="仿宋_GB2312" w:hint="eastAsia"/>
                <w:b/>
                <w:bCs/>
                <w:color w:val="000000"/>
                <w:sz w:val="24"/>
                <w:szCs w:val="24"/>
              </w:rPr>
              <w:t>100</w:t>
            </w:r>
          </w:p>
        </w:tc>
        <w:tc>
          <w:tcPr>
            <w:tcW w:w="3135" w:type="dxa"/>
            <w:tcMar>
              <w:top w:w="15" w:type="dxa"/>
              <w:left w:w="15" w:type="dxa"/>
              <w:right w:w="15" w:type="dxa"/>
            </w:tcMar>
            <w:vAlign w:val="center"/>
          </w:tcPr>
          <w:p w:rsidR="00A11CAA" w:rsidRPr="00A77153" w:rsidRDefault="00A11CAA">
            <w:pPr>
              <w:autoSpaceDN w:val="0"/>
              <w:spacing w:line="440" w:lineRule="exact"/>
              <w:jc w:val="left"/>
              <w:textAlignment w:val="center"/>
              <w:rPr>
                <w:rFonts w:ascii="仿宋_GB2312" w:eastAsia="仿宋_GB2312" w:hAnsi="仿宋" w:cs="仿宋_GB2312"/>
                <w:b/>
                <w:bCs/>
                <w:color w:val="000000"/>
                <w:sz w:val="24"/>
                <w:szCs w:val="24"/>
              </w:rPr>
            </w:pPr>
          </w:p>
        </w:tc>
        <w:tc>
          <w:tcPr>
            <w:tcW w:w="709" w:type="dxa"/>
            <w:vAlign w:val="center"/>
          </w:tcPr>
          <w:p w:rsidR="00A11CAA" w:rsidRPr="00A77153" w:rsidRDefault="006241F2">
            <w:pPr>
              <w:autoSpaceDN w:val="0"/>
              <w:spacing w:line="440" w:lineRule="exact"/>
              <w:jc w:val="center"/>
              <w:textAlignment w:val="center"/>
              <w:rPr>
                <w:rFonts w:ascii="仿宋_GB2312" w:eastAsia="仿宋_GB2312" w:hAnsi="仿宋" w:cs="仿宋_GB2312"/>
                <w:b/>
                <w:bCs/>
                <w:color w:val="000000"/>
                <w:sz w:val="24"/>
                <w:szCs w:val="24"/>
              </w:rPr>
            </w:pPr>
            <w:r w:rsidRPr="00A77153">
              <w:rPr>
                <w:rFonts w:ascii="仿宋_GB2312" w:eastAsia="仿宋_GB2312" w:hAnsi="仿宋" w:cs="仿宋_GB2312" w:hint="eastAsia"/>
                <w:b/>
                <w:bCs/>
                <w:color w:val="000000"/>
                <w:sz w:val="24"/>
                <w:szCs w:val="24"/>
              </w:rPr>
              <w:t>100</w:t>
            </w:r>
          </w:p>
        </w:tc>
        <w:tc>
          <w:tcPr>
            <w:tcW w:w="5111" w:type="dxa"/>
            <w:gridSpan w:val="2"/>
            <w:vAlign w:val="center"/>
          </w:tcPr>
          <w:p w:rsidR="00A11CAA" w:rsidRPr="00A77153" w:rsidRDefault="00A11CAA">
            <w:pPr>
              <w:autoSpaceDN w:val="0"/>
              <w:spacing w:line="440" w:lineRule="exact"/>
              <w:jc w:val="left"/>
              <w:textAlignment w:val="center"/>
              <w:rPr>
                <w:rFonts w:ascii="仿宋_GB2312" w:eastAsia="仿宋_GB2312" w:hAnsi="仿宋" w:cs="仿宋_GB2312"/>
                <w:b/>
                <w:bCs/>
                <w:color w:val="000000"/>
                <w:sz w:val="24"/>
                <w:szCs w:val="24"/>
              </w:rPr>
            </w:pPr>
          </w:p>
        </w:tc>
        <w:tc>
          <w:tcPr>
            <w:tcW w:w="811" w:type="dxa"/>
            <w:vAlign w:val="center"/>
          </w:tcPr>
          <w:p w:rsidR="00A11CAA" w:rsidRPr="00A77153" w:rsidRDefault="006241F2" w:rsidP="008549E3">
            <w:pPr>
              <w:autoSpaceDN w:val="0"/>
              <w:spacing w:line="440" w:lineRule="exact"/>
              <w:jc w:val="center"/>
              <w:textAlignment w:val="center"/>
              <w:rPr>
                <w:rFonts w:ascii="仿宋_GB2312" w:eastAsia="仿宋_GB2312" w:hAnsi="仿宋" w:cs="仿宋_GB2312"/>
                <w:b/>
                <w:bCs/>
                <w:color w:val="000000"/>
                <w:sz w:val="24"/>
                <w:szCs w:val="24"/>
              </w:rPr>
            </w:pPr>
            <w:r w:rsidRPr="00A77153">
              <w:rPr>
                <w:rFonts w:ascii="仿宋_GB2312" w:eastAsia="仿宋_GB2312" w:hAnsi="仿宋" w:cs="仿宋_GB2312" w:hint="eastAsia"/>
                <w:b/>
                <w:bCs/>
                <w:color w:val="000000"/>
                <w:sz w:val="24"/>
                <w:szCs w:val="24"/>
              </w:rPr>
              <w:t>8</w:t>
            </w:r>
            <w:r w:rsidR="008549E3">
              <w:rPr>
                <w:rFonts w:ascii="仿宋_GB2312" w:eastAsia="仿宋_GB2312" w:hAnsi="仿宋" w:cs="仿宋_GB2312" w:hint="eastAsia"/>
                <w:b/>
                <w:bCs/>
                <w:color w:val="000000"/>
                <w:sz w:val="24"/>
                <w:szCs w:val="24"/>
              </w:rPr>
              <w:t>2</w:t>
            </w:r>
          </w:p>
        </w:tc>
        <w:tc>
          <w:tcPr>
            <w:tcW w:w="2336" w:type="dxa"/>
            <w:vAlign w:val="center"/>
          </w:tcPr>
          <w:p w:rsidR="00A11CAA" w:rsidRPr="00A77153" w:rsidRDefault="00A11CAA">
            <w:pPr>
              <w:autoSpaceDN w:val="0"/>
              <w:spacing w:line="440" w:lineRule="exact"/>
              <w:jc w:val="center"/>
              <w:textAlignment w:val="center"/>
              <w:rPr>
                <w:rFonts w:ascii="仿宋_GB2312" w:eastAsia="仿宋_GB2312" w:hAnsi="仿宋" w:cs="仿宋_GB2312"/>
                <w:b/>
                <w:bCs/>
                <w:color w:val="000000"/>
                <w:sz w:val="24"/>
                <w:szCs w:val="24"/>
              </w:rPr>
            </w:pPr>
          </w:p>
        </w:tc>
      </w:tr>
      <w:tr w:rsidR="00A11CAA" w:rsidRPr="00A77153" w:rsidTr="00A77153">
        <w:tblPrEx>
          <w:tblCellMar>
            <w:left w:w="0" w:type="dxa"/>
            <w:right w:w="0" w:type="dxa"/>
          </w:tblCellMar>
        </w:tblPrEx>
        <w:trPr>
          <w:trHeight w:val="212"/>
          <w:jc w:val="center"/>
        </w:trPr>
        <w:tc>
          <w:tcPr>
            <w:tcW w:w="1451" w:type="dxa"/>
            <w:tcMar>
              <w:top w:w="15" w:type="dxa"/>
              <w:left w:w="15" w:type="dxa"/>
              <w:right w:w="15" w:type="dxa"/>
            </w:tcMar>
            <w:vAlign w:val="center"/>
          </w:tcPr>
          <w:p w:rsidR="00A11CAA" w:rsidRPr="00A77153" w:rsidRDefault="006241F2">
            <w:pPr>
              <w:spacing w:line="440" w:lineRule="exact"/>
              <w:jc w:val="center"/>
              <w:rPr>
                <w:rFonts w:ascii="仿宋_GB2312" w:eastAsia="仿宋_GB2312" w:hAnsi="仿宋" w:cs="仿宋_GB2312"/>
                <w:b/>
                <w:bCs/>
                <w:color w:val="000000"/>
                <w:sz w:val="24"/>
                <w:szCs w:val="24"/>
              </w:rPr>
            </w:pPr>
            <w:r w:rsidRPr="00A77153">
              <w:rPr>
                <w:rFonts w:ascii="仿宋_GB2312" w:eastAsia="仿宋_GB2312" w:hAnsi="仿宋" w:cs="仿宋_GB2312" w:hint="eastAsia"/>
                <w:b/>
                <w:bCs/>
                <w:color w:val="000000"/>
                <w:sz w:val="24"/>
                <w:szCs w:val="24"/>
              </w:rPr>
              <w:t>评审</w:t>
            </w:r>
          </w:p>
          <w:p w:rsidR="00A11CAA" w:rsidRPr="00A77153" w:rsidRDefault="006241F2">
            <w:pPr>
              <w:spacing w:line="440" w:lineRule="exact"/>
              <w:jc w:val="center"/>
              <w:rPr>
                <w:rFonts w:ascii="仿宋_GB2312" w:eastAsia="仿宋_GB2312" w:hAnsi="仿宋" w:cs="仿宋_GB2312"/>
                <w:b/>
                <w:bCs/>
                <w:color w:val="000000"/>
                <w:sz w:val="24"/>
                <w:szCs w:val="24"/>
              </w:rPr>
            </w:pPr>
            <w:r w:rsidRPr="00A77153">
              <w:rPr>
                <w:rFonts w:ascii="仿宋_GB2312" w:eastAsia="仿宋_GB2312" w:hAnsi="仿宋" w:cs="仿宋_GB2312" w:hint="eastAsia"/>
                <w:b/>
                <w:bCs/>
                <w:color w:val="000000"/>
                <w:sz w:val="24"/>
                <w:szCs w:val="24"/>
              </w:rPr>
              <w:t>等级</w:t>
            </w:r>
          </w:p>
        </w:tc>
        <w:tc>
          <w:tcPr>
            <w:tcW w:w="12723" w:type="dxa"/>
            <w:gridSpan w:val="7"/>
            <w:tcMar>
              <w:top w:w="15" w:type="dxa"/>
              <w:left w:w="15" w:type="dxa"/>
              <w:right w:w="15" w:type="dxa"/>
            </w:tcMar>
            <w:vAlign w:val="center"/>
          </w:tcPr>
          <w:p w:rsidR="00A11CAA" w:rsidRPr="00A77153" w:rsidRDefault="006241F2">
            <w:pPr>
              <w:autoSpaceDN w:val="0"/>
              <w:spacing w:line="440" w:lineRule="exact"/>
              <w:jc w:val="left"/>
              <w:textAlignment w:val="center"/>
              <w:rPr>
                <w:rFonts w:ascii="仿宋_GB2312" w:eastAsia="仿宋_GB2312" w:hAnsi="仿宋" w:cs="仿宋_GB2312"/>
                <w:b/>
                <w:bCs/>
                <w:color w:val="000000"/>
                <w:sz w:val="24"/>
                <w:szCs w:val="24"/>
              </w:rPr>
            </w:pPr>
            <w:r w:rsidRPr="00A77153">
              <w:rPr>
                <w:rFonts w:ascii="仿宋_GB2312" w:eastAsia="仿宋_GB2312" w:hAnsi="仿宋" w:cs="仿宋_GB2312" w:hint="eastAsia"/>
                <w:b/>
                <w:color w:val="000000"/>
                <w:sz w:val="24"/>
                <w:szCs w:val="24"/>
              </w:rPr>
              <w:t>90分以上为优，80-89分为良，70-79分为中，70分以下为低，60分以下不予立项。</w:t>
            </w:r>
          </w:p>
        </w:tc>
      </w:tr>
      <w:tr w:rsidR="00A11CAA" w:rsidRPr="00A77153" w:rsidTr="00A77153">
        <w:tblPrEx>
          <w:tblCellMar>
            <w:left w:w="0" w:type="dxa"/>
            <w:right w:w="0" w:type="dxa"/>
          </w:tblCellMar>
        </w:tblPrEx>
        <w:trPr>
          <w:trHeight w:val="2772"/>
          <w:jc w:val="center"/>
        </w:trPr>
        <w:tc>
          <w:tcPr>
            <w:tcW w:w="14174" w:type="dxa"/>
            <w:gridSpan w:val="8"/>
            <w:vAlign w:val="center"/>
          </w:tcPr>
          <w:p w:rsidR="00A11CAA" w:rsidRPr="00A77153" w:rsidRDefault="006241F2">
            <w:pPr>
              <w:autoSpaceDN w:val="0"/>
              <w:spacing w:beforeLines="50" w:before="156" w:afterLines="50" w:after="156" w:line="480" w:lineRule="auto"/>
              <w:jc w:val="left"/>
              <w:textAlignment w:val="center"/>
              <w:rPr>
                <w:rFonts w:ascii="仿宋_GB2312" w:eastAsia="仿宋_GB2312" w:hAnsi="仿宋_GB2312" w:cs="仿宋_GB2312"/>
                <w:b/>
                <w:bCs/>
                <w:sz w:val="24"/>
                <w:szCs w:val="24"/>
              </w:rPr>
            </w:pPr>
            <w:r w:rsidRPr="00A77153">
              <w:rPr>
                <w:rFonts w:ascii="仿宋_GB2312" w:eastAsia="仿宋_GB2312" w:hAnsi="仿宋_GB2312" w:cs="仿宋_GB2312" w:hint="eastAsia"/>
                <w:b/>
                <w:bCs/>
                <w:sz w:val="24"/>
                <w:szCs w:val="24"/>
              </w:rPr>
              <w:t>评审专家：</w:t>
            </w:r>
            <w:r w:rsidRPr="00A77153">
              <w:rPr>
                <w:rFonts w:ascii="仿宋_GB2312" w:eastAsia="仿宋_GB2312" w:hAnsi="仿宋_GB2312" w:cs="仿宋_GB2312" w:hint="eastAsia"/>
                <w:bCs/>
                <w:sz w:val="24"/>
                <w:szCs w:val="24"/>
              </w:rPr>
              <w:t>赵元笃</w:t>
            </w:r>
            <w:r w:rsidRPr="00A77153">
              <w:rPr>
                <w:rFonts w:ascii="仿宋_GB2312" w:eastAsia="仿宋_GB2312" w:hAnsi="仿宋_GB2312" w:cs="仿宋_GB2312" w:hint="eastAsia"/>
                <w:sz w:val="24"/>
                <w:szCs w:val="24"/>
              </w:rPr>
              <w:br/>
            </w:r>
            <w:r w:rsidRPr="00A77153">
              <w:rPr>
                <w:rFonts w:ascii="仿宋_GB2312" w:eastAsia="仿宋_GB2312" w:hAnsi="仿宋_GB2312" w:cs="仿宋_GB2312" w:hint="eastAsia"/>
                <w:b/>
                <w:bCs/>
                <w:sz w:val="24"/>
                <w:szCs w:val="24"/>
              </w:rPr>
              <w:t>广州市中大管理咨询有限公司</w:t>
            </w:r>
          </w:p>
          <w:p w:rsidR="00A11CAA" w:rsidRPr="00A77153" w:rsidRDefault="006241F2">
            <w:pPr>
              <w:autoSpaceDN w:val="0"/>
              <w:spacing w:beforeLines="50" w:before="156" w:afterLines="50" w:after="156" w:line="480" w:lineRule="auto"/>
              <w:jc w:val="left"/>
              <w:textAlignment w:val="center"/>
              <w:rPr>
                <w:rFonts w:ascii="仿宋_GB2312" w:eastAsia="仿宋_GB2312" w:hAnsi="仿宋_GB2312" w:cs="仿宋_GB2312"/>
                <w:color w:val="000000"/>
                <w:sz w:val="24"/>
                <w:szCs w:val="24"/>
              </w:rPr>
            </w:pPr>
            <w:r w:rsidRPr="00A77153">
              <w:rPr>
                <w:rFonts w:ascii="仿宋_GB2312" w:eastAsia="仿宋_GB2312" w:hAnsi="仿宋_GB2312" w:cs="仿宋_GB2312" w:hint="eastAsia"/>
                <w:b/>
                <w:bCs/>
                <w:sz w:val="24"/>
                <w:szCs w:val="24"/>
              </w:rPr>
              <w:t>评审日期：</w:t>
            </w:r>
            <w:r w:rsidRPr="00A77153">
              <w:rPr>
                <w:rFonts w:ascii="仿宋_GB2312" w:eastAsia="仿宋_GB2312" w:hAnsi="仿宋_GB2312" w:cs="仿宋_GB2312" w:hint="eastAsia"/>
                <w:sz w:val="24"/>
                <w:szCs w:val="24"/>
                <w:u w:val="single"/>
              </w:rPr>
              <w:t>_2017_年</w:t>
            </w:r>
            <w:r w:rsidR="00A77153">
              <w:rPr>
                <w:rFonts w:ascii="仿宋_GB2312" w:eastAsia="仿宋_GB2312" w:hAnsi="仿宋_GB2312" w:cs="仿宋_GB2312" w:hint="eastAsia"/>
                <w:sz w:val="24"/>
                <w:szCs w:val="24"/>
                <w:u w:val="single"/>
              </w:rPr>
              <w:t>_12_</w:t>
            </w:r>
            <w:r w:rsidRPr="00A77153">
              <w:rPr>
                <w:rFonts w:ascii="仿宋_GB2312" w:eastAsia="仿宋_GB2312" w:hAnsi="仿宋_GB2312" w:cs="仿宋_GB2312" w:hint="eastAsia"/>
                <w:sz w:val="24"/>
                <w:szCs w:val="24"/>
                <w:u w:val="single"/>
              </w:rPr>
              <w:t>月</w:t>
            </w:r>
            <w:r w:rsidR="00A77153">
              <w:rPr>
                <w:rFonts w:ascii="仿宋_GB2312" w:eastAsia="仿宋_GB2312" w:hAnsi="仿宋_GB2312" w:cs="仿宋_GB2312" w:hint="eastAsia"/>
                <w:sz w:val="24"/>
                <w:szCs w:val="24"/>
                <w:u w:val="single"/>
              </w:rPr>
              <w:t>_10</w:t>
            </w:r>
            <w:r w:rsidRPr="00A77153">
              <w:rPr>
                <w:rFonts w:ascii="仿宋_GB2312" w:eastAsia="仿宋_GB2312" w:hAnsi="仿宋_GB2312" w:cs="仿宋_GB2312" w:hint="eastAsia"/>
                <w:sz w:val="24"/>
                <w:szCs w:val="24"/>
                <w:u w:val="single"/>
              </w:rPr>
              <w:t>_日</w:t>
            </w:r>
          </w:p>
        </w:tc>
      </w:tr>
    </w:tbl>
    <w:p w:rsidR="00A11CAA" w:rsidRDefault="00A11CAA">
      <w:pPr>
        <w:widowControl/>
        <w:jc w:val="left"/>
        <w:outlineLvl w:val="1"/>
        <w:rPr>
          <w:rFonts w:ascii="仿宋" w:eastAsia="仿宋" w:hAnsi="仿宋" w:cs="仿宋"/>
          <w:b/>
          <w:color w:val="000000" w:themeColor="text1"/>
          <w:sz w:val="30"/>
          <w:szCs w:val="30"/>
        </w:rPr>
      </w:pPr>
    </w:p>
    <w:sectPr w:rsidR="00A11CAA">
      <w:footerReference w:type="default" r:id="rId9"/>
      <w:pgSz w:w="16838" w:h="11906" w:orient="landscape"/>
      <w:pgMar w:top="1800" w:right="1440" w:bottom="1800" w:left="144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6301" w:rsidRDefault="00D76301">
      <w:r>
        <w:separator/>
      </w:r>
    </w:p>
  </w:endnote>
  <w:endnote w:type="continuationSeparator" w:id="0">
    <w:p w:rsidR="00D76301" w:rsidRDefault="00D76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Malgun Gothic Semilight"/>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7312092"/>
      <w:docPartObj>
        <w:docPartGallery w:val="AutoText"/>
      </w:docPartObj>
    </w:sdtPr>
    <w:sdtEndPr/>
    <w:sdtContent>
      <w:p w:rsidR="00A11CAA" w:rsidRDefault="006241F2">
        <w:pPr>
          <w:pStyle w:val="a6"/>
          <w:jc w:val="center"/>
        </w:pPr>
        <w:r>
          <w:fldChar w:fldCharType="begin"/>
        </w:r>
        <w:r>
          <w:instrText>PAGE   \* MERGEFORMAT</w:instrText>
        </w:r>
        <w:r>
          <w:fldChar w:fldCharType="separate"/>
        </w:r>
        <w:r w:rsidR="0073737D" w:rsidRPr="0073737D">
          <w:rPr>
            <w:noProof/>
            <w:lang w:val="zh-CN"/>
          </w:rPr>
          <w:t>2</w:t>
        </w:r>
        <w:r>
          <w:fldChar w:fldCharType="end"/>
        </w:r>
      </w:p>
    </w:sdtContent>
  </w:sdt>
  <w:p w:rsidR="00A11CAA" w:rsidRDefault="00A11CA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6301" w:rsidRDefault="00D76301">
      <w:r>
        <w:separator/>
      </w:r>
    </w:p>
  </w:footnote>
  <w:footnote w:type="continuationSeparator" w:id="0">
    <w:p w:rsidR="00D76301" w:rsidRDefault="00D763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C0668"/>
    <w:rsid w:val="00000EEB"/>
    <w:rsid w:val="00010F5B"/>
    <w:rsid w:val="00011D2C"/>
    <w:rsid w:val="000134C6"/>
    <w:rsid w:val="00022843"/>
    <w:rsid w:val="000357A6"/>
    <w:rsid w:val="000408E7"/>
    <w:rsid w:val="00070C56"/>
    <w:rsid w:val="000724D7"/>
    <w:rsid w:val="00074677"/>
    <w:rsid w:val="00075B26"/>
    <w:rsid w:val="00090659"/>
    <w:rsid w:val="00097915"/>
    <w:rsid w:val="000A7AF6"/>
    <w:rsid w:val="000C2DDE"/>
    <w:rsid w:val="000C6B42"/>
    <w:rsid w:val="000D4B55"/>
    <w:rsid w:val="000F0AAB"/>
    <w:rsid w:val="000F712F"/>
    <w:rsid w:val="00104757"/>
    <w:rsid w:val="00122609"/>
    <w:rsid w:val="001328A1"/>
    <w:rsid w:val="00147ECD"/>
    <w:rsid w:val="00167078"/>
    <w:rsid w:val="00171A18"/>
    <w:rsid w:val="001720D7"/>
    <w:rsid w:val="001773BB"/>
    <w:rsid w:val="001A03BD"/>
    <w:rsid w:val="001A6A41"/>
    <w:rsid w:val="001D17B5"/>
    <w:rsid w:val="001D2E53"/>
    <w:rsid w:val="002232B8"/>
    <w:rsid w:val="00230683"/>
    <w:rsid w:val="00235A09"/>
    <w:rsid w:val="002542AF"/>
    <w:rsid w:val="002664A0"/>
    <w:rsid w:val="002A18E0"/>
    <w:rsid w:val="002A3196"/>
    <w:rsid w:val="002A71BE"/>
    <w:rsid w:val="002B0346"/>
    <w:rsid w:val="002B167C"/>
    <w:rsid w:val="002B3434"/>
    <w:rsid w:val="002E1AE0"/>
    <w:rsid w:val="002F4B50"/>
    <w:rsid w:val="003164FD"/>
    <w:rsid w:val="00330F73"/>
    <w:rsid w:val="003322FA"/>
    <w:rsid w:val="0034772C"/>
    <w:rsid w:val="00350AF6"/>
    <w:rsid w:val="00356DFF"/>
    <w:rsid w:val="003579D8"/>
    <w:rsid w:val="003626F1"/>
    <w:rsid w:val="003702DC"/>
    <w:rsid w:val="003818A2"/>
    <w:rsid w:val="00387894"/>
    <w:rsid w:val="0039379D"/>
    <w:rsid w:val="0039680C"/>
    <w:rsid w:val="003A2337"/>
    <w:rsid w:val="003A6580"/>
    <w:rsid w:val="003B2973"/>
    <w:rsid w:val="003C02F5"/>
    <w:rsid w:val="003C1C36"/>
    <w:rsid w:val="003C2EB5"/>
    <w:rsid w:val="003D0B2F"/>
    <w:rsid w:val="003D4548"/>
    <w:rsid w:val="003D5772"/>
    <w:rsid w:val="00401855"/>
    <w:rsid w:val="004037A4"/>
    <w:rsid w:val="004237E8"/>
    <w:rsid w:val="00425C43"/>
    <w:rsid w:val="0043405A"/>
    <w:rsid w:val="004412D6"/>
    <w:rsid w:val="0045562B"/>
    <w:rsid w:val="004814E4"/>
    <w:rsid w:val="00486234"/>
    <w:rsid w:val="00494ECD"/>
    <w:rsid w:val="004C5280"/>
    <w:rsid w:val="004C714B"/>
    <w:rsid w:val="004D3EED"/>
    <w:rsid w:val="004D6D9E"/>
    <w:rsid w:val="004E26AC"/>
    <w:rsid w:val="004F07B0"/>
    <w:rsid w:val="004F1464"/>
    <w:rsid w:val="004F1BC1"/>
    <w:rsid w:val="004F418E"/>
    <w:rsid w:val="00503AB1"/>
    <w:rsid w:val="00516DEC"/>
    <w:rsid w:val="00523BCD"/>
    <w:rsid w:val="00525D27"/>
    <w:rsid w:val="005263EF"/>
    <w:rsid w:val="0054103B"/>
    <w:rsid w:val="00544651"/>
    <w:rsid w:val="005516D0"/>
    <w:rsid w:val="00564EEA"/>
    <w:rsid w:val="005653D5"/>
    <w:rsid w:val="005717D2"/>
    <w:rsid w:val="005740FC"/>
    <w:rsid w:val="005915AA"/>
    <w:rsid w:val="00595C1B"/>
    <w:rsid w:val="005A641D"/>
    <w:rsid w:val="005B5DD7"/>
    <w:rsid w:val="005C73C2"/>
    <w:rsid w:val="005D3B3D"/>
    <w:rsid w:val="005E2E59"/>
    <w:rsid w:val="005F63C9"/>
    <w:rsid w:val="00606393"/>
    <w:rsid w:val="00607356"/>
    <w:rsid w:val="006241F2"/>
    <w:rsid w:val="0063129E"/>
    <w:rsid w:val="00633A2D"/>
    <w:rsid w:val="006513EA"/>
    <w:rsid w:val="0067283E"/>
    <w:rsid w:val="00672A26"/>
    <w:rsid w:val="006803ED"/>
    <w:rsid w:val="00683EA1"/>
    <w:rsid w:val="006C6CCD"/>
    <w:rsid w:val="006D064D"/>
    <w:rsid w:val="006D7D77"/>
    <w:rsid w:val="006E4003"/>
    <w:rsid w:val="006E455F"/>
    <w:rsid w:val="00704155"/>
    <w:rsid w:val="00710276"/>
    <w:rsid w:val="00714F89"/>
    <w:rsid w:val="007213B0"/>
    <w:rsid w:val="0073737D"/>
    <w:rsid w:val="00737E88"/>
    <w:rsid w:val="0076144F"/>
    <w:rsid w:val="00767308"/>
    <w:rsid w:val="007736CE"/>
    <w:rsid w:val="00775A60"/>
    <w:rsid w:val="007839C1"/>
    <w:rsid w:val="007947BA"/>
    <w:rsid w:val="007A20C3"/>
    <w:rsid w:val="007A543F"/>
    <w:rsid w:val="007A7C39"/>
    <w:rsid w:val="007B54A0"/>
    <w:rsid w:val="007C49CD"/>
    <w:rsid w:val="007D48A1"/>
    <w:rsid w:val="007E7ECA"/>
    <w:rsid w:val="007F3AD1"/>
    <w:rsid w:val="007F5F24"/>
    <w:rsid w:val="008057D2"/>
    <w:rsid w:val="00833E28"/>
    <w:rsid w:val="00834E51"/>
    <w:rsid w:val="008549E3"/>
    <w:rsid w:val="00860BAF"/>
    <w:rsid w:val="00875F56"/>
    <w:rsid w:val="0088116C"/>
    <w:rsid w:val="00897025"/>
    <w:rsid w:val="008A6C7D"/>
    <w:rsid w:val="008B51FE"/>
    <w:rsid w:val="008B54D8"/>
    <w:rsid w:val="008C6C00"/>
    <w:rsid w:val="008D3AC2"/>
    <w:rsid w:val="008D797B"/>
    <w:rsid w:val="008E143C"/>
    <w:rsid w:val="009107F6"/>
    <w:rsid w:val="0091111D"/>
    <w:rsid w:val="00916BA8"/>
    <w:rsid w:val="00927814"/>
    <w:rsid w:val="009322ED"/>
    <w:rsid w:val="00933688"/>
    <w:rsid w:val="009431BD"/>
    <w:rsid w:val="00960DF9"/>
    <w:rsid w:val="00962F6F"/>
    <w:rsid w:val="009658C5"/>
    <w:rsid w:val="009A0D6D"/>
    <w:rsid w:val="009B5D1D"/>
    <w:rsid w:val="009B6451"/>
    <w:rsid w:val="009C1CCB"/>
    <w:rsid w:val="009C2CDF"/>
    <w:rsid w:val="009C6BD6"/>
    <w:rsid w:val="009D489B"/>
    <w:rsid w:val="009D6079"/>
    <w:rsid w:val="009D60A4"/>
    <w:rsid w:val="009D66F9"/>
    <w:rsid w:val="009E2A65"/>
    <w:rsid w:val="009E7A5C"/>
    <w:rsid w:val="009F3B90"/>
    <w:rsid w:val="00A02FA8"/>
    <w:rsid w:val="00A0327A"/>
    <w:rsid w:val="00A06466"/>
    <w:rsid w:val="00A11157"/>
    <w:rsid w:val="00A11CAA"/>
    <w:rsid w:val="00A1550A"/>
    <w:rsid w:val="00A22FDC"/>
    <w:rsid w:val="00A268A0"/>
    <w:rsid w:val="00A54A4A"/>
    <w:rsid w:val="00A73509"/>
    <w:rsid w:val="00A77153"/>
    <w:rsid w:val="00A87922"/>
    <w:rsid w:val="00A9024C"/>
    <w:rsid w:val="00A955CB"/>
    <w:rsid w:val="00A97663"/>
    <w:rsid w:val="00AA222B"/>
    <w:rsid w:val="00AA3777"/>
    <w:rsid w:val="00AC1BBE"/>
    <w:rsid w:val="00AC5426"/>
    <w:rsid w:val="00AC6418"/>
    <w:rsid w:val="00AD1D16"/>
    <w:rsid w:val="00AF61F4"/>
    <w:rsid w:val="00B071B2"/>
    <w:rsid w:val="00B17BF8"/>
    <w:rsid w:val="00B26A10"/>
    <w:rsid w:val="00B36A16"/>
    <w:rsid w:val="00B45DC1"/>
    <w:rsid w:val="00B77A9D"/>
    <w:rsid w:val="00B804A4"/>
    <w:rsid w:val="00B8052D"/>
    <w:rsid w:val="00B9032F"/>
    <w:rsid w:val="00B97E99"/>
    <w:rsid w:val="00BB388C"/>
    <w:rsid w:val="00BC1721"/>
    <w:rsid w:val="00BC48FF"/>
    <w:rsid w:val="00BD5B80"/>
    <w:rsid w:val="00BE68FA"/>
    <w:rsid w:val="00C02F24"/>
    <w:rsid w:val="00C03B25"/>
    <w:rsid w:val="00C16191"/>
    <w:rsid w:val="00C241C8"/>
    <w:rsid w:val="00C30A83"/>
    <w:rsid w:val="00C37ABA"/>
    <w:rsid w:val="00C466C0"/>
    <w:rsid w:val="00C51AAB"/>
    <w:rsid w:val="00C62F83"/>
    <w:rsid w:val="00C65DF1"/>
    <w:rsid w:val="00C7145B"/>
    <w:rsid w:val="00C76BDC"/>
    <w:rsid w:val="00C81178"/>
    <w:rsid w:val="00C86DE5"/>
    <w:rsid w:val="00C919AF"/>
    <w:rsid w:val="00C9633E"/>
    <w:rsid w:val="00CA0442"/>
    <w:rsid w:val="00CA577D"/>
    <w:rsid w:val="00CB2A54"/>
    <w:rsid w:val="00CC6D63"/>
    <w:rsid w:val="00CD0FD1"/>
    <w:rsid w:val="00CD4520"/>
    <w:rsid w:val="00CE5546"/>
    <w:rsid w:val="00CE5D55"/>
    <w:rsid w:val="00D07A91"/>
    <w:rsid w:val="00D2545A"/>
    <w:rsid w:val="00D66AA8"/>
    <w:rsid w:val="00D702F9"/>
    <w:rsid w:val="00D70993"/>
    <w:rsid w:val="00D76301"/>
    <w:rsid w:val="00D869A5"/>
    <w:rsid w:val="00D87F9E"/>
    <w:rsid w:val="00D97F56"/>
    <w:rsid w:val="00DA6F8A"/>
    <w:rsid w:val="00DB267B"/>
    <w:rsid w:val="00DB448D"/>
    <w:rsid w:val="00DB7659"/>
    <w:rsid w:val="00DC030C"/>
    <w:rsid w:val="00DC6C64"/>
    <w:rsid w:val="00DF04BA"/>
    <w:rsid w:val="00DF4294"/>
    <w:rsid w:val="00E0346E"/>
    <w:rsid w:val="00E17A66"/>
    <w:rsid w:val="00E21596"/>
    <w:rsid w:val="00E2577A"/>
    <w:rsid w:val="00E26C35"/>
    <w:rsid w:val="00E34E9D"/>
    <w:rsid w:val="00E41A3B"/>
    <w:rsid w:val="00E46644"/>
    <w:rsid w:val="00E56872"/>
    <w:rsid w:val="00E568FD"/>
    <w:rsid w:val="00E618DB"/>
    <w:rsid w:val="00E8152F"/>
    <w:rsid w:val="00E9185D"/>
    <w:rsid w:val="00E963FA"/>
    <w:rsid w:val="00EB19D9"/>
    <w:rsid w:val="00EB422E"/>
    <w:rsid w:val="00EB7D3C"/>
    <w:rsid w:val="00EC0668"/>
    <w:rsid w:val="00EC7E15"/>
    <w:rsid w:val="00F17464"/>
    <w:rsid w:val="00F27798"/>
    <w:rsid w:val="00F4183F"/>
    <w:rsid w:val="00F434AE"/>
    <w:rsid w:val="00F44699"/>
    <w:rsid w:val="00F4759C"/>
    <w:rsid w:val="00F47C7A"/>
    <w:rsid w:val="00F670D4"/>
    <w:rsid w:val="00F901BD"/>
    <w:rsid w:val="00F93526"/>
    <w:rsid w:val="00F93757"/>
    <w:rsid w:val="00FA04D7"/>
    <w:rsid w:val="00FA311E"/>
    <w:rsid w:val="00FA47E0"/>
    <w:rsid w:val="00FB39C6"/>
    <w:rsid w:val="00FB406E"/>
    <w:rsid w:val="00FC6850"/>
    <w:rsid w:val="00FE4668"/>
    <w:rsid w:val="00FF042B"/>
    <w:rsid w:val="00FF184E"/>
    <w:rsid w:val="00FF788B"/>
    <w:rsid w:val="0CC947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semiHidden="0" w:uiPriority="39" w:unhideWhenUsed="0" w:qFormat="1"/>
    <w:lsdException w:name="toc 2" w:semiHidden="0" w:uiPriority="39" w:unhideWhenUsed="0" w:qFormat="1"/>
    <w:lsdException w:name="toc 3" w:semiHidden="0" w:uiPriority="39" w:unhideWhenUsed="0"/>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lsdException w:name="caption" w:locked="1" w:semiHidden="0" w:uiPriority="0" w:qFormat="1"/>
    <w:lsdException w:name="Title" w:semiHidden="0" w:unhideWhenUsed="0" w:qFormat="1"/>
    <w:lsdException w:name="Default Paragraph Font" w:uiPriority="1"/>
    <w:lsdException w:name="Body Text" w:semiHidden="0" w:uiPriority="0" w:unhideWhenUsed="0"/>
    <w:lsdException w:name="Subtitle" w:locked="1" w:semiHidden="0" w:uiPriority="0" w:unhideWhenUsed="0" w:qFormat="1"/>
    <w:lsdException w:name="Hyperlink" w:semiHidden="0" w:qFormat="1"/>
    <w:lsdException w:name="Strong" w:semiHidden="0" w:unhideWhenUsed="0" w:qFormat="1"/>
    <w:lsdException w:name="Emphasis" w:locked="1" w:semiHidden="0" w:uiPriority="0" w:unhideWhenUsed="0" w:qFormat="1"/>
    <w:lsdException w:name="Normal Table" w:qFormat="1"/>
    <w:lsdException w:name="Balloon Text"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Calibri"/>
      <w:kern w:val="2"/>
      <w:sz w:val="21"/>
      <w:szCs w:val="21"/>
    </w:rPr>
  </w:style>
  <w:style w:type="paragraph" w:styleId="1">
    <w:name w:val="heading 1"/>
    <w:basedOn w:val="a"/>
    <w:next w:val="a"/>
    <w:link w:val="1Char"/>
    <w:uiPriority w:val="99"/>
    <w:qFormat/>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unhideWhenUsed/>
    <w:qFormat/>
    <w:lock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locked/>
    <w:rPr>
      <w:rFonts w:asciiTheme="majorHAnsi" w:eastAsia="黑体" w:hAnsiTheme="majorHAnsi" w:cstheme="majorBidi"/>
      <w:sz w:val="20"/>
      <w:szCs w:val="20"/>
    </w:rPr>
  </w:style>
  <w:style w:type="paragraph" w:styleId="a4">
    <w:name w:val="Body Text"/>
    <w:basedOn w:val="a"/>
    <w:link w:val="Char"/>
    <w:pPr>
      <w:spacing w:line="360" w:lineRule="auto"/>
    </w:pPr>
    <w:rPr>
      <w:rFonts w:ascii="Times New Roman" w:eastAsia="仿宋_GB2312" w:hAnsi="Times New Roman" w:cs="Times New Roman"/>
      <w:sz w:val="28"/>
      <w:szCs w:val="20"/>
    </w:rPr>
  </w:style>
  <w:style w:type="paragraph" w:styleId="30">
    <w:name w:val="toc 3"/>
    <w:basedOn w:val="a"/>
    <w:next w:val="a"/>
    <w:uiPriority w:val="39"/>
    <w:pPr>
      <w:spacing w:line="360" w:lineRule="auto"/>
      <w:ind w:leftChars="400" w:left="840"/>
    </w:pPr>
    <w:rPr>
      <w:rFonts w:ascii="Times New Roman" w:hAnsi="Times New Roman" w:cs="Times New Roman"/>
      <w:sz w:val="24"/>
      <w:szCs w:val="24"/>
    </w:rPr>
  </w:style>
  <w:style w:type="paragraph" w:styleId="a5">
    <w:name w:val="Balloon Text"/>
    <w:basedOn w:val="a"/>
    <w:link w:val="Char0"/>
    <w:uiPriority w:val="99"/>
    <w:unhideWhenUsed/>
    <w:qFormat/>
    <w:rPr>
      <w:sz w:val="18"/>
      <w:szCs w:val="18"/>
    </w:rPr>
  </w:style>
  <w:style w:type="paragraph" w:styleId="a6">
    <w:name w:val="footer"/>
    <w:basedOn w:val="a"/>
    <w:link w:val="Char1"/>
    <w:uiPriority w:val="99"/>
    <w:pPr>
      <w:tabs>
        <w:tab w:val="center" w:pos="4153"/>
        <w:tab w:val="right" w:pos="8306"/>
      </w:tabs>
      <w:snapToGrid w:val="0"/>
      <w:jc w:val="left"/>
    </w:pPr>
    <w:rPr>
      <w:rFonts w:cs="Times New Roman"/>
      <w:kern w:val="0"/>
      <w:sz w:val="18"/>
      <w:szCs w:val="18"/>
    </w:rPr>
  </w:style>
  <w:style w:type="paragraph" w:styleId="a7">
    <w:name w:val="header"/>
    <w:basedOn w:val="a"/>
    <w:link w:val="Char2"/>
    <w:uiPriority w:val="99"/>
    <w:pPr>
      <w:pBdr>
        <w:bottom w:val="single" w:sz="6" w:space="1" w:color="auto"/>
      </w:pBdr>
      <w:tabs>
        <w:tab w:val="center" w:pos="4153"/>
        <w:tab w:val="right" w:pos="8306"/>
      </w:tabs>
      <w:snapToGrid w:val="0"/>
      <w:jc w:val="center"/>
    </w:pPr>
    <w:rPr>
      <w:rFonts w:cs="Times New Roman"/>
      <w:kern w:val="0"/>
      <w:sz w:val="18"/>
      <w:szCs w:val="18"/>
    </w:rPr>
  </w:style>
  <w:style w:type="paragraph" w:styleId="10">
    <w:name w:val="toc 1"/>
    <w:basedOn w:val="a"/>
    <w:next w:val="a"/>
    <w:uiPriority w:val="39"/>
    <w:qFormat/>
    <w:pPr>
      <w:spacing w:line="360" w:lineRule="auto"/>
    </w:pPr>
    <w:rPr>
      <w:rFonts w:ascii="Times New Roman" w:hAnsi="Times New Roman" w:cs="Times New Roman"/>
      <w:sz w:val="24"/>
      <w:szCs w:val="24"/>
    </w:rPr>
  </w:style>
  <w:style w:type="paragraph" w:styleId="20">
    <w:name w:val="toc 2"/>
    <w:basedOn w:val="a"/>
    <w:next w:val="a"/>
    <w:uiPriority w:val="39"/>
    <w:qFormat/>
    <w:pPr>
      <w:ind w:leftChars="200" w:left="420"/>
    </w:pPr>
  </w:style>
  <w:style w:type="paragraph" w:styleId="a8">
    <w:name w:val="Title"/>
    <w:basedOn w:val="a"/>
    <w:next w:val="a"/>
    <w:link w:val="Char3"/>
    <w:uiPriority w:val="99"/>
    <w:qFormat/>
    <w:pPr>
      <w:spacing w:before="240" w:after="60" w:line="360" w:lineRule="auto"/>
      <w:jc w:val="center"/>
      <w:outlineLvl w:val="0"/>
    </w:pPr>
    <w:rPr>
      <w:rFonts w:ascii="Cambria" w:hAnsi="Cambria" w:cs="Cambria"/>
      <w:b/>
      <w:bCs/>
      <w:kern w:val="0"/>
      <w:sz w:val="32"/>
      <w:szCs w:val="32"/>
    </w:rPr>
  </w:style>
  <w:style w:type="character" w:styleId="a9">
    <w:name w:val="Strong"/>
    <w:uiPriority w:val="99"/>
    <w:qFormat/>
    <w:rPr>
      <w:b/>
      <w:bCs/>
    </w:rPr>
  </w:style>
  <w:style w:type="character" w:styleId="aa">
    <w:name w:val="Hyperlink"/>
    <w:basedOn w:val="a0"/>
    <w:uiPriority w:val="99"/>
    <w:unhideWhenUsed/>
    <w:qFormat/>
    <w:rPr>
      <w:color w:val="0000FF" w:themeColor="hyperlink"/>
      <w:u w:val="single"/>
    </w:rPr>
  </w:style>
  <w:style w:type="character" w:customStyle="1" w:styleId="1Char">
    <w:name w:val="标题 1 Char"/>
    <w:link w:val="1"/>
    <w:uiPriority w:val="99"/>
    <w:rPr>
      <w:rFonts w:ascii="Times New Roman" w:eastAsia="仿宋_GB2312" w:hAnsi="Times New Roman"/>
      <w:b/>
      <w:bCs/>
      <w:kern w:val="44"/>
    </w:rPr>
  </w:style>
  <w:style w:type="character" w:customStyle="1" w:styleId="Char3">
    <w:name w:val="标题 Char"/>
    <w:link w:val="a8"/>
    <w:uiPriority w:val="99"/>
    <w:rPr>
      <w:rFonts w:ascii="Cambria" w:hAnsi="Cambria" w:cs="Cambria"/>
      <w:b/>
      <w:bCs/>
      <w:sz w:val="32"/>
      <w:szCs w:val="32"/>
    </w:rPr>
  </w:style>
  <w:style w:type="paragraph" w:styleId="ab">
    <w:name w:val="List Paragraph"/>
    <w:basedOn w:val="a"/>
    <w:uiPriority w:val="34"/>
    <w:qFormat/>
    <w:pPr>
      <w:spacing w:line="360" w:lineRule="auto"/>
      <w:ind w:firstLineChars="200" w:firstLine="420"/>
    </w:pPr>
    <w:rPr>
      <w:rFonts w:ascii="Times New Roman" w:eastAsia="仿宋_GB2312" w:hAnsi="Times New Roman" w:cs="Times New Roman"/>
      <w:sz w:val="30"/>
      <w:szCs w:val="30"/>
    </w:rPr>
  </w:style>
  <w:style w:type="paragraph" w:customStyle="1" w:styleId="TOC1">
    <w:name w:val="TOC 标题1"/>
    <w:basedOn w:val="1"/>
    <w:next w:val="a"/>
    <w:uiPriority w:val="99"/>
    <w:qFormat/>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1">
    <w:name w:val="页脚 Char"/>
    <w:link w:val="a6"/>
    <w:uiPriority w:val="99"/>
    <w:qFormat/>
    <w:locked/>
    <w:rPr>
      <w:sz w:val="18"/>
      <w:szCs w:val="18"/>
    </w:rPr>
  </w:style>
  <w:style w:type="character" w:customStyle="1" w:styleId="Char2">
    <w:name w:val="页眉 Char"/>
    <w:link w:val="a7"/>
    <w:uiPriority w:val="99"/>
    <w:locked/>
    <w:rPr>
      <w:sz w:val="18"/>
      <w:szCs w:val="18"/>
    </w:rPr>
  </w:style>
  <w:style w:type="character" w:customStyle="1" w:styleId="Char10">
    <w:name w:val="页脚 Char1"/>
    <w:basedOn w:val="a0"/>
    <w:uiPriority w:val="99"/>
    <w:semiHidden/>
    <w:qFormat/>
    <w:rPr>
      <w:rFonts w:cs="Calibri"/>
      <w:kern w:val="2"/>
      <w:sz w:val="18"/>
      <w:szCs w:val="18"/>
    </w:rPr>
  </w:style>
  <w:style w:type="character" w:customStyle="1" w:styleId="Char11">
    <w:name w:val="页眉 Char1"/>
    <w:basedOn w:val="a0"/>
    <w:uiPriority w:val="99"/>
    <w:semiHidden/>
    <w:qFormat/>
    <w:rPr>
      <w:rFonts w:cs="Calibri"/>
      <w:kern w:val="2"/>
      <w:sz w:val="18"/>
      <w:szCs w:val="18"/>
    </w:rPr>
  </w:style>
  <w:style w:type="character" w:customStyle="1" w:styleId="Char0">
    <w:name w:val="批注框文本 Char"/>
    <w:basedOn w:val="a0"/>
    <w:link w:val="a5"/>
    <w:uiPriority w:val="99"/>
    <w:semiHidden/>
    <w:qFormat/>
    <w:rPr>
      <w:rFonts w:cs="Calibri"/>
      <w:kern w:val="2"/>
      <w:sz w:val="18"/>
      <w:szCs w:val="18"/>
    </w:rPr>
  </w:style>
  <w:style w:type="character" w:customStyle="1" w:styleId="3Char">
    <w:name w:val="标题 3 Char"/>
    <w:basedOn w:val="a0"/>
    <w:link w:val="3"/>
    <w:qFormat/>
    <w:rPr>
      <w:rFonts w:ascii="Times New Roman" w:hAnsi="Times New Roman"/>
      <w:b/>
      <w:kern w:val="2"/>
      <w:sz w:val="24"/>
    </w:rPr>
  </w:style>
  <w:style w:type="character" w:customStyle="1" w:styleId="Char">
    <w:name w:val="正文文本 Char"/>
    <w:basedOn w:val="a0"/>
    <w:link w:val="a4"/>
    <w:qFormat/>
    <w:rPr>
      <w:rFonts w:ascii="Times New Roman" w:eastAsia="仿宋_GB2312" w:hAnsi="Times New Roman"/>
      <w:kern w:val="2"/>
      <w:sz w:val="28"/>
    </w:rPr>
  </w:style>
  <w:style w:type="character" w:customStyle="1" w:styleId="2Char">
    <w:name w:val="标题 2 Char"/>
    <w:basedOn w:val="a0"/>
    <w:link w:val="2"/>
    <w:semiHidden/>
    <w:qFormat/>
    <w:rPr>
      <w:rFonts w:asciiTheme="majorHAnsi" w:eastAsiaTheme="majorEastAsia"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07F1EC-0B4F-4DDE-A6CD-30A6532EE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418</Words>
  <Characters>2386</Characters>
  <Application>Microsoft Office Word</Application>
  <DocSecurity>0</DocSecurity>
  <Lines>19</Lines>
  <Paragraphs>5</Paragraphs>
  <ScaleCrop>false</ScaleCrop>
  <Company>Microsoft</Company>
  <LinksUpToDate>false</LinksUpToDate>
  <CharactersWithSpaces>2799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MP</cp:lastModifiedBy>
  <cp:revision>254</cp:revision>
  <cp:lastPrinted>2016-10-09T09:21:00Z</cp:lastPrinted>
  <dcterms:created xsi:type="dcterms:W3CDTF">2015-09-10T05:52:00Z</dcterms:created>
  <dcterms:modified xsi:type="dcterms:W3CDTF">2017-12-20T03:11:00Z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