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B71C">
      <w:pPr>
        <w:jc w:val="center"/>
        <w:rPr>
          <w:rFonts w:ascii="Times New Roman" w:hAnsi="Times New Roman" w:eastAsia="仿宋_GB2312" w:cs="Times New Roman"/>
          <w:b/>
          <w:sz w:val="44"/>
          <w:szCs w:val="44"/>
        </w:rPr>
      </w:pPr>
      <w:bookmarkStart w:id="0" w:name="_GoBack"/>
      <w:bookmarkEnd w:id="0"/>
      <w:r>
        <w:rPr>
          <w:rFonts w:ascii="Times New Roman" w:hAnsi="Times New Roman" w:eastAsia="仿宋_GB2312" w:cs="Times New Roman"/>
          <w:b/>
          <w:sz w:val="44"/>
          <w:szCs w:val="44"/>
        </w:rPr>
        <w:t>征收土地补偿安置方案</w:t>
      </w:r>
    </w:p>
    <w:p w14:paraId="762E813D">
      <w:pPr>
        <w:spacing w:line="520" w:lineRule="exact"/>
        <w:jc w:val="center"/>
        <w:rPr>
          <w:rFonts w:ascii="Times New Roman" w:hAnsi="Times New Roman" w:eastAsia="仿宋_GB2312" w:cs="Times New Roman"/>
          <w:sz w:val="32"/>
          <w:szCs w:val="32"/>
        </w:rPr>
      </w:pPr>
    </w:p>
    <w:p w14:paraId="7120F9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鹤山市共和镇新连村二联股份经济合作社</w:t>
      </w:r>
      <w:r>
        <w:rPr>
          <w:rFonts w:ascii="Times New Roman" w:hAnsi="Times New Roman" w:eastAsia="仿宋_GB2312" w:cs="Times New Roman"/>
          <w:sz w:val="32"/>
          <w:szCs w:val="32"/>
        </w:rPr>
        <w:t>：</w:t>
      </w:r>
    </w:p>
    <w:p w14:paraId="1918EBB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w:t>
      </w:r>
      <w:r>
        <w:rPr>
          <w:rFonts w:hint="eastAsia" w:ascii="Times New Roman" w:hAnsi="Times New Roman" w:eastAsia="仿宋_GB2312" w:cs="Times New Roman"/>
          <w:sz w:val="32"/>
          <w:szCs w:val="32"/>
        </w:rPr>
        <w:t>你单位的集体土地16.6332公顷，其中农用地16.6332公顷（园地0.0226公顷，林地14.9565公顷，草地0.0001公顷，其他农用地1.6540公顷）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年度第</w:t>
      </w:r>
      <w:r>
        <w:rPr>
          <w:rFonts w:hint="eastAsia" w:ascii="Times New Roman" w:hAnsi="Times New Roman" w:eastAsia="仿宋_GB2312" w:cs="Times New Roman"/>
          <w:bCs/>
          <w:sz w:val="32"/>
          <w:szCs w:val="32"/>
          <w:lang w:val="en-US" w:eastAsia="zh-CN"/>
        </w:rPr>
        <w:t>二</w:t>
      </w:r>
      <w:r>
        <w:rPr>
          <w:rFonts w:hint="eastAsia" w:ascii="Times New Roman" w:hAnsi="Times New Roman" w:eastAsia="仿宋_GB2312" w:cs="Times New Roman"/>
          <w:bCs/>
          <w:sz w:val="32"/>
          <w:szCs w:val="32"/>
        </w:rPr>
        <w:t>十八</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6C17F6FD">
      <w:pPr>
        <w:keepNext w:val="0"/>
        <w:keepLines w:val="0"/>
        <w:pageBreakBefore w:val="0"/>
        <w:widowControl w:val="0"/>
        <w:kinsoku/>
        <w:wordWrap/>
        <w:overflowPunct/>
        <w:topLinePunct w:val="0"/>
        <w:autoSpaceDE/>
        <w:autoSpaceDN/>
        <w:bidi w:val="0"/>
        <w:adjustRightInd/>
        <w:snapToGrid/>
        <w:spacing w:line="500" w:lineRule="exact"/>
        <w:ind w:left="640"/>
        <w:jc w:val="left"/>
        <w:textAlignment w:val="auto"/>
        <w:rPr>
          <w:rFonts w:ascii="黑体" w:hAnsi="黑体" w:eastAsia="黑体" w:cs="黑体"/>
          <w:sz w:val="32"/>
          <w:szCs w:val="32"/>
        </w:rPr>
      </w:pPr>
      <w:r>
        <w:rPr>
          <w:rFonts w:hint="eastAsia" w:ascii="黑体" w:hAnsi="黑体" w:eastAsia="黑体" w:cs="黑体"/>
          <w:sz w:val="32"/>
          <w:szCs w:val="32"/>
        </w:rPr>
        <w:t>一、征地补偿标准</w:t>
      </w:r>
    </w:p>
    <w:p w14:paraId="6E6B3F7E">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该批次用地的征地补偿标准严格按不低于省人民政府批准公布的农用地区片综合地价执行，其中园地90.9万元/公顷、林地36.36万元/公顷、草地90.9万元/公顷、其他农用地90.9万元/公顷</w:t>
      </w:r>
      <w:r>
        <w:rPr>
          <w:rFonts w:ascii="Times New Roman" w:hAnsi="Times New Roman" w:eastAsia="仿宋_GB2312" w:cs="Times New Roman"/>
          <w:sz w:val="32"/>
          <w:szCs w:val="32"/>
        </w:rPr>
        <w:t>，青苗及地上附着物补偿费，按我市征地青苗及地上附着物拆迁补偿标准执行。以上征地总费用820.9794万元</w:t>
      </w:r>
      <w:r>
        <w:rPr>
          <w:rFonts w:hint="eastAsia" w:ascii="Times New Roman" w:hAnsi="Times New Roman" w:eastAsia="仿宋_GB2312" w:cs="Times New Roman"/>
          <w:sz w:val="32"/>
          <w:szCs w:val="32"/>
        </w:rPr>
        <w:t>，其中包含青苗及地上附着物拆迁补偿费</w:t>
      </w:r>
      <w:r>
        <w:rPr>
          <w:rFonts w:ascii="Times New Roman" w:hAnsi="Times New Roman" w:eastAsia="仿宋_GB2312" w:cs="Times New Roman"/>
          <w:sz w:val="32"/>
          <w:szCs w:val="32"/>
        </w:rPr>
        <w:t>124.7490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14:paraId="236FC115">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黑体" w:hAnsi="黑体" w:eastAsia="黑体" w:cs="黑体"/>
          <w:sz w:val="32"/>
          <w:szCs w:val="32"/>
        </w:rPr>
      </w:pPr>
      <w:r>
        <w:rPr>
          <w:rFonts w:hint="eastAsia" w:ascii="黑体" w:hAnsi="黑体" w:eastAsia="黑体" w:cs="黑体"/>
          <w:sz w:val="32"/>
          <w:szCs w:val="32"/>
        </w:rPr>
        <w:t>二、安置方式</w:t>
      </w:r>
    </w:p>
    <w:p w14:paraId="114F03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该批次用地采用安置方式有三种：</w:t>
      </w:r>
    </w:p>
    <w:p w14:paraId="1F3E24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2E1383D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3DB545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6E4428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p>
    <w:p w14:paraId="47D99F8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0B47DFD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highlight w:val="yellow"/>
        </w:rPr>
        <w:sectPr>
          <w:pgSz w:w="11906" w:h="16838"/>
          <w:pgMar w:top="1135"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highlight w:val="yellow"/>
        </w:rPr>
        <w:t>202</w:t>
      </w:r>
      <w:r>
        <w:rPr>
          <w:rFonts w:hint="eastAsia" w:ascii="Times New Roman" w:hAnsi="Times New Roman" w:eastAsia="仿宋_GB2312" w:cs="Times New Roman"/>
          <w:sz w:val="32"/>
          <w:szCs w:val="32"/>
          <w:highlight w:val="yellow"/>
        </w:rPr>
        <w:t>4</w:t>
      </w:r>
      <w:r>
        <w:rPr>
          <w:rFonts w:ascii="Times New Roman" w:hAnsi="Times New Roman" w:eastAsia="仿宋_GB2312" w:cs="Times New Roman"/>
          <w:sz w:val="32"/>
          <w:szCs w:val="32"/>
          <w:highlight w:val="yellow"/>
        </w:rPr>
        <w:t>年</w:t>
      </w:r>
      <w:r>
        <w:rPr>
          <w:rFonts w:hint="eastAsia" w:ascii="Times New Roman" w:hAnsi="Times New Roman" w:eastAsia="仿宋_GB2312" w:cs="Times New Roman"/>
          <w:sz w:val="32"/>
          <w:szCs w:val="32"/>
          <w:highlight w:val="yellow"/>
        </w:rPr>
        <w:t>3</w:t>
      </w:r>
      <w:r>
        <w:rPr>
          <w:rFonts w:ascii="Times New Roman" w:hAnsi="Times New Roman" w:eastAsia="仿宋_GB2312" w:cs="Times New Roman"/>
          <w:sz w:val="32"/>
          <w:szCs w:val="32"/>
          <w:highlight w:val="yellow"/>
        </w:rPr>
        <w:t>月</w:t>
      </w:r>
      <w:r>
        <w:rPr>
          <w:rFonts w:hint="eastAsia" w:ascii="Times New Roman" w:hAnsi="Times New Roman" w:eastAsia="仿宋_GB2312" w:cs="Times New Roman"/>
          <w:sz w:val="32"/>
          <w:szCs w:val="32"/>
          <w:highlight w:val="yellow"/>
        </w:rPr>
        <w:t>18</w:t>
      </w:r>
      <w:r>
        <w:rPr>
          <w:rFonts w:ascii="Times New Roman" w:hAnsi="Times New Roman" w:eastAsia="仿宋_GB2312" w:cs="Times New Roman"/>
          <w:sz w:val="32"/>
          <w:szCs w:val="32"/>
          <w:highlight w:val="yellow"/>
        </w:rPr>
        <w:t>日</w:t>
      </w:r>
    </w:p>
    <w:p w14:paraId="7EB47993">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6DFE6F9E">
      <w:pPr>
        <w:spacing w:line="520" w:lineRule="exact"/>
        <w:jc w:val="center"/>
        <w:rPr>
          <w:rFonts w:ascii="Times New Roman" w:hAnsi="Times New Roman" w:eastAsia="仿宋_GB2312" w:cs="Times New Roman"/>
          <w:sz w:val="32"/>
          <w:szCs w:val="32"/>
        </w:rPr>
      </w:pPr>
    </w:p>
    <w:p w14:paraId="06D7DB5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鹤山市鹤城镇东坑经济联合社</w:t>
      </w:r>
      <w:r>
        <w:rPr>
          <w:rFonts w:ascii="Times New Roman" w:hAnsi="Times New Roman" w:eastAsia="仿宋_GB2312" w:cs="Times New Roman"/>
          <w:sz w:val="32"/>
          <w:szCs w:val="32"/>
        </w:rPr>
        <w:t>：</w:t>
      </w:r>
    </w:p>
    <w:p w14:paraId="051BACA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w:t>
      </w:r>
      <w:r>
        <w:rPr>
          <w:rFonts w:hint="eastAsia" w:ascii="Times New Roman" w:hAnsi="Times New Roman" w:eastAsia="仿宋_GB2312" w:cs="Times New Roman"/>
          <w:sz w:val="32"/>
          <w:szCs w:val="32"/>
        </w:rPr>
        <w:t>你单位的集体土地1.6633公顷，其中农用地1.6633公顷（林地0.3071公顷，草地0.0532公顷，其他农用地1.3030公顷）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年度第</w:t>
      </w:r>
      <w:r>
        <w:rPr>
          <w:rFonts w:hint="eastAsia" w:ascii="Times New Roman" w:hAnsi="Times New Roman" w:eastAsia="仿宋_GB2312" w:cs="Times New Roman"/>
          <w:bCs/>
          <w:sz w:val="32"/>
          <w:szCs w:val="32"/>
          <w:lang w:val="en-US" w:eastAsia="zh-CN"/>
        </w:rPr>
        <w:t>二</w:t>
      </w:r>
      <w:r>
        <w:rPr>
          <w:rFonts w:hint="eastAsia" w:ascii="Times New Roman" w:hAnsi="Times New Roman" w:eastAsia="仿宋_GB2312" w:cs="Times New Roman"/>
          <w:bCs/>
          <w:sz w:val="32"/>
          <w:szCs w:val="32"/>
        </w:rPr>
        <w:t>十八</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7907EC3D">
      <w:pPr>
        <w:keepNext w:val="0"/>
        <w:keepLines w:val="0"/>
        <w:pageBreakBefore w:val="0"/>
        <w:widowControl w:val="0"/>
        <w:kinsoku/>
        <w:wordWrap/>
        <w:overflowPunct/>
        <w:topLinePunct w:val="0"/>
        <w:autoSpaceDE/>
        <w:autoSpaceDN/>
        <w:bidi w:val="0"/>
        <w:adjustRightInd/>
        <w:snapToGrid/>
        <w:spacing w:line="500" w:lineRule="exact"/>
        <w:ind w:left="640"/>
        <w:jc w:val="left"/>
        <w:textAlignment w:val="auto"/>
        <w:rPr>
          <w:rFonts w:ascii="黑体" w:hAnsi="黑体" w:eastAsia="黑体" w:cs="黑体"/>
          <w:sz w:val="32"/>
          <w:szCs w:val="32"/>
        </w:rPr>
      </w:pPr>
      <w:r>
        <w:rPr>
          <w:rFonts w:hint="eastAsia" w:ascii="黑体" w:hAnsi="黑体" w:eastAsia="黑体" w:cs="黑体"/>
          <w:sz w:val="32"/>
          <w:szCs w:val="32"/>
        </w:rPr>
        <w:t>一、征地补偿标准</w:t>
      </w:r>
    </w:p>
    <w:p w14:paraId="36159187">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该批次用地的征地补偿标准严格按不低于省人民政府批准公布的农用地区片综合地价执行，其中林地36.36万元/公顷、草地90.9万元/公顷、其他农用地90.9万元/公顷</w:t>
      </w:r>
      <w:r>
        <w:rPr>
          <w:rFonts w:ascii="Times New Roman" w:hAnsi="Times New Roman" w:eastAsia="仿宋_GB2312" w:cs="Times New Roman"/>
          <w:sz w:val="32"/>
          <w:szCs w:val="32"/>
        </w:rPr>
        <w:t>，青苗及地上附着物补偿费，按我市征地青苗及地上附着物拆迁补偿标准执行。以上征地总费用146.9195万元</w:t>
      </w:r>
      <w:r>
        <w:rPr>
          <w:rFonts w:hint="eastAsia" w:ascii="Times New Roman" w:hAnsi="Times New Roman" w:eastAsia="仿宋_GB2312" w:cs="Times New Roman"/>
          <w:sz w:val="32"/>
          <w:szCs w:val="32"/>
        </w:rPr>
        <w:t>，其中包含青苗及地上附着物拆迁补偿费</w:t>
      </w:r>
      <w:r>
        <w:rPr>
          <w:rFonts w:ascii="Times New Roman" w:hAnsi="Times New Roman" w:eastAsia="仿宋_GB2312" w:cs="Times New Roman"/>
          <w:sz w:val="32"/>
          <w:szCs w:val="32"/>
        </w:rPr>
        <w:t>12.4748</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14:paraId="4E65ADB5">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黑体" w:hAnsi="黑体" w:eastAsia="黑体" w:cs="黑体"/>
          <w:sz w:val="32"/>
          <w:szCs w:val="32"/>
        </w:rPr>
      </w:pPr>
      <w:r>
        <w:rPr>
          <w:rFonts w:hint="eastAsia" w:ascii="黑体" w:hAnsi="黑体" w:eastAsia="黑体" w:cs="黑体"/>
          <w:sz w:val="32"/>
          <w:szCs w:val="32"/>
        </w:rPr>
        <w:t>二、安置方式</w:t>
      </w:r>
    </w:p>
    <w:p w14:paraId="723D815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该批次用地采用安置方式有三种：</w:t>
      </w:r>
    </w:p>
    <w:p w14:paraId="6A43934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0A58B3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54560C5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20EEE85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p>
    <w:p w14:paraId="07E2703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004CCE0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highlight w:val="yellow"/>
        </w:rPr>
        <w:sectPr>
          <w:pgSz w:w="11906" w:h="16838"/>
          <w:pgMar w:top="1135"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highlight w:val="yellow"/>
        </w:rPr>
        <w:t>202</w:t>
      </w:r>
      <w:r>
        <w:rPr>
          <w:rFonts w:hint="eastAsia" w:ascii="Times New Roman" w:hAnsi="Times New Roman" w:eastAsia="仿宋_GB2312" w:cs="Times New Roman"/>
          <w:sz w:val="32"/>
          <w:szCs w:val="32"/>
          <w:highlight w:val="yellow"/>
        </w:rPr>
        <w:t>4</w:t>
      </w:r>
      <w:r>
        <w:rPr>
          <w:rFonts w:ascii="Times New Roman" w:hAnsi="Times New Roman" w:eastAsia="仿宋_GB2312" w:cs="Times New Roman"/>
          <w:sz w:val="32"/>
          <w:szCs w:val="32"/>
          <w:highlight w:val="yellow"/>
        </w:rPr>
        <w:t>年</w:t>
      </w:r>
      <w:r>
        <w:rPr>
          <w:rFonts w:hint="eastAsia" w:ascii="Times New Roman" w:hAnsi="Times New Roman" w:eastAsia="仿宋_GB2312" w:cs="Times New Roman"/>
          <w:sz w:val="32"/>
          <w:szCs w:val="32"/>
          <w:highlight w:val="yellow"/>
        </w:rPr>
        <w:t>3</w:t>
      </w:r>
      <w:r>
        <w:rPr>
          <w:rFonts w:ascii="Times New Roman" w:hAnsi="Times New Roman" w:eastAsia="仿宋_GB2312" w:cs="Times New Roman"/>
          <w:sz w:val="32"/>
          <w:szCs w:val="32"/>
          <w:highlight w:val="yellow"/>
        </w:rPr>
        <w:t>月</w:t>
      </w:r>
      <w:r>
        <w:rPr>
          <w:rFonts w:hint="eastAsia" w:ascii="Times New Roman" w:hAnsi="Times New Roman" w:eastAsia="仿宋_GB2312" w:cs="Times New Roman"/>
          <w:sz w:val="32"/>
          <w:szCs w:val="32"/>
          <w:highlight w:val="yellow"/>
        </w:rPr>
        <w:t>18</w:t>
      </w:r>
      <w:r>
        <w:rPr>
          <w:rFonts w:ascii="Times New Roman" w:hAnsi="Times New Roman" w:eastAsia="仿宋_GB2312" w:cs="Times New Roman"/>
          <w:sz w:val="32"/>
          <w:szCs w:val="32"/>
          <w:highlight w:val="yellow"/>
        </w:rPr>
        <w:t>日</w:t>
      </w:r>
    </w:p>
    <w:p w14:paraId="58166AB9">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0797D371">
      <w:pPr>
        <w:spacing w:line="520" w:lineRule="exact"/>
        <w:jc w:val="center"/>
        <w:rPr>
          <w:rFonts w:ascii="Times New Roman" w:hAnsi="Times New Roman" w:eastAsia="仿宋_GB2312" w:cs="Times New Roman"/>
          <w:sz w:val="32"/>
          <w:szCs w:val="32"/>
        </w:rPr>
      </w:pPr>
    </w:p>
    <w:p w14:paraId="71320E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鹤山市鹤城镇禾谷村桂坑第四股份经济合作社</w:t>
      </w:r>
      <w:r>
        <w:rPr>
          <w:rFonts w:ascii="Times New Roman" w:hAnsi="Times New Roman" w:eastAsia="仿宋_GB2312" w:cs="Times New Roman"/>
          <w:sz w:val="32"/>
          <w:szCs w:val="32"/>
        </w:rPr>
        <w:t>：</w:t>
      </w:r>
    </w:p>
    <w:p w14:paraId="0E8982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w:t>
      </w:r>
      <w:r>
        <w:rPr>
          <w:rFonts w:hint="eastAsia" w:ascii="Times New Roman" w:hAnsi="Times New Roman" w:eastAsia="仿宋_GB2312" w:cs="Times New Roman"/>
          <w:sz w:val="32"/>
          <w:szCs w:val="32"/>
        </w:rPr>
        <w:t>你单位的集体土地1.2358公顷，其中农用地1.2358公顷（园地0.2060公顷，林地0.7472公顷，其他农用地0.2826公顷）</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年度第</w:t>
      </w:r>
      <w:r>
        <w:rPr>
          <w:rFonts w:hint="eastAsia" w:ascii="Times New Roman" w:hAnsi="Times New Roman" w:eastAsia="仿宋_GB2312" w:cs="Times New Roman"/>
          <w:bCs/>
          <w:sz w:val="32"/>
          <w:szCs w:val="32"/>
          <w:lang w:val="en-US" w:eastAsia="zh-CN"/>
        </w:rPr>
        <w:t>二</w:t>
      </w:r>
      <w:r>
        <w:rPr>
          <w:rFonts w:hint="eastAsia" w:ascii="Times New Roman" w:hAnsi="Times New Roman" w:eastAsia="仿宋_GB2312" w:cs="Times New Roman"/>
          <w:bCs/>
          <w:sz w:val="32"/>
          <w:szCs w:val="32"/>
        </w:rPr>
        <w:t>十八</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09D59219">
      <w:pPr>
        <w:keepNext w:val="0"/>
        <w:keepLines w:val="0"/>
        <w:pageBreakBefore w:val="0"/>
        <w:widowControl w:val="0"/>
        <w:kinsoku/>
        <w:wordWrap/>
        <w:overflowPunct/>
        <w:topLinePunct w:val="0"/>
        <w:autoSpaceDE/>
        <w:autoSpaceDN/>
        <w:bidi w:val="0"/>
        <w:adjustRightInd/>
        <w:snapToGrid/>
        <w:spacing w:line="500" w:lineRule="exact"/>
        <w:ind w:left="640"/>
        <w:jc w:val="left"/>
        <w:textAlignment w:val="auto"/>
        <w:rPr>
          <w:rFonts w:ascii="黑体" w:hAnsi="黑体" w:eastAsia="黑体" w:cs="黑体"/>
          <w:sz w:val="32"/>
          <w:szCs w:val="32"/>
        </w:rPr>
      </w:pPr>
      <w:r>
        <w:rPr>
          <w:rFonts w:hint="eastAsia" w:ascii="黑体" w:hAnsi="黑体" w:eastAsia="黑体" w:cs="黑体"/>
          <w:sz w:val="32"/>
          <w:szCs w:val="32"/>
        </w:rPr>
        <w:t>一、征地补偿标准</w:t>
      </w:r>
    </w:p>
    <w:p w14:paraId="7B0B745F">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该批次用地的征地补偿标准严格按不低于省人民政府批准公布的农用地区片综合地价执行，其中园地90.9万元/公顷、林地36.36万元/公顷、其他农用地90.9万元/公顷</w:t>
      </w:r>
      <w:r>
        <w:rPr>
          <w:rFonts w:ascii="Times New Roman" w:hAnsi="Times New Roman" w:eastAsia="仿宋_GB2312" w:cs="Times New Roman"/>
          <w:sz w:val="32"/>
          <w:szCs w:val="32"/>
        </w:rPr>
        <w:t>，青苗及地上附着物补偿费，按我市征地青苗及地上附着物拆迁补偿标准执行。以上征地总费用80.8504万元</w:t>
      </w:r>
      <w:r>
        <w:rPr>
          <w:rFonts w:hint="eastAsia" w:ascii="Times New Roman" w:hAnsi="Times New Roman" w:eastAsia="仿宋_GB2312" w:cs="Times New Roman"/>
          <w:sz w:val="32"/>
          <w:szCs w:val="32"/>
        </w:rPr>
        <w:t>，其中包含青苗及地上附着物拆迁补偿费</w:t>
      </w:r>
      <w:r>
        <w:rPr>
          <w:rFonts w:ascii="Times New Roman" w:hAnsi="Times New Roman" w:eastAsia="仿宋_GB2312" w:cs="Times New Roman"/>
          <w:sz w:val="32"/>
          <w:szCs w:val="32"/>
        </w:rPr>
        <w:t>9.2685</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14:paraId="5D6AF00A">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黑体" w:hAnsi="黑体" w:eastAsia="黑体" w:cs="黑体"/>
          <w:sz w:val="32"/>
          <w:szCs w:val="32"/>
        </w:rPr>
      </w:pPr>
      <w:r>
        <w:rPr>
          <w:rFonts w:hint="eastAsia" w:ascii="黑体" w:hAnsi="黑体" w:eastAsia="黑体" w:cs="黑体"/>
          <w:sz w:val="32"/>
          <w:szCs w:val="32"/>
        </w:rPr>
        <w:t>二、安置方式</w:t>
      </w:r>
    </w:p>
    <w:p w14:paraId="4387776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该批次用地采用安置方式有三种：</w:t>
      </w:r>
    </w:p>
    <w:p w14:paraId="4761B5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1CE7F3A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302A39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具体方案以市人力资源和社会保障局制订的为准。</w:t>
      </w:r>
    </w:p>
    <w:p w14:paraId="7AAED74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p>
    <w:p w14:paraId="2179414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2340FC74">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highlight w:val="yellow"/>
        </w:rPr>
        <w:sectPr>
          <w:pgSz w:w="11906" w:h="16838"/>
          <w:pgMar w:top="1135" w:right="1800" w:bottom="1440" w:left="1800" w:header="851" w:footer="992" w:gutter="0"/>
          <w:pgNumType w:start="1"/>
          <w:cols w:space="425" w:num="1"/>
          <w:docGrid w:type="lines" w:linePitch="312" w:charSpace="0"/>
        </w:sectPr>
      </w:pPr>
      <w:r>
        <w:rPr>
          <w:rFonts w:ascii="Times New Roman" w:hAnsi="Times New Roman" w:eastAsia="仿宋_GB2312" w:cs="Times New Roman"/>
          <w:sz w:val="32"/>
          <w:szCs w:val="32"/>
          <w:highlight w:val="yellow"/>
        </w:rPr>
        <w:t>202</w:t>
      </w:r>
      <w:r>
        <w:rPr>
          <w:rFonts w:hint="eastAsia" w:ascii="Times New Roman" w:hAnsi="Times New Roman" w:eastAsia="仿宋_GB2312" w:cs="Times New Roman"/>
          <w:sz w:val="32"/>
          <w:szCs w:val="32"/>
          <w:highlight w:val="yellow"/>
        </w:rPr>
        <w:t>4</w:t>
      </w:r>
      <w:r>
        <w:rPr>
          <w:rFonts w:ascii="Times New Roman" w:hAnsi="Times New Roman" w:eastAsia="仿宋_GB2312" w:cs="Times New Roman"/>
          <w:sz w:val="32"/>
          <w:szCs w:val="32"/>
          <w:highlight w:val="yellow"/>
        </w:rPr>
        <w:t>年</w:t>
      </w:r>
      <w:r>
        <w:rPr>
          <w:rFonts w:hint="eastAsia" w:ascii="Times New Roman" w:hAnsi="Times New Roman" w:eastAsia="仿宋_GB2312" w:cs="Times New Roman"/>
          <w:sz w:val="32"/>
          <w:szCs w:val="32"/>
          <w:highlight w:val="yellow"/>
        </w:rPr>
        <w:t>3</w:t>
      </w:r>
      <w:r>
        <w:rPr>
          <w:rFonts w:ascii="Times New Roman" w:hAnsi="Times New Roman" w:eastAsia="仿宋_GB2312" w:cs="Times New Roman"/>
          <w:sz w:val="32"/>
          <w:szCs w:val="32"/>
          <w:highlight w:val="yellow"/>
        </w:rPr>
        <w:t>月</w:t>
      </w:r>
      <w:r>
        <w:rPr>
          <w:rFonts w:hint="eastAsia" w:ascii="Times New Roman" w:hAnsi="Times New Roman" w:eastAsia="仿宋_GB2312" w:cs="Times New Roman"/>
          <w:sz w:val="32"/>
          <w:szCs w:val="32"/>
          <w:highlight w:val="yellow"/>
        </w:rPr>
        <w:t>18</w:t>
      </w:r>
      <w:r>
        <w:rPr>
          <w:rFonts w:ascii="Times New Roman" w:hAnsi="Times New Roman" w:eastAsia="仿宋_GB2312" w:cs="Times New Roman"/>
          <w:sz w:val="32"/>
          <w:szCs w:val="32"/>
          <w:highlight w:val="yellow"/>
        </w:rPr>
        <w:t>日</w:t>
      </w:r>
    </w:p>
    <w:p w14:paraId="02225CBB">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highlight w:val="yellow"/>
        </w:rPr>
      </w:pPr>
    </w:p>
    <w:sectPr>
      <w:type w:val="continuous"/>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7FF95CE8"/>
    <w:rsid w:val="00000CAC"/>
    <w:rsid w:val="00011879"/>
    <w:rsid w:val="0001700D"/>
    <w:rsid w:val="0002205A"/>
    <w:rsid w:val="0003230B"/>
    <w:rsid w:val="0004173C"/>
    <w:rsid w:val="0004427D"/>
    <w:rsid w:val="00044D55"/>
    <w:rsid w:val="0005291A"/>
    <w:rsid w:val="00073812"/>
    <w:rsid w:val="000968C3"/>
    <w:rsid w:val="000B3F3E"/>
    <w:rsid w:val="000B7B11"/>
    <w:rsid w:val="000C2171"/>
    <w:rsid w:val="000D2FD7"/>
    <w:rsid w:val="00106C88"/>
    <w:rsid w:val="00106F3B"/>
    <w:rsid w:val="00113333"/>
    <w:rsid w:val="00163CFC"/>
    <w:rsid w:val="00172288"/>
    <w:rsid w:val="0017355A"/>
    <w:rsid w:val="00186016"/>
    <w:rsid w:val="001B171A"/>
    <w:rsid w:val="001B2FF7"/>
    <w:rsid w:val="001F388C"/>
    <w:rsid w:val="002061F9"/>
    <w:rsid w:val="00217B64"/>
    <w:rsid w:val="0022085F"/>
    <w:rsid w:val="00232F9B"/>
    <w:rsid w:val="00233A45"/>
    <w:rsid w:val="00252984"/>
    <w:rsid w:val="00252ADE"/>
    <w:rsid w:val="00267988"/>
    <w:rsid w:val="00274031"/>
    <w:rsid w:val="00292234"/>
    <w:rsid w:val="002A79D8"/>
    <w:rsid w:val="002A7FB1"/>
    <w:rsid w:val="002B72D7"/>
    <w:rsid w:val="002C1922"/>
    <w:rsid w:val="002D375C"/>
    <w:rsid w:val="002D3AC3"/>
    <w:rsid w:val="002E7220"/>
    <w:rsid w:val="00324934"/>
    <w:rsid w:val="00325128"/>
    <w:rsid w:val="00335BED"/>
    <w:rsid w:val="00347A23"/>
    <w:rsid w:val="00370F11"/>
    <w:rsid w:val="00391673"/>
    <w:rsid w:val="003964F1"/>
    <w:rsid w:val="00397E51"/>
    <w:rsid w:val="003D397E"/>
    <w:rsid w:val="00413328"/>
    <w:rsid w:val="00426C88"/>
    <w:rsid w:val="00426CA4"/>
    <w:rsid w:val="0045641C"/>
    <w:rsid w:val="00457EAC"/>
    <w:rsid w:val="0046709B"/>
    <w:rsid w:val="004709E2"/>
    <w:rsid w:val="0047182A"/>
    <w:rsid w:val="004B40A9"/>
    <w:rsid w:val="004C4A61"/>
    <w:rsid w:val="004D0D2F"/>
    <w:rsid w:val="004D16D3"/>
    <w:rsid w:val="00522A09"/>
    <w:rsid w:val="005435EE"/>
    <w:rsid w:val="00545CD7"/>
    <w:rsid w:val="005561B3"/>
    <w:rsid w:val="005600EF"/>
    <w:rsid w:val="00580535"/>
    <w:rsid w:val="00586E28"/>
    <w:rsid w:val="005928B3"/>
    <w:rsid w:val="005C4DB7"/>
    <w:rsid w:val="005C6026"/>
    <w:rsid w:val="005D2999"/>
    <w:rsid w:val="005D5DB2"/>
    <w:rsid w:val="005F51E2"/>
    <w:rsid w:val="005F64F1"/>
    <w:rsid w:val="005F65CC"/>
    <w:rsid w:val="00605F25"/>
    <w:rsid w:val="00631175"/>
    <w:rsid w:val="00637FBD"/>
    <w:rsid w:val="006921A5"/>
    <w:rsid w:val="00697E9D"/>
    <w:rsid w:val="006B65EC"/>
    <w:rsid w:val="006E7522"/>
    <w:rsid w:val="006F15F7"/>
    <w:rsid w:val="00701F28"/>
    <w:rsid w:val="007027C5"/>
    <w:rsid w:val="00710200"/>
    <w:rsid w:val="007208C7"/>
    <w:rsid w:val="0074750C"/>
    <w:rsid w:val="00747CA0"/>
    <w:rsid w:val="007A66E5"/>
    <w:rsid w:val="007C2CA3"/>
    <w:rsid w:val="007C52A8"/>
    <w:rsid w:val="007C69A1"/>
    <w:rsid w:val="007F67C5"/>
    <w:rsid w:val="00810EC2"/>
    <w:rsid w:val="008A3B64"/>
    <w:rsid w:val="008B1F30"/>
    <w:rsid w:val="008B4A1E"/>
    <w:rsid w:val="008B56D5"/>
    <w:rsid w:val="008C548F"/>
    <w:rsid w:val="008E7C2F"/>
    <w:rsid w:val="008F2347"/>
    <w:rsid w:val="008F6D19"/>
    <w:rsid w:val="00905150"/>
    <w:rsid w:val="00982739"/>
    <w:rsid w:val="00986294"/>
    <w:rsid w:val="009A1097"/>
    <w:rsid w:val="009A3FA3"/>
    <w:rsid w:val="009A4D8E"/>
    <w:rsid w:val="009B210A"/>
    <w:rsid w:val="009B278C"/>
    <w:rsid w:val="009D1847"/>
    <w:rsid w:val="009D6770"/>
    <w:rsid w:val="00A15A6C"/>
    <w:rsid w:val="00A23974"/>
    <w:rsid w:val="00A24925"/>
    <w:rsid w:val="00A3177F"/>
    <w:rsid w:val="00A35247"/>
    <w:rsid w:val="00A44560"/>
    <w:rsid w:val="00A46E47"/>
    <w:rsid w:val="00A473B3"/>
    <w:rsid w:val="00A65C69"/>
    <w:rsid w:val="00A829B1"/>
    <w:rsid w:val="00A92D50"/>
    <w:rsid w:val="00AA5194"/>
    <w:rsid w:val="00AD01CF"/>
    <w:rsid w:val="00AF6CE5"/>
    <w:rsid w:val="00B02BA5"/>
    <w:rsid w:val="00B214C8"/>
    <w:rsid w:val="00B233D3"/>
    <w:rsid w:val="00B34060"/>
    <w:rsid w:val="00B5737A"/>
    <w:rsid w:val="00B64B2E"/>
    <w:rsid w:val="00B767EE"/>
    <w:rsid w:val="00B94455"/>
    <w:rsid w:val="00BB165A"/>
    <w:rsid w:val="00BE611A"/>
    <w:rsid w:val="00BF6D59"/>
    <w:rsid w:val="00C02E14"/>
    <w:rsid w:val="00C14EB8"/>
    <w:rsid w:val="00C3246A"/>
    <w:rsid w:val="00C361C0"/>
    <w:rsid w:val="00C60E17"/>
    <w:rsid w:val="00C6405A"/>
    <w:rsid w:val="00C65533"/>
    <w:rsid w:val="00C97E6F"/>
    <w:rsid w:val="00CB31BA"/>
    <w:rsid w:val="00CC1304"/>
    <w:rsid w:val="00CC52EC"/>
    <w:rsid w:val="00CE4689"/>
    <w:rsid w:val="00D0097F"/>
    <w:rsid w:val="00D03F20"/>
    <w:rsid w:val="00D10B84"/>
    <w:rsid w:val="00D542F0"/>
    <w:rsid w:val="00D6073B"/>
    <w:rsid w:val="00DA7460"/>
    <w:rsid w:val="00DB2F0D"/>
    <w:rsid w:val="00DB5A36"/>
    <w:rsid w:val="00DB6F80"/>
    <w:rsid w:val="00DF4EFB"/>
    <w:rsid w:val="00E07BEF"/>
    <w:rsid w:val="00E14508"/>
    <w:rsid w:val="00E36123"/>
    <w:rsid w:val="00E6157E"/>
    <w:rsid w:val="00E654F3"/>
    <w:rsid w:val="00E772CD"/>
    <w:rsid w:val="00E801C4"/>
    <w:rsid w:val="00E81BB1"/>
    <w:rsid w:val="00EB1937"/>
    <w:rsid w:val="00EB2AC7"/>
    <w:rsid w:val="00ED6E91"/>
    <w:rsid w:val="00EF3BDB"/>
    <w:rsid w:val="00F2275E"/>
    <w:rsid w:val="00F24EAB"/>
    <w:rsid w:val="00F4691A"/>
    <w:rsid w:val="00F82D30"/>
    <w:rsid w:val="00FA23ED"/>
    <w:rsid w:val="00FD0035"/>
    <w:rsid w:val="00FF485B"/>
    <w:rsid w:val="067B53AB"/>
    <w:rsid w:val="07E668C6"/>
    <w:rsid w:val="0AF96A63"/>
    <w:rsid w:val="0BA6164F"/>
    <w:rsid w:val="119447E1"/>
    <w:rsid w:val="13CC5F11"/>
    <w:rsid w:val="158E243A"/>
    <w:rsid w:val="160852BF"/>
    <w:rsid w:val="183E6195"/>
    <w:rsid w:val="193E2AE0"/>
    <w:rsid w:val="19707BC8"/>
    <w:rsid w:val="27E244E9"/>
    <w:rsid w:val="2B641461"/>
    <w:rsid w:val="2C9F73FA"/>
    <w:rsid w:val="30F973DF"/>
    <w:rsid w:val="382C6297"/>
    <w:rsid w:val="3D2A7409"/>
    <w:rsid w:val="408C188B"/>
    <w:rsid w:val="439B4562"/>
    <w:rsid w:val="489674D4"/>
    <w:rsid w:val="48DA70EE"/>
    <w:rsid w:val="4F2262F6"/>
    <w:rsid w:val="5FC75EE7"/>
    <w:rsid w:val="60CE5709"/>
    <w:rsid w:val="60D224C4"/>
    <w:rsid w:val="632840B0"/>
    <w:rsid w:val="673E565E"/>
    <w:rsid w:val="69A61C1F"/>
    <w:rsid w:val="6B4A6855"/>
    <w:rsid w:val="6D47505E"/>
    <w:rsid w:val="77514B92"/>
    <w:rsid w:val="778C2883"/>
    <w:rsid w:val="787C3540"/>
    <w:rsid w:val="7DE3072B"/>
    <w:rsid w:val="7FA57316"/>
    <w:rsid w:val="7FF95C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autoRedefine/>
    <w:semiHidden/>
    <w:qFormat/>
    <w:uiPriority w:val="99"/>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批注框文本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1341</Words>
  <Characters>1522</Characters>
  <Lines>4</Lines>
  <Paragraphs>1</Paragraphs>
  <TotalTime>0</TotalTime>
  <ScaleCrop>false</ScaleCrop>
  <LinksUpToDate>false</LinksUpToDate>
  <CharactersWithSpaces>1573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2025-11-17T01:37:00Z</dcterms:created>
  <dc:creator>￣ω￣chuyi</dc:creator>
  <cp:lastModifiedBy>￣ω￣chuyi</cp:lastModifiedBy>
  <dcterms:modified xsi:type="dcterms:W3CDTF">2025-11-17T01:38:07Z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54098ED3D3934B6AAAC941A45E8C25DE_11</vt:lpwstr>
  </property>
</Properties>
</file>