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93E89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>项目实施技术要求</w:t>
      </w:r>
    </w:p>
    <w:p w14:paraId="7F0D5EA1">
      <w:pPr>
        <w:pStyle w:val="2"/>
        <w:rPr>
          <w:rFonts w:hint="default" w:ascii="Times New Roman" w:hAnsi="Times New Roman" w:eastAsia="宋体" w:cs="Times New Roman"/>
          <w:b w:val="0"/>
          <w:sz w:val="32"/>
          <w:szCs w:val="32"/>
          <w:lang w:val="en-US" w:eastAsia="zh-CN"/>
        </w:rPr>
      </w:pPr>
    </w:p>
    <w:p w14:paraId="358CA648">
      <w:pPr>
        <w:ind w:firstLine="640" w:firstLineChars="200"/>
        <w:rPr>
          <w:rFonts w:hint="eastAsia" w:eastAsia="方正仿宋_GBK"/>
          <w:sz w:val="32"/>
          <w:szCs w:val="32"/>
          <w:lang w:val="en-US" w:eastAsia="zh-CN"/>
        </w:rPr>
      </w:pPr>
      <w:r>
        <w:rPr>
          <w:rFonts w:eastAsia="方正仿宋_GBK"/>
          <w:sz w:val="32"/>
          <w:szCs w:val="32"/>
        </w:rPr>
        <w:t>本次项目设置</w:t>
      </w:r>
      <w:r>
        <w:rPr>
          <w:rFonts w:hint="eastAsia" w:eastAsia="方正仿宋_GBK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个示范点，</w:t>
      </w:r>
      <w:r>
        <w:rPr>
          <w:rFonts w:hint="eastAsia" w:eastAsia="方正仿宋_GBK"/>
          <w:sz w:val="32"/>
          <w:szCs w:val="32"/>
          <w:lang w:eastAsia="zh-CN"/>
        </w:rPr>
        <w:t>针对水稻“三虫两病”展开监测防治。</w:t>
      </w:r>
      <w:r>
        <w:rPr>
          <w:rFonts w:eastAsia="方正仿宋_GBK"/>
          <w:sz w:val="32"/>
          <w:szCs w:val="32"/>
        </w:rPr>
        <w:t>示范点内分</w:t>
      </w:r>
      <w:r>
        <w:rPr>
          <w:rFonts w:hint="eastAsia" w:eastAsia="方正仿宋_GBK"/>
          <w:sz w:val="32"/>
          <w:szCs w:val="32"/>
          <w:lang w:val="en-US" w:eastAsia="zh-CN"/>
        </w:rPr>
        <w:t>3</w:t>
      </w:r>
      <w:r>
        <w:rPr>
          <w:rFonts w:eastAsia="方正仿宋_GBK"/>
          <w:sz w:val="32"/>
          <w:szCs w:val="32"/>
        </w:rPr>
        <w:t>个处理区，分别为统防统治常规用药区、绿色防控</w:t>
      </w:r>
      <w:r>
        <w:rPr>
          <w:rFonts w:hint="eastAsia" w:eastAsia="方正仿宋_GBK"/>
          <w:sz w:val="32"/>
          <w:szCs w:val="32"/>
          <w:lang w:eastAsia="zh-CN"/>
        </w:rPr>
        <w:t>技术</w:t>
      </w:r>
      <w:r>
        <w:rPr>
          <w:rFonts w:eastAsia="方正仿宋_GBK"/>
          <w:sz w:val="32"/>
          <w:szCs w:val="32"/>
        </w:rPr>
        <w:t>防治区、完全不防治病虫害区。其中，完全不防治病虫害</w:t>
      </w:r>
      <w:r>
        <w:rPr>
          <w:rFonts w:hint="eastAsia" w:eastAsia="方正仿宋_GBK"/>
          <w:sz w:val="32"/>
          <w:szCs w:val="32"/>
          <w:lang w:eastAsia="zh-CN"/>
        </w:rPr>
        <w:t>区</w:t>
      </w:r>
      <w:r>
        <w:rPr>
          <w:rFonts w:hint="eastAsia" w:eastAsia="方正仿宋_GBK"/>
          <w:sz w:val="32"/>
          <w:szCs w:val="32"/>
          <w:lang w:val="en-US" w:eastAsia="zh-CN"/>
        </w:rPr>
        <w:t>1</w:t>
      </w:r>
      <w:r>
        <w:rPr>
          <w:rFonts w:eastAsia="方正仿宋_GBK"/>
          <w:sz w:val="32"/>
          <w:szCs w:val="32"/>
        </w:rPr>
        <w:t>个对照处理，不设重复；其他</w:t>
      </w:r>
      <w:r>
        <w:rPr>
          <w:rFonts w:hint="eastAsia" w:eastAsia="方正仿宋_GBK"/>
          <w:sz w:val="32"/>
          <w:szCs w:val="32"/>
          <w:lang w:val="en-US" w:eastAsia="zh-CN"/>
        </w:rPr>
        <w:t>2</w:t>
      </w:r>
      <w:r>
        <w:rPr>
          <w:rFonts w:eastAsia="方正仿宋_GBK"/>
          <w:sz w:val="32"/>
          <w:szCs w:val="32"/>
        </w:rPr>
        <w:t>个处理区，每个处理区重复3次。</w:t>
      </w:r>
    </w:p>
    <w:p w14:paraId="2AFB8C7A">
      <w:pPr>
        <w:numPr>
          <w:ilvl w:val="-1"/>
          <w:numId w:val="0"/>
        </w:numPr>
        <w:ind w:firstLine="640" w:firstLineChars="200"/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zh-CN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zh-CN" w:eastAsia="zh-CN" w:bidi="ar-SA"/>
        </w:rPr>
        <w:t>各试验区设置</w:t>
      </w:r>
    </w:p>
    <w:p w14:paraId="1BBC688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zh-CN" w:eastAsia="zh-CN" w:bidi="ar-SA"/>
        </w:rPr>
        <w:t>个处理统一种植品种和种植时间，处于同一区域，改造田埂，筑高筑宽，埂顶宽大于40cm，高出田间水位 20cm以上，反复踩实抹平，做到不窜水、肥、药。田埂两侧各预留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2-3行水稻作为保护行，不施试验药剂，减少相邻处理区之间施药影响。</w:t>
      </w:r>
    </w:p>
    <w:p w14:paraId="0043F16A">
      <w:pPr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zh-CN" w:eastAsia="zh-CN" w:bidi="ar-SA"/>
        </w:rPr>
        <w:t>各试验区用药方案</w:t>
      </w:r>
    </w:p>
    <w:p w14:paraId="020BFEE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所有处理区的螺害和草害防治处理一致，使用以下方案。</w:t>
      </w:r>
    </w:p>
    <w:p w14:paraId="4A256E0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螺害防治：于插植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后</w:t>
      </w:r>
      <w:r>
        <w:rPr>
          <w:rFonts w:hint="eastAsia" w:ascii="仿宋" w:hAnsi="仿宋" w:eastAsia="仿宋" w:cs="仿宋"/>
          <w:sz w:val="32"/>
          <w:szCs w:val="32"/>
        </w:rPr>
        <w:t>，整个田垌统一施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用茶籽麸</w:t>
      </w:r>
      <w:r>
        <w:rPr>
          <w:rFonts w:hint="eastAsia" w:ascii="仿宋" w:hAnsi="仿宋" w:eastAsia="仿宋" w:cs="仿宋"/>
          <w:sz w:val="32"/>
          <w:szCs w:val="32"/>
        </w:rPr>
        <w:t>灭螺一次，如仍有螺害发生可增加灭螺一次。</w:t>
      </w:r>
    </w:p>
    <w:p w14:paraId="53D39B83">
      <w:pPr>
        <w:pStyle w:val="2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草害防治：插植前封闭除草一次，插植返青后</w:t>
      </w:r>
      <w:r>
        <w:rPr>
          <w:rFonts w:hint="eastAsia" w:ascii="仿宋" w:hAnsi="仿宋" w:eastAsia="仿宋" w:cs="仿宋"/>
          <w:sz w:val="32"/>
          <w:szCs w:val="32"/>
        </w:rPr>
        <w:t>如仍有草害发生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可</w:t>
      </w:r>
      <w:r>
        <w:rPr>
          <w:rFonts w:hint="eastAsia" w:ascii="仿宋" w:hAnsi="仿宋" w:eastAsia="仿宋" w:cs="仿宋"/>
          <w:sz w:val="32"/>
          <w:szCs w:val="32"/>
        </w:rPr>
        <w:t>于封行前施药一次。</w:t>
      </w:r>
    </w:p>
    <w:p w14:paraId="7F1D2AF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统防统治常规用药防治区</w:t>
      </w:r>
    </w:p>
    <w:p w14:paraId="5C2FD03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插植后，当</w:t>
      </w:r>
      <w:r>
        <w:rPr>
          <w:rFonts w:hint="eastAsia" w:ascii="仿宋" w:hAnsi="仿宋" w:eastAsia="仿宋" w:cs="仿宋"/>
          <w:sz w:val="32"/>
          <w:szCs w:val="32"/>
        </w:rPr>
        <w:t>病虫达到防治指标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，可参考下表对应防治对象用药防治或使用当地农资店推荐用药，</w:t>
      </w:r>
      <w:r>
        <w:rPr>
          <w:rFonts w:hint="eastAsia" w:ascii="仿宋" w:hAnsi="仿宋" w:eastAsia="仿宋" w:cs="仿宋"/>
          <w:sz w:val="32"/>
          <w:szCs w:val="32"/>
        </w:rPr>
        <w:t>初定封行期和破口期各施药一次。</w:t>
      </w:r>
    </w:p>
    <w:tbl>
      <w:tblPr>
        <w:tblStyle w:val="11"/>
        <w:tblW w:w="8779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2"/>
        <w:gridCol w:w="4527"/>
      </w:tblGrid>
      <w:tr w14:paraId="3C311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noWrap w:val="0"/>
            <w:vAlign w:val="center"/>
          </w:tcPr>
          <w:p w14:paraId="628D30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eastAsia="zh-CN"/>
              </w:rPr>
              <w:t>防治对象</w:t>
            </w:r>
          </w:p>
        </w:tc>
        <w:tc>
          <w:tcPr>
            <w:tcW w:w="4527" w:type="dxa"/>
            <w:noWrap w:val="0"/>
            <w:vAlign w:val="center"/>
          </w:tcPr>
          <w:p w14:paraId="692649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eastAsia="zh-CN"/>
              </w:rPr>
              <w:t>防治用药</w:t>
            </w:r>
          </w:p>
        </w:tc>
      </w:tr>
      <w:tr w14:paraId="1DEFA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noWrap w:val="0"/>
            <w:vAlign w:val="center"/>
          </w:tcPr>
          <w:p w14:paraId="0548D0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稻纵卷叶螟、钻蛀性螟虫</w:t>
            </w:r>
          </w:p>
        </w:tc>
        <w:tc>
          <w:tcPr>
            <w:tcW w:w="4527" w:type="dxa"/>
            <w:noWrap w:val="0"/>
            <w:vAlign w:val="center"/>
          </w:tcPr>
          <w:p w14:paraId="4D4FD3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甲氨基阿维菌素苯甲酸盐</w:t>
            </w:r>
          </w:p>
        </w:tc>
      </w:tr>
      <w:tr w14:paraId="13A6C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noWrap w:val="0"/>
            <w:vAlign w:val="center"/>
          </w:tcPr>
          <w:p w14:paraId="119A49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稻飞虱</w:t>
            </w:r>
          </w:p>
        </w:tc>
        <w:tc>
          <w:tcPr>
            <w:tcW w:w="4527" w:type="dxa"/>
            <w:noWrap w:val="0"/>
            <w:vAlign w:val="center"/>
          </w:tcPr>
          <w:p w14:paraId="52564C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呋虫胺</w:t>
            </w:r>
          </w:p>
        </w:tc>
      </w:tr>
      <w:tr w14:paraId="6E12F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noWrap w:val="0"/>
            <w:vAlign w:val="center"/>
          </w:tcPr>
          <w:p w14:paraId="19F0C80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纹枯病</w:t>
            </w:r>
          </w:p>
        </w:tc>
        <w:tc>
          <w:tcPr>
            <w:tcW w:w="4527" w:type="dxa"/>
            <w:noWrap w:val="0"/>
            <w:vAlign w:val="center"/>
          </w:tcPr>
          <w:p w14:paraId="60A63F6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噻呋酰胺</w:t>
            </w:r>
          </w:p>
        </w:tc>
      </w:tr>
      <w:tr w14:paraId="6D696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noWrap w:val="0"/>
            <w:vAlign w:val="center"/>
          </w:tcPr>
          <w:p w14:paraId="0247A7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稻瘟病</w:t>
            </w:r>
          </w:p>
        </w:tc>
        <w:tc>
          <w:tcPr>
            <w:tcW w:w="4527" w:type="dxa"/>
            <w:noWrap w:val="0"/>
            <w:vAlign w:val="center"/>
          </w:tcPr>
          <w:p w14:paraId="1408FF8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稻瘟灵</w:t>
            </w:r>
          </w:p>
        </w:tc>
      </w:tr>
    </w:tbl>
    <w:p w14:paraId="70F4EC1F">
      <w:pPr>
        <w:pStyle w:val="2"/>
        <w:rPr>
          <w:rFonts w:hint="eastAsia" w:eastAsia="仿宋"/>
          <w:lang w:eastAsia="zh-CN"/>
        </w:rPr>
      </w:pPr>
    </w:p>
    <w:p w14:paraId="676EA1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绿色防控用药防治区:</w:t>
      </w:r>
    </w:p>
    <w:p w14:paraId="0C2DE6D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插植后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安装稻纵卷叶螟和二化螟性信息素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诱捕器用于诱捕成虫，降低下一代虫量，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性信息素诱捕器数量不少于10个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根据田间病虫发生程度，监测防治对象发生程度，</w:t>
      </w:r>
      <w:r>
        <w:rPr>
          <w:rFonts w:hint="eastAsia" w:ascii="仿宋" w:hAnsi="仿宋" w:eastAsia="仿宋" w:cs="仿宋"/>
          <w:sz w:val="32"/>
          <w:szCs w:val="32"/>
        </w:rPr>
        <w:t>达标防治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，可参考下表使用绿色高效低风险农药，并且使用量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对照常规统防统治区域减少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15%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tbl>
      <w:tblPr>
        <w:tblStyle w:val="11"/>
        <w:tblW w:w="8788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8"/>
        <w:gridCol w:w="4990"/>
      </w:tblGrid>
      <w:tr w14:paraId="7D5FF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8" w:type="dxa"/>
            <w:noWrap w:val="0"/>
            <w:vAlign w:val="center"/>
          </w:tcPr>
          <w:p w14:paraId="2184D9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eastAsia="zh-CN"/>
              </w:rPr>
              <w:t>防治对象</w:t>
            </w:r>
          </w:p>
        </w:tc>
        <w:tc>
          <w:tcPr>
            <w:tcW w:w="4990" w:type="dxa"/>
            <w:noWrap w:val="0"/>
            <w:vAlign w:val="center"/>
          </w:tcPr>
          <w:p w14:paraId="08C8E468"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eastAsia="zh-CN"/>
              </w:rPr>
              <w:t>防治用药</w:t>
            </w:r>
          </w:p>
        </w:tc>
      </w:tr>
      <w:tr w14:paraId="0005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8" w:type="dxa"/>
            <w:noWrap w:val="0"/>
            <w:vAlign w:val="center"/>
          </w:tcPr>
          <w:p w14:paraId="3CD12A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稻纵卷叶螟、钻蛀性螟虫</w:t>
            </w:r>
          </w:p>
        </w:tc>
        <w:tc>
          <w:tcPr>
            <w:tcW w:w="4990" w:type="dxa"/>
            <w:noWrap w:val="0"/>
            <w:vAlign w:val="center"/>
          </w:tcPr>
          <w:p w14:paraId="5853DC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仿宋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t>甲维・茚虫威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 xml:space="preserve"> 或 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t>乙基多杀菌素</w:t>
            </w:r>
          </w:p>
        </w:tc>
      </w:tr>
      <w:tr w14:paraId="12E34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8" w:type="dxa"/>
            <w:noWrap w:val="0"/>
            <w:vAlign w:val="center"/>
          </w:tcPr>
          <w:p w14:paraId="66BF7C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稻飞虱</w:t>
            </w:r>
          </w:p>
        </w:tc>
        <w:tc>
          <w:tcPr>
            <w:tcW w:w="4990" w:type="dxa"/>
            <w:noWrap w:val="0"/>
            <w:vAlign w:val="center"/>
          </w:tcPr>
          <w:p w14:paraId="2D525CF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仿宋" w:cs="方正仿宋_GBK"/>
                <w:sz w:val="32"/>
                <w:szCs w:val="32"/>
                <w:u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t>烯啶·吡呀酮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eastAsia="zh-CN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t>金龟子绿僵菌</w:t>
            </w:r>
          </w:p>
        </w:tc>
      </w:tr>
      <w:tr w14:paraId="71340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8" w:type="dxa"/>
            <w:noWrap w:val="0"/>
            <w:vAlign w:val="center"/>
          </w:tcPr>
          <w:p w14:paraId="13C6660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纹枯病</w:t>
            </w:r>
          </w:p>
        </w:tc>
        <w:tc>
          <w:tcPr>
            <w:tcW w:w="4990" w:type="dxa"/>
            <w:noWrap w:val="0"/>
            <w:vAlign w:val="center"/>
          </w:tcPr>
          <w:p w14:paraId="7D671B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仿宋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t>肟菌·戊唑醇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 xml:space="preserve"> 或 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t>枯草芽孢杆菌</w:t>
            </w:r>
          </w:p>
        </w:tc>
      </w:tr>
      <w:tr w14:paraId="5FE0A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8" w:type="dxa"/>
            <w:noWrap w:val="0"/>
            <w:vAlign w:val="center"/>
          </w:tcPr>
          <w:p w14:paraId="733966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稻瘟病</w:t>
            </w:r>
          </w:p>
        </w:tc>
        <w:tc>
          <w:tcPr>
            <w:tcW w:w="4990" w:type="dxa"/>
            <w:noWrap w:val="0"/>
            <w:vAlign w:val="center"/>
          </w:tcPr>
          <w:p w14:paraId="1644273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仿宋_GBK" w:hAnsi="方正仿宋_GBK" w:eastAsia="仿宋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t>三环唑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 xml:space="preserve"> 或 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t>春雷霉素</w:t>
            </w:r>
          </w:p>
        </w:tc>
      </w:tr>
    </w:tbl>
    <w:p w14:paraId="4EB950BA">
      <w:pPr>
        <w:pStyle w:val="2"/>
        <w:rPr>
          <w:rFonts w:hint="eastAsia"/>
        </w:rPr>
      </w:pPr>
    </w:p>
    <w:p w14:paraId="22D28BB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.完全不防治病虫害区：</w:t>
      </w:r>
    </w:p>
    <w:p w14:paraId="0DCFF4C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按照草害防治用药封闭除草，此外，整个生育期不开展病虫害防治。</w:t>
      </w:r>
    </w:p>
    <w:p w14:paraId="019F7DB5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三、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zh-CN"/>
        </w:rPr>
        <w:t>数据采集</w:t>
      </w:r>
    </w:p>
    <w:p w14:paraId="5F34051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记录全生育期防治用药次数和用量，对比各区域的防治用药情况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，记录入附件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。在水稻收获期，通过全区实割测产方式测量不同防治处理情况下的产量，详细记录实割面积、湿谷重量、折算单产等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，记录入附件4，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测算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使用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不同病虫害防治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措施后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挽回的损失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0E74CB6C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55C82B50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15063C82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7325C977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0CC2042E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30650A41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2B2E9CCF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32C186EF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4B315D14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1CD19DC5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2A089122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37B48C45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54B5E3E6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6F7F791A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26CC5A37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38A80D56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6AA5F0AC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</w:p>
    <w:p w14:paraId="254097D3">
      <w:pP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17" w:right="1417" w:bottom="1418" w:left="1531" w:header="851" w:footer="992" w:gutter="0"/>
          <w:pgNumType w:fmt="numberInDash"/>
          <w:cols w:space="720" w:num="1"/>
          <w:docGrid w:type="lines" w:linePitch="319" w:charSpace="0"/>
        </w:sectPr>
      </w:pPr>
    </w:p>
    <w:p w14:paraId="684CFAC0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附件1：</w:t>
      </w:r>
    </w:p>
    <w:p w14:paraId="78246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val="en-US" w:eastAsia="zh-CN"/>
        </w:rPr>
        <w:t>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稻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病虫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害防控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使用记录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表</w:t>
      </w:r>
    </w:p>
    <w:tbl>
      <w:tblPr>
        <w:tblStyle w:val="11"/>
        <w:tblW w:w="141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094"/>
        <w:gridCol w:w="1094"/>
        <w:gridCol w:w="1094"/>
        <w:gridCol w:w="1"/>
        <w:gridCol w:w="1093"/>
        <w:gridCol w:w="1094"/>
        <w:gridCol w:w="1094"/>
        <w:gridCol w:w="1094"/>
        <w:gridCol w:w="2"/>
        <w:gridCol w:w="1092"/>
        <w:gridCol w:w="1094"/>
        <w:gridCol w:w="1093"/>
        <w:gridCol w:w="1085"/>
        <w:gridCol w:w="3"/>
        <w:gridCol w:w="1069"/>
        <w:gridCol w:w="3"/>
      </w:tblGrid>
      <w:tr w14:paraId="18EDC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6" w:type="dxa"/>
            <w:gridSpan w:val="5"/>
            <w:noWrap w:val="0"/>
            <w:vAlign w:val="center"/>
          </w:tcPr>
          <w:p w14:paraId="0A97443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统防统治常规用药区</w:t>
            </w:r>
          </w:p>
        </w:tc>
        <w:tc>
          <w:tcPr>
            <w:tcW w:w="4377" w:type="dxa"/>
            <w:gridSpan w:val="5"/>
            <w:noWrap w:val="0"/>
            <w:vAlign w:val="center"/>
          </w:tcPr>
          <w:p w14:paraId="4830268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绿色防控技术防治区</w:t>
            </w:r>
          </w:p>
        </w:tc>
        <w:tc>
          <w:tcPr>
            <w:tcW w:w="4367" w:type="dxa"/>
            <w:gridSpan w:val="5"/>
            <w:noWrap w:val="0"/>
            <w:vAlign w:val="center"/>
          </w:tcPr>
          <w:p w14:paraId="55D7BE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完全不防治病虫害区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 w14:paraId="3182DA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备注</w:t>
            </w:r>
          </w:p>
        </w:tc>
      </w:tr>
      <w:tr w14:paraId="78023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</w:trPr>
        <w:tc>
          <w:tcPr>
            <w:tcW w:w="1093" w:type="dxa"/>
            <w:noWrap w:val="0"/>
            <w:vAlign w:val="center"/>
          </w:tcPr>
          <w:p w14:paraId="310B1A7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防治日期</w:t>
            </w:r>
          </w:p>
        </w:tc>
        <w:tc>
          <w:tcPr>
            <w:tcW w:w="1094" w:type="dxa"/>
            <w:noWrap w:val="0"/>
            <w:vAlign w:val="center"/>
          </w:tcPr>
          <w:p w14:paraId="5E7052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用药方案</w:t>
            </w:r>
          </w:p>
        </w:tc>
        <w:tc>
          <w:tcPr>
            <w:tcW w:w="1094" w:type="dxa"/>
            <w:noWrap w:val="0"/>
            <w:vAlign w:val="center"/>
          </w:tcPr>
          <w:p w14:paraId="19B643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防治方式</w:t>
            </w:r>
          </w:p>
        </w:tc>
        <w:tc>
          <w:tcPr>
            <w:tcW w:w="1094" w:type="dxa"/>
            <w:noWrap w:val="0"/>
            <w:vAlign w:val="center"/>
          </w:tcPr>
          <w:p w14:paraId="339829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防治对象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087CC8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防治日期</w:t>
            </w:r>
          </w:p>
        </w:tc>
        <w:tc>
          <w:tcPr>
            <w:tcW w:w="1094" w:type="dxa"/>
            <w:noWrap w:val="0"/>
            <w:vAlign w:val="center"/>
          </w:tcPr>
          <w:p w14:paraId="73D87F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用药方案</w:t>
            </w:r>
          </w:p>
        </w:tc>
        <w:tc>
          <w:tcPr>
            <w:tcW w:w="1094" w:type="dxa"/>
            <w:noWrap w:val="0"/>
            <w:vAlign w:val="center"/>
          </w:tcPr>
          <w:p w14:paraId="4F083E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防治方式</w:t>
            </w:r>
          </w:p>
        </w:tc>
        <w:tc>
          <w:tcPr>
            <w:tcW w:w="1094" w:type="dxa"/>
            <w:noWrap w:val="0"/>
            <w:vAlign w:val="center"/>
          </w:tcPr>
          <w:p w14:paraId="548F72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防治对象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1E15442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防治日期</w:t>
            </w:r>
          </w:p>
        </w:tc>
        <w:tc>
          <w:tcPr>
            <w:tcW w:w="1094" w:type="dxa"/>
            <w:noWrap w:val="0"/>
            <w:vAlign w:val="center"/>
          </w:tcPr>
          <w:p w14:paraId="5AEE96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用药方案</w:t>
            </w:r>
          </w:p>
        </w:tc>
        <w:tc>
          <w:tcPr>
            <w:tcW w:w="1093" w:type="dxa"/>
            <w:noWrap w:val="0"/>
            <w:vAlign w:val="center"/>
          </w:tcPr>
          <w:p w14:paraId="584BE6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防治方式</w:t>
            </w:r>
          </w:p>
        </w:tc>
        <w:tc>
          <w:tcPr>
            <w:tcW w:w="1085" w:type="dxa"/>
            <w:noWrap w:val="0"/>
            <w:vAlign w:val="center"/>
          </w:tcPr>
          <w:p w14:paraId="30102A9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  <w:t>防治对象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 w14:paraId="199A614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  <w:lang w:eastAsia="zh-CN"/>
              </w:rPr>
            </w:pPr>
          </w:p>
        </w:tc>
      </w:tr>
      <w:tr w14:paraId="30A09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964" w:hRule="atLeast"/>
        </w:trPr>
        <w:tc>
          <w:tcPr>
            <w:tcW w:w="1093" w:type="dxa"/>
            <w:noWrap w:val="0"/>
            <w:vAlign w:val="top"/>
          </w:tcPr>
          <w:p w14:paraId="35C7A0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52654F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20682B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03F1DF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gridSpan w:val="2"/>
            <w:noWrap w:val="0"/>
            <w:vAlign w:val="top"/>
          </w:tcPr>
          <w:p w14:paraId="471DEE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385BAE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11CDCB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303A27F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gridSpan w:val="2"/>
            <w:noWrap w:val="0"/>
            <w:vAlign w:val="top"/>
          </w:tcPr>
          <w:p w14:paraId="39CCDD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29EC87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3" w:type="dxa"/>
            <w:noWrap w:val="0"/>
            <w:vAlign w:val="top"/>
          </w:tcPr>
          <w:p w14:paraId="00E86F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85" w:type="dxa"/>
            <w:noWrap w:val="0"/>
            <w:vAlign w:val="top"/>
          </w:tcPr>
          <w:p w14:paraId="632DE9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72" w:type="dxa"/>
            <w:gridSpan w:val="2"/>
            <w:noWrap w:val="0"/>
            <w:vAlign w:val="top"/>
          </w:tcPr>
          <w:p w14:paraId="5EFF13F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</w:tr>
      <w:tr w14:paraId="63A0C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964" w:hRule="atLeast"/>
        </w:trPr>
        <w:tc>
          <w:tcPr>
            <w:tcW w:w="1093" w:type="dxa"/>
            <w:noWrap w:val="0"/>
            <w:vAlign w:val="top"/>
          </w:tcPr>
          <w:p w14:paraId="23AB44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4CDB9C5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626352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0760B2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gridSpan w:val="2"/>
            <w:noWrap w:val="0"/>
            <w:vAlign w:val="top"/>
          </w:tcPr>
          <w:p w14:paraId="275A07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502F968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7FA290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053AF9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gridSpan w:val="2"/>
            <w:noWrap w:val="0"/>
            <w:vAlign w:val="top"/>
          </w:tcPr>
          <w:p w14:paraId="57AEA8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593410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3" w:type="dxa"/>
            <w:noWrap w:val="0"/>
            <w:vAlign w:val="top"/>
          </w:tcPr>
          <w:p w14:paraId="7D20ACE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85" w:type="dxa"/>
            <w:noWrap w:val="0"/>
            <w:vAlign w:val="top"/>
          </w:tcPr>
          <w:p w14:paraId="340253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72" w:type="dxa"/>
            <w:gridSpan w:val="2"/>
            <w:noWrap w:val="0"/>
            <w:vAlign w:val="top"/>
          </w:tcPr>
          <w:p w14:paraId="5F75A29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</w:tr>
      <w:tr w14:paraId="49AED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964" w:hRule="atLeast"/>
        </w:trPr>
        <w:tc>
          <w:tcPr>
            <w:tcW w:w="1093" w:type="dxa"/>
            <w:noWrap w:val="0"/>
            <w:vAlign w:val="top"/>
          </w:tcPr>
          <w:p w14:paraId="31F291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45CE80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0FF95C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732FD9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gridSpan w:val="2"/>
            <w:noWrap w:val="0"/>
            <w:vAlign w:val="top"/>
          </w:tcPr>
          <w:p w14:paraId="6251C1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184B7C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5A0E44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53FBAD1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gridSpan w:val="2"/>
            <w:noWrap w:val="0"/>
            <w:vAlign w:val="top"/>
          </w:tcPr>
          <w:p w14:paraId="0104D6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66180A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3" w:type="dxa"/>
            <w:noWrap w:val="0"/>
            <w:vAlign w:val="top"/>
          </w:tcPr>
          <w:p w14:paraId="46F064B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85" w:type="dxa"/>
            <w:noWrap w:val="0"/>
            <w:vAlign w:val="top"/>
          </w:tcPr>
          <w:p w14:paraId="2FB496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72" w:type="dxa"/>
            <w:gridSpan w:val="2"/>
            <w:noWrap w:val="0"/>
            <w:vAlign w:val="top"/>
          </w:tcPr>
          <w:p w14:paraId="5B450A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</w:tr>
      <w:tr w14:paraId="7A4A0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964" w:hRule="atLeast"/>
        </w:trPr>
        <w:tc>
          <w:tcPr>
            <w:tcW w:w="1093" w:type="dxa"/>
            <w:noWrap w:val="0"/>
            <w:vAlign w:val="top"/>
          </w:tcPr>
          <w:p w14:paraId="61316D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463D828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1670A7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5DEA500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gridSpan w:val="2"/>
            <w:noWrap w:val="0"/>
            <w:vAlign w:val="top"/>
          </w:tcPr>
          <w:p w14:paraId="5073FD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44B681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713A7A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1D6AC4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gridSpan w:val="2"/>
            <w:noWrap w:val="0"/>
            <w:vAlign w:val="top"/>
          </w:tcPr>
          <w:p w14:paraId="319332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069044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3" w:type="dxa"/>
            <w:noWrap w:val="0"/>
            <w:vAlign w:val="top"/>
          </w:tcPr>
          <w:p w14:paraId="489AF0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85" w:type="dxa"/>
            <w:noWrap w:val="0"/>
            <w:vAlign w:val="top"/>
          </w:tcPr>
          <w:p w14:paraId="0C68CDB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72" w:type="dxa"/>
            <w:gridSpan w:val="2"/>
            <w:noWrap w:val="0"/>
            <w:vAlign w:val="top"/>
          </w:tcPr>
          <w:p w14:paraId="20F4F0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</w:tr>
      <w:tr w14:paraId="6FA6B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964" w:hRule="atLeast"/>
        </w:trPr>
        <w:tc>
          <w:tcPr>
            <w:tcW w:w="1093" w:type="dxa"/>
            <w:noWrap w:val="0"/>
            <w:vAlign w:val="top"/>
          </w:tcPr>
          <w:p w14:paraId="698405B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6FC201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230AAB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57F6DC7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gridSpan w:val="2"/>
            <w:noWrap w:val="0"/>
            <w:vAlign w:val="top"/>
          </w:tcPr>
          <w:p w14:paraId="5E4B1F6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49D51B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449B4F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363B75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gridSpan w:val="2"/>
            <w:noWrap w:val="0"/>
            <w:vAlign w:val="top"/>
          </w:tcPr>
          <w:p w14:paraId="7F0746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4" w:type="dxa"/>
            <w:noWrap w:val="0"/>
            <w:vAlign w:val="top"/>
          </w:tcPr>
          <w:p w14:paraId="17C0E1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93" w:type="dxa"/>
            <w:noWrap w:val="0"/>
            <w:vAlign w:val="top"/>
          </w:tcPr>
          <w:p w14:paraId="10FB3F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85" w:type="dxa"/>
            <w:noWrap w:val="0"/>
            <w:vAlign w:val="top"/>
          </w:tcPr>
          <w:p w14:paraId="709C9D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  <w:tc>
          <w:tcPr>
            <w:tcW w:w="1072" w:type="dxa"/>
            <w:gridSpan w:val="2"/>
            <w:noWrap w:val="0"/>
            <w:vAlign w:val="top"/>
          </w:tcPr>
          <w:p w14:paraId="24A978C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4"/>
                <w:vertAlign w:val="baseline"/>
              </w:rPr>
            </w:pPr>
          </w:p>
        </w:tc>
      </w:tr>
    </w:tbl>
    <w:p w14:paraId="3E72946C">
      <w:pPr>
        <w:pStyle w:val="2"/>
        <w:ind w:firstLine="0" w:firstLineChars="0"/>
        <w:rPr>
          <w:rFonts w:hint="default"/>
          <w:lang w:val="en-US" w:eastAsia="zh-CN"/>
        </w:rPr>
      </w:pPr>
    </w:p>
    <w:p w14:paraId="2EB4A6BE">
      <w:pPr>
        <w:pStyle w:val="2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附件2：</w:t>
      </w:r>
    </w:p>
    <w:p w14:paraId="1CDE9230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i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eastAsia="zh-CN"/>
        </w:rPr>
        <w:t>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val="en-US" w:eastAsia="zh-CN"/>
        </w:rPr>
        <w:t>稻</w:t>
      </w:r>
      <w:r>
        <w:rPr>
          <w:rFonts w:hint="eastAsia" w:ascii="方正小标宋简体" w:hAnsi="方正小标宋简体" w:eastAsia="方正小标宋简体" w:cs="方正小标宋简体"/>
          <w:iCs/>
          <w:sz w:val="44"/>
          <w:szCs w:val="44"/>
          <w:lang w:val="en-US" w:eastAsia="zh-CN"/>
        </w:rPr>
        <w:t>测产情况表</w:t>
      </w:r>
    </w:p>
    <w:tbl>
      <w:tblPr>
        <w:tblStyle w:val="11"/>
        <w:tblpPr w:leftFromText="180" w:rightFromText="180" w:vertAnchor="text" w:horzAnchor="page" w:tblpX="2464" w:tblpY="661"/>
        <w:tblOverlap w:val="never"/>
        <w:tblW w:w="11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2218"/>
        <w:gridCol w:w="2219"/>
        <w:gridCol w:w="2219"/>
        <w:gridCol w:w="1997"/>
      </w:tblGrid>
      <w:tr w14:paraId="14D19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65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vertAlign w:val="baseline"/>
                <w:lang w:val="en-US" w:eastAsia="zh-CN"/>
              </w:rPr>
              <w:t>试验处理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33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  <w:t>重复1</w:t>
            </w:r>
          </w:p>
          <w:p w14:paraId="36300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u w:val="none"/>
              </w:rPr>
              <w:t>kg/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u w:val="none"/>
                <w:lang w:val="en-US" w:eastAsia="zh-CN"/>
              </w:rPr>
              <w:t>667m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B4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  <w:t>重复2</w:t>
            </w:r>
          </w:p>
          <w:p w14:paraId="12E19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u w:val="none"/>
              </w:rPr>
              <w:t>kg/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u w:val="none"/>
                <w:lang w:val="en-US" w:eastAsia="zh-CN"/>
              </w:rPr>
              <w:t>667m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BD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  <w:t>重复3</w:t>
            </w:r>
          </w:p>
          <w:p w14:paraId="56FB2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u w:val="none"/>
              </w:rPr>
              <w:t>kg/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u w:val="none"/>
                <w:lang w:val="en-US" w:eastAsia="zh-CN"/>
              </w:rPr>
              <w:t>667m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u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19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00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vertAlign w:val="baseline"/>
                <w:lang w:val="en-US" w:eastAsia="zh-CN"/>
              </w:rPr>
              <w:t>平均单产（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  <w:t>kg/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lang w:val="en-US" w:eastAsia="zh-CN"/>
              </w:rPr>
              <w:t>667m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iCs/>
                <w:sz w:val="32"/>
                <w:szCs w:val="32"/>
                <w:vertAlign w:val="baseline"/>
                <w:lang w:val="en-US" w:eastAsia="zh-CN"/>
              </w:rPr>
              <w:t>）</w:t>
            </w:r>
          </w:p>
        </w:tc>
      </w:tr>
      <w:tr w14:paraId="06E99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9" w:type="dxa"/>
            <w:tcBorders>
              <w:right w:val="single" w:color="auto" w:sz="4" w:space="0"/>
            </w:tcBorders>
            <w:noWrap w:val="0"/>
            <w:vAlign w:val="center"/>
          </w:tcPr>
          <w:p w14:paraId="28022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统防统治常规用药区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96116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A9274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68B0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7" w:type="dxa"/>
            <w:tcBorders>
              <w:left w:val="single" w:color="auto" w:sz="4" w:space="0"/>
            </w:tcBorders>
            <w:noWrap w:val="0"/>
            <w:vAlign w:val="center"/>
          </w:tcPr>
          <w:p w14:paraId="74E8DC5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523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9" w:type="dxa"/>
            <w:noWrap w:val="0"/>
            <w:vAlign w:val="center"/>
          </w:tcPr>
          <w:p w14:paraId="6C8C6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绿色防控技术防治区</w:t>
            </w:r>
          </w:p>
        </w:tc>
        <w:tc>
          <w:tcPr>
            <w:tcW w:w="2218" w:type="dxa"/>
            <w:tcBorders>
              <w:top w:val="single" w:color="auto" w:sz="4" w:space="0"/>
            </w:tcBorders>
            <w:noWrap w:val="0"/>
            <w:vAlign w:val="center"/>
          </w:tcPr>
          <w:p w14:paraId="3FB7D5B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19" w:type="dxa"/>
            <w:tcBorders>
              <w:top w:val="single" w:color="auto" w:sz="4" w:space="0"/>
            </w:tcBorders>
            <w:noWrap w:val="0"/>
            <w:vAlign w:val="center"/>
          </w:tcPr>
          <w:p w14:paraId="6909925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19" w:type="dxa"/>
            <w:tcBorders>
              <w:top w:val="single" w:color="auto" w:sz="4" w:space="0"/>
            </w:tcBorders>
            <w:noWrap w:val="0"/>
            <w:vAlign w:val="center"/>
          </w:tcPr>
          <w:p w14:paraId="3C1EEB5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570133A9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C690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9" w:type="dxa"/>
            <w:noWrap w:val="0"/>
            <w:vAlign w:val="center"/>
          </w:tcPr>
          <w:p w14:paraId="5EF65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完全不防治病虫害区</w:t>
            </w:r>
          </w:p>
        </w:tc>
        <w:tc>
          <w:tcPr>
            <w:tcW w:w="2218" w:type="dxa"/>
            <w:noWrap w:val="0"/>
            <w:vAlign w:val="center"/>
          </w:tcPr>
          <w:p w14:paraId="02D687C3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  <w:t>/</w:t>
            </w:r>
          </w:p>
        </w:tc>
        <w:tc>
          <w:tcPr>
            <w:tcW w:w="2219" w:type="dxa"/>
            <w:noWrap w:val="0"/>
            <w:vAlign w:val="center"/>
          </w:tcPr>
          <w:p w14:paraId="5F4E0DA4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  <w:t>/</w:t>
            </w:r>
          </w:p>
        </w:tc>
        <w:tc>
          <w:tcPr>
            <w:tcW w:w="2219" w:type="dxa"/>
            <w:noWrap w:val="0"/>
            <w:vAlign w:val="center"/>
          </w:tcPr>
          <w:p w14:paraId="5963F597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  <w:t>/</w:t>
            </w:r>
          </w:p>
        </w:tc>
        <w:tc>
          <w:tcPr>
            <w:tcW w:w="1997" w:type="dxa"/>
            <w:noWrap w:val="0"/>
            <w:vAlign w:val="center"/>
          </w:tcPr>
          <w:p w14:paraId="12AB275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i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740015B">
      <w:pPr>
        <w:pStyle w:val="2"/>
        <w:ind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474" w:right="1417" w:bottom="1417" w:left="1418" w:header="851" w:footer="992" w:gutter="0"/>
      <w:pgNumType w:fmt="numberInDash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797CA"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379EA">
    <w:pPr>
      <w:ind w:left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06"/>
    <w:rsid w:val="000A5E3E"/>
    <w:rsid w:val="000B27AC"/>
    <w:rsid w:val="000B50A1"/>
    <w:rsid w:val="000D4C07"/>
    <w:rsid w:val="000E12BD"/>
    <w:rsid w:val="00133052"/>
    <w:rsid w:val="001A0506"/>
    <w:rsid w:val="001A30E0"/>
    <w:rsid w:val="002319B6"/>
    <w:rsid w:val="00251414"/>
    <w:rsid w:val="00281396"/>
    <w:rsid w:val="0028383F"/>
    <w:rsid w:val="00320481"/>
    <w:rsid w:val="00380CE7"/>
    <w:rsid w:val="003D3541"/>
    <w:rsid w:val="003D3E94"/>
    <w:rsid w:val="004047D5"/>
    <w:rsid w:val="004A597E"/>
    <w:rsid w:val="004E6569"/>
    <w:rsid w:val="0056150F"/>
    <w:rsid w:val="005673AA"/>
    <w:rsid w:val="00573235"/>
    <w:rsid w:val="0058725A"/>
    <w:rsid w:val="005C3E82"/>
    <w:rsid w:val="006068C2"/>
    <w:rsid w:val="006173D8"/>
    <w:rsid w:val="0063703E"/>
    <w:rsid w:val="00707AE1"/>
    <w:rsid w:val="007121C9"/>
    <w:rsid w:val="00722D6B"/>
    <w:rsid w:val="00741D14"/>
    <w:rsid w:val="00773809"/>
    <w:rsid w:val="007B29BB"/>
    <w:rsid w:val="007C062A"/>
    <w:rsid w:val="007D492F"/>
    <w:rsid w:val="00820DE5"/>
    <w:rsid w:val="00856251"/>
    <w:rsid w:val="008928E2"/>
    <w:rsid w:val="008B4517"/>
    <w:rsid w:val="008C374B"/>
    <w:rsid w:val="008C52BB"/>
    <w:rsid w:val="00900903"/>
    <w:rsid w:val="00902656"/>
    <w:rsid w:val="00920C61"/>
    <w:rsid w:val="00990B58"/>
    <w:rsid w:val="009A0BAA"/>
    <w:rsid w:val="009D2E73"/>
    <w:rsid w:val="009F7F32"/>
    <w:rsid w:val="00A161B7"/>
    <w:rsid w:val="00A419C9"/>
    <w:rsid w:val="00A60E0E"/>
    <w:rsid w:val="00AB41F1"/>
    <w:rsid w:val="00B7775B"/>
    <w:rsid w:val="00B94983"/>
    <w:rsid w:val="00B96457"/>
    <w:rsid w:val="00BD3AFA"/>
    <w:rsid w:val="00C02227"/>
    <w:rsid w:val="00C64C05"/>
    <w:rsid w:val="00C92D9D"/>
    <w:rsid w:val="00D20B8B"/>
    <w:rsid w:val="00D73F2E"/>
    <w:rsid w:val="00DC27AC"/>
    <w:rsid w:val="00DC4D37"/>
    <w:rsid w:val="00E25632"/>
    <w:rsid w:val="00E26B79"/>
    <w:rsid w:val="00E362F2"/>
    <w:rsid w:val="00E42367"/>
    <w:rsid w:val="00E75A37"/>
    <w:rsid w:val="00EA2C2A"/>
    <w:rsid w:val="00F20619"/>
    <w:rsid w:val="00F23B68"/>
    <w:rsid w:val="00F536FD"/>
    <w:rsid w:val="00FF5382"/>
    <w:rsid w:val="030A753D"/>
    <w:rsid w:val="042B5325"/>
    <w:rsid w:val="05D73C7E"/>
    <w:rsid w:val="071E0080"/>
    <w:rsid w:val="07630BD8"/>
    <w:rsid w:val="079A1F13"/>
    <w:rsid w:val="08C71906"/>
    <w:rsid w:val="0912389A"/>
    <w:rsid w:val="0923319A"/>
    <w:rsid w:val="0A9B537A"/>
    <w:rsid w:val="0AD12D55"/>
    <w:rsid w:val="0AE873BD"/>
    <w:rsid w:val="0AEB5F77"/>
    <w:rsid w:val="0B7C0033"/>
    <w:rsid w:val="0BB945E0"/>
    <w:rsid w:val="0BDC083E"/>
    <w:rsid w:val="0BF36099"/>
    <w:rsid w:val="0CBB44AB"/>
    <w:rsid w:val="0DEF65B6"/>
    <w:rsid w:val="0DF0116A"/>
    <w:rsid w:val="0E1E44DC"/>
    <w:rsid w:val="0E293569"/>
    <w:rsid w:val="0E2F7174"/>
    <w:rsid w:val="0EA052F8"/>
    <w:rsid w:val="0ED5781F"/>
    <w:rsid w:val="0FDC2DD5"/>
    <w:rsid w:val="0FE6122D"/>
    <w:rsid w:val="10AB4BE3"/>
    <w:rsid w:val="10C53A5D"/>
    <w:rsid w:val="110E1072"/>
    <w:rsid w:val="115913D9"/>
    <w:rsid w:val="118C4748"/>
    <w:rsid w:val="11E37CD0"/>
    <w:rsid w:val="12C56390"/>
    <w:rsid w:val="13331C33"/>
    <w:rsid w:val="133D7BFB"/>
    <w:rsid w:val="151B27C3"/>
    <w:rsid w:val="15671AC0"/>
    <w:rsid w:val="159E7576"/>
    <w:rsid w:val="189B7CA5"/>
    <w:rsid w:val="18BC3B00"/>
    <w:rsid w:val="19C321DA"/>
    <w:rsid w:val="1A435F22"/>
    <w:rsid w:val="1AF062B2"/>
    <w:rsid w:val="1B4836BE"/>
    <w:rsid w:val="1C547C10"/>
    <w:rsid w:val="1CA80341"/>
    <w:rsid w:val="1CCD70B8"/>
    <w:rsid w:val="1D084479"/>
    <w:rsid w:val="1EE64CBE"/>
    <w:rsid w:val="1F857984"/>
    <w:rsid w:val="21E253A6"/>
    <w:rsid w:val="23652A18"/>
    <w:rsid w:val="24AA1961"/>
    <w:rsid w:val="2660707E"/>
    <w:rsid w:val="26C70E5C"/>
    <w:rsid w:val="27297181"/>
    <w:rsid w:val="276C48FD"/>
    <w:rsid w:val="28771561"/>
    <w:rsid w:val="288246BA"/>
    <w:rsid w:val="29321E56"/>
    <w:rsid w:val="2A064CF7"/>
    <w:rsid w:val="2A150A48"/>
    <w:rsid w:val="2A1F319D"/>
    <w:rsid w:val="2A3A2957"/>
    <w:rsid w:val="2AB44D28"/>
    <w:rsid w:val="2AD51059"/>
    <w:rsid w:val="2B046351"/>
    <w:rsid w:val="2B2A3DC0"/>
    <w:rsid w:val="2BB30E1A"/>
    <w:rsid w:val="2D270197"/>
    <w:rsid w:val="2DB822C3"/>
    <w:rsid w:val="2EB55985"/>
    <w:rsid w:val="2ECC6028"/>
    <w:rsid w:val="2F0707CA"/>
    <w:rsid w:val="311E798C"/>
    <w:rsid w:val="314C1F71"/>
    <w:rsid w:val="317A1163"/>
    <w:rsid w:val="31B176FD"/>
    <w:rsid w:val="31E537C3"/>
    <w:rsid w:val="320E323C"/>
    <w:rsid w:val="325B275B"/>
    <w:rsid w:val="32830F44"/>
    <w:rsid w:val="329D0374"/>
    <w:rsid w:val="33597AF6"/>
    <w:rsid w:val="341576F2"/>
    <w:rsid w:val="34984D2A"/>
    <w:rsid w:val="35281796"/>
    <w:rsid w:val="35603B0D"/>
    <w:rsid w:val="35B31481"/>
    <w:rsid w:val="36215813"/>
    <w:rsid w:val="3652394D"/>
    <w:rsid w:val="368C21DB"/>
    <w:rsid w:val="36907429"/>
    <w:rsid w:val="36DD4417"/>
    <w:rsid w:val="37F73401"/>
    <w:rsid w:val="385F2759"/>
    <w:rsid w:val="38C2428D"/>
    <w:rsid w:val="38EE32EB"/>
    <w:rsid w:val="39120F18"/>
    <w:rsid w:val="39454544"/>
    <w:rsid w:val="39BD4DD0"/>
    <w:rsid w:val="3B9278BD"/>
    <w:rsid w:val="3C4D6FA3"/>
    <w:rsid w:val="3CD53E3C"/>
    <w:rsid w:val="3CEA21A8"/>
    <w:rsid w:val="3CEE436E"/>
    <w:rsid w:val="3CF34376"/>
    <w:rsid w:val="3D170813"/>
    <w:rsid w:val="3DFE7880"/>
    <w:rsid w:val="3EB94064"/>
    <w:rsid w:val="3F074B12"/>
    <w:rsid w:val="3F1C4D94"/>
    <w:rsid w:val="3F30338B"/>
    <w:rsid w:val="3FC94638"/>
    <w:rsid w:val="401555D4"/>
    <w:rsid w:val="40275ED6"/>
    <w:rsid w:val="405B7646"/>
    <w:rsid w:val="4098560D"/>
    <w:rsid w:val="40BD38D6"/>
    <w:rsid w:val="414C1336"/>
    <w:rsid w:val="422A607F"/>
    <w:rsid w:val="42AC3FBD"/>
    <w:rsid w:val="42DF6D6A"/>
    <w:rsid w:val="43405764"/>
    <w:rsid w:val="43F87AD9"/>
    <w:rsid w:val="44F47016"/>
    <w:rsid w:val="45417568"/>
    <w:rsid w:val="46E8189D"/>
    <w:rsid w:val="47B3034D"/>
    <w:rsid w:val="47C66471"/>
    <w:rsid w:val="47D70711"/>
    <w:rsid w:val="48152566"/>
    <w:rsid w:val="48992FF6"/>
    <w:rsid w:val="49183C43"/>
    <w:rsid w:val="49485445"/>
    <w:rsid w:val="498D5A5A"/>
    <w:rsid w:val="49AA6F76"/>
    <w:rsid w:val="49B43A63"/>
    <w:rsid w:val="4AC05951"/>
    <w:rsid w:val="4B634133"/>
    <w:rsid w:val="4B936CDE"/>
    <w:rsid w:val="4CE61519"/>
    <w:rsid w:val="4D4D014F"/>
    <w:rsid w:val="4D7D7879"/>
    <w:rsid w:val="4DAF3101"/>
    <w:rsid w:val="4ED67EEE"/>
    <w:rsid w:val="4EE37132"/>
    <w:rsid w:val="4F2535BF"/>
    <w:rsid w:val="4F6762BD"/>
    <w:rsid w:val="50AC789E"/>
    <w:rsid w:val="50D93624"/>
    <w:rsid w:val="518C3C20"/>
    <w:rsid w:val="51B5297C"/>
    <w:rsid w:val="51DC3037"/>
    <w:rsid w:val="520D5713"/>
    <w:rsid w:val="52994DED"/>
    <w:rsid w:val="533C1627"/>
    <w:rsid w:val="53444954"/>
    <w:rsid w:val="541772CB"/>
    <w:rsid w:val="54466936"/>
    <w:rsid w:val="547F1CF9"/>
    <w:rsid w:val="55226968"/>
    <w:rsid w:val="56451A7B"/>
    <w:rsid w:val="57AC24B7"/>
    <w:rsid w:val="57D86529"/>
    <w:rsid w:val="581A6E01"/>
    <w:rsid w:val="585321EB"/>
    <w:rsid w:val="58A6482F"/>
    <w:rsid w:val="58E4154D"/>
    <w:rsid w:val="598B690F"/>
    <w:rsid w:val="5A570F67"/>
    <w:rsid w:val="5B0716AB"/>
    <w:rsid w:val="5B221D82"/>
    <w:rsid w:val="5B8F4046"/>
    <w:rsid w:val="5BBD2F9A"/>
    <w:rsid w:val="5C4A052B"/>
    <w:rsid w:val="5D044A26"/>
    <w:rsid w:val="5D4D7506"/>
    <w:rsid w:val="5DD35340"/>
    <w:rsid w:val="5DF63D58"/>
    <w:rsid w:val="5E6833D4"/>
    <w:rsid w:val="5E7B2F85"/>
    <w:rsid w:val="5F2E69A7"/>
    <w:rsid w:val="5FEE65A1"/>
    <w:rsid w:val="601215D3"/>
    <w:rsid w:val="607573DF"/>
    <w:rsid w:val="61367F49"/>
    <w:rsid w:val="625B0B54"/>
    <w:rsid w:val="629D1E70"/>
    <w:rsid w:val="62DE6137"/>
    <w:rsid w:val="62EE379A"/>
    <w:rsid w:val="64002E4C"/>
    <w:rsid w:val="64F46001"/>
    <w:rsid w:val="650D7849"/>
    <w:rsid w:val="6569623C"/>
    <w:rsid w:val="65A005D9"/>
    <w:rsid w:val="66225083"/>
    <w:rsid w:val="666A221C"/>
    <w:rsid w:val="66B17DD9"/>
    <w:rsid w:val="67681A53"/>
    <w:rsid w:val="67A7397F"/>
    <w:rsid w:val="67A924AC"/>
    <w:rsid w:val="67DA5678"/>
    <w:rsid w:val="67E10981"/>
    <w:rsid w:val="68327258"/>
    <w:rsid w:val="683A4A0D"/>
    <w:rsid w:val="69D0786C"/>
    <w:rsid w:val="6A3268C4"/>
    <w:rsid w:val="6A7A3D06"/>
    <w:rsid w:val="6B1F58D3"/>
    <w:rsid w:val="6B765EF9"/>
    <w:rsid w:val="6C802F93"/>
    <w:rsid w:val="6CDE7F9B"/>
    <w:rsid w:val="6D481966"/>
    <w:rsid w:val="6DE24609"/>
    <w:rsid w:val="6E1302C2"/>
    <w:rsid w:val="6E2A5C3B"/>
    <w:rsid w:val="6EDE378A"/>
    <w:rsid w:val="6F0754D2"/>
    <w:rsid w:val="6FC63676"/>
    <w:rsid w:val="6FE1545C"/>
    <w:rsid w:val="7236782D"/>
    <w:rsid w:val="73C32747"/>
    <w:rsid w:val="742A229A"/>
    <w:rsid w:val="7443112B"/>
    <w:rsid w:val="74C37016"/>
    <w:rsid w:val="74DA2360"/>
    <w:rsid w:val="74E86E28"/>
    <w:rsid w:val="750E79D8"/>
    <w:rsid w:val="75400ED3"/>
    <w:rsid w:val="75492610"/>
    <w:rsid w:val="776E5F4D"/>
    <w:rsid w:val="78346863"/>
    <w:rsid w:val="784E7E2F"/>
    <w:rsid w:val="78946B07"/>
    <w:rsid w:val="7967211C"/>
    <w:rsid w:val="79C878A3"/>
    <w:rsid w:val="7A1D06C2"/>
    <w:rsid w:val="7A263716"/>
    <w:rsid w:val="7B2F2AD4"/>
    <w:rsid w:val="7B5A27BE"/>
    <w:rsid w:val="7C2A5A1C"/>
    <w:rsid w:val="7C8D047E"/>
    <w:rsid w:val="7CCB2F89"/>
    <w:rsid w:val="7D1320D1"/>
    <w:rsid w:val="7D72084A"/>
    <w:rsid w:val="7E1E43AA"/>
    <w:rsid w:val="7E756FF2"/>
    <w:rsid w:val="7EB61CD6"/>
    <w:rsid w:val="7EE86FD4"/>
    <w:rsid w:val="7F9B7B03"/>
    <w:rsid w:val="7FBD00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styleId="4">
    <w:name w:val="toc 3"/>
    <w:basedOn w:val="1"/>
    <w:next w:val="1"/>
    <w:unhideWhenUsed/>
    <w:qFormat/>
    <w:uiPriority w:val="39"/>
    <w:pPr>
      <w:ind w:left="640"/>
      <w:jc w:val="left"/>
    </w:pPr>
    <w:rPr>
      <w:rFonts w:ascii="Calibri" w:hAnsi="Calibri"/>
      <w:i/>
      <w:iCs/>
      <w:sz w:val="20"/>
      <w:szCs w:val="20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8">
    <w:name w:val="toc 2"/>
    <w:basedOn w:val="1"/>
    <w:next w:val="1"/>
    <w:unhideWhenUsed/>
    <w:qFormat/>
    <w:uiPriority w:val="39"/>
    <w:pPr>
      <w:ind w:left="320"/>
      <w:jc w:val="left"/>
    </w:pPr>
    <w:rPr>
      <w:rFonts w:ascii="Calibri" w:hAnsi="Calibri"/>
      <w:smallCaps/>
      <w:sz w:val="20"/>
      <w:szCs w:val="20"/>
    </w:rPr>
  </w:style>
  <w:style w:type="paragraph" w:styleId="9">
    <w:name w:val="Title"/>
    <w:basedOn w:val="1"/>
    <w:next w:val="1"/>
    <w:qFormat/>
    <w:uiPriority w:val="0"/>
    <w:pPr>
      <w:jc w:val="center"/>
      <w:outlineLvl w:val="0"/>
    </w:pPr>
    <w:rPr>
      <w:rFonts w:ascii="Cambria" w:hAnsi="Cambria" w:eastAsia="方正小标宋简体"/>
      <w:b/>
      <w:bCs/>
      <w:sz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qFormat/>
    <w:uiPriority w:val="0"/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customStyle="1" w:styleId="15">
    <w:name w:val="font01"/>
    <w:uiPriority w:val="0"/>
    <w:rPr>
      <w:rFonts w:ascii="Arial" w:hAnsi="Arial" w:cs="Arial"/>
      <w:b/>
      <w:color w:val="000000"/>
      <w:sz w:val="22"/>
      <w:szCs w:val="22"/>
      <w:u w:val="none"/>
    </w:rPr>
  </w:style>
  <w:style w:type="character" w:customStyle="1" w:styleId="16">
    <w:name w:val="font11"/>
    <w:uiPriority w:val="0"/>
    <w:rPr>
      <w:rFonts w:hint="eastAsia" w:ascii="仿宋_GB2312" w:eastAsia="仿宋_GB2312" w:cs="仿宋_GB2312"/>
      <w:b/>
      <w:color w:val="000000"/>
      <w:sz w:val="22"/>
      <w:szCs w:val="22"/>
      <w:u w:val="none"/>
    </w:rPr>
  </w:style>
  <w:style w:type="character" w:customStyle="1" w:styleId="17">
    <w:name w:val="font41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8">
    <w:name w:val="页脚 字符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2335</Words>
  <Characters>2401</Characters>
  <Lines>26</Lines>
  <Paragraphs>7</Paragraphs>
  <TotalTime>38</TotalTime>
  <ScaleCrop>false</ScaleCrop>
  <LinksUpToDate>false</LinksUpToDate>
  <CharactersWithSpaces>2425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2019-12-03T03:59:00Z</dcterms:created>
  <dc:creator>LSX</dc:creator>
  <cp:lastModifiedBy>茵茵</cp:lastModifiedBy>
  <cp:lastPrinted>2023-03-16T07:20:00Z</cp:lastPrinted>
  <dcterms:modified xsi:type="dcterms:W3CDTF">2026-07-23T07:25:47Z</dcterms:modified>
  <dc:title>绩效评价报告基本格式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796260447C7C4D22BC036628C783D1EA_13</vt:lpwstr>
  </property>
  <property fmtid="{D5CDD505-2E9C-101B-9397-08002B2CF9AE}" pid="4" name="KSOTemplateDocerSaveRecord">
    <vt:lpwstr>eyJoZGlkIjoiZDhkZDIxMWM5OTczMzA0ZThjNjMyMzlmMzVjM2QyY2QiLCJ1c2VySWQiOiI0NTY0NTI2NDEifQ==</vt:lpwstr>
  </property>
</Properties>
</file>