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BD91A4">
      <w:pPr>
        <w:spacing w:line="288" w:lineRule="auto"/>
        <w:jc w:val="both"/>
        <w:rPr>
          <w:rFonts w:hint="default" w:ascii="Times New Roman" w:hAnsi="Times New Roman" w:eastAsia="方正小标宋_GBK" w:cs="Times New Roman"/>
          <w:b/>
          <w:sz w:val="36"/>
          <w:szCs w:val="36"/>
        </w:rPr>
      </w:pPr>
      <w:bookmarkStart w:id="0" w:name="PO_part3A3Year1"/>
    </w:p>
    <w:p w14:paraId="0DF8FFCF">
      <w:pPr>
        <w:spacing w:line="288" w:lineRule="auto"/>
        <w:ind w:firstLine="723" w:firstLineChars="200"/>
        <w:jc w:val="center"/>
        <w:rPr>
          <w:rFonts w:hint="default" w:ascii="Times New Roman" w:hAnsi="Times New Roman" w:eastAsia="方正小标宋_GBK" w:cs="Times New Roman"/>
          <w:b/>
          <w:sz w:val="36"/>
          <w:szCs w:val="36"/>
        </w:rPr>
      </w:pPr>
      <w:r>
        <w:rPr>
          <w:rFonts w:hint="default" w:ascii="Times New Roman" w:hAnsi="Times New Roman" w:eastAsia="方正小标宋_GBK" w:cs="Times New Roman"/>
          <w:b/>
          <w:sz w:val="36"/>
          <w:szCs w:val="36"/>
        </w:rPr>
        <w:t>鹤山市</w:t>
      </w:r>
      <w:r>
        <w:rPr>
          <w:rFonts w:hint="default" w:ascii="Times New Roman" w:hAnsi="Times New Roman" w:eastAsia="方正小标宋_GBK" w:cs="Times New Roman"/>
          <w:b/>
          <w:sz w:val="36"/>
          <w:szCs w:val="36"/>
          <w:lang w:val="en-US" w:eastAsia="zh-CN"/>
        </w:rPr>
        <w:t>公安局</w:t>
      </w:r>
      <w:r>
        <w:rPr>
          <w:rFonts w:hint="default" w:ascii="Times New Roman" w:hAnsi="Times New Roman" w:eastAsia="方正小标宋_GBK" w:cs="Times New Roman"/>
          <w:b/>
          <w:sz w:val="36"/>
          <w:szCs w:val="36"/>
        </w:rPr>
        <w:t>202</w:t>
      </w:r>
      <w:bookmarkEnd w:id="0"/>
      <w:r>
        <w:rPr>
          <w:rFonts w:hint="default" w:ascii="Times New Roman" w:hAnsi="Times New Roman" w:eastAsia="方正小标宋_GBK" w:cs="Times New Roman"/>
          <w:b/>
          <w:sz w:val="36"/>
          <w:szCs w:val="36"/>
          <w:lang w:val="en-US" w:eastAsia="zh-CN"/>
        </w:rPr>
        <w:t>5</w:t>
      </w:r>
      <w:r>
        <w:rPr>
          <w:rFonts w:hint="default" w:ascii="Times New Roman" w:hAnsi="Times New Roman" w:eastAsia="方正小标宋_GBK" w:cs="Times New Roman"/>
          <w:b/>
          <w:sz w:val="36"/>
          <w:szCs w:val="36"/>
        </w:rPr>
        <w:t>年度财政拨款“三公”经费支出决算情况说明</w:t>
      </w:r>
    </w:p>
    <w:p w14:paraId="033D378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2025年度财政拨款“三公”经费支出决算情况说明 </w:t>
      </w:r>
    </w:p>
    <w:p w14:paraId="7E42FD2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 xml:space="preserve">（一）“三公”经费财政拨款支出决算总体情况说明 </w:t>
      </w:r>
    </w:p>
    <w:p w14:paraId="599B457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鹤山市公安局2025年度“三公”经费财政拨款支出决算为 291.16万元，完成全年预算291.16万元的100%，比上年决算数增加48.83万元，增长20.1%。其中：因公出国（境）费支出决算为0万元，完成预算0万元的--%（基数为0，不可比），比上年决算数增加0万元，增长--（基数为0，不可比）；公务用车购置及运行维护费支出决算为284.64万元，完成预算284.64万元的100%，比上年决算数增加44.81万元，增长18.7%；其中：公务用车购置支出决算为142.91万元，完成预算142.91万元的100%，比上年决算数增加54.51万元，增长61.7%；公务用车运行维护费支出决算为141.73万元，完成预算141.73万元的100%，比上年决算数减少9.7 </w:t>
      </w:r>
    </w:p>
    <w:p w14:paraId="3F6EE33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万元，下降6.4%；公务接待费支出决算为6.52万元，完成预算6.52万元的100%，比上年决算数增加4.02万元，增长160.6%。 </w:t>
      </w:r>
    </w:p>
    <w:p w14:paraId="7F068C4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2025年度“三公”经费支出决算等于预算数的主要情况：认真贯彻落实中央八项规定精神和厉行节约的要求，从严控制“三公”经费开支，全年实际支出比预算有所节约。 </w:t>
      </w:r>
    </w:p>
    <w:p w14:paraId="4E55796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2025年度“三公”经费支出决算大于上年决算数的主要情况：由于车辆残旧影响执法执勤工作，为了保障我单位公务执勤等工作开展，2025年购置了新能源公务用车。 </w:t>
      </w:r>
    </w:p>
    <w:p w14:paraId="6080FCD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 xml:space="preserve">（二）“三公”经费财政拨款支出决算具体情况说明 </w:t>
      </w:r>
    </w:p>
    <w:p w14:paraId="3B4A0EA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2025年度“三公”经费财政拨款支出决算中，因公出国（境）费0万元，占0%；公务用车购置及运行维护费支出284.64万元，占97.8%；公务接待费支出6.52万元，占2.2%。具体情况如下： </w:t>
      </w:r>
    </w:p>
    <w:p w14:paraId="032C84D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1.因公出国（境）费支出0万元。全年使用财政拨款安排出国（境）团组0个、累计0人次。 </w:t>
      </w:r>
    </w:p>
    <w:p w14:paraId="3E9AF49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2.公务用车购置及运行维护费支出284.64万元，其中：公务用车购置支出为142.91万元，公务用车购置数10辆。公务用车运行维护费支出141.73万元，公务用车保有量为116辆，主要用于车辆油费、车辆保险费、车辆维修费等。 </w:t>
      </w:r>
    </w:p>
    <w:p w14:paraId="45075D5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32"/>
          <w:szCs w:val="32"/>
          <w:lang w:val="en-US" w:eastAsia="zh-CN" w:bidi="ar"/>
        </w:rPr>
        <w:t>3.公务接待费支出6.52万元，主要用于接待上级督导工作和各地工作交流后用餐费用，共接待国外、境外来访团组0个，来访外宾0人次；发生国内接待</w:t>
      </w:r>
      <w:bookmarkStart w:id="1" w:name="_GoBack"/>
      <w:bookmarkEnd w:id="1"/>
      <w:r>
        <w:rPr>
          <w:rFonts w:hint="default" w:ascii="Times New Roman" w:hAnsi="Times New Roman" w:eastAsia="方正仿宋_GB2312" w:cs="Times New Roman"/>
          <w:color w:val="000000"/>
          <w:kern w:val="0"/>
          <w:sz w:val="32"/>
          <w:szCs w:val="32"/>
          <w:lang w:val="en-US" w:eastAsia="zh-CN" w:bidi="ar"/>
        </w:rPr>
        <w:t>111次，接待人数共1,133人。主要包括接待上级督导和各地交流工作后用餐费用等。</w:t>
      </w:r>
    </w:p>
    <w:p w14:paraId="070E3FE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32"/>
          <w:szCs w:val="32"/>
          <w:lang w:val="en-US" w:eastAsia="zh-CN" w:bidi="a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-721360</wp:posOffset>
            </wp:positionH>
            <wp:positionV relativeFrom="paragraph">
              <wp:posOffset>170180</wp:posOffset>
            </wp:positionV>
            <wp:extent cx="6934200" cy="1751965"/>
            <wp:effectExtent l="0" t="0" r="0" b="635"/>
            <wp:wrapNone/>
            <wp:docPr id="2" name="图片 2" descr="0b05e1c8-4f60-4b12-8206-09ee1b9ff8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0b05e1c8-4f60-4b12-8206-09ee1b9ff83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934200" cy="17519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E04361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center"/>
        <w:textAlignment w:val="auto"/>
        <w:rPr>
          <w:rFonts w:hint="default" w:ascii="Times New Roman" w:hAnsi="Times New Roman" w:eastAsia="方正仿宋_GB2312" w:cs="Times New Roman"/>
          <w:b/>
          <w:sz w:val="32"/>
          <w:szCs w:val="32"/>
        </w:rPr>
      </w:pPr>
    </w:p>
    <w:p w14:paraId="44F15A8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1" w:fontKey="{0F410AEE-D7EA-4D1C-ABE6-3C8C121E5AD0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DE318E94-E156-40DE-AC7B-A7285D93C25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A39337C"/>
    <w:rsid w:val="64FD7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15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2026-10-21T07:25:36Z</dcterms:created>
  <dc:creator>lenovo</dc:creator>
  <cp:lastModifiedBy>5669</cp:lastModifiedBy>
  <dcterms:modified xsi:type="dcterms:W3CDTF">2026-10-21T07:46:15Z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eyJoZGlkIjoiM2EyYWM5OWFjMGM2MGMyZDE5OWY0MjhkNjIwZWE4OTUiLCJ1c2VySWQiOiIyNjQwODUyOTMifQ==</vt:lpwstr>
  </property>
  <property fmtid="{D5CDD505-2E9C-101B-9397-08002B2CF9AE}" pid="4" name="ICV">
    <vt:lpwstr>2F8011C9F6CB4B8C8E5CB17138E6B622_12</vt:lpwstr>
  </property>
</Properties>
</file>