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鹤山市</w:t>
      </w:r>
      <w:r>
        <w:rPr>
          <w:rFonts w:eastAsia="方正小标宋简体"/>
          <w:sz w:val="44"/>
          <w:szCs w:val="44"/>
        </w:rPr>
        <w:t>食品用洗涤剂</w:t>
      </w:r>
      <w:r>
        <w:rPr>
          <w:rFonts w:hint="eastAsia" w:eastAsia="方正小标宋简体"/>
          <w:color w:val="000000"/>
          <w:sz w:val="44"/>
          <w:szCs w:val="44"/>
        </w:rPr>
        <w:t>产品质量监督抽查</w:t>
      </w:r>
    </w:p>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napToGrid w:val="0"/>
        <w:spacing w:line="590" w:lineRule="exact"/>
        <w:ind w:firstLine="640" w:firstLineChars="200"/>
        <w:rPr>
          <w:szCs w:val="32"/>
        </w:rPr>
      </w:pPr>
      <w:r>
        <w:rPr>
          <w:szCs w:val="32"/>
        </w:rPr>
        <w:t>以随机抽样的方式在被抽样生产者的待销产品中抽取。</w:t>
      </w:r>
    </w:p>
    <w:p>
      <w:pPr>
        <w:snapToGrid w:val="0"/>
        <w:spacing w:line="590" w:lineRule="exact"/>
        <w:ind w:firstLine="640" w:firstLineChars="200"/>
        <w:rPr>
          <w:szCs w:val="32"/>
        </w:rPr>
      </w:pPr>
      <w:r>
        <w:rPr>
          <w:szCs w:val="32"/>
        </w:rPr>
        <w:t>随机数一般可使用随机数表等方法产生，样品抽取数量见表1。</w:t>
      </w:r>
    </w:p>
    <w:p>
      <w:pPr>
        <w:snapToGrid w:val="0"/>
        <w:spacing w:line="590" w:lineRule="exact"/>
        <w:jc w:val="center"/>
        <w:rPr>
          <w:szCs w:val="32"/>
        </w:rPr>
      </w:pPr>
      <w:r>
        <w:rPr>
          <w:szCs w:val="32"/>
        </w:rPr>
        <w:t>表1 抽取样品数量</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815"/>
        <w:gridCol w:w="3922"/>
        <w:gridCol w:w="1000"/>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0" w:type="pct"/>
            <w:vAlign w:val="center"/>
          </w:tcPr>
          <w:p>
            <w:pPr>
              <w:spacing w:line="400" w:lineRule="exact"/>
              <w:jc w:val="center"/>
              <w:rPr>
                <w:rFonts w:eastAsia="黑体"/>
                <w:sz w:val="24"/>
              </w:rPr>
            </w:pPr>
            <w:r>
              <w:rPr>
                <w:rFonts w:eastAsia="黑体"/>
                <w:sz w:val="24"/>
              </w:rPr>
              <w:t>序号</w:t>
            </w:r>
          </w:p>
        </w:tc>
        <w:tc>
          <w:tcPr>
            <w:tcW w:w="1065" w:type="pct"/>
            <w:vAlign w:val="center"/>
          </w:tcPr>
          <w:p>
            <w:pPr>
              <w:spacing w:line="400" w:lineRule="exact"/>
              <w:jc w:val="center"/>
              <w:rPr>
                <w:rFonts w:eastAsia="黑体"/>
                <w:sz w:val="24"/>
              </w:rPr>
            </w:pPr>
            <w:r>
              <w:rPr>
                <w:rFonts w:eastAsia="黑体"/>
                <w:sz w:val="24"/>
              </w:rPr>
              <w:t>产品种类</w:t>
            </w:r>
          </w:p>
        </w:tc>
        <w:tc>
          <w:tcPr>
            <w:tcW w:w="2301" w:type="pct"/>
            <w:vAlign w:val="center"/>
          </w:tcPr>
          <w:p>
            <w:pPr>
              <w:spacing w:line="400" w:lineRule="exact"/>
              <w:jc w:val="center"/>
              <w:rPr>
                <w:rFonts w:eastAsia="黑体"/>
                <w:sz w:val="24"/>
              </w:rPr>
            </w:pPr>
            <w:r>
              <w:rPr>
                <w:rFonts w:eastAsia="黑体"/>
                <w:sz w:val="24"/>
              </w:rPr>
              <w:t>抽样数量（个）</w:t>
            </w:r>
          </w:p>
        </w:tc>
        <w:tc>
          <w:tcPr>
            <w:tcW w:w="587" w:type="pct"/>
            <w:vAlign w:val="center"/>
          </w:tcPr>
          <w:p>
            <w:pPr>
              <w:spacing w:line="400" w:lineRule="exact"/>
              <w:jc w:val="center"/>
              <w:rPr>
                <w:rFonts w:eastAsia="黑体"/>
                <w:sz w:val="24"/>
              </w:rPr>
            </w:pPr>
            <w:r>
              <w:rPr>
                <w:rFonts w:eastAsia="黑体"/>
                <w:sz w:val="24"/>
              </w:rPr>
              <w:t>检验样品数量（个）</w:t>
            </w:r>
          </w:p>
        </w:tc>
        <w:tc>
          <w:tcPr>
            <w:tcW w:w="634" w:type="pct"/>
            <w:vAlign w:val="center"/>
          </w:tcPr>
          <w:p>
            <w:pPr>
              <w:spacing w:line="400" w:lineRule="exact"/>
              <w:jc w:val="center"/>
              <w:rPr>
                <w:rFonts w:eastAsia="黑体"/>
                <w:sz w:val="24"/>
              </w:rPr>
            </w:pPr>
            <w:r>
              <w:rPr>
                <w:rFonts w:eastAsia="黑体"/>
                <w:sz w:val="24"/>
              </w:rPr>
              <w:t>备用样品数量（个）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0" w:type="pct"/>
            <w:vAlign w:val="center"/>
          </w:tcPr>
          <w:p>
            <w:pPr>
              <w:snapToGrid w:val="0"/>
              <w:spacing w:line="400" w:lineRule="exact"/>
              <w:jc w:val="center"/>
              <w:rPr>
                <w:sz w:val="24"/>
              </w:rPr>
            </w:pPr>
            <w:r>
              <w:rPr>
                <w:sz w:val="24"/>
              </w:rPr>
              <w:t>1</w:t>
            </w:r>
          </w:p>
        </w:tc>
        <w:tc>
          <w:tcPr>
            <w:tcW w:w="1065" w:type="pct"/>
            <w:vAlign w:val="center"/>
          </w:tcPr>
          <w:p>
            <w:pPr>
              <w:snapToGrid w:val="0"/>
              <w:spacing w:line="400" w:lineRule="exact"/>
              <w:jc w:val="center"/>
              <w:rPr>
                <w:sz w:val="24"/>
              </w:rPr>
            </w:pPr>
            <w:r>
              <w:rPr>
                <w:sz w:val="24"/>
              </w:rPr>
              <w:t>包装规格＜2kg（L）</w:t>
            </w:r>
          </w:p>
        </w:tc>
        <w:tc>
          <w:tcPr>
            <w:tcW w:w="2301" w:type="pct"/>
            <w:vAlign w:val="center"/>
          </w:tcPr>
          <w:p>
            <w:pPr>
              <w:snapToGrid w:val="0"/>
              <w:spacing w:line="400" w:lineRule="exact"/>
              <w:jc w:val="center"/>
              <w:rPr>
                <w:sz w:val="24"/>
              </w:rPr>
            </w:pPr>
            <w:r>
              <w:rPr>
                <w:sz w:val="24"/>
              </w:rPr>
              <w:t>不少于2kg（L）且不少于3个独立包装</w:t>
            </w:r>
          </w:p>
        </w:tc>
        <w:tc>
          <w:tcPr>
            <w:tcW w:w="587" w:type="pct"/>
            <w:vAlign w:val="center"/>
          </w:tcPr>
          <w:p>
            <w:pPr>
              <w:snapToGrid w:val="0"/>
              <w:spacing w:line="400" w:lineRule="exact"/>
              <w:jc w:val="center"/>
              <w:rPr>
                <w:sz w:val="24"/>
              </w:rPr>
            </w:pPr>
            <w:r>
              <w:rPr>
                <w:sz w:val="24"/>
              </w:rPr>
              <w:t>2</w:t>
            </w:r>
          </w:p>
        </w:tc>
        <w:tc>
          <w:tcPr>
            <w:tcW w:w="634" w:type="pct"/>
            <w:vAlign w:val="center"/>
          </w:tcPr>
          <w:p>
            <w:pPr>
              <w:snapToGrid w:val="0"/>
              <w:spacing w:line="400" w:lineRule="exact"/>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0" w:type="pct"/>
            <w:vAlign w:val="center"/>
          </w:tcPr>
          <w:p>
            <w:pPr>
              <w:snapToGrid w:val="0"/>
              <w:spacing w:line="400" w:lineRule="exact"/>
              <w:jc w:val="center"/>
              <w:rPr>
                <w:sz w:val="24"/>
              </w:rPr>
            </w:pPr>
            <w:r>
              <w:rPr>
                <w:sz w:val="24"/>
              </w:rPr>
              <w:t>2</w:t>
            </w:r>
          </w:p>
        </w:tc>
        <w:tc>
          <w:tcPr>
            <w:tcW w:w="1065" w:type="pct"/>
            <w:vAlign w:val="center"/>
          </w:tcPr>
          <w:p>
            <w:pPr>
              <w:snapToGrid w:val="0"/>
              <w:spacing w:line="400" w:lineRule="exact"/>
              <w:jc w:val="center"/>
              <w:rPr>
                <w:sz w:val="24"/>
              </w:rPr>
            </w:pPr>
            <w:r>
              <w:rPr>
                <w:sz w:val="24"/>
              </w:rPr>
              <w:t>包装规格≥2kg（L）且＜10kg（L）的独立包装</w:t>
            </w:r>
          </w:p>
        </w:tc>
        <w:tc>
          <w:tcPr>
            <w:tcW w:w="2301" w:type="pct"/>
            <w:vAlign w:val="center"/>
          </w:tcPr>
          <w:p>
            <w:pPr>
              <w:snapToGrid w:val="0"/>
              <w:spacing w:line="400" w:lineRule="exact"/>
              <w:jc w:val="center"/>
              <w:rPr>
                <w:sz w:val="24"/>
              </w:rPr>
            </w:pPr>
            <w:r>
              <w:rPr>
                <w:sz w:val="24"/>
              </w:rPr>
              <w:t>不少于3个独立包装</w:t>
            </w:r>
          </w:p>
        </w:tc>
        <w:tc>
          <w:tcPr>
            <w:tcW w:w="587" w:type="pct"/>
            <w:vAlign w:val="center"/>
          </w:tcPr>
          <w:p>
            <w:pPr>
              <w:snapToGrid w:val="0"/>
              <w:spacing w:line="400" w:lineRule="exact"/>
              <w:jc w:val="center"/>
              <w:rPr>
                <w:sz w:val="24"/>
              </w:rPr>
            </w:pPr>
            <w:r>
              <w:rPr>
                <w:sz w:val="24"/>
              </w:rPr>
              <w:t>2</w:t>
            </w:r>
          </w:p>
        </w:tc>
        <w:tc>
          <w:tcPr>
            <w:tcW w:w="634" w:type="pct"/>
            <w:vAlign w:val="center"/>
          </w:tcPr>
          <w:p>
            <w:pPr>
              <w:snapToGrid w:val="0"/>
              <w:spacing w:line="400" w:lineRule="exact"/>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410" w:type="pct"/>
            <w:vAlign w:val="center"/>
          </w:tcPr>
          <w:p>
            <w:pPr>
              <w:snapToGrid w:val="0"/>
              <w:spacing w:line="400" w:lineRule="exact"/>
              <w:jc w:val="center"/>
              <w:rPr>
                <w:sz w:val="24"/>
              </w:rPr>
            </w:pPr>
            <w:r>
              <w:rPr>
                <w:sz w:val="24"/>
              </w:rPr>
              <w:t>3</w:t>
            </w:r>
          </w:p>
        </w:tc>
        <w:tc>
          <w:tcPr>
            <w:tcW w:w="1065" w:type="pct"/>
            <w:vAlign w:val="center"/>
          </w:tcPr>
          <w:p>
            <w:pPr>
              <w:snapToGrid w:val="0"/>
              <w:spacing w:line="400" w:lineRule="exact"/>
              <w:jc w:val="center"/>
              <w:rPr>
                <w:sz w:val="24"/>
              </w:rPr>
            </w:pPr>
            <w:r>
              <w:rPr>
                <w:sz w:val="24"/>
              </w:rPr>
              <w:t>包装规格≥10kg（L）的大包装</w:t>
            </w:r>
          </w:p>
        </w:tc>
        <w:tc>
          <w:tcPr>
            <w:tcW w:w="2301" w:type="pct"/>
            <w:vAlign w:val="center"/>
          </w:tcPr>
          <w:p>
            <w:pPr>
              <w:snapToGrid w:val="0"/>
              <w:spacing w:line="400" w:lineRule="exact"/>
              <w:jc w:val="center"/>
              <w:rPr>
                <w:sz w:val="24"/>
              </w:rPr>
            </w:pPr>
            <w:r>
              <w:rPr>
                <w:sz w:val="24"/>
              </w:rPr>
              <w:t>3个大包装，从每个大包装产品中分别分装成相应小包装样品，每一个小包装量不少于1kg（L）</w:t>
            </w:r>
          </w:p>
        </w:tc>
        <w:tc>
          <w:tcPr>
            <w:tcW w:w="587" w:type="pct"/>
            <w:vAlign w:val="center"/>
          </w:tcPr>
          <w:p>
            <w:pPr>
              <w:snapToGrid w:val="0"/>
              <w:spacing w:line="400" w:lineRule="exact"/>
              <w:jc w:val="center"/>
              <w:rPr>
                <w:sz w:val="24"/>
              </w:rPr>
            </w:pPr>
            <w:r>
              <w:rPr>
                <w:sz w:val="24"/>
              </w:rPr>
              <w:t>2</w:t>
            </w:r>
          </w:p>
        </w:tc>
        <w:tc>
          <w:tcPr>
            <w:tcW w:w="634" w:type="pct"/>
            <w:vAlign w:val="center"/>
          </w:tcPr>
          <w:p>
            <w:pPr>
              <w:snapToGrid w:val="0"/>
              <w:spacing w:line="400" w:lineRule="exact"/>
              <w:jc w:val="center"/>
              <w:rPr>
                <w:sz w:val="24"/>
              </w:rPr>
            </w:pPr>
            <w:r>
              <w:rPr>
                <w:sz w:val="24"/>
              </w:rPr>
              <w:t>1</w:t>
            </w:r>
          </w:p>
        </w:tc>
      </w:tr>
    </w:tbl>
    <w:p>
      <w:pPr>
        <w:spacing w:line="590" w:lineRule="exact"/>
        <w:ind w:firstLine="640" w:firstLineChars="200"/>
        <w:rPr>
          <w:rFonts w:eastAsia="黑体"/>
          <w:szCs w:val="32"/>
        </w:rPr>
      </w:pPr>
      <w:r>
        <w:rPr>
          <w:rFonts w:eastAsia="黑体"/>
          <w:szCs w:val="32"/>
        </w:rPr>
        <w:t>2 检验依据</w:t>
      </w:r>
    </w:p>
    <w:p>
      <w:pPr>
        <w:adjustRightInd w:val="0"/>
        <w:snapToGrid w:val="0"/>
        <w:spacing w:line="590" w:lineRule="exact"/>
        <w:jc w:val="center"/>
        <w:rPr>
          <w:rFonts w:hint="eastAsia"/>
          <w:szCs w:val="32"/>
        </w:rPr>
      </w:pPr>
      <w:r>
        <w:rPr>
          <w:szCs w:val="32"/>
        </w:rPr>
        <w:t>表2 手洗餐具用洗涤剂</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2835"/>
        <w:gridCol w:w="4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blHeader/>
          <w:jc w:val="center"/>
        </w:trPr>
        <w:tc>
          <w:tcPr>
            <w:tcW w:w="561" w:type="pct"/>
            <w:vAlign w:val="center"/>
          </w:tcPr>
          <w:p>
            <w:pPr>
              <w:spacing w:line="400" w:lineRule="exact"/>
              <w:jc w:val="center"/>
              <w:rPr>
                <w:rFonts w:eastAsia="黑体"/>
                <w:sz w:val="24"/>
              </w:rPr>
            </w:pPr>
            <w:r>
              <w:rPr>
                <w:rFonts w:eastAsia="黑体"/>
                <w:sz w:val="24"/>
              </w:rPr>
              <w:t>序号</w:t>
            </w:r>
          </w:p>
        </w:tc>
        <w:tc>
          <w:tcPr>
            <w:tcW w:w="1665" w:type="pct"/>
            <w:vAlign w:val="center"/>
          </w:tcPr>
          <w:p>
            <w:pPr>
              <w:spacing w:line="400" w:lineRule="exact"/>
              <w:jc w:val="center"/>
              <w:rPr>
                <w:rFonts w:eastAsia="黑体"/>
                <w:sz w:val="24"/>
              </w:rPr>
            </w:pPr>
            <w:r>
              <w:rPr>
                <w:rFonts w:eastAsia="黑体"/>
                <w:sz w:val="24"/>
              </w:rPr>
              <w:t>检验项目</w:t>
            </w:r>
          </w:p>
        </w:tc>
        <w:tc>
          <w:tcPr>
            <w:tcW w:w="2774" w:type="pct"/>
            <w:vAlign w:val="center"/>
          </w:tcPr>
          <w:p>
            <w:pPr>
              <w:spacing w:line="400" w:lineRule="exact"/>
              <w:jc w:val="center"/>
              <w:rPr>
                <w:rFonts w:eastAsia="黑体"/>
                <w:sz w:val="24"/>
              </w:rPr>
            </w:pPr>
            <w:r>
              <w:rPr>
                <w:rFonts w:eastAsia="黑体"/>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1</w:t>
            </w:r>
          </w:p>
        </w:tc>
        <w:tc>
          <w:tcPr>
            <w:tcW w:w="1665" w:type="pct"/>
            <w:vAlign w:val="center"/>
          </w:tcPr>
          <w:p>
            <w:pPr>
              <w:adjustRightInd w:val="0"/>
              <w:snapToGrid w:val="0"/>
              <w:spacing w:line="400" w:lineRule="exact"/>
              <w:jc w:val="center"/>
              <w:rPr>
                <w:sz w:val="24"/>
              </w:rPr>
            </w:pPr>
            <w:r>
              <w:rPr>
                <w:sz w:val="24"/>
              </w:rPr>
              <w:t>总砷（以As计）</w:t>
            </w:r>
          </w:p>
        </w:tc>
        <w:tc>
          <w:tcPr>
            <w:tcW w:w="2774" w:type="pct"/>
            <w:vAlign w:val="center"/>
          </w:tcPr>
          <w:p>
            <w:pPr>
              <w:adjustRightInd w:val="0"/>
              <w:snapToGrid w:val="0"/>
              <w:spacing w:line="400" w:lineRule="exact"/>
              <w:jc w:val="center"/>
              <w:rPr>
                <w:sz w:val="24"/>
              </w:rPr>
            </w:pPr>
            <w:r>
              <w:rPr>
                <w:sz w:val="24"/>
              </w:rPr>
              <w:t>GB/T 30797</w:t>
            </w:r>
            <w:r>
              <w:rPr>
                <w:rFonts w:hint="eastAsia"/>
                <w:sz w:val="24"/>
                <w:lang w:eastAsia="zh-CN"/>
              </w:rPr>
              <w:t>-</w:t>
            </w:r>
            <w:r>
              <w:rPr>
                <w:sz w:val="24"/>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2</w:t>
            </w:r>
          </w:p>
        </w:tc>
        <w:tc>
          <w:tcPr>
            <w:tcW w:w="1665" w:type="pct"/>
            <w:vAlign w:val="center"/>
          </w:tcPr>
          <w:p>
            <w:pPr>
              <w:adjustRightInd w:val="0"/>
              <w:snapToGrid w:val="0"/>
              <w:spacing w:line="400" w:lineRule="exact"/>
              <w:jc w:val="center"/>
              <w:rPr>
                <w:sz w:val="24"/>
              </w:rPr>
            </w:pPr>
            <w:r>
              <w:rPr>
                <w:sz w:val="24"/>
              </w:rPr>
              <w:t>重金属（以Pb计）</w:t>
            </w:r>
          </w:p>
        </w:tc>
        <w:tc>
          <w:tcPr>
            <w:tcW w:w="2774" w:type="pct"/>
            <w:vAlign w:val="center"/>
          </w:tcPr>
          <w:p>
            <w:pPr>
              <w:adjustRightInd w:val="0"/>
              <w:snapToGrid w:val="0"/>
              <w:spacing w:line="400" w:lineRule="exact"/>
              <w:jc w:val="center"/>
              <w:rPr>
                <w:sz w:val="24"/>
              </w:rPr>
            </w:pPr>
            <w:r>
              <w:rPr>
                <w:sz w:val="24"/>
              </w:rPr>
              <w:t>GB/T 30799</w:t>
            </w:r>
            <w:r>
              <w:rPr>
                <w:rFonts w:hint="eastAsia"/>
                <w:sz w:val="24"/>
                <w:lang w:eastAsia="zh-CN"/>
              </w:rPr>
              <w:t>-</w:t>
            </w:r>
            <w:r>
              <w:rPr>
                <w:sz w:val="24"/>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3</w:t>
            </w:r>
          </w:p>
        </w:tc>
        <w:tc>
          <w:tcPr>
            <w:tcW w:w="1665" w:type="pct"/>
            <w:vAlign w:val="center"/>
          </w:tcPr>
          <w:p>
            <w:pPr>
              <w:adjustRightInd w:val="0"/>
              <w:snapToGrid w:val="0"/>
              <w:spacing w:line="400" w:lineRule="exact"/>
              <w:jc w:val="center"/>
              <w:rPr>
                <w:sz w:val="24"/>
              </w:rPr>
            </w:pPr>
            <w:r>
              <w:rPr>
                <w:sz w:val="24"/>
              </w:rPr>
              <w:t>甲醇</w:t>
            </w:r>
          </w:p>
        </w:tc>
        <w:tc>
          <w:tcPr>
            <w:tcW w:w="2774" w:type="pct"/>
            <w:vAlign w:val="center"/>
          </w:tcPr>
          <w:p>
            <w:pPr>
              <w:adjustRightInd w:val="0"/>
              <w:snapToGrid w:val="0"/>
              <w:spacing w:line="400" w:lineRule="exact"/>
              <w:jc w:val="center"/>
              <w:rPr>
                <w:sz w:val="24"/>
              </w:rPr>
            </w:pPr>
            <w:r>
              <w:rPr>
                <w:sz w:val="24"/>
              </w:rPr>
              <w:t>GB/T 30795</w:t>
            </w:r>
            <w:r>
              <w:rPr>
                <w:rFonts w:hint="eastAsia"/>
                <w:sz w:val="24"/>
                <w:lang w:eastAsia="zh-CN"/>
              </w:rPr>
              <w:t>-</w:t>
            </w:r>
            <w:r>
              <w:rPr>
                <w:sz w:val="24"/>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4</w:t>
            </w:r>
          </w:p>
        </w:tc>
        <w:tc>
          <w:tcPr>
            <w:tcW w:w="1665" w:type="pct"/>
            <w:vAlign w:val="center"/>
          </w:tcPr>
          <w:p>
            <w:pPr>
              <w:adjustRightInd w:val="0"/>
              <w:snapToGrid w:val="0"/>
              <w:spacing w:line="400" w:lineRule="exact"/>
              <w:jc w:val="center"/>
              <w:rPr>
                <w:sz w:val="24"/>
              </w:rPr>
            </w:pPr>
            <w:r>
              <w:rPr>
                <w:sz w:val="24"/>
              </w:rPr>
              <w:t>甲醛</w:t>
            </w:r>
          </w:p>
        </w:tc>
        <w:tc>
          <w:tcPr>
            <w:tcW w:w="2774" w:type="pct"/>
            <w:vAlign w:val="center"/>
          </w:tcPr>
          <w:p>
            <w:pPr>
              <w:adjustRightInd w:val="0"/>
              <w:snapToGrid w:val="0"/>
              <w:spacing w:line="400" w:lineRule="exact"/>
              <w:jc w:val="center"/>
              <w:rPr>
                <w:sz w:val="24"/>
              </w:rPr>
            </w:pPr>
            <w:r>
              <w:rPr>
                <w:sz w:val="24"/>
              </w:rPr>
              <w:t>GB/T 30796</w:t>
            </w:r>
            <w:r>
              <w:rPr>
                <w:rFonts w:hint="eastAsia"/>
                <w:sz w:val="24"/>
                <w:lang w:eastAsia="zh-CN"/>
              </w:rPr>
              <w:t>-</w:t>
            </w:r>
            <w:r>
              <w:rPr>
                <w:sz w:val="24"/>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5</w:t>
            </w:r>
          </w:p>
        </w:tc>
        <w:tc>
          <w:tcPr>
            <w:tcW w:w="1665" w:type="pct"/>
            <w:vAlign w:val="center"/>
          </w:tcPr>
          <w:p>
            <w:pPr>
              <w:adjustRightInd w:val="0"/>
              <w:snapToGrid w:val="0"/>
              <w:spacing w:line="400" w:lineRule="exact"/>
              <w:jc w:val="center"/>
              <w:rPr>
                <w:sz w:val="24"/>
              </w:rPr>
            </w:pPr>
            <w:r>
              <w:rPr>
                <w:sz w:val="24"/>
              </w:rPr>
              <w:t>1,4-二噁烷</w:t>
            </w:r>
          </w:p>
        </w:tc>
        <w:tc>
          <w:tcPr>
            <w:tcW w:w="2774" w:type="pct"/>
            <w:vAlign w:val="center"/>
          </w:tcPr>
          <w:p>
            <w:pPr>
              <w:adjustRightInd w:val="0"/>
              <w:snapToGrid w:val="0"/>
              <w:spacing w:line="400" w:lineRule="exact"/>
              <w:jc w:val="center"/>
              <w:rPr>
                <w:sz w:val="24"/>
              </w:rPr>
            </w:pPr>
            <w:r>
              <w:rPr>
                <w:sz w:val="24"/>
              </w:rPr>
              <w:t>GB/T 26388</w:t>
            </w:r>
            <w:r>
              <w:rPr>
                <w:rFonts w:hint="eastAsia"/>
                <w:sz w:val="24"/>
                <w:lang w:eastAsia="zh-CN"/>
              </w:rPr>
              <w:t>-</w:t>
            </w:r>
            <w:r>
              <w:rPr>
                <w:sz w:val="24"/>
              </w:rPr>
              <w:t>2011气相色谱</w:t>
            </w:r>
            <w:r>
              <w:rPr>
                <w:rFonts w:hint="eastAsia"/>
                <w:sz w:val="24"/>
                <w:lang w:eastAsia="zh-CN"/>
              </w:rPr>
              <w:t>-</w:t>
            </w:r>
            <w:r>
              <w:rPr>
                <w:sz w:val="24"/>
              </w:rPr>
              <w:t>质谱（GC</w:t>
            </w:r>
            <w:r>
              <w:rPr>
                <w:rFonts w:hint="eastAsia"/>
                <w:sz w:val="24"/>
                <w:lang w:eastAsia="zh-CN"/>
              </w:rPr>
              <w:t>-</w:t>
            </w:r>
            <w:r>
              <w:rPr>
                <w:sz w:val="24"/>
              </w:rPr>
              <w:t>MSD）法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6</w:t>
            </w:r>
          </w:p>
        </w:tc>
        <w:tc>
          <w:tcPr>
            <w:tcW w:w="1665" w:type="pct"/>
            <w:vAlign w:val="center"/>
          </w:tcPr>
          <w:p>
            <w:pPr>
              <w:adjustRightInd w:val="0"/>
              <w:snapToGrid w:val="0"/>
              <w:spacing w:line="400" w:lineRule="exact"/>
              <w:jc w:val="center"/>
              <w:rPr>
                <w:sz w:val="24"/>
              </w:rPr>
            </w:pPr>
            <w:r>
              <w:rPr>
                <w:sz w:val="24"/>
              </w:rPr>
              <w:t>菌落总数</w:t>
            </w:r>
          </w:p>
        </w:tc>
        <w:tc>
          <w:tcPr>
            <w:tcW w:w="2774" w:type="pct"/>
            <w:vAlign w:val="center"/>
          </w:tcPr>
          <w:p>
            <w:pPr>
              <w:adjustRightInd w:val="0"/>
              <w:snapToGrid w:val="0"/>
              <w:spacing w:line="400" w:lineRule="exact"/>
              <w:jc w:val="center"/>
              <w:rPr>
                <w:sz w:val="24"/>
              </w:rPr>
            </w:pPr>
            <w:r>
              <w:rPr>
                <w:sz w:val="24"/>
              </w:rPr>
              <w:t>GB 14930.1</w:t>
            </w:r>
            <w:r>
              <w:rPr>
                <w:rFonts w:hint="eastAsia"/>
                <w:sz w:val="24"/>
                <w:lang w:eastAsia="zh-CN"/>
              </w:rPr>
              <w:t>-</w:t>
            </w:r>
            <w:r>
              <w:rPr>
                <w:sz w:val="24"/>
              </w:rPr>
              <w:t>2022</w:t>
            </w:r>
          </w:p>
          <w:p>
            <w:pPr>
              <w:adjustRightInd w:val="0"/>
              <w:snapToGrid w:val="0"/>
              <w:spacing w:line="400" w:lineRule="exact"/>
              <w:jc w:val="center"/>
              <w:rPr>
                <w:sz w:val="24"/>
              </w:rPr>
            </w:pPr>
            <w:r>
              <w:rPr>
                <w:sz w:val="24"/>
              </w:rPr>
              <w:t>GB 4789.2</w:t>
            </w:r>
            <w:r>
              <w:rPr>
                <w:rFonts w:hint="eastAsia"/>
                <w:sz w:val="24"/>
                <w:lang w:eastAsia="zh-CN"/>
              </w:rPr>
              <w:t>-</w:t>
            </w:r>
            <w:r>
              <w:rPr>
                <w:sz w:val="24"/>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7</w:t>
            </w:r>
          </w:p>
        </w:tc>
        <w:tc>
          <w:tcPr>
            <w:tcW w:w="1665" w:type="pct"/>
            <w:vAlign w:val="center"/>
          </w:tcPr>
          <w:p>
            <w:pPr>
              <w:adjustRightInd w:val="0"/>
              <w:snapToGrid w:val="0"/>
              <w:spacing w:line="400" w:lineRule="exact"/>
              <w:jc w:val="center"/>
              <w:rPr>
                <w:sz w:val="24"/>
              </w:rPr>
            </w:pPr>
            <w:r>
              <w:rPr>
                <w:sz w:val="24"/>
              </w:rPr>
              <w:t>大肠菌群</w:t>
            </w:r>
          </w:p>
        </w:tc>
        <w:tc>
          <w:tcPr>
            <w:tcW w:w="2774" w:type="pct"/>
            <w:vAlign w:val="center"/>
          </w:tcPr>
          <w:p>
            <w:pPr>
              <w:adjustRightInd w:val="0"/>
              <w:snapToGrid w:val="0"/>
              <w:spacing w:line="400" w:lineRule="exact"/>
              <w:jc w:val="center"/>
              <w:rPr>
                <w:sz w:val="24"/>
              </w:rPr>
            </w:pPr>
            <w:r>
              <w:rPr>
                <w:sz w:val="24"/>
              </w:rPr>
              <w:t>GB 14930.1</w:t>
            </w:r>
            <w:r>
              <w:rPr>
                <w:rFonts w:hint="eastAsia"/>
                <w:sz w:val="24"/>
                <w:lang w:eastAsia="zh-CN"/>
              </w:rPr>
              <w:t>-</w:t>
            </w:r>
            <w:r>
              <w:rPr>
                <w:sz w:val="24"/>
              </w:rPr>
              <w:t>2022</w:t>
            </w:r>
          </w:p>
          <w:p>
            <w:pPr>
              <w:adjustRightInd w:val="0"/>
              <w:snapToGrid w:val="0"/>
              <w:spacing w:line="400" w:lineRule="exact"/>
              <w:jc w:val="center"/>
              <w:rPr>
                <w:sz w:val="24"/>
              </w:rPr>
            </w:pPr>
            <w:r>
              <w:rPr>
                <w:sz w:val="24"/>
              </w:rPr>
              <w:t>GB 4789.3</w:t>
            </w:r>
            <w:r>
              <w:rPr>
                <w:rFonts w:hint="eastAsia"/>
                <w:sz w:val="24"/>
                <w:lang w:eastAsia="zh-CN"/>
              </w:rPr>
              <w:t>-</w:t>
            </w:r>
            <w:r>
              <w:rPr>
                <w:sz w:val="24"/>
              </w:rPr>
              <w:t>2016大肠菌群平板计数法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8</w:t>
            </w:r>
          </w:p>
        </w:tc>
        <w:tc>
          <w:tcPr>
            <w:tcW w:w="1665" w:type="pct"/>
            <w:vAlign w:val="center"/>
          </w:tcPr>
          <w:p>
            <w:pPr>
              <w:adjustRightInd w:val="0"/>
              <w:snapToGrid w:val="0"/>
              <w:spacing w:line="400" w:lineRule="exact"/>
              <w:jc w:val="center"/>
              <w:rPr>
                <w:sz w:val="24"/>
                <w:vertAlign w:val="superscript"/>
              </w:rPr>
            </w:pPr>
            <w:r>
              <w:rPr>
                <w:sz w:val="24"/>
              </w:rPr>
              <w:t>总有效物含量</w:t>
            </w:r>
          </w:p>
        </w:tc>
        <w:tc>
          <w:tcPr>
            <w:tcW w:w="2774" w:type="pct"/>
            <w:vAlign w:val="center"/>
          </w:tcPr>
          <w:p>
            <w:pPr>
              <w:adjustRightInd w:val="0"/>
              <w:snapToGrid w:val="0"/>
              <w:spacing w:line="400" w:lineRule="exact"/>
              <w:jc w:val="center"/>
              <w:rPr>
                <w:sz w:val="24"/>
              </w:rPr>
            </w:pPr>
            <w:r>
              <w:rPr>
                <w:sz w:val="24"/>
              </w:rPr>
              <w:t>GB/T 13173</w:t>
            </w:r>
            <w:r>
              <w:rPr>
                <w:rFonts w:hint="eastAsia"/>
                <w:sz w:val="24"/>
                <w:lang w:eastAsia="zh-CN"/>
              </w:rPr>
              <w:t>-</w:t>
            </w:r>
            <w:r>
              <w:rPr>
                <w:sz w:val="24"/>
              </w:rPr>
              <w:t xml:space="preserve">2021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pct"/>
            <w:vAlign w:val="center"/>
          </w:tcPr>
          <w:p>
            <w:pPr>
              <w:adjustRightInd w:val="0"/>
              <w:snapToGrid w:val="0"/>
              <w:spacing w:line="400" w:lineRule="exact"/>
              <w:jc w:val="center"/>
              <w:rPr>
                <w:sz w:val="24"/>
              </w:rPr>
            </w:pPr>
            <w:r>
              <w:rPr>
                <w:sz w:val="24"/>
              </w:rPr>
              <w:t>9</w:t>
            </w:r>
          </w:p>
        </w:tc>
        <w:tc>
          <w:tcPr>
            <w:tcW w:w="1665" w:type="pct"/>
            <w:vAlign w:val="center"/>
          </w:tcPr>
          <w:p>
            <w:pPr>
              <w:adjustRightInd w:val="0"/>
              <w:snapToGrid w:val="0"/>
              <w:spacing w:line="400" w:lineRule="exact"/>
              <w:jc w:val="center"/>
              <w:rPr>
                <w:sz w:val="24"/>
              </w:rPr>
            </w:pPr>
            <w:r>
              <w:rPr>
                <w:sz w:val="24"/>
              </w:rPr>
              <w:t>pH</w:t>
            </w:r>
          </w:p>
        </w:tc>
        <w:tc>
          <w:tcPr>
            <w:tcW w:w="2774" w:type="pct"/>
            <w:vAlign w:val="center"/>
          </w:tcPr>
          <w:p>
            <w:pPr>
              <w:adjustRightInd w:val="0"/>
              <w:snapToGrid w:val="0"/>
              <w:spacing w:line="400" w:lineRule="exact"/>
              <w:jc w:val="center"/>
              <w:rPr>
                <w:sz w:val="24"/>
              </w:rPr>
            </w:pPr>
            <w:r>
              <w:rPr>
                <w:sz w:val="24"/>
              </w:rPr>
              <w:t>GB/T 6368</w:t>
            </w:r>
            <w:r>
              <w:rPr>
                <w:rFonts w:hint="eastAsia"/>
                <w:sz w:val="24"/>
                <w:lang w:eastAsia="zh-CN"/>
              </w:rPr>
              <w:t>-</w:t>
            </w:r>
            <w:r>
              <w:rPr>
                <w:sz w:val="24"/>
              </w:rPr>
              <w:t>2008</w:t>
            </w:r>
          </w:p>
        </w:tc>
      </w:tr>
    </w:tbl>
    <w:p>
      <w:pPr>
        <w:adjustRightInd w:val="0"/>
        <w:snapToGrid w:val="0"/>
        <w:spacing w:line="590" w:lineRule="exact"/>
        <w:ind w:firstLine="640" w:firstLineChars="200"/>
        <w:rPr>
          <w:szCs w:val="32"/>
        </w:rPr>
      </w:pPr>
      <w:r>
        <w:rPr>
          <w:szCs w:val="32"/>
        </w:rPr>
        <w:t>执行企业标准、团体标准、地方标准的产品，检验项目参照上述内容执行。</w:t>
      </w:r>
    </w:p>
    <w:p>
      <w:pPr>
        <w:snapToGrid w:val="0"/>
        <w:spacing w:line="590" w:lineRule="exact"/>
        <w:ind w:firstLine="547" w:firstLineChars="171"/>
        <w:rPr>
          <w:szCs w:val="32"/>
        </w:rPr>
      </w:pPr>
      <w:r>
        <w:rPr>
          <w:szCs w:val="32"/>
        </w:rPr>
        <w:t>凡是注日期的文件，其随后所有的修改单（不包括勘误的内容）或修订版不适用于本细则。凡是不注日期的文件，其最新版本适用于本细则。</w:t>
      </w:r>
    </w:p>
    <w:p>
      <w:pPr>
        <w:spacing w:line="590" w:lineRule="exact"/>
        <w:ind w:firstLine="640" w:firstLineChars="200"/>
        <w:rPr>
          <w:rFonts w:eastAsia="黑体"/>
          <w:szCs w:val="32"/>
        </w:rPr>
      </w:pPr>
      <w:r>
        <w:rPr>
          <w:rFonts w:eastAsia="黑体"/>
          <w:szCs w:val="32"/>
        </w:rPr>
        <w:t>3 判定规则</w:t>
      </w:r>
    </w:p>
    <w:p>
      <w:pPr>
        <w:snapToGrid w:val="0"/>
        <w:spacing w:line="590" w:lineRule="exact"/>
        <w:ind w:firstLine="640" w:firstLineChars="200"/>
        <w:rPr>
          <w:szCs w:val="32"/>
        </w:rPr>
      </w:pPr>
      <w:r>
        <w:rPr>
          <w:szCs w:val="32"/>
        </w:rPr>
        <w:t>3.1依据标准</w:t>
      </w:r>
    </w:p>
    <w:p>
      <w:pPr>
        <w:snapToGrid w:val="0"/>
        <w:spacing w:line="590" w:lineRule="exact"/>
        <w:ind w:firstLine="640" w:firstLineChars="200"/>
        <w:rPr>
          <w:szCs w:val="32"/>
        </w:rPr>
      </w:pPr>
      <w:r>
        <w:rPr>
          <w:szCs w:val="32"/>
        </w:rPr>
        <w:t>GB 14930.1</w:t>
      </w:r>
      <w:bookmarkStart w:id="0" w:name="_GoBack"/>
      <w:bookmarkEnd w:id="0"/>
      <w:r>
        <w:rPr>
          <w:rFonts w:hint="eastAsia"/>
          <w:szCs w:val="32"/>
          <w:lang w:eastAsia="zh-CN"/>
        </w:rPr>
        <w:t>-</w:t>
      </w:r>
      <w:r>
        <w:rPr>
          <w:szCs w:val="32"/>
        </w:rPr>
        <w:t>2022 食品安全国家标准洗涤剂</w:t>
      </w:r>
    </w:p>
    <w:p>
      <w:pPr>
        <w:tabs>
          <w:tab w:val="left" w:pos="3812"/>
        </w:tabs>
        <w:snapToGrid w:val="0"/>
        <w:spacing w:line="590" w:lineRule="exact"/>
        <w:ind w:firstLine="640" w:firstLineChars="200"/>
        <w:rPr>
          <w:szCs w:val="32"/>
        </w:rPr>
      </w:pPr>
      <w:r>
        <w:rPr>
          <w:szCs w:val="32"/>
        </w:rPr>
        <w:t>GB/T 9985</w:t>
      </w:r>
      <w:r>
        <w:rPr>
          <w:rFonts w:hint="eastAsia"/>
          <w:szCs w:val="32"/>
          <w:lang w:eastAsia="zh-CN"/>
        </w:rPr>
        <w:t>-</w:t>
      </w:r>
      <w:r>
        <w:rPr>
          <w:szCs w:val="32"/>
        </w:rPr>
        <w:t>2022 手洗餐具用洗涤剂</w:t>
      </w:r>
    </w:p>
    <w:p>
      <w:pPr>
        <w:snapToGrid w:val="0"/>
        <w:spacing w:line="590" w:lineRule="exact"/>
        <w:ind w:firstLine="547" w:firstLineChars="171"/>
        <w:rPr>
          <w:szCs w:val="32"/>
        </w:rPr>
      </w:pPr>
      <w:r>
        <w:rPr>
          <w:szCs w:val="32"/>
        </w:rPr>
        <w:t>现行有效的企业标准、团体标准、地方标准及产品明示质量要求</w:t>
      </w:r>
    </w:p>
    <w:p>
      <w:pPr>
        <w:snapToGrid w:val="0"/>
        <w:spacing w:line="590" w:lineRule="exact"/>
        <w:ind w:firstLine="640" w:firstLineChars="200"/>
        <w:rPr>
          <w:szCs w:val="32"/>
        </w:rPr>
      </w:pPr>
      <w:r>
        <w:rPr>
          <w:szCs w:val="32"/>
        </w:rPr>
        <w:t>3.2判定原则</w:t>
      </w:r>
    </w:p>
    <w:p>
      <w:pPr>
        <w:snapToGrid w:val="0"/>
        <w:spacing w:line="59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napToGrid w:val="0"/>
        <w:spacing w:line="590" w:lineRule="exact"/>
        <w:ind w:firstLine="636" w:firstLineChars="199"/>
        <w:rPr>
          <w:szCs w:val="32"/>
        </w:rPr>
      </w:pPr>
      <w:r>
        <w:rPr>
          <w:szCs w:val="32"/>
        </w:rPr>
        <w:t>若被检产品明示的质量要求高于本细则中检验项目依据的标准要求时，应按被检产品明示的质量要求判定。</w:t>
      </w:r>
    </w:p>
    <w:p>
      <w:pPr>
        <w:snapToGrid w:val="0"/>
        <w:spacing w:line="590" w:lineRule="exact"/>
        <w:ind w:firstLine="636" w:firstLineChars="199"/>
        <w:rPr>
          <w:szCs w:val="32"/>
        </w:rPr>
      </w:pPr>
      <w:r>
        <w:rPr>
          <w:szCs w:val="32"/>
        </w:rPr>
        <w:t>若被检产品明示的质量要求低于本细则中检验项目依据的强制性标准要求时，应按照强制性标准要求判定。</w:t>
      </w:r>
    </w:p>
    <w:p>
      <w:pPr>
        <w:snapToGrid w:val="0"/>
        <w:spacing w:line="590" w:lineRule="exact"/>
        <w:ind w:firstLine="636" w:firstLineChars="199"/>
        <w:rPr>
          <w:szCs w:val="32"/>
        </w:rPr>
      </w:pPr>
      <w:r>
        <w:rPr>
          <w:szCs w:val="32"/>
        </w:rPr>
        <w:t>若被检产品明示的质量要求低于或包含本细则中检验项目依据的推荐性标准要求时，应以被检产品明示的质量要求判定。</w:t>
      </w:r>
    </w:p>
    <w:p>
      <w:pPr>
        <w:snapToGrid w:val="0"/>
        <w:spacing w:line="590" w:lineRule="exact"/>
        <w:ind w:firstLine="636" w:firstLineChars="199"/>
        <w:rPr>
          <w:szCs w:val="32"/>
        </w:rPr>
      </w:pPr>
      <w:r>
        <w:rPr>
          <w:szCs w:val="32"/>
        </w:rPr>
        <w:t>若被检产品明示的质量要求缺少本细则中检验项目依据的强制性标准要求时，应按照强制性标准要求判定。</w:t>
      </w:r>
    </w:p>
    <w:p>
      <w:pPr>
        <w:snapToGrid w:val="0"/>
        <w:spacing w:line="590" w:lineRule="exact"/>
        <w:ind w:firstLine="636" w:firstLineChars="199"/>
        <w:rPr>
          <w:szCs w:val="32"/>
        </w:rPr>
      </w:pPr>
      <w:r>
        <w:rPr>
          <w:szCs w:val="32"/>
        </w:rPr>
        <w:t>若被检产品明示的质量要求缺少本细则中检验项目依据的推荐性标准要求时，该项目不参与判定。</w:t>
      </w:r>
    </w:p>
    <w:p>
      <w:pPr>
        <w:snapToGrid w:val="0"/>
        <w:spacing w:line="590" w:lineRule="exact"/>
        <w:ind w:firstLine="636" w:firstLineChars="199"/>
        <w:rPr>
          <w:rFonts w:hint="eastAsia"/>
          <w:szCs w:val="32"/>
        </w:rPr>
      </w:pPr>
      <w:r>
        <w:rPr>
          <w:szCs w:val="32"/>
        </w:rPr>
        <w:t>依据GB 4789.1</w:t>
      </w:r>
      <w:r>
        <w:rPr>
          <w:rFonts w:hint="eastAsia"/>
          <w:szCs w:val="32"/>
          <w:lang w:eastAsia="zh-CN"/>
        </w:rPr>
        <w:t>-</w:t>
      </w:r>
      <w:r>
        <w:rPr>
          <w:szCs w:val="32"/>
        </w:rPr>
        <w:t>2016 《食品安全国家标准食品微生物学检验总则》第7.3条规定“检验结果报告后，剩余样品和同批产品不进行微生物项目的复检”，微生物指标不合格不进行复检。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E7709"/>
    <w:rsid w:val="001F51AF"/>
    <w:rsid w:val="0029007E"/>
    <w:rsid w:val="00355AF6"/>
    <w:rsid w:val="003D4DBB"/>
    <w:rsid w:val="004158B7"/>
    <w:rsid w:val="004212FB"/>
    <w:rsid w:val="00422A03"/>
    <w:rsid w:val="00444FD2"/>
    <w:rsid w:val="00456C0D"/>
    <w:rsid w:val="00462AA7"/>
    <w:rsid w:val="004A3B75"/>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F221D"/>
    <w:rsid w:val="00A03C1B"/>
    <w:rsid w:val="00A2464E"/>
    <w:rsid w:val="00A50F23"/>
    <w:rsid w:val="00A96CBE"/>
    <w:rsid w:val="00AA200B"/>
    <w:rsid w:val="00AF10CC"/>
    <w:rsid w:val="00B35659"/>
    <w:rsid w:val="00B93EB9"/>
    <w:rsid w:val="00BC7CC7"/>
    <w:rsid w:val="00C16941"/>
    <w:rsid w:val="00C250F0"/>
    <w:rsid w:val="00C457EA"/>
    <w:rsid w:val="00C4628E"/>
    <w:rsid w:val="00C717EE"/>
    <w:rsid w:val="00CD7B99"/>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AECFE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semiHidden/>
    <w:unhideWhenUsed/>
    <w:qFormat/>
    <w:uiPriority w:val="99"/>
    <w:rPr>
      <w:rFonts w:ascii="宋体" w:hAnsi="Courier New" w:eastAsia="宋体" w:cs="Courier New"/>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纯文本 字符"/>
    <w:basedOn w:val="7"/>
    <w:link w:val="2"/>
    <w:semiHidden/>
    <w:qFormat/>
    <w:uiPriority w:val="99"/>
    <w:rPr>
      <w:rFonts w:ascii="宋体" w:hAnsi="Courier New" w:eastAsia="宋体" w:cs="Courier New"/>
      <w:szCs w:val="21"/>
    </w:rPr>
  </w:style>
  <w:style w:type="character" w:customStyle="1" w:styleId="11">
    <w:name w:val="批注框文本 字符"/>
    <w:basedOn w:val="7"/>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178</Words>
  <Characters>1020</Characters>
  <Lines>8</Lines>
  <Paragraphs>2</Paragraphs>
  <TotalTime>257</TotalTime>
  <ScaleCrop>false</ScaleCrop>
  <LinksUpToDate>false</LinksUpToDate>
  <CharactersWithSpaces>1196</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2026-09-18T09:02:31Z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