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鹤山市</w:t>
      </w:r>
      <w:r>
        <w:rPr>
          <w:rFonts w:hint="eastAsia" w:eastAsia="方正小标宋简体"/>
          <w:sz w:val="44"/>
          <w:szCs w:val="44"/>
        </w:rPr>
        <w:t>食品用塑料容器工具</w:t>
      </w:r>
      <w:r>
        <w:rPr>
          <w:rFonts w:hint="eastAsia" w:eastAsia="方正小标宋简体"/>
          <w:color w:val="000000"/>
          <w:sz w:val="44"/>
          <w:szCs w:val="44"/>
        </w:rPr>
        <w:t>产品质量监督抽查实施细则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adjustRightInd w:val="0"/>
        <w:snapToGrid w:val="0"/>
        <w:spacing w:line="590" w:lineRule="exact"/>
        <w:ind w:firstLine="640" w:firstLineChars="200"/>
        <w:rPr>
          <w:szCs w:val="32"/>
        </w:rPr>
      </w:pPr>
      <w:r>
        <w:rPr>
          <w:szCs w:val="32"/>
        </w:rPr>
        <w:t>以随机抽样的方式在被抽样生产者的待销产品中抽取。</w:t>
      </w:r>
    </w:p>
    <w:p>
      <w:pPr>
        <w:adjustRightInd w:val="0"/>
        <w:snapToGrid w:val="0"/>
        <w:spacing w:line="590" w:lineRule="exact"/>
        <w:ind w:firstLine="640" w:firstLineChars="200"/>
        <w:outlineLvl w:val="1"/>
        <w:rPr>
          <w:szCs w:val="32"/>
        </w:rPr>
      </w:pPr>
      <w:r>
        <w:rPr>
          <w:szCs w:val="32"/>
        </w:rPr>
        <w:t>随机数一般可使用随机数表等方法产生。</w:t>
      </w:r>
    </w:p>
    <w:p>
      <w:pPr>
        <w:adjustRightInd w:val="0"/>
        <w:snapToGrid w:val="0"/>
        <w:spacing w:line="590" w:lineRule="exact"/>
        <w:ind w:firstLine="640" w:firstLineChars="200"/>
        <w:outlineLvl w:val="1"/>
        <w:rPr>
          <w:szCs w:val="32"/>
        </w:rPr>
      </w:pPr>
      <w:r>
        <w:rPr>
          <w:szCs w:val="32"/>
        </w:rPr>
        <w:t>抽样数量见表1。</w:t>
      </w:r>
    </w:p>
    <w:p>
      <w:pPr>
        <w:adjustRightInd w:val="0"/>
        <w:snapToGrid w:val="0"/>
        <w:spacing w:line="590" w:lineRule="exact"/>
        <w:jc w:val="center"/>
        <w:outlineLvl w:val="1"/>
        <w:rPr>
          <w:szCs w:val="32"/>
        </w:rPr>
      </w:pPr>
      <w:r>
        <w:rPr>
          <w:szCs w:val="32"/>
        </w:rPr>
        <w:t>表1 抽样数量</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884"/>
        <w:gridCol w:w="2692"/>
        <w:gridCol w:w="1158"/>
        <w:gridCol w:w="1535"/>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Align w:val="center"/>
          </w:tcPr>
          <w:p>
            <w:pPr>
              <w:spacing w:line="340" w:lineRule="exact"/>
              <w:jc w:val="center"/>
              <w:rPr>
                <w:rFonts w:eastAsia="黑体"/>
                <w:kern w:val="0"/>
                <w:sz w:val="24"/>
              </w:rPr>
            </w:pPr>
            <w:r>
              <w:rPr>
                <w:rFonts w:eastAsia="黑体"/>
                <w:kern w:val="0"/>
                <w:sz w:val="24"/>
              </w:rPr>
              <w:t>序号</w:t>
            </w:r>
          </w:p>
        </w:tc>
        <w:tc>
          <w:tcPr>
            <w:tcW w:w="3855" w:type="dxa"/>
            <w:gridSpan w:val="2"/>
            <w:vAlign w:val="center"/>
          </w:tcPr>
          <w:p>
            <w:pPr>
              <w:spacing w:line="340" w:lineRule="exact"/>
              <w:jc w:val="center"/>
              <w:rPr>
                <w:rFonts w:eastAsia="黑体"/>
                <w:kern w:val="0"/>
                <w:sz w:val="24"/>
              </w:rPr>
            </w:pPr>
            <w:r>
              <w:rPr>
                <w:rFonts w:eastAsia="黑体"/>
                <w:kern w:val="0"/>
                <w:sz w:val="24"/>
              </w:rPr>
              <w:t>产品类型</w:t>
            </w:r>
          </w:p>
        </w:tc>
        <w:tc>
          <w:tcPr>
            <w:tcW w:w="1230" w:type="dxa"/>
            <w:vAlign w:val="center"/>
          </w:tcPr>
          <w:p>
            <w:pPr>
              <w:spacing w:line="340" w:lineRule="exact"/>
              <w:jc w:val="center"/>
              <w:rPr>
                <w:rFonts w:eastAsia="黑体"/>
                <w:kern w:val="0"/>
                <w:sz w:val="24"/>
              </w:rPr>
            </w:pPr>
            <w:r>
              <w:rPr>
                <w:rFonts w:eastAsia="黑体"/>
                <w:kern w:val="0"/>
                <w:sz w:val="24"/>
              </w:rPr>
              <w:t>抽样数量</w:t>
            </w:r>
          </w:p>
          <w:p>
            <w:pPr>
              <w:spacing w:line="340" w:lineRule="exact"/>
              <w:jc w:val="center"/>
              <w:rPr>
                <w:rFonts w:eastAsia="黑体"/>
                <w:kern w:val="0"/>
                <w:sz w:val="24"/>
              </w:rPr>
            </w:pPr>
            <w:r>
              <w:rPr>
                <w:rFonts w:eastAsia="黑体"/>
                <w:kern w:val="0"/>
                <w:sz w:val="24"/>
              </w:rPr>
              <w:t>（只/个）</w:t>
            </w:r>
          </w:p>
        </w:tc>
        <w:tc>
          <w:tcPr>
            <w:tcW w:w="1665" w:type="dxa"/>
            <w:vAlign w:val="center"/>
          </w:tcPr>
          <w:p>
            <w:pPr>
              <w:spacing w:line="340" w:lineRule="exact"/>
              <w:jc w:val="center"/>
              <w:rPr>
                <w:rFonts w:eastAsia="黑体"/>
                <w:kern w:val="0"/>
                <w:sz w:val="24"/>
              </w:rPr>
            </w:pPr>
            <w:r>
              <w:rPr>
                <w:rFonts w:eastAsia="黑体"/>
                <w:kern w:val="0"/>
                <w:sz w:val="24"/>
              </w:rPr>
              <w:t>检验样品数量</w:t>
            </w:r>
          </w:p>
          <w:p>
            <w:pPr>
              <w:spacing w:line="340" w:lineRule="exact"/>
              <w:jc w:val="center"/>
              <w:rPr>
                <w:rFonts w:eastAsia="黑体"/>
                <w:kern w:val="0"/>
                <w:sz w:val="24"/>
              </w:rPr>
            </w:pPr>
            <w:r>
              <w:rPr>
                <w:rFonts w:eastAsia="黑体"/>
                <w:kern w:val="0"/>
                <w:sz w:val="24"/>
              </w:rPr>
              <w:t>（只/个）</w:t>
            </w:r>
          </w:p>
        </w:tc>
        <w:tc>
          <w:tcPr>
            <w:tcW w:w="1669" w:type="dxa"/>
            <w:vAlign w:val="center"/>
          </w:tcPr>
          <w:p>
            <w:pPr>
              <w:spacing w:line="340" w:lineRule="exact"/>
              <w:jc w:val="center"/>
              <w:rPr>
                <w:rFonts w:eastAsia="黑体"/>
                <w:kern w:val="0"/>
                <w:sz w:val="24"/>
              </w:rPr>
            </w:pPr>
            <w:r>
              <w:rPr>
                <w:rFonts w:eastAsia="黑体"/>
                <w:kern w:val="0"/>
                <w:sz w:val="24"/>
              </w:rPr>
              <w:t>备用样品数量</w:t>
            </w:r>
          </w:p>
          <w:p>
            <w:pPr>
              <w:spacing w:line="340" w:lineRule="exact"/>
              <w:jc w:val="center"/>
              <w:rPr>
                <w:rFonts w:eastAsia="黑体"/>
                <w:kern w:val="0"/>
                <w:sz w:val="24"/>
              </w:rPr>
            </w:pPr>
            <w:r>
              <w:rPr>
                <w:rFonts w:eastAsia="黑体"/>
                <w:kern w:val="0"/>
                <w:sz w:val="24"/>
              </w:rPr>
              <w:t>（只/个）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Align w:val="center"/>
          </w:tcPr>
          <w:p>
            <w:pPr>
              <w:snapToGrid w:val="0"/>
              <w:spacing w:line="340" w:lineRule="exact"/>
              <w:jc w:val="center"/>
              <w:rPr>
                <w:kern w:val="0"/>
                <w:sz w:val="24"/>
              </w:rPr>
            </w:pPr>
            <w:r>
              <w:rPr>
                <w:kern w:val="0"/>
                <w:sz w:val="24"/>
              </w:rPr>
              <w:t>1</w:t>
            </w:r>
          </w:p>
        </w:tc>
        <w:tc>
          <w:tcPr>
            <w:tcW w:w="3855" w:type="dxa"/>
            <w:gridSpan w:val="2"/>
            <w:vAlign w:val="center"/>
          </w:tcPr>
          <w:p>
            <w:pPr>
              <w:snapToGrid w:val="0"/>
              <w:spacing w:line="340" w:lineRule="exact"/>
              <w:jc w:val="center"/>
              <w:rPr>
                <w:kern w:val="0"/>
                <w:sz w:val="24"/>
              </w:rPr>
            </w:pPr>
            <w:r>
              <w:rPr>
                <w:kern w:val="0"/>
                <w:sz w:val="24"/>
              </w:rPr>
              <w:t>刀、叉、勺、吸管、筷子等</w:t>
            </w:r>
          </w:p>
        </w:tc>
        <w:tc>
          <w:tcPr>
            <w:tcW w:w="1230" w:type="dxa"/>
            <w:vAlign w:val="center"/>
          </w:tcPr>
          <w:p>
            <w:pPr>
              <w:snapToGrid w:val="0"/>
              <w:spacing w:line="340" w:lineRule="exact"/>
              <w:jc w:val="center"/>
              <w:rPr>
                <w:kern w:val="0"/>
                <w:sz w:val="24"/>
              </w:rPr>
            </w:pPr>
            <w:r>
              <w:rPr>
                <w:kern w:val="0"/>
                <w:sz w:val="24"/>
              </w:rPr>
              <w:t>42</w:t>
            </w:r>
          </w:p>
        </w:tc>
        <w:tc>
          <w:tcPr>
            <w:tcW w:w="1665" w:type="dxa"/>
            <w:vAlign w:val="center"/>
          </w:tcPr>
          <w:p>
            <w:pPr>
              <w:snapToGrid w:val="0"/>
              <w:spacing w:line="340" w:lineRule="exact"/>
              <w:jc w:val="center"/>
              <w:rPr>
                <w:kern w:val="0"/>
                <w:sz w:val="24"/>
              </w:rPr>
            </w:pPr>
            <w:r>
              <w:rPr>
                <w:kern w:val="0"/>
                <w:sz w:val="24"/>
              </w:rPr>
              <w:t>30</w:t>
            </w:r>
          </w:p>
        </w:tc>
        <w:tc>
          <w:tcPr>
            <w:tcW w:w="1669" w:type="dxa"/>
            <w:vAlign w:val="center"/>
          </w:tcPr>
          <w:p>
            <w:pPr>
              <w:snapToGrid w:val="0"/>
              <w:spacing w:line="340" w:lineRule="exact"/>
              <w:jc w:val="center"/>
              <w:rPr>
                <w:kern w:val="0"/>
                <w:sz w:val="24"/>
              </w:rPr>
            </w:pPr>
            <w:r>
              <w:rPr>
                <w:kern w:val="0"/>
                <w:sz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restart"/>
            <w:vAlign w:val="center"/>
          </w:tcPr>
          <w:p>
            <w:pPr>
              <w:snapToGrid w:val="0"/>
              <w:spacing w:line="340" w:lineRule="exact"/>
              <w:jc w:val="center"/>
              <w:rPr>
                <w:kern w:val="0"/>
                <w:sz w:val="24"/>
              </w:rPr>
            </w:pPr>
            <w:r>
              <w:rPr>
                <w:kern w:val="0"/>
                <w:sz w:val="24"/>
              </w:rPr>
              <w:t>2</w:t>
            </w:r>
          </w:p>
        </w:tc>
        <w:tc>
          <w:tcPr>
            <w:tcW w:w="913" w:type="dxa"/>
            <w:vMerge w:val="restart"/>
            <w:vAlign w:val="center"/>
          </w:tcPr>
          <w:p>
            <w:pPr>
              <w:snapToGrid w:val="0"/>
              <w:spacing w:line="340" w:lineRule="exact"/>
              <w:jc w:val="center"/>
              <w:rPr>
                <w:kern w:val="0"/>
                <w:sz w:val="24"/>
              </w:rPr>
            </w:pPr>
            <w:r>
              <w:rPr>
                <w:kern w:val="0"/>
                <w:sz w:val="24"/>
                <w:lang w:bidi="ar"/>
              </w:rPr>
              <w:t>盒、</w:t>
            </w:r>
            <w:r>
              <w:rPr>
                <w:kern w:val="0"/>
                <w:sz w:val="24"/>
              </w:rPr>
              <w:t>碗、杯</w:t>
            </w:r>
          </w:p>
        </w:tc>
        <w:tc>
          <w:tcPr>
            <w:tcW w:w="2942" w:type="dxa"/>
            <w:vAlign w:val="center"/>
          </w:tcPr>
          <w:p>
            <w:pPr>
              <w:snapToGrid w:val="0"/>
              <w:spacing w:line="340" w:lineRule="exact"/>
              <w:jc w:val="center"/>
              <w:rPr>
                <w:kern w:val="0"/>
                <w:sz w:val="24"/>
              </w:rPr>
            </w:pPr>
            <w:r>
              <w:rPr>
                <w:kern w:val="0"/>
                <w:sz w:val="24"/>
              </w:rPr>
              <w:t>容量≥400mL</w:t>
            </w:r>
          </w:p>
        </w:tc>
        <w:tc>
          <w:tcPr>
            <w:tcW w:w="1230" w:type="dxa"/>
            <w:vAlign w:val="center"/>
          </w:tcPr>
          <w:p>
            <w:pPr>
              <w:snapToGrid w:val="0"/>
              <w:spacing w:line="340" w:lineRule="exact"/>
              <w:jc w:val="center"/>
              <w:rPr>
                <w:kern w:val="0"/>
                <w:sz w:val="24"/>
              </w:rPr>
            </w:pPr>
            <w:r>
              <w:rPr>
                <w:kern w:val="0"/>
                <w:sz w:val="24"/>
              </w:rPr>
              <w:t>10</w:t>
            </w:r>
          </w:p>
        </w:tc>
        <w:tc>
          <w:tcPr>
            <w:tcW w:w="1665" w:type="dxa"/>
            <w:vAlign w:val="center"/>
          </w:tcPr>
          <w:p>
            <w:pPr>
              <w:snapToGrid w:val="0"/>
              <w:spacing w:line="340" w:lineRule="exact"/>
              <w:jc w:val="center"/>
              <w:rPr>
                <w:kern w:val="0"/>
                <w:sz w:val="24"/>
              </w:rPr>
            </w:pPr>
            <w:r>
              <w:rPr>
                <w:kern w:val="0"/>
                <w:sz w:val="24"/>
              </w:rPr>
              <w:t>8</w:t>
            </w:r>
          </w:p>
        </w:tc>
        <w:tc>
          <w:tcPr>
            <w:tcW w:w="1669" w:type="dxa"/>
            <w:vAlign w:val="center"/>
          </w:tcPr>
          <w:p>
            <w:pPr>
              <w:snapToGrid w:val="0"/>
              <w:spacing w:line="340" w:lineRule="exact"/>
              <w:jc w:val="center"/>
              <w:rPr>
                <w:kern w:val="0"/>
                <w:sz w:val="24"/>
              </w:rPr>
            </w:pPr>
            <w:r>
              <w:rPr>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continue"/>
            <w:vAlign w:val="center"/>
          </w:tcPr>
          <w:p>
            <w:pPr>
              <w:snapToGrid w:val="0"/>
              <w:spacing w:line="340" w:lineRule="exact"/>
              <w:jc w:val="center"/>
              <w:rPr>
                <w:kern w:val="0"/>
                <w:sz w:val="24"/>
              </w:rPr>
            </w:pPr>
          </w:p>
        </w:tc>
        <w:tc>
          <w:tcPr>
            <w:tcW w:w="913" w:type="dxa"/>
            <w:vMerge w:val="continue"/>
            <w:vAlign w:val="center"/>
          </w:tcPr>
          <w:p>
            <w:pPr>
              <w:snapToGrid w:val="0"/>
              <w:spacing w:line="340" w:lineRule="exact"/>
              <w:jc w:val="center"/>
              <w:rPr>
                <w:kern w:val="0"/>
                <w:sz w:val="24"/>
              </w:rPr>
            </w:pPr>
          </w:p>
        </w:tc>
        <w:tc>
          <w:tcPr>
            <w:tcW w:w="2942" w:type="dxa"/>
            <w:vAlign w:val="center"/>
          </w:tcPr>
          <w:p>
            <w:pPr>
              <w:snapToGrid w:val="0"/>
              <w:spacing w:line="340" w:lineRule="exact"/>
              <w:jc w:val="center"/>
              <w:rPr>
                <w:kern w:val="0"/>
                <w:sz w:val="24"/>
              </w:rPr>
            </w:pPr>
            <w:r>
              <w:rPr>
                <w:kern w:val="0"/>
                <w:sz w:val="24"/>
              </w:rPr>
              <w:t>200mL≤容量＜400mL</w:t>
            </w:r>
          </w:p>
        </w:tc>
        <w:tc>
          <w:tcPr>
            <w:tcW w:w="1230" w:type="dxa"/>
            <w:vAlign w:val="center"/>
          </w:tcPr>
          <w:p>
            <w:pPr>
              <w:snapToGrid w:val="0"/>
              <w:spacing w:line="340" w:lineRule="exact"/>
              <w:jc w:val="center"/>
              <w:rPr>
                <w:kern w:val="0"/>
                <w:sz w:val="24"/>
              </w:rPr>
            </w:pPr>
            <w:r>
              <w:rPr>
                <w:kern w:val="0"/>
                <w:sz w:val="24"/>
              </w:rPr>
              <w:t>14</w:t>
            </w:r>
          </w:p>
        </w:tc>
        <w:tc>
          <w:tcPr>
            <w:tcW w:w="1665" w:type="dxa"/>
            <w:vAlign w:val="center"/>
          </w:tcPr>
          <w:p>
            <w:pPr>
              <w:snapToGrid w:val="0"/>
              <w:spacing w:line="340" w:lineRule="exact"/>
              <w:jc w:val="center"/>
              <w:rPr>
                <w:kern w:val="0"/>
                <w:sz w:val="24"/>
              </w:rPr>
            </w:pPr>
            <w:r>
              <w:rPr>
                <w:kern w:val="0"/>
                <w:sz w:val="24"/>
              </w:rPr>
              <w:t>10</w:t>
            </w:r>
          </w:p>
        </w:tc>
        <w:tc>
          <w:tcPr>
            <w:tcW w:w="1669" w:type="dxa"/>
            <w:vAlign w:val="center"/>
          </w:tcPr>
          <w:p>
            <w:pPr>
              <w:snapToGrid w:val="0"/>
              <w:spacing w:line="340" w:lineRule="exact"/>
              <w:jc w:val="center"/>
              <w:rPr>
                <w:kern w:val="0"/>
                <w:sz w:val="24"/>
              </w:rPr>
            </w:pPr>
            <w:r>
              <w:rPr>
                <w:kern w:val="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continue"/>
            <w:vAlign w:val="center"/>
          </w:tcPr>
          <w:p>
            <w:pPr>
              <w:snapToGrid w:val="0"/>
              <w:spacing w:line="340" w:lineRule="exact"/>
              <w:jc w:val="center"/>
              <w:rPr>
                <w:kern w:val="0"/>
                <w:sz w:val="24"/>
              </w:rPr>
            </w:pPr>
          </w:p>
        </w:tc>
        <w:tc>
          <w:tcPr>
            <w:tcW w:w="913" w:type="dxa"/>
            <w:vMerge w:val="continue"/>
            <w:vAlign w:val="center"/>
          </w:tcPr>
          <w:p>
            <w:pPr>
              <w:snapToGrid w:val="0"/>
              <w:spacing w:line="340" w:lineRule="exact"/>
              <w:jc w:val="center"/>
              <w:rPr>
                <w:kern w:val="0"/>
                <w:sz w:val="24"/>
              </w:rPr>
            </w:pPr>
          </w:p>
        </w:tc>
        <w:tc>
          <w:tcPr>
            <w:tcW w:w="2942" w:type="dxa"/>
            <w:vAlign w:val="center"/>
          </w:tcPr>
          <w:p>
            <w:pPr>
              <w:snapToGrid w:val="0"/>
              <w:spacing w:line="340" w:lineRule="exact"/>
              <w:jc w:val="center"/>
              <w:rPr>
                <w:kern w:val="0"/>
                <w:sz w:val="24"/>
              </w:rPr>
            </w:pPr>
            <w:r>
              <w:rPr>
                <w:kern w:val="0"/>
                <w:sz w:val="24"/>
              </w:rPr>
              <w:t>容量＜200mL</w:t>
            </w:r>
          </w:p>
        </w:tc>
        <w:tc>
          <w:tcPr>
            <w:tcW w:w="1230" w:type="dxa"/>
            <w:vAlign w:val="center"/>
          </w:tcPr>
          <w:p>
            <w:pPr>
              <w:snapToGrid w:val="0"/>
              <w:spacing w:line="340" w:lineRule="exact"/>
              <w:jc w:val="center"/>
              <w:rPr>
                <w:kern w:val="0"/>
                <w:sz w:val="24"/>
              </w:rPr>
            </w:pPr>
            <w:r>
              <w:rPr>
                <w:kern w:val="0"/>
                <w:sz w:val="24"/>
              </w:rPr>
              <w:t>24</w:t>
            </w:r>
          </w:p>
        </w:tc>
        <w:tc>
          <w:tcPr>
            <w:tcW w:w="1665" w:type="dxa"/>
            <w:vAlign w:val="center"/>
          </w:tcPr>
          <w:p>
            <w:pPr>
              <w:snapToGrid w:val="0"/>
              <w:spacing w:line="340" w:lineRule="exact"/>
              <w:jc w:val="center"/>
              <w:rPr>
                <w:kern w:val="0"/>
                <w:sz w:val="24"/>
              </w:rPr>
            </w:pPr>
            <w:r>
              <w:rPr>
                <w:kern w:val="0"/>
                <w:sz w:val="24"/>
              </w:rPr>
              <w:t>16</w:t>
            </w:r>
          </w:p>
        </w:tc>
        <w:tc>
          <w:tcPr>
            <w:tcW w:w="1669" w:type="dxa"/>
            <w:vAlign w:val="center"/>
          </w:tcPr>
          <w:p>
            <w:pPr>
              <w:snapToGrid w:val="0"/>
              <w:spacing w:line="340" w:lineRule="exact"/>
              <w:jc w:val="center"/>
              <w:rPr>
                <w:kern w:val="0"/>
                <w:sz w:val="24"/>
              </w:rPr>
            </w:pPr>
            <w:r>
              <w:rPr>
                <w:kern w:val="0"/>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restart"/>
            <w:vAlign w:val="center"/>
          </w:tcPr>
          <w:p>
            <w:pPr>
              <w:snapToGrid w:val="0"/>
              <w:spacing w:line="340" w:lineRule="exact"/>
              <w:jc w:val="center"/>
              <w:rPr>
                <w:kern w:val="0"/>
                <w:sz w:val="24"/>
              </w:rPr>
            </w:pPr>
            <w:r>
              <w:rPr>
                <w:kern w:val="0"/>
                <w:sz w:val="24"/>
              </w:rPr>
              <w:t>3</w:t>
            </w:r>
          </w:p>
        </w:tc>
        <w:tc>
          <w:tcPr>
            <w:tcW w:w="913" w:type="dxa"/>
            <w:vMerge w:val="restart"/>
            <w:vAlign w:val="center"/>
          </w:tcPr>
          <w:p>
            <w:pPr>
              <w:snapToGrid w:val="0"/>
              <w:spacing w:line="340" w:lineRule="exact"/>
              <w:jc w:val="center"/>
              <w:rPr>
                <w:kern w:val="0"/>
                <w:sz w:val="24"/>
              </w:rPr>
            </w:pPr>
            <w:r>
              <w:rPr>
                <w:kern w:val="0"/>
                <w:sz w:val="24"/>
              </w:rPr>
              <w:t>盘、碟等产品</w:t>
            </w:r>
          </w:p>
        </w:tc>
        <w:tc>
          <w:tcPr>
            <w:tcW w:w="2942" w:type="dxa"/>
            <w:vAlign w:val="center"/>
          </w:tcPr>
          <w:p>
            <w:pPr>
              <w:snapToGrid w:val="0"/>
              <w:spacing w:line="340" w:lineRule="exact"/>
              <w:jc w:val="center"/>
              <w:rPr>
                <w:kern w:val="0"/>
                <w:sz w:val="24"/>
              </w:rPr>
            </w:pPr>
            <w:r>
              <w:rPr>
                <w:kern w:val="0"/>
                <w:sz w:val="24"/>
              </w:rPr>
              <w:t>接触食品面面积≥240cm</w:t>
            </w:r>
            <w:r>
              <w:rPr>
                <w:kern w:val="0"/>
                <w:sz w:val="24"/>
                <w:vertAlign w:val="superscript"/>
              </w:rPr>
              <w:t>2</w:t>
            </w:r>
          </w:p>
        </w:tc>
        <w:tc>
          <w:tcPr>
            <w:tcW w:w="1230" w:type="dxa"/>
            <w:vAlign w:val="center"/>
          </w:tcPr>
          <w:p>
            <w:pPr>
              <w:snapToGrid w:val="0"/>
              <w:spacing w:line="340" w:lineRule="exact"/>
              <w:jc w:val="center"/>
              <w:rPr>
                <w:kern w:val="0"/>
                <w:sz w:val="24"/>
              </w:rPr>
            </w:pPr>
            <w:r>
              <w:rPr>
                <w:kern w:val="0"/>
                <w:sz w:val="24"/>
              </w:rPr>
              <w:t>10</w:t>
            </w:r>
          </w:p>
        </w:tc>
        <w:tc>
          <w:tcPr>
            <w:tcW w:w="1665" w:type="dxa"/>
            <w:vAlign w:val="center"/>
          </w:tcPr>
          <w:p>
            <w:pPr>
              <w:snapToGrid w:val="0"/>
              <w:spacing w:line="340" w:lineRule="exact"/>
              <w:jc w:val="center"/>
              <w:rPr>
                <w:kern w:val="0"/>
                <w:sz w:val="24"/>
              </w:rPr>
            </w:pPr>
            <w:r>
              <w:rPr>
                <w:kern w:val="0"/>
                <w:sz w:val="24"/>
              </w:rPr>
              <w:t>8</w:t>
            </w:r>
          </w:p>
        </w:tc>
        <w:tc>
          <w:tcPr>
            <w:tcW w:w="1669" w:type="dxa"/>
            <w:vAlign w:val="center"/>
          </w:tcPr>
          <w:p>
            <w:pPr>
              <w:snapToGrid w:val="0"/>
              <w:spacing w:line="340" w:lineRule="exact"/>
              <w:jc w:val="center"/>
              <w:rPr>
                <w:kern w:val="0"/>
                <w:sz w:val="24"/>
              </w:rPr>
            </w:pPr>
            <w:r>
              <w:rPr>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continue"/>
            <w:vAlign w:val="center"/>
          </w:tcPr>
          <w:p>
            <w:pPr>
              <w:snapToGrid w:val="0"/>
              <w:spacing w:line="340" w:lineRule="exact"/>
              <w:jc w:val="center"/>
              <w:rPr>
                <w:kern w:val="0"/>
                <w:sz w:val="24"/>
              </w:rPr>
            </w:pPr>
          </w:p>
        </w:tc>
        <w:tc>
          <w:tcPr>
            <w:tcW w:w="913" w:type="dxa"/>
            <w:vMerge w:val="continue"/>
            <w:vAlign w:val="center"/>
          </w:tcPr>
          <w:p>
            <w:pPr>
              <w:snapToGrid w:val="0"/>
              <w:spacing w:line="340" w:lineRule="exact"/>
              <w:jc w:val="center"/>
              <w:rPr>
                <w:kern w:val="0"/>
                <w:sz w:val="24"/>
              </w:rPr>
            </w:pPr>
          </w:p>
        </w:tc>
        <w:tc>
          <w:tcPr>
            <w:tcW w:w="2942" w:type="dxa"/>
            <w:vAlign w:val="center"/>
          </w:tcPr>
          <w:p>
            <w:pPr>
              <w:snapToGrid w:val="0"/>
              <w:spacing w:line="340" w:lineRule="exact"/>
              <w:jc w:val="center"/>
              <w:rPr>
                <w:kern w:val="0"/>
                <w:sz w:val="24"/>
              </w:rPr>
            </w:pPr>
            <w:r>
              <w:rPr>
                <w:kern w:val="0"/>
                <w:sz w:val="24"/>
              </w:rPr>
              <w:t>120cm</w:t>
            </w:r>
            <w:r>
              <w:rPr>
                <w:kern w:val="0"/>
                <w:sz w:val="24"/>
                <w:vertAlign w:val="superscript"/>
              </w:rPr>
              <w:t>2</w:t>
            </w:r>
            <w:r>
              <w:rPr>
                <w:kern w:val="0"/>
                <w:sz w:val="24"/>
              </w:rPr>
              <w:t>≤接触食品面面积＜240cm</w:t>
            </w:r>
            <w:r>
              <w:rPr>
                <w:kern w:val="0"/>
                <w:sz w:val="24"/>
                <w:vertAlign w:val="superscript"/>
              </w:rPr>
              <w:t>2</w:t>
            </w:r>
          </w:p>
        </w:tc>
        <w:tc>
          <w:tcPr>
            <w:tcW w:w="1230" w:type="dxa"/>
            <w:vAlign w:val="center"/>
          </w:tcPr>
          <w:p>
            <w:pPr>
              <w:snapToGrid w:val="0"/>
              <w:spacing w:line="340" w:lineRule="exact"/>
              <w:jc w:val="center"/>
              <w:rPr>
                <w:kern w:val="0"/>
                <w:sz w:val="24"/>
              </w:rPr>
            </w:pPr>
            <w:r>
              <w:rPr>
                <w:kern w:val="0"/>
                <w:sz w:val="24"/>
              </w:rPr>
              <w:t>14</w:t>
            </w:r>
          </w:p>
        </w:tc>
        <w:tc>
          <w:tcPr>
            <w:tcW w:w="1665" w:type="dxa"/>
            <w:vAlign w:val="center"/>
          </w:tcPr>
          <w:p>
            <w:pPr>
              <w:snapToGrid w:val="0"/>
              <w:spacing w:line="340" w:lineRule="exact"/>
              <w:jc w:val="center"/>
              <w:rPr>
                <w:kern w:val="0"/>
                <w:sz w:val="24"/>
              </w:rPr>
            </w:pPr>
            <w:r>
              <w:rPr>
                <w:kern w:val="0"/>
                <w:sz w:val="24"/>
              </w:rPr>
              <w:t>10</w:t>
            </w:r>
          </w:p>
        </w:tc>
        <w:tc>
          <w:tcPr>
            <w:tcW w:w="1669" w:type="dxa"/>
            <w:vAlign w:val="center"/>
          </w:tcPr>
          <w:p>
            <w:pPr>
              <w:snapToGrid w:val="0"/>
              <w:spacing w:line="340" w:lineRule="exact"/>
              <w:jc w:val="center"/>
              <w:rPr>
                <w:kern w:val="0"/>
                <w:sz w:val="24"/>
              </w:rPr>
            </w:pPr>
            <w:r>
              <w:rPr>
                <w:kern w:val="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continue"/>
            <w:vAlign w:val="center"/>
          </w:tcPr>
          <w:p>
            <w:pPr>
              <w:snapToGrid w:val="0"/>
              <w:spacing w:line="340" w:lineRule="exact"/>
              <w:jc w:val="center"/>
              <w:rPr>
                <w:kern w:val="0"/>
                <w:sz w:val="24"/>
              </w:rPr>
            </w:pPr>
          </w:p>
        </w:tc>
        <w:tc>
          <w:tcPr>
            <w:tcW w:w="913" w:type="dxa"/>
            <w:vMerge w:val="continue"/>
            <w:vAlign w:val="center"/>
          </w:tcPr>
          <w:p>
            <w:pPr>
              <w:snapToGrid w:val="0"/>
              <w:spacing w:line="340" w:lineRule="exact"/>
              <w:jc w:val="center"/>
              <w:rPr>
                <w:kern w:val="0"/>
                <w:sz w:val="24"/>
              </w:rPr>
            </w:pPr>
          </w:p>
        </w:tc>
        <w:tc>
          <w:tcPr>
            <w:tcW w:w="2942" w:type="dxa"/>
            <w:vAlign w:val="center"/>
          </w:tcPr>
          <w:p>
            <w:pPr>
              <w:snapToGrid w:val="0"/>
              <w:spacing w:line="340" w:lineRule="exact"/>
              <w:jc w:val="center"/>
              <w:rPr>
                <w:kern w:val="0"/>
                <w:sz w:val="24"/>
              </w:rPr>
            </w:pPr>
            <w:r>
              <w:rPr>
                <w:kern w:val="0"/>
                <w:sz w:val="24"/>
              </w:rPr>
              <w:t>60cm</w:t>
            </w:r>
            <w:r>
              <w:rPr>
                <w:kern w:val="0"/>
                <w:sz w:val="24"/>
                <w:vertAlign w:val="superscript"/>
              </w:rPr>
              <w:t>2</w:t>
            </w:r>
            <w:r>
              <w:rPr>
                <w:kern w:val="0"/>
                <w:sz w:val="24"/>
              </w:rPr>
              <w:t>≤接触食品面面积＜120cm</w:t>
            </w:r>
            <w:r>
              <w:rPr>
                <w:kern w:val="0"/>
                <w:sz w:val="24"/>
                <w:vertAlign w:val="superscript"/>
              </w:rPr>
              <w:t>2</w:t>
            </w:r>
          </w:p>
        </w:tc>
        <w:tc>
          <w:tcPr>
            <w:tcW w:w="1230" w:type="dxa"/>
            <w:vAlign w:val="center"/>
          </w:tcPr>
          <w:p>
            <w:pPr>
              <w:snapToGrid w:val="0"/>
              <w:spacing w:line="340" w:lineRule="exact"/>
              <w:jc w:val="center"/>
              <w:rPr>
                <w:kern w:val="0"/>
                <w:sz w:val="24"/>
              </w:rPr>
            </w:pPr>
            <w:r>
              <w:rPr>
                <w:kern w:val="0"/>
                <w:sz w:val="24"/>
              </w:rPr>
              <w:t>24</w:t>
            </w:r>
          </w:p>
        </w:tc>
        <w:tc>
          <w:tcPr>
            <w:tcW w:w="1665" w:type="dxa"/>
            <w:vAlign w:val="center"/>
          </w:tcPr>
          <w:p>
            <w:pPr>
              <w:snapToGrid w:val="0"/>
              <w:spacing w:line="340" w:lineRule="exact"/>
              <w:jc w:val="center"/>
              <w:rPr>
                <w:kern w:val="0"/>
                <w:sz w:val="24"/>
              </w:rPr>
            </w:pPr>
            <w:r>
              <w:rPr>
                <w:kern w:val="0"/>
                <w:sz w:val="24"/>
              </w:rPr>
              <w:t>16</w:t>
            </w:r>
          </w:p>
        </w:tc>
        <w:tc>
          <w:tcPr>
            <w:tcW w:w="1669" w:type="dxa"/>
            <w:vAlign w:val="center"/>
          </w:tcPr>
          <w:p>
            <w:pPr>
              <w:snapToGrid w:val="0"/>
              <w:spacing w:line="340" w:lineRule="exact"/>
              <w:jc w:val="center"/>
              <w:rPr>
                <w:kern w:val="0"/>
                <w:sz w:val="24"/>
              </w:rPr>
            </w:pPr>
            <w:r>
              <w:rPr>
                <w:kern w:val="0"/>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55" w:type="dxa"/>
            <w:vMerge w:val="continue"/>
            <w:vAlign w:val="center"/>
          </w:tcPr>
          <w:p>
            <w:pPr>
              <w:snapToGrid w:val="0"/>
              <w:spacing w:line="340" w:lineRule="exact"/>
              <w:jc w:val="center"/>
              <w:rPr>
                <w:kern w:val="0"/>
                <w:sz w:val="24"/>
              </w:rPr>
            </w:pPr>
          </w:p>
        </w:tc>
        <w:tc>
          <w:tcPr>
            <w:tcW w:w="913" w:type="dxa"/>
            <w:vMerge w:val="continue"/>
            <w:vAlign w:val="center"/>
          </w:tcPr>
          <w:p>
            <w:pPr>
              <w:snapToGrid w:val="0"/>
              <w:spacing w:line="340" w:lineRule="exact"/>
              <w:jc w:val="center"/>
              <w:rPr>
                <w:kern w:val="0"/>
                <w:sz w:val="24"/>
              </w:rPr>
            </w:pPr>
          </w:p>
        </w:tc>
        <w:tc>
          <w:tcPr>
            <w:tcW w:w="2942" w:type="dxa"/>
            <w:vAlign w:val="center"/>
          </w:tcPr>
          <w:p>
            <w:pPr>
              <w:snapToGrid w:val="0"/>
              <w:spacing w:line="340" w:lineRule="exact"/>
              <w:jc w:val="center"/>
              <w:rPr>
                <w:kern w:val="0"/>
                <w:sz w:val="24"/>
              </w:rPr>
            </w:pPr>
            <w:r>
              <w:rPr>
                <w:kern w:val="0"/>
                <w:sz w:val="24"/>
              </w:rPr>
              <w:t>接触食品面面积＜60cm</w:t>
            </w:r>
            <w:r>
              <w:rPr>
                <w:kern w:val="0"/>
                <w:sz w:val="24"/>
                <w:vertAlign w:val="superscript"/>
              </w:rPr>
              <w:t>2</w:t>
            </w:r>
          </w:p>
        </w:tc>
        <w:tc>
          <w:tcPr>
            <w:tcW w:w="1230" w:type="dxa"/>
            <w:vAlign w:val="center"/>
          </w:tcPr>
          <w:p>
            <w:pPr>
              <w:snapToGrid w:val="0"/>
              <w:spacing w:line="340" w:lineRule="exact"/>
              <w:jc w:val="center"/>
              <w:rPr>
                <w:kern w:val="0"/>
                <w:sz w:val="24"/>
              </w:rPr>
            </w:pPr>
            <w:r>
              <w:rPr>
                <w:kern w:val="0"/>
                <w:sz w:val="24"/>
              </w:rPr>
              <w:t>74</w:t>
            </w:r>
          </w:p>
        </w:tc>
        <w:tc>
          <w:tcPr>
            <w:tcW w:w="1665" w:type="dxa"/>
            <w:vAlign w:val="center"/>
          </w:tcPr>
          <w:p>
            <w:pPr>
              <w:snapToGrid w:val="0"/>
              <w:spacing w:line="340" w:lineRule="exact"/>
              <w:jc w:val="center"/>
              <w:rPr>
                <w:kern w:val="0"/>
                <w:sz w:val="24"/>
              </w:rPr>
            </w:pPr>
            <w:r>
              <w:rPr>
                <w:kern w:val="0"/>
                <w:sz w:val="24"/>
              </w:rPr>
              <w:t>50</w:t>
            </w:r>
          </w:p>
        </w:tc>
        <w:tc>
          <w:tcPr>
            <w:tcW w:w="1669" w:type="dxa"/>
            <w:vAlign w:val="center"/>
          </w:tcPr>
          <w:p>
            <w:pPr>
              <w:snapToGrid w:val="0"/>
              <w:spacing w:line="340" w:lineRule="exact"/>
              <w:jc w:val="center"/>
              <w:rPr>
                <w:kern w:val="0"/>
                <w:sz w:val="24"/>
              </w:rPr>
            </w:pPr>
            <w:r>
              <w:rPr>
                <w:kern w:val="0"/>
                <w:sz w:val="24"/>
              </w:rPr>
              <w:t>24</w:t>
            </w:r>
          </w:p>
        </w:tc>
      </w:tr>
    </w:tbl>
    <w:p>
      <w:pPr>
        <w:adjustRightInd w:val="0"/>
        <w:snapToGrid w:val="0"/>
        <w:spacing w:line="440" w:lineRule="exact"/>
        <w:ind w:firstLine="640" w:firstLineChars="200"/>
        <w:outlineLvl w:val="1"/>
        <w:rPr>
          <w:rFonts w:eastAsia="黑体"/>
          <w:szCs w:val="32"/>
        </w:rPr>
      </w:pPr>
    </w:p>
    <w:p>
      <w:pPr>
        <w:adjustRightInd w:val="0"/>
        <w:snapToGrid w:val="0"/>
        <w:spacing w:line="440" w:lineRule="exact"/>
        <w:ind w:firstLine="640" w:firstLineChars="200"/>
        <w:outlineLvl w:val="1"/>
        <w:rPr>
          <w:rFonts w:eastAsia="黑体"/>
          <w:szCs w:val="32"/>
        </w:rPr>
      </w:pPr>
      <w:r>
        <w:rPr>
          <w:rFonts w:eastAsia="黑体"/>
          <w:szCs w:val="32"/>
        </w:rPr>
        <w:t>2 检验依据</w:t>
      </w:r>
    </w:p>
    <w:p>
      <w:pPr>
        <w:snapToGrid w:val="0"/>
        <w:spacing w:line="590" w:lineRule="exact"/>
        <w:jc w:val="center"/>
      </w:pPr>
      <w:bookmarkStart w:id="0" w:name="_Hlk193727333"/>
      <w:r>
        <w:rPr>
          <w:szCs w:val="32"/>
        </w:rPr>
        <w:t>表</w:t>
      </w:r>
      <w:r>
        <w:rPr>
          <w:rFonts w:hint="eastAsia"/>
          <w:szCs w:val="32"/>
          <w:lang w:val="en-US" w:eastAsia="zh-CN"/>
        </w:rPr>
        <w:t>2</w:t>
      </w:r>
      <w:r>
        <w:rPr>
          <w:szCs w:val="32"/>
        </w:rPr>
        <w:t xml:space="preserve"> </w:t>
      </w:r>
      <w:bookmarkEnd w:id="0"/>
      <w:r>
        <w:rPr>
          <w:rFonts w:hint="eastAsia"/>
          <w:szCs w:val="32"/>
        </w:rPr>
        <w:t>食品用塑料容器工具</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4328"/>
        <w:gridCol w:w="3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508" w:type="pct"/>
            <w:vAlign w:val="center"/>
          </w:tcPr>
          <w:p>
            <w:pPr>
              <w:adjustRightInd w:val="0"/>
              <w:snapToGrid w:val="0"/>
              <w:spacing w:line="360" w:lineRule="exact"/>
              <w:jc w:val="center"/>
              <w:rPr>
                <w:rFonts w:eastAsia="黑体"/>
                <w:sz w:val="24"/>
              </w:rPr>
            </w:pPr>
            <w:r>
              <w:rPr>
                <w:rFonts w:eastAsia="黑体"/>
                <w:sz w:val="24"/>
              </w:rPr>
              <w:t>序号</w:t>
            </w:r>
          </w:p>
        </w:tc>
        <w:tc>
          <w:tcPr>
            <w:tcW w:w="2540" w:type="pct"/>
            <w:vAlign w:val="center"/>
          </w:tcPr>
          <w:p>
            <w:pPr>
              <w:adjustRightInd w:val="0"/>
              <w:snapToGrid w:val="0"/>
              <w:spacing w:line="360" w:lineRule="exact"/>
              <w:jc w:val="center"/>
              <w:rPr>
                <w:rFonts w:eastAsia="黑体"/>
                <w:sz w:val="24"/>
              </w:rPr>
            </w:pPr>
            <w:r>
              <w:rPr>
                <w:rFonts w:eastAsia="黑体"/>
                <w:sz w:val="24"/>
              </w:rPr>
              <w:t>检验项目</w:t>
            </w:r>
          </w:p>
        </w:tc>
        <w:tc>
          <w:tcPr>
            <w:tcW w:w="1951" w:type="pct"/>
            <w:vAlign w:val="center"/>
          </w:tcPr>
          <w:p>
            <w:pPr>
              <w:adjustRightInd w:val="0"/>
              <w:snapToGrid w:val="0"/>
              <w:spacing w:line="360" w:lineRule="exact"/>
              <w:jc w:val="center"/>
              <w:rPr>
                <w:rFonts w:eastAsia="黑体"/>
                <w:sz w:val="24"/>
              </w:rPr>
            </w:pPr>
            <w:r>
              <w:rPr>
                <w:rFonts w:eastAsia="黑体"/>
                <w:sz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8" w:type="pct"/>
            <w:vAlign w:val="center"/>
          </w:tcPr>
          <w:p>
            <w:pPr>
              <w:numPr>
                <w:ilvl w:val="0"/>
                <w:numId w:val="1"/>
              </w:numPr>
              <w:adjustRightInd w:val="0"/>
              <w:snapToGrid w:val="0"/>
              <w:spacing w:line="360" w:lineRule="exact"/>
              <w:jc w:val="center"/>
              <w:rPr>
                <w:sz w:val="24"/>
              </w:rPr>
            </w:pPr>
            <w:bookmarkStart w:id="1" w:name="_Hlk195175219"/>
          </w:p>
        </w:tc>
        <w:tc>
          <w:tcPr>
            <w:tcW w:w="2540" w:type="pct"/>
            <w:vAlign w:val="center"/>
          </w:tcPr>
          <w:p>
            <w:pPr>
              <w:adjustRightInd w:val="0"/>
              <w:snapToGrid w:val="0"/>
              <w:spacing w:line="360" w:lineRule="exact"/>
              <w:jc w:val="center"/>
              <w:rPr>
                <w:sz w:val="24"/>
              </w:rPr>
            </w:pPr>
            <w:r>
              <w:rPr>
                <w:sz w:val="24"/>
              </w:rPr>
              <w:t>感官要求</w:t>
            </w:r>
          </w:p>
        </w:tc>
        <w:tc>
          <w:tcPr>
            <w:tcW w:w="1951" w:type="pct"/>
            <w:vAlign w:val="center"/>
          </w:tcPr>
          <w:p>
            <w:pPr>
              <w:adjustRightInd w:val="0"/>
              <w:snapToGrid w:val="0"/>
              <w:spacing w:line="360" w:lineRule="exact"/>
              <w:jc w:val="center"/>
              <w:rPr>
                <w:sz w:val="24"/>
              </w:rPr>
            </w:pPr>
            <w:r>
              <w:rPr>
                <w:sz w:val="24"/>
              </w:rPr>
              <w:t>GB 4806.7</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总迁移量</w:t>
            </w:r>
          </w:p>
        </w:tc>
        <w:tc>
          <w:tcPr>
            <w:tcW w:w="1951" w:type="pct"/>
            <w:vAlign w:val="center"/>
          </w:tcPr>
          <w:p>
            <w:pPr>
              <w:adjustRightInd w:val="0"/>
              <w:snapToGrid w:val="0"/>
              <w:spacing w:line="360" w:lineRule="exact"/>
              <w:jc w:val="center"/>
              <w:rPr>
                <w:sz w:val="24"/>
              </w:rPr>
            </w:pPr>
            <w:r>
              <w:rPr>
                <w:sz w:val="24"/>
              </w:rPr>
              <w:t>GB 31604.8</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高锰酸钾消耗量</w:t>
            </w:r>
          </w:p>
        </w:tc>
        <w:tc>
          <w:tcPr>
            <w:tcW w:w="1951" w:type="pct"/>
            <w:vAlign w:val="center"/>
          </w:tcPr>
          <w:p>
            <w:pPr>
              <w:adjustRightInd w:val="0"/>
              <w:snapToGrid w:val="0"/>
              <w:spacing w:line="360" w:lineRule="exact"/>
              <w:jc w:val="center"/>
              <w:rPr>
                <w:sz w:val="24"/>
              </w:rPr>
            </w:pPr>
            <w:r>
              <w:rPr>
                <w:sz w:val="24"/>
              </w:rPr>
              <w:t>GB 3</w:t>
            </w:r>
            <w:bookmarkStart w:id="2" w:name="_GoBack"/>
            <w:bookmarkEnd w:id="2"/>
            <w:r>
              <w:rPr>
                <w:sz w:val="24"/>
              </w:rPr>
              <w:t>1604.2</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重金属（以Pb计）</w:t>
            </w:r>
          </w:p>
        </w:tc>
        <w:tc>
          <w:tcPr>
            <w:tcW w:w="1951" w:type="pct"/>
            <w:vAlign w:val="center"/>
          </w:tcPr>
          <w:p>
            <w:pPr>
              <w:adjustRightInd w:val="0"/>
              <w:snapToGrid w:val="0"/>
              <w:spacing w:line="360" w:lineRule="exact"/>
              <w:jc w:val="center"/>
              <w:rPr>
                <w:sz w:val="24"/>
              </w:rPr>
            </w:pPr>
            <w:r>
              <w:rPr>
                <w:sz w:val="24"/>
              </w:rPr>
              <w:t>GB 31604.9</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芳香族伯胺迁移总量</w:t>
            </w:r>
          </w:p>
        </w:tc>
        <w:tc>
          <w:tcPr>
            <w:tcW w:w="1951" w:type="pct"/>
            <w:vAlign w:val="center"/>
          </w:tcPr>
          <w:p>
            <w:pPr>
              <w:adjustRightInd w:val="0"/>
              <w:snapToGrid w:val="0"/>
              <w:spacing w:line="360" w:lineRule="exact"/>
              <w:jc w:val="center"/>
              <w:rPr>
                <w:sz w:val="24"/>
              </w:rPr>
            </w:pPr>
            <w:r>
              <w:rPr>
                <w:sz w:val="24"/>
              </w:rPr>
              <w:t>GB 31604.52</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脱色试验</w:t>
            </w:r>
          </w:p>
        </w:tc>
        <w:tc>
          <w:tcPr>
            <w:tcW w:w="1951" w:type="pct"/>
            <w:vAlign w:val="center"/>
          </w:tcPr>
          <w:p>
            <w:pPr>
              <w:adjustRightInd w:val="0"/>
              <w:snapToGrid w:val="0"/>
              <w:spacing w:line="360" w:lineRule="exact"/>
              <w:jc w:val="center"/>
              <w:rPr>
                <w:sz w:val="24"/>
              </w:rPr>
            </w:pPr>
            <w:r>
              <w:rPr>
                <w:sz w:val="24"/>
              </w:rPr>
              <w:t>GB 31604.7</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特定迁移总量（以己内酰胺计）</w:t>
            </w:r>
          </w:p>
          <w:p>
            <w:pPr>
              <w:adjustRightInd w:val="0"/>
              <w:snapToGrid w:val="0"/>
              <w:spacing w:line="360" w:lineRule="exact"/>
              <w:jc w:val="center"/>
              <w:rPr>
                <w:sz w:val="24"/>
              </w:rPr>
            </w:pPr>
            <w:r>
              <w:rPr>
                <w:sz w:val="24"/>
              </w:rPr>
              <w:t>（限PA材质）</w:t>
            </w:r>
          </w:p>
        </w:tc>
        <w:tc>
          <w:tcPr>
            <w:tcW w:w="1951" w:type="pct"/>
            <w:vAlign w:val="center"/>
          </w:tcPr>
          <w:p>
            <w:pPr>
              <w:adjustRightInd w:val="0"/>
              <w:snapToGrid w:val="0"/>
              <w:spacing w:line="360" w:lineRule="exact"/>
              <w:jc w:val="center"/>
              <w:rPr>
                <w:sz w:val="24"/>
              </w:rPr>
            </w:pPr>
            <w:r>
              <w:rPr>
                <w:sz w:val="24"/>
              </w:rPr>
              <w:t>GB 31604.19</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氯乙烯特定迁移量（限PVC、PVDC材质）</w:t>
            </w:r>
          </w:p>
        </w:tc>
        <w:tc>
          <w:tcPr>
            <w:tcW w:w="1951" w:type="pct"/>
            <w:vAlign w:val="center"/>
          </w:tcPr>
          <w:p>
            <w:pPr>
              <w:adjustRightInd w:val="0"/>
              <w:snapToGrid w:val="0"/>
              <w:spacing w:line="360" w:lineRule="exact"/>
              <w:jc w:val="center"/>
              <w:rPr>
                <w:sz w:val="24"/>
              </w:rPr>
            </w:pPr>
            <w:r>
              <w:rPr>
                <w:sz w:val="24"/>
              </w:rPr>
              <w:t>GB 31604.31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1,1-二氯乙烷特定迁移量（限 PVC 材质）</w:t>
            </w:r>
          </w:p>
        </w:tc>
        <w:tc>
          <w:tcPr>
            <w:tcW w:w="1951" w:type="pct"/>
            <w:vAlign w:val="center"/>
          </w:tcPr>
          <w:p>
            <w:pPr>
              <w:adjustRightInd w:val="0"/>
              <w:snapToGrid w:val="0"/>
              <w:spacing w:line="360" w:lineRule="exact"/>
              <w:jc w:val="center"/>
              <w:rPr>
                <w:sz w:val="24"/>
              </w:rPr>
            </w:pPr>
            <w:r>
              <w:rPr>
                <w:sz w:val="24"/>
              </w:rPr>
              <w:t>GB 31604.31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1,1-二氯乙烯特定迁移量（限 PVDC 材质）</w:t>
            </w:r>
          </w:p>
        </w:tc>
        <w:tc>
          <w:tcPr>
            <w:tcW w:w="1951" w:type="pct"/>
            <w:vAlign w:val="center"/>
          </w:tcPr>
          <w:p>
            <w:pPr>
              <w:adjustRightInd w:val="0"/>
              <w:snapToGrid w:val="0"/>
              <w:spacing w:line="360" w:lineRule="exact"/>
              <w:jc w:val="center"/>
              <w:rPr>
                <w:sz w:val="24"/>
              </w:rPr>
            </w:pPr>
            <w:r>
              <w:rPr>
                <w:sz w:val="24"/>
              </w:rPr>
              <w:t>GB 31604.31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特定迁移总量（以对苯二甲酸计）</w:t>
            </w:r>
          </w:p>
          <w:p>
            <w:pPr>
              <w:adjustRightInd w:val="0"/>
              <w:snapToGrid w:val="0"/>
              <w:spacing w:line="360" w:lineRule="exact"/>
              <w:jc w:val="center"/>
              <w:rPr>
                <w:sz w:val="24"/>
              </w:rPr>
            </w:pPr>
            <w:r>
              <w:rPr>
                <w:sz w:val="24"/>
              </w:rPr>
              <w:t>（限PET、PBT、PCT材质）</w:t>
            </w:r>
          </w:p>
        </w:tc>
        <w:tc>
          <w:tcPr>
            <w:tcW w:w="1951" w:type="pct"/>
            <w:vAlign w:val="center"/>
          </w:tcPr>
          <w:p>
            <w:pPr>
              <w:adjustRightInd w:val="0"/>
              <w:snapToGrid w:val="0"/>
              <w:spacing w:line="360" w:lineRule="exact"/>
              <w:jc w:val="center"/>
              <w:rPr>
                <w:sz w:val="24"/>
              </w:rPr>
            </w:pPr>
            <w:r>
              <w:rPr>
                <w:sz w:val="24"/>
              </w:rPr>
              <w:t>GB 31604.21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特定迁移总量（以间苯二甲酸计）</w:t>
            </w:r>
          </w:p>
          <w:p>
            <w:pPr>
              <w:adjustRightInd w:val="0"/>
              <w:snapToGrid w:val="0"/>
              <w:spacing w:line="360" w:lineRule="exact"/>
              <w:jc w:val="center"/>
              <w:rPr>
                <w:sz w:val="24"/>
              </w:rPr>
            </w:pPr>
            <w:r>
              <w:rPr>
                <w:sz w:val="24"/>
              </w:rPr>
              <w:t>（限 PET 材质）</w:t>
            </w:r>
          </w:p>
        </w:tc>
        <w:tc>
          <w:tcPr>
            <w:tcW w:w="1951" w:type="pct"/>
            <w:vAlign w:val="center"/>
          </w:tcPr>
          <w:p>
            <w:pPr>
              <w:adjustRightInd w:val="0"/>
              <w:snapToGrid w:val="0"/>
              <w:spacing w:line="360" w:lineRule="exact"/>
              <w:jc w:val="center"/>
              <w:rPr>
                <w:sz w:val="24"/>
              </w:rPr>
            </w:pPr>
            <w:r>
              <w:rPr>
                <w:sz w:val="24"/>
              </w:rPr>
              <w:t>GB 31604.21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特定迁移总量（以偏苯三甲酸计）（限 PCT 材质）</w:t>
            </w:r>
          </w:p>
        </w:tc>
        <w:tc>
          <w:tcPr>
            <w:tcW w:w="1951" w:type="pct"/>
            <w:vAlign w:val="center"/>
          </w:tcPr>
          <w:p>
            <w:pPr>
              <w:adjustRightInd w:val="0"/>
              <w:snapToGrid w:val="0"/>
              <w:spacing w:line="360" w:lineRule="exact"/>
              <w:jc w:val="center"/>
              <w:rPr>
                <w:sz w:val="24"/>
              </w:rPr>
            </w:pPr>
            <w:r>
              <w:rPr>
                <w:sz w:val="24"/>
              </w:rPr>
              <w:t>GB 31604.21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特定迁移总量（以1,2-乙二醇计）</w:t>
            </w:r>
          </w:p>
          <w:p>
            <w:pPr>
              <w:adjustRightInd w:val="0"/>
              <w:snapToGrid w:val="0"/>
              <w:spacing w:line="360" w:lineRule="exact"/>
              <w:jc w:val="center"/>
              <w:rPr>
                <w:sz w:val="24"/>
              </w:rPr>
            </w:pPr>
            <w:r>
              <w:rPr>
                <w:sz w:val="24"/>
              </w:rPr>
              <w:t>（限PET材质）</w:t>
            </w:r>
          </w:p>
        </w:tc>
        <w:tc>
          <w:tcPr>
            <w:tcW w:w="1951" w:type="pct"/>
            <w:vAlign w:val="center"/>
          </w:tcPr>
          <w:p>
            <w:pPr>
              <w:adjustRightInd w:val="0"/>
              <w:snapToGrid w:val="0"/>
              <w:spacing w:line="360" w:lineRule="exact"/>
              <w:jc w:val="center"/>
              <w:rPr>
                <w:sz w:val="24"/>
              </w:rPr>
            </w:pPr>
            <w:r>
              <w:rPr>
                <w:sz w:val="24"/>
              </w:rPr>
              <w:t>GB 31604.44</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特定迁移总量（以1,4-丁二醇计）</w:t>
            </w:r>
          </w:p>
          <w:p>
            <w:pPr>
              <w:adjustRightInd w:val="0"/>
              <w:snapToGrid w:val="0"/>
              <w:spacing w:line="360" w:lineRule="exact"/>
              <w:jc w:val="center"/>
              <w:rPr>
                <w:sz w:val="24"/>
              </w:rPr>
            </w:pPr>
            <w:r>
              <w:rPr>
                <w:sz w:val="24"/>
              </w:rPr>
              <w:t>（限PBT材质）</w:t>
            </w:r>
          </w:p>
        </w:tc>
        <w:tc>
          <w:tcPr>
            <w:tcW w:w="1951" w:type="pct"/>
            <w:vAlign w:val="center"/>
          </w:tcPr>
          <w:p>
            <w:pPr>
              <w:adjustRightInd w:val="0"/>
              <w:snapToGrid w:val="0"/>
              <w:spacing w:line="360" w:lineRule="exact"/>
              <w:jc w:val="center"/>
              <w:rPr>
                <w:sz w:val="24"/>
              </w:rPr>
            </w:pPr>
            <w:r>
              <w:rPr>
                <w:sz w:val="24"/>
              </w:rPr>
              <w:t>GB 31604.51</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双酚 S 特定迁移量（限 PESU 材质）</w:t>
            </w:r>
          </w:p>
        </w:tc>
        <w:tc>
          <w:tcPr>
            <w:tcW w:w="1951" w:type="pct"/>
            <w:vAlign w:val="center"/>
          </w:tcPr>
          <w:p>
            <w:pPr>
              <w:adjustRightInd w:val="0"/>
              <w:snapToGrid w:val="0"/>
              <w:spacing w:line="360" w:lineRule="exact"/>
              <w:jc w:val="center"/>
              <w:rPr>
                <w:rFonts w:eastAsia="宋体"/>
                <w:sz w:val="24"/>
              </w:rPr>
            </w:pPr>
            <w:r>
              <w:rPr>
                <w:sz w:val="24"/>
              </w:rPr>
              <w:t>GB 31604.54</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4,4'-联苯二酚特定迁移量（限 PPSU 材质）</w:t>
            </w:r>
          </w:p>
        </w:tc>
        <w:tc>
          <w:tcPr>
            <w:tcW w:w="1951" w:type="pct"/>
            <w:vAlign w:val="center"/>
          </w:tcPr>
          <w:p>
            <w:pPr>
              <w:adjustRightInd w:val="0"/>
              <w:snapToGrid w:val="0"/>
              <w:spacing w:line="360" w:lineRule="exact"/>
              <w:jc w:val="center"/>
              <w:rPr>
                <w:rFonts w:eastAsia="宋体"/>
                <w:sz w:val="24"/>
              </w:rPr>
            </w:pPr>
            <w:r>
              <w:rPr>
                <w:sz w:val="24"/>
              </w:rPr>
              <w:t>GB 31604.63</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1,1'-磺酰基二（4-氯苯）特定迁移量（限PESU、PPSU 材质）</w:t>
            </w:r>
          </w:p>
        </w:tc>
        <w:tc>
          <w:tcPr>
            <w:tcW w:w="1951" w:type="pct"/>
            <w:vAlign w:val="center"/>
          </w:tcPr>
          <w:p>
            <w:pPr>
              <w:adjustRightInd w:val="0"/>
              <w:snapToGrid w:val="0"/>
              <w:spacing w:line="360" w:lineRule="exact"/>
              <w:jc w:val="center"/>
              <w:rPr>
                <w:sz w:val="24"/>
              </w:rPr>
            </w:pPr>
            <w:r>
              <w:rPr>
                <w:sz w:val="24"/>
              </w:rPr>
              <w:t>GB 31604.63</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2,2,4,4-四甲基-1,3-环丁二醇特定迁移量（限 PCT 材质）</w:t>
            </w:r>
          </w:p>
        </w:tc>
        <w:tc>
          <w:tcPr>
            <w:tcW w:w="1951" w:type="pct"/>
            <w:vAlign w:val="center"/>
          </w:tcPr>
          <w:p>
            <w:pPr>
              <w:adjustRightInd w:val="0"/>
              <w:snapToGrid w:val="0"/>
              <w:spacing w:line="360" w:lineRule="exact"/>
              <w:jc w:val="center"/>
              <w:rPr>
                <w:sz w:val="24"/>
              </w:rPr>
            </w:pPr>
            <w:r>
              <w:rPr>
                <w:sz w:val="24"/>
              </w:rPr>
              <w:t>GB 31604.61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双酚A特定迁移量（限PC材质）</w:t>
            </w:r>
          </w:p>
        </w:tc>
        <w:tc>
          <w:tcPr>
            <w:tcW w:w="1951" w:type="pct"/>
            <w:vAlign w:val="center"/>
          </w:tcPr>
          <w:p>
            <w:pPr>
              <w:adjustRightInd w:val="0"/>
              <w:snapToGrid w:val="0"/>
              <w:spacing w:line="360" w:lineRule="exact"/>
              <w:jc w:val="center"/>
              <w:rPr>
                <w:sz w:val="24"/>
              </w:rPr>
            </w:pPr>
            <w:r>
              <w:rPr>
                <w:sz w:val="24"/>
              </w:rPr>
              <w:t>GB 31604.10</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苯酚特定迁移量（限PC材质）</w:t>
            </w:r>
          </w:p>
        </w:tc>
        <w:tc>
          <w:tcPr>
            <w:tcW w:w="1951" w:type="pct"/>
            <w:vAlign w:val="center"/>
          </w:tcPr>
          <w:p>
            <w:pPr>
              <w:adjustRightInd w:val="0"/>
              <w:snapToGrid w:val="0"/>
              <w:spacing w:line="360" w:lineRule="exact"/>
              <w:jc w:val="center"/>
              <w:rPr>
                <w:sz w:val="24"/>
              </w:rPr>
            </w:pPr>
            <w:r>
              <w:rPr>
                <w:sz w:val="24"/>
              </w:rPr>
              <w:t>GB 31604.46</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1,3-丁二烯特定迁移量</w:t>
            </w:r>
          </w:p>
          <w:p>
            <w:pPr>
              <w:adjustRightInd w:val="0"/>
              <w:snapToGrid w:val="0"/>
              <w:spacing w:line="360" w:lineRule="exact"/>
              <w:jc w:val="center"/>
              <w:rPr>
                <w:sz w:val="24"/>
              </w:rPr>
            </w:pPr>
            <w:r>
              <w:rPr>
                <w:sz w:val="24"/>
              </w:rPr>
              <w:t>（限有丁二烯单体的聚合物）</w:t>
            </w:r>
          </w:p>
        </w:tc>
        <w:tc>
          <w:tcPr>
            <w:tcW w:w="1951" w:type="pct"/>
            <w:vAlign w:val="center"/>
          </w:tcPr>
          <w:p>
            <w:pPr>
              <w:adjustRightInd w:val="0"/>
              <w:snapToGrid w:val="0"/>
              <w:spacing w:line="360" w:lineRule="exact"/>
              <w:jc w:val="center"/>
              <w:rPr>
                <w:sz w:val="24"/>
              </w:rPr>
            </w:pPr>
            <w:r>
              <w:rPr>
                <w:sz w:val="24"/>
              </w:rPr>
              <w:t>GB 31604.12</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8" w:type="pct"/>
            <w:vAlign w:val="center"/>
          </w:tcPr>
          <w:p>
            <w:pPr>
              <w:numPr>
                <w:ilvl w:val="0"/>
                <w:numId w:val="1"/>
              </w:numPr>
              <w:adjustRightInd w:val="0"/>
              <w:snapToGrid w:val="0"/>
              <w:spacing w:line="360" w:lineRule="exact"/>
              <w:jc w:val="center"/>
              <w:rPr>
                <w:sz w:val="24"/>
              </w:rPr>
            </w:pPr>
          </w:p>
        </w:tc>
        <w:tc>
          <w:tcPr>
            <w:tcW w:w="2540" w:type="pct"/>
            <w:vAlign w:val="center"/>
          </w:tcPr>
          <w:p>
            <w:pPr>
              <w:adjustRightInd w:val="0"/>
              <w:snapToGrid w:val="0"/>
              <w:spacing w:line="360" w:lineRule="exact"/>
              <w:jc w:val="center"/>
              <w:rPr>
                <w:sz w:val="24"/>
              </w:rPr>
            </w:pPr>
            <w:r>
              <w:rPr>
                <w:sz w:val="24"/>
              </w:rPr>
              <w:t>邻苯类增塑剂特定迁移量（限PVC材质）</w:t>
            </w:r>
          </w:p>
        </w:tc>
        <w:tc>
          <w:tcPr>
            <w:tcW w:w="1951" w:type="pct"/>
            <w:vAlign w:val="center"/>
          </w:tcPr>
          <w:p>
            <w:pPr>
              <w:adjustRightInd w:val="0"/>
              <w:snapToGrid w:val="0"/>
              <w:spacing w:line="360" w:lineRule="exact"/>
              <w:jc w:val="center"/>
              <w:rPr>
                <w:sz w:val="24"/>
              </w:rPr>
            </w:pPr>
            <w:r>
              <w:rPr>
                <w:sz w:val="24"/>
              </w:rPr>
              <w:t>GB 31604.30</w:t>
            </w:r>
            <w:r>
              <w:rPr>
                <w:rFonts w:hint="eastAsia"/>
                <w:sz w:val="24"/>
                <w:lang w:eastAsia="zh-CN"/>
              </w:rPr>
              <w:t>-</w:t>
            </w:r>
            <w:r>
              <w:rPr>
                <w:sz w:val="24"/>
              </w:rPr>
              <w:t>2025</w:t>
            </w:r>
          </w:p>
        </w:tc>
      </w:tr>
      <w:bookmarkEnd w:id="1"/>
    </w:tbl>
    <w:p>
      <w:pPr>
        <w:adjustRightInd w:val="0"/>
        <w:snapToGrid w:val="0"/>
        <w:spacing w:line="590" w:lineRule="exact"/>
        <w:ind w:firstLine="640" w:firstLineChars="200"/>
        <w:rPr>
          <w:color w:val="000000"/>
          <w:szCs w:val="32"/>
        </w:rPr>
      </w:pPr>
      <w:r>
        <w:rPr>
          <w:color w:val="000000"/>
          <w:szCs w:val="32"/>
        </w:rPr>
        <w:t>执行企业标准、团体标准、地方标准的产品，检验项目参照上述内容执行。</w:t>
      </w:r>
    </w:p>
    <w:p>
      <w:pPr>
        <w:snapToGrid w:val="0"/>
        <w:spacing w:line="590" w:lineRule="exact"/>
        <w:ind w:firstLine="547" w:firstLineChars="171"/>
        <w:rPr>
          <w:color w:val="000000"/>
          <w:szCs w:val="32"/>
        </w:rPr>
      </w:pPr>
      <w:r>
        <w:rPr>
          <w:color w:val="000000"/>
          <w:szCs w:val="32"/>
        </w:rPr>
        <w:t>凡是注日期的文件，其随后所有的修改单（不包括勘误的内容）或修订版不适用于本细则。凡是不注日期的文件，其最新版本适用于本细则。</w:t>
      </w:r>
    </w:p>
    <w:p>
      <w:pPr>
        <w:adjustRightInd w:val="0"/>
        <w:snapToGrid w:val="0"/>
        <w:spacing w:line="590" w:lineRule="exact"/>
        <w:ind w:firstLine="640" w:firstLineChars="200"/>
        <w:outlineLvl w:val="1"/>
        <w:rPr>
          <w:rFonts w:eastAsia="黑体"/>
          <w:szCs w:val="32"/>
        </w:rPr>
      </w:pPr>
      <w:r>
        <w:rPr>
          <w:rFonts w:eastAsia="黑体"/>
          <w:szCs w:val="32"/>
        </w:rPr>
        <w:t>3 判定规则</w:t>
      </w:r>
    </w:p>
    <w:p>
      <w:pPr>
        <w:adjustRightInd w:val="0"/>
        <w:snapToGrid w:val="0"/>
        <w:spacing w:line="590" w:lineRule="exact"/>
        <w:ind w:firstLine="640" w:firstLineChars="200"/>
        <w:rPr>
          <w:color w:val="000000"/>
          <w:szCs w:val="32"/>
        </w:rPr>
      </w:pPr>
      <w:r>
        <w:rPr>
          <w:color w:val="000000"/>
          <w:szCs w:val="32"/>
        </w:rPr>
        <w:t>3.1依据标准</w:t>
      </w:r>
    </w:p>
    <w:p>
      <w:pPr>
        <w:adjustRightInd w:val="0"/>
        <w:snapToGrid w:val="0"/>
        <w:spacing w:line="590" w:lineRule="exact"/>
        <w:ind w:firstLine="640" w:firstLineChars="200"/>
        <w:rPr>
          <w:szCs w:val="32"/>
        </w:rPr>
      </w:pPr>
      <w:r>
        <w:rPr>
          <w:szCs w:val="32"/>
        </w:rPr>
        <w:t>GB 4806.7</w:t>
      </w:r>
      <w:r>
        <w:rPr>
          <w:rFonts w:hint="eastAsia"/>
          <w:szCs w:val="32"/>
          <w:lang w:eastAsia="zh-CN"/>
        </w:rPr>
        <w:t>-</w:t>
      </w:r>
      <w:r>
        <w:rPr>
          <w:szCs w:val="32"/>
        </w:rPr>
        <w:t>2023 食品安全国家标准 食品接触用塑料材料及制品</w:t>
      </w:r>
    </w:p>
    <w:p>
      <w:pPr>
        <w:adjustRightInd w:val="0"/>
        <w:snapToGrid w:val="0"/>
        <w:spacing w:line="590" w:lineRule="exact"/>
        <w:ind w:firstLine="640" w:firstLineChars="200"/>
        <w:rPr>
          <w:szCs w:val="32"/>
        </w:rPr>
      </w:pPr>
      <w:r>
        <w:rPr>
          <w:szCs w:val="32"/>
        </w:rPr>
        <w:t>GB 9685</w:t>
      </w:r>
      <w:r>
        <w:rPr>
          <w:rFonts w:hint="eastAsia"/>
          <w:szCs w:val="32"/>
          <w:lang w:eastAsia="zh-CN"/>
        </w:rPr>
        <w:t>-</w:t>
      </w:r>
      <w:r>
        <w:rPr>
          <w:szCs w:val="32"/>
        </w:rPr>
        <w:t>2016 食品安全国家标准 食品接触材料及制品用添加剂使用标准</w:t>
      </w:r>
    </w:p>
    <w:p>
      <w:pPr>
        <w:adjustRightInd w:val="0"/>
        <w:snapToGrid w:val="0"/>
        <w:spacing w:line="590" w:lineRule="exact"/>
        <w:ind w:firstLine="640" w:firstLineChars="200"/>
        <w:rPr>
          <w:szCs w:val="32"/>
        </w:rPr>
      </w:pPr>
      <w:r>
        <w:rPr>
          <w:szCs w:val="32"/>
        </w:rPr>
        <w:t>现行有效的企业标准、团体标准、地方标准及产品明示质量要求</w:t>
      </w:r>
    </w:p>
    <w:p>
      <w:pPr>
        <w:adjustRightInd w:val="0"/>
        <w:snapToGrid w:val="0"/>
        <w:spacing w:line="590" w:lineRule="exact"/>
        <w:rPr>
          <w:color w:val="000000"/>
          <w:szCs w:val="32"/>
        </w:rPr>
      </w:pPr>
      <w:r>
        <w:rPr>
          <w:color w:val="000000"/>
          <w:szCs w:val="32"/>
        </w:rPr>
        <w:t>3.2判定原则</w:t>
      </w:r>
    </w:p>
    <w:p>
      <w:pPr>
        <w:snapToGrid w:val="0"/>
        <w:spacing w:line="590" w:lineRule="exact"/>
        <w:ind w:firstLine="640" w:firstLineChars="200"/>
        <w:rPr>
          <w:color w:val="000000"/>
          <w:szCs w:val="32"/>
        </w:rPr>
      </w:pPr>
      <w:r>
        <w:rPr>
          <w:color w:val="000000"/>
          <w:szCs w:val="32"/>
        </w:rPr>
        <w:t>经检验，检验项目全部合格，判定为被抽查产品所检项目未发现不合格；检验项目中任一项或一项以上不合格，判定为被抽查产品不合格。</w:t>
      </w:r>
    </w:p>
    <w:p>
      <w:pPr>
        <w:snapToGrid w:val="0"/>
        <w:spacing w:line="590" w:lineRule="exact"/>
        <w:ind w:firstLine="636" w:firstLineChars="199"/>
        <w:rPr>
          <w:color w:val="000000"/>
          <w:szCs w:val="32"/>
        </w:rPr>
      </w:pPr>
      <w:r>
        <w:rPr>
          <w:color w:val="000000"/>
          <w:szCs w:val="32"/>
        </w:rPr>
        <w:t>若被检产品明示的质量要求高于本细则中检验项目依据的标准要求时，应按被检产品明示的质量要求判定。</w:t>
      </w:r>
    </w:p>
    <w:p>
      <w:pPr>
        <w:snapToGrid w:val="0"/>
        <w:spacing w:line="590" w:lineRule="exact"/>
        <w:ind w:firstLine="636" w:firstLineChars="199"/>
        <w:rPr>
          <w:color w:val="000000"/>
          <w:szCs w:val="32"/>
        </w:rPr>
      </w:pPr>
      <w:r>
        <w:rPr>
          <w:color w:val="000000"/>
          <w:szCs w:val="32"/>
        </w:rPr>
        <w:t>若被检产品明示的质量要求低于本细则中检验项目依据的强制性标准要求时，应按照强制性标准要求判定。</w:t>
      </w:r>
    </w:p>
    <w:p>
      <w:pPr>
        <w:snapToGrid w:val="0"/>
        <w:spacing w:line="590" w:lineRule="exact"/>
        <w:ind w:firstLine="636" w:firstLineChars="199"/>
        <w:rPr>
          <w:color w:val="000000"/>
          <w:szCs w:val="32"/>
        </w:rPr>
      </w:pPr>
      <w:r>
        <w:rPr>
          <w:color w:val="000000"/>
          <w:szCs w:val="32"/>
        </w:rPr>
        <w:t>若被检产品明示的质量要求低于或包含本细则中检验项目依据的推荐性标准要求时，应以被检产品明示的质量要求判定。</w:t>
      </w:r>
    </w:p>
    <w:p>
      <w:pPr>
        <w:snapToGrid w:val="0"/>
        <w:spacing w:line="590" w:lineRule="exact"/>
        <w:ind w:firstLine="636" w:firstLineChars="199"/>
        <w:rPr>
          <w:color w:val="000000"/>
          <w:szCs w:val="32"/>
        </w:rPr>
      </w:pPr>
      <w:r>
        <w:rPr>
          <w:color w:val="000000"/>
          <w:szCs w:val="32"/>
        </w:rPr>
        <w:t>若被检产品明示的质量要求缺少本细则中检验项目依据的强制性标准要求时，应按照强制性标准要求判定。</w:t>
      </w:r>
    </w:p>
    <w:p>
      <w:pPr>
        <w:snapToGrid w:val="0"/>
        <w:spacing w:line="590" w:lineRule="exact"/>
        <w:ind w:firstLine="636" w:firstLineChars="199"/>
        <w:rPr>
          <w:rFonts w:hint="eastAsia"/>
          <w:szCs w:val="32"/>
        </w:rPr>
      </w:pPr>
      <w:r>
        <w:rPr>
          <w:color w:val="000000"/>
          <w:szCs w:val="32"/>
        </w:rPr>
        <w:t>若被检产品明示的质量要求缺少本细则中检验项目依据的推荐性标准要求时，该项目不参与判定。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03EADD"/>
    <w:multiLevelType w:val="singleLevel"/>
    <w:tmpl w:val="F303EADD"/>
    <w:lvl w:ilvl="0" w:tentative="0">
      <w:start w:val="1"/>
      <w:numFmt w:val="decimal"/>
      <w:lvlText w:val="%1"/>
      <w:lvlJc w:val="center"/>
      <w:pPr>
        <w:ind w:left="279" w:hanging="13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122885"/>
    <w:rsid w:val="00124CB4"/>
    <w:rsid w:val="001E7709"/>
    <w:rsid w:val="001F51AF"/>
    <w:rsid w:val="0029007E"/>
    <w:rsid w:val="00355AF6"/>
    <w:rsid w:val="003D4DBB"/>
    <w:rsid w:val="003E428C"/>
    <w:rsid w:val="004158B7"/>
    <w:rsid w:val="004212FB"/>
    <w:rsid w:val="00422A03"/>
    <w:rsid w:val="00444FD2"/>
    <w:rsid w:val="00456C0D"/>
    <w:rsid w:val="00462AA7"/>
    <w:rsid w:val="004A3B75"/>
    <w:rsid w:val="004C77B0"/>
    <w:rsid w:val="00526779"/>
    <w:rsid w:val="00554F40"/>
    <w:rsid w:val="00570D9D"/>
    <w:rsid w:val="00571985"/>
    <w:rsid w:val="00574E72"/>
    <w:rsid w:val="00585974"/>
    <w:rsid w:val="005F3D46"/>
    <w:rsid w:val="005F7FCA"/>
    <w:rsid w:val="00636C46"/>
    <w:rsid w:val="006459AA"/>
    <w:rsid w:val="006745CF"/>
    <w:rsid w:val="006C1D5B"/>
    <w:rsid w:val="006D3540"/>
    <w:rsid w:val="007170F2"/>
    <w:rsid w:val="00727495"/>
    <w:rsid w:val="00735214"/>
    <w:rsid w:val="00765555"/>
    <w:rsid w:val="00774428"/>
    <w:rsid w:val="00795936"/>
    <w:rsid w:val="007A70E5"/>
    <w:rsid w:val="007E2FB4"/>
    <w:rsid w:val="007F4EC3"/>
    <w:rsid w:val="007F5A4F"/>
    <w:rsid w:val="00802007"/>
    <w:rsid w:val="008C73DE"/>
    <w:rsid w:val="00916F4A"/>
    <w:rsid w:val="00927484"/>
    <w:rsid w:val="00930D81"/>
    <w:rsid w:val="009815F0"/>
    <w:rsid w:val="009921ED"/>
    <w:rsid w:val="00995241"/>
    <w:rsid w:val="009D5D3A"/>
    <w:rsid w:val="009F221D"/>
    <w:rsid w:val="00A03C1B"/>
    <w:rsid w:val="00A2464E"/>
    <w:rsid w:val="00A50F23"/>
    <w:rsid w:val="00A96CBE"/>
    <w:rsid w:val="00AA200B"/>
    <w:rsid w:val="00AF10CC"/>
    <w:rsid w:val="00B35659"/>
    <w:rsid w:val="00B93EB9"/>
    <w:rsid w:val="00BC7CC7"/>
    <w:rsid w:val="00C16941"/>
    <w:rsid w:val="00C250F0"/>
    <w:rsid w:val="00C457EA"/>
    <w:rsid w:val="00C4628E"/>
    <w:rsid w:val="00C717EE"/>
    <w:rsid w:val="00CD7B99"/>
    <w:rsid w:val="00D7204A"/>
    <w:rsid w:val="00D84779"/>
    <w:rsid w:val="00DB4CA4"/>
    <w:rsid w:val="00DE2DDE"/>
    <w:rsid w:val="00E33CA2"/>
    <w:rsid w:val="00E72DCA"/>
    <w:rsid w:val="00EB4D8B"/>
    <w:rsid w:val="00EC20E0"/>
    <w:rsid w:val="00EE201F"/>
    <w:rsid w:val="00F059F2"/>
    <w:rsid w:val="00F5208C"/>
    <w:rsid w:val="00F67370"/>
    <w:rsid w:val="00F77A8B"/>
    <w:rsid w:val="00FA398E"/>
    <w:rsid w:val="00FB4767"/>
    <w:rsid w:val="00FE5D3D"/>
    <w:rsid w:val="0AFFA0C0"/>
    <w:rsid w:val="4E8B14B1"/>
    <w:rsid w:val="7F924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semiHidden/>
    <w:unhideWhenUsed/>
    <w:qFormat/>
    <w:uiPriority w:val="99"/>
    <w:rPr>
      <w:rFonts w:ascii="宋体" w:hAnsi="Courier New" w:eastAsia="宋体" w:cs="Courier New"/>
      <w:sz w:val="21"/>
      <w:szCs w:val="21"/>
    </w:r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纯文本 字符"/>
    <w:basedOn w:val="8"/>
    <w:link w:val="2"/>
    <w:semiHidden/>
    <w:qFormat/>
    <w:uiPriority w:val="99"/>
    <w:rPr>
      <w:rFonts w:ascii="宋体" w:hAnsi="Courier New" w:eastAsia="宋体" w:cs="Courier New"/>
      <w:szCs w:val="21"/>
    </w:rPr>
  </w:style>
  <w:style w:type="character" w:customStyle="1" w:styleId="12">
    <w:name w:val="批注框文本 字符"/>
    <w:basedOn w:val="8"/>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273</Words>
  <Characters>1560</Characters>
  <Lines>13</Lines>
  <Paragraphs>3</Paragraphs>
  <TotalTime>0</TotalTime>
  <ScaleCrop>false</ScaleCrop>
  <LinksUpToDate>false</LinksUpToDate>
  <CharactersWithSpaces>1830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2026-09-18T09:07:23Z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29CD490BFE1C4A519C233DA6F86325FB_12</vt:lpwstr>
  </property>
</Properties>
</file>