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eastAsia="方正小标宋简体"/>
          <w:color w:val="000000"/>
          <w:sz w:val="44"/>
          <w:szCs w:val="44"/>
        </w:rPr>
      </w:pPr>
      <w:bookmarkStart w:id="10" w:name="_GoBack"/>
      <w:bookmarkEnd w:id="10"/>
      <w:r>
        <w:rPr>
          <w:rFonts w:hint="eastAsia" w:eastAsia="方正小标宋简体"/>
          <w:color w:val="000000"/>
          <w:sz w:val="44"/>
          <w:szCs w:val="44"/>
        </w:rPr>
        <w:t>鹤山市</w:t>
      </w:r>
      <w:r>
        <w:rPr>
          <w:rFonts w:eastAsia="方正小标宋简体"/>
          <w:sz w:val="44"/>
          <w:szCs w:val="44"/>
        </w:rPr>
        <w:t>工业和商用电热食品加工设备</w:t>
      </w:r>
      <w:r>
        <w:rPr>
          <w:rFonts w:hint="eastAsia" w:eastAsia="方正小标宋简体"/>
          <w:color w:val="000000"/>
          <w:sz w:val="44"/>
          <w:szCs w:val="44"/>
        </w:rPr>
        <w:t>产品质量监督抽查实施细则</w:t>
      </w:r>
    </w:p>
    <w:p>
      <w:pPr>
        <w:spacing w:line="560" w:lineRule="exact"/>
        <w:jc w:val="center"/>
        <w:rPr>
          <w:rFonts w:eastAsia="楷体_GB2312"/>
          <w:color w:val="000000"/>
          <w:szCs w:val="32"/>
        </w:rPr>
      </w:pPr>
      <w:r>
        <w:rPr>
          <w:rFonts w:hint="eastAsia" w:eastAsia="楷体_GB2312"/>
          <w:szCs w:val="32"/>
        </w:rPr>
        <w:t>（</w:t>
      </w:r>
      <w:r>
        <w:rPr>
          <w:rFonts w:eastAsia="楷体_GB2312"/>
          <w:color w:val="000000"/>
          <w:szCs w:val="32"/>
        </w:rPr>
        <w:t>202</w:t>
      </w:r>
      <w:r>
        <w:rPr>
          <w:rFonts w:hint="eastAsia" w:eastAsia="楷体_GB2312"/>
          <w:color w:val="000000"/>
          <w:szCs w:val="32"/>
        </w:rPr>
        <w:t>6年版）</w:t>
      </w:r>
    </w:p>
    <w:p>
      <w:pPr>
        <w:spacing w:line="590" w:lineRule="exact"/>
        <w:ind w:firstLine="640" w:firstLineChars="200"/>
        <w:rPr>
          <w:rFonts w:eastAsia="黑体"/>
          <w:szCs w:val="32"/>
        </w:rPr>
      </w:pPr>
      <w:r>
        <w:rPr>
          <w:rFonts w:eastAsia="黑体"/>
          <w:szCs w:val="32"/>
        </w:rPr>
        <w:t>1 抽样方法</w:t>
      </w:r>
    </w:p>
    <w:p>
      <w:pPr>
        <w:shd w:val="clear" w:color="auto" w:fill="FFFFFF"/>
        <w:snapToGrid w:val="0"/>
        <w:spacing w:line="590" w:lineRule="exact"/>
        <w:ind w:firstLine="640" w:firstLineChars="200"/>
        <w:rPr>
          <w:szCs w:val="32"/>
        </w:rPr>
      </w:pPr>
      <w:r>
        <w:rPr>
          <w:szCs w:val="32"/>
        </w:rPr>
        <w:t>以随机抽样的方式在被抽样生产者的待销产品中抽取。</w:t>
      </w:r>
    </w:p>
    <w:p>
      <w:pPr>
        <w:shd w:val="clear" w:color="auto" w:fill="FFFFFF"/>
        <w:snapToGrid w:val="0"/>
        <w:spacing w:line="590" w:lineRule="exact"/>
        <w:ind w:firstLine="640" w:firstLineChars="200"/>
        <w:rPr>
          <w:szCs w:val="32"/>
        </w:rPr>
      </w:pPr>
      <w:r>
        <w:rPr>
          <w:szCs w:val="32"/>
        </w:rPr>
        <w:t>随机数一般可使用随机数表等方法产生。</w:t>
      </w:r>
    </w:p>
    <w:p>
      <w:pPr>
        <w:shd w:val="clear" w:color="auto" w:fill="FFFFFF"/>
        <w:snapToGrid w:val="0"/>
        <w:spacing w:line="590" w:lineRule="exact"/>
        <w:ind w:firstLine="640" w:firstLineChars="200"/>
        <w:rPr>
          <w:szCs w:val="32"/>
        </w:rPr>
      </w:pPr>
      <w:r>
        <w:rPr>
          <w:szCs w:val="32"/>
        </w:rPr>
        <w:t>整机：每批次产品抽取样品2台，其中检验样品1台，备用样品1台。</w:t>
      </w:r>
    </w:p>
    <w:p>
      <w:pPr>
        <w:shd w:val="clear" w:color="auto" w:fill="FFFFFF"/>
        <w:snapToGrid w:val="0"/>
        <w:spacing w:line="590" w:lineRule="exact"/>
        <w:ind w:firstLine="640" w:firstLineChars="200"/>
        <w:jc w:val="left"/>
        <w:rPr>
          <w:szCs w:val="32"/>
        </w:rPr>
      </w:pPr>
      <w:r>
        <w:rPr>
          <w:szCs w:val="32"/>
        </w:rPr>
        <w:t>材料样块：抽取与食品直接接触的材料，有多种材料时，抽取2种与食品接触面积较大的材料。材料样块在整机直接接触食品的部件上截取，或与其部件同材质、同生产商的原材料或外购外协件上截取。每批次产品截取材料样块材质种类及抽样数量见表1。</w:t>
      </w:r>
    </w:p>
    <w:p>
      <w:pPr>
        <w:shd w:val="clear" w:color="auto" w:fill="FFFFFF"/>
        <w:adjustRightInd w:val="0"/>
        <w:snapToGrid w:val="0"/>
        <w:spacing w:line="590" w:lineRule="exact"/>
        <w:ind w:hanging="11"/>
        <w:jc w:val="center"/>
        <w:rPr>
          <w:szCs w:val="32"/>
        </w:rPr>
      </w:pPr>
      <w:r>
        <w:rPr>
          <w:szCs w:val="32"/>
        </w:rPr>
        <w:t xml:space="preserve">表1 </w:t>
      </w:r>
      <w:bookmarkStart w:id="0" w:name="OLE_LINK5"/>
      <w:r>
        <w:rPr>
          <w:szCs w:val="32"/>
        </w:rPr>
        <w:t>材料样块材质及抽样数量</w:t>
      </w:r>
      <w:bookmarkEnd w:id="0"/>
    </w:p>
    <w:tbl>
      <w:tblPr>
        <w:tblStyle w:val="27"/>
        <w:tblW w:w="9098"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2829"/>
        <w:gridCol w:w="2135"/>
        <w:gridCol w:w="1619"/>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894" w:type="dxa"/>
            <w:vAlign w:val="center"/>
          </w:tcPr>
          <w:p>
            <w:pPr>
              <w:spacing w:line="400" w:lineRule="exact"/>
              <w:jc w:val="center"/>
              <w:rPr>
                <w:rFonts w:eastAsia="黑体"/>
                <w:kern w:val="0"/>
                <w:sz w:val="24"/>
              </w:rPr>
            </w:pPr>
            <w:r>
              <w:rPr>
                <w:rFonts w:eastAsia="黑体"/>
                <w:kern w:val="0"/>
                <w:sz w:val="24"/>
              </w:rPr>
              <w:t>序号</w:t>
            </w:r>
          </w:p>
        </w:tc>
        <w:tc>
          <w:tcPr>
            <w:tcW w:w="2829" w:type="dxa"/>
            <w:vAlign w:val="center"/>
          </w:tcPr>
          <w:p>
            <w:pPr>
              <w:spacing w:line="400" w:lineRule="exact"/>
              <w:jc w:val="center"/>
              <w:rPr>
                <w:rFonts w:eastAsia="黑体"/>
                <w:kern w:val="0"/>
                <w:sz w:val="24"/>
              </w:rPr>
            </w:pPr>
            <w:r>
              <w:rPr>
                <w:rFonts w:eastAsia="黑体"/>
                <w:kern w:val="0"/>
                <w:sz w:val="24"/>
              </w:rPr>
              <w:t>材料样块材质</w:t>
            </w:r>
          </w:p>
        </w:tc>
        <w:tc>
          <w:tcPr>
            <w:tcW w:w="2135" w:type="dxa"/>
            <w:vAlign w:val="center"/>
          </w:tcPr>
          <w:p>
            <w:pPr>
              <w:spacing w:line="400" w:lineRule="exact"/>
              <w:jc w:val="center"/>
              <w:rPr>
                <w:rFonts w:eastAsia="黑体"/>
                <w:kern w:val="0"/>
                <w:sz w:val="24"/>
              </w:rPr>
            </w:pPr>
            <w:r>
              <w:rPr>
                <w:rFonts w:eastAsia="黑体"/>
                <w:kern w:val="0"/>
                <w:sz w:val="24"/>
              </w:rPr>
              <w:t>抽样数量</w:t>
            </w:r>
          </w:p>
          <w:p>
            <w:pPr>
              <w:spacing w:line="400" w:lineRule="exact"/>
              <w:jc w:val="center"/>
              <w:rPr>
                <w:rFonts w:eastAsia="黑体"/>
                <w:kern w:val="0"/>
                <w:sz w:val="24"/>
              </w:rPr>
            </w:pPr>
            <w:r>
              <w:rPr>
                <w:rFonts w:eastAsia="黑体"/>
                <w:kern w:val="0"/>
                <w:sz w:val="24"/>
              </w:rPr>
              <w:t>（组/每组表面积）</w:t>
            </w:r>
          </w:p>
        </w:tc>
        <w:tc>
          <w:tcPr>
            <w:tcW w:w="1619" w:type="dxa"/>
            <w:vAlign w:val="center"/>
          </w:tcPr>
          <w:p>
            <w:pPr>
              <w:spacing w:line="400" w:lineRule="exact"/>
              <w:jc w:val="center"/>
              <w:rPr>
                <w:rFonts w:eastAsia="黑体"/>
                <w:kern w:val="0"/>
                <w:sz w:val="24"/>
              </w:rPr>
            </w:pPr>
            <w:r>
              <w:rPr>
                <w:rFonts w:eastAsia="黑体"/>
                <w:kern w:val="0"/>
                <w:sz w:val="24"/>
              </w:rPr>
              <w:t>检样数量（组）</w:t>
            </w:r>
          </w:p>
        </w:tc>
        <w:tc>
          <w:tcPr>
            <w:tcW w:w="1621" w:type="dxa"/>
            <w:vAlign w:val="center"/>
          </w:tcPr>
          <w:p>
            <w:pPr>
              <w:spacing w:line="400" w:lineRule="exact"/>
              <w:jc w:val="center"/>
              <w:rPr>
                <w:rFonts w:eastAsia="黑体"/>
                <w:kern w:val="0"/>
                <w:sz w:val="24"/>
              </w:rPr>
            </w:pPr>
            <w:r>
              <w:rPr>
                <w:rFonts w:eastAsia="黑体"/>
                <w:kern w:val="0"/>
                <w:sz w:val="24"/>
              </w:rPr>
              <w:t>备样数量（组）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94" w:type="dxa"/>
            <w:shd w:val="clear" w:color="auto" w:fill="auto"/>
            <w:vAlign w:val="center"/>
          </w:tcPr>
          <w:p>
            <w:pPr>
              <w:shd w:val="clear" w:color="auto" w:fill="FFFFFF"/>
              <w:adjustRightInd w:val="0"/>
              <w:snapToGrid w:val="0"/>
              <w:spacing w:line="400" w:lineRule="exact"/>
              <w:jc w:val="center"/>
              <w:rPr>
                <w:kern w:val="0"/>
                <w:sz w:val="24"/>
              </w:rPr>
            </w:pPr>
            <w:r>
              <w:rPr>
                <w:kern w:val="0"/>
                <w:sz w:val="24"/>
              </w:rPr>
              <w:t>1</w:t>
            </w:r>
          </w:p>
        </w:tc>
        <w:tc>
          <w:tcPr>
            <w:tcW w:w="2829" w:type="dxa"/>
            <w:shd w:val="clear" w:color="auto" w:fill="auto"/>
            <w:vAlign w:val="center"/>
          </w:tcPr>
          <w:p>
            <w:pPr>
              <w:shd w:val="clear" w:color="auto" w:fill="FFFFFF"/>
              <w:adjustRightInd w:val="0"/>
              <w:snapToGrid w:val="0"/>
              <w:spacing w:line="400" w:lineRule="exact"/>
              <w:jc w:val="center"/>
              <w:rPr>
                <w:kern w:val="0"/>
                <w:sz w:val="24"/>
                <w:vertAlign w:val="superscript"/>
              </w:rPr>
            </w:pPr>
            <w:r>
              <w:rPr>
                <w:kern w:val="0"/>
                <w:sz w:val="24"/>
              </w:rPr>
              <w:t>金属材质</w:t>
            </w:r>
            <w:r>
              <w:rPr>
                <w:kern w:val="0"/>
                <w:sz w:val="24"/>
                <w:vertAlign w:val="superscript"/>
              </w:rPr>
              <w:t>a</w:t>
            </w:r>
          </w:p>
        </w:tc>
        <w:tc>
          <w:tcPr>
            <w:tcW w:w="2135" w:type="dxa"/>
            <w:shd w:val="clear" w:color="auto" w:fill="FFFFFF"/>
            <w:vAlign w:val="center"/>
          </w:tcPr>
          <w:p>
            <w:pPr>
              <w:shd w:val="clear" w:color="auto" w:fill="FFFFFF"/>
              <w:adjustRightInd w:val="0"/>
              <w:snapToGrid w:val="0"/>
              <w:spacing w:line="400" w:lineRule="exact"/>
              <w:jc w:val="center"/>
              <w:rPr>
                <w:kern w:val="0"/>
                <w:sz w:val="24"/>
              </w:rPr>
            </w:pPr>
            <w:r>
              <w:rPr>
                <w:kern w:val="0"/>
                <w:sz w:val="24"/>
              </w:rPr>
              <w:t>6组/25cm</w:t>
            </w:r>
            <w:r>
              <w:rPr>
                <w:kern w:val="0"/>
                <w:sz w:val="24"/>
                <w:vertAlign w:val="superscript"/>
              </w:rPr>
              <w:t>2</w:t>
            </w:r>
          </w:p>
        </w:tc>
        <w:tc>
          <w:tcPr>
            <w:tcW w:w="1619" w:type="dxa"/>
            <w:shd w:val="clear" w:color="auto" w:fill="FFFFFF"/>
            <w:vAlign w:val="center"/>
          </w:tcPr>
          <w:p>
            <w:pPr>
              <w:shd w:val="clear" w:color="auto" w:fill="FFFFFF"/>
              <w:adjustRightInd w:val="0"/>
              <w:snapToGrid w:val="0"/>
              <w:spacing w:line="400" w:lineRule="exact"/>
              <w:jc w:val="center"/>
              <w:rPr>
                <w:kern w:val="0"/>
                <w:sz w:val="24"/>
              </w:rPr>
            </w:pPr>
            <w:r>
              <w:rPr>
                <w:kern w:val="0"/>
                <w:sz w:val="24"/>
              </w:rPr>
              <w:t>3</w:t>
            </w:r>
          </w:p>
        </w:tc>
        <w:tc>
          <w:tcPr>
            <w:tcW w:w="1621" w:type="dxa"/>
            <w:shd w:val="clear" w:color="auto" w:fill="FFFFFF"/>
            <w:vAlign w:val="center"/>
          </w:tcPr>
          <w:p>
            <w:pPr>
              <w:shd w:val="clear" w:color="auto" w:fill="FFFFFF"/>
              <w:adjustRightInd w:val="0"/>
              <w:snapToGrid w:val="0"/>
              <w:spacing w:line="400" w:lineRule="exact"/>
              <w:jc w:val="center"/>
              <w:rPr>
                <w:kern w:val="0"/>
                <w:sz w:val="24"/>
              </w:rPr>
            </w:pPr>
            <w:r>
              <w:rPr>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098" w:type="dxa"/>
            <w:gridSpan w:val="5"/>
            <w:vAlign w:val="center"/>
          </w:tcPr>
          <w:p>
            <w:pPr>
              <w:shd w:val="clear" w:color="auto" w:fill="FFFFFF"/>
              <w:adjustRightInd w:val="0"/>
              <w:snapToGrid w:val="0"/>
              <w:spacing w:line="400" w:lineRule="exact"/>
              <w:jc w:val="left"/>
              <w:rPr>
                <w:kern w:val="2"/>
                <w:sz w:val="24"/>
              </w:rPr>
            </w:pPr>
            <w:r>
              <w:rPr>
                <w:kern w:val="0"/>
                <w:sz w:val="24"/>
              </w:rPr>
              <w:t>注：a 涂（镀）层金属材料除外。</w:t>
            </w:r>
          </w:p>
        </w:tc>
      </w:tr>
    </w:tbl>
    <w:p>
      <w:pPr>
        <w:spacing w:line="590" w:lineRule="exact"/>
        <w:ind w:firstLine="640" w:firstLineChars="200"/>
        <w:rPr>
          <w:rFonts w:eastAsia="黑体"/>
          <w:szCs w:val="32"/>
        </w:rPr>
      </w:pPr>
      <w:r>
        <w:rPr>
          <w:rFonts w:eastAsia="黑体"/>
          <w:szCs w:val="32"/>
        </w:rPr>
        <w:t>2 检验依据</w:t>
      </w:r>
    </w:p>
    <w:p>
      <w:pPr>
        <w:shd w:val="clear" w:color="auto" w:fill="FFFFFF"/>
        <w:adjustRightInd w:val="0"/>
        <w:snapToGrid w:val="0"/>
        <w:spacing w:line="590" w:lineRule="exact"/>
        <w:ind w:hanging="11"/>
        <w:jc w:val="center"/>
        <w:rPr>
          <w:szCs w:val="32"/>
        </w:rPr>
      </w:pPr>
      <w:r>
        <w:rPr>
          <w:szCs w:val="32"/>
        </w:rPr>
        <w:t>表2  商用电热食品加工设备</w:t>
      </w:r>
    </w:p>
    <w:tbl>
      <w:tblPr>
        <w:tblStyle w:val="1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810"/>
        <w:gridCol w:w="3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trPr>
        <w:tc>
          <w:tcPr>
            <w:tcW w:w="495"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rPr>
                <w:rFonts w:eastAsia="黑体"/>
                <w:color w:val="auto"/>
                <w:sz w:val="24"/>
              </w:rPr>
            </w:pPr>
            <w:r>
              <w:rPr>
                <w:rFonts w:eastAsia="黑体"/>
                <w:color w:val="auto"/>
                <w:sz w:val="24"/>
              </w:rPr>
              <w:t>序号</w:t>
            </w:r>
          </w:p>
        </w:tc>
        <w:tc>
          <w:tcPr>
            <w:tcW w:w="2238" w:type="pct"/>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rPr>
                <w:rFonts w:eastAsia="黑体"/>
                <w:color w:val="auto"/>
                <w:sz w:val="24"/>
              </w:rPr>
            </w:pPr>
            <w:r>
              <w:rPr>
                <w:rFonts w:eastAsia="黑体"/>
                <w:color w:val="auto"/>
                <w:sz w:val="24"/>
              </w:rPr>
              <w:t>检验项目</w:t>
            </w:r>
          </w:p>
        </w:tc>
        <w:tc>
          <w:tcPr>
            <w:tcW w:w="2266" w:type="pc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rPr>
                <w:rFonts w:eastAsia="黑体"/>
                <w:color w:val="auto"/>
                <w:sz w:val="24"/>
              </w:rPr>
            </w:pPr>
            <w:r>
              <w:rPr>
                <w:rFonts w:eastAsia="黑体"/>
                <w:color w:val="auto"/>
                <w:sz w:val="24"/>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1</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砷</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2</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镉</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3</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铅</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4</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镍</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5</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铬</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6</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锑</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7</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铝</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8</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钴</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9</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铜</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10</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锰</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11</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钼</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12</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锡</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13</w:t>
            </w:r>
          </w:p>
        </w:tc>
        <w:tc>
          <w:tcPr>
            <w:tcW w:w="2238"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锌</w:t>
            </w:r>
          </w:p>
        </w:tc>
        <w:tc>
          <w:tcPr>
            <w:tcW w:w="2266" w:type="pct"/>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GB 31604.49</w:t>
            </w:r>
            <w:r>
              <w:rPr>
                <w:rFonts w:hint="eastAsia"/>
                <w:color w:val="auto"/>
                <w:sz w:val="24"/>
                <w:lang w:eastAsia="zh-CN"/>
              </w:rPr>
              <w:t>-</w:t>
            </w:r>
            <w:r>
              <w:rPr>
                <w:color w:val="auto"/>
                <w:sz w:val="24"/>
              </w:rPr>
              <w:t>2023 第二篇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14</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对触及带电部件的防护</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bookmarkStart w:id="1" w:name="OLE_LINK18"/>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bookmarkEnd w:id="1"/>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15</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输入功率和电流</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16</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工作温度下的泄漏电流和电气强度</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bookmarkStart w:id="2" w:name="OLE_LINK17"/>
            <w:bookmarkStart w:id="3" w:name="OLE_LINK11"/>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bookmarkEnd w:id="2"/>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17</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泄漏电流和电气强度</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bookmarkStart w:id="4" w:name="OLE_LINK19"/>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18</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非正常工作</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szCs w:val="24"/>
              </w:rPr>
              <w:t>GB/T 4706.52</w:t>
            </w:r>
            <w:r>
              <w:rPr>
                <w:rFonts w:hint="eastAsia"/>
                <w:color w:val="auto"/>
                <w:sz w:val="24"/>
                <w:szCs w:val="24"/>
                <w:lang w:eastAsia="zh-CN"/>
              </w:rPr>
              <w:t>-</w:t>
            </w:r>
            <w:r>
              <w:rPr>
                <w:color w:val="auto"/>
                <w:sz w:val="24"/>
                <w:szCs w:val="24"/>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19</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稳定性和机械危险</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bookmarkStart w:id="5" w:name="OLE_LINK26"/>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bookmarkEnd w:id="5"/>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20</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机械强度</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21</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结构</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bookmarkStart w:id="6" w:name="OLE_LINK22"/>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bookmarkStart w:id="7" w:name="OLE_LINK25"/>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bookmarkEnd w:id="6"/>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22</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内部布线</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23</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电源连接和外部软线</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24</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rPr>
              <w:t>外部导线用接线端子</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/外部导体用接线端子</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25</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接地措施</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95"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rFonts w:hint="default" w:eastAsia="仿宋_GB2312"/>
                <w:color w:val="auto"/>
                <w:sz w:val="24"/>
                <w:lang w:val="en-US" w:eastAsia="zh-CN"/>
              </w:rPr>
            </w:pPr>
            <w:r>
              <w:rPr>
                <w:rFonts w:hint="eastAsia"/>
                <w:color w:val="auto"/>
                <w:sz w:val="24"/>
                <w:lang w:val="en-US" w:eastAsia="zh-CN"/>
              </w:rPr>
              <w:t>26</w:t>
            </w:r>
          </w:p>
        </w:tc>
        <w:tc>
          <w:tcPr>
            <w:tcW w:w="2238" w:type="pct"/>
            <w:shd w:val="clear" w:color="auto" w:fill="auto"/>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center"/>
              <w:rPr>
                <w:color w:val="auto"/>
                <w:sz w:val="24"/>
              </w:rPr>
            </w:pPr>
            <w:r>
              <w:rPr>
                <w:color w:val="auto"/>
                <w:sz w:val="24"/>
              </w:rPr>
              <w:t>螺钉和连接</w:t>
            </w:r>
          </w:p>
        </w:tc>
        <w:tc>
          <w:tcPr>
            <w:tcW w:w="2266" w:type="pct"/>
            <w:shd w:val="clear" w:color="auto" w:fill="FFFFFF"/>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4706.1</w:t>
            </w:r>
            <w:r>
              <w:rPr>
                <w:rFonts w:hint="eastAsia"/>
                <w:color w:val="auto"/>
                <w:sz w:val="24"/>
                <w:lang w:eastAsia="zh-CN" w:bidi="ar"/>
              </w:rPr>
              <w:t>-</w:t>
            </w:r>
            <w:r>
              <w:rPr>
                <w:color w:val="auto"/>
                <w:sz w:val="24"/>
                <w:lang w:bidi="ar"/>
              </w:rPr>
              <w:t>2005</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4706.33</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4706.34</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4706.35</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4706.36</w:t>
            </w:r>
            <w:r>
              <w:rPr>
                <w:rFonts w:hint="eastAsia"/>
                <w:color w:val="auto"/>
                <w:sz w:val="24"/>
                <w:lang w:eastAsia="zh-CN" w:bidi="ar"/>
              </w:rPr>
              <w:t>-</w:t>
            </w:r>
            <w:r>
              <w:rPr>
                <w:color w:val="auto"/>
                <w:sz w:val="24"/>
                <w:lang w:bidi="ar"/>
              </w:rPr>
              <w:t>2014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4706.37</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4706.39</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4706.40</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 4706.52</w:t>
            </w:r>
            <w:r>
              <w:rPr>
                <w:rFonts w:hint="eastAsia"/>
                <w:color w:val="auto"/>
                <w:sz w:val="24"/>
                <w:lang w:eastAsia="zh-CN" w:bidi="ar"/>
              </w:rPr>
              <w:t>-</w:t>
            </w:r>
            <w:r>
              <w:rPr>
                <w:color w:val="auto"/>
                <w:sz w:val="24"/>
                <w:lang w:bidi="ar"/>
              </w:rPr>
              <w:t>2008</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4706.1</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4706.33</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4706.34</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4706.35</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4706.36</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4706.37</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4706.39</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lang w:bidi="ar"/>
              </w:rPr>
            </w:pPr>
            <w:r>
              <w:rPr>
                <w:color w:val="auto"/>
                <w:sz w:val="24"/>
                <w:lang w:bidi="ar"/>
              </w:rPr>
              <w:t>GB/T 4706.40</w:t>
            </w:r>
            <w:r>
              <w:rPr>
                <w:rFonts w:hint="eastAsia"/>
                <w:color w:val="auto"/>
                <w:sz w:val="24"/>
                <w:lang w:eastAsia="zh-CN" w:bidi="ar"/>
              </w:rPr>
              <w:t>-</w:t>
            </w:r>
            <w:r>
              <w:rPr>
                <w:color w:val="auto"/>
                <w:sz w:val="24"/>
                <w:lang w:bidi="ar"/>
              </w:rPr>
              <w:t>2024</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rPr>
                <w:color w:val="auto"/>
                <w:sz w:val="24"/>
              </w:rPr>
            </w:pPr>
            <w:r>
              <w:rPr>
                <w:color w:val="auto"/>
                <w:sz w:val="24"/>
                <w:lang w:bidi="ar"/>
              </w:rPr>
              <w:t>GB/T 4706.52</w:t>
            </w:r>
            <w:r>
              <w:rPr>
                <w:rFonts w:hint="eastAsia"/>
                <w:color w:val="auto"/>
                <w:sz w:val="24"/>
                <w:lang w:eastAsia="zh-CN" w:bidi="ar"/>
              </w:rPr>
              <w:t>-</w:t>
            </w:r>
            <w:r>
              <w:rPr>
                <w:color w:val="auto"/>
                <w:sz w:val="24"/>
                <w:lang w:bidi="ar"/>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5000" w:type="pct"/>
            <w:gridSpan w:val="3"/>
            <w:vAlign w:val="center"/>
          </w:tcPr>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rPr>
                <w:color w:val="auto"/>
                <w:sz w:val="24"/>
              </w:rPr>
            </w:pPr>
            <w:r>
              <w:rPr>
                <w:color w:val="auto"/>
                <w:sz w:val="24"/>
              </w:rPr>
              <w:t>注：</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rPr>
                <w:color w:val="auto"/>
                <w:sz w:val="24"/>
              </w:rPr>
            </w:pPr>
            <w:r>
              <w:rPr>
                <w:color w:val="auto"/>
                <w:sz w:val="24"/>
              </w:rPr>
              <w:t>1.本表的第1</w:t>
            </w:r>
            <w:r>
              <w:rPr>
                <w:rFonts w:hint="eastAsia"/>
                <w:color w:val="auto"/>
                <w:sz w:val="24"/>
                <w:lang w:eastAsia="zh-CN"/>
              </w:rPr>
              <w:t>-</w:t>
            </w:r>
            <w:r>
              <w:rPr>
                <w:color w:val="auto"/>
                <w:sz w:val="24"/>
              </w:rPr>
              <w:t>13项适用于金属材质；</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rPr>
                <w:color w:val="auto"/>
                <w:sz w:val="24"/>
              </w:rPr>
            </w:pPr>
            <w:r>
              <w:rPr>
                <w:rFonts w:hint="eastAsia"/>
                <w:color w:val="auto"/>
                <w:sz w:val="24"/>
                <w:lang w:val="en-US" w:eastAsia="zh-CN"/>
              </w:rPr>
              <w:t>2</w:t>
            </w:r>
            <w:r>
              <w:rPr>
                <w:color w:val="auto"/>
                <w:sz w:val="24"/>
              </w:rPr>
              <w:t>.本表的第</w:t>
            </w:r>
            <w:r>
              <w:rPr>
                <w:rFonts w:hint="eastAsia"/>
                <w:color w:val="auto"/>
                <w:sz w:val="24"/>
                <w:lang w:val="en-US" w:eastAsia="zh-CN"/>
              </w:rPr>
              <w:t>18</w:t>
            </w:r>
            <w:r>
              <w:rPr>
                <w:color w:val="auto"/>
                <w:sz w:val="24"/>
              </w:rPr>
              <w:t>项不测GB 4706.1第19.11.4条试验；</w:t>
            </w:r>
          </w:p>
          <w:p>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left"/>
              <w:rPr>
                <w:color w:val="auto"/>
                <w:sz w:val="24"/>
              </w:rPr>
            </w:pPr>
            <w:r>
              <w:rPr>
                <w:rFonts w:hint="eastAsia"/>
                <w:color w:val="auto"/>
                <w:sz w:val="24"/>
                <w:lang w:val="en-US" w:eastAsia="zh-CN"/>
              </w:rPr>
              <w:t>3</w:t>
            </w:r>
            <w:r>
              <w:rPr>
                <w:color w:val="auto"/>
                <w:sz w:val="24"/>
              </w:rPr>
              <w:t>.本表的第</w:t>
            </w:r>
            <w:r>
              <w:rPr>
                <w:rFonts w:hint="eastAsia"/>
                <w:color w:val="auto"/>
                <w:sz w:val="24"/>
                <w:lang w:val="en-US" w:eastAsia="zh-CN"/>
              </w:rPr>
              <w:t>21</w:t>
            </w:r>
            <w:r>
              <w:rPr>
                <w:color w:val="auto"/>
                <w:sz w:val="24"/>
              </w:rPr>
              <w:t>项不测GB 4706.1第22.46条试验。</w:t>
            </w:r>
          </w:p>
        </w:tc>
      </w:tr>
    </w:tbl>
    <w:p>
      <w:pPr>
        <w:shd w:val="clear" w:color="auto" w:fill="FFFFFF"/>
        <w:adjustRightInd w:val="0"/>
        <w:snapToGrid w:val="0"/>
        <w:spacing w:line="590" w:lineRule="exact"/>
        <w:ind w:firstLine="640" w:firstLineChars="200"/>
        <w:rPr>
          <w:szCs w:val="32"/>
        </w:rPr>
      </w:pPr>
      <w:r>
        <w:rPr>
          <w:szCs w:val="32"/>
        </w:rPr>
        <w:t>执行企业标准、团体标准、地方标准的产品，检验项目参照上述内容执行。</w:t>
      </w:r>
    </w:p>
    <w:p>
      <w:pPr>
        <w:shd w:val="clear" w:color="auto" w:fill="FFFFFF"/>
        <w:snapToGrid w:val="0"/>
        <w:spacing w:line="590" w:lineRule="exact"/>
        <w:ind w:firstLine="547" w:firstLineChars="171"/>
        <w:rPr>
          <w:szCs w:val="32"/>
        </w:rPr>
      </w:pPr>
      <w:r>
        <w:rPr>
          <w:szCs w:val="32"/>
        </w:rPr>
        <w:t>凡是注日期的文件，其随后所有的修改单（不包括勘误的内容）或修订版不适用于本细则。凡是不注日期的文件，其最新版本适用于本细则。</w:t>
      </w:r>
    </w:p>
    <w:p>
      <w:pPr>
        <w:spacing w:line="590" w:lineRule="exact"/>
        <w:ind w:firstLine="640" w:firstLineChars="200"/>
        <w:rPr>
          <w:rFonts w:eastAsia="黑体"/>
          <w:szCs w:val="32"/>
        </w:rPr>
      </w:pPr>
      <w:r>
        <w:rPr>
          <w:rFonts w:eastAsia="黑体"/>
          <w:szCs w:val="32"/>
        </w:rPr>
        <w:t>3 判定规则</w:t>
      </w:r>
    </w:p>
    <w:p>
      <w:pPr>
        <w:shd w:val="clear" w:color="auto" w:fill="FFFFFF"/>
        <w:snapToGrid w:val="0"/>
        <w:spacing w:line="590" w:lineRule="exact"/>
        <w:ind w:firstLine="640" w:firstLineChars="200"/>
        <w:rPr>
          <w:szCs w:val="32"/>
        </w:rPr>
      </w:pPr>
      <w:r>
        <w:rPr>
          <w:szCs w:val="32"/>
        </w:rPr>
        <w:t>3.1依据标准</w:t>
      </w:r>
    </w:p>
    <w:p>
      <w:pPr>
        <w:shd w:val="clear" w:color="auto" w:fill="FFFFFF"/>
        <w:snapToGrid w:val="0"/>
        <w:spacing w:line="590" w:lineRule="exact"/>
        <w:ind w:firstLine="512" w:firstLineChars="160"/>
        <w:rPr>
          <w:szCs w:val="32"/>
        </w:rPr>
      </w:pPr>
      <w:r>
        <w:rPr>
          <w:szCs w:val="32"/>
        </w:rPr>
        <w:t>GB 4806.9</w:t>
      </w:r>
      <w:r>
        <w:rPr>
          <w:rFonts w:hint="eastAsia"/>
          <w:szCs w:val="32"/>
          <w:lang w:eastAsia="zh-CN"/>
        </w:rPr>
        <w:t>-</w:t>
      </w:r>
      <w:r>
        <w:rPr>
          <w:szCs w:val="32"/>
        </w:rPr>
        <w:t>2023 食品安全国家标准 食品接触用金属材料及制品</w:t>
      </w:r>
    </w:p>
    <w:p>
      <w:pPr>
        <w:shd w:val="clear" w:color="auto" w:fill="FFFFFF"/>
        <w:snapToGrid w:val="0"/>
        <w:spacing w:line="590" w:lineRule="exact"/>
        <w:ind w:firstLine="512" w:firstLineChars="160"/>
        <w:rPr>
          <w:szCs w:val="32"/>
        </w:rPr>
      </w:pPr>
      <w:r>
        <w:rPr>
          <w:szCs w:val="32"/>
        </w:rPr>
        <w:t>GB/T 10644</w:t>
      </w:r>
      <w:r>
        <w:rPr>
          <w:rFonts w:hint="eastAsia"/>
          <w:szCs w:val="32"/>
          <w:lang w:eastAsia="zh-CN"/>
        </w:rPr>
        <w:t>-</w:t>
      </w:r>
      <w:r>
        <w:rPr>
          <w:szCs w:val="32"/>
        </w:rPr>
        <w:t>2022 电热食品烤炉</w:t>
      </w:r>
    </w:p>
    <w:p>
      <w:pPr>
        <w:shd w:val="clear" w:color="auto" w:fill="FFFFFF"/>
        <w:snapToGrid w:val="0"/>
        <w:spacing w:line="590" w:lineRule="exact"/>
        <w:ind w:firstLine="512" w:firstLineChars="160"/>
        <w:rPr>
          <w:szCs w:val="32"/>
        </w:rPr>
      </w:pPr>
      <w:r>
        <w:rPr>
          <w:szCs w:val="32"/>
        </w:rPr>
        <w:t>GB 4706.1</w:t>
      </w:r>
      <w:r>
        <w:rPr>
          <w:rFonts w:hint="eastAsia"/>
          <w:szCs w:val="32"/>
          <w:lang w:eastAsia="zh-CN"/>
        </w:rPr>
        <w:t>-</w:t>
      </w:r>
      <w:r>
        <w:rPr>
          <w:szCs w:val="32"/>
        </w:rPr>
        <w:t>2005 家用和类似用途电器的安全第1部分：通用要求</w:t>
      </w:r>
    </w:p>
    <w:p>
      <w:pPr>
        <w:shd w:val="clear" w:color="auto" w:fill="FFFFFF"/>
        <w:snapToGrid w:val="0"/>
        <w:spacing w:line="590" w:lineRule="exact"/>
        <w:ind w:firstLine="512" w:firstLineChars="160"/>
        <w:rPr>
          <w:szCs w:val="32"/>
        </w:rPr>
      </w:pPr>
      <w:r>
        <w:rPr>
          <w:szCs w:val="32"/>
        </w:rPr>
        <w:t>GB 4706.33</w:t>
      </w:r>
      <w:r>
        <w:rPr>
          <w:rFonts w:hint="eastAsia"/>
          <w:szCs w:val="32"/>
          <w:lang w:eastAsia="zh-CN"/>
        </w:rPr>
        <w:t>-</w:t>
      </w:r>
      <w:r>
        <w:rPr>
          <w:szCs w:val="32"/>
        </w:rPr>
        <w:t>2008 家用和类似用途电器的安全 商用电深油炸锅的特殊要求</w:t>
      </w:r>
    </w:p>
    <w:p>
      <w:pPr>
        <w:shd w:val="clear" w:color="auto" w:fill="FFFFFF"/>
        <w:snapToGrid w:val="0"/>
        <w:spacing w:line="590" w:lineRule="exact"/>
        <w:ind w:firstLine="512" w:firstLineChars="160"/>
        <w:rPr>
          <w:szCs w:val="32"/>
        </w:rPr>
      </w:pPr>
      <w:r>
        <w:rPr>
          <w:szCs w:val="32"/>
        </w:rPr>
        <w:t>GB 4706.34</w:t>
      </w:r>
      <w:r>
        <w:rPr>
          <w:rFonts w:hint="eastAsia"/>
          <w:szCs w:val="32"/>
          <w:lang w:eastAsia="zh-CN"/>
        </w:rPr>
        <w:t>-</w:t>
      </w:r>
      <w:r>
        <w:rPr>
          <w:szCs w:val="32"/>
        </w:rPr>
        <w:t>2008 家用和类似用途电器的安全 商用电强制对流烤炉、蒸汽炊具和蒸汽对流炉的特殊要求</w:t>
      </w:r>
    </w:p>
    <w:p>
      <w:pPr>
        <w:shd w:val="clear" w:color="auto" w:fill="FFFFFF"/>
        <w:snapToGrid w:val="0"/>
        <w:spacing w:line="590" w:lineRule="exact"/>
        <w:ind w:firstLine="512" w:firstLineChars="160"/>
        <w:rPr>
          <w:szCs w:val="32"/>
        </w:rPr>
      </w:pPr>
      <w:r>
        <w:rPr>
          <w:szCs w:val="32"/>
        </w:rPr>
        <w:t>GB 4706.35</w:t>
      </w:r>
      <w:r>
        <w:rPr>
          <w:rFonts w:hint="eastAsia"/>
          <w:szCs w:val="32"/>
          <w:lang w:eastAsia="zh-CN"/>
        </w:rPr>
        <w:t>-</w:t>
      </w:r>
      <w:r>
        <w:rPr>
          <w:szCs w:val="32"/>
        </w:rPr>
        <w:t>2008 家用和类似用途电器的安全 商用电煮锅的特殊要求</w:t>
      </w:r>
    </w:p>
    <w:p>
      <w:pPr>
        <w:shd w:val="clear" w:color="auto" w:fill="FFFFFF"/>
        <w:snapToGrid w:val="0"/>
        <w:spacing w:line="590" w:lineRule="exact"/>
        <w:ind w:firstLine="512" w:firstLineChars="160"/>
        <w:rPr>
          <w:szCs w:val="32"/>
        </w:rPr>
      </w:pPr>
      <w:r>
        <w:rPr>
          <w:szCs w:val="32"/>
        </w:rPr>
        <w:t>GB 4706.36</w:t>
      </w:r>
      <w:r>
        <w:rPr>
          <w:rFonts w:hint="eastAsia"/>
          <w:szCs w:val="32"/>
          <w:lang w:eastAsia="zh-CN"/>
        </w:rPr>
        <w:t>-</w:t>
      </w:r>
      <w:r>
        <w:rPr>
          <w:szCs w:val="32"/>
        </w:rPr>
        <w:t>2014 家用和类似用途电器的安全 商用电开水器和液体加热器的特殊要求</w:t>
      </w:r>
    </w:p>
    <w:p>
      <w:pPr>
        <w:shd w:val="clear" w:color="auto" w:fill="FFFFFF"/>
        <w:snapToGrid w:val="0"/>
        <w:spacing w:line="590" w:lineRule="exact"/>
        <w:ind w:firstLine="512" w:firstLineChars="160"/>
        <w:rPr>
          <w:szCs w:val="32"/>
        </w:rPr>
      </w:pPr>
      <w:r>
        <w:rPr>
          <w:szCs w:val="32"/>
        </w:rPr>
        <w:t>GB 4706.37</w:t>
      </w:r>
      <w:r>
        <w:rPr>
          <w:rFonts w:hint="eastAsia"/>
          <w:szCs w:val="32"/>
          <w:lang w:eastAsia="zh-CN"/>
        </w:rPr>
        <w:t>-</w:t>
      </w:r>
      <w:r>
        <w:rPr>
          <w:szCs w:val="32"/>
        </w:rPr>
        <w:t>2008 家用和类似用途电器的安全 商用单双面电热铛的特殊要求</w:t>
      </w:r>
    </w:p>
    <w:p>
      <w:pPr>
        <w:shd w:val="clear" w:color="auto" w:fill="FFFFFF"/>
        <w:snapToGrid w:val="0"/>
        <w:spacing w:line="590" w:lineRule="exact"/>
        <w:ind w:firstLine="512" w:firstLineChars="160"/>
        <w:rPr>
          <w:szCs w:val="32"/>
        </w:rPr>
      </w:pPr>
      <w:r>
        <w:rPr>
          <w:szCs w:val="32"/>
        </w:rPr>
        <w:t>GB 4706.39</w:t>
      </w:r>
      <w:r>
        <w:rPr>
          <w:rFonts w:hint="eastAsia"/>
          <w:szCs w:val="32"/>
          <w:lang w:eastAsia="zh-CN"/>
        </w:rPr>
        <w:t>-</w:t>
      </w:r>
      <w:r>
        <w:rPr>
          <w:szCs w:val="32"/>
        </w:rPr>
        <w:t>2008 家用和类似用途电器的安全 商用电烤炉和烤面包炉的特殊要求</w:t>
      </w:r>
    </w:p>
    <w:p>
      <w:pPr>
        <w:shd w:val="clear" w:color="auto" w:fill="FFFFFF"/>
        <w:snapToGrid w:val="0"/>
        <w:spacing w:line="590" w:lineRule="exact"/>
        <w:ind w:firstLine="512" w:firstLineChars="160"/>
        <w:rPr>
          <w:szCs w:val="32"/>
        </w:rPr>
      </w:pPr>
      <w:r>
        <w:rPr>
          <w:szCs w:val="32"/>
        </w:rPr>
        <w:t>GB 4706.40</w:t>
      </w:r>
      <w:r>
        <w:rPr>
          <w:rFonts w:hint="eastAsia"/>
          <w:szCs w:val="32"/>
          <w:lang w:eastAsia="zh-CN"/>
        </w:rPr>
        <w:t>-</w:t>
      </w:r>
      <w:r>
        <w:rPr>
          <w:szCs w:val="32"/>
        </w:rPr>
        <w:t xml:space="preserve">2008 家用和类似用途电器的安全 </w:t>
      </w:r>
      <w:bookmarkStart w:id="8" w:name="_Hlk226711396"/>
      <w:r>
        <w:rPr>
          <w:szCs w:val="32"/>
        </w:rPr>
        <w:t>商用多用途电平锅</w:t>
      </w:r>
      <w:bookmarkEnd w:id="8"/>
      <w:r>
        <w:rPr>
          <w:szCs w:val="32"/>
        </w:rPr>
        <w:t>的特殊要求</w:t>
      </w:r>
    </w:p>
    <w:p>
      <w:pPr>
        <w:shd w:val="clear" w:color="auto" w:fill="FFFFFF"/>
        <w:snapToGrid w:val="0"/>
        <w:spacing w:line="590" w:lineRule="exact"/>
        <w:ind w:firstLine="512" w:firstLineChars="160"/>
        <w:rPr>
          <w:szCs w:val="32"/>
        </w:rPr>
      </w:pPr>
      <w:r>
        <w:rPr>
          <w:szCs w:val="32"/>
        </w:rPr>
        <w:t>GB 4706.52</w:t>
      </w:r>
      <w:r>
        <w:rPr>
          <w:rFonts w:hint="eastAsia"/>
          <w:szCs w:val="32"/>
          <w:lang w:eastAsia="zh-CN"/>
        </w:rPr>
        <w:t>-</w:t>
      </w:r>
      <w:r>
        <w:rPr>
          <w:szCs w:val="32"/>
        </w:rPr>
        <w:t>2008 家用和类似用途电器的安全 商用电炉灶、烤箱、灶和灶单元的特殊要求</w:t>
      </w:r>
    </w:p>
    <w:p>
      <w:pPr>
        <w:shd w:val="clear" w:color="auto" w:fill="FFFFFF"/>
        <w:snapToGrid w:val="0"/>
        <w:spacing w:line="590" w:lineRule="exact"/>
        <w:ind w:firstLine="512" w:firstLineChars="160"/>
        <w:rPr>
          <w:szCs w:val="32"/>
        </w:rPr>
      </w:pPr>
      <w:r>
        <w:rPr>
          <w:szCs w:val="32"/>
        </w:rPr>
        <w:t>GB/T 4706.1</w:t>
      </w:r>
      <w:r>
        <w:rPr>
          <w:rFonts w:hint="eastAsia"/>
          <w:szCs w:val="32"/>
          <w:lang w:eastAsia="zh-CN"/>
        </w:rPr>
        <w:t>-</w:t>
      </w:r>
      <w:r>
        <w:rPr>
          <w:szCs w:val="32"/>
        </w:rPr>
        <w:t>2024 家用和类似用途电器的安全 第1部分：通用要求</w:t>
      </w:r>
    </w:p>
    <w:p>
      <w:pPr>
        <w:shd w:val="clear" w:color="auto" w:fill="FFFFFF"/>
        <w:snapToGrid w:val="0"/>
        <w:spacing w:line="590" w:lineRule="exact"/>
        <w:ind w:firstLine="512" w:firstLineChars="160"/>
        <w:rPr>
          <w:szCs w:val="32"/>
        </w:rPr>
      </w:pPr>
      <w:bookmarkStart w:id="9" w:name="_Hlk226711108"/>
      <w:r>
        <w:rPr>
          <w:szCs w:val="32"/>
        </w:rPr>
        <w:t>GB/T 4706.33</w:t>
      </w:r>
      <w:r>
        <w:rPr>
          <w:rFonts w:hint="eastAsia"/>
          <w:szCs w:val="32"/>
          <w:lang w:eastAsia="zh-CN"/>
        </w:rPr>
        <w:t>-</w:t>
      </w:r>
      <w:r>
        <w:rPr>
          <w:szCs w:val="32"/>
        </w:rPr>
        <w:t>2024 家用和类似用途电器的安全 第 33 部分：商用电油炸锅的特殊要求</w:t>
      </w:r>
      <w:bookmarkEnd w:id="9"/>
    </w:p>
    <w:p>
      <w:pPr>
        <w:shd w:val="clear" w:color="auto" w:fill="FFFFFF"/>
        <w:snapToGrid w:val="0"/>
        <w:spacing w:line="590" w:lineRule="exact"/>
        <w:ind w:firstLine="512" w:firstLineChars="160"/>
        <w:rPr>
          <w:szCs w:val="32"/>
        </w:rPr>
      </w:pPr>
      <w:r>
        <w:rPr>
          <w:szCs w:val="32"/>
        </w:rPr>
        <w:t>GB/T 4706.34</w:t>
      </w:r>
      <w:r>
        <w:rPr>
          <w:rFonts w:hint="eastAsia"/>
          <w:szCs w:val="32"/>
          <w:lang w:eastAsia="zh-CN"/>
        </w:rPr>
        <w:t>-</w:t>
      </w:r>
      <w:r>
        <w:rPr>
          <w:szCs w:val="32"/>
        </w:rPr>
        <w:t>2024 家用和类似用途电器的安全 第 34 部分：商用电强制对流烤炉、蒸汽炊具和蒸汽对流炉的特殊要求</w:t>
      </w:r>
    </w:p>
    <w:p>
      <w:pPr>
        <w:shd w:val="clear" w:color="auto" w:fill="FFFFFF"/>
        <w:snapToGrid w:val="0"/>
        <w:spacing w:line="590" w:lineRule="exact"/>
        <w:ind w:firstLine="512" w:firstLineChars="160"/>
        <w:rPr>
          <w:szCs w:val="32"/>
        </w:rPr>
      </w:pPr>
      <w:r>
        <w:rPr>
          <w:szCs w:val="32"/>
        </w:rPr>
        <w:t>GB/T 4706.35</w:t>
      </w:r>
      <w:r>
        <w:rPr>
          <w:rFonts w:hint="eastAsia"/>
          <w:szCs w:val="32"/>
          <w:lang w:eastAsia="zh-CN"/>
        </w:rPr>
        <w:t>-</w:t>
      </w:r>
      <w:r>
        <w:rPr>
          <w:szCs w:val="32"/>
        </w:rPr>
        <w:t>2024 家用和类似用途电器的安全 第 35 部分：商用电煮锅的特殊要求</w:t>
      </w:r>
    </w:p>
    <w:p>
      <w:pPr>
        <w:shd w:val="clear" w:color="auto" w:fill="FFFFFF"/>
        <w:snapToGrid w:val="0"/>
        <w:spacing w:line="590" w:lineRule="exact"/>
        <w:ind w:firstLine="512" w:firstLineChars="160"/>
        <w:rPr>
          <w:szCs w:val="32"/>
        </w:rPr>
      </w:pPr>
      <w:r>
        <w:rPr>
          <w:szCs w:val="32"/>
        </w:rPr>
        <w:t>GB/T 4706.36</w:t>
      </w:r>
      <w:r>
        <w:rPr>
          <w:rFonts w:hint="eastAsia"/>
          <w:szCs w:val="32"/>
          <w:lang w:eastAsia="zh-CN"/>
        </w:rPr>
        <w:t>-</w:t>
      </w:r>
      <w:r>
        <w:rPr>
          <w:szCs w:val="32"/>
        </w:rPr>
        <w:t>2024 家用和类似用途电器的安全 第 36 部分：商用电开水器和液体加热器的特殊要求</w:t>
      </w:r>
    </w:p>
    <w:p>
      <w:pPr>
        <w:shd w:val="clear" w:color="auto" w:fill="FFFFFF"/>
        <w:snapToGrid w:val="0"/>
        <w:spacing w:line="590" w:lineRule="exact"/>
        <w:ind w:firstLine="512" w:firstLineChars="160"/>
        <w:rPr>
          <w:szCs w:val="32"/>
        </w:rPr>
      </w:pPr>
      <w:r>
        <w:rPr>
          <w:szCs w:val="32"/>
        </w:rPr>
        <w:t>GB/T 4706.37</w:t>
      </w:r>
      <w:r>
        <w:rPr>
          <w:rFonts w:hint="eastAsia"/>
          <w:szCs w:val="32"/>
          <w:lang w:eastAsia="zh-CN"/>
        </w:rPr>
        <w:t>-</w:t>
      </w:r>
      <w:r>
        <w:rPr>
          <w:szCs w:val="32"/>
        </w:rPr>
        <w:t>2024 家用和类似用途电器的安全 第 37 部分：商用单双面电热铛的特殊要求</w:t>
      </w:r>
    </w:p>
    <w:p>
      <w:pPr>
        <w:shd w:val="clear" w:color="auto" w:fill="FFFFFF"/>
        <w:snapToGrid w:val="0"/>
        <w:spacing w:line="590" w:lineRule="exact"/>
        <w:ind w:firstLine="512" w:firstLineChars="160"/>
        <w:rPr>
          <w:szCs w:val="32"/>
        </w:rPr>
      </w:pPr>
      <w:r>
        <w:rPr>
          <w:szCs w:val="32"/>
        </w:rPr>
        <w:t>GB/T 4706.39</w:t>
      </w:r>
      <w:r>
        <w:rPr>
          <w:rFonts w:hint="eastAsia"/>
          <w:szCs w:val="32"/>
          <w:lang w:eastAsia="zh-CN"/>
        </w:rPr>
        <w:t>-</w:t>
      </w:r>
      <w:r>
        <w:rPr>
          <w:szCs w:val="32"/>
        </w:rPr>
        <w:t>2024 家用和类似用途电器的安全 第 39 部分：商用电烤炉和烤面包炉的特殊要求</w:t>
      </w:r>
    </w:p>
    <w:p>
      <w:pPr>
        <w:shd w:val="clear" w:color="auto" w:fill="FFFFFF"/>
        <w:snapToGrid w:val="0"/>
        <w:spacing w:line="590" w:lineRule="exact"/>
        <w:ind w:firstLine="512" w:firstLineChars="160"/>
        <w:rPr>
          <w:szCs w:val="32"/>
        </w:rPr>
      </w:pPr>
      <w:r>
        <w:rPr>
          <w:szCs w:val="32"/>
        </w:rPr>
        <w:t>GB/T 4706.40</w:t>
      </w:r>
      <w:r>
        <w:rPr>
          <w:rFonts w:hint="eastAsia"/>
          <w:szCs w:val="32"/>
          <w:lang w:eastAsia="zh-CN"/>
        </w:rPr>
        <w:t>-</w:t>
      </w:r>
      <w:r>
        <w:rPr>
          <w:szCs w:val="32"/>
        </w:rPr>
        <w:t>2024 家用和类似用途电器的安全 第 40 部分：商用多用途电平锅的特殊要求</w:t>
      </w:r>
    </w:p>
    <w:p>
      <w:pPr>
        <w:shd w:val="clear" w:color="auto" w:fill="FFFFFF"/>
        <w:snapToGrid w:val="0"/>
        <w:spacing w:line="590" w:lineRule="exact"/>
        <w:ind w:firstLine="512" w:firstLineChars="160"/>
        <w:rPr>
          <w:szCs w:val="32"/>
        </w:rPr>
      </w:pPr>
      <w:r>
        <w:rPr>
          <w:szCs w:val="32"/>
        </w:rPr>
        <w:t>GB/T 4706.52</w:t>
      </w:r>
      <w:r>
        <w:rPr>
          <w:rFonts w:hint="eastAsia"/>
          <w:szCs w:val="32"/>
          <w:lang w:eastAsia="zh-CN"/>
        </w:rPr>
        <w:t>-</w:t>
      </w:r>
      <w:r>
        <w:rPr>
          <w:szCs w:val="32"/>
        </w:rPr>
        <w:t>2024 家用和类似用途电器的安全 第 52 部分：商用电炉灶、烤箱、灶和灶单元的特殊要求</w:t>
      </w:r>
    </w:p>
    <w:p>
      <w:pPr>
        <w:shd w:val="clear" w:color="auto" w:fill="FFFFFF"/>
        <w:snapToGrid w:val="0"/>
        <w:spacing w:line="590" w:lineRule="exact"/>
        <w:ind w:firstLine="512" w:firstLineChars="160"/>
        <w:rPr>
          <w:szCs w:val="32"/>
        </w:rPr>
      </w:pPr>
      <w:r>
        <w:rPr>
          <w:szCs w:val="32"/>
        </w:rPr>
        <w:t>GB 44246</w:t>
      </w:r>
      <w:r>
        <w:rPr>
          <w:rFonts w:hint="eastAsia"/>
          <w:szCs w:val="32"/>
          <w:lang w:eastAsia="zh-CN"/>
        </w:rPr>
        <w:t>-</w:t>
      </w:r>
      <w:r>
        <w:rPr>
          <w:szCs w:val="32"/>
        </w:rPr>
        <w:t>2024 家用和类似用途电器、体育用品的电气部分及电玩具 安全技术规范</w:t>
      </w:r>
    </w:p>
    <w:p>
      <w:pPr>
        <w:shd w:val="clear" w:color="auto" w:fill="FFFFFF"/>
        <w:snapToGrid w:val="0"/>
        <w:spacing w:line="590" w:lineRule="exact"/>
        <w:ind w:firstLine="547" w:firstLineChars="171"/>
        <w:rPr>
          <w:szCs w:val="32"/>
        </w:rPr>
      </w:pPr>
      <w:r>
        <w:rPr>
          <w:szCs w:val="32"/>
        </w:rPr>
        <w:t>现行有效的企业标准、团体标准、地方标准及产品明示质量要求</w:t>
      </w:r>
    </w:p>
    <w:p>
      <w:pPr>
        <w:shd w:val="clear" w:color="auto" w:fill="FFFFFF"/>
        <w:snapToGrid w:val="0"/>
        <w:spacing w:line="590" w:lineRule="exact"/>
        <w:ind w:firstLine="640" w:firstLineChars="200"/>
        <w:rPr>
          <w:szCs w:val="32"/>
        </w:rPr>
      </w:pPr>
      <w:r>
        <w:rPr>
          <w:szCs w:val="32"/>
        </w:rPr>
        <w:t>3.2判定原则</w:t>
      </w:r>
    </w:p>
    <w:p>
      <w:pPr>
        <w:shd w:val="clear" w:color="auto" w:fill="FFFFFF"/>
        <w:snapToGrid w:val="0"/>
        <w:spacing w:line="590" w:lineRule="exact"/>
        <w:ind w:firstLine="640" w:firstLineChars="200"/>
        <w:rPr>
          <w:szCs w:val="32"/>
        </w:rPr>
      </w:pPr>
      <w:r>
        <w:rPr>
          <w:szCs w:val="32"/>
        </w:rPr>
        <w:t>经检验，检验项目全部合格，判定为被抽查产品所检项目未发现不合格；检验项目中任一项或一项以上不合格，判定为被抽查产品不合格。</w:t>
      </w:r>
    </w:p>
    <w:p>
      <w:pPr>
        <w:shd w:val="clear" w:color="auto" w:fill="FFFFFF"/>
        <w:snapToGrid w:val="0"/>
        <w:spacing w:line="590" w:lineRule="exact"/>
        <w:ind w:firstLine="636" w:firstLineChars="199"/>
        <w:rPr>
          <w:szCs w:val="32"/>
        </w:rPr>
      </w:pPr>
      <w:r>
        <w:rPr>
          <w:szCs w:val="32"/>
        </w:rPr>
        <w:t>若被检产品明示的质量要求高于本细则中检验项目依据的标准要求时，应按被检产品明示的质量要求判定。</w:t>
      </w:r>
    </w:p>
    <w:p>
      <w:pPr>
        <w:shd w:val="clear" w:color="auto" w:fill="FFFFFF"/>
        <w:snapToGrid w:val="0"/>
        <w:spacing w:line="590" w:lineRule="exact"/>
        <w:ind w:firstLine="636" w:firstLineChars="199"/>
        <w:rPr>
          <w:szCs w:val="32"/>
        </w:rPr>
      </w:pPr>
      <w:r>
        <w:rPr>
          <w:szCs w:val="32"/>
        </w:rPr>
        <w:t>若被检产品明示的质量要求低于本细则中检验项目依据的强制性标准要求时，应按照强制性标准要求判定。</w:t>
      </w:r>
    </w:p>
    <w:p>
      <w:pPr>
        <w:shd w:val="clear" w:color="auto" w:fill="FFFFFF"/>
        <w:snapToGrid w:val="0"/>
        <w:spacing w:line="590" w:lineRule="exact"/>
        <w:ind w:firstLine="636" w:firstLineChars="199"/>
        <w:rPr>
          <w:szCs w:val="32"/>
        </w:rPr>
      </w:pPr>
      <w:r>
        <w:rPr>
          <w:szCs w:val="32"/>
        </w:rPr>
        <w:t>若被检产品明示的质量要求低于或包含本细则中检验项目依据的推荐性标准要求时，应以被检产品明示的质量要求判定。</w:t>
      </w:r>
    </w:p>
    <w:p>
      <w:pPr>
        <w:shd w:val="clear" w:color="auto" w:fill="FFFFFF"/>
        <w:snapToGrid w:val="0"/>
        <w:spacing w:line="590" w:lineRule="exact"/>
        <w:ind w:firstLine="636" w:firstLineChars="199"/>
        <w:rPr>
          <w:szCs w:val="32"/>
        </w:rPr>
      </w:pPr>
      <w:r>
        <w:rPr>
          <w:szCs w:val="32"/>
        </w:rPr>
        <w:t>若被检产品明示的质量要求缺少本细则中检验项目依据的强制性标准要求时，应按照强制性标准要求判定。</w:t>
      </w:r>
    </w:p>
    <w:p>
      <w:pPr>
        <w:shd w:val="clear" w:color="auto" w:fill="FFFFFF"/>
        <w:snapToGrid w:val="0"/>
        <w:spacing w:line="590" w:lineRule="exact"/>
        <w:ind w:firstLine="636" w:firstLineChars="199"/>
        <w:rPr>
          <w:szCs w:val="32"/>
        </w:rPr>
      </w:pPr>
      <w:r>
        <w:rPr>
          <w:szCs w:val="32"/>
        </w:rPr>
        <w:t>若被检产品明示的质量要求缺少本细则中检验项目依据的推荐性标准要求时，该项目不参与判定。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3F1"/>
    <w:rsid w:val="00041830"/>
    <w:rsid w:val="0004231B"/>
    <w:rsid w:val="00057004"/>
    <w:rsid w:val="000F33F1"/>
    <w:rsid w:val="00122885"/>
    <w:rsid w:val="00124CB4"/>
    <w:rsid w:val="001E7709"/>
    <w:rsid w:val="001F51AF"/>
    <w:rsid w:val="0029007E"/>
    <w:rsid w:val="00355AF6"/>
    <w:rsid w:val="003D4DBB"/>
    <w:rsid w:val="004158B7"/>
    <w:rsid w:val="004212FB"/>
    <w:rsid w:val="00422A03"/>
    <w:rsid w:val="00444FD2"/>
    <w:rsid w:val="00456C0D"/>
    <w:rsid w:val="00462AA7"/>
    <w:rsid w:val="004A3B75"/>
    <w:rsid w:val="004A74C4"/>
    <w:rsid w:val="004C77B0"/>
    <w:rsid w:val="00526779"/>
    <w:rsid w:val="00554F40"/>
    <w:rsid w:val="00570D9D"/>
    <w:rsid w:val="00571985"/>
    <w:rsid w:val="00574E72"/>
    <w:rsid w:val="00585974"/>
    <w:rsid w:val="005F3D46"/>
    <w:rsid w:val="005F7FCA"/>
    <w:rsid w:val="00636C46"/>
    <w:rsid w:val="006459AA"/>
    <w:rsid w:val="006745CF"/>
    <w:rsid w:val="006C1D5B"/>
    <w:rsid w:val="006D3540"/>
    <w:rsid w:val="007170F2"/>
    <w:rsid w:val="00727495"/>
    <w:rsid w:val="00735214"/>
    <w:rsid w:val="00765555"/>
    <w:rsid w:val="00774428"/>
    <w:rsid w:val="00795936"/>
    <w:rsid w:val="007A70E5"/>
    <w:rsid w:val="007E2FB4"/>
    <w:rsid w:val="007F4EC3"/>
    <w:rsid w:val="007F5A4F"/>
    <w:rsid w:val="00802007"/>
    <w:rsid w:val="008C73DE"/>
    <w:rsid w:val="00916F4A"/>
    <w:rsid w:val="00927484"/>
    <w:rsid w:val="00930D81"/>
    <w:rsid w:val="009815F0"/>
    <w:rsid w:val="009921ED"/>
    <w:rsid w:val="00995241"/>
    <w:rsid w:val="009D5D3A"/>
    <w:rsid w:val="009F13B4"/>
    <w:rsid w:val="009F221D"/>
    <w:rsid w:val="00A03C1B"/>
    <w:rsid w:val="00A2464E"/>
    <w:rsid w:val="00A50F23"/>
    <w:rsid w:val="00A96CBE"/>
    <w:rsid w:val="00AA200B"/>
    <w:rsid w:val="00AF10CC"/>
    <w:rsid w:val="00B35659"/>
    <w:rsid w:val="00B93EB9"/>
    <w:rsid w:val="00BC7CC7"/>
    <w:rsid w:val="00C16941"/>
    <w:rsid w:val="00C250F0"/>
    <w:rsid w:val="00C457EA"/>
    <w:rsid w:val="00C4628E"/>
    <w:rsid w:val="00C717EE"/>
    <w:rsid w:val="00CD7B99"/>
    <w:rsid w:val="00D7204A"/>
    <w:rsid w:val="00D84779"/>
    <w:rsid w:val="00DB4CA4"/>
    <w:rsid w:val="00DE2DDE"/>
    <w:rsid w:val="00E33CA2"/>
    <w:rsid w:val="00E72DCA"/>
    <w:rsid w:val="00EB4D8B"/>
    <w:rsid w:val="00EC20E0"/>
    <w:rsid w:val="00EE201F"/>
    <w:rsid w:val="00F059F2"/>
    <w:rsid w:val="00F5208C"/>
    <w:rsid w:val="00F67370"/>
    <w:rsid w:val="00F77A8B"/>
    <w:rsid w:val="00FA398E"/>
    <w:rsid w:val="00FB4767"/>
    <w:rsid w:val="00FE5D3D"/>
    <w:rsid w:val="0FF40EB8"/>
    <w:rsid w:val="14037464"/>
    <w:rsid w:val="1F1B5E97"/>
    <w:rsid w:val="249D521F"/>
    <w:rsid w:val="268E37D0"/>
    <w:rsid w:val="334D5A38"/>
    <w:rsid w:val="356F5B86"/>
    <w:rsid w:val="38ED5796"/>
    <w:rsid w:val="38F44DFD"/>
    <w:rsid w:val="3A9C4F34"/>
    <w:rsid w:val="482E7CFA"/>
    <w:rsid w:val="4AC9763E"/>
    <w:rsid w:val="5045246A"/>
    <w:rsid w:val="583B29CE"/>
    <w:rsid w:val="5A743572"/>
    <w:rsid w:val="61D2000C"/>
    <w:rsid w:val="64037F21"/>
    <w:rsid w:val="71CE323A"/>
    <w:rsid w:val="74CF3033"/>
    <w:rsid w:val="76AB383E"/>
    <w:rsid w:val="EDFF3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20"/>
    <w:qFormat/>
    <w:uiPriority w:val="0"/>
    <w:pPr>
      <w:jc w:val="center"/>
      <w:outlineLvl w:val="0"/>
    </w:pPr>
    <w:rPr>
      <w:rFonts w:ascii="方正小标宋简体" w:eastAsia="方正小标宋简体"/>
      <w:kern w:val="44"/>
      <w:sz w:val="38"/>
    </w:rPr>
  </w:style>
  <w:style w:type="paragraph" w:styleId="4">
    <w:name w:val="heading 2"/>
    <w:basedOn w:val="1"/>
    <w:next w:val="1"/>
    <w:link w:val="21"/>
    <w:qFormat/>
    <w:uiPriority w:val="0"/>
    <w:pPr>
      <w:keepNext/>
      <w:keepLines/>
      <w:spacing w:line="600" w:lineRule="exact"/>
      <w:outlineLvl w:val="1"/>
    </w:pPr>
    <w:rPr>
      <w:rFonts w:ascii="Arial" w:hAnsi="Arial" w:eastAsia="黑体"/>
      <w:sz w:val="30"/>
    </w:rPr>
  </w:style>
  <w:style w:type="paragraph" w:styleId="5">
    <w:name w:val="heading 3"/>
    <w:basedOn w:val="1"/>
    <w:next w:val="1"/>
    <w:link w:val="22"/>
    <w:qFormat/>
    <w:uiPriority w:val="0"/>
    <w:pPr>
      <w:keepNext/>
      <w:keepLines/>
      <w:spacing w:line="600" w:lineRule="exact"/>
      <w:outlineLvl w:val="2"/>
    </w:pPr>
    <w:rPr>
      <w:rFonts w:eastAsia="楷体_GB2312"/>
      <w:b/>
      <w:sz w:val="3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8"/>
    <w:semiHidden/>
    <w:unhideWhenUsed/>
    <w:qFormat/>
    <w:uiPriority w:val="99"/>
    <w:rPr>
      <w:rFonts w:ascii="宋体" w:hAnsi="Courier New" w:eastAsia="宋体" w:cs="Courier New"/>
      <w:sz w:val="21"/>
      <w:szCs w:val="21"/>
    </w:rPr>
  </w:style>
  <w:style w:type="paragraph" w:styleId="6">
    <w:name w:val="Date"/>
    <w:basedOn w:val="1"/>
    <w:next w:val="1"/>
    <w:link w:val="23"/>
    <w:qFormat/>
    <w:uiPriority w:val="0"/>
    <w:pPr>
      <w:spacing w:line="600" w:lineRule="exact"/>
      <w:ind w:left="4253"/>
    </w:pPr>
    <w:rPr>
      <w:sz w:val="30"/>
    </w:rPr>
  </w:style>
  <w:style w:type="paragraph" w:styleId="7">
    <w:name w:val="Balloon Text"/>
    <w:basedOn w:val="1"/>
    <w:link w:val="19"/>
    <w:semiHidden/>
    <w:unhideWhenUsed/>
    <w:qFormat/>
    <w:uiPriority w:val="99"/>
    <w:rPr>
      <w:sz w:val="18"/>
      <w:szCs w:val="18"/>
    </w:rPr>
  </w:style>
  <w:style w:type="paragraph" w:styleId="8">
    <w:name w:val="footer"/>
    <w:basedOn w:val="1"/>
    <w:link w:val="1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6"/>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Signature"/>
    <w:basedOn w:val="1"/>
    <w:link w:val="24"/>
    <w:qFormat/>
    <w:uiPriority w:val="0"/>
    <w:pPr>
      <w:spacing w:line="600" w:lineRule="exact"/>
      <w:ind w:left="4253"/>
    </w:pPr>
    <w:rPr>
      <w:sz w:val="30"/>
    </w:rPr>
  </w:style>
  <w:style w:type="paragraph" w:styleId="11">
    <w:name w:val="toc 2"/>
    <w:basedOn w:val="1"/>
    <w:next w:val="1"/>
    <w:qFormat/>
    <w:uiPriority w:val="0"/>
    <w:pPr>
      <w:ind w:left="420" w:leftChars="200"/>
    </w:pPr>
  </w:style>
  <w:style w:type="table" w:styleId="13">
    <w:name w:val="Table Grid"/>
    <w:basedOn w:val="12"/>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customStyle="1" w:styleId="16">
    <w:name w:val="页眉 字符"/>
    <w:basedOn w:val="14"/>
    <w:link w:val="9"/>
    <w:qFormat/>
    <w:uiPriority w:val="99"/>
    <w:rPr>
      <w:sz w:val="18"/>
      <w:szCs w:val="18"/>
    </w:rPr>
  </w:style>
  <w:style w:type="character" w:customStyle="1" w:styleId="17">
    <w:name w:val="页脚 字符"/>
    <w:basedOn w:val="14"/>
    <w:link w:val="8"/>
    <w:qFormat/>
    <w:uiPriority w:val="99"/>
    <w:rPr>
      <w:sz w:val="18"/>
      <w:szCs w:val="18"/>
    </w:rPr>
  </w:style>
  <w:style w:type="character" w:customStyle="1" w:styleId="18">
    <w:name w:val="纯文本 字符"/>
    <w:basedOn w:val="14"/>
    <w:link w:val="2"/>
    <w:semiHidden/>
    <w:qFormat/>
    <w:uiPriority w:val="99"/>
    <w:rPr>
      <w:rFonts w:ascii="宋体" w:hAnsi="Courier New" w:eastAsia="宋体" w:cs="Courier New"/>
      <w:szCs w:val="21"/>
    </w:rPr>
  </w:style>
  <w:style w:type="character" w:customStyle="1" w:styleId="19">
    <w:name w:val="批注框文本 字符"/>
    <w:basedOn w:val="14"/>
    <w:link w:val="7"/>
    <w:semiHidden/>
    <w:qFormat/>
    <w:uiPriority w:val="99"/>
    <w:rPr>
      <w:rFonts w:ascii="Times New Roman" w:hAnsi="Times New Roman" w:eastAsia="仿宋_GB2312" w:cs="Times New Roman"/>
      <w:sz w:val="18"/>
      <w:szCs w:val="18"/>
    </w:rPr>
  </w:style>
  <w:style w:type="character" w:customStyle="1" w:styleId="20">
    <w:name w:val="标题 1 字符"/>
    <w:basedOn w:val="14"/>
    <w:link w:val="3"/>
    <w:qFormat/>
    <w:uiPriority w:val="0"/>
    <w:rPr>
      <w:rFonts w:ascii="方正小标宋简体" w:hAnsi="Times New Roman" w:eastAsia="方正小标宋简体" w:cs="Times New Roman"/>
      <w:kern w:val="44"/>
      <w:sz w:val="38"/>
      <w:szCs w:val="24"/>
    </w:rPr>
  </w:style>
  <w:style w:type="character" w:customStyle="1" w:styleId="21">
    <w:name w:val="标题 2 字符"/>
    <w:basedOn w:val="14"/>
    <w:link w:val="4"/>
    <w:qFormat/>
    <w:uiPriority w:val="0"/>
    <w:rPr>
      <w:rFonts w:ascii="Arial" w:hAnsi="Arial" w:eastAsia="黑体" w:cs="Times New Roman"/>
      <w:sz w:val="30"/>
      <w:szCs w:val="24"/>
    </w:rPr>
  </w:style>
  <w:style w:type="character" w:customStyle="1" w:styleId="22">
    <w:name w:val="标题 3 字符"/>
    <w:basedOn w:val="14"/>
    <w:link w:val="5"/>
    <w:qFormat/>
    <w:uiPriority w:val="0"/>
    <w:rPr>
      <w:rFonts w:ascii="Times New Roman" w:hAnsi="Times New Roman" w:eastAsia="楷体_GB2312" w:cs="Times New Roman"/>
      <w:b/>
      <w:sz w:val="30"/>
      <w:szCs w:val="24"/>
    </w:rPr>
  </w:style>
  <w:style w:type="character" w:customStyle="1" w:styleId="23">
    <w:name w:val="日期 字符"/>
    <w:basedOn w:val="14"/>
    <w:link w:val="6"/>
    <w:qFormat/>
    <w:uiPriority w:val="0"/>
    <w:rPr>
      <w:rFonts w:ascii="Times New Roman" w:hAnsi="Times New Roman" w:eastAsia="仿宋_GB2312" w:cs="Times New Roman"/>
      <w:sz w:val="30"/>
      <w:szCs w:val="24"/>
    </w:rPr>
  </w:style>
  <w:style w:type="character" w:customStyle="1" w:styleId="24">
    <w:name w:val="签名 字符"/>
    <w:basedOn w:val="14"/>
    <w:link w:val="10"/>
    <w:qFormat/>
    <w:uiPriority w:val="0"/>
    <w:rPr>
      <w:rFonts w:ascii="Times New Roman" w:hAnsi="Times New Roman" w:eastAsia="仿宋_GB2312" w:cs="Times New Roman"/>
      <w:sz w:val="30"/>
      <w:szCs w:val="24"/>
    </w:rPr>
  </w:style>
  <w:style w:type="character" w:customStyle="1" w:styleId="25">
    <w:name w:val="font111"/>
    <w:basedOn w:val="14"/>
    <w:qFormat/>
    <w:uiPriority w:val="0"/>
    <w:rPr>
      <w:rFonts w:hint="eastAsia" w:ascii="仿宋" w:hAnsi="仿宋" w:eastAsia="仿宋" w:cs="仿宋"/>
      <w:color w:val="000000"/>
      <w:sz w:val="28"/>
      <w:szCs w:val="28"/>
      <w:u w:val="none"/>
    </w:rPr>
  </w:style>
  <w:style w:type="paragraph" w:customStyle="1" w:styleId="26">
    <w:name w:val="主题词"/>
    <w:basedOn w:val="1"/>
    <w:qFormat/>
    <w:uiPriority w:val="0"/>
    <w:pPr>
      <w:spacing w:after="156" w:afterLines="50"/>
    </w:pPr>
    <w:rPr>
      <w:rFonts w:eastAsia="方正小标宋简体"/>
    </w:rPr>
  </w:style>
  <w:style w:type="table" w:customStyle="1" w:styleId="27">
    <w:name w:val="网格型1"/>
    <w:basedOn w:val="1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8">
    <w:name w:val="List Paragraph"/>
    <w:basedOn w:val="1"/>
    <w:qFormat/>
    <w:uiPriority w:val="99"/>
    <w:pPr>
      <w:ind w:firstLine="420" w:firstLineChars="200"/>
    </w:pPr>
  </w:style>
  <w:style w:type="character" w:customStyle="1" w:styleId="29">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1142</Words>
  <Characters>6511</Characters>
  <Lines>54</Lines>
  <Paragraphs>15</Paragraphs>
  <TotalTime>276</TotalTime>
  <ScaleCrop>false</ScaleCrop>
  <LinksUpToDate>false</LinksUpToDate>
  <CharactersWithSpaces>7638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2025-07-16T16:12:00Z</dcterms:created>
  <dc:creator>球</dc:creator>
  <cp:lastModifiedBy>greatwall</cp:lastModifiedBy>
  <cp:lastPrinted>2025-11-24T16:24:00Z</cp:lastPrinted>
  <dcterms:modified xsi:type="dcterms:W3CDTF">2026-09-18T09:04:51Z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95E35D492F314DC183431A7332A52850_12</vt:lpwstr>
  </property>
</Properties>
</file>