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90" w:lineRule="exact"/>
        <w:jc w:val="center"/>
        <w:rPr>
          <w:rFonts w:eastAsia="方正小标宋简体"/>
          <w:color w:val="000000"/>
          <w:sz w:val="44"/>
          <w:szCs w:val="44"/>
        </w:rPr>
      </w:pPr>
      <w:r>
        <w:rPr>
          <w:rFonts w:hint="eastAsia" w:eastAsia="方正小标宋简体"/>
          <w:color w:val="000000"/>
          <w:sz w:val="44"/>
          <w:szCs w:val="44"/>
        </w:rPr>
        <w:t>鹤山市</w:t>
      </w:r>
      <w:r>
        <w:rPr>
          <w:rFonts w:eastAsia="方正小标宋简体"/>
          <w:sz w:val="44"/>
          <w:szCs w:val="44"/>
        </w:rPr>
        <w:t>非复合膜袋</w:t>
      </w:r>
      <w:r>
        <w:rPr>
          <w:rFonts w:hint="eastAsia" w:eastAsia="方正小标宋简体"/>
          <w:color w:val="000000"/>
          <w:sz w:val="44"/>
          <w:szCs w:val="44"/>
        </w:rPr>
        <w:t>产品质量监督抽查</w:t>
      </w:r>
    </w:p>
    <w:p>
      <w:pPr>
        <w:adjustRightInd w:val="0"/>
        <w:snapToGrid w:val="0"/>
        <w:spacing w:line="590" w:lineRule="exact"/>
        <w:jc w:val="center"/>
        <w:rPr>
          <w:rFonts w:eastAsia="方正小标宋简体"/>
          <w:color w:val="000000"/>
          <w:sz w:val="44"/>
          <w:szCs w:val="44"/>
        </w:rPr>
      </w:pPr>
      <w:r>
        <w:rPr>
          <w:rFonts w:hint="eastAsia" w:eastAsia="方正小标宋简体"/>
          <w:color w:val="000000"/>
          <w:sz w:val="44"/>
          <w:szCs w:val="44"/>
        </w:rPr>
        <w:t>实施细则</w:t>
      </w:r>
    </w:p>
    <w:p>
      <w:pPr>
        <w:spacing w:line="560" w:lineRule="exact"/>
        <w:jc w:val="center"/>
        <w:rPr>
          <w:rFonts w:eastAsia="楷体_GB2312"/>
          <w:color w:val="000000"/>
          <w:szCs w:val="32"/>
        </w:rPr>
      </w:pPr>
      <w:r>
        <w:rPr>
          <w:rFonts w:hint="eastAsia" w:eastAsia="楷体_GB2312"/>
          <w:szCs w:val="32"/>
        </w:rPr>
        <w:t>（</w:t>
      </w:r>
      <w:r>
        <w:rPr>
          <w:rFonts w:eastAsia="楷体_GB2312"/>
          <w:color w:val="000000"/>
          <w:szCs w:val="32"/>
        </w:rPr>
        <w:t>202</w:t>
      </w:r>
      <w:r>
        <w:rPr>
          <w:rFonts w:hint="eastAsia" w:eastAsia="楷体_GB2312"/>
          <w:color w:val="000000"/>
          <w:szCs w:val="32"/>
        </w:rPr>
        <w:t>6年版）</w:t>
      </w:r>
    </w:p>
    <w:p>
      <w:pPr>
        <w:spacing w:line="590" w:lineRule="exact"/>
        <w:ind w:firstLine="640" w:firstLineChars="200"/>
        <w:rPr>
          <w:rFonts w:eastAsia="黑体"/>
          <w:szCs w:val="32"/>
        </w:rPr>
      </w:pPr>
      <w:r>
        <w:rPr>
          <w:rFonts w:eastAsia="黑体"/>
          <w:szCs w:val="32"/>
        </w:rPr>
        <w:t>1 抽样方法</w:t>
      </w:r>
    </w:p>
    <w:p>
      <w:pPr>
        <w:snapToGrid w:val="0"/>
        <w:spacing w:line="590" w:lineRule="exact"/>
        <w:ind w:firstLine="640" w:firstLineChars="200"/>
        <w:rPr>
          <w:szCs w:val="32"/>
        </w:rPr>
      </w:pPr>
      <w:r>
        <w:rPr>
          <w:szCs w:val="32"/>
        </w:rPr>
        <w:t>以随机抽样的方式在被抽样生产者的待销产品中抽取。</w:t>
      </w:r>
    </w:p>
    <w:p>
      <w:pPr>
        <w:snapToGrid w:val="0"/>
        <w:spacing w:line="590" w:lineRule="exact"/>
        <w:ind w:firstLine="640" w:firstLineChars="200"/>
        <w:rPr>
          <w:szCs w:val="32"/>
        </w:rPr>
      </w:pPr>
      <w:r>
        <w:rPr>
          <w:szCs w:val="32"/>
        </w:rPr>
        <w:t>随机数一般可使用随机数表等方法产生。</w:t>
      </w:r>
    </w:p>
    <w:p>
      <w:pPr>
        <w:snapToGrid w:val="0"/>
        <w:spacing w:line="590" w:lineRule="exact"/>
        <w:ind w:firstLine="640" w:firstLineChars="200"/>
        <w:rPr>
          <w:szCs w:val="32"/>
        </w:rPr>
      </w:pPr>
      <w:r>
        <w:rPr>
          <w:szCs w:val="32"/>
        </w:rPr>
        <w:t>每批次抽样数量：</w:t>
      </w:r>
    </w:p>
    <w:p>
      <w:pPr>
        <w:snapToGrid w:val="0"/>
        <w:spacing w:line="590" w:lineRule="exact"/>
        <w:ind w:firstLine="640" w:firstLineChars="200"/>
        <w:rPr>
          <w:szCs w:val="32"/>
        </w:rPr>
      </w:pPr>
      <w:r>
        <w:rPr>
          <w:szCs w:val="32"/>
        </w:rPr>
        <w:t>膜类产品：每批次产品抽取3卷，将每卷膜外层除去2m，每卷膜各抽取2.5m</w:t>
      </w:r>
      <w:r>
        <w:rPr>
          <w:szCs w:val="32"/>
          <w:vertAlign w:val="superscript"/>
        </w:rPr>
        <w:t>2</w:t>
      </w:r>
      <w:r>
        <w:rPr>
          <w:szCs w:val="32"/>
        </w:rPr>
        <w:t>，其中2份作为检验样品，1份作为备用样品；袋类产品：每批次产品抽取3包，其中2包作为检验样品，1包作为备用样品。</w:t>
      </w:r>
    </w:p>
    <w:p>
      <w:pPr>
        <w:spacing w:line="590" w:lineRule="exact"/>
        <w:ind w:firstLine="640" w:firstLineChars="200"/>
        <w:rPr>
          <w:rFonts w:hint="eastAsia" w:eastAsia="黑体"/>
          <w:szCs w:val="32"/>
        </w:rPr>
      </w:pPr>
      <w:r>
        <w:rPr>
          <w:rFonts w:eastAsia="黑体"/>
          <w:szCs w:val="32"/>
        </w:rPr>
        <w:t>2 检验依据</w:t>
      </w:r>
    </w:p>
    <w:tbl>
      <w:tblPr>
        <w:tblStyle w:val="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4823"/>
        <w:gridCol w:w="29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blHeader/>
          <w:jc w:val="center"/>
        </w:trPr>
        <w:tc>
          <w:tcPr>
            <w:tcW w:w="417" w:type="pct"/>
          </w:tcPr>
          <w:p>
            <w:pPr>
              <w:spacing w:line="400" w:lineRule="exact"/>
              <w:jc w:val="center"/>
              <w:rPr>
                <w:rFonts w:eastAsia="黑体"/>
                <w:sz w:val="24"/>
              </w:rPr>
            </w:pPr>
            <w:r>
              <w:rPr>
                <w:rFonts w:eastAsia="黑体"/>
                <w:sz w:val="24"/>
              </w:rPr>
              <w:t>序号</w:t>
            </w:r>
          </w:p>
        </w:tc>
        <w:tc>
          <w:tcPr>
            <w:tcW w:w="2831" w:type="pct"/>
          </w:tcPr>
          <w:p>
            <w:pPr>
              <w:spacing w:line="400" w:lineRule="exact"/>
              <w:jc w:val="center"/>
              <w:rPr>
                <w:rFonts w:eastAsia="黑体"/>
                <w:sz w:val="24"/>
              </w:rPr>
            </w:pPr>
            <w:r>
              <w:rPr>
                <w:rFonts w:eastAsia="黑体"/>
                <w:sz w:val="24"/>
              </w:rPr>
              <w:t>检验项目</w:t>
            </w:r>
          </w:p>
        </w:tc>
        <w:tc>
          <w:tcPr>
            <w:tcW w:w="1750" w:type="pct"/>
          </w:tcPr>
          <w:p>
            <w:pPr>
              <w:spacing w:line="400" w:lineRule="exact"/>
              <w:jc w:val="center"/>
              <w:rPr>
                <w:rFonts w:eastAsia="黑体"/>
                <w:sz w:val="24"/>
              </w:rPr>
            </w:pPr>
            <w:r>
              <w:rPr>
                <w:rFonts w:eastAsia="黑体"/>
                <w:sz w:val="24"/>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17" w:type="pct"/>
            <w:vAlign w:val="center"/>
          </w:tcPr>
          <w:p>
            <w:pPr>
              <w:snapToGrid w:val="0"/>
              <w:spacing w:line="400" w:lineRule="exact"/>
              <w:jc w:val="center"/>
              <w:rPr>
                <w:sz w:val="24"/>
              </w:rPr>
            </w:pPr>
            <w:r>
              <w:rPr>
                <w:sz w:val="24"/>
              </w:rPr>
              <w:t>1</w:t>
            </w:r>
          </w:p>
        </w:tc>
        <w:tc>
          <w:tcPr>
            <w:tcW w:w="2831" w:type="pct"/>
            <w:vAlign w:val="center"/>
          </w:tcPr>
          <w:p>
            <w:pPr>
              <w:spacing w:line="400" w:lineRule="exact"/>
              <w:jc w:val="center"/>
              <w:rPr>
                <w:sz w:val="24"/>
              </w:rPr>
            </w:pPr>
            <w:r>
              <w:rPr>
                <w:sz w:val="24"/>
              </w:rPr>
              <w:t>感官要求</w:t>
            </w:r>
          </w:p>
        </w:tc>
        <w:tc>
          <w:tcPr>
            <w:tcW w:w="1750" w:type="pct"/>
            <w:vAlign w:val="center"/>
          </w:tcPr>
          <w:p>
            <w:pPr>
              <w:snapToGrid w:val="0"/>
              <w:spacing w:line="400" w:lineRule="exact"/>
              <w:jc w:val="center"/>
              <w:rPr>
                <w:sz w:val="24"/>
              </w:rPr>
            </w:pPr>
            <w:r>
              <w:rPr>
                <w:sz w:val="24"/>
              </w:rPr>
              <w:t>GB 4806.7</w:t>
            </w:r>
            <w:r>
              <w:rPr>
                <w:rFonts w:hint="eastAsia"/>
                <w:sz w:val="24"/>
                <w:lang w:val="en-US" w:eastAsia="zh-CN"/>
              </w:rPr>
              <w:t>-</w:t>
            </w:r>
            <w:r>
              <w:rPr>
                <w:sz w:val="24"/>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17" w:type="pct"/>
            <w:vAlign w:val="center"/>
          </w:tcPr>
          <w:p>
            <w:pPr>
              <w:snapToGrid w:val="0"/>
              <w:spacing w:line="400" w:lineRule="exact"/>
              <w:jc w:val="center"/>
              <w:rPr>
                <w:sz w:val="24"/>
              </w:rPr>
            </w:pPr>
            <w:r>
              <w:rPr>
                <w:sz w:val="24"/>
              </w:rPr>
              <w:t>2</w:t>
            </w:r>
          </w:p>
        </w:tc>
        <w:tc>
          <w:tcPr>
            <w:tcW w:w="2831" w:type="pct"/>
            <w:vAlign w:val="center"/>
          </w:tcPr>
          <w:p>
            <w:pPr>
              <w:spacing w:line="400" w:lineRule="exact"/>
              <w:jc w:val="center"/>
              <w:rPr>
                <w:sz w:val="24"/>
              </w:rPr>
            </w:pPr>
            <w:r>
              <w:rPr>
                <w:sz w:val="24"/>
              </w:rPr>
              <w:t>总迁移量</w:t>
            </w:r>
          </w:p>
        </w:tc>
        <w:tc>
          <w:tcPr>
            <w:tcW w:w="1750" w:type="pct"/>
            <w:vAlign w:val="center"/>
          </w:tcPr>
          <w:p>
            <w:pPr>
              <w:snapToGrid w:val="0"/>
              <w:spacing w:line="400" w:lineRule="exact"/>
              <w:jc w:val="center"/>
              <w:rPr>
                <w:sz w:val="24"/>
              </w:rPr>
            </w:pPr>
            <w:r>
              <w:rPr>
                <w:sz w:val="24"/>
              </w:rPr>
              <w:t>GB 31604.8</w:t>
            </w:r>
            <w:r>
              <w:rPr>
                <w:rFonts w:hint="eastAsia"/>
                <w:sz w:val="24"/>
                <w:lang w:val="en-US" w:eastAsia="zh-CN"/>
              </w:rPr>
              <w:t>-</w:t>
            </w:r>
            <w:r>
              <w:rPr>
                <w:sz w:val="24"/>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17" w:type="pct"/>
            <w:vAlign w:val="center"/>
          </w:tcPr>
          <w:p>
            <w:pPr>
              <w:snapToGrid w:val="0"/>
              <w:spacing w:line="400" w:lineRule="exact"/>
              <w:jc w:val="center"/>
              <w:rPr>
                <w:sz w:val="24"/>
              </w:rPr>
            </w:pPr>
            <w:r>
              <w:rPr>
                <w:sz w:val="24"/>
              </w:rPr>
              <w:t>3</w:t>
            </w:r>
          </w:p>
        </w:tc>
        <w:tc>
          <w:tcPr>
            <w:tcW w:w="2831" w:type="pct"/>
            <w:vAlign w:val="center"/>
          </w:tcPr>
          <w:p>
            <w:pPr>
              <w:spacing w:line="400" w:lineRule="exact"/>
              <w:jc w:val="center"/>
              <w:rPr>
                <w:sz w:val="24"/>
              </w:rPr>
            </w:pPr>
            <w:r>
              <w:rPr>
                <w:sz w:val="24"/>
              </w:rPr>
              <w:t>高锰酸钾消耗量</w:t>
            </w:r>
          </w:p>
        </w:tc>
        <w:tc>
          <w:tcPr>
            <w:tcW w:w="1750" w:type="pct"/>
            <w:vAlign w:val="center"/>
          </w:tcPr>
          <w:p>
            <w:pPr>
              <w:snapToGrid w:val="0"/>
              <w:spacing w:line="400" w:lineRule="exact"/>
              <w:jc w:val="center"/>
              <w:rPr>
                <w:sz w:val="24"/>
              </w:rPr>
            </w:pPr>
            <w:r>
              <w:rPr>
                <w:sz w:val="24"/>
              </w:rPr>
              <w:t>GB 31604.2</w:t>
            </w:r>
            <w:r>
              <w:rPr>
                <w:rFonts w:hint="eastAsia"/>
                <w:sz w:val="24"/>
                <w:lang w:val="en-US" w:eastAsia="zh-CN"/>
              </w:rPr>
              <w:t>-</w:t>
            </w:r>
            <w:r>
              <w:rPr>
                <w:sz w:val="24"/>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17" w:type="pct"/>
            <w:vAlign w:val="center"/>
          </w:tcPr>
          <w:p>
            <w:pPr>
              <w:snapToGrid w:val="0"/>
              <w:spacing w:line="400" w:lineRule="exact"/>
              <w:jc w:val="center"/>
              <w:rPr>
                <w:sz w:val="24"/>
              </w:rPr>
            </w:pPr>
            <w:r>
              <w:rPr>
                <w:sz w:val="24"/>
              </w:rPr>
              <w:t>4</w:t>
            </w:r>
          </w:p>
        </w:tc>
        <w:tc>
          <w:tcPr>
            <w:tcW w:w="2831" w:type="pct"/>
            <w:vAlign w:val="center"/>
          </w:tcPr>
          <w:p>
            <w:pPr>
              <w:spacing w:line="400" w:lineRule="exact"/>
              <w:jc w:val="center"/>
              <w:rPr>
                <w:sz w:val="24"/>
              </w:rPr>
            </w:pPr>
            <w:r>
              <w:rPr>
                <w:sz w:val="24"/>
              </w:rPr>
              <w:t>重金属（以Pb计）</w:t>
            </w:r>
          </w:p>
        </w:tc>
        <w:tc>
          <w:tcPr>
            <w:tcW w:w="1750" w:type="pct"/>
            <w:vAlign w:val="center"/>
          </w:tcPr>
          <w:p>
            <w:pPr>
              <w:snapToGrid w:val="0"/>
              <w:spacing w:line="400" w:lineRule="exact"/>
              <w:jc w:val="center"/>
              <w:rPr>
                <w:sz w:val="24"/>
              </w:rPr>
            </w:pPr>
            <w:r>
              <w:rPr>
                <w:sz w:val="24"/>
              </w:rPr>
              <w:t>GB 31604.9</w:t>
            </w:r>
            <w:r>
              <w:rPr>
                <w:rFonts w:hint="eastAsia"/>
                <w:sz w:val="24"/>
                <w:lang w:val="en-US" w:eastAsia="zh-CN"/>
              </w:rPr>
              <w:t>-</w:t>
            </w:r>
            <w:r>
              <w:rPr>
                <w:sz w:val="24"/>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17" w:type="pct"/>
            <w:vAlign w:val="center"/>
          </w:tcPr>
          <w:p>
            <w:pPr>
              <w:snapToGrid w:val="0"/>
              <w:spacing w:line="400" w:lineRule="exact"/>
              <w:jc w:val="center"/>
              <w:rPr>
                <w:sz w:val="24"/>
              </w:rPr>
            </w:pPr>
            <w:r>
              <w:rPr>
                <w:sz w:val="24"/>
              </w:rPr>
              <w:t>5</w:t>
            </w:r>
          </w:p>
        </w:tc>
        <w:tc>
          <w:tcPr>
            <w:tcW w:w="2831" w:type="pct"/>
            <w:vAlign w:val="center"/>
          </w:tcPr>
          <w:p>
            <w:pPr>
              <w:spacing w:line="400" w:lineRule="exact"/>
              <w:jc w:val="center"/>
              <w:rPr>
                <w:sz w:val="24"/>
              </w:rPr>
            </w:pPr>
            <w:r>
              <w:rPr>
                <w:sz w:val="24"/>
              </w:rPr>
              <w:t>芳香族伯胺迁移总量</w:t>
            </w:r>
          </w:p>
        </w:tc>
        <w:tc>
          <w:tcPr>
            <w:tcW w:w="1750" w:type="pct"/>
            <w:vAlign w:val="center"/>
          </w:tcPr>
          <w:p>
            <w:pPr>
              <w:snapToGrid w:val="0"/>
              <w:spacing w:line="400" w:lineRule="exact"/>
              <w:jc w:val="center"/>
              <w:rPr>
                <w:sz w:val="24"/>
              </w:rPr>
            </w:pPr>
            <w:r>
              <w:rPr>
                <w:sz w:val="24"/>
              </w:rPr>
              <w:t>GB 31604.52</w:t>
            </w:r>
            <w:r>
              <w:rPr>
                <w:rFonts w:hint="eastAsia"/>
                <w:sz w:val="24"/>
                <w:lang w:val="en-US" w:eastAsia="zh-CN"/>
              </w:rPr>
              <w:t>-</w:t>
            </w:r>
            <w:r>
              <w:rPr>
                <w:sz w:val="24"/>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17" w:type="pct"/>
            <w:vAlign w:val="center"/>
          </w:tcPr>
          <w:p>
            <w:pPr>
              <w:snapToGrid w:val="0"/>
              <w:spacing w:line="400" w:lineRule="exact"/>
              <w:jc w:val="center"/>
              <w:rPr>
                <w:sz w:val="24"/>
              </w:rPr>
            </w:pPr>
            <w:r>
              <w:rPr>
                <w:sz w:val="24"/>
              </w:rPr>
              <w:t>6</w:t>
            </w:r>
          </w:p>
        </w:tc>
        <w:tc>
          <w:tcPr>
            <w:tcW w:w="2831" w:type="pct"/>
            <w:vAlign w:val="center"/>
          </w:tcPr>
          <w:p>
            <w:pPr>
              <w:spacing w:line="400" w:lineRule="exact"/>
              <w:jc w:val="center"/>
              <w:rPr>
                <w:sz w:val="24"/>
              </w:rPr>
            </w:pPr>
            <w:r>
              <w:rPr>
                <w:sz w:val="24"/>
              </w:rPr>
              <w:t>脱色试验</w:t>
            </w:r>
          </w:p>
        </w:tc>
        <w:tc>
          <w:tcPr>
            <w:tcW w:w="1750" w:type="pct"/>
            <w:vAlign w:val="center"/>
          </w:tcPr>
          <w:p>
            <w:pPr>
              <w:snapToGrid w:val="0"/>
              <w:spacing w:line="400" w:lineRule="exact"/>
              <w:jc w:val="center"/>
              <w:rPr>
                <w:sz w:val="24"/>
              </w:rPr>
            </w:pPr>
            <w:r>
              <w:rPr>
                <w:sz w:val="24"/>
              </w:rPr>
              <w:t>GB 31604.7</w:t>
            </w:r>
            <w:r>
              <w:rPr>
                <w:rFonts w:hint="eastAsia"/>
                <w:sz w:val="24"/>
                <w:lang w:val="en-US" w:eastAsia="zh-CN"/>
              </w:rPr>
              <w:t>-</w:t>
            </w:r>
            <w:r>
              <w:rPr>
                <w:sz w:val="24"/>
              </w:rPr>
              <w:t>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17" w:type="pct"/>
            <w:vAlign w:val="center"/>
          </w:tcPr>
          <w:p>
            <w:pPr>
              <w:snapToGrid w:val="0"/>
              <w:spacing w:line="400" w:lineRule="exact"/>
              <w:jc w:val="center"/>
              <w:rPr>
                <w:sz w:val="24"/>
              </w:rPr>
            </w:pPr>
            <w:r>
              <w:rPr>
                <w:sz w:val="24"/>
              </w:rPr>
              <w:t>7</w:t>
            </w:r>
          </w:p>
        </w:tc>
        <w:tc>
          <w:tcPr>
            <w:tcW w:w="2831" w:type="pct"/>
            <w:vAlign w:val="center"/>
          </w:tcPr>
          <w:p>
            <w:pPr>
              <w:spacing w:line="400" w:lineRule="exact"/>
              <w:jc w:val="center"/>
              <w:rPr>
                <w:sz w:val="24"/>
              </w:rPr>
            </w:pPr>
            <w:r>
              <w:rPr>
                <w:sz w:val="24"/>
              </w:rPr>
              <w:t>特定迁移总量（以己内酰胺计）（限PA材质）</w:t>
            </w:r>
          </w:p>
        </w:tc>
        <w:tc>
          <w:tcPr>
            <w:tcW w:w="1750" w:type="pct"/>
            <w:vAlign w:val="center"/>
          </w:tcPr>
          <w:p>
            <w:pPr>
              <w:snapToGrid w:val="0"/>
              <w:spacing w:line="400" w:lineRule="exact"/>
              <w:jc w:val="center"/>
              <w:rPr>
                <w:sz w:val="24"/>
              </w:rPr>
            </w:pPr>
            <w:r>
              <w:rPr>
                <w:sz w:val="24"/>
              </w:rPr>
              <w:t>GB 31604.19</w:t>
            </w:r>
            <w:r>
              <w:rPr>
                <w:rFonts w:hint="eastAsia"/>
                <w:sz w:val="24"/>
                <w:lang w:val="en-US" w:eastAsia="zh-CN"/>
              </w:rPr>
              <w:t>-</w:t>
            </w:r>
            <w:r>
              <w:rPr>
                <w:sz w:val="24"/>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17" w:type="pct"/>
            <w:vAlign w:val="center"/>
          </w:tcPr>
          <w:p>
            <w:pPr>
              <w:snapToGrid w:val="0"/>
              <w:spacing w:line="400" w:lineRule="exact"/>
              <w:jc w:val="center"/>
              <w:rPr>
                <w:sz w:val="24"/>
              </w:rPr>
            </w:pPr>
            <w:r>
              <w:rPr>
                <w:sz w:val="24"/>
              </w:rPr>
              <w:t>8</w:t>
            </w:r>
          </w:p>
        </w:tc>
        <w:tc>
          <w:tcPr>
            <w:tcW w:w="2831" w:type="pct"/>
            <w:vAlign w:val="center"/>
          </w:tcPr>
          <w:p>
            <w:pPr>
              <w:spacing w:line="400" w:lineRule="exact"/>
              <w:jc w:val="center"/>
              <w:rPr>
                <w:sz w:val="24"/>
              </w:rPr>
            </w:pPr>
            <w:r>
              <w:rPr>
                <w:sz w:val="24"/>
              </w:rPr>
              <w:t>氯乙烯特定迁移量（限PVC、PVDC材质）</w:t>
            </w:r>
          </w:p>
        </w:tc>
        <w:tc>
          <w:tcPr>
            <w:tcW w:w="1750" w:type="pct"/>
            <w:vAlign w:val="center"/>
          </w:tcPr>
          <w:p>
            <w:pPr>
              <w:snapToGrid w:val="0"/>
              <w:spacing w:line="400" w:lineRule="exact"/>
              <w:jc w:val="center"/>
              <w:rPr>
                <w:sz w:val="24"/>
              </w:rPr>
            </w:pPr>
            <w:r>
              <w:rPr>
                <w:sz w:val="24"/>
              </w:rPr>
              <w:t>GB 31604.31</w:t>
            </w:r>
            <w:r>
              <w:rPr>
                <w:rFonts w:hint="eastAsia"/>
                <w:sz w:val="24"/>
                <w:lang w:val="en-US" w:eastAsia="zh-CN"/>
              </w:rPr>
              <w:t>-</w:t>
            </w:r>
            <w:r>
              <w:rPr>
                <w:sz w:val="24"/>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17" w:type="pct"/>
            <w:vAlign w:val="center"/>
          </w:tcPr>
          <w:p>
            <w:pPr>
              <w:snapToGrid w:val="0"/>
              <w:spacing w:line="400" w:lineRule="exact"/>
              <w:jc w:val="center"/>
              <w:rPr>
                <w:sz w:val="24"/>
              </w:rPr>
            </w:pPr>
            <w:r>
              <w:rPr>
                <w:sz w:val="24"/>
              </w:rPr>
              <w:t>9</w:t>
            </w:r>
          </w:p>
        </w:tc>
        <w:tc>
          <w:tcPr>
            <w:tcW w:w="2831" w:type="pct"/>
            <w:vAlign w:val="center"/>
          </w:tcPr>
          <w:p>
            <w:pPr>
              <w:spacing w:line="400" w:lineRule="exact"/>
              <w:jc w:val="center"/>
              <w:rPr>
                <w:sz w:val="24"/>
              </w:rPr>
            </w:pPr>
            <w:r>
              <w:rPr>
                <w:sz w:val="24"/>
              </w:rPr>
              <w:t>邻苯类增塑剂特定迁移量(限PVC材质)</w:t>
            </w:r>
          </w:p>
        </w:tc>
        <w:tc>
          <w:tcPr>
            <w:tcW w:w="1750" w:type="pct"/>
            <w:vAlign w:val="center"/>
          </w:tcPr>
          <w:p>
            <w:pPr>
              <w:snapToGrid w:val="0"/>
              <w:spacing w:line="400" w:lineRule="exact"/>
              <w:jc w:val="center"/>
              <w:rPr>
                <w:sz w:val="24"/>
              </w:rPr>
            </w:pPr>
            <w:r>
              <w:rPr>
                <w:sz w:val="24"/>
              </w:rPr>
              <w:t>GB 31604.30</w:t>
            </w:r>
            <w:r>
              <w:rPr>
                <w:rFonts w:hint="eastAsia"/>
                <w:sz w:val="24"/>
                <w:lang w:val="en-US" w:eastAsia="zh-CN"/>
              </w:rPr>
              <w:t>-</w:t>
            </w:r>
            <w:r>
              <w:rPr>
                <w:sz w:val="24"/>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17" w:type="pct"/>
            <w:vAlign w:val="center"/>
          </w:tcPr>
          <w:p>
            <w:pPr>
              <w:snapToGrid w:val="0"/>
              <w:spacing w:line="400" w:lineRule="exact"/>
              <w:jc w:val="center"/>
              <w:rPr>
                <w:sz w:val="24"/>
              </w:rPr>
            </w:pPr>
            <w:r>
              <w:rPr>
                <w:sz w:val="24"/>
              </w:rPr>
              <w:t>10</w:t>
            </w:r>
          </w:p>
        </w:tc>
        <w:tc>
          <w:tcPr>
            <w:tcW w:w="2831" w:type="pct"/>
            <w:vAlign w:val="center"/>
          </w:tcPr>
          <w:p>
            <w:pPr>
              <w:spacing w:line="400" w:lineRule="exact"/>
              <w:jc w:val="center"/>
              <w:rPr>
                <w:sz w:val="24"/>
              </w:rPr>
            </w:pPr>
            <w:r>
              <w:rPr>
                <w:sz w:val="24"/>
              </w:rPr>
              <w:t>1,1-二氯乙烷特定迁移量（限 PVC 材质）</w:t>
            </w:r>
          </w:p>
        </w:tc>
        <w:tc>
          <w:tcPr>
            <w:tcW w:w="1750" w:type="pct"/>
            <w:vAlign w:val="center"/>
          </w:tcPr>
          <w:p>
            <w:pPr>
              <w:snapToGrid w:val="0"/>
              <w:spacing w:line="400" w:lineRule="exact"/>
              <w:jc w:val="center"/>
              <w:rPr>
                <w:sz w:val="24"/>
              </w:rPr>
            </w:pPr>
            <w:r>
              <w:rPr>
                <w:sz w:val="24"/>
              </w:rPr>
              <w:t>GB 31604.31</w:t>
            </w:r>
            <w:r>
              <w:rPr>
                <w:rFonts w:hint="eastAsia"/>
                <w:sz w:val="24"/>
                <w:lang w:val="en-US" w:eastAsia="zh-CN"/>
              </w:rPr>
              <w:t>-</w:t>
            </w:r>
            <w:r>
              <w:rPr>
                <w:sz w:val="24"/>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17" w:type="pct"/>
            <w:vAlign w:val="center"/>
          </w:tcPr>
          <w:p>
            <w:pPr>
              <w:snapToGrid w:val="0"/>
              <w:spacing w:line="400" w:lineRule="exact"/>
              <w:jc w:val="center"/>
              <w:rPr>
                <w:sz w:val="24"/>
              </w:rPr>
            </w:pPr>
            <w:r>
              <w:rPr>
                <w:sz w:val="24"/>
              </w:rPr>
              <w:t>11</w:t>
            </w:r>
          </w:p>
        </w:tc>
        <w:tc>
          <w:tcPr>
            <w:tcW w:w="2831" w:type="pct"/>
            <w:vAlign w:val="center"/>
          </w:tcPr>
          <w:p>
            <w:pPr>
              <w:spacing w:line="400" w:lineRule="exact"/>
              <w:jc w:val="center"/>
              <w:rPr>
                <w:sz w:val="24"/>
              </w:rPr>
            </w:pPr>
            <w:r>
              <w:rPr>
                <w:sz w:val="24"/>
              </w:rPr>
              <w:t>1,1-二氯乙烯特定迁移量（限 PVDC材质）</w:t>
            </w:r>
          </w:p>
        </w:tc>
        <w:tc>
          <w:tcPr>
            <w:tcW w:w="1750" w:type="pct"/>
            <w:vAlign w:val="center"/>
          </w:tcPr>
          <w:p>
            <w:pPr>
              <w:snapToGrid w:val="0"/>
              <w:spacing w:line="400" w:lineRule="exact"/>
              <w:jc w:val="center"/>
              <w:rPr>
                <w:sz w:val="24"/>
              </w:rPr>
            </w:pPr>
            <w:r>
              <w:rPr>
                <w:sz w:val="24"/>
              </w:rPr>
              <w:t>GB 31604.31</w:t>
            </w:r>
            <w:r>
              <w:rPr>
                <w:rFonts w:hint="eastAsia"/>
                <w:sz w:val="24"/>
                <w:lang w:val="en-US" w:eastAsia="zh-CN"/>
              </w:rPr>
              <w:t>-</w:t>
            </w:r>
            <w:r>
              <w:rPr>
                <w:sz w:val="24"/>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17" w:type="pct"/>
            <w:vAlign w:val="center"/>
          </w:tcPr>
          <w:p>
            <w:pPr>
              <w:snapToGrid w:val="0"/>
              <w:spacing w:line="400" w:lineRule="exact"/>
              <w:jc w:val="center"/>
              <w:rPr>
                <w:sz w:val="24"/>
              </w:rPr>
            </w:pPr>
            <w:r>
              <w:rPr>
                <w:sz w:val="24"/>
              </w:rPr>
              <w:t>12</w:t>
            </w:r>
          </w:p>
        </w:tc>
        <w:tc>
          <w:tcPr>
            <w:tcW w:w="2831" w:type="pct"/>
            <w:vAlign w:val="center"/>
          </w:tcPr>
          <w:p>
            <w:pPr>
              <w:spacing w:line="400" w:lineRule="exact"/>
              <w:jc w:val="center"/>
              <w:rPr>
                <w:sz w:val="24"/>
              </w:rPr>
            </w:pPr>
            <w:r>
              <w:rPr>
                <w:sz w:val="24"/>
              </w:rPr>
              <w:t>特定迁移总量（以对苯二甲酸计）（限PET、PBT材质）</w:t>
            </w:r>
          </w:p>
        </w:tc>
        <w:tc>
          <w:tcPr>
            <w:tcW w:w="1750" w:type="pct"/>
            <w:vAlign w:val="center"/>
          </w:tcPr>
          <w:p>
            <w:pPr>
              <w:snapToGrid w:val="0"/>
              <w:spacing w:line="400" w:lineRule="exact"/>
              <w:jc w:val="center"/>
              <w:rPr>
                <w:sz w:val="24"/>
              </w:rPr>
            </w:pPr>
            <w:r>
              <w:rPr>
                <w:sz w:val="24"/>
              </w:rPr>
              <w:t>GB 31604.21</w:t>
            </w:r>
            <w:r>
              <w:rPr>
                <w:rFonts w:hint="eastAsia"/>
                <w:sz w:val="24"/>
                <w:lang w:val="en-US" w:eastAsia="zh-CN"/>
              </w:rPr>
              <w:t>-</w:t>
            </w:r>
            <w:r>
              <w:rPr>
                <w:sz w:val="24"/>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17" w:type="pct"/>
            <w:vAlign w:val="center"/>
          </w:tcPr>
          <w:p>
            <w:pPr>
              <w:snapToGrid w:val="0"/>
              <w:spacing w:line="400" w:lineRule="exact"/>
              <w:jc w:val="center"/>
              <w:rPr>
                <w:sz w:val="24"/>
              </w:rPr>
            </w:pPr>
            <w:r>
              <w:rPr>
                <w:sz w:val="24"/>
              </w:rPr>
              <w:t>13</w:t>
            </w:r>
          </w:p>
        </w:tc>
        <w:tc>
          <w:tcPr>
            <w:tcW w:w="2831" w:type="pct"/>
            <w:vAlign w:val="center"/>
          </w:tcPr>
          <w:p>
            <w:pPr>
              <w:spacing w:line="400" w:lineRule="exact"/>
              <w:jc w:val="center"/>
              <w:rPr>
                <w:sz w:val="24"/>
              </w:rPr>
            </w:pPr>
            <w:r>
              <w:rPr>
                <w:sz w:val="24"/>
              </w:rPr>
              <w:t>特定迁移总量（以间苯二甲酸计）（限PET 材质）</w:t>
            </w:r>
          </w:p>
        </w:tc>
        <w:tc>
          <w:tcPr>
            <w:tcW w:w="1750" w:type="pct"/>
            <w:vAlign w:val="center"/>
          </w:tcPr>
          <w:p>
            <w:pPr>
              <w:snapToGrid w:val="0"/>
              <w:spacing w:line="400" w:lineRule="exact"/>
              <w:jc w:val="center"/>
              <w:rPr>
                <w:sz w:val="24"/>
              </w:rPr>
            </w:pPr>
            <w:r>
              <w:rPr>
                <w:sz w:val="24"/>
              </w:rPr>
              <w:t>GB 31604.21</w:t>
            </w:r>
            <w:r>
              <w:rPr>
                <w:rFonts w:hint="eastAsia"/>
                <w:sz w:val="24"/>
                <w:lang w:val="en-US" w:eastAsia="zh-CN"/>
              </w:rPr>
              <w:t>-</w:t>
            </w:r>
            <w:r>
              <w:rPr>
                <w:sz w:val="24"/>
              </w:rPr>
              <w:t>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17" w:type="pct"/>
            <w:vAlign w:val="center"/>
          </w:tcPr>
          <w:p>
            <w:pPr>
              <w:snapToGrid w:val="0"/>
              <w:spacing w:line="400" w:lineRule="exact"/>
              <w:jc w:val="center"/>
              <w:rPr>
                <w:sz w:val="24"/>
              </w:rPr>
            </w:pPr>
            <w:r>
              <w:rPr>
                <w:sz w:val="24"/>
              </w:rPr>
              <w:t>14</w:t>
            </w:r>
          </w:p>
        </w:tc>
        <w:tc>
          <w:tcPr>
            <w:tcW w:w="2831" w:type="pct"/>
            <w:vAlign w:val="center"/>
          </w:tcPr>
          <w:p>
            <w:pPr>
              <w:spacing w:line="400" w:lineRule="exact"/>
              <w:jc w:val="center"/>
              <w:rPr>
                <w:sz w:val="24"/>
              </w:rPr>
            </w:pPr>
            <w:r>
              <w:rPr>
                <w:sz w:val="24"/>
              </w:rPr>
              <w:t>特定迁移总量（以1,2-乙二醇计）（限PET材质）</w:t>
            </w:r>
          </w:p>
        </w:tc>
        <w:tc>
          <w:tcPr>
            <w:tcW w:w="1750" w:type="pct"/>
            <w:vAlign w:val="center"/>
          </w:tcPr>
          <w:p>
            <w:pPr>
              <w:snapToGrid w:val="0"/>
              <w:spacing w:line="400" w:lineRule="exact"/>
              <w:jc w:val="center"/>
              <w:rPr>
                <w:sz w:val="24"/>
              </w:rPr>
            </w:pPr>
            <w:r>
              <w:rPr>
                <w:sz w:val="24"/>
              </w:rPr>
              <w:t>GB 31604.44</w:t>
            </w:r>
            <w:r>
              <w:rPr>
                <w:rFonts w:hint="eastAsia"/>
                <w:sz w:val="24"/>
                <w:lang w:val="en-US" w:eastAsia="zh-CN"/>
              </w:rPr>
              <w:t>-</w:t>
            </w:r>
            <w:r>
              <w:rPr>
                <w:sz w:val="24"/>
              </w:rPr>
              <w:t>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17" w:type="pct"/>
            <w:vAlign w:val="center"/>
          </w:tcPr>
          <w:p>
            <w:pPr>
              <w:snapToGrid w:val="0"/>
              <w:spacing w:line="400" w:lineRule="exact"/>
              <w:jc w:val="center"/>
              <w:rPr>
                <w:sz w:val="24"/>
              </w:rPr>
            </w:pPr>
            <w:r>
              <w:rPr>
                <w:sz w:val="24"/>
              </w:rPr>
              <w:t>15</w:t>
            </w:r>
          </w:p>
        </w:tc>
        <w:tc>
          <w:tcPr>
            <w:tcW w:w="2831" w:type="pct"/>
            <w:vAlign w:val="center"/>
          </w:tcPr>
          <w:p>
            <w:pPr>
              <w:spacing w:line="400" w:lineRule="exact"/>
              <w:jc w:val="center"/>
              <w:rPr>
                <w:sz w:val="24"/>
              </w:rPr>
            </w:pPr>
            <w:r>
              <w:rPr>
                <w:sz w:val="24"/>
              </w:rPr>
              <w:t>特定迁移总量（以1,4-丁二醇计）（限PBT材质）</w:t>
            </w:r>
          </w:p>
        </w:tc>
        <w:tc>
          <w:tcPr>
            <w:tcW w:w="1750" w:type="pct"/>
            <w:vAlign w:val="center"/>
          </w:tcPr>
          <w:p>
            <w:pPr>
              <w:snapToGrid w:val="0"/>
              <w:spacing w:line="400" w:lineRule="exact"/>
              <w:jc w:val="center"/>
              <w:rPr>
                <w:sz w:val="24"/>
              </w:rPr>
            </w:pPr>
            <w:r>
              <w:rPr>
                <w:sz w:val="24"/>
              </w:rPr>
              <w:t>GB 31604.51</w:t>
            </w:r>
            <w:r>
              <w:rPr>
                <w:rFonts w:hint="eastAsia"/>
                <w:sz w:val="24"/>
                <w:lang w:val="en-US" w:eastAsia="zh-CN"/>
              </w:rPr>
              <w:t>-</w:t>
            </w:r>
            <w:r>
              <w:rPr>
                <w:sz w:val="24"/>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17" w:type="pct"/>
            <w:vAlign w:val="center"/>
          </w:tcPr>
          <w:p>
            <w:pPr>
              <w:snapToGrid w:val="0"/>
              <w:spacing w:line="400" w:lineRule="exact"/>
              <w:jc w:val="center"/>
              <w:rPr>
                <w:sz w:val="24"/>
              </w:rPr>
            </w:pPr>
            <w:r>
              <w:rPr>
                <w:sz w:val="24"/>
              </w:rPr>
              <w:t>16</w:t>
            </w:r>
          </w:p>
        </w:tc>
        <w:tc>
          <w:tcPr>
            <w:tcW w:w="2831" w:type="pct"/>
            <w:vAlign w:val="center"/>
          </w:tcPr>
          <w:p>
            <w:pPr>
              <w:spacing w:line="400" w:lineRule="exact"/>
              <w:jc w:val="center"/>
              <w:rPr>
                <w:sz w:val="24"/>
              </w:rPr>
            </w:pPr>
            <w:r>
              <w:rPr>
                <w:sz w:val="24"/>
              </w:rPr>
              <w:t>阻隔性能（氧气）</w:t>
            </w:r>
          </w:p>
        </w:tc>
        <w:tc>
          <w:tcPr>
            <w:tcW w:w="1750" w:type="pct"/>
            <w:vAlign w:val="center"/>
          </w:tcPr>
          <w:p>
            <w:pPr>
              <w:adjustRightInd w:val="0"/>
              <w:snapToGrid w:val="0"/>
              <w:spacing w:line="400" w:lineRule="exact"/>
              <w:jc w:val="center"/>
              <w:rPr>
                <w:sz w:val="24"/>
              </w:rPr>
            </w:pPr>
            <w:r>
              <w:rPr>
                <w:sz w:val="24"/>
              </w:rPr>
              <w:t>GB/T 1038</w:t>
            </w:r>
            <w:r>
              <w:rPr>
                <w:rFonts w:hint="eastAsia"/>
                <w:sz w:val="24"/>
                <w:lang w:val="en-US" w:eastAsia="zh-CN"/>
              </w:rPr>
              <w:t>-</w:t>
            </w:r>
            <w:r>
              <w:rPr>
                <w:sz w:val="24"/>
              </w:rPr>
              <w:t>2000</w:t>
            </w:r>
          </w:p>
          <w:p>
            <w:pPr>
              <w:adjustRightInd w:val="0"/>
              <w:snapToGrid w:val="0"/>
              <w:spacing w:line="400" w:lineRule="exact"/>
              <w:jc w:val="center"/>
              <w:rPr>
                <w:sz w:val="24"/>
              </w:rPr>
            </w:pPr>
            <w:r>
              <w:rPr>
                <w:sz w:val="24"/>
              </w:rPr>
              <w:t>GB/T 1038.1</w:t>
            </w:r>
            <w:r>
              <w:rPr>
                <w:rFonts w:hint="eastAsia"/>
                <w:sz w:val="24"/>
                <w:lang w:val="en-US" w:eastAsia="zh-CN"/>
              </w:rPr>
              <w:t>-</w:t>
            </w:r>
            <w:r>
              <w:rPr>
                <w:sz w:val="24"/>
              </w:rPr>
              <w:t>2022</w:t>
            </w:r>
          </w:p>
          <w:p>
            <w:pPr>
              <w:adjustRightInd w:val="0"/>
              <w:snapToGrid w:val="0"/>
              <w:spacing w:line="400" w:lineRule="exact"/>
              <w:jc w:val="center"/>
              <w:rPr>
                <w:sz w:val="24"/>
              </w:rPr>
            </w:pPr>
            <w:r>
              <w:rPr>
                <w:sz w:val="24"/>
              </w:rPr>
              <w:t>GB/T 19789</w:t>
            </w:r>
            <w:r>
              <w:rPr>
                <w:rFonts w:hint="eastAsia"/>
                <w:sz w:val="24"/>
                <w:lang w:val="en-US" w:eastAsia="zh-CN"/>
              </w:rPr>
              <w:t>-</w:t>
            </w:r>
            <w:r>
              <w:rPr>
                <w:sz w:val="24"/>
              </w:rPr>
              <w:t>2005</w:t>
            </w:r>
          </w:p>
          <w:p>
            <w:pPr>
              <w:snapToGrid w:val="0"/>
              <w:spacing w:line="400" w:lineRule="exact"/>
              <w:jc w:val="center"/>
              <w:rPr>
                <w:sz w:val="24"/>
              </w:rPr>
            </w:pPr>
            <w:r>
              <w:rPr>
                <w:sz w:val="24"/>
              </w:rPr>
              <w:t>GB/T 19789</w:t>
            </w:r>
            <w:r>
              <w:rPr>
                <w:rFonts w:hint="eastAsia"/>
                <w:sz w:val="24"/>
                <w:lang w:val="en-US" w:eastAsia="zh-CN"/>
              </w:rPr>
              <w:t>-</w:t>
            </w:r>
            <w:r>
              <w:rPr>
                <w:sz w:val="24"/>
              </w:rPr>
              <w:t>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17" w:type="pct"/>
            <w:vAlign w:val="center"/>
          </w:tcPr>
          <w:p>
            <w:pPr>
              <w:snapToGrid w:val="0"/>
              <w:spacing w:line="400" w:lineRule="exact"/>
              <w:jc w:val="center"/>
              <w:rPr>
                <w:sz w:val="24"/>
              </w:rPr>
            </w:pPr>
            <w:r>
              <w:rPr>
                <w:sz w:val="24"/>
              </w:rPr>
              <w:t>17</w:t>
            </w:r>
          </w:p>
        </w:tc>
        <w:tc>
          <w:tcPr>
            <w:tcW w:w="2831" w:type="pct"/>
            <w:vAlign w:val="center"/>
          </w:tcPr>
          <w:p>
            <w:pPr>
              <w:spacing w:line="400" w:lineRule="exact"/>
              <w:jc w:val="center"/>
              <w:rPr>
                <w:sz w:val="24"/>
              </w:rPr>
            </w:pPr>
            <w:r>
              <w:rPr>
                <w:sz w:val="24"/>
              </w:rPr>
              <w:t>阻隔性能（水蒸气）</w:t>
            </w:r>
          </w:p>
        </w:tc>
        <w:tc>
          <w:tcPr>
            <w:tcW w:w="1750" w:type="pct"/>
            <w:vAlign w:val="center"/>
          </w:tcPr>
          <w:p>
            <w:pPr>
              <w:adjustRightInd w:val="0"/>
              <w:snapToGrid w:val="0"/>
              <w:spacing w:line="400" w:lineRule="exact"/>
              <w:jc w:val="center"/>
              <w:rPr>
                <w:sz w:val="24"/>
              </w:rPr>
            </w:pPr>
            <w:r>
              <w:rPr>
                <w:sz w:val="24"/>
              </w:rPr>
              <w:t>GB/T 1037</w:t>
            </w:r>
            <w:r>
              <w:rPr>
                <w:rFonts w:hint="eastAsia"/>
                <w:sz w:val="24"/>
                <w:lang w:val="en-US" w:eastAsia="zh-CN"/>
              </w:rPr>
              <w:t>-</w:t>
            </w:r>
            <w:r>
              <w:rPr>
                <w:sz w:val="24"/>
              </w:rPr>
              <w:t>1988</w:t>
            </w:r>
          </w:p>
          <w:p>
            <w:pPr>
              <w:adjustRightInd w:val="0"/>
              <w:snapToGrid w:val="0"/>
              <w:spacing w:line="400" w:lineRule="exact"/>
              <w:jc w:val="center"/>
              <w:rPr>
                <w:sz w:val="24"/>
              </w:rPr>
            </w:pPr>
            <w:r>
              <w:rPr>
                <w:sz w:val="24"/>
              </w:rPr>
              <w:t>GB/T 1037</w:t>
            </w:r>
            <w:r>
              <w:rPr>
                <w:rFonts w:hint="eastAsia"/>
                <w:sz w:val="24"/>
                <w:lang w:val="en-US" w:eastAsia="zh-CN"/>
              </w:rPr>
              <w:t>-</w:t>
            </w:r>
            <w:r>
              <w:rPr>
                <w:sz w:val="24"/>
              </w:rPr>
              <w:t>2021</w:t>
            </w:r>
          </w:p>
          <w:p>
            <w:pPr>
              <w:snapToGrid w:val="0"/>
              <w:spacing w:line="400" w:lineRule="exact"/>
              <w:jc w:val="center"/>
              <w:rPr>
                <w:sz w:val="24"/>
              </w:rPr>
            </w:pPr>
            <w:r>
              <w:rPr>
                <w:sz w:val="24"/>
              </w:rPr>
              <w:t>GB/T 26253</w:t>
            </w:r>
            <w:r>
              <w:rPr>
                <w:rFonts w:hint="eastAsia"/>
                <w:sz w:val="24"/>
                <w:lang w:val="en-US" w:eastAsia="zh-CN"/>
              </w:rPr>
              <w:t>-</w:t>
            </w:r>
            <w:r>
              <w:rPr>
                <w:sz w:val="24"/>
              </w:rPr>
              <w:t>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417" w:type="pct"/>
            <w:vAlign w:val="center"/>
          </w:tcPr>
          <w:p>
            <w:pPr>
              <w:snapToGrid w:val="0"/>
              <w:spacing w:line="400" w:lineRule="exact"/>
              <w:jc w:val="center"/>
              <w:rPr>
                <w:sz w:val="24"/>
              </w:rPr>
            </w:pPr>
            <w:r>
              <w:rPr>
                <w:sz w:val="24"/>
              </w:rPr>
              <w:t>18</w:t>
            </w:r>
          </w:p>
        </w:tc>
        <w:tc>
          <w:tcPr>
            <w:tcW w:w="2831" w:type="pct"/>
            <w:vAlign w:val="center"/>
          </w:tcPr>
          <w:p>
            <w:pPr>
              <w:spacing w:line="400" w:lineRule="exact"/>
              <w:jc w:val="center"/>
              <w:rPr>
                <w:sz w:val="24"/>
              </w:rPr>
            </w:pPr>
            <w:r>
              <w:rPr>
                <w:sz w:val="24"/>
              </w:rPr>
              <w:t>热封强度（限袋类产品）</w:t>
            </w:r>
          </w:p>
        </w:tc>
        <w:tc>
          <w:tcPr>
            <w:tcW w:w="1750" w:type="pct"/>
            <w:vAlign w:val="center"/>
          </w:tcPr>
          <w:p>
            <w:pPr>
              <w:snapToGrid w:val="0"/>
              <w:spacing w:line="400" w:lineRule="exact"/>
              <w:jc w:val="center"/>
              <w:rPr>
                <w:sz w:val="24"/>
              </w:rPr>
            </w:pPr>
            <w:r>
              <w:rPr>
                <w:sz w:val="24"/>
              </w:rPr>
              <w:t>QB/T 2358</w:t>
            </w:r>
            <w:r>
              <w:rPr>
                <w:rFonts w:hint="eastAsia"/>
                <w:sz w:val="24"/>
                <w:lang w:val="en-US" w:eastAsia="zh-CN"/>
              </w:rPr>
              <w:t>-</w:t>
            </w:r>
            <w:r>
              <w:rPr>
                <w:sz w:val="24"/>
              </w:rPr>
              <w:t>1998</w:t>
            </w:r>
          </w:p>
        </w:tc>
      </w:tr>
    </w:tbl>
    <w:p>
      <w:pPr>
        <w:adjustRightInd w:val="0"/>
        <w:snapToGrid w:val="0"/>
        <w:spacing w:line="590" w:lineRule="exact"/>
        <w:ind w:firstLine="640" w:firstLineChars="200"/>
        <w:rPr>
          <w:szCs w:val="32"/>
        </w:rPr>
      </w:pPr>
      <w:r>
        <w:rPr>
          <w:szCs w:val="32"/>
        </w:rPr>
        <w:t>执行企业标准、团体标准、地方标准的产品，检验项目参照上述内容执行。</w:t>
      </w:r>
    </w:p>
    <w:p>
      <w:pPr>
        <w:snapToGrid w:val="0"/>
        <w:spacing w:line="590" w:lineRule="exact"/>
        <w:ind w:firstLine="640" w:firstLineChars="200"/>
        <w:rPr>
          <w:szCs w:val="32"/>
        </w:rPr>
      </w:pPr>
      <w:r>
        <w:rPr>
          <w:szCs w:val="32"/>
        </w:rPr>
        <w:t>凡是注日期的文件，其随后所有的修改单（不包括勘误的内容）或修订版不适用于本细则。凡是不注日期的文件，其最新版本适用于本细则。</w:t>
      </w:r>
    </w:p>
    <w:p>
      <w:pPr>
        <w:spacing w:line="590" w:lineRule="exact"/>
        <w:ind w:firstLine="640" w:firstLineChars="200"/>
        <w:rPr>
          <w:rFonts w:eastAsia="黑体"/>
          <w:szCs w:val="32"/>
        </w:rPr>
      </w:pPr>
      <w:r>
        <w:rPr>
          <w:rFonts w:eastAsia="黑体"/>
          <w:szCs w:val="32"/>
        </w:rPr>
        <w:t>3 判定规则</w:t>
      </w:r>
    </w:p>
    <w:p>
      <w:pPr>
        <w:snapToGrid w:val="0"/>
        <w:spacing w:line="590" w:lineRule="exact"/>
        <w:ind w:firstLine="640" w:firstLineChars="200"/>
        <w:rPr>
          <w:szCs w:val="32"/>
        </w:rPr>
      </w:pPr>
      <w:r>
        <w:rPr>
          <w:szCs w:val="32"/>
        </w:rPr>
        <w:t>3.1依据标准</w:t>
      </w:r>
    </w:p>
    <w:p>
      <w:pPr>
        <w:adjustRightInd w:val="0"/>
        <w:snapToGrid w:val="0"/>
        <w:spacing w:line="590" w:lineRule="exact"/>
        <w:ind w:firstLine="640" w:firstLineChars="200"/>
        <w:rPr>
          <w:szCs w:val="32"/>
        </w:rPr>
      </w:pPr>
      <w:r>
        <w:fldChar w:fldCharType="begin"/>
      </w:r>
      <w:r>
        <w:instrText xml:space="preserve"> HYPERLINK "http://www.so.com/link?m=an4B6Naw3DFf8tGXnOxjlDU3MC61AH%2BEa5AjhJR73MqFG1SuyngkrB39r%2Fo18zEkZn4jLeZy0wpfXHs9hoiTPIAOKnCn6CRFhNFLYnwnJt%2B3KzmF1ujK8X8F%2Bk5dyakOv" \t "_blank" </w:instrText>
      </w:r>
      <w:r>
        <w:fldChar w:fldCharType="separate"/>
      </w:r>
      <w:r>
        <w:rPr>
          <w:szCs w:val="32"/>
        </w:rPr>
        <w:t>GB/T 4456</w:t>
      </w:r>
      <w:r>
        <w:rPr>
          <w:rFonts w:hint="eastAsia"/>
          <w:szCs w:val="32"/>
          <w:lang w:val="en-US" w:eastAsia="zh-CN"/>
        </w:rPr>
        <w:t>-</w:t>
      </w:r>
      <w:r>
        <w:rPr>
          <w:szCs w:val="32"/>
        </w:rPr>
        <w:t>2008 包装用聚乙烯吹塑薄膜</w:t>
      </w:r>
      <w:r>
        <w:rPr>
          <w:szCs w:val="32"/>
        </w:rPr>
        <w:fldChar w:fldCharType="end"/>
      </w:r>
    </w:p>
    <w:p>
      <w:pPr>
        <w:adjustRightInd w:val="0"/>
        <w:snapToGrid w:val="0"/>
        <w:spacing w:line="590" w:lineRule="exact"/>
        <w:ind w:firstLine="640" w:firstLineChars="200"/>
        <w:outlineLvl w:val="1"/>
        <w:rPr>
          <w:szCs w:val="32"/>
        </w:rPr>
      </w:pPr>
      <w:r>
        <w:rPr>
          <w:szCs w:val="32"/>
        </w:rPr>
        <w:t>GB 4806.7</w:t>
      </w:r>
      <w:r>
        <w:rPr>
          <w:rFonts w:hint="eastAsia"/>
          <w:szCs w:val="32"/>
          <w:lang w:val="en-US" w:eastAsia="zh-CN"/>
        </w:rPr>
        <w:t>-</w:t>
      </w:r>
      <w:r>
        <w:rPr>
          <w:szCs w:val="32"/>
        </w:rPr>
        <w:t xml:space="preserve">2023 </w:t>
      </w:r>
      <w:r>
        <w:fldChar w:fldCharType="begin"/>
      </w:r>
      <w:r>
        <w:instrText xml:space="preserve"> HYPERLINK "http://www.bzsb.info/searchStandard.do" </w:instrText>
      </w:r>
      <w:r>
        <w:fldChar w:fldCharType="separate"/>
      </w:r>
      <w:r>
        <w:rPr>
          <w:szCs w:val="32"/>
        </w:rPr>
        <w:t>食品安全国家标准 食品接触用塑料材料及制品</w:t>
      </w:r>
      <w:r>
        <w:rPr>
          <w:szCs w:val="32"/>
        </w:rPr>
        <w:fldChar w:fldCharType="end"/>
      </w:r>
    </w:p>
    <w:p>
      <w:pPr>
        <w:adjustRightInd w:val="0"/>
        <w:snapToGrid w:val="0"/>
        <w:spacing w:line="590" w:lineRule="exact"/>
        <w:ind w:firstLine="640" w:firstLineChars="200"/>
        <w:outlineLvl w:val="1"/>
        <w:rPr>
          <w:szCs w:val="32"/>
        </w:rPr>
      </w:pPr>
      <w:r>
        <w:rPr>
          <w:szCs w:val="32"/>
        </w:rPr>
        <w:t>GB 9685</w:t>
      </w:r>
      <w:r>
        <w:rPr>
          <w:rFonts w:hint="eastAsia"/>
          <w:szCs w:val="32"/>
          <w:lang w:val="en-US" w:eastAsia="zh-CN"/>
        </w:rPr>
        <w:t>-</w:t>
      </w:r>
      <w:r>
        <w:rPr>
          <w:szCs w:val="32"/>
        </w:rPr>
        <w:t>2016 食品安全国家标准 食品接触材料及制品用添加剂使用标准</w:t>
      </w:r>
    </w:p>
    <w:p>
      <w:pPr>
        <w:adjustRightInd w:val="0"/>
        <w:snapToGrid w:val="0"/>
        <w:spacing w:line="590" w:lineRule="exact"/>
        <w:ind w:firstLine="640" w:firstLineChars="200"/>
        <w:outlineLvl w:val="1"/>
        <w:rPr>
          <w:szCs w:val="32"/>
        </w:rPr>
      </w:pPr>
      <w:r>
        <w:rPr>
          <w:szCs w:val="32"/>
        </w:rPr>
        <w:t>GB/T 10457</w:t>
      </w:r>
      <w:r>
        <w:rPr>
          <w:rFonts w:hint="eastAsia"/>
          <w:szCs w:val="32"/>
          <w:lang w:val="en-US" w:eastAsia="zh-CN"/>
        </w:rPr>
        <w:t>-</w:t>
      </w:r>
      <w:r>
        <w:rPr>
          <w:szCs w:val="32"/>
        </w:rPr>
        <w:t>2021 食品用塑料自粘保鲜膜质量通则</w:t>
      </w:r>
    </w:p>
    <w:p>
      <w:pPr>
        <w:adjustRightInd w:val="0"/>
        <w:snapToGrid w:val="0"/>
        <w:spacing w:line="590" w:lineRule="exact"/>
        <w:ind w:firstLine="640" w:firstLineChars="200"/>
        <w:rPr>
          <w:szCs w:val="32"/>
        </w:rPr>
      </w:pPr>
      <w:r>
        <w:rPr>
          <w:szCs w:val="32"/>
        </w:rPr>
        <w:t>GB/T 24334</w:t>
      </w:r>
      <w:r>
        <w:rPr>
          <w:rFonts w:hint="eastAsia"/>
          <w:szCs w:val="32"/>
          <w:lang w:val="en-US" w:eastAsia="zh-CN"/>
        </w:rPr>
        <w:t>-</w:t>
      </w:r>
      <w:r>
        <w:rPr>
          <w:szCs w:val="32"/>
        </w:rPr>
        <w:t>2009 聚偏二氯乙烯（PVDC）自粘性食品包装膜</w:t>
      </w:r>
    </w:p>
    <w:p>
      <w:pPr>
        <w:adjustRightInd w:val="0"/>
        <w:snapToGrid w:val="0"/>
        <w:spacing w:line="590" w:lineRule="exact"/>
        <w:ind w:firstLine="640" w:firstLineChars="200"/>
        <w:rPr>
          <w:szCs w:val="32"/>
        </w:rPr>
      </w:pPr>
      <w:r>
        <w:rPr>
          <w:szCs w:val="32"/>
        </w:rPr>
        <w:t>GB/T 10003</w:t>
      </w:r>
      <w:r>
        <w:rPr>
          <w:rFonts w:hint="eastAsia"/>
          <w:szCs w:val="32"/>
          <w:lang w:val="en-US" w:eastAsia="zh-CN"/>
        </w:rPr>
        <w:t>-</w:t>
      </w:r>
      <w:r>
        <w:rPr>
          <w:szCs w:val="32"/>
        </w:rPr>
        <w:t>2008 普通用途双向拉伸聚丙烯（BOPP）薄膜</w:t>
      </w:r>
    </w:p>
    <w:p>
      <w:pPr>
        <w:adjustRightInd w:val="0"/>
        <w:snapToGrid w:val="0"/>
        <w:spacing w:line="590" w:lineRule="exact"/>
        <w:ind w:firstLine="640" w:firstLineChars="200"/>
        <w:rPr>
          <w:szCs w:val="32"/>
        </w:rPr>
      </w:pPr>
      <w:r>
        <w:rPr>
          <w:szCs w:val="32"/>
        </w:rPr>
        <w:t>GB/T 16958</w:t>
      </w:r>
      <w:r>
        <w:rPr>
          <w:rFonts w:hint="eastAsia"/>
          <w:szCs w:val="32"/>
          <w:lang w:val="en-US" w:eastAsia="zh-CN"/>
        </w:rPr>
        <w:t>-</w:t>
      </w:r>
      <w:r>
        <w:rPr>
          <w:szCs w:val="32"/>
        </w:rPr>
        <w:t>2008 包装用双向拉伸聚酯薄膜</w:t>
      </w:r>
    </w:p>
    <w:p>
      <w:pPr>
        <w:adjustRightInd w:val="0"/>
        <w:snapToGrid w:val="0"/>
        <w:spacing w:line="590" w:lineRule="exact"/>
        <w:ind w:firstLine="640" w:firstLineChars="200"/>
        <w:rPr>
          <w:szCs w:val="32"/>
        </w:rPr>
      </w:pPr>
      <w:r>
        <w:rPr>
          <w:szCs w:val="32"/>
        </w:rPr>
        <w:t>GB/T 17030</w:t>
      </w:r>
      <w:r>
        <w:rPr>
          <w:rFonts w:hint="eastAsia"/>
          <w:szCs w:val="32"/>
          <w:lang w:val="en-US" w:eastAsia="zh-CN"/>
        </w:rPr>
        <w:t>-</w:t>
      </w:r>
      <w:r>
        <w:rPr>
          <w:szCs w:val="32"/>
        </w:rPr>
        <w:t>2019 食品包装用聚偏二氯乙烯（PVDC）片状肠衣膜</w:t>
      </w:r>
    </w:p>
    <w:p>
      <w:pPr>
        <w:adjustRightInd w:val="0"/>
        <w:snapToGrid w:val="0"/>
        <w:spacing w:line="590" w:lineRule="exact"/>
        <w:ind w:firstLine="640" w:firstLineChars="200"/>
        <w:rPr>
          <w:szCs w:val="32"/>
        </w:rPr>
      </w:pPr>
      <w:r>
        <w:rPr>
          <w:szCs w:val="32"/>
        </w:rPr>
        <w:t>GB/T 20218</w:t>
      </w:r>
      <w:r>
        <w:rPr>
          <w:rFonts w:hint="eastAsia"/>
          <w:szCs w:val="32"/>
          <w:lang w:val="en-US" w:eastAsia="zh-CN"/>
        </w:rPr>
        <w:t>-</w:t>
      </w:r>
      <w:r>
        <w:rPr>
          <w:szCs w:val="32"/>
        </w:rPr>
        <w:t>2021 双向拉伸聚酰胺（尼龙）薄膜</w:t>
      </w:r>
    </w:p>
    <w:p>
      <w:pPr>
        <w:adjustRightInd w:val="0"/>
        <w:snapToGrid w:val="0"/>
        <w:spacing w:line="590" w:lineRule="exact"/>
        <w:ind w:firstLine="640" w:firstLineChars="200"/>
        <w:rPr>
          <w:szCs w:val="32"/>
        </w:rPr>
      </w:pPr>
      <w:r>
        <w:rPr>
          <w:szCs w:val="32"/>
        </w:rPr>
        <w:t>GB/T 21661</w:t>
      </w:r>
      <w:r>
        <w:rPr>
          <w:rFonts w:hint="eastAsia"/>
          <w:szCs w:val="32"/>
          <w:lang w:val="en-US" w:eastAsia="zh-CN"/>
        </w:rPr>
        <w:t>-</w:t>
      </w:r>
      <w:r>
        <w:rPr>
          <w:szCs w:val="32"/>
        </w:rPr>
        <w:t>2020 塑料购物袋</w:t>
      </w:r>
    </w:p>
    <w:p>
      <w:pPr>
        <w:spacing w:line="560" w:lineRule="exact"/>
        <w:ind w:firstLine="640" w:firstLineChars="200"/>
        <w:rPr>
          <w:szCs w:val="32"/>
        </w:rPr>
      </w:pPr>
      <w:r>
        <w:t>GB/T 21661</w:t>
      </w:r>
      <w:r>
        <w:rPr>
          <w:rFonts w:hint="eastAsia"/>
          <w:lang w:val="en-US" w:eastAsia="zh-CN"/>
        </w:rPr>
        <w:t>-</w:t>
      </w:r>
      <w:r>
        <w:t>2025 塑料购物袋</w:t>
      </w:r>
    </w:p>
    <w:p>
      <w:pPr>
        <w:adjustRightInd w:val="0"/>
        <w:snapToGrid w:val="0"/>
        <w:spacing w:line="590" w:lineRule="exact"/>
        <w:ind w:firstLine="640" w:firstLineChars="200"/>
        <w:rPr>
          <w:szCs w:val="32"/>
        </w:rPr>
      </w:pPr>
      <w:r>
        <w:rPr>
          <w:szCs w:val="32"/>
        </w:rPr>
        <w:t>GB/T 24984</w:t>
      </w:r>
      <w:r>
        <w:rPr>
          <w:rFonts w:hint="eastAsia"/>
          <w:szCs w:val="32"/>
          <w:lang w:val="en-US" w:eastAsia="zh-CN"/>
        </w:rPr>
        <w:t>-</w:t>
      </w:r>
      <w:r>
        <w:rPr>
          <w:szCs w:val="32"/>
        </w:rPr>
        <w:t>2010 日用塑料袋</w:t>
      </w:r>
    </w:p>
    <w:p>
      <w:pPr>
        <w:adjustRightInd w:val="0"/>
        <w:snapToGrid w:val="0"/>
        <w:spacing w:line="590" w:lineRule="exact"/>
        <w:ind w:firstLine="640" w:firstLineChars="200"/>
        <w:rPr>
          <w:szCs w:val="32"/>
        </w:rPr>
      </w:pPr>
      <w:r>
        <w:rPr>
          <w:szCs w:val="32"/>
        </w:rPr>
        <w:t>GB/T 27740</w:t>
      </w:r>
      <w:r>
        <w:rPr>
          <w:rFonts w:hint="eastAsia"/>
          <w:szCs w:val="32"/>
          <w:lang w:val="en-US" w:eastAsia="zh-CN"/>
        </w:rPr>
        <w:t>-</w:t>
      </w:r>
      <w:r>
        <w:rPr>
          <w:szCs w:val="32"/>
        </w:rPr>
        <w:t>2011 流延聚丙烯（CPP）薄膜</w:t>
      </w:r>
    </w:p>
    <w:p>
      <w:pPr>
        <w:adjustRightInd w:val="0"/>
        <w:snapToGrid w:val="0"/>
        <w:spacing w:line="590" w:lineRule="exact"/>
        <w:ind w:firstLine="640" w:firstLineChars="200"/>
        <w:rPr>
          <w:szCs w:val="32"/>
        </w:rPr>
      </w:pPr>
      <w:bookmarkStart w:id="0" w:name="_Hlk128645887"/>
      <w:r>
        <w:rPr>
          <w:szCs w:val="32"/>
        </w:rPr>
        <w:t>GB/T 38082</w:t>
      </w:r>
      <w:r>
        <w:rPr>
          <w:rFonts w:hint="eastAsia"/>
          <w:szCs w:val="32"/>
          <w:lang w:val="en-US" w:eastAsia="zh-CN"/>
        </w:rPr>
        <w:t>-</w:t>
      </w:r>
      <w:r>
        <w:rPr>
          <w:szCs w:val="32"/>
        </w:rPr>
        <w:t>2019 生物降解塑料购物袋</w:t>
      </w:r>
    </w:p>
    <w:bookmarkEnd w:id="0"/>
    <w:p>
      <w:pPr>
        <w:adjustRightInd w:val="0"/>
        <w:snapToGrid w:val="0"/>
        <w:spacing w:line="590" w:lineRule="exact"/>
        <w:ind w:firstLine="640" w:firstLineChars="200"/>
        <w:rPr>
          <w:szCs w:val="32"/>
        </w:rPr>
      </w:pPr>
      <w:r>
        <w:rPr>
          <w:szCs w:val="32"/>
        </w:rPr>
        <w:t>BB/T 0002</w:t>
      </w:r>
      <w:r>
        <w:rPr>
          <w:rFonts w:hint="eastAsia"/>
          <w:szCs w:val="32"/>
          <w:lang w:val="en-US" w:eastAsia="zh-CN"/>
        </w:rPr>
        <w:t>-</w:t>
      </w:r>
      <w:r>
        <w:rPr>
          <w:szCs w:val="32"/>
        </w:rPr>
        <w:t>2008 双向拉伸聚丙烯珠光薄膜</w:t>
      </w:r>
    </w:p>
    <w:p>
      <w:pPr>
        <w:adjustRightInd w:val="0"/>
        <w:snapToGrid w:val="0"/>
        <w:spacing w:line="590" w:lineRule="exact"/>
        <w:ind w:firstLine="640" w:firstLineChars="200"/>
        <w:rPr>
          <w:szCs w:val="32"/>
        </w:rPr>
      </w:pPr>
      <w:r>
        <w:rPr>
          <w:szCs w:val="32"/>
        </w:rPr>
        <w:t>BB/T 0014</w:t>
      </w:r>
      <w:r>
        <w:rPr>
          <w:rFonts w:hint="eastAsia"/>
          <w:szCs w:val="32"/>
          <w:lang w:val="en-US" w:eastAsia="zh-CN"/>
        </w:rPr>
        <w:t>-</w:t>
      </w:r>
      <w:r>
        <w:rPr>
          <w:szCs w:val="32"/>
        </w:rPr>
        <w:t>2011 夹链自封袋</w:t>
      </w:r>
    </w:p>
    <w:p>
      <w:pPr>
        <w:adjustRightInd w:val="0"/>
        <w:snapToGrid w:val="0"/>
        <w:spacing w:line="590" w:lineRule="exact"/>
        <w:ind w:firstLine="640" w:firstLineChars="200"/>
        <w:rPr>
          <w:szCs w:val="32"/>
        </w:rPr>
      </w:pPr>
      <w:r>
        <w:rPr>
          <w:szCs w:val="32"/>
        </w:rPr>
        <w:t>BB/T 0030</w:t>
      </w:r>
      <w:r>
        <w:rPr>
          <w:rFonts w:hint="eastAsia"/>
          <w:szCs w:val="32"/>
          <w:lang w:val="en-US" w:eastAsia="zh-CN"/>
        </w:rPr>
        <w:t>-</w:t>
      </w:r>
      <w:r>
        <w:rPr>
          <w:szCs w:val="32"/>
        </w:rPr>
        <w:t>2019 包装用镀铝薄膜</w:t>
      </w:r>
    </w:p>
    <w:p>
      <w:pPr>
        <w:adjustRightInd w:val="0"/>
        <w:snapToGrid w:val="0"/>
        <w:spacing w:line="590" w:lineRule="exact"/>
        <w:ind w:firstLine="640" w:firstLineChars="200"/>
        <w:rPr>
          <w:szCs w:val="32"/>
        </w:rPr>
      </w:pPr>
      <w:r>
        <w:rPr>
          <w:szCs w:val="32"/>
        </w:rPr>
        <w:t>BB/T 0039</w:t>
      </w:r>
      <w:r>
        <w:rPr>
          <w:rFonts w:hint="eastAsia"/>
          <w:szCs w:val="32"/>
          <w:lang w:val="en-US" w:eastAsia="zh-CN"/>
        </w:rPr>
        <w:t>-</w:t>
      </w:r>
      <w:r>
        <w:rPr>
          <w:szCs w:val="32"/>
        </w:rPr>
        <w:t>2013 商品零售包装袋</w:t>
      </w:r>
    </w:p>
    <w:p>
      <w:pPr>
        <w:adjustRightInd w:val="0"/>
        <w:snapToGrid w:val="0"/>
        <w:spacing w:line="590" w:lineRule="exact"/>
        <w:ind w:firstLine="640" w:firstLineChars="200"/>
        <w:rPr>
          <w:szCs w:val="32"/>
        </w:rPr>
      </w:pPr>
      <w:r>
        <w:rPr>
          <w:szCs w:val="32"/>
        </w:rPr>
        <w:t>QB/T 1956</w:t>
      </w:r>
      <w:r>
        <w:rPr>
          <w:rFonts w:hint="eastAsia"/>
          <w:szCs w:val="32"/>
          <w:lang w:val="en-US" w:eastAsia="zh-CN"/>
        </w:rPr>
        <w:t>-</w:t>
      </w:r>
      <w:r>
        <w:rPr>
          <w:szCs w:val="32"/>
        </w:rPr>
        <w:t>1994 聚丙烯吹塑薄膜</w:t>
      </w:r>
      <w:bookmarkStart w:id="1" w:name="_GoBack"/>
      <w:bookmarkEnd w:id="1"/>
    </w:p>
    <w:p>
      <w:pPr>
        <w:snapToGrid w:val="0"/>
        <w:spacing w:line="590" w:lineRule="exact"/>
        <w:ind w:firstLine="547" w:firstLineChars="171"/>
        <w:rPr>
          <w:szCs w:val="32"/>
        </w:rPr>
      </w:pPr>
      <w:r>
        <w:rPr>
          <w:szCs w:val="32"/>
        </w:rPr>
        <w:t>现行有效的企业标准、团体标准、地方标准及产品明示质量要求</w:t>
      </w:r>
    </w:p>
    <w:p>
      <w:pPr>
        <w:snapToGrid w:val="0"/>
        <w:spacing w:line="590" w:lineRule="exact"/>
        <w:ind w:firstLine="640" w:firstLineChars="200"/>
        <w:rPr>
          <w:szCs w:val="32"/>
        </w:rPr>
      </w:pPr>
      <w:r>
        <w:rPr>
          <w:szCs w:val="32"/>
        </w:rPr>
        <w:t>3.2判定原则</w:t>
      </w:r>
    </w:p>
    <w:p>
      <w:pPr>
        <w:snapToGrid w:val="0"/>
        <w:spacing w:line="590" w:lineRule="exact"/>
        <w:ind w:firstLine="640" w:firstLineChars="200"/>
        <w:rPr>
          <w:szCs w:val="32"/>
        </w:rPr>
      </w:pPr>
      <w:r>
        <w:rPr>
          <w:szCs w:val="32"/>
        </w:rPr>
        <w:t>经检验，检验项目全部合格，判定为被抽查产品所检项目未发现不合格；检验项目中任一项或一项以上不合格，判定为被抽查产品不合格。</w:t>
      </w:r>
    </w:p>
    <w:p>
      <w:pPr>
        <w:snapToGrid w:val="0"/>
        <w:spacing w:line="590" w:lineRule="exact"/>
        <w:ind w:firstLine="636" w:firstLineChars="199"/>
        <w:rPr>
          <w:szCs w:val="32"/>
        </w:rPr>
      </w:pPr>
      <w:r>
        <w:rPr>
          <w:szCs w:val="32"/>
        </w:rPr>
        <w:t>若被检产品明示的质量要求高于本细则中检验项目依据的标准要求时，应按被检产品明示的质量要求判定。</w:t>
      </w:r>
    </w:p>
    <w:p>
      <w:pPr>
        <w:snapToGrid w:val="0"/>
        <w:spacing w:line="590" w:lineRule="exact"/>
        <w:ind w:firstLine="636" w:firstLineChars="199"/>
        <w:rPr>
          <w:szCs w:val="32"/>
        </w:rPr>
      </w:pPr>
      <w:r>
        <w:rPr>
          <w:szCs w:val="32"/>
        </w:rPr>
        <w:t>若被检产品明示的质量要求低于本细则中检验项目依据的强制性标准要求时，应按照强制性标准要求判定。</w:t>
      </w:r>
    </w:p>
    <w:p>
      <w:pPr>
        <w:snapToGrid w:val="0"/>
        <w:spacing w:line="590" w:lineRule="exact"/>
        <w:ind w:firstLine="636" w:firstLineChars="199"/>
        <w:rPr>
          <w:szCs w:val="32"/>
        </w:rPr>
      </w:pPr>
      <w:r>
        <w:rPr>
          <w:szCs w:val="32"/>
        </w:rPr>
        <w:t>若被检产品明示的质量要求低于或包含本细则中检验项目依据的推荐性标准要求时，应以被检产品明示的质量要求判定。</w:t>
      </w:r>
    </w:p>
    <w:p>
      <w:pPr>
        <w:snapToGrid w:val="0"/>
        <w:spacing w:line="590" w:lineRule="exact"/>
        <w:ind w:firstLine="636" w:firstLineChars="199"/>
        <w:rPr>
          <w:szCs w:val="32"/>
        </w:rPr>
      </w:pPr>
      <w:r>
        <w:rPr>
          <w:szCs w:val="32"/>
        </w:rPr>
        <w:t>若被检产品明示的质量要求缺少本细则中检验项目依据的强制性标准要求时，应按照强制性标准要求判定。</w:t>
      </w:r>
    </w:p>
    <w:p>
      <w:pPr>
        <w:snapToGrid w:val="0"/>
        <w:spacing w:line="590" w:lineRule="exact"/>
        <w:ind w:firstLine="636" w:firstLineChars="199"/>
        <w:rPr>
          <w:rFonts w:hint="eastAsia"/>
          <w:szCs w:val="32"/>
        </w:rPr>
      </w:pPr>
      <w:r>
        <w:rPr>
          <w:szCs w:val="32"/>
        </w:rPr>
        <w:t>若被检产品明示的质量要求缺少本细则中检验项目依据的推荐性标准要求时，该项目不参与判定。</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3F1"/>
    <w:rsid w:val="00041830"/>
    <w:rsid w:val="0004231B"/>
    <w:rsid w:val="00057004"/>
    <w:rsid w:val="000F33F1"/>
    <w:rsid w:val="00122885"/>
    <w:rsid w:val="00124CB4"/>
    <w:rsid w:val="001C6A98"/>
    <w:rsid w:val="001E7709"/>
    <w:rsid w:val="001F51AF"/>
    <w:rsid w:val="0029007E"/>
    <w:rsid w:val="00355AF6"/>
    <w:rsid w:val="003D4DBB"/>
    <w:rsid w:val="004158B7"/>
    <w:rsid w:val="004212FB"/>
    <w:rsid w:val="00422A03"/>
    <w:rsid w:val="00444FD2"/>
    <w:rsid w:val="00456C0D"/>
    <w:rsid w:val="00462AA7"/>
    <w:rsid w:val="004A3B75"/>
    <w:rsid w:val="004C77B0"/>
    <w:rsid w:val="00526779"/>
    <w:rsid w:val="00554F40"/>
    <w:rsid w:val="00570D9D"/>
    <w:rsid w:val="00571985"/>
    <w:rsid w:val="00574E72"/>
    <w:rsid w:val="00585974"/>
    <w:rsid w:val="005D2931"/>
    <w:rsid w:val="005F3D46"/>
    <w:rsid w:val="005F7FCA"/>
    <w:rsid w:val="00636C46"/>
    <w:rsid w:val="006459AA"/>
    <w:rsid w:val="006745CF"/>
    <w:rsid w:val="006C1D5B"/>
    <w:rsid w:val="006D3540"/>
    <w:rsid w:val="007170F2"/>
    <w:rsid w:val="00727495"/>
    <w:rsid w:val="00735214"/>
    <w:rsid w:val="00751486"/>
    <w:rsid w:val="00765555"/>
    <w:rsid w:val="00774428"/>
    <w:rsid w:val="00795936"/>
    <w:rsid w:val="007A70E5"/>
    <w:rsid w:val="007E2FB4"/>
    <w:rsid w:val="007F4EC3"/>
    <w:rsid w:val="007F5A4F"/>
    <w:rsid w:val="00802007"/>
    <w:rsid w:val="008C73DE"/>
    <w:rsid w:val="00916F4A"/>
    <w:rsid w:val="00927484"/>
    <w:rsid w:val="00930D81"/>
    <w:rsid w:val="009815F0"/>
    <w:rsid w:val="009921ED"/>
    <w:rsid w:val="00995241"/>
    <w:rsid w:val="009D5D3A"/>
    <w:rsid w:val="009F221D"/>
    <w:rsid w:val="00A03C1B"/>
    <w:rsid w:val="00A2464E"/>
    <w:rsid w:val="00A50F23"/>
    <w:rsid w:val="00A96CBE"/>
    <w:rsid w:val="00AA200B"/>
    <w:rsid w:val="00AF10CC"/>
    <w:rsid w:val="00B35659"/>
    <w:rsid w:val="00B93EB9"/>
    <w:rsid w:val="00BC7CC7"/>
    <w:rsid w:val="00C16941"/>
    <w:rsid w:val="00C250F0"/>
    <w:rsid w:val="00C457EA"/>
    <w:rsid w:val="00C4628E"/>
    <w:rsid w:val="00C717EE"/>
    <w:rsid w:val="00CD7B99"/>
    <w:rsid w:val="00D7204A"/>
    <w:rsid w:val="00D84779"/>
    <w:rsid w:val="00DB4CA4"/>
    <w:rsid w:val="00DE2DDE"/>
    <w:rsid w:val="00E33CA2"/>
    <w:rsid w:val="00E72DCA"/>
    <w:rsid w:val="00EB4D8B"/>
    <w:rsid w:val="00EC20E0"/>
    <w:rsid w:val="00EE201F"/>
    <w:rsid w:val="00F059F2"/>
    <w:rsid w:val="00F5208C"/>
    <w:rsid w:val="00F67370"/>
    <w:rsid w:val="00F77A8B"/>
    <w:rsid w:val="00FA398E"/>
    <w:rsid w:val="00FB4767"/>
    <w:rsid w:val="00FE5D3D"/>
    <w:rsid w:val="3FBC7E42"/>
    <w:rsid w:val="4770FEEE"/>
    <w:rsid w:val="6BAE4759"/>
    <w:rsid w:val="74E8C84E"/>
    <w:rsid w:val="77DF5298"/>
    <w:rsid w:val="7DDFAA37"/>
    <w:rsid w:val="7F762B73"/>
    <w:rsid w:val="9FFFFB00"/>
    <w:rsid w:val="B5F624DF"/>
    <w:rsid w:val="FB36DC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0"/>
    <w:semiHidden/>
    <w:unhideWhenUsed/>
    <w:qFormat/>
    <w:uiPriority w:val="99"/>
    <w:rPr>
      <w:rFonts w:ascii="宋体" w:hAnsi="Courier New" w:eastAsia="宋体" w:cs="Courier New"/>
      <w:sz w:val="21"/>
      <w:szCs w:val="21"/>
    </w:rPr>
  </w:style>
  <w:style w:type="paragraph" w:styleId="3">
    <w:name w:val="Balloon Text"/>
    <w:basedOn w:val="1"/>
    <w:link w:val="11"/>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字符"/>
    <w:basedOn w:val="7"/>
    <w:link w:val="5"/>
    <w:qFormat/>
    <w:uiPriority w:val="99"/>
    <w:rPr>
      <w:sz w:val="18"/>
      <w:szCs w:val="18"/>
    </w:rPr>
  </w:style>
  <w:style w:type="character" w:customStyle="1" w:styleId="9">
    <w:name w:val="页脚 字符"/>
    <w:basedOn w:val="7"/>
    <w:link w:val="4"/>
    <w:qFormat/>
    <w:uiPriority w:val="99"/>
    <w:rPr>
      <w:sz w:val="18"/>
      <w:szCs w:val="18"/>
    </w:rPr>
  </w:style>
  <w:style w:type="character" w:customStyle="1" w:styleId="10">
    <w:name w:val="纯文本 字符"/>
    <w:basedOn w:val="7"/>
    <w:link w:val="2"/>
    <w:semiHidden/>
    <w:qFormat/>
    <w:uiPriority w:val="99"/>
    <w:rPr>
      <w:rFonts w:ascii="宋体" w:hAnsi="Courier New" w:eastAsia="宋体" w:cs="Courier New"/>
      <w:szCs w:val="21"/>
    </w:rPr>
  </w:style>
  <w:style w:type="character" w:customStyle="1" w:styleId="11">
    <w:name w:val="批注框文本 字符"/>
    <w:basedOn w:val="7"/>
    <w:link w:val="3"/>
    <w:semiHidden/>
    <w:qFormat/>
    <w:uiPriority w:val="99"/>
    <w:rPr>
      <w:rFonts w:ascii="Times New Roman" w:hAnsi="Times New Roman" w:eastAsia="仿宋_GB2312"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324</Words>
  <Characters>1851</Characters>
  <Lines>15</Lines>
  <Paragraphs>4</Paragraphs>
  <TotalTime>261</TotalTime>
  <ScaleCrop>false</ScaleCrop>
  <LinksUpToDate>false</LinksUpToDate>
  <CharactersWithSpaces>2171</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2025-07-16T16:12:00Z</dcterms:created>
  <dc:creator>球</dc:creator>
  <cp:lastModifiedBy>greatwall</cp:lastModifiedBy>
  <cp:lastPrinted>2025-11-24T16:24:00Z</cp:lastPrinted>
  <dcterms:modified xsi:type="dcterms:W3CDTF">2026-09-18T09:00:23Z</dcterms:modified>
  <cp:revision>124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