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autoSpaceDE/>
        <w:autoSpaceDN/>
        <w:adjustRightInd/>
        <w:jc w:val="both"/>
        <w:rPr>
          <w:rFonts w:ascii="方正黑体_GBK" w:hAnsi="方正黑体_GBK" w:eastAsia="方正黑体_GBK" w:cs="方正黑体_GBK"/>
          <w:kern w:val="2"/>
          <w:sz w:val="32"/>
          <w:szCs w:val="32"/>
        </w:rPr>
      </w:pPr>
      <w:r>
        <w:rPr>
          <w:rFonts w:hint="eastAsia" w:ascii="方正黑体_GBK" w:hAnsi="方正黑体_GBK" w:eastAsia="方正黑体_GBK" w:cs="方正黑体_GBK"/>
          <w:kern w:val="2"/>
          <w:sz w:val="32"/>
          <w:szCs w:val="32"/>
        </w:rPr>
        <w:t>附件：</w:t>
      </w:r>
    </w:p>
    <w:p>
      <w:pPr>
        <w:autoSpaceDE/>
        <w:autoSpaceDN/>
        <w:adjustRightInd/>
        <w:spacing w:line="400" w:lineRule="exact"/>
        <w:jc w:val="center"/>
        <w:rPr>
          <w:rFonts w:ascii="宋体" w:hAnsi="宋体" w:cs="宋体"/>
          <w:b/>
          <w:bCs/>
          <w:kern w:val="2"/>
          <w:sz w:val="44"/>
          <w:szCs w:val="44"/>
        </w:rPr>
      </w:pPr>
    </w:p>
    <w:p>
      <w:pPr>
        <w:autoSpaceDE/>
        <w:autoSpaceDN/>
        <w:adjustRightInd/>
        <w:spacing w:line="600" w:lineRule="exact"/>
        <w:jc w:val="center"/>
        <w:rPr>
          <w:rFonts w:ascii="方正小标宋_GBK" w:hAnsi="方正小标宋_GBK" w:eastAsia="方正小标宋_GBK" w:cs="方正小标宋_GBK"/>
          <w:kern w:val="2"/>
          <w:sz w:val="44"/>
          <w:szCs w:val="44"/>
        </w:rPr>
      </w:pPr>
      <w:r>
        <w:rPr>
          <w:rFonts w:hint="eastAsia" w:ascii="方正小标宋_GBK" w:hAnsi="方正小标宋_GBK" w:eastAsia="方正小标宋_GBK" w:cs="方正小标宋_GBK"/>
          <w:kern w:val="2"/>
          <w:sz w:val="44"/>
          <w:szCs w:val="44"/>
        </w:rPr>
        <w:t>鹤山市2026年中央财政常态化帮扶资金省级配套</w:t>
      </w:r>
    </w:p>
    <w:p>
      <w:pPr>
        <w:autoSpaceDE/>
        <w:autoSpaceDN/>
        <w:adjustRightInd/>
        <w:spacing w:line="600" w:lineRule="exact"/>
        <w:jc w:val="center"/>
        <w:rPr>
          <w:rFonts w:ascii="方正小标宋_GBK" w:hAnsi="方正小标宋_GBK" w:eastAsia="方正小标宋_GBK" w:cs="方正小标宋_GBK"/>
          <w:kern w:val="2"/>
          <w:sz w:val="44"/>
          <w:szCs w:val="44"/>
        </w:rPr>
      </w:pPr>
      <w:r>
        <w:rPr>
          <w:rFonts w:hint="eastAsia" w:ascii="方正小标宋_GBK" w:hAnsi="方正小标宋_GBK" w:eastAsia="方正小标宋_GBK" w:cs="方正小标宋_GBK"/>
          <w:kern w:val="2"/>
          <w:sz w:val="44"/>
          <w:szCs w:val="44"/>
        </w:rPr>
        <w:t>支持主体名单及资金分配表</w:t>
      </w:r>
      <w:bookmarkStart w:id="0" w:name="_GoBack"/>
      <w:bookmarkEnd w:id="0"/>
    </w:p>
    <w:p>
      <w:pPr>
        <w:pStyle w:val="2"/>
      </w:pPr>
    </w:p>
    <w:tbl>
      <w:tblPr>
        <w:tblStyle w:val="8"/>
        <w:tblpPr w:leftFromText="180" w:rightFromText="180" w:vertAnchor="text" w:horzAnchor="page" w:tblpXSpec="center" w:tblpY="244"/>
        <w:tblOverlap w:val="never"/>
        <w:tblW w:w="14285" w:type="dxa"/>
        <w:jc w:val="center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00"/>
        <w:gridCol w:w="1518"/>
        <w:gridCol w:w="1800"/>
        <w:gridCol w:w="6447"/>
        <w:gridCol w:w="1337"/>
        <w:gridCol w:w="1117"/>
        <w:gridCol w:w="1266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9" w:hRule="atLeast"/>
          <w:jc w:val="center"/>
        </w:trPr>
        <w:tc>
          <w:tcPr>
            <w:tcW w:w="800" w:type="dxa"/>
            <w:vMerge w:val="restart"/>
            <w:vAlign w:val="center"/>
          </w:tcPr>
          <w:p>
            <w:pPr>
              <w:autoSpaceDE/>
              <w:autoSpaceDN/>
              <w:adjustRightInd/>
              <w:jc w:val="center"/>
              <w:rPr>
                <w:rFonts w:ascii="方正黑体_GBK" w:hAnsi="方正黑体_GBK" w:eastAsia="方正黑体_GBK" w:cs="方正黑体_GBK"/>
                <w:kern w:val="2"/>
                <w:sz w:val="28"/>
                <w:szCs w:val="28"/>
              </w:rPr>
            </w:pPr>
            <w:r>
              <w:rPr>
                <w:rFonts w:hint="eastAsia" w:ascii="方正黑体_GBK" w:hAnsi="方正黑体_GBK" w:eastAsia="方正黑体_GBK" w:cs="方正黑体_GBK"/>
                <w:kern w:val="2"/>
                <w:sz w:val="28"/>
                <w:szCs w:val="28"/>
              </w:rPr>
              <w:t>序号</w:t>
            </w:r>
          </w:p>
        </w:tc>
        <w:tc>
          <w:tcPr>
            <w:tcW w:w="1518" w:type="dxa"/>
            <w:vMerge w:val="restart"/>
            <w:vAlign w:val="center"/>
          </w:tcPr>
          <w:p>
            <w:pPr>
              <w:autoSpaceDE/>
              <w:autoSpaceDN/>
              <w:adjustRightInd/>
              <w:jc w:val="center"/>
              <w:rPr>
                <w:rFonts w:ascii="方正黑体_GBK" w:hAnsi="方正黑体_GBK" w:eastAsia="方正黑体_GBK" w:cs="方正黑体_GBK"/>
                <w:kern w:val="2"/>
                <w:sz w:val="28"/>
                <w:szCs w:val="28"/>
              </w:rPr>
            </w:pPr>
            <w:r>
              <w:rPr>
                <w:rFonts w:hint="eastAsia" w:ascii="方正黑体_GBK" w:hAnsi="方正黑体_GBK" w:eastAsia="方正黑体_GBK" w:cs="方正黑体_GBK"/>
                <w:kern w:val="2"/>
                <w:sz w:val="28"/>
                <w:szCs w:val="28"/>
              </w:rPr>
              <w:t>项目名称</w:t>
            </w:r>
          </w:p>
        </w:tc>
        <w:tc>
          <w:tcPr>
            <w:tcW w:w="1800" w:type="dxa"/>
            <w:vMerge w:val="restart"/>
            <w:vAlign w:val="center"/>
          </w:tcPr>
          <w:p>
            <w:pPr>
              <w:autoSpaceDE/>
              <w:autoSpaceDN/>
              <w:adjustRightInd/>
              <w:jc w:val="center"/>
              <w:rPr>
                <w:rFonts w:ascii="方正黑体_GBK" w:hAnsi="方正黑体_GBK" w:eastAsia="方正黑体_GBK" w:cs="方正黑体_GBK"/>
                <w:kern w:val="2"/>
                <w:sz w:val="28"/>
                <w:szCs w:val="28"/>
              </w:rPr>
            </w:pPr>
            <w:r>
              <w:rPr>
                <w:rFonts w:hint="eastAsia" w:ascii="方正黑体_GBK" w:hAnsi="方正黑体_GBK" w:eastAsia="方正黑体_GBK" w:cs="方正黑体_GBK"/>
                <w:kern w:val="2"/>
                <w:sz w:val="28"/>
                <w:szCs w:val="28"/>
              </w:rPr>
              <w:t>实施主体</w:t>
            </w:r>
          </w:p>
        </w:tc>
        <w:tc>
          <w:tcPr>
            <w:tcW w:w="6447" w:type="dxa"/>
            <w:vMerge w:val="restart"/>
            <w:vAlign w:val="center"/>
          </w:tcPr>
          <w:p>
            <w:pPr>
              <w:autoSpaceDE/>
              <w:autoSpaceDN/>
              <w:adjustRightInd/>
              <w:jc w:val="center"/>
              <w:rPr>
                <w:rFonts w:ascii="方正黑体_GBK" w:hAnsi="方正黑体_GBK" w:eastAsia="方正黑体_GBK" w:cs="方正黑体_GBK"/>
                <w:kern w:val="2"/>
                <w:sz w:val="28"/>
                <w:szCs w:val="28"/>
              </w:rPr>
            </w:pPr>
            <w:r>
              <w:rPr>
                <w:rFonts w:hint="eastAsia" w:ascii="方正黑体_GBK" w:hAnsi="方正黑体_GBK" w:eastAsia="方正黑体_GBK" w:cs="方正黑体_GBK"/>
                <w:kern w:val="2"/>
                <w:sz w:val="28"/>
                <w:szCs w:val="28"/>
              </w:rPr>
              <w:t>建设内容</w:t>
            </w:r>
          </w:p>
        </w:tc>
        <w:tc>
          <w:tcPr>
            <w:tcW w:w="3720" w:type="dxa"/>
            <w:gridSpan w:val="3"/>
            <w:vAlign w:val="center"/>
          </w:tcPr>
          <w:p>
            <w:pPr>
              <w:autoSpaceDE/>
              <w:autoSpaceDN/>
              <w:adjustRightInd/>
              <w:jc w:val="center"/>
              <w:rPr>
                <w:rFonts w:ascii="方正黑体_GBK" w:hAnsi="方正黑体_GBK" w:eastAsia="方正黑体_GBK" w:cs="方正黑体_GBK"/>
                <w:kern w:val="2"/>
                <w:sz w:val="28"/>
                <w:szCs w:val="28"/>
              </w:rPr>
            </w:pPr>
            <w:r>
              <w:rPr>
                <w:rFonts w:hint="eastAsia" w:ascii="方正黑体_GBK" w:hAnsi="方正黑体_GBK" w:eastAsia="方正黑体_GBK" w:cs="方正黑体_GBK"/>
                <w:kern w:val="2"/>
                <w:sz w:val="28"/>
                <w:szCs w:val="28"/>
              </w:rPr>
              <w:t>投资金额（万元）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0" w:hRule="atLeast"/>
          <w:jc w:val="center"/>
        </w:trPr>
        <w:tc>
          <w:tcPr>
            <w:tcW w:w="800" w:type="dxa"/>
            <w:vMerge w:val="continue"/>
            <w:vAlign w:val="center"/>
          </w:tcPr>
          <w:p>
            <w:pPr>
              <w:autoSpaceDE/>
              <w:autoSpaceDN/>
              <w:adjustRightInd/>
              <w:jc w:val="center"/>
              <w:rPr>
                <w:rFonts w:ascii="方正黑体_GBK" w:hAnsi="方正黑体_GBK" w:eastAsia="方正黑体_GBK" w:cs="方正黑体_GBK"/>
                <w:kern w:val="2"/>
                <w:sz w:val="28"/>
                <w:szCs w:val="28"/>
              </w:rPr>
            </w:pPr>
          </w:p>
        </w:tc>
        <w:tc>
          <w:tcPr>
            <w:tcW w:w="1518" w:type="dxa"/>
            <w:vMerge w:val="continue"/>
            <w:vAlign w:val="center"/>
          </w:tcPr>
          <w:p>
            <w:pPr>
              <w:autoSpaceDE/>
              <w:autoSpaceDN/>
              <w:adjustRightInd/>
              <w:jc w:val="center"/>
              <w:rPr>
                <w:rFonts w:ascii="方正黑体_GBK" w:hAnsi="方正黑体_GBK" w:eastAsia="方正黑体_GBK" w:cs="方正黑体_GBK"/>
                <w:kern w:val="2"/>
                <w:sz w:val="28"/>
                <w:szCs w:val="28"/>
              </w:rPr>
            </w:pPr>
          </w:p>
        </w:tc>
        <w:tc>
          <w:tcPr>
            <w:tcW w:w="1800" w:type="dxa"/>
            <w:vMerge w:val="continue"/>
            <w:vAlign w:val="center"/>
          </w:tcPr>
          <w:p>
            <w:pPr>
              <w:autoSpaceDE/>
              <w:autoSpaceDN/>
              <w:adjustRightInd/>
              <w:jc w:val="center"/>
              <w:rPr>
                <w:rFonts w:ascii="方正黑体_GBK" w:hAnsi="方正黑体_GBK" w:eastAsia="方正黑体_GBK" w:cs="方正黑体_GBK"/>
                <w:kern w:val="2"/>
                <w:sz w:val="28"/>
                <w:szCs w:val="28"/>
              </w:rPr>
            </w:pPr>
          </w:p>
        </w:tc>
        <w:tc>
          <w:tcPr>
            <w:tcW w:w="6447" w:type="dxa"/>
            <w:vMerge w:val="continue"/>
            <w:vAlign w:val="center"/>
          </w:tcPr>
          <w:p>
            <w:pPr>
              <w:autoSpaceDE/>
              <w:autoSpaceDN/>
              <w:adjustRightInd/>
              <w:jc w:val="center"/>
              <w:rPr>
                <w:rFonts w:ascii="方正黑体_GBK" w:hAnsi="方正黑体_GBK" w:eastAsia="方正黑体_GBK" w:cs="方正黑体_GBK"/>
                <w:kern w:val="2"/>
                <w:sz w:val="28"/>
                <w:szCs w:val="28"/>
              </w:rPr>
            </w:pPr>
          </w:p>
        </w:tc>
        <w:tc>
          <w:tcPr>
            <w:tcW w:w="1337" w:type="dxa"/>
            <w:vAlign w:val="center"/>
          </w:tcPr>
          <w:p>
            <w:pPr>
              <w:spacing w:line="240" w:lineRule="exact"/>
              <w:jc w:val="center"/>
              <w:rPr>
                <w:rFonts w:ascii="方正黑体_GBK" w:hAnsi="方正黑体_GBK" w:eastAsia="方正黑体_GBK" w:cs="方正黑体_GBK"/>
                <w:kern w:val="2"/>
                <w:sz w:val="21"/>
                <w:szCs w:val="21"/>
              </w:rPr>
            </w:pPr>
            <w:r>
              <w:rPr>
                <w:rFonts w:hint="eastAsia" w:ascii="方正黑体_GBK" w:hAnsi="方正黑体_GBK" w:eastAsia="方正黑体_GBK" w:cs="方正黑体_GBK"/>
                <w:szCs w:val="21"/>
              </w:rPr>
              <w:t>合计</w:t>
            </w:r>
          </w:p>
        </w:tc>
        <w:tc>
          <w:tcPr>
            <w:tcW w:w="1117" w:type="dxa"/>
            <w:vAlign w:val="center"/>
          </w:tcPr>
          <w:p>
            <w:pPr>
              <w:spacing w:line="240" w:lineRule="exact"/>
              <w:jc w:val="center"/>
              <w:rPr>
                <w:rFonts w:ascii="方正黑体_GBK" w:hAnsi="方正黑体_GBK" w:eastAsia="方正黑体_GBK" w:cs="方正黑体_GBK"/>
                <w:kern w:val="2"/>
                <w:sz w:val="21"/>
                <w:szCs w:val="21"/>
              </w:rPr>
            </w:pPr>
            <w:r>
              <w:rPr>
                <w:rFonts w:hint="eastAsia" w:ascii="方正黑体_GBK" w:hAnsi="方正黑体_GBK" w:eastAsia="方正黑体_GBK" w:cs="方正黑体_GBK"/>
                <w:szCs w:val="21"/>
              </w:rPr>
              <w:t>本次补助资金</w:t>
            </w:r>
          </w:p>
        </w:tc>
        <w:tc>
          <w:tcPr>
            <w:tcW w:w="1266" w:type="dxa"/>
            <w:vAlign w:val="center"/>
          </w:tcPr>
          <w:p>
            <w:pPr>
              <w:spacing w:line="240" w:lineRule="exact"/>
              <w:jc w:val="center"/>
              <w:rPr>
                <w:rFonts w:ascii="方正黑体_GBK" w:hAnsi="方正黑体_GBK" w:eastAsia="方正黑体_GBK" w:cs="方正黑体_GBK"/>
                <w:szCs w:val="21"/>
              </w:rPr>
            </w:pPr>
            <w:r>
              <w:rPr>
                <w:rFonts w:hint="eastAsia" w:ascii="方正黑体_GBK" w:hAnsi="方正黑体_GBK" w:eastAsia="方正黑体_GBK" w:cs="方正黑体_GBK"/>
                <w:szCs w:val="21"/>
              </w:rPr>
              <w:t>自筹</w:t>
            </w:r>
          </w:p>
          <w:p>
            <w:pPr>
              <w:spacing w:line="240" w:lineRule="exact"/>
              <w:jc w:val="center"/>
              <w:rPr>
                <w:rFonts w:ascii="方正黑体_GBK" w:hAnsi="方正黑体_GBK" w:eastAsia="方正黑体_GBK" w:cs="方正黑体_GBK"/>
                <w:kern w:val="2"/>
                <w:sz w:val="21"/>
                <w:szCs w:val="21"/>
              </w:rPr>
            </w:pPr>
            <w:r>
              <w:rPr>
                <w:rFonts w:hint="eastAsia" w:ascii="方正黑体_GBK" w:hAnsi="方正黑体_GBK" w:eastAsia="方正黑体_GBK" w:cs="方正黑体_GBK"/>
                <w:szCs w:val="21"/>
              </w:rPr>
              <w:t>金额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00" w:hRule="atLeast"/>
          <w:jc w:val="center"/>
        </w:trPr>
        <w:tc>
          <w:tcPr>
            <w:tcW w:w="800" w:type="dxa"/>
            <w:vAlign w:val="center"/>
          </w:tcPr>
          <w:p>
            <w:pPr>
              <w:spacing w:line="360" w:lineRule="exac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1</w:t>
            </w:r>
          </w:p>
        </w:tc>
        <w:tc>
          <w:tcPr>
            <w:tcW w:w="1518" w:type="dxa"/>
            <w:vAlign w:val="center"/>
          </w:tcPr>
          <w:p>
            <w:pPr>
              <w:spacing w:line="360" w:lineRule="exac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沙坪街道旧渔村改造工程项目</w:t>
            </w:r>
          </w:p>
        </w:tc>
        <w:tc>
          <w:tcPr>
            <w:tcW w:w="1800" w:type="dxa"/>
            <w:vAlign w:val="center"/>
          </w:tcPr>
          <w:p>
            <w:pPr>
              <w:spacing w:line="360" w:lineRule="exac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鹤山市沙坪街道办事处</w:t>
            </w:r>
          </w:p>
        </w:tc>
        <w:tc>
          <w:tcPr>
            <w:tcW w:w="6447" w:type="dxa"/>
            <w:vAlign w:val="center"/>
          </w:tcPr>
          <w:p>
            <w:pPr>
              <w:spacing w:line="360" w:lineRule="exact"/>
              <w:ind w:firstLine="480" w:firstLineChars="200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本项目作为沙坪-古劳镇村片区培育的节点项目，对沙坪河边的旧渔村进行整治改造。主要建设内容包括：1.新建栈道、渔船停泊位：沿河边新建栈道约</w:t>
            </w:r>
            <w:r>
              <w:rPr>
                <w:rFonts w:hint="eastAsia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28</w:t>
            </w:r>
            <w:r>
              <w:rPr>
                <w:rFonts w:hint="eastAsia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0米，2米宽，渔船停泊位30个，泊位加装渔民生产生活用水用电设施。以新建栈道为纽带，串联“岸上交易—滩涂生产—水上停泊”三大功能板块，形成高效生产线。2.建设渔获交易市场：新建渔获摊档约100平方米，污水净化池1个，位于岸上，集中布局交易摊位、交易大棚、冲洗清洁等设施，打造规范化交易平台，带动全体渔民增收。3.建设滩涂生产服务区：满足渔民日常生产需求，区域面积约5000平方米，硬底化面积约1500平方米。4.清杂、美化及翻新渔村入村道路约100米。</w:t>
            </w:r>
          </w:p>
        </w:tc>
        <w:tc>
          <w:tcPr>
            <w:tcW w:w="1337" w:type="dxa"/>
            <w:vAlign w:val="center"/>
          </w:tcPr>
          <w:p>
            <w:pPr>
              <w:spacing w:line="360" w:lineRule="exac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240</w:t>
            </w:r>
          </w:p>
        </w:tc>
        <w:tc>
          <w:tcPr>
            <w:tcW w:w="1117" w:type="dxa"/>
            <w:vAlign w:val="center"/>
          </w:tcPr>
          <w:p>
            <w:pPr>
              <w:spacing w:line="360" w:lineRule="exac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190</w:t>
            </w:r>
          </w:p>
        </w:tc>
        <w:tc>
          <w:tcPr>
            <w:tcW w:w="1266" w:type="dxa"/>
            <w:vAlign w:val="center"/>
          </w:tcPr>
          <w:p>
            <w:pPr>
              <w:spacing w:line="360" w:lineRule="exac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50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94" w:hRule="exact"/>
          <w:jc w:val="center"/>
        </w:trPr>
        <w:tc>
          <w:tcPr>
            <w:tcW w:w="800" w:type="dxa"/>
            <w:vAlign w:val="center"/>
          </w:tcPr>
          <w:p>
            <w:pPr>
              <w:spacing w:line="360" w:lineRule="exac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2</w:t>
            </w:r>
          </w:p>
        </w:tc>
        <w:tc>
          <w:tcPr>
            <w:tcW w:w="1518" w:type="dxa"/>
            <w:vAlign w:val="center"/>
          </w:tcPr>
          <w:p>
            <w:pPr>
              <w:spacing w:line="360" w:lineRule="exac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龙口镇</w:t>
            </w:r>
            <w:r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五福村</w:t>
            </w:r>
            <w:r>
              <w:rPr>
                <w:rFonts w:hint="eastAsia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粮食</w:t>
            </w:r>
            <w:r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烘干</w:t>
            </w:r>
            <w:r>
              <w:rPr>
                <w:rFonts w:hint="eastAsia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中心</w:t>
            </w:r>
            <w:r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建设工程</w:t>
            </w:r>
          </w:p>
        </w:tc>
        <w:tc>
          <w:tcPr>
            <w:tcW w:w="1800" w:type="dxa"/>
            <w:vAlign w:val="center"/>
          </w:tcPr>
          <w:p>
            <w:pPr>
              <w:spacing w:line="360" w:lineRule="exac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鹤山市龙口镇五福村</w:t>
            </w:r>
            <w:r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村民委员会</w:t>
            </w:r>
          </w:p>
        </w:tc>
        <w:tc>
          <w:tcPr>
            <w:tcW w:w="6447" w:type="dxa"/>
            <w:vAlign w:val="center"/>
          </w:tcPr>
          <w:p>
            <w:pPr>
              <w:spacing w:line="360" w:lineRule="exact"/>
              <w:ind w:firstLine="480" w:firstLineChars="200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五福村计划建设占地面积约3000平方米的</w:t>
            </w:r>
            <w:r>
              <w:rPr>
                <w:rFonts w:hint="eastAsia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粮食</w:t>
            </w:r>
            <w:r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烘干</w:t>
            </w:r>
            <w:r>
              <w:rPr>
                <w:rFonts w:hint="eastAsia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中心</w:t>
            </w:r>
            <w:r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，首期计划建设</w:t>
            </w:r>
            <w:r>
              <w:rPr>
                <w:rFonts w:hint="eastAsia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约</w:t>
            </w:r>
            <w:r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1</w:t>
            </w:r>
            <w:r>
              <w:rPr>
                <w:rFonts w:hint="eastAsia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200</w:t>
            </w:r>
            <w:r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平方米，总投资约</w:t>
            </w:r>
            <w:r>
              <w:rPr>
                <w:rFonts w:hint="eastAsia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200</w:t>
            </w:r>
            <w:r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万元，</w:t>
            </w:r>
            <w:r>
              <w:rPr>
                <w:rFonts w:hint="eastAsia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首期</w:t>
            </w:r>
            <w:r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具体配套如下：一</w:t>
            </w:r>
            <w:r>
              <w:rPr>
                <w:rFonts w:hint="eastAsia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、</w:t>
            </w:r>
            <w:r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烘干作业区：</w:t>
            </w:r>
            <w:r>
              <w:rPr>
                <w:rFonts w:hint="eastAsia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1.购置安装</w:t>
            </w:r>
            <w:r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核心烘干设备</w:t>
            </w:r>
            <w:r>
              <w:rPr>
                <w:rFonts w:hint="eastAsia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、空气热能泵及</w:t>
            </w:r>
            <w:r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输送</w:t>
            </w:r>
            <w:r>
              <w:rPr>
                <w:rFonts w:hint="eastAsia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等</w:t>
            </w:r>
            <w:r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设备</w:t>
            </w:r>
            <w:r>
              <w:rPr>
                <w:rFonts w:hint="eastAsia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。2.建设</w:t>
            </w:r>
            <w:r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生产辅助用房：设配电房、热力间、工具房</w:t>
            </w:r>
            <w:r>
              <w:rPr>
                <w:rFonts w:hint="eastAsia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等</w:t>
            </w:r>
            <w:r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。</w:t>
            </w:r>
            <w:r>
              <w:rPr>
                <w:rFonts w:hint="eastAsia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二</w:t>
            </w:r>
            <w:r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、</w:t>
            </w:r>
            <w:r>
              <w:rPr>
                <w:rFonts w:hint="eastAsia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设置</w:t>
            </w:r>
            <w:r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烘后暂存区。</w:t>
            </w:r>
            <w:r>
              <w:rPr>
                <w:rFonts w:hint="eastAsia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三</w:t>
            </w:r>
            <w:r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、基础设施：硬化通行道路</w:t>
            </w:r>
            <w:r>
              <w:rPr>
                <w:rFonts w:hint="eastAsia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及</w:t>
            </w:r>
            <w:r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作业场地，满足大型运粮车辆进出需求。</w:t>
            </w:r>
          </w:p>
        </w:tc>
        <w:tc>
          <w:tcPr>
            <w:tcW w:w="1337" w:type="dxa"/>
            <w:vAlign w:val="center"/>
          </w:tcPr>
          <w:p>
            <w:pPr>
              <w:spacing w:line="360" w:lineRule="exac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200</w:t>
            </w:r>
          </w:p>
        </w:tc>
        <w:tc>
          <w:tcPr>
            <w:tcW w:w="1117" w:type="dxa"/>
            <w:vAlign w:val="center"/>
          </w:tcPr>
          <w:p>
            <w:pPr>
              <w:spacing w:line="360" w:lineRule="exac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90</w:t>
            </w:r>
          </w:p>
        </w:tc>
        <w:tc>
          <w:tcPr>
            <w:tcW w:w="1266" w:type="dxa"/>
            <w:vAlign w:val="center"/>
          </w:tcPr>
          <w:p>
            <w:pPr>
              <w:spacing w:line="360" w:lineRule="exac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110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13" w:hRule="exact"/>
          <w:jc w:val="center"/>
        </w:trPr>
        <w:tc>
          <w:tcPr>
            <w:tcW w:w="800" w:type="dxa"/>
            <w:vAlign w:val="center"/>
          </w:tcPr>
          <w:p>
            <w:pPr>
              <w:spacing w:line="360" w:lineRule="exac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3</w:t>
            </w:r>
          </w:p>
        </w:tc>
        <w:tc>
          <w:tcPr>
            <w:tcW w:w="1518" w:type="dxa"/>
            <w:vAlign w:val="center"/>
          </w:tcPr>
          <w:p>
            <w:pPr>
              <w:spacing w:line="360" w:lineRule="exac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鹤山市供销社址山竹场粮食种植收获全产业链项目</w:t>
            </w:r>
          </w:p>
        </w:tc>
        <w:tc>
          <w:tcPr>
            <w:tcW w:w="1800" w:type="dxa"/>
            <w:vAlign w:val="center"/>
          </w:tcPr>
          <w:p>
            <w:pPr>
              <w:spacing w:line="360" w:lineRule="exac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鹤山市供销合作联社</w:t>
            </w:r>
          </w:p>
        </w:tc>
        <w:tc>
          <w:tcPr>
            <w:tcW w:w="6447" w:type="dxa"/>
            <w:vAlign w:val="center"/>
          </w:tcPr>
          <w:p>
            <w:pPr>
              <w:spacing w:line="360" w:lineRule="exact"/>
              <w:ind w:firstLine="480" w:firstLineChars="200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本项目立足辖区水稻粮食主导产业发展需求，聚焦农业生产痛点，围绕订单农业+全程农业社会化服务模式开展场地基础建设，计划建设内容如下：新建1500</w:t>
            </w:r>
            <w:r>
              <w:rPr>
                <w:rFonts w:hint="eastAsia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m</w:t>
            </w:r>
            <w:r>
              <w:rPr>
                <w:rFonts w:hint="eastAsia"/>
                <w:color w:val="000000" w:themeColor="text1"/>
                <w:vertAlign w:val="superscript"/>
                <w14:textFill>
                  <w14:solidFill>
                    <w14:schemeClr w14:val="tx1"/>
                  </w14:solidFill>
                </w14:textFill>
              </w:rPr>
              <w:t>2</w:t>
            </w:r>
            <w:r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抗台风综合主体建筑，一层设置智能育秧中心，二层用作农技办公与会议空间；配套建设农机停放、农资仓储、农机维修养护、普惠服务等连片仓储钢结构大棚，同步实施约3000</w:t>
            </w:r>
            <w:r>
              <w:rPr>
                <w:rFonts w:hint="eastAsia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m</w:t>
            </w:r>
            <w:r>
              <w:rPr>
                <w:rFonts w:hint="eastAsia"/>
                <w:color w:val="000000" w:themeColor="text1"/>
                <w:vertAlign w:val="superscript"/>
                <w14:textFill>
                  <w14:solidFill>
                    <w14:schemeClr w14:val="tx1"/>
                  </w14:solidFill>
                </w14:textFill>
              </w:rPr>
              <w:t>2</w:t>
            </w:r>
            <w:r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场地硬底化、给排水、消防等基础配套，并采购插秧机、拖拉机、植保无人机、</w:t>
            </w:r>
            <w:r>
              <w:rPr>
                <w:rFonts w:hint="eastAsia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无人机转运车</w:t>
            </w:r>
            <w:r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等成套农业机械设备。</w:t>
            </w:r>
          </w:p>
          <w:p>
            <w:pPr>
              <w:spacing w:line="360" w:lineRule="exact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337" w:type="dxa"/>
            <w:vAlign w:val="center"/>
          </w:tcPr>
          <w:p>
            <w:pPr>
              <w:spacing w:line="360" w:lineRule="exac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500</w:t>
            </w:r>
          </w:p>
        </w:tc>
        <w:tc>
          <w:tcPr>
            <w:tcW w:w="1117" w:type="dxa"/>
            <w:vAlign w:val="center"/>
          </w:tcPr>
          <w:p>
            <w:pPr>
              <w:spacing w:line="360" w:lineRule="exac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396</w:t>
            </w:r>
          </w:p>
        </w:tc>
        <w:tc>
          <w:tcPr>
            <w:tcW w:w="1266" w:type="dxa"/>
            <w:vAlign w:val="center"/>
          </w:tcPr>
          <w:p>
            <w:pPr>
              <w:spacing w:line="360" w:lineRule="exac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104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00" w:hRule="exact"/>
          <w:jc w:val="center"/>
        </w:trPr>
        <w:tc>
          <w:tcPr>
            <w:tcW w:w="800" w:type="dxa"/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4</w:t>
            </w:r>
          </w:p>
        </w:tc>
        <w:tc>
          <w:tcPr>
            <w:tcW w:w="1518" w:type="dxa"/>
            <w:vAlign w:val="center"/>
          </w:tcPr>
          <w:p>
            <w:pPr>
              <w:spacing w:line="360" w:lineRule="exac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鹤山市宅梧镇粮食种植收获全产业链项目</w:t>
            </w:r>
          </w:p>
        </w:tc>
        <w:tc>
          <w:tcPr>
            <w:tcW w:w="1800" w:type="dxa"/>
            <w:vAlign w:val="center"/>
          </w:tcPr>
          <w:p>
            <w:pPr>
              <w:spacing w:line="360" w:lineRule="exac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鹤山市宅梧镇人民政府</w:t>
            </w:r>
          </w:p>
        </w:tc>
        <w:tc>
          <w:tcPr>
            <w:tcW w:w="6447" w:type="dxa"/>
            <w:vAlign w:val="center"/>
          </w:tcPr>
          <w:p>
            <w:pPr>
              <w:spacing w:line="360" w:lineRule="exact"/>
              <w:ind w:firstLine="480" w:firstLineChars="200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在宅梧镇建设粮食种植收获全产业链，一是农机停放及维修车间、仓储加工车间、农资库房等功能用房的建设与改造；二是配套数字化管理设备及办公运营设施，建设数字农业管理平台、电商直播间、农技培训教室等配套功能场所</w:t>
            </w:r>
            <w:r>
              <w:rPr>
                <w:rFonts w:hint="eastAsia"/>
                <w:color w:val="000000" w:themeColor="text1"/>
                <w:lang w:eastAsia="zh-CN"/>
                <w14:textFill>
                  <w14:solidFill>
                    <w14:schemeClr w14:val="tx1"/>
                  </w14:solidFill>
                </w14:textFill>
              </w:rPr>
              <w:t>，</w:t>
            </w:r>
            <w:r>
              <w:rPr>
                <w:rFonts w:hint="eastAsia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并购买插秧机、收割机、拖拉机等设备。</w:t>
            </w:r>
          </w:p>
        </w:tc>
        <w:tc>
          <w:tcPr>
            <w:tcW w:w="1337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cs="Times New Roman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515</w:t>
            </w:r>
          </w:p>
        </w:tc>
        <w:tc>
          <w:tcPr>
            <w:tcW w:w="1117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315</w:t>
            </w:r>
          </w:p>
        </w:tc>
        <w:tc>
          <w:tcPr>
            <w:tcW w:w="1266" w:type="dxa"/>
            <w:vAlign w:val="center"/>
          </w:tcPr>
          <w:p>
            <w:pPr>
              <w:pStyle w:val="2"/>
              <w:ind w:left="0" w:leftChars="0" w:firstLine="0" w:firstLineChars="0"/>
              <w:jc w:val="center"/>
              <w:rPr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cs="Times New Roman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200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5" w:hRule="atLeast"/>
          <w:jc w:val="center"/>
        </w:trPr>
        <w:tc>
          <w:tcPr>
            <w:tcW w:w="10565" w:type="dxa"/>
            <w:gridSpan w:val="4"/>
            <w:vAlign w:val="center"/>
          </w:tcPr>
          <w:p>
            <w:pPr>
              <w:autoSpaceDE/>
              <w:autoSpaceDN/>
              <w:adjustRightInd/>
              <w:jc w:val="center"/>
              <w:rPr>
                <w:kern w:val="2"/>
              </w:rPr>
            </w:pPr>
          </w:p>
        </w:tc>
        <w:tc>
          <w:tcPr>
            <w:tcW w:w="1337" w:type="dxa"/>
            <w:vAlign w:val="center"/>
          </w:tcPr>
          <w:p>
            <w:pPr>
              <w:spacing w:line="360" w:lineRule="exact"/>
              <w:jc w:val="center"/>
              <w:rPr>
                <w:rFonts w:hint="default" w:eastAsia="宋体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1455</w:t>
            </w:r>
          </w:p>
        </w:tc>
        <w:tc>
          <w:tcPr>
            <w:tcW w:w="1117" w:type="dxa"/>
            <w:vAlign w:val="center"/>
          </w:tcPr>
          <w:p>
            <w:pPr>
              <w:spacing w:line="360" w:lineRule="exac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991</w:t>
            </w:r>
          </w:p>
        </w:tc>
        <w:tc>
          <w:tcPr>
            <w:tcW w:w="1266" w:type="dxa"/>
            <w:vAlign w:val="center"/>
          </w:tcPr>
          <w:p>
            <w:pPr>
              <w:spacing w:line="360" w:lineRule="exact"/>
              <w:jc w:val="center"/>
              <w:rPr>
                <w:rFonts w:hint="default" w:eastAsia="宋体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464</w:t>
            </w:r>
          </w:p>
        </w:tc>
      </w:tr>
    </w:tbl>
    <w:p>
      <w:pPr>
        <w:pStyle w:val="2"/>
        <w:ind w:firstLine="0"/>
      </w:pPr>
    </w:p>
    <w:sectPr>
      <w:headerReference r:id="rId3" w:type="default"/>
      <w:footerReference r:id="rId4" w:type="default"/>
      <w:pgSz w:w="16838" w:h="11906" w:orient="landscape"/>
      <w:pgMar w:top="1531" w:right="2098" w:bottom="1531" w:left="1985" w:header="851" w:footer="1134" w:gutter="0"/>
      <w:pgNumType w:fmt="numberInDash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50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方正黑体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方正小标宋_GBK">
    <w:panose1 w:val="03000502000000000000"/>
    <w:charset w:val="86"/>
    <w:family w:val="script"/>
    <w:pitch w:val="default"/>
    <w:sig w:usb0="00000001" w:usb1="080E0000" w:usb2="00000000" w:usb3="00000000" w:csb0="00040000" w:csb1="00000000"/>
  </w:font>
  <w:font w:name="方正仿宋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方正楷体_GBK">
    <w:panose1 w:val="03000509000000000000"/>
    <w:charset w:val="86"/>
    <w:family w:val="script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tabs>
        <w:tab w:val="center" w:pos="4153"/>
        <w:tab w:val="right" w:pos="8306"/>
      </w:tabs>
      <w:snapToGrid w:val="0"/>
      <w:ind w:right="360"/>
      <w:rPr>
        <w:kern w:val="2"/>
        <w:sz w:val="18"/>
      </w:rPr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-118745</wp:posOffset>
              </wp:positionV>
              <wp:extent cx="464820" cy="258445"/>
              <wp:effectExtent l="0" t="0" r="0" b="0"/>
              <wp:wrapNone/>
              <wp:docPr id="1" name="文本框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4820" cy="25844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>
                          <w:pPr>
                            <w:pStyle w:val="5"/>
                          </w:pPr>
                          <w:r>
                            <w:rPr>
                              <w:rFonts w:hint="eastAsia" w:ascii="宋体" w:hAnsi="宋体" w:cs="宋体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hint="eastAsia" w:ascii="宋体" w:hAnsi="宋体" w:cs="宋体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="宋体" w:hAnsi="宋体" w:cs="宋体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ascii="宋体" w:hAnsi="宋体" w:cs="宋体"/>
                              <w:sz w:val="28"/>
                              <w:szCs w:val="28"/>
                            </w:rPr>
                            <w:t>- 1 -</w:t>
                          </w:r>
                          <w:r>
                            <w:rPr>
                              <w:rFonts w:hint="eastAsia" w:ascii="宋体" w:hAnsi="宋体" w:cs="宋体"/>
                              <w:sz w:val="28"/>
                              <w:szCs w:val="28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/>
                  </wps:wsp>
                </a:graphicData>
              </a:graphic>
            </wp:anchor>
          </w:drawing>
        </mc:Choice>
        <mc:Fallback>
          <w:pict>
            <v:shape id="文本框 2" o:spid="_x0000_s1026" o:spt="202" type="#_x0000_t202" style="position:absolute;left:0pt;margin-top:-9.35pt;height:20.35pt;width:36.6pt;mso-position-horizontal:outside;mso-position-horizontal-relative:margin;z-index:251659264;mso-width-relative:page;mso-height-relative:page;" filled="f" stroked="f" coordsize="21600,21600" o:gfxdata="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">
              <v:fill on="f" focussize="0,0"/>
              <v:stroke on="f"/>
              <v:imagedata o:title=""/>
              <o:lock v:ext="edit" aspectratio="f"/>
              <v:textbox inset="0mm,0mm,0mm,0mm">
                <w:txbxContent>
                  <w:p>
                    <w:pPr>
                      <w:pStyle w:val="5"/>
                    </w:pPr>
                    <w:r>
                      <w:rPr>
                        <w:rFonts w:hint="eastAsia" w:ascii="宋体" w:hAnsi="宋体" w:cs="宋体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hint="eastAsia" w:ascii="宋体" w:hAnsi="宋体" w:cs="宋体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hint="eastAsia" w:ascii="宋体" w:hAnsi="宋体" w:cs="宋体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ascii="宋体" w:hAnsi="宋体" w:cs="宋体"/>
                        <w:sz w:val="28"/>
                        <w:szCs w:val="28"/>
                      </w:rPr>
                      <w:t>- 1 -</w:t>
                    </w:r>
                    <w:r>
                      <w:rPr>
                        <w:rFonts w:hint="eastAsia" w:ascii="宋体" w:hAnsi="宋体" w:cs="宋体"/>
                        <w:sz w:val="28"/>
                        <w:szCs w:val="28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Bdr>
        <w:top w:val="none" w:color="auto" w:sz="0" w:space="1"/>
        <w:left w:val="none" w:color="auto" w:sz="0" w:space="4"/>
        <w:right w:val="none" w:color="auto" w:sz="0" w:space="4"/>
      </w:pBdr>
      <w:tabs>
        <w:tab w:val="center" w:pos="4153"/>
        <w:tab w:val="right" w:pos="8306"/>
      </w:tabs>
      <w:snapToGrid w:val="0"/>
      <w:jc w:val="both"/>
      <w:rPr>
        <w:kern w:val="2"/>
        <w:sz w:val="18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documentProtection w:enforcement="0"/>
  <w:defaultTabStop w:val="420"/>
  <w:drawingGridVerticalSpacing w:val="156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72A27"/>
    <w:rsid w:val="000774B4"/>
    <w:rsid w:val="00094DBF"/>
    <w:rsid w:val="000E5DC9"/>
    <w:rsid w:val="00103335"/>
    <w:rsid w:val="00156C51"/>
    <w:rsid w:val="00172A27"/>
    <w:rsid w:val="00256D50"/>
    <w:rsid w:val="00257778"/>
    <w:rsid w:val="00263945"/>
    <w:rsid w:val="002747B1"/>
    <w:rsid w:val="002B2335"/>
    <w:rsid w:val="002D5182"/>
    <w:rsid w:val="0037697C"/>
    <w:rsid w:val="00415021"/>
    <w:rsid w:val="004C5533"/>
    <w:rsid w:val="0050750D"/>
    <w:rsid w:val="00575AC0"/>
    <w:rsid w:val="005B66F2"/>
    <w:rsid w:val="005C526D"/>
    <w:rsid w:val="00636E3C"/>
    <w:rsid w:val="0068367F"/>
    <w:rsid w:val="00705133"/>
    <w:rsid w:val="0070752A"/>
    <w:rsid w:val="00790E61"/>
    <w:rsid w:val="007A58B4"/>
    <w:rsid w:val="007B3A4E"/>
    <w:rsid w:val="007D15A4"/>
    <w:rsid w:val="007E5D2D"/>
    <w:rsid w:val="007F74FD"/>
    <w:rsid w:val="00876F95"/>
    <w:rsid w:val="008A5B46"/>
    <w:rsid w:val="00921E65"/>
    <w:rsid w:val="00991287"/>
    <w:rsid w:val="00A047FD"/>
    <w:rsid w:val="00A11B61"/>
    <w:rsid w:val="00AE39A6"/>
    <w:rsid w:val="00B420CD"/>
    <w:rsid w:val="00B74634"/>
    <w:rsid w:val="00C95916"/>
    <w:rsid w:val="00CD67DD"/>
    <w:rsid w:val="00D40775"/>
    <w:rsid w:val="00DE7D6B"/>
    <w:rsid w:val="00E23CBC"/>
    <w:rsid w:val="00E3341E"/>
    <w:rsid w:val="00F63C97"/>
    <w:rsid w:val="00FD5721"/>
    <w:rsid w:val="00FE67FE"/>
    <w:rsid w:val="01032130"/>
    <w:rsid w:val="028D0903"/>
    <w:rsid w:val="03290CF0"/>
    <w:rsid w:val="0679097D"/>
    <w:rsid w:val="07304807"/>
    <w:rsid w:val="07746B8F"/>
    <w:rsid w:val="08104AE1"/>
    <w:rsid w:val="08990984"/>
    <w:rsid w:val="0A541B22"/>
    <w:rsid w:val="0A910886"/>
    <w:rsid w:val="0A9357F1"/>
    <w:rsid w:val="0B2C615F"/>
    <w:rsid w:val="0B9C141B"/>
    <w:rsid w:val="0B9F3353"/>
    <w:rsid w:val="0BD0182E"/>
    <w:rsid w:val="0D0A3DA5"/>
    <w:rsid w:val="0D4503EB"/>
    <w:rsid w:val="0DAA0B4A"/>
    <w:rsid w:val="0E570665"/>
    <w:rsid w:val="104F2609"/>
    <w:rsid w:val="10DC4870"/>
    <w:rsid w:val="1163203A"/>
    <w:rsid w:val="146E2940"/>
    <w:rsid w:val="19101E97"/>
    <w:rsid w:val="1AED16D2"/>
    <w:rsid w:val="1B214BF1"/>
    <w:rsid w:val="1C8168B8"/>
    <w:rsid w:val="1DFE3313"/>
    <w:rsid w:val="1FC544D1"/>
    <w:rsid w:val="20471028"/>
    <w:rsid w:val="23BA289F"/>
    <w:rsid w:val="2424334F"/>
    <w:rsid w:val="249C386A"/>
    <w:rsid w:val="24D94EC8"/>
    <w:rsid w:val="24E329C5"/>
    <w:rsid w:val="25192FFE"/>
    <w:rsid w:val="27244C60"/>
    <w:rsid w:val="28975E6A"/>
    <w:rsid w:val="2941138C"/>
    <w:rsid w:val="29800C7C"/>
    <w:rsid w:val="2B375D9B"/>
    <w:rsid w:val="2C263F83"/>
    <w:rsid w:val="2E115053"/>
    <w:rsid w:val="2E175F5F"/>
    <w:rsid w:val="2F765894"/>
    <w:rsid w:val="30851780"/>
    <w:rsid w:val="30AD405D"/>
    <w:rsid w:val="320E3DA6"/>
    <w:rsid w:val="324543DF"/>
    <w:rsid w:val="33F37DEC"/>
    <w:rsid w:val="33FA023E"/>
    <w:rsid w:val="34C9057E"/>
    <w:rsid w:val="359968B9"/>
    <w:rsid w:val="35A01084"/>
    <w:rsid w:val="35A71641"/>
    <w:rsid w:val="379743A2"/>
    <w:rsid w:val="383D4C49"/>
    <w:rsid w:val="39005E3D"/>
    <w:rsid w:val="39ED59EA"/>
    <w:rsid w:val="3A7D0308"/>
    <w:rsid w:val="3B2A7A78"/>
    <w:rsid w:val="3C8D41DE"/>
    <w:rsid w:val="3E0571AF"/>
    <w:rsid w:val="403A0C9B"/>
    <w:rsid w:val="40DC54AA"/>
    <w:rsid w:val="41142CA2"/>
    <w:rsid w:val="41AA2585"/>
    <w:rsid w:val="429F70C4"/>
    <w:rsid w:val="446E6515"/>
    <w:rsid w:val="454034F6"/>
    <w:rsid w:val="456D13FE"/>
    <w:rsid w:val="47003A88"/>
    <w:rsid w:val="47455DB6"/>
    <w:rsid w:val="47842302"/>
    <w:rsid w:val="48064B97"/>
    <w:rsid w:val="48A00FBD"/>
    <w:rsid w:val="48F0084C"/>
    <w:rsid w:val="4B1C2A87"/>
    <w:rsid w:val="4BB95B84"/>
    <w:rsid w:val="4CF33222"/>
    <w:rsid w:val="4D711D2A"/>
    <w:rsid w:val="4D8428AA"/>
    <w:rsid w:val="4FAC6DC2"/>
    <w:rsid w:val="517261BC"/>
    <w:rsid w:val="51AD16C4"/>
    <w:rsid w:val="52941B7B"/>
    <w:rsid w:val="53A67C9D"/>
    <w:rsid w:val="53D231A4"/>
    <w:rsid w:val="58E240B0"/>
    <w:rsid w:val="5AED3BDE"/>
    <w:rsid w:val="5CFC7EAE"/>
    <w:rsid w:val="5D104E36"/>
    <w:rsid w:val="5E975BC5"/>
    <w:rsid w:val="5EE4746B"/>
    <w:rsid w:val="602E4733"/>
    <w:rsid w:val="63ED0128"/>
    <w:rsid w:val="642136FA"/>
    <w:rsid w:val="650B404C"/>
    <w:rsid w:val="656C4496"/>
    <w:rsid w:val="69713710"/>
    <w:rsid w:val="6A8709BA"/>
    <w:rsid w:val="6AAC2ED0"/>
    <w:rsid w:val="6AD92BE4"/>
    <w:rsid w:val="6AF96CA4"/>
    <w:rsid w:val="6D152A96"/>
    <w:rsid w:val="6EA94B1A"/>
    <w:rsid w:val="6F0C57C5"/>
    <w:rsid w:val="707726F4"/>
    <w:rsid w:val="70987CE6"/>
    <w:rsid w:val="70F816EF"/>
    <w:rsid w:val="7145149B"/>
    <w:rsid w:val="71547C16"/>
    <w:rsid w:val="71E14811"/>
    <w:rsid w:val="73BE6A99"/>
    <w:rsid w:val="754C7223"/>
    <w:rsid w:val="756B10C8"/>
    <w:rsid w:val="76A30DDC"/>
    <w:rsid w:val="77F93413"/>
    <w:rsid w:val="796602E4"/>
    <w:rsid w:val="7B1C6CB4"/>
    <w:rsid w:val="7CAF0410"/>
    <w:rsid w:val="7CFF28FD"/>
    <w:rsid w:val="7D3F0F24"/>
    <w:rsid w:val="7E8553A8"/>
    <w:rsid w:val="7F7E606F"/>
    <w:rsid w:val="FADF4D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1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qFormat="1" w:uiPriority="1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qFormat="1"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1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1"/>
    <w:pPr>
      <w:widowControl w:val="0"/>
      <w:autoSpaceDE w:val="0"/>
      <w:autoSpaceDN w:val="0"/>
      <w:adjustRightInd w:val="0"/>
    </w:pPr>
    <w:rPr>
      <w:rFonts w:ascii="Times New Roman" w:hAnsi="Times New Roman" w:eastAsia="宋体" w:cs="Times New Roman"/>
      <w:sz w:val="24"/>
      <w:szCs w:val="24"/>
      <w:lang w:val="en-US" w:eastAsia="zh-CN" w:bidi="ar-SA"/>
    </w:rPr>
  </w:style>
  <w:style w:type="character" w:default="1" w:styleId="7">
    <w:name w:val="Default Paragraph Font"/>
    <w:semiHidden/>
    <w:unhideWhenUsed/>
    <w:qFormat/>
    <w:uiPriority w:val="1"/>
  </w:style>
  <w:style w:type="table" w:default="1" w:styleId="8">
    <w:name w:val="Normal Table"/>
    <w:semiHidden/>
    <w:unhideWhenUsed/>
    <w:qFormat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">
    <w:name w:val="_Style 5"/>
    <w:basedOn w:val="1"/>
    <w:qFormat/>
    <w:uiPriority w:val="0"/>
    <w:pPr>
      <w:ind w:firstLine="200"/>
    </w:pPr>
    <w:rPr>
      <w:rFonts w:ascii="Calibri" w:hAnsi="Calibri" w:cs="黑体"/>
    </w:rPr>
  </w:style>
  <w:style w:type="paragraph" w:styleId="3">
    <w:name w:val="Body Text"/>
    <w:basedOn w:val="1"/>
    <w:unhideWhenUsed/>
    <w:qFormat/>
    <w:uiPriority w:val="1"/>
    <w:pPr>
      <w:ind w:left="40"/>
    </w:pPr>
    <w:rPr>
      <w:rFonts w:hint="eastAsia" w:ascii="方正小标宋简体" w:hAnsi="方正小标宋简体" w:eastAsia="方正小标宋简体"/>
      <w:sz w:val="44"/>
    </w:rPr>
  </w:style>
  <w:style w:type="paragraph" w:styleId="4">
    <w:name w:val="Balloon Text"/>
    <w:basedOn w:val="1"/>
    <w:link w:val="12"/>
    <w:qFormat/>
    <w:uiPriority w:val="0"/>
    <w:rPr>
      <w:sz w:val="18"/>
      <w:szCs w:val="18"/>
    </w:rPr>
  </w:style>
  <w:style w:type="paragraph" w:styleId="5">
    <w:name w:val="footer"/>
    <w:basedOn w:val="1"/>
    <w:qFormat/>
    <w:uiPriority w:val="0"/>
    <w:pPr>
      <w:tabs>
        <w:tab w:val="center" w:pos="4153"/>
        <w:tab w:val="right" w:pos="8306"/>
      </w:tabs>
      <w:snapToGrid w:val="0"/>
    </w:pPr>
    <w:rPr>
      <w:sz w:val="18"/>
    </w:rPr>
  </w:style>
  <w:style w:type="paragraph" w:styleId="6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jc w:val="both"/>
    </w:pPr>
    <w:rPr>
      <w:sz w:val="18"/>
    </w:rPr>
  </w:style>
  <w:style w:type="paragraph" w:styleId="9">
    <w:name w:val="List Paragraph"/>
    <w:basedOn w:val="1"/>
    <w:qFormat/>
    <w:uiPriority w:val="1"/>
  </w:style>
  <w:style w:type="paragraph" w:customStyle="1" w:styleId="10">
    <w:name w:val="正文首行缩进1"/>
    <w:basedOn w:val="3"/>
    <w:qFormat/>
    <w:uiPriority w:val="0"/>
    <w:pPr>
      <w:ind w:firstLine="420" w:firstLineChars="100"/>
    </w:pPr>
    <w:rPr>
      <w:rFonts w:eastAsia="宋体"/>
    </w:rPr>
  </w:style>
  <w:style w:type="paragraph" w:customStyle="1" w:styleId="11">
    <w:name w:val="Table Paragraph"/>
    <w:basedOn w:val="1"/>
    <w:unhideWhenUsed/>
    <w:qFormat/>
    <w:uiPriority w:val="1"/>
  </w:style>
  <w:style w:type="character" w:customStyle="1" w:styleId="12">
    <w:name w:val="批注框文本 Char"/>
    <w:basedOn w:val="7"/>
    <w:link w:val="4"/>
    <w:qFormat/>
    <w:uiPriority w:val="0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Microsoft</Company>
  <Pages>6</Pages>
  <Words>327</Words>
  <Characters>1865</Characters>
  <Lines>15</Lines>
  <Paragraphs>4</Paragraphs>
  <TotalTime>10</TotalTime>
  <ScaleCrop>false</ScaleCrop>
  <LinksUpToDate>false</LinksUpToDate>
  <CharactersWithSpaces>2188</CharactersWithSpaces>
  <Application>WPS Office_11.8.2.8053_F1E327BC-269C-435d-A152-05C5408002CA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2026-01-29T00:50:00Z</dcterms:created>
  <dc:creator>Administrator</dc:creator>
  <cp:lastModifiedBy>雷伟洪</cp:lastModifiedBy>
  <cp:lastPrinted>2026-07-30T03:10:00Z</cp:lastPrinted>
  <dcterms:modified xsi:type="dcterms:W3CDTF">2026-08-27T09:38:46Z</dcterms:modified>
  <cp:revision>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2052-11.8.2.8053</vt:lpwstr>
  </property>
  <property fmtid="{D5CDD505-2E9C-101B-9397-08002B2CF9AE}" pid="3" name="ICV">
    <vt:lpwstr>170866A5A34C48BFA57F37999272D7E8_11</vt:lpwstr>
  </property>
</Properties>
</file>