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left="0" w:leftChars="0" w:firstLine="0" w:firstLineChars="0"/>
        <w:jc w:val="left"/>
        <w:rPr>
          <w:rFonts w:hint="default" w:ascii="方正小标宋_GBK" w:hAnsi="方正小标宋_GBK" w:eastAsia="方正小标宋_GBK" w:cs="方正小标宋_GBK"/>
          <w:sz w:val="40"/>
          <w:szCs w:val="52"/>
          <w:lang w:val="en-US" w:eastAsia="zh-CN"/>
        </w:rPr>
      </w:pPr>
      <w:r>
        <w:rPr>
          <w:rFonts w:hint="eastAsia" w:ascii="方正小标宋_GBK" w:hAnsi="方正小标宋_GBK" w:eastAsia="方正小标宋_GBK" w:cs="方正小标宋_GBK"/>
          <w:sz w:val="40"/>
          <w:szCs w:val="52"/>
          <w:lang w:val="en-US" w:eastAsia="zh-CN"/>
        </w:rPr>
        <w:t>附件1</w:t>
      </w:r>
    </w:p>
    <w:p>
      <w:pPr>
        <w:spacing w:line="600" w:lineRule="exact"/>
        <w:ind w:firstLine="800"/>
        <w:jc w:val="center"/>
        <w:rPr>
          <w:rFonts w:ascii="方正小标宋_GBK" w:hAnsi="方正小标宋_GBK" w:eastAsia="方正小标宋_GBK" w:cs="方正小标宋_GBK"/>
          <w:sz w:val="40"/>
          <w:szCs w:val="52"/>
        </w:rPr>
      </w:pPr>
    </w:p>
    <w:p>
      <w:pPr>
        <w:spacing w:line="600" w:lineRule="exact"/>
        <w:ind w:firstLine="0" w:firstLineChars="0"/>
        <w:jc w:val="both"/>
        <w:rPr>
          <w:rFonts w:ascii="方正小标宋_GBK" w:hAnsi="方正小标宋_GBK" w:eastAsia="方正小标宋_GBK" w:cs="方正小标宋_GBK"/>
          <w:sz w:val="40"/>
          <w:szCs w:val="52"/>
        </w:rPr>
      </w:pPr>
    </w:p>
    <w:p>
      <w:pPr>
        <w:spacing w:before="312" w:beforeLines="100" w:line="640" w:lineRule="exact"/>
        <w:ind w:firstLine="0" w:firstLineChars="0"/>
        <w:jc w:val="center"/>
        <w:rPr>
          <w:rFonts w:ascii="方正小标宋简体" w:hAnsi="方正小标宋简体" w:eastAsia="方正小标宋简体" w:cs="方正小标宋简体"/>
          <w:sz w:val="60"/>
          <w:szCs w:val="60"/>
        </w:rPr>
      </w:pPr>
      <w:r>
        <w:rPr>
          <w:rFonts w:hint="eastAsia" w:ascii="方正小标宋简体" w:hAnsi="方正小标宋简体" w:eastAsia="方正小标宋简体" w:cs="方正小标宋简体"/>
          <w:sz w:val="60"/>
          <w:szCs w:val="60"/>
        </w:rPr>
        <w:t>鹤山市加快农业农村现代化</w:t>
      </w:r>
    </w:p>
    <w:p>
      <w:pPr>
        <w:spacing w:before="312" w:beforeLines="100" w:line="640" w:lineRule="exact"/>
        <w:ind w:firstLine="0" w:firstLineChars="0"/>
        <w:jc w:val="center"/>
        <w:rPr>
          <w:rFonts w:ascii="方正小标宋简体" w:hAnsi="方正小标宋简体" w:eastAsia="方正小标宋简体" w:cs="方正小标宋简体"/>
          <w:sz w:val="60"/>
          <w:szCs w:val="60"/>
        </w:rPr>
      </w:pPr>
      <w:r>
        <w:rPr>
          <w:rFonts w:hint="eastAsia" w:ascii="方正小标宋简体" w:hAnsi="方正小标宋简体" w:eastAsia="方正小标宋简体" w:cs="方正小标宋简体"/>
          <w:sz w:val="60"/>
          <w:szCs w:val="60"/>
        </w:rPr>
        <w:t>“十五五”规划</w:t>
      </w:r>
    </w:p>
    <w:p>
      <w:pPr>
        <w:spacing w:before="312" w:beforeLines="100" w:line="640" w:lineRule="exact"/>
        <w:ind w:firstLine="0" w:firstLineChars="0"/>
        <w:jc w:val="center"/>
        <w:rPr>
          <w:rFonts w:ascii="方正楷体_GBK" w:hAnsi="方正楷体_GBK" w:eastAsia="方正楷体_GBK" w:cs="方正楷体_GBK"/>
        </w:rPr>
      </w:pPr>
      <w:r>
        <w:rPr>
          <w:rFonts w:hint="eastAsia" w:ascii="方正楷体_GBK" w:hAnsi="方正楷体_GBK" w:eastAsia="方正楷体_GBK" w:cs="方正楷体_GBK"/>
        </w:rPr>
        <w:t>（征求意见稿）</w:t>
      </w: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spacing w:line="600" w:lineRule="exact"/>
        <w:rPr>
          <w:rFonts w:cs="Times New Roman"/>
          <w:szCs w:val="44"/>
        </w:rPr>
      </w:pPr>
    </w:p>
    <w:p>
      <w:pPr>
        <w:ind w:firstLine="0" w:firstLineChars="0"/>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rPr>
        <w:t>2026年7月</w:t>
      </w:r>
    </w:p>
    <w:p>
      <w:pPr>
        <w:spacing w:line="600" w:lineRule="exact"/>
        <w:rPr>
          <w:rFonts w:cs="Times New Roman"/>
          <w:szCs w:val="44"/>
        </w:rPr>
      </w:pPr>
    </w:p>
    <w:p>
      <w:pPr>
        <w:spacing w:line="600" w:lineRule="exact"/>
        <w:ind w:firstLine="0" w:firstLineChars="0"/>
        <w:rPr>
          <w:rFonts w:cs="Times New Roman"/>
          <w:szCs w:val="44"/>
        </w:rPr>
      </w:pPr>
    </w:p>
    <w:sdt>
      <w:sdtPr>
        <w:rPr>
          <w:rFonts w:hint="eastAsia" w:ascii="方正小标宋简体" w:hAnsi="方正小标宋简体" w:eastAsia="方正小标宋简体" w:cs="方正小标宋简体"/>
          <w:kern w:val="2"/>
          <w:sz w:val="21"/>
          <w:szCs w:val="32"/>
          <w:lang w:val="en-US" w:eastAsia="zh-CN" w:bidi="ar-SA"/>
        </w:rPr>
        <w:id w:val="147478839"/>
        <w:docPartObj>
          <w:docPartGallery w:val="Table of Contents"/>
          <w:docPartUnique/>
        </w:docPartObj>
      </w:sdtPr>
      <w:sdtEndPr>
        <w:rPr>
          <w:rFonts w:hint="eastAsia" w:ascii="Times New Roman" w:hAnsi="Times New Roman" w:eastAsia="宋体" w:cs="Times New Roman"/>
          <w:b w:val="0"/>
          <w:bCs w:val="0"/>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rPr>
          </w:pPr>
          <w:bookmarkStart w:id="0" w:name="_Toc30959_WPSOffice_Type2"/>
          <w:r>
            <w:rPr>
              <w:rFonts w:hint="eastAsia" w:ascii="方正小标宋简体" w:hAnsi="方正小标宋简体" w:eastAsia="方正小标宋简体" w:cs="方正小标宋简体"/>
              <w:sz w:val="32"/>
              <w:szCs w:val="32"/>
            </w:rPr>
            <w:t>目录</w:t>
          </w:r>
        </w:p>
        <w:p>
          <w:pPr>
            <w:pStyle w:val="24"/>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_Toc13254_WPSOffice_Level1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1898f701-3e76-4529-ab85-80db6c3a4d5b}"/>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黑体" w:hAnsi="黑体" w:eastAsia="黑体" w:cs="黑体"/>
                  <w:b w:val="0"/>
                  <w:bCs w:val="0"/>
                  <w:sz w:val="32"/>
                  <w:szCs w:val="32"/>
                </w:rPr>
                <w:t>第一章 “十五五”总体要求与发展目标</w:t>
              </w:r>
            </w:sdtContent>
          </w:sdt>
          <w:r>
            <w:rPr>
              <w:rFonts w:hint="eastAsia" w:ascii="楷体_GB2312" w:hAnsi="楷体_GB2312" w:eastAsia="楷体_GB2312" w:cs="楷体_GB2312"/>
              <w:b w:val="0"/>
              <w:bCs w:val="0"/>
              <w:sz w:val="32"/>
              <w:szCs w:val="32"/>
            </w:rPr>
            <w:tab/>
          </w:r>
          <w:bookmarkStart w:id="1" w:name="_Toc13254_WPSOffice_Level1Page"/>
          <w:r>
            <w:rPr>
              <w:rFonts w:hint="eastAsia" w:ascii="楷体_GB2312" w:hAnsi="楷体_GB2312" w:eastAsia="楷体_GB2312" w:cs="楷体_GB2312"/>
              <w:b w:val="0"/>
              <w:bCs w:val="0"/>
              <w:sz w:val="32"/>
              <w:szCs w:val="32"/>
            </w:rPr>
            <w:t>1</w:t>
          </w:r>
          <w:bookmarkEnd w:id="1"/>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_Toc30959_WPSOffice_Level2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6fb4d291-792a-415f-80c5-4ffbb02b60ec}"/>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一、总体要求</w:t>
              </w:r>
            </w:sdtContent>
          </w:sdt>
          <w:r>
            <w:rPr>
              <w:rFonts w:hint="eastAsia" w:ascii="楷体_GB2312" w:hAnsi="楷体_GB2312" w:eastAsia="楷体_GB2312" w:cs="楷体_GB2312"/>
              <w:b w:val="0"/>
              <w:bCs w:val="0"/>
              <w:sz w:val="32"/>
              <w:szCs w:val="32"/>
            </w:rPr>
            <w:tab/>
          </w:r>
          <w:bookmarkStart w:id="2" w:name="_Toc30959_WPSOffice_Level2Page"/>
          <w:r>
            <w:rPr>
              <w:rFonts w:hint="eastAsia" w:ascii="楷体_GB2312" w:hAnsi="楷体_GB2312" w:eastAsia="楷体_GB2312" w:cs="楷体_GB2312"/>
              <w:b w:val="0"/>
              <w:bCs w:val="0"/>
              <w:sz w:val="32"/>
              <w:szCs w:val="32"/>
            </w:rPr>
            <w:t>1</w:t>
          </w:r>
          <w:bookmarkEnd w:id="2"/>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_Toc29051_WPSOffice_Level2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8e63e205-8cee-449a-a04d-f6e5fb444c45}"/>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二、发展目标</w:t>
              </w:r>
            </w:sdtContent>
          </w:sdt>
          <w:r>
            <w:rPr>
              <w:rFonts w:hint="eastAsia" w:ascii="楷体_GB2312" w:hAnsi="楷体_GB2312" w:eastAsia="楷体_GB2312" w:cs="楷体_GB2312"/>
              <w:b w:val="0"/>
              <w:bCs w:val="0"/>
              <w:sz w:val="32"/>
              <w:szCs w:val="32"/>
            </w:rPr>
            <w:tab/>
          </w:r>
          <w:bookmarkStart w:id="3" w:name="_Toc29051_WPSOffice_Level2Page"/>
          <w:r>
            <w:rPr>
              <w:rFonts w:hint="eastAsia" w:ascii="楷体_GB2312" w:hAnsi="楷体_GB2312" w:eastAsia="楷体_GB2312" w:cs="楷体_GB2312"/>
              <w:b w:val="0"/>
              <w:bCs w:val="0"/>
              <w:sz w:val="32"/>
              <w:szCs w:val="32"/>
            </w:rPr>
            <w:t>1</w:t>
          </w:r>
          <w:bookmarkEnd w:id="3"/>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_Toc27845_WPSOffice_Level2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beaed631-89c6-4180-93b2-c73a8c01865a}"/>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表3  鹤山市加快农业农村现代化“十五五”规划目标表</w:t>
              </w:r>
            </w:sdtContent>
          </w:sdt>
          <w:r>
            <w:rPr>
              <w:rFonts w:hint="eastAsia" w:ascii="楷体_GB2312" w:hAnsi="楷体_GB2312" w:eastAsia="楷体_GB2312" w:cs="楷体_GB2312"/>
              <w:b w:val="0"/>
              <w:bCs w:val="0"/>
              <w:sz w:val="32"/>
              <w:szCs w:val="32"/>
            </w:rPr>
            <w:tab/>
          </w:r>
          <w:bookmarkStart w:id="4" w:name="_Toc27845_WPSOffice_Level2Page"/>
          <w:r>
            <w:rPr>
              <w:rFonts w:hint="eastAsia" w:ascii="楷体_GB2312" w:hAnsi="楷体_GB2312" w:eastAsia="楷体_GB2312" w:cs="楷体_GB2312"/>
              <w:b w:val="0"/>
              <w:bCs w:val="0"/>
              <w:sz w:val="32"/>
              <w:szCs w:val="32"/>
            </w:rPr>
            <w:t>2</w:t>
          </w:r>
          <w:bookmarkEnd w:id="4"/>
          <w:r>
            <w:rPr>
              <w:rFonts w:hint="eastAsia" w:ascii="楷体_GB2312" w:hAnsi="楷体_GB2312" w:eastAsia="楷体_GB2312" w:cs="楷体_GB2312"/>
              <w:b w:val="0"/>
              <w:bCs w:val="0"/>
              <w:sz w:val="32"/>
              <w:szCs w:val="32"/>
            </w:rPr>
            <w:fldChar w:fldCharType="end"/>
          </w:r>
        </w:p>
        <w:p>
          <w:pPr>
            <w:pStyle w:val="24"/>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_Toc30959_WPSOffice_Level1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80567356-42c7-4c6f-aae7-ec5d5f3abe78}"/>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黑体" w:hAnsi="黑体" w:eastAsia="黑体" w:cs="黑体"/>
                  <w:b w:val="0"/>
                  <w:bCs w:val="0"/>
                  <w:sz w:val="32"/>
                  <w:szCs w:val="32"/>
                </w:rPr>
                <w:t>第二章 推动农业综合生产能力提质增效</w:t>
              </w:r>
            </w:sdtContent>
          </w:sdt>
          <w:r>
            <w:rPr>
              <w:rFonts w:hint="eastAsia" w:ascii="楷体_GB2312" w:hAnsi="楷体_GB2312" w:eastAsia="楷体_GB2312" w:cs="楷体_GB2312"/>
              <w:b w:val="0"/>
              <w:bCs w:val="0"/>
              <w:sz w:val="32"/>
              <w:szCs w:val="32"/>
            </w:rPr>
            <w:tab/>
          </w:r>
          <w:bookmarkStart w:id="5" w:name="_Toc30959_WPSOffice_Level1Page"/>
          <w:r>
            <w:rPr>
              <w:rFonts w:hint="eastAsia" w:ascii="楷体_GB2312" w:hAnsi="楷体_GB2312" w:eastAsia="楷体_GB2312" w:cs="楷体_GB2312"/>
              <w:b w:val="0"/>
              <w:bCs w:val="0"/>
              <w:sz w:val="32"/>
              <w:szCs w:val="32"/>
            </w:rPr>
            <w:t>3</w:t>
          </w:r>
          <w:bookmarkEnd w:id="5"/>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_Toc23117_WPSOffice_Level2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ad081361-20ef-43df-a89e-2ea4c0d92c85}"/>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一、强化耕地保护与农田建设</w:t>
              </w:r>
            </w:sdtContent>
          </w:sdt>
          <w:r>
            <w:rPr>
              <w:rFonts w:hint="eastAsia" w:ascii="楷体_GB2312" w:hAnsi="楷体_GB2312" w:eastAsia="楷体_GB2312" w:cs="楷体_GB2312"/>
              <w:b w:val="0"/>
              <w:bCs w:val="0"/>
              <w:sz w:val="32"/>
              <w:szCs w:val="32"/>
            </w:rPr>
            <w:tab/>
          </w:r>
          <w:bookmarkStart w:id="6" w:name="_Toc23117_WPSOffice_Level2Page"/>
          <w:r>
            <w:rPr>
              <w:rFonts w:hint="eastAsia" w:ascii="楷体_GB2312" w:hAnsi="楷体_GB2312" w:eastAsia="楷体_GB2312" w:cs="楷体_GB2312"/>
              <w:b w:val="0"/>
              <w:bCs w:val="0"/>
              <w:sz w:val="32"/>
              <w:szCs w:val="32"/>
            </w:rPr>
            <w:t>3</w:t>
          </w:r>
          <w:bookmarkEnd w:id="6"/>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_Toc2288_WPSOffice_Level2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0a5879cf-092d-412f-9540-afe9f424dd57}"/>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二、提升重要农产品稳产保供能力</w:t>
              </w:r>
            </w:sdtContent>
          </w:sdt>
          <w:r>
            <w:rPr>
              <w:rFonts w:hint="eastAsia" w:ascii="楷体_GB2312" w:hAnsi="楷体_GB2312" w:eastAsia="楷体_GB2312" w:cs="楷体_GB2312"/>
              <w:b w:val="0"/>
              <w:bCs w:val="0"/>
              <w:sz w:val="32"/>
              <w:szCs w:val="32"/>
            </w:rPr>
            <w:tab/>
          </w:r>
          <w:bookmarkStart w:id="7" w:name="_Toc2288_WPSOffice_Level2Page"/>
          <w:r>
            <w:rPr>
              <w:rFonts w:hint="eastAsia" w:ascii="楷体_GB2312" w:hAnsi="楷体_GB2312" w:eastAsia="楷体_GB2312" w:cs="楷体_GB2312"/>
              <w:b w:val="0"/>
              <w:bCs w:val="0"/>
              <w:sz w:val="32"/>
              <w:szCs w:val="32"/>
            </w:rPr>
            <w:t>4</w:t>
          </w:r>
          <w:bookmarkEnd w:id="7"/>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_Toc5891_WPSOffice_Level2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5f436585-730d-487c-908d-6e39f29befac}"/>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三、推动特色富民产业提质增效</w:t>
              </w:r>
            </w:sdtContent>
          </w:sdt>
          <w:r>
            <w:rPr>
              <w:rFonts w:hint="eastAsia" w:ascii="楷体_GB2312" w:hAnsi="楷体_GB2312" w:eastAsia="楷体_GB2312" w:cs="楷体_GB2312"/>
              <w:b w:val="0"/>
              <w:bCs w:val="0"/>
              <w:sz w:val="32"/>
              <w:szCs w:val="32"/>
            </w:rPr>
            <w:tab/>
          </w:r>
          <w:bookmarkStart w:id="8" w:name="_Toc5891_WPSOffice_Level2Page"/>
          <w:r>
            <w:rPr>
              <w:rFonts w:hint="eastAsia" w:ascii="楷体_GB2312" w:hAnsi="楷体_GB2312" w:eastAsia="楷体_GB2312" w:cs="楷体_GB2312"/>
              <w:b w:val="0"/>
              <w:bCs w:val="0"/>
              <w:sz w:val="32"/>
              <w:szCs w:val="32"/>
            </w:rPr>
            <w:t>4</w:t>
          </w:r>
          <w:bookmarkEnd w:id="8"/>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_Toc24520_WPSOffice_Level2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a9e041c3-d360-4e27-8f69-5fb9466f360e}"/>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四、加强品牌培育与营销推广</w:t>
              </w:r>
            </w:sdtContent>
          </w:sdt>
          <w:r>
            <w:rPr>
              <w:rFonts w:hint="eastAsia" w:ascii="楷体_GB2312" w:hAnsi="楷体_GB2312" w:eastAsia="楷体_GB2312" w:cs="楷体_GB2312"/>
              <w:b w:val="0"/>
              <w:bCs w:val="0"/>
              <w:sz w:val="32"/>
              <w:szCs w:val="32"/>
            </w:rPr>
            <w:tab/>
          </w:r>
          <w:bookmarkStart w:id="9" w:name="_Toc24520_WPSOffice_Level2Page"/>
          <w:r>
            <w:rPr>
              <w:rFonts w:hint="eastAsia" w:ascii="楷体_GB2312" w:hAnsi="楷体_GB2312" w:eastAsia="楷体_GB2312" w:cs="楷体_GB2312"/>
              <w:b w:val="0"/>
              <w:bCs w:val="0"/>
              <w:sz w:val="32"/>
              <w:szCs w:val="32"/>
            </w:rPr>
            <w:t>5</w:t>
          </w:r>
          <w:bookmarkEnd w:id="9"/>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_Toc10671_WPSOffice_Level2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85c1145e-bde0-4fd7-8816-0ee22871f3b0}"/>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五、深化绿色循环，推动农业发展低碳转型</w:t>
              </w:r>
            </w:sdtContent>
          </w:sdt>
          <w:r>
            <w:rPr>
              <w:rFonts w:hint="eastAsia" w:ascii="楷体_GB2312" w:hAnsi="楷体_GB2312" w:eastAsia="楷体_GB2312" w:cs="楷体_GB2312"/>
              <w:b w:val="0"/>
              <w:bCs w:val="0"/>
              <w:sz w:val="32"/>
              <w:szCs w:val="32"/>
            </w:rPr>
            <w:tab/>
          </w:r>
          <w:bookmarkStart w:id="10" w:name="_Toc10671_WPSOffice_Level2Page"/>
          <w:r>
            <w:rPr>
              <w:rFonts w:hint="eastAsia" w:ascii="楷体_GB2312" w:hAnsi="楷体_GB2312" w:eastAsia="楷体_GB2312" w:cs="楷体_GB2312"/>
              <w:b w:val="0"/>
              <w:bCs w:val="0"/>
              <w:sz w:val="32"/>
              <w:szCs w:val="32"/>
            </w:rPr>
            <w:t>6</w:t>
          </w:r>
          <w:bookmarkEnd w:id="10"/>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_Toc10181_WPSOffice_Level2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2cc3dce5-9176-4680-a480-5504373b31b4}"/>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六、筑牢安全防线，提升防灾减灾救灾能力</w:t>
              </w:r>
            </w:sdtContent>
          </w:sdt>
          <w:r>
            <w:rPr>
              <w:rFonts w:hint="eastAsia" w:ascii="楷体_GB2312" w:hAnsi="楷体_GB2312" w:eastAsia="楷体_GB2312" w:cs="楷体_GB2312"/>
              <w:b w:val="0"/>
              <w:bCs w:val="0"/>
              <w:sz w:val="32"/>
              <w:szCs w:val="32"/>
            </w:rPr>
            <w:tab/>
          </w:r>
          <w:bookmarkStart w:id="11" w:name="_Toc10181_WPSOffice_Level2Page"/>
          <w:r>
            <w:rPr>
              <w:rFonts w:hint="eastAsia" w:ascii="楷体_GB2312" w:hAnsi="楷体_GB2312" w:eastAsia="楷体_GB2312" w:cs="楷体_GB2312"/>
              <w:b w:val="0"/>
              <w:bCs w:val="0"/>
              <w:sz w:val="32"/>
              <w:szCs w:val="32"/>
            </w:rPr>
            <w:t>7</w:t>
          </w:r>
          <w:bookmarkEnd w:id="11"/>
          <w:r>
            <w:rPr>
              <w:rFonts w:hint="eastAsia" w:ascii="楷体_GB2312" w:hAnsi="楷体_GB2312" w:eastAsia="楷体_GB2312" w:cs="楷体_GB2312"/>
              <w:b w:val="0"/>
              <w:bCs w:val="0"/>
              <w:sz w:val="32"/>
              <w:szCs w:val="32"/>
            </w:rPr>
            <w:fldChar w:fldCharType="end"/>
          </w:r>
        </w:p>
        <w:p>
          <w:pPr>
            <w:pStyle w:val="24"/>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_Toc29051_WPSOffice_Level1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0201c730-1e44-46c4-82a6-3a10761c6ba0}"/>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黑体" w:hAnsi="黑体" w:eastAsia="黑体" w:cs="黑体"/>
                  <w:b w:val="0"/>
                  <w:bCs w:val="0"/>
                  <w:sz w:val="32"/>
                  <w:szCs w:val="32"/>
                </w:rPr>
                <w:t>第三章 以科技创新引领农业新质生产力发展</w:t>
              </w:r>
            </w:sdtContent>
          </w:sdt>
          <w:r>
            <w:rPr>
              <w:rFonts w:hint="eastAsia" w:ascii="楷体_GB2312" w:hAnsi="楷体_GB2312" w:eastAsia="楷体_GB2312" w:cs="楷体_GB2312"/>
              <w:b w:val="0"/>
              <w:bCs w:val="0"/>
              <w:sz w:val="32"/>
              <w:szCs w:val="32"/>
            </w:rPr>
            <w:tab/>
          </w:r>
          <w:bookmarkStart w:id="12" w:name="_Toc29051_WPSOffice_Level1Page"/>
          <w:r>
            <w:rPr>
              <w:rFonts w:hint="eastAsia" w:ascii="楷体_GB2312" w:hAnsi="楷体_GB2312" w:eastAsia="楷体_GB2312" w:cs="楷体_GB2312"/>
              <w:b w:val="0"/>
              <w:bCs w:val="0"/>
              <w:sz w:val="32"/>
              <w:szCs w:val="32"/>
            </w:rPr>
            <w:t>8</w:t>
          </w:r>
          <w:bookmarkEnd w:id="12"/>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_Toc213_WPSOffice_Level2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8502a8cd-5ba7-43ca-9244-dd7cbaccb109}"/>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一、健全科技兴农体系，赋能产业提质增效</w:t>
              </w:r>
            </w:sdtContent>
          </w:sdt>
          <w:r>
            <w:rPr>
              <w:rFonts w:hint="eastAsia" w:ascii="楷体_GB2312" w:hAnsi="楷体_GB2312" w:eastAsia="楷体_GB2312" w:cs="楷体_GB2312"/>
              <w:b w:val="0"/>
              <w:bCs w:val="0"/>
              <w:sz w:val="32"/>
              <w:szCs w:val="32"/>
            </w:rPr>
            <w:tab/>
          </w:r>
          <w:bookmarkStart w:id="13" w:name="_Toc213_WPSOffice_Level2Page"/>
          <w:r>
            <w:rPr>
              <w:rFonts w:hint="eastAsia" w:ascii="楷体_GB2312" w:hAnsi="楷体_GB2312" w:eastAsia="楷体_GB2312" w:cs="楷体_GB2312"/>
              <w:b w:val="0"/>
              <w:bCs w:val="0"/>
              <w:sz w:val="32"/>
              <w:szCs w:val="32"/>
            </w:rPr>
            <w:t>8</w:t>
          </w:r>
          <w:bookmarkEnd w:id="13"/>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_Toc1949_WPSOffice_Level2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94cc49f5-8765-44b3-873a-5b8b205a43ba}"/>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二、升级现代农机装备，提升智能作业水平</w:t>
              </w:r>
            </w:sdtContent>
          </w:sdt>
          <w:r>
            <w:rPr>
              <w:rFonts w:hint="eastAsia" w:ascii="楷体_GB2312" w:hAnsi="楷体_GB2312" w:eastAsia="楷体_GB2312" w:cs="楷体_GB2312"/>
              <w:b w:val="0"/>
              <w:bCs w:val="0"/>
              <w:sz w:val="32"/>
              <w:szCs w:val="32"/>
            </w:rPr>
            <w:tab/>
          </w:r>
          <w:bookmarkStart w:id="14" w:name="_Toc1949_WPSOffice_Level2Page"/>
          <w:r>
            <w:rPr>
              <w:rFonts w:hint="eastAsia" w:ascii="楷体_GB2312" w:hAnsi="楷体_GB2312" w:eastAsia="楷体_GB2312" w:cs="楷体_GB2312"/>
              <w:b w:val="0"/>
              <w:bCs w:val="0"/>
              <w:sz w:val="32"/>
              <w:szCs w:val="32"/>
            </w:rPr>
            <w:t>9</w:t>
          </w:r>
          <w:bookmarkEnd w:id="14"/>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_Toc22923_WPSOffice_Level2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1193ca9e-d3e5-4962-a448-93a658676bbe}"/>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三、深化智慧农业应用，拓展数字赋能场景</w:t>
              </w:r>
            </w:sdtContent>
          </w:sdt>
          <w:r>
            <w:rPr>
              <w:rFonts w:hint="eastAsia" w:ascii="楷体_GB2312" w:hAnsi="楷体_GB2312" w:eastAsia="楷体_GB2312" w:cs="楷体_GB2312"/>
              <w:b w:val="0"/>
              <w:bCs w:val="0"/>
              <w:sz w:val="32"/>
              <w:szCs w:val="32"/>
            </w:rPr>
            <w:tab/>
          </w:r>
          <w:bookmarkStart w:id="15" w:name="_Toc22923_WPSOffice_Level2Page"/>
          <w:r>
            <w:rPr>
              <w:rFonts w:hint="eastAsia" w:ascii="楷体_GB2312" w:hAnsi="楷体_GB2312" w:eastAsia="楷体_GB2312" w:cs="楷体_GB2312"/>
              <w:b w:val="0"/>
              <w:bCs w:val="0"/>
              <w:sz w:val="32"/>
              <w:szCs w:val="32"/>
            </w:rPr>
            <w:t>10</w:t>
          </w:r>
          <w:bookmarkEnd w:id="15"/>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_Toc7267_WPSOffice_Level2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161d6812-ead0-4e89-a6cd-efd57b21b2ac}"/>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四、促进科技成果转化，完善产学研用机制</w:t>
              </w:r>
            </w:sdtContent>
          </w:sdt>
          <w:r>
            <w:rPr>
              <w:rFonts w:hint="eastAsia" w:ascii="楷体_GB2312" w:hAnsi="楷体_GB2312" w:eastAsia="楷体_GB2312" w:cs="楷体_GB2312"/>
              <w:b w:val="0"/>
              <w:bCs w:val="0"/>
              <w:sz w:val="32"/>
              <w:szCs w:val="32"/>
            </w:rPr>
            <w:tab/>
          </w:r>
          <w:bookmarkStart w:id="16" w:name="_Toc7267_WPSOffice_Level2Page"/>
          <w:r>
            <w:rPr>
              <w:rFonts w:hint="eastAsia" w:ascii="楷体_GB2312" w:hAnsi="楷体_GB2312" w:eastAsia="楷体_GB2312" w:cs="楷体_GB2312"/>
              <w:b w:val="0"/>
              <w:bCs w:val="0"/>
              <w:sz w:val="32"/>
              <w:szCs w:val="32"/>
            </w:rPr>
            <w:t>10</w:t>
          </w:r>
          <w:bookmarkEnd w:id="16"/>
          <w:r>
            <w:rPr>
              <w:rFonts w:hint="eastAsia" w:ascii="楷体_GB2312" w:hAnsi="楷体_GB2312" w:eastAsia="楷体_GB2312" w:cs="楷体_GB2312"/>
              <w:b w:val="0"/>
              <w:bCs w:val="0"/>
              <w:sz w:val="32"/>
              <w:szCs w:val="32"/>
            </w:rPr>
            <w:fldChar w:fldCharType="end"/>
          </w:r>
        </w:p>
        <w:p>
          <w:pPr>
            <w:pStyle w:val="24"/>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_Toc27845_WPSOffice_Level1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66bcd8d5-3b76-4a45-bac5-5d74a1899a6a}"/>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黑体" w:hAnsi="黑体" w:eastAsia="黑体" w:cs="黑体"/>
                  <w:b w:val="0"/>
                  <w:bCs w:val="0"/>
                  <w:sz w:val="32"/>
                  <w:szCs w:val="32"/>
                </w:rPr>
                <w:t>第四章 建设宜居宜业和美乡村</w:t>
              </w:r>
            </w:sdtContent>
          </w:sdt>
          <w:r>
            <w:rPr>
              <w:rFonts w:hint="eastAsia" w:ascii="楷体_GB2312" w:hAnsi="楷体_GB2312" w:eastAsia="楷体_GB2312" w:cs="楷体_GB2312"/>
              <w:b w:val="0"/>
              <w:bCs w:val="0"/>
              <w:sz w:val="32"/>
              <w:szCs w:val="32"/>
            </w:rPr>
            <w:tab/>
          </w:r>
          <w:bookmarkStart w:id="17" w:name="_Toc27845_WPSOffice_Level1Page"/>
          <w:r>
            <w:rPr>
              <w:rFonts w:hint="eastAsia" w:ascii="楷体_GB2312" w:hAnsi="楷体_GB2312" w:eastAsia="楷体_GB2312" w:cs="楷体_GB2312"/>
              <w:b w:val="0"/>
              <w:bCs w:val="0"/>
              <w:sz w:val="32"/>
              <w:szCs w:val="32"/>
            </w:rPr>
            <w:t>11</w:t>
          </w:r>
          <w:bookmarkEnd w:id="17"/>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_Toc10145_WPSOffice_Level2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00dd16ba-0542-476b-a477-3c6915713ca3}"/>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一、提质乡村基础设施，筑牢融合发展根基</w:t>
              </w:r>
            </w:sdtContent>
          </w:sdt>
          <w:r>
            <w:rPr>
              <w:rFonts w:hint="eastAsia" w:ascii="楷体_GB2312" w:hAnsi="楷体_GB2312" w:eastAsia="楷体_GB2312" w:cs="楷体_GB2312"/>
              <w:b w:val="0"/>
              <w:bCs w:val="0"/>
              <w:sz w:val="32"/>
              <w:szCs w:val="32"/>
            </w:rPr>
            <w:tab/>
          </w:r>
          <w:bookmarkStart w:id="18" w:name="_Toc10145_WPSOffice_Level2Page"/>
          <w:r>
            <w:rPr>
              <w:rFonts w:hint="eastAsia" w:ascii="楷体_GB2312" w:hAnsi="楷体_GB2312" w:eastAsia="楷体_GB2312" w:cs="楷体_GB2312"/>
              <w:b w:val="0"/>
              <w:bCs w:val="0"/>
              <w:sz w:val="32"/>
              <w:szCs w:val="32"/>
            </w:rPr>
            <w:t>11</w:t>
          </w:r>
          <w:bookmarkEnd w:id="18"/>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_Toc20873_WPSOffice_Level2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c22fb084-a779-492e-bb93-e9fedcc032e2}"/>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二、提升人居环境品质，建设美丽宜居乡村</w:t>
              </w:r>
            </w:sdtContent>
          </w:sdt>
          <w:r>
            <w:rPr>
              <w:rFonts w:hint="eastAsia" w:ascii="楷体_GB2312" w:hAnsi="楷体_GB2312" w:eastAsia="楷体_GB2312" w:cs="楷体_GB2312"/>
              <w:b w:val="0"/>
              <w:bCs w:val="0"/>
              <w:sz w:val="32"/>
              <w:szCs w:val="32"/>
            </w:rPr>
            <w:tab/>
          </w:r>
          <w:bookmarkStart w:id="19" w:name="_Toc20873_WPSOffice_Level2Page"/>
          <w:r>
            <w:rPr>
              <w:rFonts w:hint="eastAsia" w:ascii="楷体_GB2312" w:hAnsi="楷体_GB2312" w:eastAsia="楷体_GB2312" w:cs="楷体_GB2312"/>
              <w:b w:val="0"/>
              <w:bCs w:val="0"/>
              <w:sz w:val="32"/>
              <w:szCs w:val="32"/>
            </w:rPr>
            <w:t>12</w:t>
          </w:r>
          <w:bookmarkEnd w:id="19"/>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_Toc23580_WPSOffice_Level2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073e2bf9-e75e-4bc1-97cd-e889418b77c2}"/>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三、优化公共服务供给，推动城乡均等共享</w:t>
              </w:r>
            </w:sdtContent>
          </w:sdt>
          <w:r>
            <w:rPr>
              <w:rFonts w:hint="eastAsia" w:ascii="楷体_GB2312" w:hAnsi="楷体_GB2312" w:eastAsia="楷体_GB2312" w:cs="楷体_GB2312"/>
              <w:b w:val="0"/>
              <w:bCs w:val="0"/>
              <w:sz w:val="32"/>
              <w:szCs w:val="32"/>
            </w:rPr>
            <w:tab/>
          </w:r>
          <w:bookmarkStart w:id="20" w:name="_Toc23580_WPSOffice_Level2Page"/>
          <w:r>
            <w:rPr>
              <w:rFonts w:hint="eastAsia" w:ascii="楷体_GB2312" w:hAnsi="楷体_GB2312" w:eastAsia="楷体_GB2312" w:cs="楷体_GB2312"/>
              <w:b w:val="0"/>
              <w:bCs w:val="0"/>
              <w:sz w:val="32"/>
              <w:szCs w:val="32"/>
            </w:rPr>
            <w:t>13</w:t>
          </w:r>
          <w:bookmarkEnd w:id="20"/>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_Toc8684_WPSOffice_Level2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77795ca7-8ee6-448b-b731-c63e43fd3b98}"/>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四、健全长效管护机制，巩固乡村建设成果</w:t>
              </w:r>
            </w:sdtContent>
          </w:sdt>
          <w:r>
            <w:rPr>
              <w:rFonts w:hint="eastAsia" w:ascii="楷体_GB2312" w:hAnsi="楷体_GB2312" w:eastAsia="楷体_GB2312" w:cs="楷体_GB2312"/>
              <w:b w:val="0"/>
              <w:bCs w:val="0"/>
              <w:sz w:val="32"/>
              <w:szCs w:val="32"/>
            </w:rPr>
            <w:tab/>
          </w:r>
          <w:bookmarkStart w:id="21" w:name="_Toc8684_WPSOffice_Level2Page"/>
          <w:r>
            <w:rPr>
              <w:rFonts w:hint="eastAsia" w:ascii="楷体_GB2312" w:hAnsi="楷体_GB2312" w:eastAsia="楷体_GB2312" w:cs="楷体_GB2312"/>
              <w:b w:val="0"/>
              <w:bCs w:val="0"/>
              <w:sz w:val="32"/>
              <w:szCs w:val="32"/>
            </w:rPr>
            <w:t>14</w:t>
          </w:r>
          <w:bookmarkEnd w:id="21"/>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_Toc25744_WPSOffice_Level2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1ea1728c-11e8-4b6d-b31f-ad616c7329e3}"/>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五、深化乡村治理创新，提升智慧治理效能</w:t>
              </w:r>
            </w:sdtContent>
          </w:sdt>
          <w:r>
            <w:rPr>
              <w:rFonts w:hint="eastAsia" w:ascii="楷体_GB2312" w:hAnsi="楷体_GB2312" w:eastAsia="楷体_GB2312" w:cs="楷体_GB2312"/>
              <w:b w:val="0"/>
              <w:bCs w:val="0"/>
              <w:sz w:val="32"/>
              <w:szCs w:val="32"/>
            </w:rPr>
            <w:tab/>
          </w:r>
          <w:bookmarkStart w:id="22" w:name="_Toc25744_WPSOffice_Level2Page"/>
          <w:r>
            <w:rPr>
              <w:rFonts w:hint="eastAsia" w:ascii="楷体_GB2312" w:hAnsi="楷体_GB2312" w:eastAsia="楷体_GB2312" w:cs="楷体_GB2312"/>
              <w:b w:val="0"/>
              <w:bCs w:val="0"/>
              <w:sz w:val="32"/>
              <w:szCs w:val="32"/>
            </w:rPr>
            <w:t>15</w:t>
          </w:r>
          <w:bookmarkEnd w:id="22"/>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_Toc21082_WPSOffice_Level2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5398d675-24da-4519-bdb3-00711a629a6e}"/>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六、涵养文明乡风家风，焕发乡村文化新气象</w:t>
              </w:r>
            </w:sdtContent>
          </w:sdt>
          <w:r>
            <w:rPr>
              <w:rFonts w:hint="eastAsia" w:ascii="楷体_GB2312" w:hAnsi="楷体_GB2312" w:eastAsia="楷体_GB2312" w:cs="楷体_GB2312"/>
              <w:b w:val="0"/>
              <w:bCs w:val="0"/>
              <w:sz w:val="32"/>
              <w:szCs w:val="32"/>
            </w:rPr>
            <w:tab/>
          </w:r>
          <w:bookmarkStart w:id="23" w:name="_Toc21082_WPSOffice_Level2Page"/>
          <w:r>
            <w:rPr>
              <w:rFonts w:hint="eastAsia" w:ascii="楷体_GB2312" w:hAnsi="楷体_GB2312" w:eastAsia="楷体_GB2312" w:cs="楷体_GB2312"/>
              <w:b w:val="0"/>
              <w:bCs w:val="0"/>
              <w:sz w:val="32"/>
              <w:szCs w:val="32"/>
            </w:rPr>
            <w:t>15</w:t>
          </w:r>
          <w:bookmarkEnd w:id="23"/>
          <w:r>
            <w:rPr>
              <w:rFonts w:hint="eastAsia" w:ascii="楷体_GB2312" w:hAnsi="楷体_GB2312" w:eastAsia="楷体_GB2312" w:cs="楷体_GB2312"/>
              <w:b w:val="0"/>
              <w:bCs w:val="0"/>
              <w:sz w:val="32"/>
              <w:szCs w:val="32"/>
            </w:rPr>
            <w:fldChar w:fldCharType="end"/>
          </w:r>
        </w:p>
        <w:p>
          <w:pPr>
            <w:pStyle w:val="24"/>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_Toc23117_WPSOffice_Level1 </w:instrText>
          </w:r>
          <w:r>
            <w:rPr>
              <w:rFonts w:hint="eastAsia" w:ascii="楷体_GB2312" w:hAnsi="楷体_GB2312" w:eastAsia="楷体_GB2312" w:cs="楷体_GB2312"/>
              <w:b w:val="0"/>
              <w:bCs w:val="0"/>
              <w:sz w:val="32"/>
              <w:szCs w:val="32"/>
            </w:rPr>
            <w:fldChar w:fldCharType="separate"/>
          </w:r>
          <w:sdt>
            <w:sdtPr>
              <w:rPr>
                <w:rFonts w:hint="eastAsia" w:ascii="黑体" w:hAnsi="黑体" w:eastAsia="黑体" w:cs="黑体"/>
                <w:b w:val="0"/>
                <w:bCs w:val="0"/>
                <w:sz w:val="32"/>
                <w:szCs w:val="32"/>
                <w:lang w:val="en-US" w:eastAsia="zh-CN"/>
              </w:rPr>
              <w:id w:val="147478839"/>
              <w:placeholder>
                <w:docPart w:val="{7d922384-abb8-4410-876d-5cfe149d2197}"/>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黑体" w:hAnsi="黑体" w:eastAsia="黑体" w:cs="黑体"/>
                  <w:b w:val="0"/>
                  <w:bCs w:val="0"/>
                  <w:sz w:val="32"/>
                  <w:szCs w:val="32"/>
                </w:rPr>
                <w:t>第五章 畅通城乡要素双向流动与共同富裕</w:t>
              </w:r>
            </w:sdtContent>
          </w:sdt>
          <w:r>
            <w:rPr>
              <w:rFonts w:hint="eastAsia" w:ascii="楷体_GB2312" w:hAnsi="楷体_GB2312" w:eastAsia="楷体_GB2312" w:cs="楷体_GB2312"/>
              <w:b w:val="0"/>
              <w:bCs w:val="0"/>
              <w:sz w:val="32"/>
              <w:szCs w:val="32"/>
            </w:rPr>
            <w:tab/>
          </w:r>
          <w:bookmarkStart w:id="24" w:name="_Toc23117_WPSOffice_Level1Page"/>
          <w:r>
            <w:rPr>
              <w:rFonts w:hint="eastAsia" w:ascii="楷体_GB2312" w:hAnsi="楷体_GB2312" w:eastAsia="楷体_GB2312" w:cs="楷体_GB2312"/>
              <w:b w:val="0"/>
              <w:bCs w:val="0"/>
              <w:sz w:val="32"/>
              <w:szCs w:val="32"/>
            </w:rPr>
            <w:t>16</w:t>
          </w:r>
          <w:bookmarkEnd w:id="24"/>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_Toc21004_WPSOffice_Level2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b2b1853e-9840-4a7a-881f-02695efb5e03}"/>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一、强化县镇村联动，统筹城乡区域发展</w:t>
              </w:r>
            </w:sdtContent>
          </w:sdt>
          <w:r>
            <w:rPr>
              <w:rFonts w:hint="eastAsia" w:ascii="楷体_GB2312" w:hAnsi="楷体_GB2312" w:eastAsia="楷体_GB2312" w:cs="楷体_GB2312"/>
              <w:b w:val="0"/>
              <w:bCs w:val="0"/>
              <w:sz w:val="32"/>
              <w:szCs w:val="32"/>
            </w:rPr>
            <w:tab/>
          </w:r>
          <w:bookmarkStart w:id="25" w:name="_Toc21004_WPSOffice_Level2Page"/>
          <w:r>
            <w:rPr>
              <w:rFonts w:hint="eastAsia" w:ascii="楷体_GB2312" w:hAnsi="楷体_GB2312" w:eastAsia="楷体_GB2312" w:cs="楷体_GB2312"/>
              <w:b w:val="0"/>
              <w:bCs w:val="0"/>
              <w:sz w:val="32"/>
              <w:szCs w:val="32"/>
            </w:rPr>
            <w:t>16</w:t>
          </w:r>
          <w:bookmarkEnd w:id="25"/>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_Toc31025_WPSOffice_Level2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5ac25e22-2c74-412d-9edb-1a3ae9d6df4f}"/>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二、畅通要素流动，优化资源配置效能</w:t>
              </w:r>
            </w:sdtContent>
          </w:sdt>
          <w:r>
            <w:rPr>
              <w:rFonts w:hint="eastAsia" w:ascii="楷体_GB2312" w:hAnsi="楷体_GB2312" w:eastAsia="楷体_GB2312" w:cs="楷体_GB2312"/>
              <w:b w:val="0"/>
              <w:bCs w:val="0"/>
              <w:sz w:val="32"/>
              <w:szCs w:val="32"/>
            </w:rPr>
            <w:tab/>
          </w:r>
          <w:bookmarkStart w:id="26" w:name="_Toc31025_WPSOffice_Level2Page"/>
          <w:r>
            <w:rPr>
              <w:rFonts w:hint="eastAsia" w:ascii="楷体_GB2312" w:hAnsi="楷体_GB2312" w:eastAsia="楷体_GB2312" w:cs="楷体_GB2312"/>
              <w:b w:val="0"/>
              <w:bCs w:val="0"/>
              <w:sz w:val="32"/>
              <w:szCs w:val="32"/>
            </w:rPr>
            <w:t>17</w:t>
          </w:r>
          <w:bookmarkEnd w:id="26"/>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_Toc19649_WPSOffice_Level2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8774e7e3-a1b1-4f20-8ea0-0484a673c3d4}"/>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三、夯实内生发展动力，推动发展农村集体经济</w:t>
              </w:r>
            </w:sdtContent>
          </w:sdt>
          <w:r>
            <w:rPr>
              <w:rFonts w:hint="eastAsia" w:ascii="楷体_GB2312" w:hAnsi="楷体_GB2312" w:eastAsia="楷体_GB2312" w:cs="楷体_GB2312"/>
              <w:b w:val="0"/>
              <w:bCs w:val="0"/>
              <w:sz w:val="32"/>
              <w:szCs w:val="32"/>
            </w:rPr>
            <w:tab/>
          </w:r>
          <w:bookmarkStart w:id="27" w:name="_Toc19649_WPSOffice_Level2Page"/>
          <w:r>
            <w:rPr>
              <w:rFonts w:hint="eastAsia" w:ascii="楷体_GB2312" w:hAnsi="楷体_GB2312" w:eastAsia="楷体_GB2312" w:cs="楷体_GB2312"/>
              <w:b w:val="0"/>
              <w:bCs w:val="0"/>
              <w:sz w:val="32"/>
              <w:szCs w:val="32"/>
            </w:rPr>
            <w:t>17</w:t>
          </w:r>
          <w:bookmarkEnd w:id="27"/>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_Toc1030_WPSOffice_Level2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d9de14a5-cd06-4a65-9cd8-2bfef47d000c}"/>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四、深化产业富民，拓宽农民增收渠道</w:t>
              </w:r>
            </w:sdtContent>
          </w:sdt>
          <w:r>
            <w:rPr>
              <w:rFonts w:hint="eastAsia" w:ascii="楷体_GB2312" w:hAnsi="楷体_GB2312" w:eastAsia="楷体_GB2312" w:cs="楷体_GB2312"/>
              <w:b w:val="0"/>
              <w:bCs w:val="0"/>
              <w:sz w:val="32"/>
              <w:szCs w:val="32"/>
            </w:rPr>
            <w:tab/>
          </w:r>
          <w:bookmarkStart w:id="28" w:name="_Toc1030_WPSOffice_Level2Page"/>
          <w:r>
            <w:rPr>
              <w:rFonts w:hint="eastAsia" w:ascii="楷体_GB2312" w:hAnsi="楷体_GB2312" w:eastAsia="楷体_GB2312" w:cs="楷体_GB2312"/>
              <w:b w:val="0"/>
              <w:bCs w:val="0"/>
              <w:sz w:val="32"/>
              <w:szCs w:val="32"/>
            </w:rPr>
            <w:t>18</w:t>
          </w:r>
          <w:bookmarkEnd w:id="28"/>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_Toc24970_WPSOffice_Level2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2e811cc9-9097-47c2-bec1-c64f20bf9813}"/>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五、健全帮扶机制，巩固拓展协作成果</w:t>
              </w:r>
            </w:sdtContent>
          </w:sdt>
          <w:r>
            <w:rPr>
              <w:rFonts w:hint="eastAsia" w:ascii="楷体_GB2312" w:hAnsi="楷体_GB2312" w:eastAsia="楷体_GB2312" w:cs="楷体_GB2312"/>
              <w:b w:val="0"/>
              <w:bCs w:val="0"/>
              <w:sz w:val="32"/>
              <w:szCs w:val="32"/>
            </w:rPr>
            <w:tab/>
          </w:r>
          <w:bookmarkStart w:id="29" w:name="_Toc24970_WPSOffice_Level2Page"/>
          <w:r>
            <w:rPr>
              <w:rFonts w:hint="eastAsia" w:ascii="楷体_GB2312" w:hAnsi="楷体_GB2312" w:eastAsia="楷体_GB2312" w:cs="楷体_GB2312"/>
              <w:b w:val="0"/>
              <w:bCs w:val="0"/>
              <w:sz w:val="32"/>
              <w:szCs w:val="32"/>
            </w:rPr>
            <w:t>19</w:t>
          </w:r>
          <w:bookmarkEnd w:id="29"/>
          <w:r>
            <w:rPr>
              <w:rFonts w:hint="eastAsia" w:ascii="楷体_GB2312" w:hAnsi="楷体_GB2312" w:eastAsia="楷体_GB2312" w:cs="楷体_GB2312"/>
              <w:b w:val="0"/>
              <w:bCs w:val="0"/>
              <w:sz w:val="32"/>
              <w:szCs w:val="32"/>
            </w:rPr>
            <w:fldChar w:fldCharType="end"/>
          </w:r>
        </w:p>
        <w:p>
          <w:pPr>
            <w:pStyle w:val="24"/>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_Toc2288_WPSOffice_Level1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b55fc608-3c3a-4f9b-b678-66a88befec72}"/>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黑体" w:hAnsi="黑体" w:eastAsia="黑体" w:cs="黑体"/>
                  <w:b w:val="0"/>
                  <w:bCs w:val="0"/>
                  <w:sz w:val="32"/>
                  <w:szCs w:val="32"/>
                  <w:lang w:val="en-US" w:eastAsia="zh-CN"/>
                </w:rPr>
                <w:t>第六章 保障措施</w:t>
              </w:r>
            </w:sdtContent>
          </w:sdt>
          <w:r>
            <w:rPr>
              <w:rFonts w:hint="eastAsia" w:ascii="楷体_GB2312" w:hAnsi="楷体_GB2312" w:eastAsia="楷体_GB2312" w:cs="楷体_GB2312"/>
              <w:b w:val="0"/>
              <w:bCs w:val="0"/>
              <w:sz w:val="32"/>
              <w:szCs w:val="32"/>
            </w:rPr>
            <w:tab/>
          </w:r>
          <w:bookmarkStart w:id="30" w:name="_Toc2288_WPSOffice_Level1Page"/>
          <w:r>
            <w:rPr>
              <w:rFonts w:hint="eastAsia" w:ascii="楷体_GB2312" w:hAnsi="楷体_GB2312" w:eastAsia="楷体_GB2312" w:cs="楷体_GB2312"/>
              <w:b w:val="0"/>
              <w:bCs w:val="0"/>
              <w:sz w:val="32"/>
              <w:szCs w:val="32"/>
            </w:rPr>
            <w:t>19</w:t>
          </w:r>
          <w:bookmarkEnd w:id="30"/>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_Toc13174_WPSOffice_Level2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8b55dcb7-e44b-4559-9076-bade8fd50b12}"/>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一、坚持党建引领，凝聚发展合力</w:t>
              </w:r>
            </w:sdtContent>
          </w:sdt>
          <w:r>
            <w:rPr>
              <w:rFonts w:hint="eastAsia" w:ascii="楷体_GB2312" w:hAnsi="楷体_GB2312" w:eastAsia="楷体_GB2312" w:cs="楷体_GB2312"/>
              <w:b w:val="0"/>
              <w:bCs w:val="0"/>
              <w:sz w:val="32"/>
              <w:szCs w:val="32"/>
            </w:rPr>
            <w:tab/>
          </w:r>
          <w:bookmarkStart w:id="31" w:name="_Toc13174_WPSOffice_Level2Page"/>
          <w:r>
            <w:rPr>
              <w:rFonts w:hint="eastAsia" w:ascii="楷体_GB2312" w:hAnsi="楷体_GB2312" w:eastAsia="楷体_GB2312" w:cs="楷体_GB2312"/>
              <w:b w:val="0"/>
              <w:bCs w:val="0"/>
              <w:sz w:val="32"/>
              <w:szCs w:val="32"/>
            </w:rPr>
            <w:t>20</w:t>
          </w:r>
          <w:bookmarkEnd w:id="31"/>
          <w:r>
            <w:rPr>
              <w:rFonts w:hint="eastAsia" w:ascii="楷体_GB2312" w:hAnsi="楷体_GB2312" w:eastAsia="楷体_GB2312" w:cs="楷体_GB2312"/>
              <w:b w:val="0"/>
              <w:bCs w:val="0"/>
              <w:sz w:val="32"/>
              <w:szCs w:val="32"/>
            </w:rPr>
            <w:fldChar w:fldCharType="end"/>
          </w:r>
        </w:p>
        <w:p>
          <w:pPr>
            <w:pStyle w:val="25"/>
            <w:tabs>
              <w:tab w:val="right" w:leader="dot" w:pos="9015"/>
            </w:tabs>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_Toc24825_WPSOffice_Level2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3d52ea1a-c2b9-4221-8f12-6a647ea15864}"/>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二、强化要素保障，夯实发展支撑</w:t>
              </w:r>
            </w:sdtContent>
          </w:sdt>
          <w:r>
            <w:rPr>
              <w:rFonts w:hint="eastAsia" w:ascii="楷体_GB2312" w:hAnsi="楷体_GB2312" w:eastAsia="楷体_GB2312" w:cs="楷体_GB2312"/>
              <w:b w:val="0"/>
              <w:bCs w:val="0"/>
              <w:sz w:val="32"/>
              <w:szCs w:val="32"/>
            </w:rPr>
            <w:tab/>
          </w:r>
          <w:bookmarkStart w:id="32" w:name="_Toc24825_WPSOffice_Level2Page"/>
          <w:r>
            <w:rPr>
              <w:rFonts w:hint="eastAsia" w:ascii="楷体_GB2312" w:hAnsi="楷体_GB2312" w:eastAsia="楷体_GB2312" w:cs="楷体_GB2312"/>
              <w:b w:val="0"/>
              <w:bCs w:val="0"/>
              <w:sz w:val="32"/>
              <w:szCs w:val="32"/>
            </w:rPr>
            <w:t>20</w:t>
          </w:r>
          <w:bookmarkEnd w:id="32"/>
          <w:r>
            <w:rPr>
              <w:rFonts w:hint="eastAsia" w:ascii="楷体_GB2312" w:hAnsi="楷体_GB2312" w:eastAsia="楷体_GB2312" w:cs="楷体_GB2312"/>
              <w:b w:val="0"/>
              <w:bCs w:val="0"/>
              <w:sz w:val="32"/>
              <w:szCs w:val="32"/>
            </w:rPr>
            <w:fldChar w:fldCharType="end"/>
          </w:r>
        </w:p>
        <w:p>
          <w:pPr>
            <w:pStyle w:val="25"/>
            <w:tabs>
              <w:tab w:val="right" w:leader="dot" w:pos="9015"/>
            </w:tabs>
            <w:rPr>
              <w:b w:val="0"/>
              <w:bCs w:val="0"/>
            </w:rPr>
          </w:pPr>
          <w:r>
            <w:rPr>
              <w:rFonts w:hint="eastAsia" w:ascii="楷体_GB2312" w:hAnsi="楷体_GB2312" w:eastAsia="楷体_GB2312" w:cs="楷体_GB2312"/>
              <w:b w:val="0"/>
              <w:bCs w:val="0"/>
              <w:sz w:val="32"/>
              <w:szCs w:val="32"/>
            </w:rPr>
            <w:fldChar w:fldCharType="begin"/>
          </w:r>
          <w:r>
            <w:rPr>
              <w:rFonts w:hint="eastAsia" w:ascii="楷体_GB2312" w:hAnsi="楷体_GB2312" w:eastAsia="楷体_GB2312" w:cs="楷体_GB2312"/>
              <w:b w:val="0"/>
              <w:bCs w:val="0"/>
              <w:sz w:val="32"/>
              <w:szCs w:val="32"/>
            </w:rPr>
            <w:instrText xml:space="preserve"> HYPERLINK \l _Toc1679_WPSOffice_Level2 </w:instrText>
          </w:r>
          <w:r>
            <w:rPr>
              <w:rFonts w:hint="eastAsia" w:ascii="楷体_GB2312" w:hAnsi="楷体_GB2312" w:eastAsia="楷体_GB2312" w:cs="楷体_GB2312"/>
              <w:b w:val="0"/>
              <w:bCs w:val="0"/>
              <w:sz w:val="32"/>
              <w:szCs w:val="32"/>
            </w:rPr>
            <w:fldChar w:fldCharType="separate"/>
          </w:r>
          <w:sdt>
            <w:sdtPr>
              <w:rPr>
                <w:rFonts w:hint="eastAsia" w:ascii="楷体_GB2312" w:hAnsi="楷体_GB2312" w:eastAsia="楷体_GB2312" w:cs="楷体_GB2312"/>
                <w:b w:val="0"/>
                <w:bCs w:val="0"/>
                <w:kern w:val="2"/>
                <w:sz w:val="32"/>
                <w:szCs w:val="32"/>
                <w:lang w:val="en-US" w:eastAsia="zh-CN" w:bidi="ar-SA"/>
              </w:rPr>
              <w:id w:val="147478839"/>
              <w:placeholder>
                <w:docPart w:val="{04869c8b-55a3-410f-b2c0-752a330c84a6}"/>
              </w:placeholder>
            </w:sdtPr>
            <w:sdtEndPr>
              <w:rPr>
                <w:rFonts w:hint="eastAsia" w:ascii="楷体_GB2312" w:hAnsi="楷体_GB2312" w:eastAsia="楷体_GB2312" w:cs="楷体_GB2312"/>
                <w:b w:val="0"/>
                <w:bCs w:val="0"/>
                <w:kern w:val="2"/>
                <w:sz w:val="32"/>
                <w:szCs w:val="32"/>
                <w:lang w:val="en-US" w:eastAsia="zh-CN" w:bidi="ar-SA"/>
              </w:rPr>
            </w:sdtEndPr>
            <w:sdtContent>
              <w:r>
                <w:rPr>
                  <w:rFonts w:hint="eastAsia" w:ascii="楷体_GB2312" w:hAnsi="楷体_GB2312" w:eastAsia="楷体_GB2312" w:cs="楷体_GB2312"/>
                  <w:b w:val="0"/>
                  <w:bCs w:val="0"/>
                  <w:sz w:val="32"/>
                  <w:szCs w:val="32"/>
                </w:rPr>
                <w:t>三、广泛动员参与，激发内生动力</w:t>
              </w:r>
            </w:sdtContent>
          </w:sdt>
          <w:r>
            <w:rPr>
              <w:rFonts w:hint="eastAsia" w:ascii="楷体_GB2312" w:hAnsi="楷体_GB2312" w:eastAsia="楷体_GB2312" w:cs="楷体_GB2312"/>
              <w:b w:val="0"/>
              <w:bCs w:val="0"/>
              <w:sz w:val="32"/>
              <w:szCs w:val="32"/>
            </w:rPr>
            <w:tab/>
          </w:r>
          <w:bookmarkStart w:id="33" w:name="_Toc1679_WPSOffice_Level2Page"/>
          <w:r>
            <w:rPr>
              <w:rFonts w:hint="eastAsia" w:ascii="楷体_GB2312" w:hAnsi="楷体_GB2312" w:eastAsia="楷体_GB2312" w:cs="楷体_GB2312"/>
              <w:b w:val="0"/>
              <w:bCs w:val="0"/>
              <w:sz w:val="32"/>
              <w:szCs w:val="32"/>
            </w:rPr>
            <w:t>20</w:t>
          </w:r>
          <w:bookmarkEnd w:id="33"/>
          <w:r>
            <w:rPr>
              <w:rFonts w:hint="eastAsia" w:ascii="楷体_GB2312" w:hAnsi="楷体_GB2312" w:eastAsia="楷体_GB2312" w:cs="楷体_GB2312"/>
              <w:b w:val="0"/>
              <w:bCs w:val="0"/>
              <w:sz w:val="32"/>
              <w:szCs w:val="32"/>
            </w:rPr>
            <w:fldChar w:fldCharType="end"/>
          </w:r>
          <w:bookmarkEnd w:id="0"/>
        </w:p>
      </w:sdtContent>
    </w:sdt>
    <w:p>
      <w:pPr>
        <w:rPr>
          <w:b w:val="0"/>
          <w:bCs w:val="0"/>
        </w:rPr>
        <w:sectPr>
          <w:headerReference r:id="rId3" w:type="default"/>
          <w:footerReference r:id="rId4" w:type="default"/>
          <w:pgSz w:w="11906" w:h="16838"/>
          <w:pgMar w:top="2098" w:right="1304" w:bottom="1417" w:left="1587" w:header="851" w:footer="992" w:gutter="0"/>
          <w:pgNumType w:fmt="numberInDash" w:start="1"/>
          <w:cols w:space="0" w:num="1"/>
          <w:docGrid w:type="lines" w:linePitch="312" w:charSpace="0"/>
        </w:sectPr>
      </w:pPr>
    </w:p>
    <w:p/>
    <w:p>
      <w:pPr>
        <w:pStyle w:val="2"/>
        <w:ind w:firstLine="0" w:firstLineChars="0"/>
      </w:pPr>
      <w:bookmarkStart w:id="34" w:name="_Toc13254_WPSOffice_Level1"/>
      <w:bookmarkStart w:id="35" w:name="_Toc23662_WPSOffice_Level1"/>
      <w:bookmarkStart w:id="36" w:name="_Toc12387"/>
      <w:r>
        <w:rPr>
          <w:rFonts w:hint="eastAsia"/>
        </w:rPr>
        <w:t>第一章 “十五五”总体要求与发展目标</w:t>
      </w:r>
      <w:bookmarkEnd w:id="34"/>
      <w:bookmarkEnd w:id="35"/>
      <w:bookmarkEnd w:id="36"/>
    </w:p>
    <w:p>
      <w:pPr>
        <w:spacing w:line="600" w:lineRule="exact"/>
        <w:ind w:firstLine="0" w:firstLineChars="0"/>
        <w:rPr>
          <w:rFonts w:cs="Times New Roman"/>
        </w:rPr>
      </w:pPr>
    </w:p>
    <w:p>
      <w:pPr>
        <w:pStyle w:val="3"/>
      </w:pPr>
      <w:bookmarkStart w:id="37" w:name="_Toc30071"/>
      <w:bookmarkStart w:id="38" w:name="_Toc23051_WPSOffice_Level2"/>
      <w:bookmarkStart w:id="39" w:name="_Toc13142"/>
      <w:bookmarkStart w:id="40" w:name="_Toc30959_WPSOffice_Level2"/>
      <w:r>
        <w:rPr>
          <w:rFonts w:hint="eastAsia"/>
        </w:rPr>
        <w:t>一、</w:t>
      </w:r>
      <w:bookmarkEnd w:id="37"/>
      <w:bookmarkEnd w:id="38"/>
      <w:bookmarkEnd w:id="39"/>
      <w:r>
        <w:rPr>
          <w:rFonts w:hint="eastAsia"/>
        </w:rPr>
        <w:t>总体要求</w:t>
      </w:r>
      <w:bookmarkEnd w:id="40"/>
    </w:p>
    <w:p>
      <w:r>
        <w:rPr>
          <w:rFonts w:hint="eastAsia"/>
        </w:rPr>
        <w:t>坚持以习近平新时代中国特色社会主义思想为指导，全面贯彻党的二十大和二十届历次全会精神，深入贯彻习近平总书记关于“三农”工作的重要论述和对广东系列重要讲话、重要指示精神，认真落实省委</w:t>
      </w:r>
      <w:r>
        <w:rPr>
          <w:rFonts w:hint="eastAsia"/>
          <w:lang w:eastAsia="zh-CN"/>
        </w:rPr>
        <w:t>“</w:t>
      </w:r>
      <w:r>
        <w:t>1310</w:t>
      </w:r>
      <w:r>
        <w:rPr>
          <w:rFonts w:hint="eastAsia"/>
        </w:rPr>
        <w:t>”具体部署以及江门市委工作安排和鹤山市委市政府工作要求。以推进乡村全面振兴为总抓手，以学习运用“千万工程”经验为引领，以改革创新为根本动力，坚持农业农村优先发展，坚持城乡融合发展。聚焦实施“百县千镇万村高质量发展工程”，以头号力度统筹县的优势、镇的特点、村的资源，以保障粮食安全为底线，以科技创新为引擎，以农民增收为核心，立足鹤山乡村产业发展基础，推动农业全面升级、农村全面进步、农民全面发展，奋力在城乡区域协调发展上取得新突破。</w:t>
      </w:r>
    </w:p>
    <w:p>
      <w:pPr>
        <w:pStyle w:val="3"/>
      </w:pPr>
      <w:bookmarkStart w:id="41" w:name="_Toc29051_WPSOffice_Level2"/>
      <w:bookmarkStart w:id="42" w:name="_Toc3256"/>
      <w:bookmarkStart w:id="43" w:name="_Toc25958_WPSOffice_Level2"/>
      <w:bookmarkStart w:id="44" w:name="_Toc1331"/>
      <w:r>
        <w:rPr>
          <w:rFonts w:hint="eastAsia"/>
        </w:rPr>
        <w:t>二、发展目标</w:t>
      </w:r>
      <w:bookmarkEnd w:id="41"/>
      <w:bookmarkEnd w:id="42"/>
      <w:bookmarkEnd w:id="43"/>
      <w:bookmarkEnd w:id="44"/>
    </w:p>
    <w:p>
      <w:r>
        <w:t>到2030年，鹤山市农业农村现代化水平显著提升，</w:t>
      </w:r>
      <w:r>
        <w:rPr>
          <w:rFonts w:hint="eastAsia"/>
        </w:rPr>
        <w:t>农业产业结构更加优化，科技创新能力显著增强，农村基础设施更加完善，</w:t>
      </w:r>
      <w:r>
        <w:t>基本建成农业强、农村美、农民富的宜居宜业和美乡村</w:t>
      </w:r>
      <w:r>
        <w:rPr>
          <w:rFonts w:hint="eastAsia"/>
        </w:rPr>
        <w:t>。</w:t>
      </w:r>
    </w:p>
    <w:p>
      <w:r>
        <w:t>粮食安全保障更加有力</w:t>
      </w:r>
      <w:r>
        <w:rPr>
          <w:rFonts w:hint="eastAsia"/>
        </w:rPr>
        <w:t>，</w:t>
      </w:r>
      <w:r>
        <w:t>严守耕地红线，逐步将符合条件的永久基本农田建成高标准农田，粮食播种面积稳定在17.78万亩，产量6.3</w:t>
      </w:r>
      <w:r>
        <w:rPr>
          <w:rFonts w:hint="eastAsia"/>
        </w:rPr>
        <w:t>7</w:t>
      </w:r>
      <w:r>
        <w:t>万吨。现代农业产业体系、生产体系、经营体系更加完善，</w:t>
      </w:r>
      <w:r>
        <w:rPr>
          <w:rFonts w:hint="eastAsia"/>
        </w:rPr>
        <w:t>力争2030年末实现农林牧渔业总产值超78亿元，培育农业产业化市级龙头企业到25家左右。</w:t>
      </w:r>
      <w:r>
        <w:t>农产品质量安全水平</w:t>
      </w:r>
      <w:r>
        <w:rPr>
          <w:rFonts w:hint="eastAsia"/>
        </w:rPr>
        <w:t>持续</w:t>
      </w:r>
      <w:r>
        <w:t>稳步，农产品质量安全监测合格率</w:t>
      </w:r>
      <w:r>
        <w:rPr>
          <w:rFonts w:hint="eastAsia"/>
        </w:rPr>
        <w:t>保持</w:t>
      </w:r>
      <w:r>
        <w:t>在98%以上</w:t>
      </w:r>
      <w:r>
        <w:rPr>
          <w:rFonts w:hint="eastAsia"/>
        </w:rPr>
        <w:t>，受污染耕地安全利用率达到95%以上。</w:t>
      </w:r>
      <w:r>
        <w:t>畜禽粪污资源化利用持续推进</w:t>
      </w:r>
      <w:r>
        <w:rPr>
          <w:rFonts w:hint="eastAsia"/>
        </w:rPr>
        <w:t>，</w:t>
      </w:r>
      <w:r>
        <w:t>畜禽养殖规模化率达到9</w:t>
      </w:r>
      <w:r>
        <w:rPr>
          <w:rFonts w:hint="eastAsia"/>
        </w:rPr>
        <w:t>0</w:t>
      </w:r>
      <w:r>
        <w:t>%以上</w:t>
      </w:r>
      <w:r>
        <w:rPr>
          <w:rFonts w:hint="eastAsia"/>
        </w:rPr>
        <w:t>，畜禽粪污综合利用率达到85%以上。“</w:t>
      </w:r>
      <w:r>
        <w:t>鹤山优品</w:t>
      </w:r>
      <w:r>
        <w:rPr>
          <w:rFonts w:hint="eastAsia"/>
        </w:rPr>
        <w:t>”</w:t>
      </w:r>
      <w:r>
        <w:t>品牌影响力显著提升，红茶、粉葛、肉牛、花生特色产业提质扩容，</w:t>
      </w:r>
      <w:r>
        <w:rPr>
          <w:rFonts w:hint="eastAsia"/>
        </w:rPr>
        <w:t>构建</w:t>
      </w:r>
      <w:r>
        <w:t>稳产优质、品牌突出、产销顺畅的农产品供给基地。农村人居环境品质全面提升，生活污水治理率达90%以上，基本建成生活垃圾分类处理城乡一体化系统，农村生活垃圾分类收集和无害化户厕基本全覆盖，</w:t>
      </w:r>
      <w:r>
        <w:rPr>
          <w:rFonts w:hint="eastAsia"/>
        </w:rPr>
        <w:t>实现全市112条</w:t>
      </w:r>
      <w:r>
        <w:rPr>
          <w:rFonts w:hint="eastAsia"/>
          <w:lang w:val="en-US" w:eastAsia="zh-CN"/>
        </w:rPr>
        <w:t>行政</w:t>
      </w:r>
      <w:r>
        <w:rPr>
          <w:rFonts w:hint="eastAsia"/>
        </w:rPr>
        <w:t>村</w:t>
      </w:r>
      <w:r>
        <w:rPr>
          <w:rFonts w:hint="eastAsia"/>
          <w:lang w:val="en-US" w:eastAsia="zh-CN"/>
        </w:rPr>
        <w:t>省级典型村</w:t>
      </w:r>
      <w:r>
        <w:rPr>
          <w:rFonts w:hint="eastAsia"/>
        </w:rPr>
        <w:t>培育全覆盖，新增打造精品村9条，推动全市典型村连线成片实现片区化组团发展，乡村振兴示范带和乡村绿化景观带辐射带动作用进一步增强。</w:t>
      </w:r>
      <w:r>
        <w:t>乡村治理体系更加完善，</w:t>
      </w:r>
      <w:r>
        <w:rPr>
          <w:rFonts w:hint="eastAsia"/>
        </w:rPr>
        <w:t>“积分制”“清单制”</w:t>
      </w:r>
      <w:r>
        <w:t>全面推广，乡风文明程度持续提升。城乡居民收入差距进一步缩小</w:t>
      </w:r>
      <w:r>
        <w:rPr>
          <w:rFonts w:hint="eastAsia"/>
        </w:rPr>
        <w:t>。</w:t>
      </w:r>
      <w:r>
        <w:t>脱贫攻坚成果巩固拓展，防返贫动态监测和帮扶机制更加健全。农村劳动力就业更加充分、更有质量，乡村工匠、高素质农民队伍不断壮大。农村土地制度改革深入推进，农村土地流转率达到60%以上，城乡要素双向流动机制更加健全。</w:t>
      </w:r>
    </w:p>
    <w:p>
      <w:pPr>
        <w:ind w:firstLine="560"/>
        <w:rPr>
          <w:rFonts w:eastAsia="黑体" w:cs="Times New Roman"/>
          <w:bCs/>
          <w:sz w:val="28"/>
        </w:rPr>
      </w:pPr>
    </w:p>
    <w:p>
      <w:pPr>
        <w:ind w:firstLine="560"/>
        <w:jc w:val="center"/>
        <w:rPr>
          <w:rFonts w:eastAsia="黑体" w:cs="Times New Roman"/>
          <w:bCs/>
          <w:sz w:val="28"/>
        </w:rPr>
      </w:pPr>
      <w:bookmarkStart w:id="45" w:name="_Toc18973_WPSOffice_Level2"/>
      <w:bookmarkStart w:id="46" w:name="_Toc27845_WPSOffice_Level2"/>
      <w:r>
        <w:rPr>
          <w:rFonts w:hint="eastAsia" w:eastAsia="黑体" w:cs="Times New Roman"/>
          <w:bCs/>
          <w:sz w:val="28"/>
        </w:rPr>
        <w:t>表</w:t>
      </w:r>
      <w:r>
        <w:rPr>
          <w:rFonts w:hint="eastAsia" w:eastAsia="黑体" w:cs="Times New Roman"/>
          <w:bCs/>
          <w:sz w:val="28"/>
          <w:lang w:val="en-US" w:eastAsia="zh-CN"/>
        </w:rPr>
        <w:t>1</w:t>
      </w:r>
      <w:r>
        <w:rPr>
          <w:rFonts w:hint="eastAsia" w:eastAsia="黑体" w:cs="Times New Roman"/>
          <w:bCs/>
          <w:sz w:val="28"/>
        </w:rPr>
        <w:t xml:space="preserve">  鹤山市加快农业农村现代化“十五五”规划目标表</w:t>
      </w:r>
      <w:bookmarkEnd w:id="45"/>
      <w:bookmarkEnd w:id="46"/>
    </w:p>
    <w:tbl>
      <w:tblPr>
        <w:tblStyle w:val="19"/>
        <w:tblW w:w="9020" w:type="dxa"/>
        <w:jc w:val="center"/>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4283"/>
        <w:gridCol w:w="828"/>
        <w:gridCol w:w="1101"/>
        <w:gridCol w:w="1101"/>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36" w:type="dxa"/>
            <w:vAlign w:val="center"/>
          </w:tcPr>
          <w:p>
            <w:pPr>
              <w:adjustRightInd w:val="0"/>
              <w:snapToGrid w:val="0"/>
              <w:spacing w:line="320" w:lineRule="exact"/>
              <w:ind w:firstLine="0" w:firstLineChars="0"/>
              <w:jc w:val="center"/>
              <w:rPr>
                <w:rFonts w:cs="Times New Roman"/>
                <w:b/>
                <w:bCs/>
                <w:sz w:val="24"/>
                <w:szCs w:val="24"/>
              </w:rPr>
            </w:pPr>
            <w:r>
              <w:rPr>
                <w:rFonts w:hint="eastAsia" w:cs="Times New Roman"/>
                <w:b/>
                <w:bCs/>
                <w:sz w:val="24"/>
                <w:szCs w:val="24"/>
              </w:rPr>
              <w:t>序号</w:t>
            </w:r>
          </w:p>
        </w:tc>
        <w:tc>
          <w:tcPr>
            <w:tcW w:w="4283" w:type="dxa"/>
            <w:vAlign w:val="center"/>
          </w:tcPr>
          <w:p>
            <w:pPr>
              <w:adjustRightInd w:val="0"/>
              <w:snapToGrid w:val="0"/>
              <w:spacing w:line="320" w:lineRule="exact"/>
              <w:ind w:firstLine="0" w:firstLineChars="0"/>
              <w:jc w:val="center"/>
              <w:rPr>
                <w:rFonts w:cs="Times New Roman"/>
                <w:b/>
                <w:bCs/>
                <w:sz w:val="24"/>
                <w:szCs w:val="24"/>
              </w:rPr>
            </w:pPr>
            <w:r>
              <w:rPr>
                <w:rFonts w:hint="eastAsia" w:cs="Times New Roman"/>
                <w:b/>
                <w:bCs/>
                <w:sz w:val="24"/>
                <w:szCs w:val="24"/>
              </w:rPr>
              <w:t>主要指标</w:t>
            </w:r>
          </w:p>
        </w:tc>
        <w:tc>
          <w:tcPr>
            <w:tcW w:w="828" w:type="dxa"/>
            <w:vAlign w:val="center"/>
          </w:tcPr>
          <w:p>
            <w:pPr>
              <w:adjustRightInd w:val="0"/>
              <w:snapToGrid w:val="0"/>
              <w:spacing w:line="320" w:lineRule="exact"/>
              <w:ind w:firstLine="0" w:firstLineChars="0"/>
              <w:jc w:val="center"/>
              <w:rPr>
                <w:rFonts w:cs="Times New Roman"/>
                <w:b/>
                <w:bCs/>
                <w:sz w:val="24"/>
                <w:szCs w:val="24"/>
              </w:rPr>
            </w:pPr>
            <w:r>
              <w:rPr>
                <w:rFonts w:hint="eastAsia" w:cs="Times New Roman"/>
                <w:b/>
                <w:bCs/>
                <w:sz w:val="24"/>
                <w:szCs w:val="24"/>
              </w:rPr>
              <w:t>单位</w:t>
            </w:r>
          </w:p>
        </w:tc>
        <w:tc>
          <w:tcPr>
            <w:tcW w:w="1101" w:type="dxa"/>
          </w:tcPr>
          <w:p>
            <w:pPr>
              <w:adjustRightInd w:val="0"/>
              <w:snapToGrid w:val="0"/>
              <w:spacing w:line="320" w:lineRule="exact"/>
              <w:ind w:firstLine="0" w:firstLineChars="0"/>
              <w:jc w:val="center"/>
              <w:rPr>
                <w:rFonts w:cs="Times New Roman"/>
                <w:b/>
                <w:bCs/>
                <w:color w:val="000000"/>
                <w:sz w:val="24"/>
                <w:szCs w:val="24"/>
              </w:rPr>
            </w:pPr>
            <w:r>
              <w:rPr>
                <w:rFonts w:cs="Times New Roman"/>
                <w:b/>
                <w:bCs/>
                <w:color w:val="000000"/>
                <w:sz w:val="24"/>
                <w:szCs w:val="24"/>
              </w:rPr>
              <w:t>基期值2025年</w:t>
            </w:r>
          </w:p>
        </w:tc>
        <w:tc>
          <w:tcPr>
            <w:tcW w:w="1101" w:type="dxa"/>
            <w:vAlign w:val="center"/>
          </w:tcPr>
          <w:p>
            <w:pPr>
              <w:adjustRightInd w:val="0"/>
              <w:snapToGrid w:val="0"/>
              <w:spacing w:line="320" w:lineRule="exact"/>
              <w:ind w:firstLine="0" w:firstLineChars="0"/>
              <w:jc w:val="center"/>
              <w:rPr>
                <w:rFonts w:cs="Times New Roman"/>
                <w:b/>
                <w:bCs/>
                <w:color w:val="000000"/>
                <w:sz w:val="24"/>
                <w:szCs w:val="24"/>
              </w:rPr>
            </w:pPr>
            <w:r>
              <w:rPr>
                <w:rFonts w:hint="eastAsia" w:cs="Times New Roman"/>
                <w:b/>
                <w:bCs/>
                <w:color w:val="000000"/>
                <w:sz w:val="24"/>
                <w:szCs w:val="24"/>
              </w:rPr>
              <w:t>目</w:t>
            </w:r>
            <w:r>
              <w:rPr>
                <w:rFonts w:hint="eastAsia" w:cs="Times New Roman"/>
                <w:bCs/>
                <w:color w:val="000000"/>
                <w:sz w:val="24"/>
                <w:szCs w:val="24"/>
              </w:rPr>
              <w:t>标</w:t>
            </w:r>
            <w:r>
              <w:rPr>
                <w:rFonts w:hint="eastAsia" w:cs="Times New Roman"/>
                <w:b/>
                <w:bCs/>
                <w:color w:val="000000"/>
                <w:sz w:val="24"/>
                <w:szCs w:val="24"/>
              </w:rPr>
              <w:t>值</w:t>
            </w:r>
          </w:p>
          <w:p>
            <w:pPr>
              <w:adjustRightInd w:val="0"/>
              <w:snapToGrid w:val="0"/>
              <w:spacing w:line="320" w:lineRule="exact"/>
              <w:ind w:firstLine="0" w:firstLineChars="0"/>
              <w:jc w:val="center"/>
              <w:rPr>
                <w:rFonts w:cs="Times New Roman"/>
                <w:b/>
                <w:bCs/>
                <w:color w:val="000000"/>
                <w:sz w:val="24"/>
                <w:szCs w:val="24"/>
              </w:rPr>
            </w:pPr>
            <w:r>
              <w:rPr>
                <w:rFonts w:hint="eastAsia" w:cs="Times New Roman"/>
                <w:b/>
                <w:bCs/>
                <w:color w:val="000000"/>
                <w:sz w:val="24"/>
                <w:szCs w:val="24"/>
              </w:rPr>
              <w:t>2030年</w:t>
            </w:r>
          </w:p>
        </w:tc>
        <w:tc>
          <w:tcPr>
            <w:tcW w:w="971" w:type="dxa"/>
            <w:vAlign w:val="center"/>
          </w:tcPr>
          <w:p>
            <w:pPr>
              <w:adjustRightInd w:val="0"/>
              <w:snapToGrid w:val="0"/>
              <w:spacing w:line="320" w:lineRule="exact"/>
              <w:ind w:firstLine="0" w:firstLineChars="0"/>
              <w:jc w:val="center"/>
              <w:rPr>
                <w:rFonts w:cs="Times New Roman"/>
                <w:b/>
                <w:bCs/>
                <w:sz w:val="24"/>
                <w:szCs w:val="24"/>
              </w:rPr>
            </w:pPr>
            <w:r>
              <w:rPr>
                <w:rFonts w:hint="eastAsia" w:cs="Times New Roman"/>
                <w:b/>
                <w:bCs/>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736"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1</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粮食综合生产能力</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万吨</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6.36</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6.37</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2</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农林牧渔业总产值</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亿元</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71.24</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78</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val="en-US" w:eastAsia="zh-CN"/>
              </w:rPr>
            </w:pPr>
            <w:r>
              <w:rPr>
                <w:rFonts w:hint="eastAsia" w:cs="Times New Roman"/>
                <w:sz w:val="24"/>
                <w:szCs w:val="24"/>
                <w:lang w:val="en-US" w:eastAsia="zh-CN"/>
              </w:rPr>
              <w:t>3</w:t>
            </w:r>
          </w:p>
        </w:tc>
        <w:tc>
          <w:tcPr>
            <w:tcW w:w="4283" w:type="dxa"/>
            <w:vAlign w:val="center"/>
          </w:tcPr>
          <w:p>
            <w:pPr>
              <w:adjustRightInd w:val="0"/>
              <w:snapToGrid w:val="0"/>
              <w:spacing w:line="320" w:lineRule="exact"/>
              <w:ind w:firstLine="0" w:firstLineChars="0"/>
              <w:rPr>
                <w:rFonts w:hint="eastAsia" w:cs="Times New Roman"/>
                <w:sz w:val="24"/>
                <w:szCs w:val="24"/>
              </w:rPr>
            </w:pPr>
            <w:r>
              <w:rPr>
                <w:rFonts w:hint="eastAsia" w:cs="Times New Roman"/>
                <w:sz w:val="24"/>
                <w:szCs w:val="24"/>
              </w:rPr>
              <w:t>肉类总产量</w:t>
            </w:r>
          </w:p>
        </w:tc>
        <w:tc>
          <w:tcPr>
            <w:tcW w:w="828" w:type="dxa"/>
            <w:vAlign w:val="center"/>
          </w:tcPr>
          <w:p>
            <w:pPr>
              <w:adjustRightInd w:val="0"/>
              <w:snapToGrid w:val="0"/>
              <w:spacing w:line="320" w:lineRule="exact"/>
              <w:ind w:firstLine="0" w:firstLineChars="0"/>
              <w:jc w:val="center"/>
              <w:rPr>
                <w:rFonts w:hint="default" w:eastAsia="仿宋_GB2312" w:cs="Times New Roman"/>
                <w:sz w:val="24"/>
                <w:szCs w:val="24"/>
                <w:lang w:val="en-US" w:eastAsia="zh-CN"/>
              </w:rPr>
            </w:pPr>
            <w:r>
              <w:rPr>
                <w:rFonts w:hint="eastAsia" w:cs="Times New Roman"/>
                <w:sz w:val="24"/>
                <w:szCs w:val="24"/>
                <w:lang w:val="en-US" w:eastAsia="zh-CN"/>
              </w:rPr>
              <w:t>万吨</w:t>
            </w:r>
          </w:p>
        </w:tc>
        <w:tc>
          <w:tcPr>
            <w:tcW w:w="1101" w:type="dxa"/>
          </w:tcPr>
          <w:p>
            <w:pPr>
              <w:adjustRightInd w:val="0"/>
              <w:snapToGrid w:val="0"/>
              <w:spacing w:line="320" w:lineRule="exact"/>
              <w:ind w:firstLine="0" w:firstLineChars="0"/>
              <w:jc w:val="center"/>
              <w:rPr>
                <w:rFonts w:hint="default" w:eastAsia="仿宋_GB2312" w:cs="Times New Roman"/>
                <w:color w:val="000000"/>
                <w:sz w:val="24"/>
                <w:szCs w:val="24"/>
                <w:lang w:val="en-US" w:eastAsia="zh-CN"/>
              </w:rPr>
            </w:pPr>
            <w:r>
              <w:rPr>
                <w:rFonts w:hint="eastAsia" w:cs="Times New Roman"/>
                <w:color w:val="000000"/>
                <w:sz w:val="24"/>
                <w:szCs w:val="24"/>
                <w:lang w:val="en-US" w:eastAsia="zh-CN"/>
              </w:rPr>
              <w:t>4.43</w:t>
            </w:r>
          </w:p>
        </w:tc>
        <w:tc>
          <w:tcPr>
            <w:tcW w:w="1101" w:type="dxa"/>
            <w:vAlign w:val="center"/>
          </w:tcPr>
          <w:p>
            <w:pPr>
              <w:adjustRightInd w:val="0"/>
              <w:snapToGrid w:val="0"/>
              <w:spacing w:line="320" w:lineRule="exact"/>
              <w:ind w:firstLine="0" w:firstLineChars="0"/>
              <w:jc w:val="center"/>
              <w:rPr>
                <w:rFonts w:hint="default" w:eastAsia="仿宋_GB2312" w:cs="Times New Roman"/>
                <w:color w:val="000000"/>
                <w:sz w:val="24"/>
                <w:szCs w:val="24"/>
                <w:lang w:val="en-US" w:eastAsia="zh-CN"/>
              </w:rPr>
            </w:pPr>
            <w:r>
              <w:rPr>
                <w:rFonts w:hint="eastAsia" w:cs="Times New Roman"/>
                <w:color w:val="000000"/>
                <w:sz w:val="24"/>
                <w:szCs w:val="24"/>
                <w:lang w:val="en-US" w:eastAsia="zh-CN"/>
              </w:rPr>
              <w:t>4.52</w:t>
            </w:r>
          </w:p>
        </w:tc>
        <w:tc>
          <w:tcPr>
            <w:tcW w:w="971" w:type="dxa"/>
            <w:vAlign w:val="center"/>
          </w:tcPr>
          <w:p>
            <w:pPr>
              <w:adjustRightInd w:val="0"/>
              <w:snapToGrid w:val="0"/>
              <w:spacing w:line="320" w:lineRule="exact"/>
              <w:ind w:firstLine="0" w:firstLineChars="0"/>
              <w:jc w:val="center"/>
              <w:rPr>
                <w:rFonts w:hint="eastAsia"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default" w:cs="Times New Roman"/>
                <w:sz w:val="24"/>
                <w:szCs w:val="24"/>
                <w:lang w:val="en-US" w:eastAsia="zh-CN"/>
              </w:rPr>
            </w:pPr>
            <w:r>
              <w:rPr>
                <w:rFonts w:hint="eastAsia" w:cs="Times New Roman"/>
                <w:sz w:val="24"/>
                <w:szCs w:val="24"/>
                <w:lang w:val="en-US" w:eastAsia="zh-CN"/>
              </w:rPr>
              <w:t>4</w:t>
            </w:r>
          </w:p>
        </w:tc>
        <w:tc>
          <w:tcPr>
            <w:tcW w:w="4283" w:type="dxa"/>
            <w:vAlign w:val="center"/>
          </w:tcPr>
          <w:p>
            <w:pPr>
              <w:adjustRightInd w:val="0"/>
              <w:snapToGrid w:val="0"/>
              <w:spacing w:line="320" w:lineRule="exact"/>
              <w:ind w:firstLine="0" w:firstLineChars="0"/>
              <w:rPr>
                <w:rFonts w:hint="default" w:eastAsia="仿宋_GB2312" w:cs="Times New Roman"/>
                <w:sz w:val="24"/>
                <w:szCs w:val="24"/>
                <w:lang w:val="en-US" w:eastAsia="zh-CN"/>
              </w:rPr>
            </w:pPr>
            <w:r>
              <w:rPr>
                <w:rFonts w:hint="eastAsia" w:cs="Times New Roman"/>
                <w:sz w:val="24"/>
                <w:szCs w:val="24"/>
                <w:lang w:val="en-US" w:eastAsia="zh-CN"/>
              </w:rPr>
              <w:t>水产品总产量</w:t>
            </w:r>
          </w:p>
        </w:tc>
        <w:tc>
          <w:tcPr>
            <w:tcW w:w="828" w:type="dxa"/>
            <w:vAlign w:val="center"/>
          </w:tcPr>
          <w:p>
            <w:pPr>
              <w:adjustRightInd w:val="0"/>
              <w:snapToGrid w:val="0"/>
              <w:spacing w:line="320" w:lineRule="exact"/>
              <w:ind w:firstLine="0" w:firstLineChars="0"/>
              <w:jc w:val="center"/>
              <w:rPr>
                <w:rFonts w:hint="default" w:cs="Times New Roman"/>
                <w:sz w:val="24"/>
                <w:szCs w:val="24"/>
                <w:lang w:val="en-US" w:eastAsia="zh-CN"/>
              </w:rPr>
            </w:pPr>
            <w:r>
              <w:rPr>
                <w:rFonts w:hint="eastAsia" w:cs="Times New Roman"/>
                <w:sz w:val="24"/>
                <w:szCs w:val="24"/>
                <w:lang w:val="en-US" w:eastAsia="zh-CN"/>
              </w:rPr>
              <w:t>万吨</w:t>
            </w:r>
          </w:p>
        </w:tc>
        <w:tc>
          <w:tcPr>
            <w:tcW w:w="1101" w:type="dxa"/>
          </w:tcPr>
          <w:p>
            <w:pPr>
              <w:adjustRightInd w:val="0"/>
              <w:snapToGrid w:val="0"/>
              <w:spacing w:line="320" w:lineRule="exact"/>
              <w:ind w:firstLine="0" w:firstLineChars="0"/>
              <w:jc w:val="center"/>
              <w:rPr>
                <w:rFonts w:hint="default" w:cs="Times New Roman"/>
                <w:color w:val="000000"/>
                <w:sz w:val="24"/>
                <w:szCs w:val="24"/>
                <w:lang w:val="en-US" w:eastAsia="zh-CN"/>
              </w:rPr>
            </w:pPr>
            <w:r>
              <w:rPr>
                <w:rFonts w:hint="eastAsia" w:cs="Times New Roman"/>
                <w:color w:val="000000"/>
                <w:sz w:val="24"/>
                <w:szCs w:val="24"/>
                <w:lang w:val="en-US" w:eastAsia="zh-CN"/>
              </w:rPr>
              <w:t>8.19</w:t>
            </w:r>
          </w:p>
        </w:tc>
        <w:tc>
          <w:tcPr>
            <w:tcW w:w="1101" w:type="dxa"/>
            <w:vAlign w:val="center"/>
          </w:tcPr>
          <w:p>
            <w:pPr>
              <w:adjustRightInd w:val="0"/>
              <w:snapToGrid w:val="0"/>
              <w:spacing w:line="320" w:lineRule="exact"/>
              <w:ind w:firstLine="0" w:firstLineChars="0"/>
              <w:jc w:val="center"/>
              <w:rPr>
                <w:rFonts w:hint="default" w:cs="Times New Roman"/>
                <w:color w:val="000000"/>
                <w:sz w:val="24"/>
                <w:szCs w:val="24"/>
                <w:lang w:val="en-US" w:eastAsia="zh-CN"/>
              </w:rPr>
            </w:pPr>
            <w:r>
              <w:rPr>
                <w:rFonts w:hint="eastAsia" w:cs="Times New Roman"/>
                <w:color w:val="000000"/>
                <w:sz w:val="24"/>
                <w:szCs w:val="24"/>
                <w:lang w:val="en-US" w:eastAsia="zh-CN"/>
              </w:rPr>
              <w:t>9.5</w:t>
            </w:r>
          </w:p>
        </w:tc>
        <w:tc>
          <w:tcPr>
            <w:tcW w:w="971" w:type="dxa"/>
            <w:vAlign w:val="center"/>
          </w:tcPr>
          <w:p>
            <w:pPr>
              <w:adjustRightInd w:val="0"/>
              <w:snapToGrid w:val="0"/>
              <w:spacing w:line="320" w:lineRule="exact"/>
              <w:ind w:firstLine="0" w:firstLineChars="0"/>
              <w:jc w:val="center"/>
              <w:rPr>
                <w:rFonts w:hint="eastAsia" w:eastAsia="仿宋_GB2312" w:cs="Times New Roman"/>
                <w:sz w:val="24"/>
                <w:szCs w:val="24"/>
                <w:lang w:val="en-US" w:eastAsia="zh-CN"/>
              </w:rPr>
            </w:pPr>
            <w:r>
              <w:rPr>
                <w:rFonts w:hint="eastAsia" w:cs="Times New Roman"/>
                <w:sz w:val="24"/>
                <w:szCs w:val="24"/>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9" w:hRule="atLeast"/>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lang w:val="en-US" w:eastAsia="zh-CN"/>
              </w:rPr>
              <w:t>5</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lang w:val="en-US" w:eastAsia="zh-CN"/>
              </w:rPr>
              <w:t>新增</w:t>
            </w:r>
            <w:r>
              <w:rPr>
                <w:rFonts w:hint="eastAsia" w:cs="Times New Roman"/>
                <w:sz w:val="24"/>
                <w:szCs w:val="24"/>
              </w:rPr>
              <w:t>市级以上龙头企业数量</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个</w:t>
            </w:r>
          </w:p>
        </w:tc>
        <w:tc>
          <w:tcPr>
            <w:tcW w:w="1101" w:type="dxa"/>
          </w:tcPr>
          <w:p>
            <w:pPr>
              <w:adjustRightInd w:val="0"/>
              <w:snapToGrid w:val="0"/>
              <w:spacing w:line="320" w:lineRule="exact"/>
              <w:ind w:firstLine="0" w:firstLineChars="0"/>
              <w:jc w:val="center"/>
              <w:rPr>
                <w:rFonts w:hint="eastAsia" w:eastAsia="仿宋_GB2312" w:cs="Times New Roman"/>
                <w:color w:val="000000"/>
                <w:sz w:val="24"/>
                <w:szCs w:val="24"/>
                <w:highlight w:val="yellow"/>
                <w:lang w:eastAsia="zh-CN"/>
              </w:rPr>
            </w:pPr>
            <w:r>
              <w:rPr>
                <w:rFonts w:hint="eastAsia" w:cs="Times New Roman"/>
                <w:color w:val="000000"/>
                <w:sz w:val="24"/>
                <w:szCs w:val="24"/>
                <w:lang w:val="en-US" w:eastAsia="zh-CN"/>
              </w:rPr>
              <w:t>/</w:t>
            </w:r>
          </w:p>
        </w:tc>
        <w:tc>
          <w:tcPr>
            <w:tcW w:w="1101" w:type="dxa"/>
            <w:vAlign w:val="center"/>
          </w:tcPr>
          <w:p>
            <w:pPr>
              <w:adjustRightInd w:val="0"/>
              <w:snapToGrid w:val="0"/>
              <w:spacing w:line="320" w:lineRule="exact"/>
              <w:ind w:firstLine="0" w:firstLineChars="0"/>
              <w:jc w:val="center"/>
              <w:rPr>
                <w:rFonts w:hint="default" w:eastAsia="仿宋_GB2312" w:cs="Times New Roman"/>
                <w:color w:val="000000"/>
                <w:sz w:val="24"/>
                <w:szCs w:val="24"/>
                <w:lang w:val="en-US" w:eastAsia="zh-CN"/>
              </w:rPr>
            </w:pPr>
            <w:r>
              <w:rPr>
                <w:rFonts w:hint="eastAsia" w:cs="Times New Roman"/>
                <w:color w:val="000000"/>
                <w:sz w:val="24"/>
                <w:szCs w:val="24"/>
                <w:lang w:val="en-US" w:eastAsia="zh-CN"/>
              </w:rPr>
              <w:t>25</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lang w:val="en-US" w:eastAsia="zh-CN"/>
              </w:rPr>
              <w:t>6</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生猪出栏量</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万头</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28.26</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lang w:val="en-US" w:eastAsia="zh-CN"/>
              </w:rPr>
              <w:t>≥</w:t>
            </w:r>
            <w:r>
              <w:rPr>
                <w:rFonts w:hint="eastAsia" w:cs="Times New Roman"/>
                <w:color w:val="000000"/>
                <w:sz w:val="24"/>
                <w:szCs w:val="24"/>
              </w:rPr>
              <w:t>45</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lang w:val="en-US" w:eastAsia="zh-CN"/>
              </w:rPr>
              <w:t>7</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水产养殖面积</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万亩</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9.25</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9.25</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lang w:val="en-US" w:eastAsia="zh-CN"/>
              </w:rPr>
              <w:t>8</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畜禽粪污综合利用率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85.06</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≥85</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lang w:val="en-US" w:eastAsia="zh-CN"/>
              </w:rPr>
              <w:t>9</w:t>
            </w:r>
          </w:p>
        </w:tc>
        <w:tc>
          <w:tcPr>
            <w:tcW w:w="4283" w:type="dxa"/>
            <w:vAlign w:val="center"/>
          </w:tcPr>
          <w:p>
            <w:pPr>
              <w:adjustRightInd w:val="0"/>
              <w:snapToGrid w:val="0"/>
              <w:spacing w:line="320" w:lineRule="exact"/>
              <w:ind w:firstLine="0" w:firstLineChars="0"/>
              <w:rPr>
                <w:rFonts w:cs="Times New Roman"/>
                <w:sz w:val="24"/>
                <w:szCs w:val="24"/>
              </w:rPr>
            </w:pPr>
            <w:r>
              <w:rPr>
                <w:rFonts w:cs="Times New Roman"/>
                <w:sz w:val="24"/>
                <w:szCs w:val="24"/>
              </w:rPr>
              <w:t>畜禽养殖规模化率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hint="default" w:eastAsia="仿宋_GB2312" w:cs="Times New Roman"/>
                <w:color w:val="000000"/>
                <w:sz w:val="24"/>
                <w:szCs w:val="24"/>
                <w:highlight w:val="yellow"/>
                <w:lang w:val="en-US" w:eastAsia="zh-CN"/>
              </w:rPr>
            </w:pPr>
            <w:r>
              <w:rPr>
                <w:rFonts w:hint="eastAsia" w:cs="Times New Roman"/>
                <w:color w:val="000000"/>
                <w:sz w:val="24"/>
                <w:szCs w:val="24"/>
                <w:highlight w:val="none"/>
                <w:lang w:val="en-US" w:eastAsia="zh-CN"/>
              </w:rPr>
              <w:t>95.38</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≥90</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default" w:eastAsia="仿宋_GB2312" w:cs="Times New Roman"/>
                <w:sz w:val="24"/>
                <w:szCs w:val="24"/>
                <w:lang w:val="en-US" w:eastAsia="zh-CN"/>
              </w:rPr>
            </w:pPr>
            <w:r>
              <w:rPr>
                <w:rFonts w:hint="eastAsia" w:cs="Times New Roman"/>
                <w:sz w:val="24"/>
                <w:szCs w:val="24"/>
                <w:lang w:val="en-US" w:eastAsia="zh-CN"/>
              </w:rPr>
              <w:t>10</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受污染耕地安全利用率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cs="Times New Roman"/>
                <w:color w:val="000000"/>
                <w:sz w:val="24"/>
                <w:szCs w:val="24"/>
                <w:highlight w:val="yellow"/>
              </w:rPr>
            </w:pPr>
            <w:r>
              <w:rPr>
                <w:rFonts w:hint="eastAsia" w:cs="Times New Roman"/>
                <w:color w:val="000000"/>
                <w:sz w:val="24"/>
                <w:szCs w:val="24"/>
              </w:rPr>
              <w:t>94.57</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≥95</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rPr>
              <w:t>1</w:t>
            </w:r>
            <w:r>
              <w:rPr>
                <w:rFonts w:hint="eastAsia" w:cs="Times New Roman"/>
                <w:sz w:val="24"/>
                <w:szCs w:val="24"/>
                <w:lang w:val="en-US" w:eastAsia="zh-CN"/>
              </w:rPr>
              <w:t>1</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农作物耕种收综合机械化率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57.19</w:t>
            </w:r>
          </w:p>
        </w:tc>
        <w:tc>
          <w:tcPr>
            <w:tcW w:w="1101" w:type="dxa"/>
            <w:vAlign w:val="center"/>
          </w:tcPr>
          <w:p>
            <w:pPr>
              <w:adjustRightInd w:val="0"/>
              <w:snapToGrid w:val="0"/>
              <w:spacing w:line="320" w:lineRule="exact"/>
              <w:ind w:firstLine="0" w:firstLineChars="0"/>
              <w:rPr>
                <w:rFonts w:cs="Times New Roman"/>
                <w:color w:val="000000"/>
                <w:sz w:val="24"/>
                <w:szCs w:val="24"/>
              </w:rPr>
            </w:pPr>
            <w:r>
              <w:rPr>
                <w:rFonts w:hint="eastAsia" w:cs="Times New Roman"/>
                <w:color w:val="000000"/>
                <w:sz w:val="24"/>
                <w:szCs w:val="24"/>
              </w:rPr>
              <w:t>≥61.61</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rPr>
              <w:t>1</w:t>
            </w:r>
            <w:r>
              <w:rPr>
                <w:rFonts w:hint="eastAsia" w:cs="Times New Roman"/>
                <w:sz w:val="24"/>
                <w:szCs w:val="24"/>
                <w:lang w:val="en-US" w:eastAsia="zh-CN"/>
              </w:rPr>
              <w:t>2</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农产品质量安全监测合格率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99.58</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≥98</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rPr>
              <w:t>1</w:t>
            </w:r>
            <w:r>
              <w:rPr>
                <w:rFonts w:hint="eastAsia" w:cs="Times New Roman"/>
                <w:sz w:val="24"/>
                <w:szCs w:val="24"/>
                <w:lang w:val="en-US" w:eastAsia="zh-CN"/>
              </w:rPr>
              <w:t>3</w:t>
            </w:r>
          </w:p>
        </w:tc>
        <w:tc>
          <w:tcPr>
            <w:tcW w:w="4283" w:type="dxa"/>
            <w:vAlign w:val="center"/>
          </w:tcPr>
          <w:p>
            <w:pPr>
              <w:adjustRightInd w:val="0"/>
              <w:snapToGrid w:val="0"/>
              <w:spacing w:line="320" w:lineRule="exact"/>
              <w:ind w:firstLine="0" w:firstLineChars="0"/>
              <w:rPr>
                <w:rFonts w:cs="Times New Roman"/>
                <w:sz w:val="24"/>
                <w:szCs w:val="24"/>
              </w:rPr>
            </w:pPr>
            <w:r>
              <w:rPr>
                <w:rFonts w:cs="Times New Roman"/>
                <w:sz w:val="24"/>
                <w:szCs w:val="24"/>
              </w:rPr>
              <w:t>农村土地流转率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54.22</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≥60</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rPr>
              <w:t>1</w:t>
            </w:r>
            <w:r>
              <w:rPr>
                <w:rFonts w:hint="eastAsia" w:cs="Times New Roman"/>
                <w:sz w:val="24"/>
                <w:szCs w:val="24"/>
                <w:lang w:val="en-US" w:eastAsia="zh-CN"/>
              </w:rPr>
              <w:t>4</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lang w:val="en-US" w:eastAsia="zh-CN"/>
              </w:rPr>
              <w:t>农村</w:t>
            </w:r>
            <w:r>
              <w:rPr>
                <w:rFonts w:hint="eastAsia" w:cs="Times New Roman"/>
                <w:sz w:val="24"/>
                <w:szCs w:val="24"/>
              </w:rPr>
              <w:t>卫生</w:t>
            </w:r>
            <w:r>
              <w:rPr>
                <w:rFonts w:hint="eastAsia" w:cs="Times New Roman"/>
                <w:sz w:val="24"/>
                <w:szCs w:val="24"/>
                <w:lang w:val="en-US" w:eastAsia="zh-CN"/>
              </w:rPr>
              <w:t>户</w:t>
            </w:r>
            <w:r>
              <w:rPr>
                <w:rFonts w:hint="eastAsia" w:cs="Times New Roman"/>
                <w:sz w:val="24"/>
                <w:szCs w:val="24"/>
              </w:rPr>
              <w:t>厕普及率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94.7</w:t>
            </w:r>
          </w:p>
        </w:tc>
        <w:tc>
          <w:tcPr>
            <w:tcW w:w="1101" w:type="dxa"/>
            <w:vAlign w:val="center"/>
          </w:tcPr>
          <w:p>
            <w:pPr>
              <w:adjustRightInd w:val="0"/>
              <w:snapToGrid w:val="0"/>
              <w:spacing w:line="320" w:lineRule="exact"/>
              <w:ind w:firstLine="0" w:firstLineChars="0"/>
              <w:jc w:val="center"/>
              <w:rPr>
                <w:rFonts w:hint="default" w:eastAsia="仿宋_GB2312" w:cs="Times New Roman"/>
                <w:color w:val="000000"/>
                <w:sz w:val="24"/>
                <w:szCs w:val="24"/>
                <w:lang w:val="en-US" w:eastAsia="zh-CN"/>
              </w:rPr>
            </w:pPr>
            <w:r>
              <w:rPr>
                <w:rFonts w:hint="eastAsia" w:cs="Times New Roman"/>
                <w:color w:val="000000"/>
                <w:sz w:val="24"/>
                <w:szCs w:val="24"/>
                <w:lang w:val="en-US" w:eastAsia="zh-CN"/>
              </w:rPr>
              <w:t>99.9</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eastAsia" w:eastAsia="仿宋_GB2312" w:cs="Times New Roman"/>
                <w:sz w:val="24"/>
                <w:szCs w:val="24"/>
                <w:lang w:eastAsia="zh-CN"/>
              </w:rPr>
            </w:pPr>
            <w:r>
              <w:rPr>
                <w:rFonts w:hint="eastAsia" w:cs="Times New Roman"/>
                <w:sz w:val="24"/>
                <w:szCs w:val="24"/>
              </w:rPr>
              <w:t>1</w:t>
            </w:r>
            <w:r>
              <w:rPr>
                <w:rFonts w:hint="eastAsia" w:cs="Times New Roman"/>
                <w:sz w:val="24"/>
                <w:szCs w:val="24"/>
                <w:lang w:val="en-US" w:eastAsia="zh-CN"/>
              </w:rPr>
              <w:t>5</w:t>
            </w:r>
          </w:p>
        </w:tc>
        <w:tc>
          <w:tcPr>
            <w:tcW w:w="4283" w:type="dxa"/>
            <w:vAlign w:val="center"/>
          </w:tcPr>
          <w:p>
            <w:pPr>
              <w:adjustRightInd w:val="0"/>
              <w:snapToGrid w:val="0"/>
              <w:spacing w:line="320" w:lineRule="exact"/>
              <w:ind w:firstLine="0" w:firstLineChars="0"/>
              <w:rPr>
                <w:rFonts w:cs="Times New Roman"/>
                <w:sz w:val="24"/>
                <w:szCs w:val="24"/>
              </w:rPr>
            </w:pPr>
            <w:r>
              <w:rPr>
                <w:rFonts w:hint="eastAsia" w:cs="Times New Roman"/>
                <w:sz w:val="24"/>
                <w:szCs w:val="24"/>
              </w:rPr>
              <w:t>农村生活污水治理率</w:t>
            </w:r>
          </w:p>
        </w:tc>
        <w:tc>
          <w:tcPr>
            <w:tcW w:w="828"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w:t>
            </w:r>
          </w:p>
        </w:tc>
        <w:tc>
          <w:tcPr>
            <w:tcW w:w="1101" w:type="dxa"/>
          </w:tcPr>
          <w:p>
            <w:pPr>
              <w:adjustRightInd w:val="0"/>
              <w:snapToGrid w:val="0"/>
              <w:spacing w:line="320" w:lineRule="exact"/>
              <w:ind w:firstLine="0" w:firstLineChars="0"/>
              <w:jc w:val="center"/>
              <w:rPr>
                <w:rFonts w:hint="default" w:eastAsia="仿宋_GB2312" w:cs="Times New Roman"/>
                <w:color w:val="000000"/>
                <w:sz w:val="24"/>
                <w:szCs w:val="24"/>
                <w:lang w:val="en-US" w:eastAsia="zh-CN"/>
              </w:rPr>
            </w:pPr>
            <w:r>
              <w:rPr>
                <w:rFonts w:hint="eastAsia" w:cs="Times New Roman"/>
                <w:color w:val="000000"/>
                <w:sz w:val="24"/>
                <w:szCs w:val="24"/>
                <w:lang w:val="en-US" w:eastAsia="zh-CN"/>
              </w:rPr>
              <w:t>98.56</w:t>
            </w:r>
          </w:p>
        </w:tc>
        <w:tc>
          <w:tcPr>
            <w:tcW w:w="1101" w:type="dxa"/>
            <w:vAlign w:val="center"/>
          </w:tcPr>
          <w:p>
            <w:pPr>
              <w:adjustRightInd w:val="0"/>
              <w:snapToGrid w:val="0"/>
              <w:spacing w:line="320" w:lineRule="exact"/>
              <w:ind w:firstLine="0" w:firstLineChars="0"/>
              <w:jc w:val="center"/>
              <w:rPr>
                <w:rFonts w:cs="Times New Roman"/>
                <w:color w:val="000000"/>
                <w:sz w:val="24"/>
                <w:szCs w:val="24"/>
              </w:rPr>
            </w:pPr>
            <w:r>
              <w:rPr>
                <w:rFonts w:hint="eastAsia" w:cs="Times New Roman"/>
                <w:color w:val="000000"/>
                <w:sz w:val="24"/>
                <w:szCs w:val="24"/>
              </w:rPr>
              <w:t>≥90</w:t>
            </w:r>
          </w:p>
        </w:tc>
        <w:tc>
          <w:tcPr>
            <w:tcW w:w="971" w:type="dxa"/>
            <w:vAlign w:val="center"/>
          </w:tcPr>
          <w:p>
            <w:pPr>
              <w:adjustRightInd w:val="0"/>
              <w:snapToGrid w:val="0"/>
              <w:spacing w:line="320" w:lineRule="exact"/>
              <w:ind w:firstLine="0" w:firstLineChars="0"/>
              <w:jc w:val="center"/>
              <w:rPr>
                <w:rFonts w:cs="Times New Roman"/>
                <w:sz w:val="24"/>
                <w:szCs w:val="24"/>
              </w:rPr>
            </w:pPr>
            <w:r>
              <w:rPr>
                <w:rFonts w:hint="eastAsia" w:cs="Times New Roman"/>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36" w:type="dxa"/>
            <w:vAlign w:val="center"/>
          </w:tcPr>
          <w:p>
            <w:pPr>
              <w:adjustRightInd w:val="0"/>
              <w:snapToGrid w:val="0"/>
              <w:spacing w:line="320" w:lineRule="exact"/>
              <w:ind w:firstLine="0" w:firstLineChars="0"/>
              <w:jc w:val="center"/>
              <w:rPr>
                <w:rFonts w:hint="default" w:eastAsia="仿宋_GB2312" w:cs="Times New Roman"/>
                <w:sz w:val="24"/>
                <w:szCs w:val="24"/>
                <w:lang w:val="en-US" w:eastAsia="zh-CN"/>
              </w:rPr>
            </w:pPr>
            <w:r>
              <w:rPr>
                <w:rFonts w:hint="eastAsia" w:cs="Times New Roman"/>
                <w:sz w:val="24"/>
                <w:szCs w:val="24"/>
                <w:lang w:val="en-US" w:eastAsia="zh-CN"/>
              </w:rPr>
              <w:t>16</w:t>
            </w:r>
          </w:p>
        </w:tc>
        <w:tc>
          <w:tcPr>
            <w:tcW w:w="4283" w:type="dxa"/>
            <w:vAlign w:val="center"/>
          </w:tcPr>
          <w:p>
            <w:pPr>
              <w:adjustRightInd w:val="0"/>
              <w:snapToGrid w:val="0"/>
              <w:spacing w:line="320" w:lineRule="exact"/>
              <w:ind w:firstLine="0" w:firstLineChars="0"/>
              <w:rPr>
                <w:rFonts w:hint="eastAsia" w:cs="Times New Roman"/>
                <w:sz w:val="24"/>
                <w:szCs w:val="24"/>
              </w:rPr>
            </w:pPr>
            <w:r>
              <w:rPr>
                <w:rFonts w:hint="eastAsia" w:cs="Times New Roman"/>
                <w:sz w:val="24"/>
                <w:szCs w:val="24"/>
              </w:rPr>
              <w:t>乡镇（街道）综合养老服务中心覆盖率</w:t>
            </w:r>
          </w:p>
        </w:tc>
        <w:tc>
          <w:tcPr>
            <w:tcW w:w="828" w:type="dxa"/>
            <w:vAlign w:val="center"/>
          </w:tcPr>
          <w:p>
            <w:pPr>
              <w:adjustRightInd w:val="0"/>
              <w:snapToGrid w:val="0"/>
              <w:spacing w:line="320" w:lineRule="exact"/>
              <w:ind w:firstLine="0" w:firstLineChars="0"/>
              <w:jc w:val="center"/>
              <w:rPr>
                <w:rFonts w:hint="eastAsia" w:eastAsia="仿宋_GB2312" w:cs="Times New Roman"/>
                <w:sz w:val="24"/>
                <w:szCs w:val="24"/>
                <w:lang w:val="en-US" w:eastAsia="zh-CN"/>
              </w:rPr>
            </w:pPr>
            <w:r>
              <w:rPr>
                <w:rFonts w:hint="eastAsia" w:cs="Times New Roman"/>
                <w:sz w:val="24"/>
                <w:szCs w:val="24"/>
                <w:lang w:val="en-US" w:eastAsia="zh-CN"/>
              </w:rPr>
              <w:t>%</w:t>
            </w:r>
          </w:p>
        </w:tc>
        <w:tc>
          <w:tcPr>
            <w:tcW w:w="1101" w:type="dxa"/>
          </w:tcPr>
          <w:p>
            <w:pPr>
              <w:adjustRightInd w:val="0"/>
              <w:snapToGrid w:val="0"/>
              <w:spacing w:line="320" w:lineRule="exact"/>
              <w:ind w:firstLine="0" w:firstLineChars="0"/>
              <w:jc w:val="center"/>
              <w:rPr>
                <w:rFonts w:hint="default" w:cs="Times New Roman"/>
                <w:color w:val="000000"/>
                <w:sz w:val="24"/>
                <w:szCs w:val="24"/>
                <w:lang w:val="en-US" w:eastAsia="zh-CN"/>
              </w:rPr>
            </w:pPr>
            <w:r>
              <w:rPr>
                <w:rFonts w:hint="eastAsia" w:cs="Times New Roman"/>
                <w:color w:val="000000"/>
                <w:sz w:val="24"/>
                <w:szCs w:val="24"/>
                <w:lang w:val="en-US" w:eastAsia="zh-CN"/>
              </w:rPr>
              <w:t>80</w:t>
            </w:r>
          </w:p>
        </w:tc>
        <w:tc>
          <w:tcPr>
            <w:tcW w:w="1101" w:type="dxa"/>
            <w:vAlign w:val="center"/>
          </w:tcPr>
          <w:p>
            <w:pPr>
              <w:adjustRightInd w:val="0"/>
              <w:snapToGrid w:val="0"/>
              <w:spacing w:line="320" w:lineRule="exact"/>
              <w:ind w:firstLine="0" w:firstLineChars="0"/>
              <w:jc w:val="center"/>
              <w:rPr>
                <w:rFonts w:hint="default" w:eastAsia="仿宋_GB2312" w:cs="Times New Roman"/>
                <w:color w:val="000000"/>
                <w:sz w:val="24"/>
                <w:szCs w:val="24"/>
                <w:lang w:val="en-US" w:eastAsia="zh-CN"/>
              </w:rPr>
            </w:pPr>
            <w:r>
              <w:rPr>
                <w:rFonts w:hint="eastAsia" w:cs="Times New Roman"/>
                <w:color w:val="000000"/>
                <w:sz w:val="24"/>
                <w:szCs w:val="24"/>
                <w:lang w:val="en-US" w:eastAsia="zh-CN"/>
              </w:rPr>
              <w:t>100</w:t>
            </w:r>
          </w:p>
        </w:tc>
        <w:tc>
          <w:tcPr>
            <w:tcW w:w="971" w:type="dxa"/>
            <w:vAlign w:val="center"/>
          </w:tcPr>
          <w:p>
            <w:pPr>
              <w:adjustRightInd w:val="0"/>
              <w:snapToGrid w:val="0"/>
              <w:spacing w:line="320" w:lineRule="exact"/>
              <w:ind w:firstLine="0" w:firstLineChars="0"/>
              <w:jc w:val="center"/>
              <w:rPr>
                <w:rFonts w:hint="eastAsia" w:eastAsia="仿宋_GB2312" w:cs="Times New Roman"/>
                <w:sz w:val="24"/>
                <w:szCs w:val="24"/>
                <w:lang w:val="en-US" w:eastAsia="zh-CN"/>
              </w:rPr>
            </w:pPr>
            <w:r>
              <w:rPr>
                <w:rFonts w:hint="eastAsia" w:cs="Times New Roman"/>
                <w:sz w:val="24"/>
                <w:szCs w:val="24"/>
                <w:lang w:val="en-US" w:eastAsia="zh-CN"/>
              </w:rPr>
              <w:t>预期性</w:t>
            </w:r>
          </w:p>
        </w:tc>
      </w:tr>
    </w:tbl>
    <w:p>
      <w:pPr>
        <w:pStyle w:val="2"/>
        <w:ind w:firstLine="0" w:firstLineChars="0"/>
        <w:jc w:val="both"/>
      </w:pPr>
      <w:bookmarkStart w:id="47" w:name="_Toc13366_WPSOffice_Level1"/>
      <w:bookmarkStart w:id="48" w:name="_Toc10215"/>
      <w:bookmarkStart w:id="49" w:name="_Toc30539"/>
    </w:p>
    <w:p>
      <w:pPr>
        <w:pStyle w:val="2"/>
        <w:ind w:firstLine="0" w:firstLineChars="0"/>
      </w:pPr>
      <w:bookmarkStart w:id="50" w:name="_Toc30959_WPSOffice_Level1"/>
      <w:r>
        <w:rPr>
          <w:rFonts w:hint="eastAsia"/>
        </w:rPr>
        <w:t xml:space="preserve">第二章 </w:t>
      </w:r>
      <w:bookmarkEnd w:id="47"/>
      <w:bookmarkEnd w:id="48"/>
      <w:bookmarkEnd w:id="49"/>
      <w:r>
        <w:rPr>
          <w:rFonts w:hint="eastAsia"/>
        </w:rPr>
        <w:t>推动农业综合生产能力提质增效</w:t>
      </w:r>
      <w:bookmarkEnd w:id="50"/>
    </w:p>
    <w:p>
      <w:pPr>
        <w:spacing w:line="600" w:lineRule="exact"/>
        <w:rPr>
          <w:rFonts w:cs="Times New Roman"/>
        </w:rPr>
      </w:pPr>
    </w:p>
    <w:p>
      <w:pPr>
        <w:pStyle w:val="3"/>
      </w:pPr>
      <w:bookmarkStart w:id="51" w:name="_Toc23117_WPSOffice_Level2"/>
      <w:bookmarkStart w:id="52" w:name="_Toc4648"/>
      <w:bookmarkStart w:id="53" w:name="_Toc5680_WPSOffice_Level2"/>
      <w:bookmarkStart w:id="54" w:name="_Toc32610"/>
      <w:r>
        <w:rPr>
          <w:rFonts w:hint="eastAsia"/>
        </w:rPr>
        <w:t>一、强化耕地保护与农田建设</w:t>
      </w:r>
      <w:bookmarkEnd w:id="51"/>
    </w:p>
    <w:p>
      <w:pPr>
        <w:ind w:firstLine="643"/>
      </w:pPr>
      <w:r>
        <w:rPr>
          <w:rFonts w:hint="eastAsia"/>
          <w:b/>
          <w:bCs/>
        </w:rPr>
        <w:t>坚决守住耕地保护红线，</w:t>
      </w:r>
      <w:r>
        <w:rPr>
          <w:rFonts w:hint="eastAsia"/>
        </w:rPr>
        <w:t>坚持“藏粮于地、藏粮于技”，推进撂荒耕地复耕复种1万亩，推进耕地质量保护与提升工程，推广绿肥种植、秸秆还田等技术。</w:t>
      </w:r>
      <w:r>
        <w:rPr>
          <w:rFonts w:hint="eastAsia"/>
          <w:b/>
          <w:bCs/>
        </w:rPr>
        <w:t>高标准农田建设稳步推进，</w:t>
      </w:r>
      <w:r>
        <w:rPr>
          <w:rFonts w:hint="eastAsia"/>
        </w:rPr>
        <w:t>全面完成</w:t>
      </w:r>
      <w:r>
        <w:rPr>
          <w:rFonts w:hint="eastAsia"/>
          <w:lang w:val="en-US" w:eastAsia="zh-CN"/>
        </w:rPr>
        <w:t>3.31</w:t>
      </w:r>
      <w:r>
        <w:rPr>
          <w:rFonts w:hint="eastAsia"/>
        </w:rPr>
        <w:t>万亩新建与改造提升任务（以上级下达为准）。同步推进田块整治、灌溉排水、田间道路、农田防护等基础设施建设，推广高效节水灌溉技术。</w:t>
      </w:r>
      <w:r>
        <w:rPr>
          <w:rFonts w:hint="eastAsia"/>
          <w:b/>
          <w:bCs/>
        </w:rPr>
        <w:t>增强耕地可持续生产能力。</w:t>
      </w:r>
      <w:r>
        <w:rPr>
          <w:rFonts w:hint="eastAsia"/>
        </w:rPr>
        <w:t>深入推进测土配方施肥，开展肥料使用情况调查。持续做好土壤污染防治“国控点”、“省控点”及市监测点采样工作，确保受污染耕地安全利用率达到95%以上。</w:t>
      </w:r>
    </w:p>
    <w:p>
      <w:pPr>
        <w:pStyle w:val="3"/>
      </w:pPr>
      <w:bookmarkStart w:id="55" w:name="_Toc2288_WPSOffice_Level2"/>
      <w:r>
        <w:rPr>
          <w:rFonts w:hint="eastAsia"/>
        </w:rPr>
        <w:t>二、提升重要农产品稳产保供能力</w:t>
      </w:r>
      <w:bookmarkEnd w:id="55"/>
    </w:p>
    <w:p>
      <w:pPr>
        <w:ind w:firstLine="643"/>
      </w:pPr>
      <w:r>
        <w:rPr>
          <w:rFonts w:hint="eastAsia"/>
          <w:b/>
        </w:rPr>
        <w:t>增强</w:t>
      </w:r>
      <w:r>
        <w:rPr>
          <w:b/>
        </w:rPr>
        <w:t>粮食</w:t>
      </w:r>
      <w:r>
        <w:rPr>
          <w:rFonts w:hint="eastAsia"/>
          <w:b/>
        </w:rPr>
        <w:t>综合</w:t>
      </w:r>
      <w:r>
        <w:rPr>
          <w:b/>
        </w:rPr>
        <w:t>生产能力。</w:t>
      </w:r>
      <w:r>
        <w:rPr>
          <w:rFonts w:hint="eastAsia"/>
        </w:rPr>
        <w:t>聚焦</w:t>
      </w:r>
      <w:r>
        <w:t>重要农产品稳产提质，</w:t>
      </w:r>
      <w:r>
        <w:rPr>
          <w:rFonts w:hint="eastAsia"/>
        </w:rPr>
        <w:t>创建9个粮食高产示范片区和高产示范田，稳定粮食种植面积。重点推广优质高产多抗良种、水稻全程机械化、智能节水灌溉等先进适用技术，力争主要粮食作物单产水平稳步提升。</w:t>
      </w:r>
      <w:r>
        <w:t>系统实施单产提升行动</w:t>
      </w:r>
      <w:r>
        <w:rPr>
          <w:rFonts w:hint="eastAsia"/>
        </w:rPr>
        <w:t>，重点围绕“良种、良法、良机”融合，集成推广高产优质抗逆品种、水稻合理密植、测土配方施肥及病虫害绿色综合防控等技术。</w:t>
      </w:r>
      <w:r>
        <w:rPr>
          <w:b/>
        </w:rPr>
        <w:t>畅通</w:t>
      </w:r>
      <w:r>
        <w:rPr>
          <w:rFonts w:hint="eastAsia"/>
          <w:b/>
        </w:rPr>
        <w:t>“</w:t>
      </w:r>
      <w:r>
        <w:rPr>
          <w:b/>
        </w:rPr>
        <w:t>菜篮子</w:t>
      </w:r>
      <w:r>
        <w:rPr>
          <w:rFonts w:hint="eastAsia"/>
          <w:b/>
        </w:rPr>
        <w:t>”</w:t>
      </w:r>
      <w:r>
        <w:rPr>
          <w:b/>
        </w:rPr>
        <w:t>产品供应链条。</w:t>
      </w:r>
      <w:r>
        <w:t>大力发展设施农业，加快特色水果和蔬菜品种结构优化</w:t>
      </w:r>
      <w:r>
        <w:rPr>
          <w:rFonts w:hint="eastAsia"/>
        </w:rPr>
        <w:t>，提升</w:t>
      </w:r>
      <w:r>
        <w:t>产能</w:t>
      </w:r>
      <w:r>
        <w:rPr>
          <w:rFonts w:hint="eastAsia"/>
        </w:rPr>
        <w:t>与</w:t>
      </w:r>
      <w:r>
        <w:t>品质，完善</w:t>
      </w:r>
      <w:r>
        <w:rPr>
          <w:rFonts w:hint="eastAsia"/>
        </w:rPr>
        <w:t>“</w:t>
      </w:r>
      <w:r>
        <w:t>菜篮子</w:t>
      </w:r>
      <w:r>
        <w:rPr>
          <w:rFonts w:hint="eastAsia"/>
        </w:rPr>
        <w:t>”</w:t>
      </w:r>
      <w:r>
        <w:t>全链条保障</w:t>
      </w:r>
      <w:r>
        <w:rPr>
          <w:rFonts w:hint="eastAsia"/>
        </w:rPr>
        <w:t>。</w:t>
      </w:r>
      <w:r>
        <w:rPr>
          <w:rFonts w:hint="eastAsia"/>
          <w:b/>
        </w:rPr>
        <w:t>释放</w:t>
      </w:r>
      <w:r>
        <w:rPr>
          <w:b/>
        </w:rPr>
        <w:t>畜禽</w:t>
      </w:r>
      <w:r>
        <w:rPr>
          <w:rFonts w:hint="eastAsia"/>
          <w:b/>
        </w:rPr>
        <w:t>养殖产能潜力</w:t>
      </w:r>
      <w:r>
        <w:rPr>
          <w:b/>
        </w:rPr>
        <w:t>。</w:t>
      </w:r>
      <w:r>
        <w:t>统筹利用现有土地资源，突出发展现代化生猪养殖业，科学布局高标准生猪</w:t>
      </w:r>
      <w:r>
        <w:rPr>
          <w:rFonts w:hint="eastAsia"/>
        </w:rPr>
        <w:t>“</w:t>
      </w:r>
      <w:r>
        <w:t>楼房养殖</w:t>
      </w:r>
      <w:r>
        <w:rPr>
          <w:rFonts w:hint="eastAsia"/>
        </w:rPr>
        <w:t>”</w:t>
      </w:r>
      <w:r>
        <w:t>基地，推动生猪养殖向集约化、标准化、智能化</w:t>
      </w:r>
      <w:r>
        <w:rPr>
          <w:rFonts w:hint="eastAsia"/>
        </w:rPr>
        <w:t>转型</w:t>
      </w:r>
      <w:r>
        <w:t>。促进屠宰加工升级。优化屠宰行业布局，鼓励建设集屠宰、分割、</w:t>
      </w:r>
      <w:r>
        <w:rPr>
          <w:rFonts w:hint="eastAsia"/>
        </w:rPr>
        <w:t>预冷、包装</w:t>
      </w:r>
      <w:r>
        <w:t>于一体的现代化屠宰</w:t>
      </w:r>
      <w:r>
        <w:rPr>
          <w:rFonts w:hint="eastAsia"/>
        </w:rPr>
        <w:t>冷链加工</w:t>
      </w:r>
      <w:r>
        <w:t>中心。力争到2030年末，生猪年出栏量稳定在45万头以上，养殖规模化率保持在90%以上，规模猪场保有量不少于50个。</w:t>
      </w:r>
      <w:r>
        <w:rPr>
          <w:rFonts w:hint="eastAsia"/>
          <w:b/>
        </w:rPr>
        <w:t>推进</w:t>
      </w:r>
      <w:r>
        <w:rPr>
          <w:b/>
        </w:rPr>
        <w:t>水产养殖</w:t>
      </w:r>
      <w:r>
        <w:rPr>
          <w:rFonts w:hint="eastAsia"/>
          <w:b/>
        </w:rPr>
        <w:t>提质增效。</w:t>
      </w:r>
      <w:r>
        <w:rPr>
          <w:rFonts w:hint="eastAsia"/>
        </w:rPr>
        <w:t>水产养殖面积稳定在9.2万亩左右，</w:t>
      </w:r>
      <w:r>
        <w:t>优化水产养殖品种结构</w:t>
      </w:r>
      <w:r>
        <w:rPr>
          <w:rFonts w:hint="eastAsia"/>
        </w:rPr>
        <w:t>，</w:t>
      </w:r>
      <w:r>
        <w:t>重点推广鳗鱼、鳜鱼、红螯螯虾等名特优品种，力争到2030年末水产品年总产量达到9.5万吨</w:t>
      </w:r>
      <w:r>
        <w:rPr>
          <w:rFonts w:hint="eastAsia"/>
          <w:lang w:eastAsia="zh-CN"/>
        </w:rPr>
        <w:t>，</w:t>
      </w:r>
      <w:bookmarkStart w:id="94" w:name="_GoBack"/>
      <w:bookmarkEnd w:id="94"/>
      <w:r>
        <w:rPr>
          <w:rFonts w:hint="eastAsia"/>
          <w:lang w:eastAsia="zh-CN"/>
        </w:rPr>
        <w:t>名特优品种养殖面积突破1.2万亩，</w:t>
      </w:r>
      <w:r>
        <w:t>。</w:t>
      </w:r>
    </w:p>
    <w:p>
      <w:pPr>
        <w:pStyle w:val="3"/>
      </w:pPr>
      <w:bookmarkStart w:id="56" w:name="_Toc5891_WPSOffice_Level2"/>
      <w:r>
        <w:rPr>
          <w:rFonts w:hint="eastAsia"/>
        </w:rPr>
        <w:t>三、推动特色富民产业提质增效</w:t>
      </w:r>
      <w:bookmarkEnd w:id="56"/>
    </w:p>
    <w:p>
      <w:pPr>
        <w:rPr>
          <w:b/>
        </w:rPr>
      </w:pPr>
      <w:r>
        <w:rPr>
          <w:rFonts w:hint="eastAsia"/>
        </w:rPr>
        <w:t>聚焦特色农业产业，持续擦亮农业招牌。</w:t>
      </w:r>
      <w:r>
        <w:rPr>
          <w:rFonts w:hint="eastAsia"/>
          <w:b/>
          <w:bCs/>
        </w:rPr>
        <w:t>持续推进鹤山红茶扩面提质，</w:t>
      </w:r>
      <w:r>
        <w:rPr>
          <w:rFonts w:hint="eastAsia"/>
        </w:rPr>
        <w:t>“十五五”期间每年规划新增种植面积500亩，力争2030年种植面积突破1.8万亩；通过统一制作工艺、打造公共品牌、发展茶旅融合，提升产业规模与市场份额。</w:t>
      </w:r>
      <w:r>
        <w:rPr>
          <w:rFonts w:hint="eastAsia"/>
          <w:b/>
          <w:bCs/>
        </w:rPr>
        <w:t>大力发展龙口肉牛产业，</w:t>
      </w:r>
      <w:r>
        <w:rPr>
          <w:rFonts w:hint="eastAsia"/>
        </w:rPr>
        <w:t>以龙口镇福迳村、霄南村为重点，以产业强镇项目建设为抓手，构建“一心两园三区一带”发展体系，打造全产业链模式。</w:t>
      </w:r>
      <w:r>
        <w:rPr>
          <w:rFonts w:hint="eastAsia"/>
          <w:b/>
          <w:bCs/>
        </w:rPr>
        <w:t>重塑鹤城腐竹品牌，</w:t>
      </w:r>
      <w:r>
        <w:rPr>
          <w:rFonts w:hint="eastAsia"/>
        </w:rPr>
        <w:t>借助省“补改投”试点契机，撬动社会资本推进项目建设，招引企业进驻、完善产业链。</w:t>
      </w:r>
      <w:r>
        <w:rPr>
          <w:rFonts w:hint="eastAsia"/>
          <w:b/>
          <w:bCs/>
        </w:rPr>
        <w:t>做大鹤城花生体量，</w:t>
      </w:r>
      <w:r>
        <w:rPr>
          <w:rFonts w:hint="eastAsia"/>
        </w:rPr>
        <w:t>以鹤城镇为核心，探索“种产销一体化”模式，扩大种植面积，培育龙头企业，发展产业集群，打响品牌知名度。</w:t>
      </w:r>
      <w:r>
        <w:rPr>
          <w:rFonts w:hint="eastAsia"/>
          <w:b/>
          <w:bCs/>
        </w:rPr>
        <w:t>深挖鹤山粉葛潜力，</w:t>
      </w:r>
      <w:r>
        <w:rPr>
          <w:rFonts w:hint="eastAsia"/>
        </w:rPr>
        <w:t>发挥地理标志品牌价值，建设双合种植基地，推广套种模式，发展深加工产品，挖掘药食同源价值，推动文旅融合，拓展高端养生市场，全方位推动特色农业赋能乡村振兴。</w:t>
      </w:r>
      <w:r>
        <w:rPr>
          <w:rFonts w:hint="eastAsia"/>
          <w:b/>
        </w:rPr>
        <w:t>发展乡村休闲农业产业。</w:t>
      </w:r>
      <w:r>
        <w:rPr>
          <w:rFonts w:hint="eastAsia"/>
        </w:rPr>
        <w:t>利用鹤山便利的交通位置、丰富的自然环境优势、完善的配套设施建设，串珠成链，有机串联古劳水乡、龙口霄乡、鹤城福伦文旅龟博园、源林生态乐园等特色文旅节点，深入打造民俗游、文化游、红色游、乡村游、森林康养游等特色鲜明的乡村旅游廊道。</w:t>
      </w:r>
    </w:p>
    <w:p>
      <w:pPr>
        <w:pStyle w:val="3"/>
      </w:pPr>
      <w:bookmarkStart w:id="57" w:name="_Toc24520_WPSOffice_Level2"/>
      <w:r>
        <w:rPr>
          <w:rFonts w:hint="eastAsia"/>
        </w:rPr>
        <w:t>四、加强品牌培育与营销推广</w:t>
      </w:r>
      <w:bookmarkEnd w:id="57"/>
    </w:p>
    <w:p>
      <w:pPr>
        <w:ind w:firstLine="643"/>
      </w:pPr>
      <w:r>
        <w:rPr>
          <w:rFonts w:hint="eastAsia"/>
          <w:b/>
          <w:bCs/>
        </w:rPr>
        <w:t>构建“鹤山优品”体系。</w:t>
      </w:r>
      <w:r>
        <w:rPr>
          <w:rFonts w:hint="eastAsia"/>
        </w:rPr>
        <w:t>强化县域公用品牌顶层设计，县级层面突出产业特色，做强核心品类，重点支持“鹤山红茶”“鹤山粉葛”等已有较强影响力的县域公用品牌深化内涵、提升价值、延长产业链条。围绕1-2个主导产业培育具有市场竞争力的龙头企业集群和产品品牌，持续深挖培育一批绿色优质农产品和“粤字号”农产品。镇级层面深挖资源禀赋，培育“一镇一品”特色名片，立足镇域独特物种、传统工艺或文化典故，发展如“龙口牛肉”“址山腊味”“鹤城腐竹”等小而美、特而优的特色产品品牌，形成百花齐放、底蕴深厚的品牌基底。</w:t>
      </w:r>
      <w:r>
        <w:rPr>
          <w:rFonts w:hint="eastAsia"/>
          <w:b/>
          <w:bCs/>
        </w:rPr>
        <w:t>创新营销推广模式，</w:t>
      </w:r>
      <w:r>
        <w:rPr>
          <w:rFonts w:hint="eastAsia"/>
        </w:rPr>
        <w:t>探索“鹤山优品”商标授权制，构建“线上线下融合、内贸外贸协同”的立体化营销网络。线上依托官方旗舰店深耕主流电商平台，常态化开展直播带货；线下设立品牌形象店、体验馆，积极进驻高端商超。充分利用农博会、农民丰收节等展销活动，全面提升“鹤山优品”的市场知名度和美誉度。</w:t>
      </w:r>
    </w:p>
    <w:p>
      <w:pPr>
        <w:pStyle w:val="3"/>
      </w:pPr>
      <w:bookmarkStart w:id="58" w:name="_Toc10671_WPSOffice_Level2"/>
      <w:r>
        <w:rPr>
          <w:rFonts w:hint="eastAsia"/>
        </w:rPr>
        <w:t>五、深化绿色循环，推动农业发展低碳转型</w:t>
      </w:r>
      <w:bookmarkEnd w:id="58"/>
    </w:p>
    <w:p>
      <w:pPr>
        <w:ind w:firstLine="643"/>
      </w:pPr>
      <w:r>
        <w:rPr>
          <w:rFonts w:hint="eastAsia"/>
          <w:b/>
          <w:highlight w:val="none"/>
        </w:rPr>
        <w:t>提高化肥农药科学施用水平。</w:t>
      </w:r>
      <w:r>
        <w:rPr>
          <w:rFonts w:hint="eastAsia"/>
          <w:highlight w:val="none"/>
        </w:rPr>
        <w:t>优</w:t>
      </w:r>
      <w:r>
        <w:rPr>
          <w:rFonts w:hint="eastAsia"/>
        </w:rPr>
        <w:t>化肥料投入结构，大力推广测土配方施肥，引导增施有机肥、生物肥及沼肥等新型肥料，实现化肥精准减量增效</w:t>
      </w:r>
      <w:r>
        <w:rPr>
          <w:rFonts w:hint="eastAsia"/>
          <w:lang w:eastAsia="zh-CN"/>
        </w:rPr>
        <w:t>；引进智能虫情监测平台，安装智能虫情测报灯和害虫性诱电子测报设备，提升我市智能虫情测报能力，及时发布病虫测报，科学指导农户精准防治，实现农药减量控害；通过植保能力提升和绿色防控示范点建设，推广使用低毒高效新型农药，运用绿色防控措施，辐射带动植保能力提升和绿色防控的大面积推广应用，减少农药使用量，实现病虫害可持续治理、农产品质量安全和生态环境安全。</w:t>
      </w:r>
      <w:r>
        <w:rPr>
          <w:rFonts w:hint="eastAsia"/>
          <w:b/>
        </w:rPr>
        <w:t>深化畜禽粪污资源化利用。</w:t>
      </w:r>
      <w:r>
        <w:rPr>
          <w:rFonts w:hint="eastAsia"/>
        </w:rPr>
        <w:t>大力推广“养殖—农家肥—种植”等生态循环模式，在养殖密集区规划建设区域性粪污收集处置中心，引导养殖场（户）配套足量粪肥消纳用地。推动鹤山市绿湖生物能源有限公司粪污资源化利用项目工艺升级改造，将处理能力提升至满足20万头生猪出栏当量。到2030年鹤山市畜禽粪污综合利用率达85%</w:t>
      </w:r>
      <w:r>
        <w:rPr>
          <w:rFonts w:hint="eastAsia"/>
          <w:b/>
        </w:rPr>
        <w:t>。持续开展水产绿色健康养殖技术推广。</w:t>
      </w:r>
      <w:r>
        <w:rPr>
          <w:rFonts w:hint="eastAsia"/>
        </w:rPr>
        <w:t>“十五五”期间每年举办至少1期绿色养殖技术培训班，培训水产养殖户250人以上，重点推广绿色循环种养、工厂化循环水养殖等生态健康养殖模式，力争“十五五”期末生态健康养殖模式覆盖率提升至75%以上。加强水产养殖用药明白纸宣传，实现规模以上水产养殖主体宣传全覆盖、散户宣传覆盖率达90%以上。</w:t>
      </w:r>
      <w:r>
        <w:rPr>
          <w:rFonts w:hint="eastAsia"/>
          <w:b/>
        </w:rPr>
        <w:t>强化养殖池塘尾水治理。</w:t>
      </w:r>
      <w:r>
        <w:rPr>
          <w:rFonts w:hint="eastAsia"/>
        </w:rPr>
        <w:t>接续推进养殖池塘升级改造绿色发展行动，完成2万亩养殖池塘尾水设施治理，重点养殖区域尾水全部实现资源化利用或达标排放，推广“三池两坝”等尾水处理模式，推动水资源循环利用，助力渔业绿色低碳发展。</w:t>
      </w:r>
      <w:r>
        <w:rPr>
          <w:rFonts w:hint="eastAsia"/>
          <w:b/>
        </w:rPr>
        <w:t>健全农业废弃物全链条管理体系。</w:t>
      </w:r>
      <w:r>
        <w:rPr>
          <w:rFonts w:hint="eastAsia"/>
        </w:rPr>
        <w:t>全面推进农业废弃物综合治理，推进秸秆综合利用行动，在确保秸秆还田质量的基础上，多元拓展饲料化、燃料化、基料化等利用渠道，健全收储运服务体系，持续提升秸秆综合利用率。</w:t>
      </w:r>
    </w:p>
    <w:p>
      <w:pPr>
        <w:pStyle w:val="3"/>
      </w:pPr>
      <w:bookmarkStart w:id="59" w:name="_Toc10181_WPSOffice_Level2"/>
      <w:r>
        <w:rPr>
          <w:rFonts w:hint="eastAsia"/>
        </w:rPr>
        <w:t>六、筑牢安全防线，提升防灾减灾救灾能力</w:t>
      </w:r>
      <w:bookmarkEnd w:id="59"/>
    </w:p>
    <w:p>
      <w:pPr>
        <w:ind w:firstLine="643"/>
        <w:rPr>
          <w:b/>
          <w:bCs/>
        </w:rPr>
      </w:pPr>
      <w:r>
        <w:rPr>
          <w:rFonts w:hint="eastAsia"/>
          <w:b/>
        </w:rPr>
        <w:t>健全动植物病虫疫病防控体系。</w:t>
      </w:r>
      <w:r>
        <w:rPr>
          <w:rFonts w:hint="eastAsia"/>
        </w:rPr>
        <w:t>健全农作物病虫疫情监测体系，加密田间智能监测点，科学精准防控病虫害；系统实施动物疫病强制免疫计划，确保不发生区域性重大动物疫情。</w:t>
      </w:r>
      <w:r>
        <w:rPr>
          <w:rFonts w:hint="eastAsia"/>
          <w:b/>
          <w:bCs/>
        </w:rPr>
        <w:t>完善农业应急管理体系。</w:t>
      </w:r>
      <w:r>
        <w:rPr>
          <w:rFonts w:hint="eastAsia"/>
        </w:rPr>
        <w:t>强化灾害事故预防，推动关口前移。加强农业农村领域应急物资储备，提升灾后恢复生产能力。建立健全应急处置工作机制，重点强化农机应急作业调度能力，确保在自然灾害等突发情况下，农机装备能高效有序投入抢险救灾和灾后复产。</w:t>
      </w:r>
      <w:r>
        <w:rPr>
          <w:rFonts w:hint="eastAsia"/>
          <w:b/>
        </w:rPr>
        <w:t>筑牢农业生物安全屏障。</w:t>
      </w:r>
      <w:r>
        <w:rPr>
          <w:rFonts w:hint="eastAsia"/>
        </w:rPr>
        <w:t>健全农业外来入侵物种监测预警体系，紧盯红火蚁、薇甘菊等重大危害物种，实施分区治理与分类施策，推进综合治理示范。深化农业生物安全宣传教育，全面提升全社会防范意识与能力。</w:t>
      </w:r>
      <w:r>
        <w:rPr>
          <w:rFonts w:hint="eastAsia"/>
          <w:b/>
        </w:rPr>
        <w:t>深化重点领域执法监管。</w:t>
      </w:r>
      <w:r>
        <w:rPr>
          <w:rFonts w:hint="eastAsia"/>
        </w:rPr>
        <w:t>以种子、农药、肥料、兽药、饲料及饲料添加剂为重点，构建全链条闭环监管机制。健全农资生产经营主体监管清单，在关键农时组织开展农资打假专项行动。</w:t>
      </w:r>
    </w:p>
    <w:p>
      <w:pPr>
        <w:ind w:firstLine="0" w:firstLineChars="0"/>
        <w:rPr>
          <w:b/>
          <w:bCs/>
        </w:rPr>
      </w:pPr>
    </w:p>
    <w:p>
      <w:pPr>
        <w:pStyle w:val="2"/>
      </w:pPr>
      <w:bookmarkStart w:id="60" w:name="_Toc29051_WPSOffice_Level1"/>
      <w:r>
        <w:rPr>
          <w:rFonts w:hint="eastAsia"/>
        </w:rPr>
        <w:t>第三章 以科技创新引领农业新质生产力发展</w:t>
      </w:r>
      <w:bookmarkEnd w:id="60"/>
    </w:p>
    <w:p/>
    <w:p>
      <w:pPr>
        <w:pStyle w:val="3"/>
      </w:pPr>
      <w:bookmarkStart w:id="61" w:name="_Toc213_WPSOffice_Level2"/>
      <w:r>
        <w:rPr>
          <w:rFonts w:hint="eastAsia"/>
        </w:rPr>
        <w:t>一、健全科技兴农体系，赋能产业提质增效</w:t>
      </w:r>
      <w:bookmarkEnd w:id="61"/>
    </w:p>
    <w:p>
      <w:pPr>
        <w:ind w:firstLine="643"/>
      </w:pPr>
      <w:r>
        <w:rPr>
          <w:rFonts w:hint="eastAsia"/>
          <w:b/>
          <w:bCs/>
        </w:rPr>
        <w:t>健全农技推广服务网络。</w:t>
      </w:r>
      <w:r>
        <w:rPr>
          <w:rFonts w:hint="eastAsia"/>
        </w:rPr>
        <w:t>健全公益性农技推广模式</w:t>
      </w:r>
      <w:r>
        <w:rPr>
          <w:rFonts w:hint="eastAsia"/>
          <w:lang w:eastAsia="zh-CN"/>
        </w:rPr>
        <w:t>，</w:t>
      </w:r>
      <w:r>
        <w:rPr>
          <w:rFonts w:hint="eastAsia"/>
        </w:rPr>
        <w:t>到2030年末，力争全市“农技轻骑兵”队伍稳定在100人以上，服务“百县千镇万村高质量发展工程”不低于200场次；累计推广主导品种、主推技术不少于100个，新增主推技术覆盖面积不少于2.5万亩次。</w:t>
      </w:r>
      <w:r>
        <w:rPr>
          <w:rFonts w:hint="eastAsia"/>
          <w:b/>
          <w:bCs/>
        </w:rPr>
        <w:t>推进良种示范推广。</w:t>
      </w:r>
      <w:r>
        <w:rPr>
          <w:rFonts w:hint="eastAsia"/>
        </w:rPr>
        <w:t>早晚造持续引进优质、高抗、高产、高效水稻品种进行试种，平均每年引入23种，继续制种繁育推广万占香丝苗1号、双牙香占、莉香占等优质品种。</w:t>
      </w:r>
      <w:r>
        <w:rPr>
          <w:rFonts w:hint="eastAsia"/>
          <w:b/>
          <w:bCs/>
        </w:rPr>
        <w:t>构建完善的种质资源保护利用体系。</w:t>
      </w:r>
      <w:r>
        <w:rPr>
          <w:rFonts w:hint="eastAsia"/>
        </w:rPr>
        <w:t>推动水产种业企业与中国水产科学研究院珠江水产研究所等科研院校开展产学研深度合作，培育壮大5-6家骨干水产种业企业，提升种苗繁育水平，助力渔业产业链“育好苗”环节提质增效，夯实产业发展基础。</w:t>
      </w:r>
    </w:p>
    <w:p>
      <w:pPr>
        <w:pStyle w:val="3"/>
      </w:pPr>
      <w:bookmarkStart w:id="62" w:name="_Toc1949_WPSOffice_Level2"/>
      <w:r>
        <w:rPr>
          <w:rFonts w:hint="eastAsia"/>
        </w:rPr>
        <w:t>二、升级现代农机装备，提升智能作业水平</w:t>
      </w:r>
      <w:bookmarkEnd w:id="62"/>
    </w:p>
    <w:p>
      <w:pPr>
        <w:ind w:firstLine="643"/>
        <w:rPr>
          <w:b/>
          <w:bCs/>
        </w:rPr>
      </w:pPr>
      <w:r>
        <w:rPr>
          <w:rFonts w:hint="eastAsia"/>
          <w:b/>
          <w:bCs/>
        </w:rPr>
        <w:t>加强新型农机装备推广应用。</w:t>
      </w:r>
      <w:r>
        <w:rPr>
          <w:rFonts w:hint="eastAsia"/>
        </w:rPr>
        <w:t>落实农机购置与应用补贴政策和老旧农机报废更新补贴政策，引导淘汰老旧高能耗、高排放、安全性差的农业机械，加快智能农机、无人作业设备、粮食烘干等新型装备推广应用，推动农机装备向智能化、绿色化、高效化转型升级。到2030年末，力争</w:t>
      </w:r>
      <w:r>
        <w:t>农作物耕种收综合机械化率达到</w:t>
      </w:r>
      <w:r>
        <w:rPr>
          <w:rFonts w:hint="eastAsia"/>
        </w:rPr>
        <w:t>61.61</w:t>
      </w:r>
      <w:r>
        <w:t>%以上</w:t>
      </w:r>
      <w:r>
        <w:rPr>
          <w:rFonts w:hint="eastAsia"/>
        </w:rPr>
        <w:t>，全市农业机械总动力达20万千瓦。</w:t>
      </w:r>
      <w:r>
        <w:rPr>
          <w:rFonts w:hint="eastAsia"/>
          <w:b/>
          <w:bCs/>
        </w:rPr>
        <w:t>构建集约高效的农业社会化服务机制。</w:t>
      </w:r>
      <w:r>
        <w:rPr>
          <w:rFonts w:hint="eastAsia"/>
        </w:rPr>
        <w:t>壮大农机合作社、家庭农场等主体，推广“耕种管收烘”全程托管服务模式。依托区域农机服务中心，升级装备、扩面提质。推行“互联网+农机作业”，优化资源配置与跨区调度，全面提升农机利用率。</w:t>
      </w:r>
      <w:r>
        <w:rPr>
          <w:rFonts w:hint="eastAsia"/>
          <w:b/>
          <w:bCs/>
        </w:rPr>
        <w:t>提升农机人才队伍专业素养。</w:t>
      </w:r>
      <w:r>
        <w:rPr>
          <w:rFonts w:hint="eastAsia"/>
        </w:rPr>
        <w:t>紧扣主要农作物全程机械化、高效飞防植保、机收减损、智能农机操作及安全生产等关键环节，定期组织农户、农机手、维修人员、合作社管理人员参加省、市专项培训。</w:t>
      </w:r>
      <w:r>
        <w:rPr>
          <w:rFonts w:hint="eastAsia"/>
          <w:b/>
          <w:bCs/>
        </w:rPr>
        <w:t>规范农机安全监理。</w:t>
      </w:r>
      <w:r>
        <w:rPr>
          <w:rFonts w:hint="eastAsia"/>
        </w:rPr>
        <w:t>牢固树立安全发展理念，规范农机注册登记，严格身份核验、安全技术检验、号牌核发及档案管理，做到“应登尽登、应管尽管”。加强农机驾驶操作人员证件监管，严格落实农机报废更新补贴政策，加快淘汰安全性能差、能耗高、污染重、超期服役的老旧农机，严防报废农机回流市场。加大农机安全法律法规、安全知识、操作技能及事故案例宣传力度，提升广大农民群众和机手的安全意识与防范能力，坚决防范遏制较大以上农机安全事故发生。</w:t>
      </w:r>
    </w:p>
    <w:p>
      <w:pPr>
        <w:pStyle w:val="3"/>
      </w:pPr>
      <w:bookmarkStart w:id="63" w:name="_Toc22923_WPSOffice_Level2"/>
      <w:r>
        <w:rPr>
          <w:rFonts w:hint="eastAsia"/>
        </w:rPr>
        <w:t>三、深化智慧农业应用，拓展数字赋能场景</w:t>
      </w:r>
      <w:bookmarkEnd w:id="63"/>
    </w:p>
    <w:p>
      <w:pPr>
        <w:ind w:firstLine="643"/>
      </w:pPr>
      <w:r>
        <w:rPr>
          <w:rFonts w:hint="eastAsia"/>
          <w:b/>
          <w:bCs/>
        </w:rPr>
        <w:t>筑牢智慧农业数字基座。</w:t>
      </w:r>
      <w:r>
        <w:rPr>
          <w:rFonts w:hint="eastAsia"/>
        </w:rPr>
        <w:t>依托广东省农业农村大数据平台，打通生产、流通、监管全链条数据壁垒，强化数据挖掘与决策分析能力，为产业布局、疫病防控及保供稳价提供精准“数智”支撑。</w:t>
      </w:r>
      <w:r>
        <w:rPr>
          <w:rFonts w:hint="eastAsia"/>
          <w:b/>
          <w:bCs/>
        </w:rPr>
        <w:t>深化人工智能在农业全产业链融合应用。</w:t>
      </w:r>
      <w:r>
        <w:rPr>
          <w:rFonts w:hint="eastAsia"/>
        </w:rPr>
        <w:t>推广温室环境智能调控、水肥一体化等设施农业设备，加强畜禽养殖端个体体征监测、智能环控、精准饲喂、疫病防控等技术升级。实施水产养殖数字化改造，做好水质在线监测、智能增氧、精准投饵等设备更新，鼓励企业发展工厂化设施渔业，示范推广高位池养殖技术，持续扩大渔业产能。</w:t>
      </w:r>
    </w:p>
    <w:p>
      <w:pPr>
        <w:pStyle w:val="3"/>
      </w:pPr>
      <w:bookmarkStart w:id="64" w:name="_Toc7267_WPSOffice_Level2"/>
      <w:r>
        <w:rPr>
          <w:rFonts w:hint="eastAsia"/>
        </w:rPr>
        <w:t>四、促进科技成果转化，完善产学研用机制</w:t>
      </w:r>
      <w:bookmarkEnd w:id="64"/>
    </w:p>
    <w:p>
      <w:r>
        <w:rPr>
          <w:rFonts w:hint="eastAsia"/>
        </w:rPr>
        <w:t>建立健全产学研用深度融合的科技创新体系，打通农业科技成果进村入户“最后一公里”。</w:t>
      </w:r>
      <w:r>
        <w:rPr>
          <w:rFonts w:hint="eastAsia"/>
          <w:b/>
          <w:bCs/>
        </w:rPr>
        <w:t>深化院地企合作，</w:t>
      </w:r>
      <w:r>
        <w:rPr>
          <w:rFonts w:hint="eastAsia"/>
        </w:rPr>
        <w:t>依托中国水产科学研究院珠江水产研究所等技术优势，做实做强国强渔业、升洋渔业等骨干水产种业企业的产学研基地，攻坚鳜鱼、红螯螯虾等名特优品种繁育“卡脖子”难题。支持茶叶、生猪、肉牛等领域龙头企业联合省农科院、华南农业大学共建博士工作站、科技小院，重点开展鹤山红茶精深加工、粉葛药食同源机理、预制菜（腐竹）标准化生产等共性技术攻关。</w:t>
      </w:r>
      <w:r>
        <w:rPr>
          <w:rFonts w:hint="eastAsia"/>
          <w:b/>
          <w:bCs/>
        </w:rPr>
        <w:t>推行“揭榜挂帅”制度，</w:t>
      </w:r>
      <w:r>
        <w:rPr>
          <w:rFonts w:hint="eastAsia"/>
        </w:rPr>
        <w:t>针对制约产业发展的技术瓶颈发布榜单，吸引科研团队带技术、带成果落地转化。完善成果转化服务体系，借助省涉农资金“补改投”试点契机，创新科技成果转化激励机制，鼓励科研人员通过技术转让、许可等形式转化成果。</w:t>
      </w:r>
      <w:r>
        <w:rPr>
          <w:rFonts w:hint="eastAsia"/>
          <w:b/>
          <w:bCs/>
        </w:rPr>
        <w:t>强化科技金融赋能，</w:t>
      </w:r>
      <w:r>
        <w:rPr>
          <w:rFonts w:hint="eastAsia"/>
        </w:rPr>
        <w:t>依托鹤山市绿湖生物能源有限公司等循环经济载体，推动粪污资源化利用等绿色技术成果应用。</w:t>
      </w:r>
      <w:r>
        <w:rPr>
          <w:rFonts w:hint="eastAsia"/>
          <w:b/>
          <w:bCs/>
        </w:rPr>
        <w:t>升级“农技轻骑兵”服务模式，</w:t>
      </w:r>
      <w:r>
        <w:rPr>
          <w:rFonts w:hint="eastAsia"/>
        </w:rPr>
        <w:t>构建“专家+农技员+乡土专家+经营主体”的成果转化共同体，切实提升产业科技含金量。</w:t>
      </w:r>
    </w:p>
    <w:p/>
    <w:p>
      <w:pPr>
        <w:pStyle w:val="2"/>
        <w:ind w:firstLine="0" w:firstLineChars="0"/>
      </w:pPr>
      <w:bookmarkStart w:id="65" w:name="_Toc27845_WPSOffice_Level1"/>
      <w:r>
        <w:rPr>
          <w:rFonts w:hint="eastAsia"/>
        </w:rPr>
        <w:t>第四章 建设宜居宜业和美乡村</w:t>
      </w:r>
      <w:bookmarkEnd w:id="65"/>
    </w:p>
    <w:p/>
    <w:p>
      <w:pPr>
        <w:pStyle w:val="3"/>
      </w:pPr>
      <w:bookmarkStart w:id="66" w:name="_Toc10145_WPSOffice_Level2"/>
      <w:r>
        <w:rPr>
          <w:rFonts w:hint="eastAsia"/>
        </w:rPr>
        <w:t>一、提质乡村基础设施，筑牢融合发展根基</w:t>
      </w:r>
      <w:bookmarkEnd w:id="66"/>
    </w:p>
    <w:p>
      <w:pPr>
        <w:ind w:firstLine="643"/>
      </w:pPr>
      <w:r>
        <w:rPr>
          <w:rFonts w:hint="eastAsia"/>
          <w:b/>
          <w:bCs/>
        </w:rPr>
        <w:t>深入实施农村道路提档升级工程。</w:t>
      </w:r>
      <w:r>
        <w:rPr>
          <w:rFonts w:hint="eastAsia"/>
        </w:rPr>
        <w:t>推动通行政村公路单改双工程，实施老旧公路改造以及过窄农村公路拓宽改造或错车道建设，有序推进具备条件的自然村通双车道，到2030年末具备条件的行政村通双车道比例达到100%。</w:t>
      </w:r>
      <w:r>
        <w:rPr>
          <w:rFonts w:hint="eastAsia"/>
          <w:b/>
          <w:bCs/>
        </w:rPr>
        <w:t>因地制宜推进村内道路硬化。</w:t>
      </w:r>
      <w:r>
        <w:rPr>
          <w:rFonts w:hint="eastAsia"/>
        </w:rPr>
        <w:t>结合村庄布局规划和风貌管控要求，科学确定道路建设规模和标准，优先解决群众出行“最后一公里”问题。“十五五”期间，重点攻坚村内主干道亮化及巷路硬化，推动完成自然村村内巷路硬化4.7公里。</w:t>
      </w:r>
      <w:r>
        <w:rPr>
          <w:rFonts w:hint="eastAsia"/>
          <w:b/>
          <w:bCs/>
        </w:rPr>
        <w:t>提高农村清洁能源开发利用水平。</w:t>
      </w:r>
      <w:r>
        <w:rPr>
          <w:rFonts w:hint="eastAsia"/>
        </w:rPr>
        <w:t>扎实推进农村电网巩固提升工程，持续提升农村电网装备标准化、数字化、智能化水平。以产业强村、交通枢纽村、城郊人口大村为重点，优先支持鹤山市76个典型村开展新时代电气化村建设。</w:t>
      </w:r>
      <w:r>
        <w:rPr>
          <w:rFonts w:hint="eastAsia"/>
          <w:b/>
          <w:bCs/>
        </w:rPr>
        <w:t>巩固提升农村饮水安全保障水平。</w:t>
      </w:r>
      <w:r>
        <w:rPr>
          <w:rFonts w:hint="eastAsia"/>
        </w:rPr>
        <w:t>加快推进古劳茶山片区集中供水工程建设。持续对农村供水设施及管网实施配套升级改造，到2030年末农村自来水普及率稳定在99.5%以上，农村供水规模化覆盖人口比例达到95%，基本实现城乡供水同网同质同服务。</w:t>
      </w:r>
      <w:r>
        <w:rPr>
          <w:rFonts w:hint="eastAsia"/>
          <w:b/>
          <w:bCs/>
        </w:rPr>
        <w:t>全面推进农房管控和乡村风貌提升</w:t>
      </w:r>
      <w:r>
        <w:rPr>
          <w:rFonts w:hint="eastAsia"/>
        </w:rPr>
        <w:t>，深化“光伏+建筑”试点县建设，推动党群服务中心、村集体闲置地、工业厂房等应装尽装，推广分布式光伏电站，推动绿色发展与乡村振兴深度融合。持续推进自建房安全隐患排查整治，将风貌管控纳入村规民约，建立风貌提升积分制。到2027年鹤山市基本建立城乡统一建设管护机制。</w:t>
      </w:r>
      <w:r>
        <w:rPr>
          <w:rFonts w:hint="eastAsia"/>
          <w:b/>
          <w:bCs/>
        </w:rPr>
        <w:t>深化镇村“三线”整治攻坚。</w:t>
      </w:r>
      <w:r>
        <w:rPr>
          <w:rFonts w:hint="eastAsia"/>
        </w:rPr>
        <w:t>重点推进城乡重点功能区、重要道路沿线及城中村电力线、通信线、广播电视线规范整治，到2030年完成全部行政村“三线”整治并建立长效管护机制。</w:t>
      </w:r>
    </w:p>
    <w:p>
      <w:pPr>
        <w:pStyle w:val="3"/>
      </w:pPr>
      <w:bookmarkStart w:id="67" w:name="_Toc20873_WPSOffice_Level2"/>
      <w:r>
        <w:rPr>
          <w:rFonts w:hint="eastAsia"/>
        </w:rPr>
        <w:t>二、提升人居环境品质，建设美丽宜居乡村</w:t>
      </w:r>
      <w:bookmarkEnd w:id="67"/>
    </w:p>
    <w:p>
      <w:pPr>
        <w:ind w:firstLine="643"/>
      </w:pPr>
      <w:r>
        <w:rPr>
          <w:rFonts w:hint="eastAsia"/>
          <w:b/>
          <w:bCs/>
        </w:rPr>
        <w:t>深入实施农村人居环境整治提升行动。</w:t>
      </w:r>
      <w:r>
        <w:rPr>
          <w:rFonts w:hint="eastAsia"/>
        </w:rPr>
        <w:t>深入推进“三清理”“四整治”，2026年完成镇村城乡结合部及重要线路沿线村庄出入口人居环境整治提升，2027年完成36个新增省级典型村人居环境整治提升，2030年末全面巩固全市112条行政村和4个涉农社区人居环境整治成果。</w:t>
      </w:r>
      <w:r>
        <w:rPr>
          <w:rFonts w:hint="eastAsia"/>
          <w:b/>
          <w:bCs/>
        </w:rPr>
        <w:t>系统治理农村水环境。</w:t>
      </w:r>
      <w:r>
        <w:rPr>
          <w:rFonts w:hint="eastAsia"/>
        </w:rPr>
        <w:t>稳妥推进低效能设施改造，实施巷道排水沟“明改暗”、排污口截污改造，提升污水收集率，系统整治农村黑臭水体，到2027年底基本消除全域农村黑臭水体。</w:t>
      </w:r>
      <w:r>
        <w:rPr>
          <w:rFonts w:hint="eastAsia"/>
          <w:b/>
          <w:bCs/>
        </w:rPr>
        <w:t>稳步实施农村厕所革命。</w:t>
      </w:r>
      <w:r>
        <w:rPr>
          <w:rFonts w:hint="eastAsia"/>
        </w:rPr>
        <w:t>统筹全市856座农村公厕新建、改造与提质，对不符合标准的公厕能改则改、应拆尽拆。</w:t>
      </w:r>
      <w:r>
        <w:rPr>
          <w:rFonts w:hint="eastAsia"/>
          <w:b/>
          <w:bCs/>
        </w:rPr>
        <w:t>擦亮绿美乡村生态底色。</w:t>
      </w:r>
      <w:r>
        <w:rPr>
          <w:rFonts w:hint="eastAsia"/>
        </w:rPr>
        <w:t>重点抓好农村“五边”“四旁”绿化美化，集中力量打造乡村绿化“点”“片”，构建点线面融合的乡村绿美空间，到2030年末建成</w:t>
      </w:r>
      <w:r>
        <w:rPr>
          <w:rFonts w:hint="eastAsia"/>
          <w:lang w:val="en-US" w:eastAsia="zh-CN"/>
        </w:rPr>
        <w:t>1-2</w:t>
      </w:r>
      <w:r>
        <w:rPr>
          <w:rFonts w:hint="eastAsia"/>
        </w:rPr>
        <w:t>条乡村绿化景观带。</w:t>
      </w:r>
      <w:r>
        <w:rPr>
          <w:rFonts w:hint="eastAsia"/>
          <w:b/>
          <w:bCs/>
        </w:rPr>
        <w:t>纵深推进镇村片区组团发展。</w:t>
      </w:r>
      <w:r>
        <w:rPr>
          <w:rFonts w:hint="eastAsia"/>
        </w:rPr>
        <w:t>加快推动全市镇村片区化组团发展，推动片区抱团发展、资源共享、优势互补，培育壮大特色优势产业，深耕1-2个特色主导产业，坚持宜农则农、宜工则工、宜游则游。2026年率先做强古劳—沙坪、鹤城—共和两大核心组团，同时联动发展龙口—古劳、宅梧—双合、雅瑶—桃源、址山—共和四大特色组团，全面构建“双核引领、四片联动、全域振兴”的现代化镇村发展新格局。</w:t>
      </w:r>
    </w:p>
    <w:p>
      <w:pPr>
        <w:pStyle w:val="3"/>
      </w:pPr>
      <w:bookmarkStart w:id="68" w:name="_Toc23580_WPSOffice_Level2"/>
      <w:r>
        <w:rPr>
          <w:rFonts w:hint="eastAsia"/>
        </w:rPr>
        <w:t>三、优化公共服务供给，推动城乡均等共享</w:t>
      </w:r>
      <w:bookmarkEnd w:id="68"/>
    </w:p>
    <w:p>
      <w:pPr>
        <w:ind w:firstLine="643"/>
        <w:rPr>
          <w:b/>
          <w:bCs/>
        </w:rPr>
      </w:pPr>
      <w:r>
        <w:rPr>
          <w:rFonts w:hint="eastAsia"/>
          <w:b/>
          <w:bCs/>
        </w:rPr>
        <w:t>优化乡村教育资源配置。</w:t>
      </w:r>
      <w:r>
        <w:rPr>
          <w:rFonts w:hint="eastAsia"/>
        </w:rPr>
        <w:t>持续改善乡镇“三所学校”办学条件，规范化、标准化提升乡镇中心幼儿园，推动乡镇中心小学、寄宿制初中学校标准化建设全覆盖。力争到2030年末鹤山市乡镇中心小学、寄宿制初中标准化覆盖率100%。</w:t>
      </w:r>
      <w:r>
        <w:rPr>
          <w:rFonts w:hint="eastAsia"/>
          <w:b/>
          <w:bCs/>
        </w:rPr>
        <w:t>健全乡村医疗卫生服务网络。</w:t>
      </w:r>
      <w:r>
        <w:rPr>
          <w:rFonts w:hint="eastAsia"/>
        </w:rPr>
        <w:t>加快村卫生站规范化建设和标准化运营，提升村卫生室标准化建设和健康管理水平，提高乡村卫生院医疗服务能力，力争到2030年末鹤山市紧密型县域医共体覆盖率提升至100%。</w:t>
      </w:r>
      <w:r>
        <w:rPr>
          <w:rFonts w:hint="eastAsia"/>
          <w:b/>
          <w:bCs/>
        </w:rPr>
        <w:t>完善农村养老服务功能，</w:t>
      </w:r>
      <w:r>
        <w:rPr>
          <w:rFonts w:hint="eastAsia"/>
        </w:rPr>
        <w:t>加快完善农村养老服务网络，积极发展乡村普惠型和互助型养老服务，力争到2030年末乡镇（街道）区域养老服务中心覆盖率达100%。</w:t>
      </w:r>
      <w:r>
        <w:rPr>
          <w:rFonts w:hint="eastAsia"/>
          <w:b/>
          <w:bCs/>
        </w:rPr>
        <w:t>推进公共服务数字化赋能，</w:t>
      </w:r>
      <w:r>
        <w:rPr>
          <w:rFonts w:hint="eastAsia"/>
        </w:rPr>
        <w:t>加快5G、千兆光网等新型数字基础设施向乡村延伸，推进农村有线电视、光纤网络数字化升级改造。到2030年末全市行政村千兆光网覆盖率达100%，5G网络覆盖所有20户以上自然村聚居区，自然村便民服务终端覆盖率达100%。</w:t>
      </w:r>
    </w:p>
    <w:p>
      <w:pPr>
        <w:pStyle w:val="3"/>
      </w:pPr>
      <w:bookmarkStart w:id="69" w:name="_Toc8684_WPSOffice_Level2"/>
      <w:r>
        <w:rPr>
          <w:rFonts w:hint="eastAsia"/>
        </w:rPr>
        <w:t>四、健全长效管护机制，巩固乡村建设成果</w:t>
      </w:r>
      <w:bookmarkEnd w:id="69"/>
    </w:p>
    <w:p>
      <w:pPr>
        <w:ind w:firstLine="643"/>
      </w:pPr>
      <w:r>
        <w:rPr>
          <w:b/>
          <w:bCs/>
        </w:rPr>
        <w:t>探索建立基础设施智慧管护平台。</w:t>
      </w:r>
      <w:r>
        <w:t>聚焦群众急难愁盼，丰富村级党群服务中心综合服务功能，围绕智慧养老、便民服务、就业服务等领域，布局智能化应用场景，打造</w:t>
      </w:r>
      <w:r>
        <w:rPr>
          <w:rFonts w:hint="eastAsia"/>
        </w:rPr>
        <w:t>“</w:t>
      </w:r>
      <w:r>
        <w:t>一门式办理、一站式服务、线上线下融合</w:t>
      </w:r>
      <w:r>
        <w:rPr>
          <w:rFonts w:hint="eastAsia"/>
        </w:rPr>
        <w:t>”</w:t>
      </w:r>
      <w:r>
        <w:t>的村级综合服务体系，拓展</w:t>
      </w:r>
      <w:r>
        <w:rPr>
          <w:rFonts w:hint="eastAsia"/>
        </w:rPr>
        <w:t>“</w:t>
      </w:r>
      <w:r>
        <w:t>政务+生活+农事</w:t>
      </w:r>
      <w:r>
        <w:rPr>
          <w:rFonts w:hint="eastAsia"/>
        </w:rPr>
        <w:t>”</w:t>
      </w:r>
      <w:r>
        <w:t>融合服务。建立</w:t>
      </w:r>
      <w:r>
        <w:rPr>
          <w:rFonts w:hint="eastAsia"/>
        </w:rPr>
        <w:t>“</w:t>
      </w:r>
      <w:r>
        <w:t>一设施一档案</w:t>
      </w:r>
      <w:r>
        <w:rPr>
          <w:rFonts w:hint="eastAsia"/>
        </w:rPr>
        <w:t>”</w:t>
      </w:r>
      <w:r>
        <w:t>电子化管理台账，畅通农村人居环境整治问题数字化反馈渠道，定期公示管护情况。</w:t>
      </w:r>
      <w:r>
        <w:rPr>
          <w:b/>
          <w:bCs/>
        </w:rPr>
        <w:t>建立健全</w:t>
      </w:r>
      <w:r>
        <w:rPr>
          <w:rFonts w:hint="eastAsia"/>
          <w:b/>
          <w:bCs/>
        </w:rPr>
        <w:t>“</w:t>
      </w:r>
      <w:r>
        <w:rPr>
          <w:b/>
          <w:bCs/>
        </w:rPr>
        <w:t>五有</w:t>
      </w:r>
      <w:r>
        <w:rPr>
          <w:rFonts w:hint="eastAsia"/>
          <w:b/>
          <w:bCs/>
        </w:rPr>
        <w:t>”</w:t>
      </w:r>
      <w:r>
        <w:rPr>
          <w:b/>
          <w:bCs/>
        </w:rPr>
        <w:t>长效管护机制。</w:t>
      </w:r>
      <w:r>
        <w:t>建立健全有制度、有标准、有队伍、有经费、有监督的农村人居环境长效管护机制，统筹推进农村厕所、生活垃圾、污水治理设施设备与村庄保洁一体化运行管护。创新探索实行村庄保洁管护农户合理收费新机制，进一步提升村民村庄保洁和管护意识，推行镇村干部带头定期开展村庄清洁行动，引导村民主动参与人居环境日常维护</w:t>
      </w:r>
      <w:r>
        <w:rPr>
          <w:rFonts w:hint="eastAsia"/>
        </w:rPr>
        <w:t>。</w:t>
      </w:r>
      <w:r>
        <w:rPr>
          <w:b/>
          <w:bCs/>
        </w:rPr>
        <w:t>完善农村宅基地建房管理制度。</w:t>
      </w:r>
      <w:r>
        <w:t>稳慎推进宅基地审批管理，强化农业农村、自然资源等部门联动，落实鹤山市农村住宅建设管理制度，明确用地、规划、建设和使用全流程要求。严格执行</w:t>
      </w:r>
      <w:r>
        <w:rPr>
          <w:rFonts w:hint="eastAsia"/>
        </w:rPr>
        <w:t>“</w:t>
      </w:r>
      <w:r>
        <w:t>一户一宅</w:t>
      </w:r>
      <w:r>
        <w:rPr>
          <w:rFonts w:hint="eastAsia"/>
        </w:rPr>
        <w:t>”</w:t>
      </w:r>
      <w:r>
        <w:t>，深入落实</w:t>
      </w:r>
      <w:r>
        <w:rPr>
          <w:rFonts w:hint="eastAsia"/>
        </w:rPr>
        <w:t>“</w:t>
      </w:r>
      <w:r>
        <w:t>五公开</w:t>
      </w:r>
      <w:r>
        <w:rPr>
          <w:rFonts w:hint="eastAsia"/>
        </w:rPr>
        <w:t>”</w:t>
      </w:r>
      <w:r>
        <w:t>和</w:t>
      </w:r>
      <w:r>
        <w:rPr>
          <w:rFonts w:hint="eastAsia"/>
        </w:rPr>
        <w:t>“</w:t>
      </w:r>
      <w:r>
        <w:t>三到场</w:t>
      </w:r>
      <w:r>
        <w:rPr>
          <w:rFonts w:hint="eastAsia"/>
        </w:rPr>
        <w:t>”</w:t>
      </w:r>
      <w:r>
        <w:t>。建立常态化巡查机制，通过村级排查、镇级巡查、县级抽查和群众监督，及时发现查处违法违规行为。深化闲置农房盘活利用，因地制宜发展乡村民宿、文创空间等新业态，探索进城落户农民依法自愿有偿退出宅基地机制。</w:t>
      </w:r>
    </w:p>
    <w:p>
      <w:pPr>
        <w:pStyle w:val="3"/>
      </w:pPr>
      <w:bookmarkStart w:id="70" w:name="_Toc25744_WPSOffice_Level2"/>
      <w:r>
        <w:rPr>
          <w:rFonts w:hint="eastAsia"/>
        </w:rPr>
        <w:t>五、深化乡村治理创新，提升智慧治理效能</w:t>
      </w:r>
      <w:bookmarkEnd w:id="70"/>
    </w:p>
    <w:p>
      <w:pPr>
        <w:ind w:firstLine="643"/>
        <w:rPr>
          <w:b/>
          <w:bCs/>
        </w:rPr>
      </w:pPr>
      <w:r>
        <w:rPr>
          <w:rFonts w:hint="eastAsia"/>
          <w:b/>
          <w:bCs/>
        </w:rPr>
        <w:t>强化党建引领乡村治理效能。</w:t>
      </w:r>
      <w:r>
        <w:rPr>
          <w:rFonts w:hint="eastAsia"/>
        </w:rPr>
        <w:t>健全党组织领导下的自治、法治、德治相结合的乡村治理架构，完善以基层党组织为核心、村民自治和村务监督组织为基础、集体经济组织和农民合作组织为纽带、其他社会组织为补充的村级组织体系。推广运用积分制、清单制等治理方式，到2030年末乡村治理体系和治理能力现代化水平显著提升。</w:t>
      </w:r>
      <w:r>
        <w:rPr>
          <w:rFonts w:hint="eastAsia"/>
          <w:b/>
          <w:bCs/>
        </w:rPr>
        <w:t>提升乡村智慧治理水平。</w:t>
      </w:r>
      <w:r>
        <w:rPr>
          <w:rFonts w:hint="eastAsia"/>
        </w:rPr>
        <w:t>聚焦群众急难愁盼，丰富村级党群服务中心综合服务功能，围绕智慧养老、便民服务、就业服务等领域，布局智能化应用场景，打造“一门式办理、一站式服务、线上线下融合”的村级综合服务体系，力争“十五五”末乡村治理智能模块与指挥分析中心覆盖率达到75%。</w:t>
      </w:r>
      <w:r>
        <w:rPr>
          <w:rFonts w:hint="eastAsia"/>
          <w:b/>
          <w:bCs/>
        </w:rPr>
        <w:t>深化平安乡村建设内涵。</w:t>
      </w:r>
      <w:r>
        <w:rPr>
          <w:rFonts w:hint="eastAsia"/>
        </w:rPr>
        <w:t>健全乡村治安防控与防灾减灾体系，推进智慧警务全覆盖。精准调解纠纷，优化法律服务，规范村民自治，保障合法权益。</w:t>
      </w:r>
    </w:p>
    <w:p>
      <w:pPr>
        <w:pStyle w:val="3"/>
      </w:pPr>
      <w:bookmarkStart w:id="71" w:name="_Toc21082_WPSOffice_Level2"/>
      <w:r>
        <w:rPr>
          <w:rFonts w:hint="eastAsia"/>
        </w:rPr>
        <w:t>六、涵养文明乡风家风，焕发乡村文化新气象</w:t>
      </w:r>
      <w:bookmarkEnd w:id="71"/>
    </w:p>
    <w:p>
      <w:pPr>
        <w:ind w:firstLine="643"/>
        <w:rPr>
          <w:b/>
          <w:bCs/>
        </w:rPr>
      </w:pPr>
      <w:r>
        <w:rPr>
          <w:rFonts w:hint="eastAsia"/>
          <w:b/>
          <w:bCs/>
        </w:rPr>
        <w:t>涵养文明乡风良好家风。</w:t>
      </w:r>
      <w:r>
        <w:rPr>
          <w:rFonts w:hint="eastAsia"/>
        </w:rPr>
        <w:t>深入推进移风易俗，发挥村规民约约束引导作用，持续整治高价彩礼、大操大办等陈规陋习，弘扬侨乡乐善好施、勤俭节约的优良传统。</w:t>
      </w:r>
      <w:r>
        <w:rPr>
          <w:rFonts w:hint="eastAsia"/>
          <w:b/>
          <w:bCs/>
        </w:rPr>
        <w:t>丰富乡村文化活动。</w:t>
      </w:r>
      <w:r>
        <w:rPr>
          <w:rFonts w:hint="eastAsia"/>
        </w:rPr>
        <w:t>办好“农事运动会”、“村BA”、龙舟赛、特色农产品采摘等乡土文体活动，擦亮鹤山乡村文化品牌。广泛开展“美丽乡村行”、“田园音乐会”、“戏曲进农村”、“农村公益放映”、“新时代乡村阅读季”等公共文化服务。</w:t>
      </w:r>
      <w:r>
        <w:rPr>
          <w:rFonts w:hint="eastAsia"/>
          <w:b/>
          <w:bCs/>
        </w:rPr>
        <w:t>推动优秀农耕文化传承利用。</w:t>
      </w:r>
      <w:r>
        <w:rPr>
          <w:rFonts w:hint="eastAsia"/>
        </w:rPr>
        <w:t>深耕“一片茶、一塘鱼、一把豆”特色农耕遗产，做好鹤山红茶制作技艺活态传承，保护性利用古劳水乡700年桑基鱼塘系统，推动鹤城花生、腐竹等传统食品加工技艺融入现代农业，以文化赋能特色产业提质增效。</w:t>
      </w:r>
    </w:p>
    <w:p>
      <w:pPr>
        <w:ind w:firstLine="0" w:firstLineChars="0"/>
      </w:pPr>
    </w:p>
    <w:p>
      <w:pPr>
        <w:pStyle w:val="2"/>
        <w:ind w:firstLine="0" w:firstLineChars="0"/>
      </w:pPr>
      <w:bookmarkStart w:id="72" w:name="_Toc23117_WPSOffice_Level1"/>
      <w:r>
        <w:rPr>
          <w:rFonts w:hint="eastAsia"/>
        </w:rPr>
        <w:t>第五章 畅通城乡要素双向流动与共同富裕</w:t>
      </w:r>
      <w:bookmarkEnd w:id="72"/>
    </w:p>
    <w:p/>
    <w:p>
      <w:pPr>
        <w:pStyle w:val="3"/>
      </w:pPr>
      <w:bookmarkStart w:id="73" w:name="_Toc21004_WPSOffice_Level2"/>
      <w:r>
        <w:rPr>
          <w:rFonts w:hint="eastAsia"/>
        </w:rPr>
        <w:t>一、强化县镇村联动，统筹城乡区域发展</w:t>
      </w:r>
      <w:bookmarkEnd w:id="73"/>
    </w:p>
    <w:p>
      <w:pPr>
        <w:ind w:firstLine="643"/>
      </w:pPr>
      <w:r>
        <w:rPr>
          <w:rFonts w:hint="eastAsia"/>
          <w:b/>
          <w:bCs/>
        </w:rPr>
        <w:t>协同推进新型城镇化和乡村全面振兴，</w:t>
      </w:r>
      <w:r>
        <w:rPr>
          <w:rFonts w:hint="eastAsia"/>
        </w:rPr>
        <w:t>深入推进以县城为重要载体的新型城镇化试点。全面落实取消县城落户限制政策，推行由常住地登记户口提供基本公共服务制度，依法维护进城落户农民土地承包权、宅基地使用权、集体收益分配权。</w:t>
      </w:r>
      <w:r>
        <w:rPr>
          <w:rFonts w:hint="eastAsia"/>
          <w:b/>
          <w:bCs/>
        </w:rPr>
        <w:t>促进县域基础设施和公共服务一体发展，</w:t>
      </w:r>
      <w:r>
        <w:rPr>
          <w:rFonts w:hint="eastAsia"/>
        </w:rPr>
        <w:t>统筹城镇生活污水管网建设，开展县域商业建设提升行动，推动公共服务向农村延伸，完善三级养老服务网络。</w:t>
      </w:r>
      <w:r>
        <w:rPr>
          <w:rFonts w:hint="eastAsia"/>
          <w:b/>
          <w:bCs/>
        </w:rPr>
        <w:t>激活典型镇、村发展活力，</w:t>
      </w:r>
      <w:r>
        <w:rPr>
          <w:rFonts w:hint="eastAsia"/>
        </w:rPr>
        <w:t>巩固提升典型镇建设成果，因地制宜做强中心镇、专业镇、特色镇，推动龙口、桃源、宅梧通过省级典型镇评定。加快推动鹤城全域土地综合整治扩面提质和“五好两宜”和美乡村试点建设，积极争取省级培育资金支持古劳“湾区渔乡”典型村片区建设，推动古劳、鹤城、桃源典型村片区组团建设发展。扎实推进76条典型村培育建设，全面提升公共服务、基础设施建设水平。积极推进“</w:t>
      </w:r>
      <w:r>
        <w:rPr>
          <w:rFonts w:hint="eastAsia"/>
          <w:lang w:val="en-US" w:eastAsia="zh-CN"/>
        </w:rPr>
        <w:t>万</w:t>
      </w:r>
      <w:r>
        <w:rPr>
          <w:rFonts w:hint="eastAsia"/>
        </w:rPr>
        <w:t>企兴</w:t>
      </w:r>
      <w:r>
        <w:rPr>
          <w:rFonts w:hint="eastAsia"/>
          <w:lang w:val="en-US" w:eastAsia="zh-CN"/>
        </w:rPr>
        <w:t>万</w:t>
      </w:r>
      <w:r>
        <w:rPr>
          <w:rFonts w:hint="eastAsia"/>
        </w:rPr>
        <w:t>村”，扩大村企结对规模，促进结对项目落地见效。</w:t>
      </w:r>
    </w:p>
    <w:p>
      <w:pPr>
        <w:pStyle w:val="3"/>
      </w:pPr>
      <w:bookmarkStart w:id="74" w:name="_Toc31025_WPSOffice_Level2"/>
      <w:r>
        <w:t>二、</w:t>
      </w:r>
      <w:r>
        <w:rPr>
          <w:rFonts w:hint="eastAsia"/>
        </w:rPr>
        <w:t>畅通</w:t>
      </w:r>
      <w:r>
        <w:t>要素流动，</w:t>
      </w:r>
      <w:r>
        <w:rPr>
          <w:rFonts w:hint="eastAsia"/>
        </w:rPr>
        <w:t>优化</w:t>
      </w:r>
      <w:r>
        <w:t>资源配置</w:t>
      </w:r>
      <w:r>
        <w:rPr>
          <w:rFonts w:hint="eastAsia"/>
        </w:rPr>
        <w:t>效能</w:t>
      </w:r>
      <w:bookmarkEnd w:id="74"/>
    </w:p>
    <w:p>
      <w:pPr>
        <w:ind w:firstLine="643"/>
      </w:pPr>
      <w:r>
        <w:rPr>
          <w:rFonts w:hint="eastAsia"/>
          <w:b/>
          <w:bCs/>
        </w:rPr>
        <w:t>创新</w:t>
      </w:r>
      <w:r>
        <w:rPr>
          <w:b/>
          <w:bCs/>
        </w:rPr>
        <w:t>多元化投融资机制。</w:t>
      </w:r>
      <w:r>
        <w:t>推进</w:t>
      </w:r>
      <w:r>
        <w:rPr>
          <w:rFonts w:hint="eastAsia"/>
        </w:rPr>
        <w:t>“</w:t>
      </w:r>
      <w:r>
        <w:t>政银企债基</w:t>
      </w:r>
      <w:r>
        <w:rPr>
          <w:rFonts w:hint="eastAsia"/>
        </w:rPr>
        <w:t>”</w:t>
      </w:r>
      <w:r>
        <w:t>联动，通过</w:t>
      </w:r>
      <w:r>
        <w:rPr>
          <w:rFonts w:hint="eastAsia"/>
        </w:rPr>
        <w:t>“</w:t>
      </w:r>
      <w:r>
        <w:t>补改投</w:t>
      </w:r>
      <w:r>
        <w:rPr>
          <w:rFonts w:hint="eastAsia"/>
        </w:rPr>
        <w:t>”</w:t>
      </w:r>
      <w:r>
        <w:t>引导产融互促，健全农业信贷担保和多层次农业保险体系，支持民间与国有资本联合参与乡村振兴项目建设。</w:t>
      </w:r>
      <w:r>
        <w:rPr>
          <w:rFonts w:hint="eastAsia"/>
          <w:b/>
          <w:bCs/>
        </w:rPr>
        <w:t>稳慎</w:t>
      </w:r>
      <w:r>
        <w:rPr>
          <w:b/>
          <w:bCs/>
        </w:rPr>
        <w:t>推进农村土地制度改革。</w:t>
      </w:r>
      <w:r>
        <w:t>有序推进二轮延包试点工作，按照</w:t>
      </w:r>
      <w:r>
        <w:rPr>
          <w:rFonts w:hint="eastAsia"/>
        </w:rPr>
        <w:t>“</w:t>
      </w:r>
      <w:r>
        <w:t>尊重历史、兼顾现实、平等协商</w:t>
      </w:r>
      <w:r>
        <w:rPr>
          <w:rFonts w:hint="eastAsia"/>
        </w:rPr>
        <w:t>”</w:t>
      </w:r>
      <w:r>
        <w:t>原则化解矛盾纠纷，健全市镇村三级土地流转服务体系，规范流转合同管理与备案制度，强化工商资本流转农地准入、用途管制和履约监管，稳步提升农业适度规模经营水平。</w:t>
      </w:r>
      <w:r>
        <w:rPr>
          <w:b/>
          <w:bCs/>
        </w:rPr>
        <w:t>引育并重</w:t>
      </w:r>
      <w:r>
        <w:rPr>
          <w:rFonts w:hint="eastAsia"/>
          <w:b/>
          <w:bCs/>
        </w:rPr>
        <w:t>壮大</w:t>
      </w:r>
      <w:r>
        <w:rPr>
          <w:b/>
          <w:bCs/>
        </w:rPr>
        <w:t>乡村人才</w:t>
      </w:r>
      <w:r>
        <w:rPr>
          <w:rFonts w:hint="eastAsia"/>
          <w:b/>
          <w:bCs/>
        </w:rPr>
        <w:t>队伍，</w:t>
      </w:r>
      <w:r>
        <w:rPr>
          <w:rFonts w:hint="eastAsia"/>
        </w:rPr>
        <w:t>“</w:t>
      </w:r>
      <w:r>
        <w:t>十五五</w:t>
      </w:r>
      <w:r>
        <w:rPr>
          <w:rFonts w:hint="eastAsia"/>
        </w:rPr>
        <w:t>”</w:t>
      </w:r>
      <w:r>
        <w:t>期间培育高素质农民</w:t>
      </w:r>
      <w:r>
        <w:rPr>
          <w:rFonts w:hint="eastAsia"/>
        </w:rPr>
        <w:t>200</w:t>
      </w:r>
      <w:r>
        <w:t>名以上</w:t>
      </w:r>
      <w:r>
        <w:rPr>
          <w:rFonts w:hint="eastAsia"/>
        </w:rPr>
        <w:t>、</w:t>
      </w:r>
      <w:r>
        <w:t>农村乡土专家</w:t>
      </w:r>
      <w:r>
        <w:rPr>
          <w:rFonts w:hint="eastAsia"/>
        </w:rPr>
        <w:t>30</w:t>
      </w:r>
      <w:r>
        <w:t>名以上</w:t>
      </w:r>
      <w:r>
        <w:rPr>
          <w:rFonts w:hint="eastAsia"/>
        </w:rPr>
        <w:t>、</w:t>
      </w:r>
      <w:r>
        <w:t>乡村振兴</w:t>
      </w:r>
      <w:r>
        <w:rPr>
          <w:rFonts w:hint="eastAsia"/>
        </w:rPr>
        <w:t>“</w:t>
      </w:r>
      <w:r>
        <w:t>头雁</w:t>
      </w:r>
      <w:r>
        <w:rPr>
          <w:rFonts w:hint="eastAsia"/>
        </w:rPr>
        <w:t>”及“</w:t>
      </w:r>
      <w:r>
        <w:t>乡村工匠</w:t>
      </w:r>
      <w:r>
        <w:rPr>
          <w:rFonts w:hint="eastAsia"/>
        </w:rPr>
        <w:t>”等50</w:t>
      </w:r>
      <w:r>
        <w:t>名以上，到2030年全市新增培育高素质农业农村人才达</w:t>
      </w:r>
      <w:r>
        <w:rPr>
          <w:rFonts w:hint="eastAsia"/>
        </w:rPr>
        <w:t>280</w:t>
      </w:r>
      <w:r>
        <w:t>人。深化兴乡青年培育计划，推动人才返乡就业创业。</w:t>
      </w:r>
    </w:p>
    <w:p>
      <w:pPr>
        <w:pStyle w:val="3"/>
      </w:pPr>
      <w:bookmarkStart w:id="75" w:name="_Toc19649_WPSOffice_Level2"/>
      <w:r>
        <w:t>三、夯实内生发展动力，推动发展农村集体经济</w:t>
      </w:r>
      <w:bookmarkEnd w:id="75"/>
    </w:p>
    <w:p>
      <w:pPr>
        <w:ind w:firstLine="643"/>
      </w:pPr>
      <w:r>
        <w:rPr>
          <w:rFonts w:hint="eastAsia"/>
          <w:b/>
          <w:bCs/>
        </w:rPr>
        <w:t>探索</w:t>
      </w:r>
      <w:r>
        <w:rPr>
          <w:b/>
          <w:bCs/>
        </w:rPr>
        <w:t>新型农村集体经济</w:t>
      </w:r>
      <w:r>
        <w:rPr>
          <w:rFonts w:hint="eastAsia"/>
          <w:b/>
          <w:bCs/>
        </w:rPr>
        <w:t>实现路径</w:t>
      </w:r>
      <w:r>
        <w:rPr>
          <w:b/>
          <w:bCs/>
        </w:rPr>
        <w:t>。</w:t>
      </w:r>
      <w:r>
        <w:t>推广资源发包、物业出租、居间服务、资产参股、农文旅融合、特色种养、留用地盘活等多种集体经济发展</w:t>
      </w:r>
      <w:r>
        <w:rPr>
          <w:rFonts w:hint="eastAsia"/>
        </w:rPr>
        <w:t>模式</w:t>
      </w:r>
      <w:r>
        <w:t>，引导各村因地制宜盘活闲置厂房、集体林地、连片耕地</w:t>
      </w:r>
      <w:r>
        <w:rPr>
          <w:rFonts w:hint="eastAsia"/>
        </w:rPr>
        <w:t>及</w:t>
      </w:r>
      <w:r>
        <w:t>乡村文旅等资源。稳妥推行强村带弱村、联村抱团发展，支持村级集体经济组织依法依规通过投资、参股等方式组建强村富民经营实体，深度嵌入本地特色产业链条。</w:t>
      </w:r>
      <w:r>
        <w:rPr>
          <w:rFonts w:hint="eastAsia"/>
          <w:b/>
          <w:bCs/>
        </w:rPr>
        <w:t>织密</w:t>
      </w:r>
      <w:r>
        <w:rPr>
          <w:b/>
          <w:bCs/>
        </w:rPr>
        <w:t>集体资源资产监管</w:t>
      </w:r>
      <w:r>
        <w:rPr>
          <w:rFonts w:hint="eastAsia"/>
          <w:b/>
          <w:bCs/>
        </w:rPr>
        <w:t>网络</w:t>
      </w:r>
      <w:r>
        <w:rPr>
          <w:b/>
          <w:bCs/>
        </w:rPr>
        <w:t>。</w:t>
      </w:r>
      <w:r>
        <w:rPr>
          <w:rFonts w:hint="eastAsia"/>
        </w:rPr>
        <w:t>深化“</w:t>
      </w:r>
      <w:r>
        <w:t>三资</w:t>
      </w:r>
      <w:r>
        <w:rPr>
          <w:rFonts w:hint="eastAsia"/>
        </w:rPr>
        <w:t>”</w:t>
      </w:r>
      <w:r>
        <w:t>监管平台应用，保障集体资产运营和收益分配公开透明。深化</w:t>
      </w:r>
      <w:r>
        <w:rPr>
          <w:rFonts w:hint="eastAsia"/>
        </w:rPr>
        <w:t>“</w:t>
      </w:r>
      <w:r>
        <w:t>组账村监镇代管</w:t>
      </w:r>
      <w:r>
        <w:rPr>
          <w:rFonts w:hint="eastAsia"/>
        </w:rPr>
        <w:t>”</w:t>
      </w:r>
      <w:r>
        <w:t>，加强资金收支全过程监管，全面实行村组集体资产</w:t>
      </w:r>
      <w:r>
        <w:rPr>
          <w:rFonts w:hint="eastAsia"/>
        </w:rPr>
        <w:t>“</w:t>
      </w:r>
      <w:r>
        <w:t>一张图</w:t>
      </w:r>
      <w:r>
        <w:rPr>
          <w:rFonts w:hint="eastAsia"/>
        </w:rPr>
        <w:t>”</w:t>
      </w:r>
      <w:r>
        <w:t>管理，实现集体资产发包</w:t>
      </w:r>
      <w:r>
        <w:rPr>
          <w:rFonts w:hint="eastAsia"/>
        </w:rPr>
        <w:t>“</w:t>
      </w:r>
      <w:r>
        <w:t>应上必上</w:t>
      </w:r>
      <w:r>
        <w:rPr>
          <w:rFonts w:hint="eastAsia"/>
        </w:rPr>
        <w:t>”</w:t>
      </w:r>
      <w:r>
        <w:t>。</w:t>
      </w:r>
      <w:r>
        <w:rPr>
          <w:rFonts w:hint="eastAsia"/>
          <w:b/>
          <w:bCs/>
        </w:rPr>
        <w:t>创新</w:t>
      </w:r>
      <w:r>
        <w:rPr>
          <w:b/>
          <w:bCs/>
        </w:rPr>
        <w:t>乡村运营机制。</w:t>
      </w:r>
      <w:r>
        <w:t>推动强村富民公司规范化、市场化运营，力争承接小型涉农工程项目超10个</w:t>
      </w:r>
      <w:r>
        <w:rPr>
          <w:rFonts w:hint="eastAsia"/>
        </w:rPr>
        <w:t>。推进古劳双桥村乡村运营试点工作，推动深圳塔木公司与古劳镇属强村公司合作共建，探索“专业运营团队+强村富民公司”协作机制，发挥前者资源整合优势与后者本地化服务能力，实现优势互补、互利共赢。通过培训赋能、政策扶持、项目孵化等方式，培育懂农业、爱农村、善经营的乡村运营“生力军”，增强乡村自我发展内生动力。探索开发乡村文创、生态康养、研学教育等新业态。</w:t>
      </w:r>
    </w:p>
    <w:p>
      <w:pPr>
        <w:pStyle w:val="3"/>
      </w:pPr>
      <w:bookmarkStart w:id="76" w:name="_Toc1030_WPSOffice_Level2"/>
      <w:r>
        <w:t>四、</w:t>
      </w:r>
      <w:r>
        <w:rPr>
          <w:rFonts w:hint="eastAsia"/>
        </w:rPr>
        <w:t>深化产业</w:t>
      </w:r>
      <w:r>
        <w:t>富民，</w:t>
      </w:r>
      <w:r>
        <w:rPr>
          <w:rFonts w:hint="eastAsia"/>
        </w:rPr>
        <w:t>拓宽农民增收渠道</w:t>
      </w:r>
      <w:bookmarkEnd w:id="76"/>
    </w:p>
    <w:p>
      <w:pPr>
        <w:ind w:firstLine="643"/>
      </w:pPr>
      <w:r>
        <w:rPr>
          <w:rFonts w:hint="eastAsia"/>
          <w:b/>
          <w:bCs/>
        </w:rPr>
        <w:t>拓宽</w:t>
      </w:r>
      <w:r>
        <w:rPr>
          <w:b/>
          <w:bCs/>
        </w:rPr>
        <w:t>农民增收致富</w:t>
      </w:r>
      <w:r>
        <w:rPr>
          <w:rFonts w:hint="eastAsia"/>
          <w:b/>
          <w:bCs/>
        </w:rPr>
        <w:t>渠道</w:t>
      </w:r>
      <w:r>
        <w:rPr>
          <w:b/>
          <w:bCs/>
        </w:rPr>
        <w:t>。</w:t>
      </w:r>
      <w:r>
        <w:t>持续巩固农村集体产权制度改革成果，依托鹤山镇村资源禀赋、产业基础与水乡生态、特色农业等区位产业优势，全面激发农村集体经济活力，拓宽农民财产性增收渠道。</w:t>
      </w:r>
      <w:r>
        <w:rPr>
          <w:rFonts w:hint="eastAsia"/>
          <w:b/>
          <w:bCs/>
        </w:rPr>
        <w:t>完善</w:t>
      </w:r>
      <w:r>
        <w:rPr>
          <w:b/>
          <w:bCs/>
        </w:rPr>
        <w:t>产业联</w:t>
      </w:r>
      <w:r>
        <w:rPr>
          <w:rFonts w:hint="eastAsia"/>
          <w:b/>
          <w:bCs/>
        </w:rPr>
        <w:t>农带农机制</w:t>
      </w:r>
      <w:r>
        <w:rPr>
          <w:b/>
          <w:bCs/>
        </w:rPr>
        <w:t>。</w:t>
      </w:r>
      <w:r>
        <w:t>推动企业、家庭农场、农民合作社抱团协作</w:t>
      </w:r>
      <w:r>
        <w:rPr>
          <w:rFonts w:hint="eastAsia"/>
        </w:rPr>
        <w:t>，</w:t>
      </w:r>
      <w:r>
        <w:t>持续培育壮大经营主体，培育温三爷食品等3家企业成为重点农业龙头企业。推广</w:t>
      </w:r>
      <w:r>
        <w:rPr>
          <w:rFonts w:hint="eastAsia"/>
        </w:rPr>
        <w:t>“</w:t>
      </w:r>
      <w:r>
        <w:t>龙头企业+合作社+家庭农场带农户</w:t>
      </w:r>
      <w:r>
        <w:rPr>
          <w:rFonts w:hint="eastAsia"/>
        </w:rPr>
        <w:t>”</w:t>
      </w:r>
      <w:r>
        <w:t>发展模式，引导合作社</w:t>
      </w:r>
      <w:r>
        <w:rPr>
          <w:rFonts w:hint="eastAsia"/>
        </w:rPr>
        <w:t>联合</w:t>
      </w:r>
      <w:r>
        <w:t>合作</w:t>
      </w:r>
      <w:r>
        <w:rPr>
          <w:rFonts w:hint="eastAsia"/>
        </w:rPr>
        <w:t>，“</w:t>
      </w:r>
      <w:r>
        <w:t>十五五</w:t>
      </w:r>
      <w:r>
        <w:rPr>
          <w:rFonts w:hint="eastAsia"/>
        </w:rPr>
        <w:t>”</w:t>
      </w:r>
      <w:r>
        <w:t>期间</w:t>
      </w:r>
      <w:r>
        <w:rPr>
          <w:rFonts w:hint="eastAsia"/>
        </w:rPr>
        <w:t>力争</w:t>
      </w:r>
      <w:r>
        <w:t>争取上级扶持资金，支持不少于20家重点新型农业经营主体发展，推动新型农业经营主体从单一生产经营到产加销一体化发展。</w:t>
      </w:r>
      <w:r>
        <w:rPr>
          <w:rFonts w:hint="eastAsia"/>
          <w:b/>
          <w:bCs/>
        </w:rPr>
        <w:t>拓宽</w:t>
      </w:r>
      <w:r>
        <w:rPr>
          <w:b/>
          <w:bCs/>
        </w:rPr>
        <w:t>农民财产</w:t>
      </w:r>
      <w:r>
        <w:rPr>
          <w:rFonts w:hint="eastAsia"/>
          <w:b/>
          <w:bCs/>
        </w:rPr>
        <w:t>权益实现渠道</w:t>
      </w:r>
      <w:r>
        <w:rPr>
          <w:b/>
          <w:bCs/>
        </w:rPr>
        <w:t>。</w:t>
      </w:r>
      <w:r>
        <w:t>建立健全村集体收益按不低于20%比例留存的发展建设资金机制，盘活闲置农户住房通过出租、入股、合作等方式利用，多渠道促进农民增收。</w:t>
      </w:r>
    </w:p>
    <w:p>
      <w:pPr>
        <w:pStyle w:val="3"/>
      </w:pPr>
      <w:bookmarkStart w:id="77" w:name="_Toc24970_WPSOffice_Level2"/>
      <w:r>
        <w:t>五、</w:t>
      </w:r>
      <w:r>
        <w:rPr>
          <w:rFonts w:hint="eastAsia"/>
        </w:rPr>
        <w:t>健全帮扶机制</w:t>
      </w:r>
      <w:r>
        <w:t>，</w:t>
      </w:r>
      <w:r>
        <w:rPr>
          <w:rFonts w:hint="eastAsia"/>
        </w:rPr>
        <w:t>巩固拓展协作成果</w:t>
      </w:r>
      <w:bookmarkEnd w:id="77"/>
    </w:p>
    <w:p>
      <w:pPr>
        <w:ind w:firstLine="643"/>
      </w:pPr>
      <w:r>
        <w:rPr>
          <w:rFonts w:hint="eastAsia"/>
          <w:b/>
          <w:bCs/>
        </w:rPr>
        <w:t>保持</w:t>
      </w:r>
      <w:r>
        <w:rPr>
          <w:b/>
          <w:bCs/>
        </w:rPr>
        <w:t>帮扶政策</w:t>
      </w:r>
      <w:r>
        <w:rPr>
          <w:rFonts w:hint="eastAsia"/>
          <w:b/>
          <w:bCs/>
        </w:rPr>
        <w:t>总体稳定</w:t>
      </w:r>
      <w:r>
        <w:rPr>
          <w:b/>
          <w:bCs/>
        </w:rPr>
        <w:t>。</w:t>
      </w:r>
      <w:r>
        <w:t>健全常态化帮扶政策体系，提高监测帮扶精准性时效性，坚持</w:t>
      </w:r>
      <w:r>
        <w:rPr>
          <w:rFonts w:hint="eastAsia"/>
        </w:rPr>
        <w:t>“</w:t>
      </w:r>
      <w:r>
        <w:t>缺什么、补什么</w:t>
      </w:r>
      <w:r>
        <w:rPr>
          <w:rFonts w:hint="eastAsia"/>
        </w:rPr>
        <w:t>”</w:t>
      </w:r>
      <w:r>
        <w:t>原则。</w:t>
      </w:r>
      <w:r>
        <w:rPr>
          <w:rFonts w:hint="eastAsia"/>
        </w:rPr>
        <w:t>统筹安排</w:t>
      </w:r>
      <w:r>
        <w:t>各级专项资金用于农业产业、助学、助医等帮扶措施。优化帮扶项目收益分配，将收益分红重点向低收入及未消除风险的脱贫户倾斜</w:t>
      </w:r>
      <w:r>
        <w:rPr>
          <w:rFonts w:hint="eastAsia"/>
        </w:rPr>
        <w:t>。</w:t>
      </w:r>
      <w:r>
        <w:rPr>
          <w:rFonts w:hint="eastAsia"/>
          <w:b/>
          <w:bCs/>
        </w:rPr>
        <w:t>健全</w:t>
      </w:r>
      <w:r>
        <w:rPr>
          <w:b/>
          <w:bCs/>
        </w:rPr>
        <w:t>常态化帮扶</w:t>
      </w:r>
      <w:r>
        <w:rPr>
          <w:rFonts w:hint="eastAsia"/>
          <w:b/>
          <w:bCs/>
        </w:rPr>
        <w:t>机制</w:t>
      </w:r>
      <w:r>
        <w:rPr>
          <w:b/>
          <w:bCs/>
        </w:rPr>
        <w:t>。</w:t>
      </w:r>
      <w:r>
        <w:t>充分调动社会各界的慈善力量，多措并举拓宽筹资路径，广泛募集慈善资金，持续开展</w:t>
      </w:r>
      <w:r>
        <w:rPr>
          <w:rFonts w:hint="eastAsia"/>
        </w:rPr>
        <w:t>“</w:t>
      </w:r>
      <w:r>
        <w:t>学子献爱心</w:t>
      </w:r>
      <w:r>
        <w:rPr>
          <w:rFonts w:hint="eastAsia"/>
        </w:rPr>
        <w:t>”</w:t>
      </w:r>
      <w:r>
        <w:t>、</w:t>
      </w:r>
      <w:r>
        <w:rPr>
          <w:rFonts w:hint="eastAsia"/>
        </w:rPr>
        <w:t>“</w:t>
      </w:r>
      <w:r>
        <w:t>6·30</w:t>
      </w:r>
      <w:r>
        <w:rPr>
          <w:rFonts w:hint="eastAsia"/>
        </w:rPr>
        <w:t>”</w:t>
      </w:r>
      <w:r>
        <w:t>助力乡村振兴等活动，广泛动员社会力量投身基层帮扶。</w:t>
      </w:r>
      <w:r>
        <w:rPr>
          <w:rFonts w:hint="eastAsia"/>
          <w:b/>
          <w:bCs/>
        </w:rPr>
        <w:t>提升</w:t>
      </w:r>
      <w:r>
        <w:rPr>
          <w:b/>
          <w:bCs/>
        </w:rPr>
        <w:t>产业就业帮扶</w:t>
      </w:r>
      <w:r>
        <w:rPr>
          <w:rFonts w:hint="eastAsia"/>
          <w:b/>
          <w:bCs/>
        </w:rPr>
        <w:t>实效</w:t>
      </w:r>
      <w:r>
        <w:rPr>
          <w:b/>
          <w:bCs/>
        </w:rPr>
        <w:t>。</w:t>
      </w:r>
      <w:r>
        <w:t>以特色产业发展为核心，因地制宜开展产业帮扶、项目援建</w:t>
      </w:r>
      <w:r>
        <w:rPr>
          <w:rFonts w:hint="eastAsia"/>
        </w:rPr>
        <w:t>和</w:t>
      </w:r>
      <w:r>
        <w:t>就业扶持，构建多方联动、资源互补的全域帮扶</w:t>
      </w:r>
      <w:r>
        <w:rPr>
          <w:rFonts w:hint="eastAsia"/>
        </w:rPr>
        <w:t>新</w:t>
      </w:r>
      <w:r>
        <w:t>格局。</w:t>
      </w:r>
      <w:r>
        <w:rPr>
          <w:b/>
          <w:bCs/>
        </w:rPr>
        <w:t>深化</w:t>
      </w:r>
      <w:r>
        <w:rPr>
          <w:rFonts w:hint="eastAsia"/>
          <w:b/>
          <w:bCs/>
        </w:rPr>
        <w:t>东西部</w:t>
      </w:r>
      <w:r>
        <w:rPr>
          <w:b/>
          <w:bCs/>
        </w:rPr>
        <w:t>帮扶协作。</w:t>
      </w:r>
      <w:r>
        <w:t>持续深化与龙州县结对协作，重点</w:t>
      </w:r>
      <w:r>
        <w:rPr>
          <w:rFonts w:hint="eastAsia"/>
        </w:rPr>
        <w:t>推进</w:t>
      </w:r>
      <w:r>
        <w:t>粤桂协作人才交流，探索开展国资合作、银发经济等新领域协作，推动产业园区共建、特色产业协作、文旅融合</w:t>
      </w:r>
      <w:r>
        <w:rPr>
          <w:rFonts w:hint="eastAsia"/>
        </w:rPr>
        <w:t>及</w:t>
      </w:r>
      <w:r>
        <w:t>民生项目合作</w:t>
      </w:r>
      <w:r>
        <w:rPr>
          <w:rFonts w:hint="eastAsia"/>
        </w:rPr>
        <w:t>走深走实</w:t>
      </w:r>
      <w:r>
        <w:t>。</w:t>
      </w:r>
      <w:r>
        <w:rPr>
          <w:b/>
          <w:bCs/>
        </w:rPr>
        <w:t>加强</w:t>
      </w:r>
      <w:r>
        <w:rPr>
          <w:rFonts w:hint="eastAsia"/>
          <w:b/>
          <w:bCs/>
          <w:lang w:val="en-US" w:eastAsia="zh-CN"/>
        </w:rPr>
        <w:t>帮扶</w:t>
      </w:r>
      <w:r>
        <w:rPr>
          <w:b/>
          <w:bCs/>
        </w:rPr>
        <w:t>资金资产管理</w:t>
      </w:r>
      <w:r>
        <w:rPr>
          <w:rFonts w:hint="eastAsia"/>
          <w:b/>
          <w:bCs/>
        </w:rPr>
        <w:t>。</w:t>
      </w:r>
      <w:r>
        <w:rPr>
          <w:rFonts w:hint="eastAsia"/>
        </w:rPr>
        <w:t>强化对专项资金使用管理和项目建设的监督检查，确保</w:t>
      </w:r>
      <w:r>
        <w:rPr>
          <w:rFonts w:hint="eastAsia"/>
          <w:lang w:val="en-US" w:eastAsia="zh-CN"/>
        </w:rPr>
        <w:t>帮扶</w:t>
      </w:r>
      <w:r>
        <w:rPr>
          <w:rFonts w:hint="eastAsia"/>
        </w:rPr>
        <w:t>资产项目稳定良好运转，资产不流失、不被侵占。通过</w:t>
      </w:r>
      <w:r>
        <w:rPr>
          <w:rFonts w:hint="eastAsia"/>
          <w:lang w:val="en-US" w:eastAsia="zh-CN"/>
        </w:rPr>
        <w:t>帮扶</w:t>
      </w:r>
      <w:r>
        <w:rPr>
          <w:rFonts w:hint="eastAsia"/>
        </w:rPr>
        <w:t>资产项目的保值增值，落实项目的收益分红，有效增加防止返贫监测对象、脱贫户以及经营性收入相对薄弱村的收入。</w:t>
      </w:r>
    </w:p>
    <w:bookmarkEnd w:id="52"/>
    <w:bookmarkEnd w:id="53"/>
    <w:bookmarkEnd w:id="54"/>
    <w:p>
      <w:pPr>
        <w:spacing w:line="600" w:lineRule="exact"/>
        <w:ind w:firstLine="0" w:firstLineChars="0"/>
      </w:pPr>
      <w:bookmarkStart w:id="78" w:name="_Toc11803"/>
      <w:bookmarkStart w:id="79" w:name="_Toc3475_WPSOffice_Level1"/>
      <w:bookmarkStart w:id="80" w:name="_Toc32363"/>
    </w:p>
    <w:p>
      <w:pPr>
        <w:pStyle w:val="2"/>
        <w:ind w:firstLine="0" w:firstLineChars="0"/>
      </w:pPr>
      <w:bookmarkStart w:id="81" w:name="_Toc2288_WPSOffice_Level1"/>
      <w:r>
        <w:rPr>
          <w:rFonts w:hint="eastAsia"/>
        </w:rPr>
        <w:t>第六章 保障措施</w:t>
      </w:r>
      <w:bookmarkEnd w:id="78"/>
      <w:bookmarkEnd w:id="79"/>
      <w:bookmarkEnd w:id="80"/>
      <w:bookmarkEnd w:id="81"/>
    </w:p>
    <w:p>
      <w:pPr>
        <w:spacing w:line="600" w:lineRule="exact"/>
        <w:rPr>
          <w:rFonts w:cs="Times New Roman"/>
        </w:rPr>
      </w:pPr>
    </w:p>
    <w:p>
      <w:pPr>
        <w:pStyle w:val="3"/>
      </w:pPr>
      <w:bookmarkStart w:id="82" w:name="_Toc32076_WPSOffice_Level2"/>
      <w:bookmarkStart w:id="83" w:name="_Toc11057"/>
      <w:bookmarkStart w:id="84" w:name="_Toc13174_WPSOffice_Level2"/>
      <w:bookmarkStart w:id="85" w:name="_Toc26242"/>
      <w:r>
        <w:rPr>
          <w:rFonts w:hint="eastAsia"/>
        </w:rPr>
        <w:t>一、坚持党建引领，凝聚发展合力</w:t>
      </w:r>
      <w:bookmarkEnd w:id="82"/>
      <w:bookmarkEnd w:id="83"/>
      <w:bookmarkEnd w:id="84"/>
      <w:bookmarkEnd w:id="85"/>
    </w:p>
    <w:p>
      <w:pPr>
        <w:rPr>
          <w:rFonts w:cs="Times New Roman"/>
        </w:rPr>
      </w:pPr>
      <w:r>
        <w:rPr>
          <w:rFonts w:hint="eastAsia"/>
        </w:rPr>
        <w:t>坚持党对“三农”工作的全面领导，落实“五级书记抓乡村振兴”工作要求，以党建引领粮食生产、乡村特色产业发展、和美乡村建设和城乡深度融合。加强部门间规划衔接、政策配套和工作协同。加大各项任务推进和资源调控力度，凝聚全域推进农业农村现代化强大合力。</w:t>
      </w:r>
    </w:p>
    <w:p>
      <w:pPr>
        <w:pStyle w:val="3"/>
      </w:pPr>
      <w:bookmarkStart w:id="86" w:name="_Toc20992_WPSOffice_Level2"/>
      <w:bookmarkStart w:id="87" w:name="_Toc17970"/>
      <w:bookmarkStart w:id="88" w:name="_Toc23904"/>
      <w:bookmarkStart w:id="89" w:name="_Toc24825_WPSOffice_Level2"/>
      <w:r>
        <w:rPr>
          <w:rFonts w:hint="eastAsia"/>
        </w:rPr>
        <w:t>二、强化要素保障</w:t>
      </w:r>
      <w:bookmarkEnd w:id="86"/>
      <w:bookmarkEnd w:id="87"/>
      <w:bookmarkEnd w:id="88"/>
      <w:r>
        <w:rPr>
          <w:rFonts w:hint="eastAsia"/>
        </w:rPr>
        <w:t>，夯实发展支撑</w:t>
      </w:r>
      <w:bookmarkEnd w:id="89"/>
    </w:p>
    <w:p>
      <w:r>
        <w:rPr>
          <w:rFonts w:hint="eastAsia"/>
        </w:rPr>
        <w:t>健全农业农村财政投入稳定增长机制，加大涉农资金统筹整合力度，提高资金使用效益。引导金融机构创新金融产品，推广农村承包地经营权、林权等抵押贷款，扩大农业信贷担保覆盖面。以规划为战略导向，健全财政有效保障、金融重点倾斜、社会积极参与的多元投入格局，协调就业、产业、投资、消费、区域等政策协同发力。强化用地保障，统筹安排新增建设用地计划指标，盘活农村存量建设用地，优先保障乡村产业、基础设施和公共服务用地需求。</w:t>
      </w:r>
    </w:p>
    <w:p>
      <w:pPr>
        <w:pStyle w:val="3"/>
      </w:pPr>
      <w:bookmarkStart w:id="90" w:name="_Toc2591_WPSOffice_Level2"/>
      <w:bookmarkStart w:id="91" w:name="_Toc23081"/>
      <w:bookmarkStart w:id="92" w:name="_Toc29823"/>
      <w:bookmarkStart w:id="93" w:name="_Toc1679_WPSOffice_Level2"/>
      <w:r>
        <w:rPr>
          <w:rFonts w:hint="eastAsia"/>
        </w:rPr>
        <w:t>三、广泛动员参与</w:t>
      </w:r>
      <w:bookmarkEnd w:id="90"/>
      <w:bookmarkEnd w:id="91"/>
      <w:bookmarkEnd w:id="92"/>
      <w:r>
        <w:rPr>
          <w:rFonts w:hint="eastAsia"/>
        </w:rPr>
        <w:t>，激发内生动力</w:t>
      </w:r>
      <w:bookmarkEnd w:id="93"/>
    </w:p>
    <w:p>
      <w:r>
        <w:rPr>
          <w:rFonts w:hint="eastAsia"/>
        </w:rPr>
        <w:t>深入宣传解读规划内容，营造全社会关心支持农业农村发展的良好氛围。充分尊重农民主体地位和首创精神，发挥村规民约作用，引导农民筹资筹劳建设美好家园。深入开展“万企兴万村”行动，鼓励工商资本、乡贤能人返乡投资兴业，支持农村集体经济组织与社会资本通过股份合作等方式发展富民产业。完善利益联结机制，构建“政府引导、农民主体、社会协同”的共建共治共享格局。</w:t>
      </w:r>
    </w:p>
    <w:sectPr>
      <w:footerReference r:id="rId5" w:type="default"/>
      <w:pgSz w:w="11906" w:h="16838"/>
      <w:pgMar w:top="2098" w:right="1304" w:bottom="1417" w:left="1587" w:header="851" w:footer="992" w:gutter="0"/>
      <w:pgNumType w:fmt="numberInDash"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507"/>
        <w:tab w:val="clear" w:pos="4153"/>
      </w:tabs>
      <w:rPr>
        <w:szCs w:val="24"/>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4480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4480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Cs w:val="24"/>
                            </w:rPr>
                          </w:pPr>
                          <w:r>
                            <w:rPr>
                              <w:rFonts w:hint="eastAsia"/>
                              <w:szCs w:val="24"/>
                            </w:rPr>
                            <w:fldChar w:fldCharType="begin"/>
                          </w:r>
                          <w:r>
                            <w:rPr>
                              <w:rFonts w:hint="eastAsia"/>
                              <w:szCs w:val="24"/>
                            </w:rPr>
                            <w:instrText xml:space="preserve"> PAGE  \* MERGEFORMAT </w:instrText>
                          </w:r>
                          <w:r>
                            <w:rPr>
                              <w:rFonts w:hint="eastAsia"/>
                              <w:szCs w:val="24"/>
                            </w:rPr>
                            <w:fldChar w:fldCharType="separate"/>
                          </w:r>
                          <w:r>
                            <w:rPr>
                              <w:szCs w:val="24"/>
                            </w:rPr>
                            <w:t>- 10 -</w:t>
                          </w:r>
                          <w:r>
                            <w:rPr>
                              <w:rFonts w:hint="eastAsia"/>
                              <w:szCs w:val="2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27.15pt;mso-position-horizontal:center;mso-position-horizontal-relative:margin;z-index:251659264;mso-width-relative:page;mso-height-relative:page;" filled="f" stroked="f" coordsize="21600,21600" o:gfxdata="UEsDBAoAAAAAAIdO4kAAAAAAAAAAAAAAAAAEAAAAZHJzL1BLAwQUAAAACACHTuJAVQjGbdQAAAAE&#10;AQAADwAAAGRycy9kb3ducmV2LnhtbE2PT0/DMAzF70h8h8hI3Fiy8UdVaboDgh3gRIcQR691m0Lj&#10;VE3WDT49hgtcLD09+72fi/XRD2qmKfaBLSwXBhRxHZqeOwsv24eLDFRMyA0OgcnCJ0VYl6cnBeZN&#10;OPAzzVXqlIRwzNGCS2nMtY61I49xEUZi8doweUwip043Ex4k3A96ZcyN9tizNDgc6c5R/VHtvWC8&#10;Phm/+Wrdm3/ENlZuO2/u3609P1uaW1CJjulvGX7w5QZKYdqFPTdRDRbkkfQ7xbu+ugS1s7DKMgO6&#10;LPR/+PIbUEsDBBQAAAAIAIdO4kCJ+20aFwIAAAgEAAAOAAAAZHJzL2Uyb0RvYy54bWytU82O0zAQ&#10;viPxDpbvNGn3R1XVdFV2VYRUsSsVtGfXcZpItseM3SblAeANOHHZO8/V52DsNt0VcEJcnInn9/vm&#10;8/SmM5rtFPoGbMGHg5wzZSWUjd0U/NPHxZsxZz4IWwoNVhV8rzy/mb1+NW3dRI2gBl0qZFTE+knr&#10;Cl6H4CZZ5mWtjPADcMqSswI0ItAvbrISRUvVjc5GeX6dtYClQ5DKe7q9Ozr5LNWvKiXDfVV5FZgu&#10;OM0W0onpXMczm03FZIPC1Y08jSH+YQojGktNz6XuRBBsi80fpUwjETxUYSDBZFBVjVQJA6EZ5r+h&#10;WdXCqYSFyPHuTJP/f2Xlh90DsqYs+IgzKwyt6PD92+HHz8PTVzaK9LTOTyhq5SgudG+hozX3954u&#10;I+quQhO/hIeRn4jen8lVXWCSLi8uL8f5FWeSXMPxaDzOE/vZc7ZDH94pMCwaBUdaXuJU7JY+0CQU&#10;2ofEZhYWjdZpgdqytuDXF1d5Sjh7KENbSowYjrNGK3Tr7gRsDeWecCEcheGdXDTUfCl8eBBISiAo&#10;pO5wT0elgZrAyeKsBvzyt/sYTwsiL2ctKavg/vNWoOJMv7e0uijD3sDeWPeG3ZpbILEO6d04mUxK&#10;wKB7s0IwjyT6eexCLmEl9Sp46M3bcNQ3PRqp5vMURGJzIiztyslYOtLn3XwbiMLEbKTlyMWJLZJb&#10;Ivz0NKKeX/6nqOcHPP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QjGbdQAAAAEAQAADwAAAAAA&#10;AAABACAAAAAiAAAAZHJzL2Rvd25yZXYueG1sUEsBAhQAFAAAAAgAh07iQIn7bRoXAgAACAQAAA4A&#10;AAAAAAAAAQAgAAAAIwEAAGRycy9lMm9Eb2MueG1sUEsFBgAAAAAGAAYAWQEAAKwFAAAAAA==&#10;">
              <v:fill on="f" focussize="0,0"/>
              <v:stroke on="f" weight="0.5pt"/>
              <v:imagedata o:title=""/>
              <o:lock v:ext="edit" aspectratio="f"/>
              <v:textbox inset="0mm,0mm,0mm,0mm" style="mso-fit-shape-to-text:t;">
                <w:txbxContent>
                  <w:p>
                    <w:pPr>
                      <w:pStyle w:val="10"/>
                      <w:rPr>
                        <w:szCs w:val="24"/>
                      </w:rPr>
                    </w:pPr>
                    <w:r>
                      <w:rPr>
                        <w:rFonts w:hint="eastAsia"/>
                        <w:szCs w:val="24"/>
                      </w:rPr>
                      <w:fldChar w:fldCharType="begin"/>
                    </w:r>
                    <w:r>
                      <w:rPr>
                        <w:rFonts w:hint="eastAsia"/>
                        <w:szCs w:val="24"/>
                      </w:rPr>
                      <w:instrText xml:space="preserve"> PAGE  \* MERGEFORMAT </w:instrText>
                    </w:r>
                    <w:r>
                      <w:rPr>
                        <w:rFonts w:hint="eastAsia"/>
                        <w:szCs w:val="24"/>
                      </w:rPr>
                      <w:fldChar w:fldCharType="separate"/>
                    </w:r>
                    <w:r>
                      <w:rPr>
                        <w:szCs w:val="24"/>
                      </w:rPr>
                      <w:t>- 10 -</w:t>
                    </w:r>
                    <w:r>
                      <w:rPr>
                        <w:rFonts w:hint="eastAsia"/>
                        <w:szCs w:val="24"/>
                      </w:rP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507"/>
        <w:tab w:val="clear" w:pos="4153"/>
      </w:tabs>
      <w:rPr>
        <w:szCs w:val="24"/>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4805"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4480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szCs w:val="24"/>
                            </w:rPr>
                          </w:pPr>
                          <w:r>
                            <w:rPr>
                              <w:rFonts w:hint="eastAsia"/>
                              <w:szCs w:val="24"/>
                            </w:rPr>
                            <w:fldChar w:fldCharType="begin"/>
                          </w:r>
                          <w:r>
                            <w:rPr>
                              <w:rFonts w:hint="eastAsia"/>
                              <w:szCs w:val="24"/>
                            </w:rPr>
                            <w:instrText xml:space="preserve"> PAGE  \* MERGEFORMAT </w:instrText>
                          </w:r>
                          <w:r>
                            <w:rPr>
                              <w:rFonts w:hint="eastAsia"/>
                              <w:szCs w:val="24"/>
                            </w:rPr>
                            <w:fldChar w:fldCharType="separate"/>
                          </w:r>
                          <w:r>
                            <w:rPr>
                              <w:szCs w:val="24"/>
                            </w:rPr>
                            <w:t>- 10 -</w:t>
                          </w:r>
                          <w:r>
                            <w:rPr>
                              <w:rFonts w:hint="eastAsia"/>
                              <w:szCs w:val="24"/>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27.15pt;mso-position-horizontal:center;mso-position-horizontal-relative:margin;z-index:251661312;mso-width-relative:page;mso-height-relative:page;" filled="f" stroked="f" coordsize="21600,21600" o:gfxdata="UEsDBAoAAAAAAIdO4kAAAAAAAAAAAAAAAAAEAAAAZHJzL1BLAwQUAAAACACHTuJAVQjGbdQAAAAE&#10;AQAADwAAAGRycy9kb3ducmV2LnhtbE2PT0/DMAzF70h8h8hI3Fiy8UdVaboDgh3gRIcQR691m0Lj&#10;VE3WDT49hgtcLD09+72fi/XRD2qmKfaBLSwXBhRxHZqeOwsv24eLDFRMyA0OgcnCJ0VYl6cnBeZN&#10;OPAzzVXqlIRwzNGCS2nMtY61I49xEUZi8doweUwip043Ex4k3A96ZcyN9tizNDgc6c5R/VHtvWC8&#10;Phm/+Wrdm3/ENlZuO2/u3609P1uaW1CJjulvGX7w5QZKYdqFPTdRDRbkkfQ7xbu+ugS1s7DKMgO6&#10;LPR/+PIbUEsDBBQAAAAIAIdO4kBYkV/fFwIAAAgEAAAOAAAAZHJzL2Uyb0RvYy54bWytU82O0zAQ&#10;viPxDpbvNGm7u6qqpquyqyKkil2pIM6u4zSRbI8Zu03KA8AbcOKyd56rz8HYbboIOCEuzsTz+33z&#10;eXbbGc32Cn0DtuDDQc6ZshLKxm4L/uH98tWEMx+ELYUGqwp+UJ7fzl++mLVuqkZQgy4VMipi/bR1&#10;Ba9DcNMs87JWRvgBOGXJWQEaEegXt1mJoqXqRmejPL/JWsDSIUjlPd3en5x8nupXlZLhoaq8CkwX&#10;nGYL6cR0buKZzWdiukXh6kaexxD/MIURjaWml1L3Igi2w+aPUqaRCB6qMJBgMqiqRqqEgdAM89/Q&#10;rGvhVMJC5Hh3ocn/v7Ly3f4RWVMWfMyZFYZWdPz29fj9x/HpCxtHelrnpxS1dhQXutfQ0Zr7e0+X&#10;EXVXoYlfwsPIT0QfLuSqLjBJl+Orq0l+zZkk13AymkzyxH72nO3QhzcKDItGwZGWlzgV+5UPNAmF&#10;9iGxmYVlo3VaoLasLfjN+DpPCRcPZWhLiRHDadZohW7TnYFtoDwQLoSTMLyTy4aar4QPjwJJCQSF&#10;1B0e6Kg0UBM4W5zVgJ//dh/jaUHk5awlZRXcf9oJVJzpt5ZWF2XYG9gbm96wO3MHJNYhvRsnk0kJ&#10;GHRvVgjmI4l+EbuQS1hJvQoeevMunPRNj0aqxSIFkdicCCu7djKWjvR5t9gFojAxG2k5cXFmi+SW&#10;CD8/jajnX/9T1PMDnv8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VQjGbdQAAAAEAQAADwAAAAAA&#10;AAABACAAAAAiAAAAZHJzL2Rvd25yZXYueG1sUEsBAhQAFAAAAAgAh07iQFiRX98XAgAACAQAAA4A&#10;AAAAAAAAAQAgAAAAIwEAAGRycy9lMm9Eb2MueG1sUEsFBgAAAAAGAAYAWQEAAKwFAAAAAA==&#10;">
              <v:fill on="f" focussize="0,0"/>
              <v:stroke on="f" weight="0.5pt"/>
              <v:imagedata o:title=""/>
              <o:lock v:ext="edit" aspectratio="f"/>
              <v:textbox inset="0mm,0mm,0mm,0mm" style="mso-fit-shape-to-text:t;">
                <w:txbxContent>
                  <w:p>
                    <w:pPr>
                      <w:pStyle w:val="10"/>
                      <w:rPr>
                        <w:szCs w:val="24"/>
                      </w:rPr>
                    </w:pPr>
                    <w:r>
                      <w:rPr>
                        <w:rFonts w:hint="eastAsia"/>
                        <w:szCs w:val="24"/>
                      </w:rPr>
                      <w:fldChar w:fldCharType="begin"/>
                    </w:r>
                    <w:r>
                      <w:rPr>
                        <w:rFonts w:hint="eastAsia"/>
                        <w:szCs w:val="24"/>
                      </w:rPr>
                      <w:instrText xml:space="preserve"> PAGE  \* MERGEFORMAT </w:instrText>
                    </w:r>
                    <w:r>
                      <w:rPr>
                        <w:rFonts w:hint="eastAsia"/>
                        <w:szCs w:val="24"/>
                      </w:rPr>
                      <w:fldChar w:fldCharType="separate"/>
                    </w:r>
                    <w:r>
                      <w:rPr>
                        <w:szCs w:val="24"/>
                      </w:rPr>
                      <w:t>- 10 -</w:t>
                    </w:r>
                    <w:r>
                      <w:rPr>
                        <w:rFonts w:hint="eastAsia"/>
                        <w:szCs w:val="24"/>
                      </w:rP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8B4"/>
    <w:rsid w:val="00004D83"/>
    <w:rsid w:val="00015365"/>
    <w:rsid w:val="00020463"/>
    <w:rsid w:val="000206E8"/>
    <w:rsid w:val="0002162E"/>
    <w:rsid w:val="00030DCE"/>
    <w:rsid w:val="0003236E"/>
    <w:rsid w:val="00034F9C"/>
    <w:rsid w:val="00036BF3"/>
    <w:rsid w:val="00037696"/>
    <w:rsid w:val="00050B1A"/>
    <w:rsid w:val="00051160"/>
    <w:rsid w:val="00062E38"/>
    <w:rsid w:val="00065CA4"/>
    <w:rsid w:val="0007163F"/>
    <w:rsid w:val="00080529"/>
    <w:rsid w:val="00080917"/>
    <w:rsid w:val="00082090"/>
    <w:rsid w:val="00092A4F"/>
    <w:rsid w:val="000956C3"/>
    <w:rsid w:val="000A105E"/>
    <w:rsid w:val="000A25D6"/>
    <w:rsid w:val="000B12F9"/>
    <w:rsid w:val="000B2AF9"/>
    <w:rsid w:val="000B2C85"/>
    <w:rsid w:val="000B421E"/>
    <w:rsid w:val="000B5F70"/>
    <w:rsid w:val="000C0007"/>
    <w:rsid w:val="000C0C58"/>
    <w:rsid w:val="000D05D9"/>
    <w:rsid w:val="000D69DA"/>
    <w:rsid w:val="000E0559"/>
    <w:rsid w:val="000E3AD4"/>
    <w:rsid w:val="000E554D"/>
    <w:rsid w:val="000E6478"/>
    <w:rsid w:val="000E78CE"/>
    <w:rsid w:val="0010732C"/>
    <w:rsid w:val="0011611A"/>
    <w:rsid w:val="00116FBC"/>
    <w:rsid w:val="00120BDD"/>
    <w:rsid w:val="00121A72"/>
    <w:rsid w:val="00122FC2"/>
    <w:rsid w:val="00127FF1"/>
    <w:rsid w:val="0013575F"/>
    <w:rsid w:val="00145E2E"/>
    <w:rsid w:val="00147507"/>
    <w:rsid w:val="00157928"/>
    <w:rsid w:val="00172A27"/>
    <w:rsid w:val="001777C2"/>
    <w:rsid w:val="0018188C"/>
    <w:rsid w:val="00181C34"/>
    <w:rsid w:val="00185F22"/>
    <w:rsid w:val="00186591"/>
    <w:rsid w:val="00193726"/>
    <w:rsid w:val="00196B3A"/>
    <w:rsid w:val="001A306F"/>
    <w:rsid w:val="001A7313"/>
    <w:rsid w:val="001B20EA"/>
    <w:rsid w:val="001C610E"/>
    <w:rsid w:val="001D047B"/>
    <w:rsid w:val="001D0BEF"/>
    <w:rsid w:val="001E32E9"/>
    <w:rsid w:val="001E59AC"/>
    <w:rsid w:val="001F4284"/>
    <w:rsid w:val="001F645D"/>
    <w:rsid w:val="00207018"/>
    <w:rsid w:val="00211854"/>
    <w:rsid w:val="00217A14"/>
    <w:rsid w:val="00222DE1"/>
    <w:rsid w:val="00226E1D"/>
    <w:rsid w:val="0023205E"/>
    <w:rsid w:val="00232840"/>
    <w:rsid w:val="00244540"/>
    <w:rsid w:val="002448AB"/>
    <w:rsid w:val="002534CE"/>
    <w:rsid w:val="00255641"/>
    <w:rsid w:val="00275624"/>
    <w:rsid w:val="002756DC"/>
    <w:rsid w:val="00281AF6"/>
    <w:rsid w:val="00284107"/>
    <w:rsid w:val="002934DF"/>
    <w:rsid w:val="002A02EA"/>
    <w:rsid w:val="002A1410"/>
    <w:rsid w:val="002A4424"/>
    <w:rsid w:val="002B1E28"/>
    <w:rsid w:val="002C2732"/>
    <w:rsid w:val="002C483D"/>
    <w:rsid w:val="002C4C3F"/>
    <w:rsid w:val="002C77DC"/>
    <w:rsid w:val="002D01CD"/>
    <w:rsid w:val="002D16CD"/>
    <w:rsid w:val="002D7B60"/>
    <w:rsid w:val="002E0542"/>
    <w:rsid w:val="002E07EC"/>
    <w:rsid w:val="002E51D0"/>
    <w:rsid w:val="002E77FD"/>
    <w:rsid w:val="002F3B33"/>
    <w:rsid w:val="00303D8E"/>
    <w:rsid w:val="003066D8"/>
    <w:rsid w:val="003172F8"/>
    <w:rsid w:val="00317E54"/>
    <w:rsid w:val="00326264"/>
    <w:rsid w:val="00331AD7"/>
    <w:rsid w:val="003325F8"/>
    <w:rsid w:val="00337ECD"/>
    <w:rsid w:val="00344E5E"/>
    <w:rsid w:val="00347DA2"/>
    <w:rsid w:val="00350ED4"/>
    <w:rsid w:val="003516BB"/>
    <w:rsid w:val="00357468"/>
    <w:rsid w:val="003639A4"/>
    <w:rsid w:val="00376D2C"/>
    <w:rsid w:val="00380F7B"/>
    <w:rsid w:val="00383085"/>
    <w:rsid w:val="00387EB2"/>
    <w:rsid w:val="003902D5"/>
    <w:rsid w:val="00395034"/>
    <w:rsid w:val="00397DE1"/>
    <w:rsid w:val="003A0F07"/>
    <w:rsid w:val="003A4AE1"/>
    <w:rsid w:val="003A7B1B"/>
    <w:rsid w:val="003C39B2"/>
    <w:rsid w:val="003D2426"/>
    <w:rsid w:val="003D4BB2"/>
    <w:rsid w:val="003D697B"/>
    <w:rsid w:val="003E0D06"/>
    <w:rsid w:val="003E4D3A"/>
    <w:rsid w:val="003E5B4E"/>
    <w:rsid w:val="003E5BD7"/>
    <w:rsid w:val="003F1992"/>
    <w:rsid w:val="0040133A"/>
    <w:rsid w:val="0041085F"/>
    <w:rsid w:val="00415916"/>
    <w:rsid w:val="004246B9"/>
    <w:rsid w:val="00432EDE"/>
    <w:rsid w:val="00436F9F"/>
    <w:rsid w:val="00437136"/>
    <w:rsid w:val="00442EE7"/>
    <w:rsid w:val="00443314"/>
    <w:rsid w:val="0044655A"/>
    <w:rsid w:val="004504EE"/>
    <w:rsid w:val="004545FF"/>
    <w:rsid w:val="00463F6D"/>
    <w:rsid w:val="00464176"/>
    <w:rsid w:val="0046578F"/>
    <w:rsid w:val="004704EA"/>
    <w:rsid w:val="00472251"/>
    <w:rsid w:val="00472D3B"/>
    <w:rsid w:val="00474447"/>
    <w:rsid w:val="00477A68"/>
    <w:rsid w:val="00484749"/>
    <w:rsid w:val="00484988"/>
    <w:rsid w:val="00484FFC"/>
    <w:rsid w:val="004867E6"/>
    <w:rsid w:val="004905A6"/>
    <w:rsid w:val="004A36F2"/>
    <w:rsid w:val="004A425C"/>
    <w:rsid w:val="004B4000"/>
    <w:rsid w:val="004B4BA6"/>
    <w:rsid w:val="004C07BB"/>
    <w:rsid w:val="004C5FDD"/>
    <w:rsid w:val="004C6DD5"/>
    <w:rsid w:val="004E361D"/>
    <w:rsid w:val="004F17FD"/>
    <w:rsid w:val="004F3E41"/>
    <w:rsid w:val="004F433B"/>
    <w:rsid w:val="005003DD"/>
    <w:rsid w:val="00501BD4"/>
    <w:rsid w:val="005108D5"/>
    <w:rsid w:val="00513152"/>
    <w:rsid w:val="00552EF1"/>
    <w:rsid w:val="005533BA"/>
    <w:rsid w:val="00563814"/>
    <w:rsid w:val="00566873"/>
    <w:rsid w:val="00572275"/>
    <w:rsid w:val="00575CB1"/>
    <w:rsid w:val="00583439"/>
    <w:rsid w:val="0058346D"/>
    <w:rsid w:val="005872EC"/>
    <w:rsid w:val="005903DF"/>
    <w:rsid w:val="005920CF"/>
    <w:rsid w:val="00594A03"/>
    <w:rsid w:val="00595745"/>
    <w:rsid w:val="005965D4"/>
    <w:rsid w:val="005C5627"/>
    <w:rsid w:val="005C739F"/>
    <w:rsid w:val="005C7AE5"/>
    <w:rsid w:val="005D0489"/>
    <w:rsid w:val="005D2317"/>
    <w:rsid w:val="005D62CA"/>
    <w:rsid w:val="005E12E3"/>
    <w:rsid w:val="005E71ED"/>
    <w:rsid w:val="005F3BBB"/>
    <w:rsid w:val="00603838"/>
    <w:rsid w:val="00630778"/>
    <w:rsid w:val="00633688"/>
    <w:rsid w:val="00642362"/>
    <w:rsid w:val="006431AC"/>
    <w:rsid w:val="00645B50"/>
    <w:rsid w:val="006460D9"/>
    <w:rsid w:val="00653A74"/>
    <w:rsid w:val="00655485"/>
    <w:rsid w:val="0066172F"/>
    <w:rsid w:val="00662DCC"/>
    <w:rsid w:val="00664135"/>
    <w:rsid w:val="0067629F"/>
    <w:rsid w:val="00676B71"/>
    <w:rsid w:val="00686EBC"/>
    <w:rsid w:val="006A2011"/>
    <w:rsid w:val="006A347B"/>
    <w:rsid w:val="006A41F4"/>
    <w:rsid w:val="006A63B3"/>
    <w:rsid w:val="006B10C7"/>
    <w:rsid w:val="006B2FEB"/>
    <w:rsid w:val="006C2F2A"/>
    <w:rsid w:val="006C43D5"/>
    <w:rsid w:val="006D1615"/>
    <w:rsid w:val="006D3970"/>
    <w:rsid w:val="006D6766"/>
    <w:rsid w:val="006E2D26"/>
    <w:rsid w:val="006F48C2"/>
    <w:rsid w:val="007024A2"/>
    <w:rsid w:val="00706800"/>
    <w:rsid w:val="0071017F"/>
    <w:rsid w:val="007111A5"/>
    <w:rsid w:val="00713995"/>
    <w:rsid w:val="0071512F"/>
    <w:rsid w:val="0071714B"/>
    <w:rsid w:val="00732E9D"/>
    <w:rsid w:val="00740B19"/>
    <w:rsid w:val="0075247C"/>
    <w:rsid w:val="00761B3D"/>
    <w:rsid w:val="00772F46"/>
    <w:rsid w:val="00774972"/>
    <w:rsid w:val="00781FE7"/>
    <w:rsid w:val="00786251"/>
    <w:rsid w:val="0079480B"/>
    <w:rsid w:val="0079540E"/>
    <w:rsid w:val="00797864"/>
    <w:rsid w:val="007A1118"/>
    <w:rsid w:val="007B1759"/>
    <w:rsid w:val="007B1B3F"/>
    <w:rsid w:val="007C1CCC"/>
    <w:rsid w:val="007C2805"/>
    <w:rsid w:val="007C57FB"/>
    <w:rsid w:val="007D13A1"/>
    <w:rsid w:val="007E10EF"/>
    <w:rsid w:val="007E3592"/>
    <w:rsid w:val="007F1386"/>
    <w:rsid w:val="007F710D"/>
    <w:rsid w:val="00802820"/>
    <w:rsid w:val="00802BC2"/>
    <w:rsid w:val="00807C89"/>
    <w:rsid w:val="00810533"/>
    <w:rsid w:val="00810E46"/>
    <w:rsid w:val="0081734B"/>
    <w:rsid w:val="00817813"/>
    <w:rsid w:val="00820CEC"/>
    <w:rsid w:val="0082183B"/>
    <w:rsid w:val="00824DCC"/>
    <w:rsid w:val="008308E8"/>
    <w:rsid w:val="00836FED"/>
    <w:rsid w:val="00837362"/>
    <w:rsid w:val="00840A74"/>
    <w:rsid w:val="00841598"/>
    <w:rsid w:val="00863B55"/>
    <w:rsid w:val="008652AC"/>
    <w:rsid w:val="00865D61"/>
    <w:rsid w:val="0087793D"/>
    <w:rsid w:val="00877C80"/>
    <w:rsid w:val="00880E94"/>
    <w:rsid w:val="008854B9"/>
    <w:rsid w:val="00890E5E"/>
    <w:rsid w:val="008971A0"/>
    <w:rsid w:val="008A56A7"/>
    <w:rsid w:val="008B40E5"/>
    <w:rsid w:val="008B51C4"/>
    <w:rsid w:val="008C0A7E"/>
    <w:rsid w:val="008C57E2"/>
    <w:rsid w:val="008C6E93"/>
    <w:rsid w:val="008D61ED"/>
    <w:rsid w:val="008E197A"/>
    <w:rsid w:val="008E2289"/>
    <w:rsid w:val="008E72AD"/>
    <w:rsid w:val="0090002B"/>
    <w:rsid w:val="0090165E"/>
    <w:rsid w:val="00901761"/>
    <w:rsid w:val="009049EA"/>
    <w:rsid w:val="00907A18"/>
    <w:rsid w:val="00907A54"/>
    <w:rsid w:val="009115DD"/>
    <w:rsid w:val="00921BEB"/>
    <w:rsid w:val="00933A49"/>
    <w:rsid w:val="0093459E"/>
    <w:rsid w:val="00951A28"/>
    <w:rsid w:val="00955DA5"/>
    <w:rsid w:val="0096131A"/>
    <w:rsid w:val="00963518"/>
    <w:rsid w:val="00974112"/>
    <w:rsid w:val="00974F18"/>
    <w:rsid w:val="00984D4B"/>
    <w:rsid w:val="00991AEA"/>
    <w:rsid w:val="00992335"/>
    <w:rsid w:val="00994121"/>
    <w:rsid w:val="00997111"/>
    <w:rsid w:val="009B2D43"/>
    <w:rsid w:val="009B7D83"/>
    <w:rsid w:val="009C6AD3"/>
    <w:rsid w:val="009D317A"/>
    <w:rsid w:val="009E6C09"/>
    <w:rsid w:val="009E7C0C"/>
    <w:rsid w:val="009F11B1"/>
    <w:rsid w:val="009F4A0B"/>
    <w:rsid w:val="009F5DB1"/>
    <w:rsid w:val="00A032BA"/>
    <w:rsid w:val="00A0707F"/>
    <w:rsid w:val="00A100D1"/>
    <w:rsid w:val="00A14EE7"/>
    <w:rsid w:val="00A21386"/>
    <w:rsid w:val="00A21FE2"/>
    <w:rsid w:val="00A30B33"/>
    <w:rsid w:val="00A341F5"/>
    <w:rsid w:val="00A45FD6"/>
    <w:rsid w:val="00A47088"/>
    <w:rsid w:val="00A50E01"/>
    <w:rsid w:val="00A543B7"/>
    <w:rsid w:val="00A630EE"/>
    <w:rsid w:val="00A70CC6"/>
    <w:rsid w:val="00A72337"/>
    <w:rsid w:val="00A81F63"/>
    <w:rsid w:val="00A866F3"/>
    <w:rsid w:val="00A90A37"/>
    <w:rsid w:val="00A90B21"/>
    <w:rsid w:val="00AA6A1A"/>
    <w:rsid w:val="00AB0388"/>
    <w:rsid w:val="00AC4CDD"/>
    <w:rsid w:val="00AD6795"/>
    <w:rsid w:val="00AD7998"/>
    <w:rsid w:val="00AE193B"/>
    <w:rsid w:val="00AE4EB6"/>
    <w:rsid w:val="00AE51F6"/>
    <w:rsid w:val="00AF3EA0"/>
    <w:rsid w:val="00AF76CA"/>
    <w:rsid w:val="00B013F0"/>
    <w:rsid w:val="00B038A1"/>
    <w:rsid w:val="00B06EC9"/>
    <w:rsid w:val="00B07D7D"/>
    <w:rsid w:val="00B11A53"/>
    <w:rsid w:val="00B20EA2"/>
    <w:rsid w:val="00B24759"/>
    <w:rsid w:val="00B24AA4"/>
    <w:rsid w:val="00B3272C"/>
    <w:rsid w:val="00B342EF"/>
    <w:rsid w:val="00B62A75"/>
    <w:rsid w:val="00B63B65"/>
    <w:rsid w:val="00B73F0C"/>
    <w:rsid w:val="00B84701"/>
    <w:rsid w:val="00B91B5E"/>
    <w:rsid w:val="00BA0DEB"/>
    <w:rsid w:val="00BA68BD"/>
    <w:rsid w:val="00BC2719"/>
    <w:rsid w:val="00BD47B4"/>
    <w:rsid w:val="00BD7E0D"/>
    <w:rsid w:val="00BE1B12"/>
    <w:rsid w:val="00BE7C7D"/>
    <w:rsid w:val="00BE7E64"/>
    <w:rsid w:val="00BF2D73"/>
    <w:rsid w:val="00BF3037"/>
    <w:rsid w:val="00C00CE7"/>
    <w:rsid w:val="00C02FDC"/>
    <w:rsid w:val="00C2304A"/>
    <w:rsid w:val="00C23C63"/>
    <w:rsid w:val="00C24BBB"/>
    <w:rsid w:val="00C31349"/>
    <w:rsid w:val="00C3342A"/>
    <w:rsid w:val="00C5773C"/>
    <w:rsid w:val="00C60029"/>
    <w:rsid w:val="00C61A6B"/>
    <w:rsid w:val="00C700E4"/>
    <w:rsid w:val="00C7155F"/>
    <w:rsid w:val="00C72470"/>
    <w:rsid w:val="00C74AD7"/>
    <w:rsid w:val="00C77690"/>
    <w:rsid w:val="00C82192"/>
    <w:rsid w:val="00CA2296"/>
    <w:rsid w:val="00CA5122"/>
    <w:rsid w:val="00CA633B"/>
    <w:rsid w:val="00CA79E4"/>
    <w:rsid w:val="00CB238D"/>
    <w:rsid w:val="00CB23EC"/>
    <w:rsid w:val="00CB2F12"/>
    <w:rsid w:val="00CC20BE"/>
    <w:rsid w:val="00CC56F2"/>
    <w:rsid w:val="00CE17B8"/>
    <w:rsid w:val="00CE2F7A"/>
    <w:rsid w:val="00CE4119"/>
    <w:rsid w:val="00CF2343"/>
    <w:rsid w:val="00CF6D05"/>
    <w:rsid w:val="00D05B18"/>
    <w:rsid w:val="00D067F3"/>
    <w:rsid w:val="00D06FE4"/>
    <w:rsid w:val="00D244FE"/>
    <w:rsid w:val="00D3033E"/>
    <w:rsid w:val="00D31EDB"/>
    <w:rsid w:val="00D548F6"/>
    <w:rsid w:val="00D5668A"/>
    <w:rsid w:val="00D632EA"/>
    <w:rsid w:val="00D648D1"/>
    <w:rsid w:val="00D82E96"/>
    <w:rsid w:val="00D8753C"/>
    <w:rsid w:val="00DA1A8F"/>
    <w:rsid w:val="00DB0684"/>
    <w:rsid w:val="00DB5BAC"/>
    <w:rsid w:val="00DC005F"/>
    <w:rsid w:val="00DD7766"/>
    <w:rsid w:val="00DE1484"/>
    <w:rsid w:val="00DE1641"/>
    <w:rsid w:val="00DF333B"/>
    <w:rsid w:val="00DF46B7"/>
    <w:rsid w:val="00DF4DBE"/>
    <w:rsid w:val="00DF59BA"/>
    <w:rsid w:val="00E032DE"/>
    <w:rsid w:val="00E12FF9"/>
    <w:rsid w:val="00E13985"/>
    <w:rsid w:val="00E24C09"/>
    <w:rsid w:val="00E260EB"/>
    <w:rsid w:val="00E26902"/>
    <w:rsid w:val="00E2707A"/>
    <w:rsid w:val="00E30264"/>
    <w:rsid w:val="00E32A4E"/>
    <w:rsid w:val="00E363EF"/>
    <w:rsid w:val="00E45E95"/>
    <w:rsid w:val="00E4795D"/>
    <w:rsid w:val="00E50A8C"/>
    <w:rsid w:val="00E51A0E"/>
    <w:rsid w:val="00E543D1"/>
    <w:rsid w:val="00E54A26"/>
    <w:rsid w:val="00E6094B"/>
    <w:rsid w:val="00E60F23"/>
    <w:rsid w:val="00E644EF"/>
    <w:rsid w:val="00E64548"/>
    <w:rsid w:val="00E64F45"/>
    <w:rsid w:val="00E74DC9"/>
    <w:rsid w:val="00E75694"/>
    <w:rsid w:val="00E87BBD"/>
    <w:rsid w:val="00E9137C"/>
    <w:rsid w:val="00E938D5"/>
    <w:rsid w:val="00E94057"/>
    <w:rsid w:val="00E94461"/>
    <w:rsid w:val="00EA0650"/>
    <w:rsid w:val="00EB0600"/>
    <w:rsid w:val="00EB08E6"/>
    <w:rsid w:val="00EB3397"/>
    <w:rsid w:val="00EC2E14"/>
    <w:rsid w:val="00EC5BE2"/>
    <w:rsid w:val="00ED4707"/>
    <w:rsid w:val="00EE1EAE"/>
    <w:rsid w:val="00EE54DF"/>
    <w:rsid w:val="00EE70DD"/>
    <w:rsid w:val="00EF0781"/>
    <w:rsid w:val="00EF12E1"/>
    <w:rsid w:val="00EF38D8"/>
    <w:rsid w:val="00EF4054"/>
    <w:rsid w:val="00F0305A"/>
    <w:rsid w:val="00F107BB"/>
    <w:rsid w:val="00F11A5A"/>
    <w:rsid w:val="00F14F41"/>
    <w:rsid w:val="00F2197B"/>
    <w:rsid w:val="00F22A8C"/>
    <w:rsid w:val="00F23964"/>
    <w:rsid w:val="00F33F79"/>
    <w:rsid w:val="00F40598"/>
    <w:rsid w:val="00F42BC1"/>
    <w:rsid w:val="00F55E35"/>
    <w:rsid w:val="00F56744"/>
    <w:rsid w:val="00F649DF"/>
    <w:rsid w:val="00F669AE"/>
    <w:rsid w:val="00F6780D"/>
    <w:rsid w:val="00F72CA1"/>
    <w:rsid w:val="00F80A64"/>
    <w:rsid w:val="00F822D9"/>
    <w:rsid w:val="00F974B0"/>
    <w:rsid w:val="00FB485A"/>
    <w:rsid w:val="00FB58DC"/>
    <w:rsid w:val="00FB7E7B"/>
    <w:rsid w:val="00FC4ADA"/>
    <w:rsid w:val="00FC5A10"/>
    <w:rsid w:val="00FC7EAE"/>
    <w:rsid w:val="00FD1913"/>
    <w:rsid w:val="00FD6E3F"/>
    <w:rsid w:val="00FE0277"/>
    <w:rsid w:val="00FE5B67"/>
    <w:rsid w:val="00FF57EB"/>
    <w:rsid w:val="014966D0"/>
    <w:rsid w:val="017E7EA4"/>
    <w:rsid w:val="020142DE"/>
    <w:rsid w:val="026516FD"/>
    <w:rsid w:val="026E0829"/>
    <w:rsid w:val="044723E7"/>
    <w:rsid w:val="04891E97"/>
    <w:rsid w:val="049905E2"/>
    <w:rsid w:val="04C004B8"/>
    <w:rsid w:val="04C55832"/>
    <w:rsid w:val="04D217E4"/>
    <w:rsid w:val="04F62418"/>
    <w:rsid w:val="05146C49"/>
    <w:rsid w:val="062203ED"/>
    <w:rsid w:val="066D5E52"/>
    <w:rsid w:val="06CA6C0D"/>
    <w:rsid w:val="07632D4D"/>
    <w:rsid w:val="07C13D4E"/>
    <w:rsid w:val="07E336E4"/>
    <w:rsid w:val="08507E36"/>
    <w:rsid w:val="08D853B3"/>
    <w:rsid w:val="098E1E67"/>
    <w:rsid w:val="09C35C0B"/>
    <w:rsid w:val="09DF6B55"/>
    <w:rsid w:val="0A5937B0"/>
    <w:rsid w:val="0AA539CB"/>
    <w:rsid w:val="0B2306ED"/>
    <w:rsid w:val="0C275FA2"/>
    <w:rsid w:val="0C5D49DD"/>
    <w:rsid w:val="0CE15D9C"/>
    <w:rsid w:val="0D4952A2"/>
    <w:rsid w:val="0E40553A"/>
    <w:rsid w:val="0F234154"/>
    <w:rsid w:val="108A60F3"/>
    <w:rsid w:val="10D51E51"/>
    <w:rsid w:val="10D66AD3"/>
    <w:rsid w:val="113A4678"/>
    <w:rsid w:val="11F12DBB"/>
    <w:rsid w:val="138C2B96"/>
    <w:rsid w:val="138F5CB3"/>
    <w:rsid w:val="142F3E4F"/>
    <w:rsid w:val="149776F9"/>
    <w:rsid w:val="14A54DE3"/>
    <w:rsid w:val="14B62025"/>
    <w:rsid w:val="14EB7F1F"/>
    <w:rsid w:val="14F857A6"/>
    <w:rsid w:val="15EB5344"/>
    <w:rsid w:val="16527CDA"/>
    <w:rsid w:val="167123B9"/>
    <w:rsid w:val="16F76BC8"/>
    <w:rsid w:val="17464CC6"/>
    <w:rsid w:val="175E0A2E"/>
    <w:rsid w:val="17D132DC"/>
    <w:rsid w:val="17ED3523"/>
    <w:rsid w:val="186A0E71"/>
    <w:rsid w:val="18B577D6"/>
    <w:rsid w:val="192637AF"/>
    <w:rsid w:val="19F22DEC"/>
    <w:rsid w:val="1A045802"/>
    <w:rsid w:val="1A556617"/>
    <w:rsid w:val="1C6C45A8"/>
    <w:rsid w:val="1CA87FD6"/>
    <w:rsid w:val="1D0A569C"/>
    <w:rsid w:val="1D555DA0"/>
    <w:rsid w:val="1DD82872"/>
    <w:rsid w:val="1F5F27BB"/>
    <w:rsid w:val="1FBE0F3C"/>
    <w:rsid w:val="206656A6"/>
    <w:rsid w:val="20D70E3A"/>
    <w:rsid w:val="22114006"/>
    <w:rsid w:val="22234CBE"/>
    <w:rsid w:val="22781D41"/>
    <w:rsid w:val="22940509"/>
    <w:rsid w:val="22BD3CBF"/>
    <w:rsid w:val="23831175"/>
    <w:rsid w:val="23C647EA"/>
    <w:rsid w:val="248A23CB"/>
    <w:rsid w:val="251D09E1"/>
    <w:rsid w:val="254979D2"/>
    <w:rsid w:val="25E360F7"/>
    <w:rsid w:val="26830C0F"/>
    <w:rsid w:val="26AA6310"/>
    <w:rsid w:val="26BE6C5A"/>
    <w:rsid w:val="27226AE3"/>
    <w:rsid w:val="2756757B"/>
    <w:rsid w:val="27A26B51"/>
    <w:rsid w:val="2833729C"/>
    <w:rsid w:val="28CF3207"/>
    <w:rsid w:val="29513B19"/>
    <w:rsid w:val="2A1E4031"/>
    <w:rsid w:val="2A34579A"/>
    <w:rsid w:val="2A830717"/>
    <w:rsid w:val="2AE71D4D"/>
    <w:rsid w:val="2B0B39F7"/>
    <w:rsid w:val="2CEE7235"/>
    <w:rsid w:val="2D2040D9"/>
    <w:rsid w:val="2D8E1C55"/>
    <w:rsid w:val="2E877B59"/>
    <w:rsid w:val="2EC47ACD"/>
    <w:rsid w:val="2EED2029"/>
    <w:rsid w:val="2FBE7D80"/>
    <w:rsid w:val="3035731B"/>
    <w:rsid w:val="31B21C92"/>
    <w:rsid w:val="33422CF3"/>
    <w:rsid w:val="3362233B"/>
    <w:rsid w:val="33657962"/>
    <w:rsid w:val="33C67DFF"/>
    <w:rsid w:val="34214A20"/>
    <w:rsid w:val="34862B17"/>
    <w:rsid w:val="34A24FB5"/>
    <w:rsid w:val="360315A2"/>
    <w:rsid w:val="3664571F"/>
    <w:rsid w:val="370F485B"/>
    <w:rsid w:val="37322D42"/>
    <w:rsid w:val="373E7083"/>
    <w:rsid w:val="374320EE"/>
    <w:rsid w:val="377E3131"/>
    <w:rsid w:val="37E560D2"/>
    <w:rsid w:val="387F457B"/>
    <w:rsid w:val="38ED0F47"/>
    <w:rsid w:val="38F95ED5"/>
    <w:rsid w:val="39FF574C"/>
    <w:rsid w:val="3A201F0A"/>
    <w:rsid w:val="3AB64584"/>
    <w:rsid w:val="3B45600A"/>
    <w:rsid w:val="3B830176"/>
    <w:rsid w:val="3BAE7C45"/>
    <w:rsid w:val="3C727D98"/>
    <w:rsid w:val="3D1262BF"/>
    <w:rsid w:val="3E976D2B"/>
    <w:rsid w:val="3EC3428C"/>
    <w:rsid w:val="3EE20F7A"/>
    <w:rsid w:val="3FC07C67"/>
    <w:rsid w:val="3FF370CA"/>
    <w:rsid w:val="401F0E5D"/>
    <w:rsid w:val="409D27F0"/>
    <w:rsid w:val="414D2C45"/>
    <w:rsid w:val="41A564E4"/>
    <w:rsid w:val="41C84DFD"/>
    <w:rsid w:val="423D741A"/>
    <w:rsid w:val="42C86732"/>
    <w:rsid w:val="43952CA5"/>
    <w:rsid w:val="43F854A8"/>
    <w:rsid w:val="44B31512"/>
    <w:rsid w:val="452A7A7E"/>
    <w:rsid w:val="4536649F"/>
    <w:rsid w:val="455D380A"/>
    <w:rsid w:val="46B02BF6"/>
    <w:rsid w:val="46BE7367"/>
    <w:rsid w:val="46C86808"/>
    <w:rsid w:val="48827BBD"/>
    <w:rsid w:val="49292DB3"/>
    <w:rsid w:val="494C0EF8"/>
    <w:rsid w:val="49905A7D"/>
    <w:rsid w:val="49A53E2C"/>
    <w:rsid w:val="4ADB5ED9"/>
    <w:rsid w:val="4AEE59BB"/>
    <w:rsid w:val="4BCF345F"/>
    <w:rsid w:val="4BE147CB"/>
    <w:rsid w:val="4C306C99"/>
    <w:rsid w:val="4C9B3F9B"/>
    <w:rsid w:val="4DCF48E9"/>
    <w:rsid w:val="4DF23F0E"/>
    <w:rsid w:val="4EFD7316"/>
    <w:rsid w:val="4F431A25"/>
    <w:rsid w:val="50AC65DD"/>
    <w:rsid w:val="51167288"/>
    <w:rsid w:val="51360334"/>
    <w:rsid w:val="53171A7E"/>
    <w:rsid w:val="534C2C59"/>
    <w:rsid w:val="546F1D08"/>
    <w:rsid w:val="54DF2CBC"/>
    <w:rsid w:val="55F30451"/>
    <w:rsid w:val="55FF299E"/>
    <w:rsid w:val="5602166E"/>
    <w:rsid w:val="561A06AD"/>
    <w:rsid w:val="56606BC1"/>
    <w:rsid w:val="56DB1103"/>
    <w:rsid w:val="58020334"/>
    <w:rsid w:val="59BF539F"/>
    <w:rsid w:val="5D3A0A6E"/>
    <w:rsid w:val="5D4B318C"/>
    <w:rsid w:val="5D8A5832"/>
    <w:rsid w:val="5DC4102E"/>
    <w:rsid w:val="5DD66AB7"/>
    <w:rsid w:val="5FAE0D2A"/>
    <w:rsid w:val="5FD4196C"/>
    <w:rsid w:val="5FE479D0"/>
    <w:rsid w:val="5FF55878"/>
    <w:rsid w:val="60180CBE"/>
    <w:rsid w:val="60A34058"/>
    <w:rsid w:val="60A947AC"/>
    <w:rsid w:val="60EB65A0"/>
    <w:rsid w:val="61BF5777"/>
    <w:rsid w:val="622462F2"/>
    <w:rsid w:val="6314438B"/>
    <w:rsid w:val="63485111"/>
    <w:rsid w:val="63E07CDA"/>
    <w:rsid w:val="64C47AB5"/>
    <w:rsid w:val="64D330A2"/>
    <w:rsid w:val="64E401DF"/>
    <w:rsid w:val="65631FDB"/>
    <w:rsid w:val="65673876"/>
    <w:rsid w:val="656D1735"/>
    <w:rsid w:val="65E31557"/>
    <w:rsid w:val="66A50140"/>
    <w:rsid w:val="66F55332"/>
    <w:rsid w:val="691B691A"/>
    <w:rsid w:val="69A632E1"/>
    <w:rsid w:val="69FC0EB9"/>
    <w:rsid w:val="6A294663"/>
    <w:rsid w:val="6A7B48A8"/>
    <w:rsid w:val="6AA97B7F"/>
    <w:rsid w:val="6AC215F4"/>
    <w:rsid w:val="6BCF6DB0"/>
    <w:rsid w:val="6C200836"/>
    <w:rsid w:val="6C413289"/>
    <w:rsid w:val="6D6A5F32"/>
    <w:rsid w:val="6D6C1DFC"/>
    <w:rsid w:val="6D815083"/>
    <w:rsid w:val="6E6311A6"/>
    <w:rsid w:val="6F233E0E"/>
    <w:rsid w:val="6FF63029"/>
    <w:rsid w:val="70344BEE"/>
    <w:rsid w:val="704222A5"/>
    <w:rsid w:val="70D700D1"/>
    <w:rsid w:val="714917DD"/>
    <w:rsid w:val="71937B77"/>
    <w:rsid w:val="725F1946"/>
    <w:rsid w:val="73006A29"/>
    <w:rsid w:val="73557F50"/>
    <w:rsid w:val="737C441D"/>
    <w:rsid w:val="743D7C34"/>
    <w:rsid w:val="748351F4"/>
    <w:rsid w:val="74CB0E44"/>
    <w:rsid w:val="7505116F"/>
    <w:rsid w:val="752B5A60"/>
    <w:rsid w:val="759D536E"/>
    <w:rsid w:val="75E8607B"/>
    <w:rsid w:val="75EA0672"/>
    <w:rsid w:val="75F64300"/>
    <w:rsid w:val="77692ADA"/>
    <w:rsid w:val="77863D5A"/>
    <w:rsid w:val="77A251CB"/>
    <w:rsid w:val="77C67DE8"/>
    <w:rsid w:val="7823613C"/>
    <w:rsid w:val="78E02C45"/>
    <w:rsid w:val="7A434C6E"/>
    <w:rsid w:val="7C811D8A"/>
    <w:rsid w:val="7C8828ED"/>
    <w:rsid w:val="7D76234B"/>
    <w:rsid w:val="7DDE1CBC"/>
    <w:rsid w:val="7E1E2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99"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ind w:firstLine="640" w:firstLineChars="200"/>
    </w:pPr>
    <w:rPr>
      <w:rFonts w:ascii="Times New Roman" w:hAnsi="Times New Roman" w:eastAsia="仿宋_GB2312" w:cstheme="minorBidi"/>
      <w:kern w:val="2"/>
      <w:sz w:val="32"/>
      <w:szCs w:val="32"/>
      <w:lang w:val="en-US" w:eastAsia="zh-CN" w:bidi="ar-SA"/>
    </w:rPr>
  </w:style>
  <w:style w:type="paragraph" w:styleId="2">
    <w:name w:val="heading 1"/>
    <w:basedOn w:val="1"/>
    <w:next w:val="1"/>
    <w:qFormat/>
    <w:uiPriority w:val="0"/>
    <w:pPr>
      <w:keepNext/>
      <w:keepLines/>
      <w:spacing w:line="576" w:lineRule="exact"/>
      <w:jc w:val="center"/>
      <w:outlineLvl w:val="0"/>
    </w:pPr>
    <w:rPr>
      <w:rFonts w:eastAsia="方正小标宋简体" w:asciiTheme="minorHAnsi" w:hAnsiTheme="minorHAnsi"/>
      <w:kern w:val="44"/>
    </w:rPr>
  </w:style>
  <w:style w:type="paragraph" w:styleId="3">
    <w:name w:val="heading 2"/>
    <w:basedOn w:val="1"/>
    <w:next w:val="1"/>
    <w:unhideWhenUsed/>
    <w:qFormat/>
    <w:uiPriority w:val="0"/>
    <w:pPr>
      <w:keepNext/>
      <w:keepLines/>
      <w:spacing w:line="576" w:lineRule="exact"/>
      <w:outlineLvl w:val="1"/>
    </w:pPr>
    <w:rPr>
      <w:rFonts w:eastAsia="黑体"/>
    </w:rPr>
  </w:style>
  <w:style w:type="paragraph" w:styleId="4">
    <w:name w:val="heading 3"/>
    <w:basedOn w:val="1"/>
    <w:next w:val="1"/>
    <w:unhideWhenUsed/>
    <w:qFormat/>
    <w:uiPriority w:val="0"/>
    <w:pPr>
      <w:keepNext/>
      <w:keepLines/>
      <w:spacing w:line="576" w:lineRule="exact"/>
      <w:ind w:firstLine="643"/>
      <w:outlineLvl w:val="2"/>
    </w:pPr>
    <w:rPr>
      <w:rFonts w:eastAsia="楷体_GB2312" w:cs="仿宋_GB2312"/>
      <w:bCs/>
      <w14:ligatures w14:val="standardContextual"/>
    </w:rPr>
  </w:style>
  <w:style w:type="character" w:default="1" w:styleId="15">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subject"/>
    <w:basedOn w:val="6"/>
    <w:next w:val="6"/>
    <w:link w:val="28"/>
    <w:semiHidden/>
    <w:unhideWhenUsed/>
    <w:qFormat/>
    <w:uiPriority w:val="0"/>
    <w:rPr>
      <w:b/>
      <w:bCs/>
    </w:rPr>
  </w:style>
  <w:style w:type="paragraph" w:styleId="6">
    <w:name w:val="annotation text"/>
    <w:basedOn w:val="1"/>
    <w:link w:val="27"/>
    <w:semiHidden/>
    <w:unhideWhenUsed/>
    <w:qFormat/>
    <w:uiPriority w:val="0"/>
  </w:style>
  <w:style w:type="paragraph" w:styleId="7">
    <w:name w:val="Normal Indent"/>
    <w:basedOn w:val="1"/>
    <w:qFormat/>
    <w:uiPriority w:val="0"/>
    <w:pPr>
      <w:spacing w:line="560" w:lineRule="exact"/>
      <w:ind w:firstLine="420"/>
    </w:pPr>
    <w:rPr>
      <w:rFonts w:eastAsia="方正仿宋_GBK"/>
    </w:rPr>
  </w:style>
  <w:style w:type="paragraph" w:styleId="8">
    <w:name w:val="Body Text Indent"/>
    <w:basedOn w:val="1"/>
    <w:semiHidden/>
    <w:unhideWhenUsed/>
    <w:qFormat/>
    <w:uiPriority w:val="99"/>
    <w:pPr>
      <w:spacing w:after="120"/>
      <w:ind w:left="420" w:leftChars="200"/>
    </w:pPr>
  </w:style>
  <w:style w:type="paragraph" w:styleId="9">
    <w:name w:val="Balloon Text"/>
    <w:basedOn w:val="1"/>
    <w:link w:val="26"/>
    <w:qFormat/>
    <w:uiPriority w:val="0"/>
    <w:pPr>
      <w:spacing w:line="240" w:lineRule="auto"/>
    </w:pPr>
    <w:rPr>
      <w:sz w:val="18"/>
      <w:szCs w:val="18"/>
    </w:rPr>
  </w:style>
  <w:style w:type="paragraph" w:styleId="10">
    <w:name w:val="footer"/>
    <w:basedOn w:val="1"/>
    <w:link w:val="22"/>
    <w:qFormat/>
    <w:uiPriority w:val="0"/>
    <w:pPr>
      <w:tabs>
        <w:tab w:val="center" w:pos="4153"/>
        <w:tab w:val="right" w:pos="8306"/>
      </w:tabs>
      <w:snapToGrid w:val="0"/>
      <w:ind w:firstLine="0" w:firstLineChars="0"/>
    </w:pPr>
    <w:rPr>
      <w:sz w:val="24"/>
      <w:szCs w:val="18"/>
    </w:rPr>
  </w:style>
  <w:style w:type="paragraph" w:styleId="11">
    <w:name w:val="Body Text First Indent 2"/>
    <w:basedOn w:val="8"/>
    <w:semiHidden/>
    <w:unhideWhenUsed/>
    <w:qFormat/>
    <w:uiPriority w:val="99"/>
    <w:pPr>
      <w:ind w:firstLine="420"/>
    </w:p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ind w:firstLine="0" w:firstLineChars="0"/>
    </w:pPr>
  </w:style>
  <w:style w:type="paragraph" w:styleId="14">
    <w:name w:val="toc 2"/>
    <w:basedOn w:val="13"/>
    <w:next w:val="1"/>
    <w:qFormat/>
    <w:uiPriority w:val="0"/>
    <w:pPr>
      <w:ind w:left="420" w:leftChars="200"/>
    </w:pPr>
    <w:rPr>
      <w:rFonts w:eastAsia="楷体_GB2312"/>
    </w:rPr>
  </w:style>
  <w:style w:type="character" w:styleId="16">
    <w:name w:val="Strong"/>
    <w:qFormat/>
    <w:uiPriority w:val="0"/>
    <w:rPr>
      <w:b/>
    </w:rPr>
  </w:style>
  <w:style w:type="character" w:styleId="17">
    <w:name w:val="annotation reference"/>
    <w:basedOn w:val="15"/>
    <w:semiHidden/>
    <w:unhideWhenUsed/>
    <w:qFormat/>
    <w:uiPriority w:val="0"/>
    <w:rPr>
      <w:sz w:val="21"/>
      <w:szCs w:val="21"/>
    </w:rPr>
  </w:style>
  <w:style w:type="table" w:styleId="19">
    <w:name w:val="Table Grid"/>
    <w:qFormat/>
    <w:uiPriority w:val="59"/>
    <w:rPr>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style>
  <w:style w:type="paragraph" w:customStyle="1" w:styleId="20">
    <w:name w:val="报告标题"/>
    <w:basedOn w:val="1"/>
    <w:qFormat/>
    <w:uiPriority w:val="0"/>
    <w:pPr>
      <w:ind w:firstLine="0" w:firstLineChars="0"/>
      <w:jc w:val="center"/>
    </w:pPr>
    <w:rPr>
      <w:rFonts w:eastAsia="方正小标宋简体"/>
      <w:sz w:val="44"/>
    </w:rPr>
  </w:style>
  <w:style w:type="character" w:customStyle="1" w:styleId="21">
    <w:name w:val="页眉 Char"/>
    <w:basedOn w:val="15"/>
    <w:link w:val="12"/>
    <w:qFormat/>
    <w:uiPriority w:val="0"/>
    <w:rPr>
      <w:rFonts w:asciiTheme="minorHAnsi" w:hAnsiTheme="minorHAnsi" w:eastAsiaTheme="minorEastAsia" w:cstheme="minorBidi"/>
      <w:kern w:val="2"/>
      <w:sz w:val="18"/>
      <w:szCs w:val="18"/>
    </w:rPr>
  </w:style>
  <w:style w:type="character" w:customStyle="1" w:styleId="22">
    <w:name w:val="页脚 Char"/>
    <w:basedOn w:val="15"/>
    <w:link w:val="10"/>
    <w:qFormat/>
    <w:uiPriority w:val="0"/>
    <w:rPr>
      <w:rFonts w:ascii="Times New Roman" w:hAnsi="Times New Roman" w:eastAsia="仿宋_GB2312" w:cstheme="minorBidi"/>
      <w:kern w:val="2"/>
      <w:sz w:val="24"/>
      <w:szCs w:val="18"/>
    </w:rPr>
  </w:style>
  <w:style w:type="paragraph" w:styleId="23">
    <w:name w:val="List Paragraph"/>
    <w:basedOn w:val="1"/>
    <w:unhideWhenUsed/>
    <w:qFormat/>
    <w:uiPriority w:val="99"/>
    <w:pPr>
      <w:ind w:firstLine="420"/>
    </w:p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6">
    <w:name w:val="批注框文本 Char"/>
    <w:basedOn w:val="15"/>
    <w:link w:val="9"/>
    <w:qFormat/>
    <w:uiPriority w:val="0"/>
    <w:rPr>
      <w:rFonts w:eastAsia="仿宋_GB2312" w:cstheme="minorBidi"/>
      <w:kern w:val="2"/>
      <w:sz w:val="18"/>
      <w:szCs w:val="18"/>
    </w:rPr>
  </w:style>
  <w:style w:type="character" w:customStyle="1" w:styleId="27">
    <w:name w:val="批注文字 Char"/>
    <w:basedOn w:val="15"/>
    <w:link w:val="6"/>
    <w:semiHidden/>
    <w:qFormat/>
    <w:uiPriority w:val="0"/>
    <w:rPr>
      <w:rFonts w:eastAsia="仿宋_GB2312" w:cstheme="minorBidi"/>
      <w:kern w:val="2"/>
      <w:sz w:val="32"/>
      <w:szCs w:val="32"/>
    </w:rPr>
  </w:style>
  <w:style w:type="character" w:customStyle="1" w:styleId="28">
    <w:name w:val="批注主题 Char"/>
    <w:basedOn w:val="27"/>
    <w:link w:val="5"/>
    <w:semiHidden/>
    <w:qFormat/>
    <w:uiPriority w:val="0"/>
    <w:rPr>
      <w:rFonts w:eastAsia="仿宋_GB2312" w:cstheme="min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898f701-3e76-4529-ab85-80db6c3a4d5b}"/>
        <w:style w:val=""/>
        <w:category>
          <w:name w:val="常规"/>
          <w:gallery w:val="placeholder"/>
        </w:category>
        <w:types>
          <w:type w:val="bbPlcHdr"/>
        </w:types>
        <w:behaviors>
          <w:behavior w:val="content"/>
        </w:behaviors>
        <w:description w:val=""/>
        <w:guid w:val="{1898f701-3e76-4529-ab85-80db6c3a4d5b}"/>
      </w:docPartPr>
      <w:docPartBody>
        <w:p>
          <w:r>
            <w:rPr>
              <w:color w:val="808080"/>
            </w:rPr>
            <w:t>单击此处输入文字。</w:t>
          </w:r>
        </w:p>
      </w:docPartBody>
    </w:docPart>
    <w:docPart>
      <w:docPartPr>
        <w:name w:val="{6fb4d291-792a-415f-80c5-4ffbb02b60ec}"/>
        <w:style w:val=""/>
        <w:category>
          <w:name w:val="常规"/>
          <w:gallery w:val="placeholder"/>
        </w:category>
        <w:types>
          <w:type w:val="bbPlcHdr"/>
        </w:types>
        <w:behaviors>
          <w:behavior w:val="content"/>
        </w:behaviors>
        <w:description w:val=""/>
        <w:guid w:val="{6fb4d291-792a-415f-80c5-4ffbb02b60ec}"/>
      </w:docPartPr>
      <w:docPartBody>
        <w:p>
          <w:r>
            <w:rPr>
              <w:color w:val="808080"/>
            </w:rPr>
            <w:t>单击此处输入文字。</w:t>
          </w:r>
        </w:p>
      </w:docPartBody>
    </w:docPart>
    <w:docPart>
      <w:docPartPr>
        <w:name w:val="{8e63e205-8cee-449a-a04d-f6e5fb444c45}"/>
        <w:style w:val=""/>
        <w:category>
          <w:name w:val="常规"/>
          <w:gallery w:val="placeholder"/>
        </w:category>
        <w:types>
          <w:type w:val="bbPlcHdr"/>
        </w:types>
        <w:behaviors>
          <w:behavior w:val="content"/>
        </w:behaviors>
        <w:description w:val=""/>
        <w:guid w:val="{8e63e205-8cee-449a-a04d-f6e5fb444c45}"/>
      </w:docPartPr>
      <w:docPartBody>
        <w:p>
          <w:r>
            <w:rPr>
              <w:color w:val="808080"/>
            </w:rPr>
            <w:t>单击此处输入文字。</w:t>
          </w:r>
        </w:p>
      </w:docPartBody>
    </w:docPart>
    <w:docPart>
      <w:docPartPr>
        <w:name w:val="{beaed631-89c6-4180-93b2-c73a8c01865a}"/>
        <w:style w:val=""/>
        <w:category>
          <w:name w:val="常规"/>
          <w:gallery w:val="placeholder"/>
        </w:category>
        <w:types>
          <w:type w:val="bbPlcHdr"/>
        </w:types>
        <w:behaviors>
          <w:behavior w:val="content"/>
        </w:behaviors>
        <w:description w:val=""/>
        <w:guid w:val="{beaed631-89c6-4180-93b2-c73a8c01865a}"/>
      </w:docPartPr>
      <w:docPartBody>
        <w:p>
          <w:r>
            <w:rPr>
              <w:color w:val="808080"/>
            </w:rPr>
            <w:t>单击此处输入文字。</w:t>
          </w:r>
        </w:p>
      </w:docPartBody>
    </w:docPart>
    <w:docPart>
      <w:docPartPr>
        <w:name w:val="{80567356-42c7-4c6f-aae7-ec5d5f3abe78}"/>
        <w:style w:val=""/>
        <w:category>
          <w:name w:val="常规"/>
          <w:gallery w:val="placeholder"/>
        </w:category>
        <w:types>
          <w:type w:val="bbPlcHdr"/>
        </w:types>
        <w:behaviors>
          <w:behavior w:val="content"/>
        </w:behaviors>
        <w:description w:val=""/>
        <w:guid w:val="{80567356-42c7-4c6f-aae7-ec5d5f3abe78}"/>
      </w:docPartPr>
      <w:docPartBody>
        <w:p>
          <w:r>
            <w:rPr>
              <w:color w:val="808080"/>
            </w:rPr>
            <w:t>单击此处输入文字。</w:t>
          </w:r>
        </w:p>
      </w:docPartBody>
    </w:docPart>
    <w:docPart>
      <w:docPartPr>
        <w:name w:val="{ad081361-20ef-43df-a89e-2ea4c0d92c85}"/>
        <w:style w:val=""/>
        <w:category>
          <w:name w:val="常规"/>
          <w:gallery w:val="placeholder"/>
        </w:category>
        <w:types>
          <w:type w:val="bbPlcHdr"/>
        </w:types>
        <w:behaviors>
          <w:behavior w:val="content"/>
        </w:behaviors>
        <w:description w:val=""/>
        <w:guid w:val="{ad081361-20ef-43df-a89e-2ea4c0d92c85}"/>
      </w:docPartPr>
      <w:docPartBody>
        <w:p>
          <w:r>
            <w:rPr>
              <w:color w:val="808080"/>
            </w:rPr>
            <w:t>单击此处输入文字。</w:t>
          </w:r>
        </w:p>
      </w:docPartBody>
    </w:docPart>
    <w:docPart>
      <w:docPartPr>
        <w:name w:val="{0a5879cf-092d-412f-9540-afe9f424dd57}"/>
        <w:style w:val=""/>
        <w:category>
          <w:name w:val="常规"/>
          <w:gallery w:val="placeholder"/>
        </w:category>
        <w:types>
          <w:type w:val="bbPlcHdr"/>
        </w:types>
        <w:behaviors>
          <w:behavior w:val="content"/>
        </w:behaviors>
        <w:description w:val=""/>
        <w:guid w:val="{0a5879cf-092d-412f-9540-afe9f424dd57}"/>
      </w:docPartPr>
      <w:docPartBody>
        <w:p>
          <w:r>
            <w:rPr>
              <w:color w:val="808080"/>
            </w:rPr>
            <w:t>单击此处输入文字。</w:t>
          </w:r>
        </w:p>
      </w:docPartBody>
    </w:docPart>
    <w:docPart>
      <w:docPartPr>
        <w:name w:val="{5f436585-730d-487c-908d-6e39f29befac}"/>
        <w:style w:val=""/>
        <w:category>
          <w:name w:val="常规"/>
          <w:gallery w:val="placeholder"/>
        </w:category>
        <w:types>
          <w:type w:val="bbPlcHdr"/>
        </w:types>
        <w:behaviors>
          <w:behavior w:val="content"/>
        </w:behaviors>
        <w:description w:val=""/>
        <w:guid w:val="{5f436585-730d-487c-908d-6e39f29befac}"/>
      </w:docPartPr>
      <w:docPartBody>
        <w:p>
          <w:r>
            <w:rPr>
              <w:color w:val="808080"/>
            </w:rPr>
            <w:t>单击此处输入文字。</w:t>
          </w:r>
        </w:p>
      </w:docPartBody>
    </w:docPart>
    <w:docPart>
      <w:docPartPr>
        <w:name w:val="{a9e041c3-d360-4e27-8f69-5fb9466f360e}"/>
        <w:style w:val=""/>
        <w:category>
          <w:name w:val="常规"/>
          <w:gallery w:val="placeholder"/>
        </w:category>
        <w:types>
          <w:type w:val="bbPlcHdr"/>
        </w:types>
        <w:behaviors>
          <w:behavior w:val="content"/>
        </w:behaviors>
        <w:description w:val=""/>
        <w:guid w:val="{a9e041c3-d360-4e27-8f69-5fb9466f360e}"/>
      </w:docPartPr>
      <w:docPartBody>
        <w:p>
          <w:r>
            <w:rPr>
              <w:color w:val="808080"/>
            </w:rPr>
            <w:t>单击此处输入文字。</w:t>
          </w:r>
        </w:p>
      </w:docPartBody>
    </w:docPart>
    <w:docPart>
      <w:docPartPr>
        <w:name w:val="{85c1145e-bde0-4fd7-8816-0ee22871f3b0}"/>
        <w:style w:val=""/>
        <w:category>
          <w:name w:val="常规"/>
          <w:gallery w:val="placeholder"/>
        </w:category>
        <w:types>
          <w:type w:val="bbPlcHdr"/>
        </w:types>
        <w:behaviors>
          <w:behavior w:val="content"/>
        </w:behaviors>
        <w:description w:val=""/>
        <w:guid w:val="{85c1145e-bde0-4fd7-8816-0ee22871f3b0}"/>
      </w:docPartPr>
      <w:docPartBody>
        <w:p>
          <w:r>
            <w:rPr>
              <w:color w:val="808080"/>
            </w:rPr>
            <w:t>单击此处输入文字。</w:t>
          </w:r>
        </w:p>
      </w:docPartBody>
    </w:docPart>
    <w:docPart>
      <w:docPartPr>
        <w:name w:val="{2cc3dce5-9176-4680-a480-5504373b31b4}"/>
        <w:style w:val=""/>
        <w:category>
          <w:name w:val="常规"/>
          <w:gallery w:val="placeholder"/>
        </w:category>
        <w:types>
          <w:type w:val="bbPlcHdr"/>
        </w:types>
        <w:behaviors>
          <w:behavior w:val="content"/>
        </w:behaviors>
        <w:description w:val=""/>
        <w:guid w:val="{2cc3dce5-9176-4680-a480-5504373b31b4}"/>
      </w:docPartPr>
      <w:docPartBody>
        <w:p>
          <w:r>
            <w:rPr>
              <w:color w:val="808080"/>
            </w:rPr>
            <w:t>单击此处输入文字。</w:t>
          </w:r>
        </w:p>
      </w:docPartBody>
    </w:docPart>
    <w:docPart>
      <w:docPartPr>
        <w:name w:val="{0201c730-1e44-46c4-82a6-3a10761c6ba0}"/>
        <w:style w:val=""/>
        <w:category>
          <w:name w:val="常规"/>
          <w:gallery w:val="placeholder"/>
        </w:category>
        <w:types>
          <w:type w:val="bbPlcHdr"/>
        </w:types>
        <w:behaviors>
          <w:behavior w:val="content"/>
        </w:behaviors>
        <w:description w:val=""/>
        <w:guid w:val="{0201c730-1e44-46c4-82a6-3a10761c6ba0}"/>
      </w:docPartPr>
      <w:docPartBody>
        <w:p>
          <w:r>
            <w:rPr>
              <w:color w:val="808080"/>
            </w:rPr>
            <w:t>单击此处输入文字。</w:t>
          </w:r>
        </w:p>
      </w:docPartBody>
    </w:docPart>
    <w:docPart>
      <w:docPartPr>
        <w:name w:val="{8502a8cd-5ba7-43ca-9244-dd7cbaccb109}"/>
        <w:style w:val=""/>
        <w:category>
          <w:name w:val="常规"/>
          <w:gallery w:val="placeholder"/>
        </w:category>
        <w:types>
          <w:type w:val="bbPlcHdr"/>
        </w:types>
        <w:behaviors>
          <w:behavior w:val="content"/>
        </w:behaviors>
        <w:description w:val=""/>
        <w:guid w:val="{8502a8cd-5ba7-43ca-9244-dd7cbaccb109}"/>
      </w:docPartPr>
      <w:docPartBody>
        <w:p>
          <w:r>
            <w:rPr>
              <w:color w:val="808080"/>
            </w:rPr>
            <w:t>单击此处输入文字。</w:t>
          </w:r>
        </w:p>
      </w:docPartBody>
    </w:docPart>
    <w:docPart>
      <w:docPartPr>
        <w:name w:val="{94cc49f5-8765-44b3-873a-5b8b205a43ba}"/>
        <w:style w:val=""/>
        <w:category>
          <w:name w:val="常规"/>
          <w:gallery w:val="placeholder"/>
        </w:category>
        <w:types>
          <w:type w:val="bbPlcHdr"/>
        </w:types>
        <w:behaviors>
          <w:behavior w:val="content"/>
        </w:behaviors>
        <w:description w:val=""/>
        <w:guid w:val="{94cc49f5-8765-44b3-873a-5b8b205a43ba}"/>
      </w:docPartPr>
      <w:docPartBody>
        <w:p>
          <w:r>
            <w:rPr>
              <w:color w:val="808080"/>
            </w:rPr>
            <w:t>单击此处输入文字。</w:t>
          </w:r>
        </w:p>
      </w:docPartBody>
    </w:docPart>
    <w:docPart>
      <w:docPartPr>
        <w:name w:val="{1193ca9e-d3e5-4962-a448-93a658676bbe}"/>
        <w:style w:val=""/>
        <w:category>
          <w:name w:val="常规"/>
          <w:gallery w:val="placeholder"/>
        </w:category>
        <w:types>
          <w:type w:val="bbPlcHdr"/>
        </w:types>
        <w:behaviors>
          <w:behavior w:val="content"/>
        </w:behaviors>
        <w:description w:val=""/>
        <w:guid w:val="{1193ca9e-d3e5-4962-a448-93a658676bbe}"/>
      </w:docPartPr>
      <w:docPartBody>
        <w:p>
          <w:r>
            <w:rPr>
              <w:color w:val="808080"/>
            </w:rPr>
            <w:t>单击此处输入文字。</w:t>
          </w:r>
        </w:p>
      </w:docPartBody>
    </w:docPart>
    <w:docPart>
      <w:docPartPr>
        <w:name w:val="{161d6812-ead0-4e89-a6cd-efd57b21b2ac}"/>
        <w:style w:val=""/>
        <w:category>
          <w:name w:val="常规"/>
          <w:gallery w:val="placeholder"/>
        </w:category>
        <w:types>
          <w:type w:val="bbPlcHdr"/>
        </w:types>
        <w:behaviors>
          <w:behavior w:val="content"/>
        </w:behaviors>
        <w:description w:val=""/>
        <w:guid w:val="{161d6812-ead0-4e89-a6cd-efd57b21b2ac}"/>
      </w:docPartPr>
      <w:docPartBody>
        <w:p>
          <w:r>
            <w:rPr>
              <w:color w:val="808080"/>
            </w:rPr>
            <w:t>单击此处输入文字。</w:t>
          </w:r>
        </w:p>
      </w:docPartBody>
    </w:docPart>
    <w:docPart>
      <w:docPartPr>
        <w:name w:val="{66bcd8d5-3b76-4a45-bac5-5d74a1899a6a}"/>
        <w:style w:val=""/>
        <w:category>
          <w:name w:val="常规"/>
          <w:gallery w:val="placeholder"/>
        </w:category>
        <w:types>
          <w:type w:val="bbPlcHdr"/>
        </w:types>
        <w:behaviors>
          <w:behavior w:val="content"/>
        </w:behaviors>
        <w:description w:val=""/>
        <w:guid w:val="{66bcd8d5-3b76-4a45-bac5-5d74a1899a6a}"/>
      </w:docPartPr>
      <w:docPartBody>
        <w:p>
          <w:r>
            <w:rPr>
              <w:color w:val="808080"/>
            </w:rPr>
            <w:t>单击此处输入文字。</w:t>
          </w:r>
        </w:p>
      </w:docPartBody>
    </w:docPart>
    <w:docPart>
      <w:docPartPr>
        <w:name w:val="{00dd16ba-0542-476b-a477-3c6915713ca3}"/>
        <w:style w:val=""/>
        <w:category>
          <w:name w:val="常规"/>
          <w:gallery w:val="placeholder"/>
        </w:category>
        <w:types>
          <w:type w:val="bbPlcHdr"/>
        </w:types>
        <w:behaviors>
          <w:behavior w:val="content"/>
        </w:behaviors>
        <w:description w:val=""/>
        <w:guid w:val="{00dd16ba-0542-476b-a477-3c6915713ca3}"/>
      </w:docPartPr>
      <w:docPartBody>
        <w:p>
          <w:r>
            <w:rPr>
              <w:color w:val="808080"/>
            </w:rPr>
            <w:t>单击此处输入文字。</w:t>
          </w:r>
        </w:p>
      </w:docPartBody>
    </w:docPart>
    <w:docPart>
      <w:docPartPr>
        <w:name w:val="{c22fb084-a779-492e-bb93-e9fedcc032e2}"/>
        <w:style w:val=""/>
        <w:category>
          <w:name w:val="常规"/>
          <w:gallery w:val="placeholder"/>
        </w:category>
        <w:types>
          <w:type w:val="bbPlcHdr"/>
        </w:types>
        <w:behaviors>
          <w:behavior w:val="content"/>
        </w:behaviors>
        <w:description w:val=""/>
        <w:guid w:val="{c22fb084-a779-492e-bb93-e9fedcc032e2}"/>
      </w:docPartPr>
      <w:docPartBody>
        <w:p>
          <w:r>
            <w:rPr>
              <w:color w:val="808080"/>
            </w:rPr>
            <w:t>单击此处输入文字。</w:t>
          </w:r>
        </w:p>
      </w:docPartBody>
    </w:docPart>
    <w:docPart>
      <w:docPartPr>
        <w:name w:val="{073e2bf9-e75e-4bc1-97cd-e889418b77c2}"/>
        <w:style w:val=""/>
        <w:category>
          <w:name w:val="常规"/>
          <w:gallery w:val="placeholder"/>
        </w:category>
        <w:types>
          <w:type w:val="bbPlcHdr"/>
        </w:types>
        <w:behaviors>
          <w:behavior w:val="content"/>
        </w:behaviors>
        <w:description w:val=""/>
        <w:guid w:val="{073e2bf9-e75e-4bc1-97cd-e889418b77c2}"/>
      </w:docPartPr>
      <w:docPartBody>
        <w:p>
          <w:r>
            <w:rPr>
              <w:color w:val="808080"/>
            </w:rPr>
            <w:t>单击此处输入文字。</w:t>
          </w:r>
        </w:p>
      </w:docPartBody>
    </w:docPart>
    <w:docPart>
      <w:docPartPr>
        <w:name w:val="{77795ca7-8ee6-448b-b731-c63e43fd3b98}"/>
        <w:style w:val=""/>
        <w:category>
          <w:name w:val="常规"/>
          <w:gallery w:val="placeholder"/>
        </w:category>
        <w:types>
          <w:type w:val="bbPlcHdr"/>
        </w:types>
        <w:behaviors>
          <w:behavior w:val="content"/>
        </w:behaviors>
        <w:description w:val=""/>
        <w:guid w:val="{77795ca7-8ee6-448b-b731-c63e43fd3b98}"/>
      </w:docPartPr>
      <w:docPartBody>
        <w:p>
          <w:r>
            <w:rPr>
              <w:color w:val="808080"/>
            </w:rPr>
            <w:t>单击此处输入文字。</w:t>
          </w:r>
        </w:p>
      </w:docPartBody>
    </w:docPart>
    <w:docPart>
      <w:docPartPr>
        <w:name w:val="{1ea1728c-11e8-4b6d-b31f-ad616c7329e3}"/>
        <w:style w:val=""/>
        <w:category>
          <w:name w:val="常规"/>
          <w:gallery w:val="placeholder"/>
        </w:category>
        <w:types>
          <w:type w:val="bbPlcHdr"/>
        </w:types>
        <w:behaviors>
          <w:behavior w:val="content"/>
        </w:behaviors>
        <w:description w:val=""/>
        <w:guid w:val="{1ea1728c-11e8-4b6d-b31f-ad616c7329e3}"/>
      </w:docPartPr>
      <w:docPartBody>
        <w:p>
          <w:r>
            <w:rPr>
              <w:color w:val="808080"/>
            </w:rPr>
            <w:t>单击此处输入文字。</w:t>
          </w:r>
        </w:p>
      </w:docPartBody>
    </w:docPart>
    <w:docPart>
      <w:docPartPr>
        <w:name w:val="{5398d675-24da-4519-bdb3-00711a629a6e}"/>
        <w:style w:val=""/>
        <w:category>
          <w:name w:val="常规"/>
          <w:gallery w:val="placeholder"/>
        </w:category>
        <w:types>
          <w:type w:val="bbPlcHdr"/>
        </w:types>
        <w:behaviors>
          <w:behavior w:val="content"/>
        </w:behaviors>
        <w:description w:val=""/>
        <w:guid w:val="{5398d675-24da-4519-bdb3-00711a629a6e}"/>
      </w:docPartPr>
      <w:docPartBody>
        <w:p>
          <w:r>
            <w:rPr>
              <w:color w:val="808080"/>
            </w:rPr>
            <w:t>单击此处输入文字。</w:t>
          </w:r>
        </w:p>
      </w:docPartBody>
    </w:docPart>
    <w:docPart>
      <w:docPartPr>
        <w:name w:val="{7d922384-abb8-4410-876d-5cfe149d2197}"/>
        <w:style w:val=""/>
        <w:category>
          <w:name w:val="常规"/>
          <w:gallery w:val="placeholder"/>
        </w:category>
        <w:types>
          <w:type w:val="bbPlcHdr"/>
        </w:types>
        <w:behaviors>
          <w:behavior w:val="content"/>
        </w:behaviors>
        <w:description w:val=""/>
        <w:guid w:val="{7d922384-abb8-4410-876d-5cfe149d2197}"/>
      </w:docPartPr>
      <w:docPartBody>
        <w:p>
          <w:r>
            <w:rPr>
              <w:color w:val="808080"/>
            </w:rPr>
            <w:t>单击此处输入文字。</w:t>
          </w:r>
        </w:p>
      </w:docPartBody>
    </w:docPart>
    <w:docPart>
      <w:docPartPr>
        <w:name w:val="{b2b1853e-9840-4a7a-881f-02695efb5e03}"/>
        <w:style w:val=""/>
        <w:category>
          <w:name w:val="常规"/>
          <w:gallery w:val="placeholder"/>
        </w:category>
        <w:types>
          <w:type w:val="bbPlcHdr"/>
        </w:types>
        <w:behaviors>
          <w:behavior w:val="content"/>
        </w:behaviors>
        <w:description w:val=""/>
        <w:guid w:val="{b2b1853e-9840-4a7a-881f-02695efb5e03}"/>
      </w:docPartPr>
      <w:docPartBody>
        <w:p>
          <w:r>
            <w:rPr>
              <w:color w:val="808080"/>
            </w:rPr>
            <w:t>单击此处输入文字。</w:t>
          </w:r>
        </w:p>
      </w:docPartBody>
    </w:docPart>
    <w:docPart>
      <w:docPartPr>
        <w:name w:val="{5ac25e22-2c74-412d-9edb-1a3ae9d6df4f}"/>
        <w:style w:val=""/>
        <w:category>
          <w:name w:val="常规"/>
          <w:gallery w:val="placeholder"/>
        </w:category>
        <w:types>
          <w:type w:val="bbPlcHdr"/>
        </w:types>
        <w:behaviors>
          <w:behavior w:val="content"/>
        </w:behaviors>
        <w:description w:val=""/>
        <w:guid w:val="{5ac25e22-2c74-412d-9edb-1a3ae9d6df4f}"/>
      </w:docPartPr>
      <w:docPartBody>
        <w:p>
          <w:r>
            <w:rPr>
              <w:color w:val="808080"/>
            </w:rPr>
            <w:t>单击此处输入文字。</w:t>
          </w:r>
        </w:p>
      </w:docPartBody>
    </w:docPart>
    <w:docPart>
      <w:docPartPr>
        <w:name w:val="{8774e7e3-a1b1-4f20-8ea0-0484a673c3d4}"/>
        <w:style w:val=""/>
        <w:category>
          <w:name w:val="常规"/>
          <w:gallery w:val="placeholder"/>
        </w:category>
        <w:types>
          <w:type w:val="bbPlcHdr"/>
        </w:types>
        <w:behaviors>
          <w:behavior w:val="content"/>
        </w:behaviors>
        <w:description w:val=""/>
        <w:guid w:val="{8774e7e3-a1b1-4f20-8ea0-0484a673c3d4}"/>
      </w:docPartPr>
      <w:docPartBody>
        <w:p>
          <w:r>
            <w:rPr>
              <w:color w:val="808080"/>
            </w:rPr>
            <w:t>单击此处输入文字。</w:t>
          </w:r>
        </w:p>
      </w:docPartBody>
    </w:docPart>
    <w:docPart>
      <w:docPartPr>
        <w:name w:val="{d9de14a5-cd06-4a65-9cd8-2bfef47d000c}"/>
        <w:style w:val=""/>
        <w:category>
          <w:name w:val="常规"/>
          <w:gallery w:val="placeholder"/>
        </w:category>
        <w:types>
          <w:type w:val="bbPlcHdr"/>
        </w:types>
        <w:behaviors>
          <w:behavior w:val="content"/>
        </w:behaviors>
        <w:description w:val=""/>
        <w:guid w:val="{d9de14a5-cd06-4a65-9cd8-2bfef47d000c}"/>
      </w:docPartPr>
      <w:docPartBody>
        <w:p>
          <w:r>
            <w:rPr>
              <w:color w:val="808080"/>
            </w:rPr>
            <w:t>单击此处输入文字。</w:t>
          </w:r>
        </w:p>
      </w:docPartBody>
    </w:docPart>
    <w:docPart>
      <w:docPartPr>
        <w:name w:val="{2e811cc9-9097-47c2-bec1-c64f20bf9813}"/>
        <w:style w:val=""/>
        <w:category>
          <w:name w:val="常规"/>
          <w:gallery w:val="placeholder"/>
        </w:category>
        <w:types>
          <w:type w:val="bbPlcHdr"/>
        </w:types>
        <w:behaviors>
          <w:behavior w:val="content"/>
        </w:behaviors>
        <w:description w:val=""/>
        <w:guid w:val="{2e811cc9-9097-47c2-bec1-c64f20bf9813}"/>
      </w:docPartPr>
      <w:docPartBody>
        <w:p>
          <w:r>
            <w:rPr>
              <w:color w:val="808080"/>
            </w:rPr>
            <w:t>单击此处输入文字。</w:t>
          </w:r>
        </w:p>
      </w:docPartBody>
    </w:docPart>
    <w:docPart>
      <w:docPartPr>
        <w:name w:val="{b55fc608-3c3a-4f9b-b678-66a88befec72}"/>
        <w:style w:val=""/>
        <w:category>
          <w:name w:val="常规"/>
          <w:gallery w:val="placeholder"/>
        </w:category>
        <w:types>
          <w:type w:val="bbPlcHdr"/>
        </w:types>
        <w:behaviors>
          <w:behavior w:val="content"/>
        </w:behaviors>
        <w:description w:val=""/>
        <w:guid w:val="{b55fc608-3c3a-4f9b-b678-66a88befec72}"/>
      </w:docPartPr>
      <w:docPartBody>
        <w:p>
          <w:r>
            <w:rPr>
              <w:color w:val="808080"/>
            </w:rPr>
            <w:t>单击此处输入文字。</w:t>
          </w:r>
        </w:p>
      </w:docPartBody>
    </w:docPart>
    <w:docPart>
      <w:docPartPr>
        <w:name w:val="{8b55dcb7-e44b-4559-9076-bade8fd50b12}"/>
        <w:style w:val=""/>
        <w:category>
          <w:name w:val="常规"/>
          <w:gallery w:val="placeholder"/>
        </w:category>
        <w:types>
          <w:type w:val="bbPlcHdr"/>
        </w:types>
        <w:behaviors>
          <w:behavior w:val="content"/>
        </w:behaviors>
        <w:description w:val=""/>
        <w:guid w:val="{8b55dcb7-e44b-4559-9076-bade8fd50b12}"/>
      </w:docPartPr>
      <w:docPartBody>
        <w:p>
          <w:r>
            <w:rPr>
              <w:color w:val="808080"/>
            </w:rPr>
            <w:t>单击此处输入文字。</w:t>
          </w:r>
        </w:p>
      </w:docPartBody>
    </w:docPart>
    <w:docPart>
      <w:docPartPr>
        <w:name w:val="{3d52ea1a-c2b9-4221-8f12-6a647ea15864}"/>
        <w:style w:val=""/>
        <w:category>
          <w:name w:val="常规"/>
          <w:gallery w:val="placeholder"/>
        </w:category>
        <w:types>
          <w:type w:val="bbPlcHdr"/>
        </w:types>
        <w:behaviors>
          <w:behavior w:val="content"/>
        </w:behaviors>
        <w:description w:val=""/>
        <w:guid w:val="{3d52ea1a-c2b9-4221-8f12-6a647ea15864}"/>
      </w:docPartPr>
      <w:docPartBody>
        <w:p>
          <w:r>
            <w:rPr>
              <w:color w:val="808080"/>
            </w:rPr>
            <w:t>单击此处输入文字。</w:t>
          </w:r>
        </w:p>
      </w:docPartBody>
    </w:docPart>
    <w:docPart>
      <w:docPartPr>
        <w:name w:val="{04869c8b-55a3-410f-b2c0-752a330c84a6}"/>
        <w:style w:val=""/>
        <w:category>
          <w:name w:val="常规"/>
          <w:gallery w:val="placeholder"/>
        </w:category>
        <w:types>
          <w:type w:val="bbPlcHdr"/>
        </w:types>
        <w:behaviors>
          <w:behavior w:val="content"/>
        </w:behaviors>
        <w:description w:val=""/>
        <w:guid w:val="{04869c8b-55a3-410f-b2c0-752a330c84a6}"/>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D4F31"/>
    <w:rsid w:val="000F52C2"/>
    <w:rsid w:val="002D4F31"/>
    <w:rsid w:val="008C6E9F"/>
    <w:rsid w:val="00BB07F7"/>
    <w:rsid w:val="00DC28CC"/>
    <w:rsid w:val="00F85079"/>
    <w:rsid w:val="00FE0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23</Pages>
  <Words>2038</Words>
  <Characters>11618</Characters>
  <Lines>96</Lines>
  <Paragraphs>27</Paragraphs>
  <TotalTime>42</TotalTime>
  <ScaleCrop>false</ScaleCrop>
  <LinksUpToDate>false</LinksUpToDate>
  <CharactersWithSpaces>13629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2025-11-20T02:04:00Z</dcterms:created>
  <dc:creator>Administrator</dc:creator>
  <cp:lastModifiedBy>Administrator</cp:lastModifiedBy>
  <dcterms:modified xsi:type="dcterms:W3CDTF">2026-08-03T02:00:37Z</dcterms:modified>
  <cp:revision>326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