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58B9CB">
      <w:pPr>
        <w:tabs>
          <w:tab w:val="center" w:pos="4776"/>
        </w:tabs>
        <w:spacing w:line="360" w:lineRule="atLeast"/>
        <w:ind w:firstLine="562"/>
        <w:textAlignment w:val="baseline"/>
        <w:rPr>
          <w:b/>
          <w:color w:val="auto"/>
          <w:kern w:val="0"/>
          <w:sz w:val="28"/>
          <w:szCs w:val="20"/>
        </w:rPr>
      </w:pPr>
      <w:r>
        <w:rPr>
          <w:b/>
          <w:color w:val="auto"/>
          <w:kern w:val="0"/>
          <w:sz w:val="28"/>
          <w:szCs w:val="20"/>
        </w:rPr>
        <w:tab/>
      </w:r>
    </w:p>
    <w:p w14:paraId="177C533F">
      <w:pPr>
        <w:tabs>
          <w:tab w:val="left" w:pos="6957"/>
        </w:tabs>
        <w:spacing w:line="360" w:lineRule="atLeast"/>
        <w:ind w:firstLine="562"/>
        <w:textAlignment w:val="baseline"/>
        <w:rPr>
          <w:b/>
          <w:color w:val="auto"/>
          <w:kern w:val="0"/>
          <w:sz w:val="28"/>
          <w:szCs w:val="20"/>
        </w:rPr>
      </w:pPr>
      <w:r>
        <w:rPr>
          <w:rFonts w:hint="eastAsia"/>
          <w:b/>
          <w:color w:val="auto"/>
          <w:kern w:val="0"/>
          <w:sz w:val="28"/>
          <w:szCs w:val="20"/>
        </w:rPr>
        <w:tab/>
      </w:r>
    </w:p>
    <w:p w14:paraId="300534D8">
      <w:pPr>
        <w:spacing w:before="312" w:beforeLines="100" w:after="312" w:afterLines="100" w:line="480" w:lineRule="auto"/>
        <w:ind w:firstLine="964"/>
        <w:jc w:val="center"/>
        <w:rPr>
          <w:b/>
          <w:bCs/>
          <w:color w:val="auto"/>
          <w:sz w:val="48"/>
        </w:rPr>
      </w:pPr>
    </w:p>
    <w:p w14:paraId="1A228AD3">
      <w:pPr>
        <w:adjustRightInd w:val="0"/>
        <w:snapToGrid w:val="0"/>
        <w:ind w:firstLine="0" w:firstLineChars="0"/>
        <w:jc w:val="center"/>
        <w:rPr>
          <w:b/>
          <w:color w:val="auto"/>
          <w:sz w:val="44"/>
          <w:szCs w:val="44"/>
        </w:rPr>
      </w:pPr>
      <w:r>
        <w:rPr>
          <w:rFonts w:hint="eastAsia"/>
          <w:b/>
          <w:color w:val="auto"/>
          <w:sz w:val="44"/>
          <w:szCs w:val="44"/>
          <w:lang w:eastAsia="zh-CN"/>
        </w:rPr>
        <w:t>鹤山市衍鹏印刷有限公司年产450吨包装卷膜新建项目</w:t>
      </w:r>
      <w:r>
        <w:rPr>
          <w:rFonts w:hint="eastAsia"/>
          <w:b/>
          <w:color w:val="auto"/>
          <w:sz w:val="44"/>
          <w:szCs w:val="44"/>
        </w:rPr>
        <w:t>环境影响报告书</w:t>
      </w:r>
    </w:p>
    <w:p w14:paraId="6133F822">
      <w:pPr>
        <w:snapToGrid w:val="0"/>
        <w:ind w:firstLine="0" w:firstLineChars="0"/>
        <w:jc w:val="center"/>
        <w:rPr>
          <w:b/>
          <w:bCs/>
          <w:color w:val="auto"/>
          <w:sz w:val="44"/>
          <w:szCs w:val="44"/>
        </w:rPr>
      </w:pPr>
      <w:r>
        <w:rPr>
          <w:rFonts w:hint="eastAsia"/>
          <w:b/>
          <w:bCs/>
          <w:color w:val="auto"/>
          <w:sz w:val="44"/>
          <w:szCs w:val="44"/>
        </w:rPr>
        <w:t>（</w:t>
      </w:r>
      <w:r>
        <w:rPr>
          <w:rFonts w:hint="eastAsia"/>
          <w:b/>
          <w:bCs/>
          <w:color w:val="auto"/>
          <w:sz w:val="44"/>
          <w:szCs w:val="44"/>
          <w:lang w:val="en-US" w:eastAsia="zh-CN"/>
        </w:rPr>
        <w:t>送审</w:t>
      </w:r>
      <w:r>
        <w:rPr>
          <w:rFonts w:hint="eastAsia"/>
          <w:b/>
          <w:bCs/>
          <w:color w:val="auto"/>
          <w:sz w:val="44"/>
          <w:szCs w:val="44"/>
        </w:rPr>
        <w:t>稿）</w:t>
      </w:r>
    </w:p>
    <w:p w14:paraId="679F28F6">
      <w:pPr>
        <w:ind w:firstLine="1044"/>
        <w:jc w:val="center"/>
        <w:rPr>
          <w:b/>
          <w:bCs/>
          <w:color w:val="auto"/>
          <w:sz w:val="52"/>
        </w:rPr>
      </w:pPr>
    </w:p>
    <w:p w14:paraId="28622D46">
      <w:pPr>
        <w:ind w:firstLine="1044"/>
        <w:jc w:val="center"/>
        <w:rPr>
          <w:b/>
          <w:bCs/>
          <w:color w:val="auto"/>
          <w:sz w:val="52"/>
        </w:rPr>
      </w:pPr>
    </w:p>
    <w:p w14:paraId="27D1E4C1">
      <w:pPr>
        <w:ind w:firstLine="1044"/>
        <w:jc w:val="center"/>
        <w:rPr>
          <w:b/>
          <w:bCs/>
          <w:color w:val="auto"/>
          <w:sz w:val="52"/>
        </w:rPr>
      </w:pPr>
    </w:p>
    <w:p w14:paraId="4705C811">
      <w:pPr>
        <w:ind w:firstLine="1044"/>
        <w:jc w:val="center"/>
        <w:rPr>
          <w:rFonts w:hint="eastAsia" w:eastAsia="宋体"/>
          <w:b/>
          <w:bCs/>
          <w:color w:val="auto"/>
          <w:sz w:val="52"/>
          <w:lang w:eastAsia="zh-CN"/>
        </w:rPr>
      </w:pPr>
    </w:p>
    <w:p w14:paraId="449572CC">
      <w:pPr>
        <w:ind w:firstLine="1044"/>
        <w:jc w:val="center"/>
        <w:rPr>
          <w:b/>
          <w:bCs/>
          <w:color w:val="auto"/>
          <w:sz w:val="52"/>
        </w:rPr>
      </w:pPr>
    </w:p>
    <w:p w14:paraId="1F7333C1">
      <w:pPr>
        <w:ind w:firstLine="1044"/>
        <w:jc w:val="center"/>
        <w:rPr>
          <w:b/>
          <w:bCs/>
          <w:color w:val="auto"/>
          <w:sz w:val="52"/>
        </w:rPr>
      </w:pPr>
    </w:p>
    <w:p w14:paraId="46A9C6BB">
      <w:pPr>
        <w:ind w:firstLine="1044"/>
        <w:jc w:val="center"/>
        <w:rPr>
          <w:b/>
          <w:bCs/>
          <w:color w:val="auto"/>
          <w:sz w:val="52"/>
        </w:rPr>
      </w:pPr>
    </w:p>
    <w:p w14:paraId="5B782E28">
      <w:pPr>
        <w:ind w:firstLine="1044"/>
        <w:jc w:val="center"/>
        <w:rPr>
          <w:b/>
          <w:bCs/>
          <w:color w:val="auto"/>
          <w:sz w:val="52"/>
        </w:rPr>
      </w:pPr>
    </w:p>
    <w:p w14:paraId="10DFF955">
      <w:pPr>
        <w:ind w:firstLine="1044"/>
        <w:jc w:val="center"/>
        <w:rPr>
          <w:b/>
          <w:bCs/>
          <w:color w:val="auto"/>
          <w:sz w:val="52"/>
        </w:rPr>
      </w:pPr>
      <w:r>
        <w:rPr>
          <w:color w:val="auto"/>
        </w:rPr>
        <w:drawing>
          <wp:anchor distT="0" distB="0" distL="114300" distR="114300" simplePos="0" relativeHeight="251676672" behindDoc="1" locked="0" layoutInCell="1" allowOverlap="1">
            <wp:simplePos x="0" y="0"/>
            <wp:positionH relativeFrom="column">
              <wp:posOffset>3093085</wp:posOffset>
            </wp:positionH>
            <wp:positionV relativeFrom="paragraph">
              <wp:posOffset>7675245</wp:posOffset>
            </wp:positionV>
            <wp:extent cx="1655445" cy="1586865"/>
            <wp:effectExtent l="0" t="0" r="1905" b="3810"/>
            <wp:wrapNone/>
            <wp:docPr id="35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27"/>
                    <pic:cNvPicPr>
                      <a:picLocks noChangeAspect="1"/>
                    </pic:cNvPicPr>
                  </pic:nvPicPr>
                  <pic:blipFill>
                    <a:blip r:embed="rId20"/>
                    <a:stretch>
                      <a:fillRect/>
                    </a:stretch>
                  </pic:blipFill>
                  <pic:spPr>
                    <a:xfrm>
                      <a:off x="0" y="0"/>
                      <a:ext cx="1655445" cy="1586865"/>
                    </a:xfrm>
                    <a:prstGeom prst="rect">
                      <a:avLst/>
                    </a:prstGeom>
                    <a:noFill/>
                    <a:ln>
                      <a:noFill/>
                    </a:ln>
                  </pic:spPr>
                </pic:pic>
              </a:graphicData>
            </a:graphic>
          </wp:anchor>
        </w:drawing>
      </w:r>
    </w:p>
    <w:p w14:paraId="76016D00">
      <w:pPr>
        <w:adjustRightInd w:val="0"/>
        <w:snapToGrid w:val="0"/>
        <w:ind w:firstLine="0" w:firstLineChars="0"/>
        <w:jc w:val="center"/>
        <w:textAlignment w:val="baseline"/>
        <w:rPr>
          <w:b/>
          <w:color w:val="auto"/>
          <w:kern w:val="0"/>
          <w:sz w:val="28"/>
          <w:szCs w:val="28"/>
        </w:rPr>
      </w:pPr>
      <w:r>
        <w:rPr>
          <w:rFonts w:hint="eastAsia"/>
          <w:b/>
          <w:color w:val="auto"/>
          <w:kern w:val="0"/>
          <w:sz w:val="28"/>
          <w:szCs w:val="28"/>
        </w:rPr>
        <w:t>建设单位：</w:t>
      </w:r>
      <w:r>
        <w:rPr>
          <w:rFonts w:hint="eastAsia" w:ascii="黑体" w:hAnsi="黑体" w:eastAsia="黑体" w:cs="黑体"/>
          <w:b/>
          <w:color w:val="auto"/>
          <w:sz w:val="44"/>
          <w:szCs w:val="44"/>
        </w:rPr>
        <w:drawing>
          <wp:anchor distT="0" distB="0" distL="114300" distR="114300" simplePos="0" relativeHeight="251673600" behindDoc="0" locked="0" layoutInCell="1" allowOverlap="1">
            <wp:simplePos x="0" y="0"/>
            <wp:positionH relativeFrom="column">
              <wp:posOffset>2139950</wp:posOffset>
            </wp:positionH>
            <wp:positionV relativeFrom="paragraph">
              <wp:posOffset>7695565</wp:posOffset>
            </wp:positionV>
            <wp:extent cx="1563370" cy="1555750"/>
            <wp:effectExtent l="0" t="0" r="8255" b="6350"/>
            <wp:wrapNone/>
            <wp:docPr id="182" name="图片 115" descr="e686dc8ad8b44e2a0f3bf4198b2d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15" descr="e686dc8ad8b44e2a0f3bf4198b2d224"/>
                    <pic:cNvPicPr>
                      <a:picLocks noChangeAspect="1"/>
                    </pic:cNvPicPr>
                  </pic:nvPicPr>
                  <pic:blipFill>
                    <a:blip r:embed="rId21"/>
                    <a:stretch>
                      <a:fillRect/>
                    </a:stretch>
                  </pic:blipFill>
                  <pic:spPr>
                    <a:xfrm>
                      <a:off x="0" y="0"/>
                      <a:ext cx="1563370" cy="1555750"/>
                    </a:xfrm>
                    <a:prstGeom prst="rect">
                      <a:avLst/>
                    </a:prstGeom>
                    <a:noFill/>
                    <a:ln>
                      <a:noFill/>
                    </a:ln>
                  </pic:spPr>
                </pic:pic>
              </a:graphicData>
            </a:graphic>
          </wp:anchor>
        </w:drawing>
      </w:r>
      <w:r>
        <w:rPr>
          <w:rFonts w:hint="eastAsia"/>
          <w:b/>
          <w:color w:val="auto"/>
          <w:kern w:val="0"/>
          <w:sz w:val="28"/>
          <w:szCs w:val="28"/>
          <w:lang w:eastAsia="zh-CN"/>
        </w:rPr>
        <w:t>鹤山市衍鹏印刷有限公司</w:t>
      </w:r>
    </w:p>
    <w:p w14:paraId="3A9D71B7">
      <w:pPr>
        <w:adjustRightInd w:val="0"/>
        <w:snapToGrid w:val="0"/>
        <w:ind w:firstLine="0" w:firstLineChars="0"/>
        <w:jc w:val="center"/>
        <w:textAlignment w:val="baseline"/>
        <w:rPr>
          <w:rFonts w:hint="eastAsia" w:eastAsia="宋体"/>
          <w:b/>
          <w:color w:val="auto"/>
          <w:kern w:val="0"/>
          <w:sz w:val="28"/>
          <w:szCs w:val="28"/>
          <w:lang w:eastAsia="zh-CN"/>
        </w:rPr>
      </w:pPr>
      <w:r>
        <w:rPr>
          <w:rFonts w:hint="eastAsia"/>
          <w:b/>
          <w:color w:val="auto"/>
          <w:kern w:val="0"/>
          <w:sz w:val="28"/>
          <w:szCs w:val="28"/>
        </w:rPr>
        <w:t>评价单位：</w:t>
      </w:r>
      <w:r>
        <w:rPr>
          <w:rFonts w:hint="eastAsia"/>
          <w:b/>
          <w:color w:val="auto"/>
          <w:kern w:val="0"/>
          <w:sz w:val="28"/>
          <w:szCs w:val="28"/>
          <w:lang w:eastAsia="zh-CN"/>
        </w:rPr>
        <w:t>江门市碧佳环保咨询服务有限公司</w:t>
      </w:r>
    </w:p>
    <w:p w14:paraId="6B544B43">
      <w:pPr>
        <w:adjustRightInd w:val="0"/>
        <w:snapToGrid w:val="0"/>
        <w:ind w:firstLine="0" w:firstLineChars="0"/>
        <w:jc w:val="center"/>
        <w:rPr>
          <w:b/>
          <w:bCs/>
          <w:color w:val="auto"/>
          <w:sz w:val="28"/>
          <w:szCs w:val="28"/>
        </w:rPr>
      </w:pPr>
      <w:r>
        <w:rPr>
          <w:rFonts w:hint="eastAsia"/>
          <w:b/>
          <w:color w:val="auto"/>
          <w:kern w:val="0"/>
          <w:sz w:val="28"/>
          <w:szCs w:val="28"/>
        </w:rPr>
        <w:t>编制时间：202</w:t>
      </w:r>
      <w:r>
        <w:rPr>
          <w:rFonts w:hint="eastAsia"/>
          <w:b/>
          <w:color w:val="auto"/>
          <w:kern w:val="0"/>
          <w:sz w:val="28"/>
          <w:szCs w:val="28"/>
          <w:lang w:val="en-US" w:eastAsia="zh-CN"/>
        </w:rPr>
        <w:t>6</w:t>
      </w:r>
      <w:r>
        <w:rPr>
          <w:rFonts w:hint="eastAsia"/>
          <w:b/>
          <w:color w:val="auto"/>
          <w:kern w:val="0"/>
          <w:sz w:val="28"/>
          <w:szCs w:val="28"/>
        </w:rPr>
        <w:t>年</w:t>
      </w:r>
      <w:r>
        <w:rPr>
          <w:rFonts w:hint="eastAsia"/>
          <w:b/>
          <w:color w:val="auto"/>
          <w:kern w:val="0"/>
          <w:sz w:val="28"/>
          <w:szCs w:val="28"/>
          <w:lang w:val="en-US" w:eastAsia="zh-CN"/>
        </w:rPr>
        <w:t>3</w:t>
      </w:r>
      <w:r>
        <w:rPr>
          <w:rFonts w:hint="eastAsia"/>
          <w:b/>
          <w:color w:val="auto"/>
          <w:kern w:val="0"/>
          <w:sz w:val="28"/>
          <w:szCs w:val="28"/>
        </w:rPr>
        <w:t>月</w:t>
      </w:r>
      <w:bookmarkStart w:id="0" w:name="_Toc347405964"/>
    </w:p>
    <w:bookmarkEnd w:id="0"/>
    <w:p w14:paraId="52D40CB9">
      <w:pPr>
        <w:ind w:firstLine="0" w:firstLineChars="0"/>
        <w:rPr>
          <w:color w:val="auto"/>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17" w:right="1417" w:bottom="1417" w:left="1417" w:header="992" w:footer="992" w:gutter="0"/>
          <w:cols w:space="720" w:num="1"/>
          <w:docGrid w:type="lines" w:linePitch="312" w:charSpace="0"/>
        </w:sectPr>
      </w:pPr>
      <w:bookmarkStart w:id="1" w:name="_Toc3275"/>
    </w:p>
    <w:p w14:paraId="7B2EC592">
      <w:pPr>
        <w:jc w:val="center"/>
        <w:rPr>
          <w:rFonts w:hint="eastAsia" w:ascii="仿宋" w:hAnsi="仿宋" w:eastAsia="仿宋" w:cs="仿宋"/>
          <w:color w:val="auto"/>
          <w:sz w:val="36"/>
          <w:szCs w:val="36"/>
        </w:rPr>
      </w:pPr>
    </w:p>
    <w:p w14:paraId="456AA4BA">
      <w:pPr>
        <w:jc w:val="center"/>
        <w:rPr>
          <w:rFonts w:hint="eastAsia" w:ascii="仿宋" w:hAnsi="仿宋" w:eastAsia="仿宋" w:cs="仿宋"/>
          <w:color w:val="auto"/>
          <w:sz w:val="36"/>
          <w:szCs w:val="36"/>
        </w:rPr>
      </w:pPr>
      <w:r>
        <w:rPr>
          <w:rFonts w:hint="eastAsia" w:ascii="仿宋" w:hAnsi="仿宋" w:eastAsia="仿宋" w:cs="仿宋"/>
          <w:color w:val="auto"/>
          <w:sz w:val="36"/>
          <w:szCs w:val="36"/>
        </w:rPr>
        <w:t>声  明</w:t>
      </w:r>
    </w:p>
    <w:p w14:paraId="6C1A0681">
      <w:pPr>
        <w:ind w:firstLine="548" w:firstLineChars="196"/>
        <w:jc w:val="left"/>
        <w:rPr>
          <w:rFonts w:hint="eastAsia" w:ascii="仿宋" w:hAnsi="仿宋" w:eastAsia="仿宋" w:cs="仿宋"/>
          <w:color w:val="auto"/>
          <w:sz w:val="28"/>
          <w:szCs w:val="28"/>
        </w:rPr>
      </w:pPr>
    </w:p>
    <w:p w14:paraId="31E25606">
      <w:pPr>
        <w:ind w:firstLine="548" w:firstLineChars="196"/>
        <w:jc w:val="left"/>
        <w:rPr>
          <w:rFonts w:hint="eastAsia" w:ascii="仿宋" w:hAnsi="仿宋" w:eastAsia="仿宋" w:cs="仿宋"/>
          <w:color w:val="auto"/>
          <w:sz w:val="28"/>
          <w:szCs w:val="28"/>
        </w:rPr>
      </w:pPr>
      <w:r>
        <w:rPr>
          <w:rFonts w:hint="eastAsia" w:ascii="仿宋" w:hAnsi="仿宋" w:eastAsia="仿宋" w:cs="仿宋"/>
          <w:color w:val="auto"/>
          <w:sz w:val="28"/>
          <w:szCs w:val="28"/>
        </w:rPr>
        <w:t>根据《中华人民共和国环境影响评价法》、《中华人民共和国行政许可法》、《建设项目环境影响评价政府信息公开指南（试行）》（环办【2013】103号）、</w:t>
      </w:r>
      <w:r>
        <w:rPr>
          <w:rFonts w:hint="eastAsia" w:ascii="仿宋" w:hAnsi="仿宋" w:eastAsia="仿宋" w:cs="仿宋"/>
          <w:b w:val="0"/>
          <w:color w:val="auto"/>
          <w:kern w:val="2"/>
          <w:sz w:val="28"/>
          <w:szCs w:val="28"/>
          <w:lang w:val="en-US" w:eastAsia="zh-CN" w:bidi="ar-SA"/>
        </w:rPr>
        <w:t>《环境影响评价公众参与办法》（生态环境部令第4号）</w:t>
      </w:r>
      <w:r>
        <w:rPr>
          <w:rFonts w:hint="eastAsia" w:ascii="仿宋" w:hAnsi="仿宋" w:eastAsia="仿宋" w:cs="仿宋"/>
          <w:color w:val="auto"/>
          <w:sz w:val="28"/>
          <w:szCs w:val="28"/>
        </w:rPr>
        <w:t>，特对环境影响评价文件（公开版）作出如下声明：</w:t>
      </w:r>
    </w:p>
    <w:p w14:paraId="11F613E4">
      <w:pPr>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我单位提供的</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lang w:val="en-US" w:eastAsia="zh-CN"/>
        </w:rPr>
        <w:t>鹤山市衍鹏印刷有限公司年产450吨包装卷膜新建项目环境影响评价报告书》</w:t>
      </w:r>
      <w:r>
        <w:rPr>
          <w:rFonts w:hint="eastAsia" w:ascii="仿宋" w:hAnsi="仿宋" w:eastAsia="仿宋" w:cs="仿宋"/>
          <w:color w:val="auto"/>
          <w:sz w:val="28"/>
          <w:szCs w:val="28"/>
          <w:u w:val="single"/>
        </w:rPr>
        <w:t>（公开版）</w:t>
      </w:r>
      <w:r>
        <w:rPr>
          <w:rFonts w:hint="eastAsia" w:ascii="仿宋" w:hAnsi="仿宋" w:eastAsia="仿宋" w:cs="仿宋"/>
          <w:color w:val="auto"/>
          <w:sz w:val="28"/>
          <w:szCs w:val="28"/>
        </w:rPr>
        <w:t>（项目环评文件名称）不含国家秘密、商业秘密和个人隐私，同意按照相关规定予以公开。</w:t>
      </w:r>
    </w:p>
    <w:p w14:paraId="3EB487D5">
      <w:pPr>
        <w:pStyle w:val="19"/>
        <w:ind w:firstLine="600" w:firstLineChars="250"/>
        <w:rPr>
          <w:rFonts w:hint="eastAsia" w:ascii="仿宋" w:hAnsi="仿宋" w:eastAsia="仿宋" w:cs="仿宋"/>
          <w:color w:val="auto"/>
          <w:sz w:val="24"/>
        </w:rPr>
      </w:pPr>
    </w:p>
    <w:p w14:paraId="1DE1AC5C">
      <w:pPr>
        <w:pStyle w:val="19"/>
        <w:ind w:firstLine="600" w:firstLineChars="250"/>
        <w:rPr>
          <w:rFonts w:hint="eastAsia" w:ascii="仿宋" w:hAnsi="仿宋" w:eastAsia="仿宋" w:cs="仿宋"/>
          <w:color w:val="auto"/>
          <w:sz w:val="24"/>
        </w:rPr>
      </w:pPr>
    </w:p>
    <w:p w14:paraId="6BFAFD2A">
      <w:pPr>
        <w:pStyle w:val="19"/>
        <w:ind w:firstLine="600" w:firstLineChars="250"/>
        <w:rPr>
          <w:rFonts w:hint="eastAsia" w:ascii="仿宋" w:hAnsi="仿宋" w:eastAsia="仿宋" w:cs="仿宋"/>
          <w:color w:val="auto"/>
          <w:sz w:val="24"/>
          <w:lang w:eastAsia="zh-CN"/>
        </w:rPr>
      </w:pPr>
    </w:p>
    <w:p w14:paraId="6FD54452">
      <w:pPr>
        <w:pStyle w:val="19"/>
        <w:rPr>
          <w:rFonts w:hint="eastAsia" w:ascii="仿宋" w:hAnsi="仿宋" w:eastAsia="仿宋" w:cs="仿宋"/>
          <w:color w:val="auto"/>
          <w:sz w:val="28"/>
          <w:szCs w:val="28"/>
        </w:rPr>
      </w:pPr>
      <w:r>
        <w:rPr>
          <w:rFonts w:hint="eastAsia" w:ascii="仿宋" w:hAnsi="仿宋" w:eastAsia="仿宋" w:cs="仿宋"/>
          <w:color w:val="auto"/>
          <w:sz w:val="28"/>
          <w:szCs w:val="28"/>
        </w:rPr>
        <w:t>建设单位（盖章）                    评价单位（盖章）</w:t>
      </w:r>
    </w:p>
    <w:p w14:paraId="71C97BD3">
      <w:pPr>
        <w:pStyle w:val="19"/>
        <w:jc w:val="center"/>
        <w:rPr>
          <w:rFonts w:hint="eastAsia" w:ascii="仿宋" w:hAnsi="仿宋" w:eastAsia="仿宋" w:cs="仿宋"/>
          <w:color w:val="auto"/>
          <w:sz w:val="28"/>
          <w:szCs w:val="28"/>
        </w:rPr>
      </w:pPr>
    </w:p>
    <w:p w14:paraId="0E95AB92">
      <w:pPr>
        <w:pStyle w:val="19"/>
        <w:jc w:val="center"/>
        <w:rPr>
          <w:rFonts w:hint="eastAsia" w:ascii="仿宋" w:hAnsi="仿宋" w:eastAsia="仿宋" w:cs="仿宋"/>
          <w:color w:val="auto"/>
          <w:sz w:val="28"/>
          <w:szCs w:val="28"/>
        </w:rPr>
      </w:pPr>
    </w:p>
    <w:p w14:paraId="44CA0305">
      <w:pPr>
        <w:pStyle w:val="19"/>
        <w:rPr>
          <w:rFonts w:hint="eastAsia" w:ascii="仿宋" w:hAnsi="仿宋" w:eastAsia="仿宋" w:cs="仿宋"/>
          <w:color w:val="auto"/>
          <w:sz w:val="28"/>
          <w:szCs w:val="28"/>
        </w:rPr>
      </w:pPr>
      <w:r>
        <w:rPr>
          <w:rFonts w:hint="eastAsia" w:ascii="仿宋" w:hAnsi="仿宋" w:eastAsia="仿宋" w:cs="仿宋"/>
          <w:color w:val="auto"/>
          <w:sz w:val="28"/>
          <w:szCs w:val="28"/>
        </w:rPr>
        <w:t>法定代表人（签名）                  法定代表人（签名）</w:t>
      </w:r>
    </w:p>
    <w:p w14:paraId="4642B40F">
      <w:pPr>
        <w:pStyle w:val="19"/>
        <w:jc w:val="center"/>
        <w:rPr>
          <w:rFonts w:hint="eastAsia" w:ascii="仿宋" w:hAnsi="仿宋" w:eastAsia="仿宋" w:cs="仿宋"/>
          <w:color w:val="auto"/>
          <w:sz w:val="28"/>
          <w:szCs w:val="28"/>
        </w:rPr>
      </w:pPr>
    </w:p>
    <w:p w14:paraId="4FC0A5CA">
      <w:pPr>
        <w:pStyle w:val="19"/>
        <w:jc w:val="center"/>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年    月    日</w:t>
      </w:r>
    </w:p>
    <w:p w14:paraId="73B989F5">
      <w:pPr>
        <w:pStyle w:val="19"/>
        <w:ind w:firstLine="990"/>
        <w:jc w:val="center"/>
        <w:rPr>
          <w:rFonts w:hint="eastAsia" w:ascii="仿宋" w:hAnsi="仿宋" w:eastAsia="仿宋" w:cs="仿宋"/>
          <w:color w:val="auto"/>
          <w:sz w:val="28"/>
          <w:szCs w:val="28"/>
        </w:rPr>
      </w:pPr>
    </w:p>
    <w:p w14:paraId="5FDA9930">
      <w:pPr>
        <w:pStyle w:val="19"/>
        <w:jc w:val="center"/>
        <w:rPr>
          <w:rFonts w:hint="eastAsia" w:ascii="仿宋" w:hAnsi="仿宋" w:eastAsia="仿宋" w:cs="仿宋"/>
          <w:color w:val="auto"/>
          <w:sz w:val="28"/>
          <w:szCs w:val="28"/>
        </w:rPr>
      </w:pPr>
    </w:p>
    <w:p w14:paraId="6DBEC3F8">
      <w:pPr>
        <w:pStyle w:val="19"/>
        <w:jc w:val="center"/>
        <w:rPr>
          <w:rFonts w:hint="eastAsia" w:ascii="仿宋" w:hAnsi="仿宋" w:eastAsia="仿宋" w:cs="仿宋"/>
          <w:color w:val="auto"/>
          <w:sz w:val="28"/>
          <w:szCs w:val="28"/>
        </w:rPr>
        <w:sectPr>
          <w:pgSz w:w="11906" w:h="16838"/>
          <w:pgMar w:top="1417" w:right="1803" w:bottom="1417" w:left="1803" w:header="851" w:footer="992" w:gutter="0"/>
          <w:cols w:space="720" w:num="1"/>
          <w:docGrid w:type="lines" w:linePitch="312" w:charSpace="0"/>
        </w:sectPr>
      </w:pPr>
      <w:r>
        <w:rPr>
          <w:rFonts w:hint="eastAsia" w:ascii="仿宋" w:hAnsi="仿宋" w:eastAsia="仿宋" w:cs="仿宋"/>
          <w:color w:val="auto"/>
          <w:sz w:val="28"/>
          <w:szCs w:val="28"/>
        </w:rPr>
        <w:t>本声明书原件交环保审批部门，声明单位可保留复印件</w:t>
      </w:r>
    </w:p>
    <w:p w14:paraId="226F0F2E">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承诺书</w:t>
      </w:r>
    </w:p>
    <w:p w14:paraId="0D94DFD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根据《中华人民共和国环境影响评价法》、《中华人民共和国行政许可法》、</w:t>
      </w:r>
      <w:r>
        <w:rPr>
          <w:rFonts w:hint="eastAsia" w:ascii="仿宋" w:hAnsi="仿宋" w:eastAsia="仿宋" w:cs="仿宋"/>
          <w:color w:val="auto"/>
          <w:sz w:val="28"/>
          <w:szCs w:val="28"/>
          <w:lang w:eastAsia="zh-CN"/>
        </w:rPr>
        <w:t>《环境影响评价公众参与办法》（生态环境部令第4号）</w:t>
      </w:r>
      <w:r>
        <w:rPr>
          <w:rFonts w:hint="eastAsia" w:ascii="仿宋" w:hAnsi="仿宋" w:eastAsia="仿宋" w:cs="仿宋"/>
          <w:color w:val="auto"/>
          <w:sz w:val="28"/>
          <w:szCs w:val="28"/>
        </w:rPr>
        <w:t>，特对报批</w:t>
      </w:r>
      <w:r>
        <w:rPr>
          <w:rFonts w:hint="eastAsia" w:ascii="仿宋" w:hAnsi="仿宋" w:eastAsia="仿宋" w:cs="仿宋"/>
          <w:color w:val="auto"/>
          <w:sz w:val="28"/>
          <w:szCs w:val="28"/>
          <w:lang w:val="en-US" w:eastAsia="zh-CN"/>
        </w:rPr>
        <w:t>的</w:t>
      </w:r>
      <w:r>
        <w:rPr>
          <w:rFonts w:hint="eastAsia" w:ascii="仿宋" w:hAnsi="仿宋" w:eastAsia="仿宋" w:cs="仿宋"/>
          <w:color w:val="auto"/>
          <w:sz w:val="28"/>
          <w:szCs w:val="28"/>
          <w:u w:val="single"/>
          <w:lang w:val="en-US" w:eastAsia="zh-CN"/>
        </w:rPr>
        <w:t>鹤山市衍鹏印刷有限公司年产450吨包装卷膜新建项目</w:t>
      </w:r>
      <w:r>
        <w:rPr>
          <w:rFonts w:hint="eastAsia" w:ascii="仿宋" w:hAnsi="仿宋" w:eastAsia="仿宋" w:cs="仿宋"/>
          <w:color w:val="auto"/>
          <w:sz w:val="28"/>
          <w:szCs w:val="28"/>
        </w:rPr>
        <w:t>环境影响评价文件作出如下承诺：</w:t>
      </w:r>
    </w:p>
    <w:p w14:paraId="5B917E50">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rPr>
        <w:t>1、我们承诺对提交的项目环境影响评价文件及相关材料（包括但不限于建设项目内容、建设规模、环境质量现状调查、相关检测数据、公众参与调查结果）真实性负责；如违反上述事项，在环境影响评价工作中不负责任或弄虚作假等致使环境影响评价文件失实，我们将承担由此引起的一切责任。</w:t>
      </w:r>
    </w:p>
    <w:p w14:paraId="5048DADC">
      <w:pPr>
        <w:keepNext w:val="0"/>
        <w:keepLines w:val="0"/>
        <w:pageBreakBefore w:val="0"/>
        <w:widowControl w:val="0"/>
        <w:kinsoku/>
        <w:wordWrap/>
        <w:overflowPunct/>
        <w:topLinePunct w:val="0"/>
        <w:autoSpaceDE/>
        <w:autoSpaceDN/>
        <w:bidi w:val="0"/>
        <w:adjustRightInd/>
        <w:snapToGrid/>
        <w:spacing w:line="300" w:lineRule="auto"/>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rPr>
        <w:t>2、我们承诺提交的环境影响评价文件报批稿已按照技术评估的要求修改完善，本报批稿的内容与经技术评估同意报批的版本内容完全一致，我们将承担由此引起的一切责任。</w:t>
      </w:r>
    </w:p>
    <w:p w14:paraId="6C0E6D23">
      <w:pPr>
        <w:ind w:firstLine="560" w:firstLineChars="200"/>
        <w:rPr>
          <w:rFonts w:hint="eastAsia" w:ascii="仿宋_GB2312" w:eastAsia="仿宋_GB2312"/>
          <w:color w:val="auto"/>
          <w:sz w:val="28"/>
          <w:szCs w:val="28"/>
        </w:rPr>
      </w:pPr>
      <w:r>
        <w:rPr>
          <w:rFonts w:hint="eastAsia" w:ascii="仿宋_GB2312" w:eastAsia="仿宋_GB2312"/>
          <w:color w:val="auto"/>
          <w:sz w:val="28"/>
          <w:szCs w:val="28"/>
        </w:rPr>
        <w:t>3、在项目施工期和营运期，严格按照环境影响评价文件及批复要求落实各项污染防治和风险事故防范措施，如因措施不当引起的环境影响或环境事故责任由建设单位承担。</w:t>
      </w:r>
    </w:p>
    <w:p w14:paraId="278A13F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4、我们承诺廉洁自律，严格按照法定条件和程序办理项目申请手续，绝不以任何不正当手段干扰项目评估及审批管理人员，以保证项目审批公正性。</w:t>
      </w:r>
    </w:p>
    <w:p w14:paraId="1FF8D7B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建设单位（盖章）               评价单位（盖章）</w:t>
      </w:r>
    </w:p>
    <w:p w14:paraId="3D4A082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法定代表人（签名）             法定代表人（签名）</w:t>
      </w:r>
    </w:p>
    <w:p w14:paraId="6C645B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年  月  日</w:t>
      </w:r>
    </w:p>
    <w:p w14:paraId="7A0D80EE">
      <w:pPr>
        <w:pStyle w:val="6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lang w:eastAsia="zh-CN"/>
        </w:rPr>
        <w:sectPr>
          <w:pgSz w:w="11906" w:h="16838"/>
          <w:pgMar w:top="1134" w:right="1803" w:bottom="1134" w:left="1803" w:header="992" w:footer="992" w:gutter="0"/>
          <w:cols w:space="720" w:num="1"/>
          <w:docGrid w:type="lines" w:linePitch="312" w:charSpace="0"/>
        </w:sectPr>
      </w:pPr>
    </w:p>
    <w:p w14:paraId="6B112AD9">
      <w:pPr>
        <w:pStyle w:val="6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lang w:eastAsia="zh-CN"/>
        </w:rPr>
        <w:sectPr>
          <w:pgSz w:w="11906" w:h="16838"/>
          <w:pgMar w:top="1134" w:right="1803" w:bottom="1134" w:left="1803" w:header="992" w:footer="992" w:gutter="0"/>
          <w:cols w:space="720" w:num="1"/>
          <w:docGrid w:type="lines" w:linePitch="312" w:charSpace="0"/>
        </w:sectPr>
      </w:pPr>
    </w:p>
    <w:p w14:paraId="71D75693">
      <w:pPr>
        <w:pStyle w:val="62"/>
        <w:bidi w:val="0"/>
        <w:rPr>
          <w:rFonts w:hint="eastAsia" w:eastAsia="宋体"/>
          <w:color w:val="auto"/>
          <w:lang w:eastAsia="zh-CN"/>
        </w:rPr>
        <w:sectPr>
          <w:pgSz w:w="11906" w:h="16838"/>
          <w:pgMar w:top="1417" w:right="1417" w:bottom="1417" w:left="1417" w:header="992" w:footer="992" w:gutter="0"/>
          <w:cols w:space="720" w:num="1"/>
          <w:docGrid w:type="lines" w:linePitch="312" w:charSpace="0"/>
        </w:sectPr>
      </w:pPr>
    </w:p>
    <w:p w14:paraId="0D536291">
      <w:pPr>
        <w:pStyle w:val="62"/>
        <w:bidi w:val="0"/>
        <w:rPr>
          <w:rFonts w:hint="eastAsia" w:eastAsia="宋体"/>
          <w:color w:val="auto"/>
          <w:lang w:eastAsia="zh-CN"/>
        </w:rPr>
        <w:sectPr>
          <w:pgSz w:w="11906" w:h="16838"/>
          <w:pgMar w:top="1417" w:right="1417" w:bottom="1417" w:left="1417" w:header="992" w:footer="992" w:gutter="0"/>
          <w:cols w:space="720" w:num="1"/>
          <w:docGrid w:type="lines" w:linePitch="312" w:charSpace="0"/>
        </w:sectPr>
      </w:pPr>
    </w:p>
    <w:p w14:paraId="75026834">
      <w:pPr>
        <w:pStyle w:val="66"/>
        <w:rPr>
          <w:color w:val="auto"/>
        </w:rPr>
      </w:pPr>
      <w:bookmarkStart w:id="2" w:name="_Toc16623"/>
      <w:r>
        <w:rPr>
          <w:rFonts w:hint="eastAsia"/>
          <w:color w:val="auto"/>
        </w:rPr>
        <w:t>目 录</w:t>
      </w:r>
      <w:bookmarkEnd w:id="1"/>
      <w:bookmarkEnd w:id="2"/>
    </w:p>
    <w:p w14:paraId="5F9503D2">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color w:val="auto"/>
        </w:rPr>
        <w:instrText xml:space="preserve">TOC \o "1-2" \h  \u </w:instrText>
      </w:r>
      <w:r>
        <w:rPr>
          <w:rFonts w:hint="eastAsia"/>
          <w:color w:val="auto"/>
        </w:rPr>
        <w:fldChar w:fldCharType="separate"/>
      </w:r>
      <w:r>
        <w:rPr>
          <w:rFonts w:hint="eastAsia"/>
          <w:color w:val="auto"/>
        </w:rPr>
        <w:fldChar w:fldCharType="begin"/>
      </w:r>
      <w:r>
        <w:rPr>
          <w:rFonts w:hint="eastAsia"/>
        </w:rPr>
        <w:instrText xml:space="preserve"> HYPERLINK \l _Toc16623 </w:instrText>
      </w:r>
      <w:r>
        <w:rPr>
          <w:rFonts w:hint="eastAsia"/>
        </w:rPr>
        <w:fldChar w:fldCharType="separate"/>
      </w:r>
      <w:r>
        <w:rPr>
          <w:rFonts w:hint="eastAsia"/>
        </w:rPr>
        <w:t>目 录</w:t>
      </w:r>
      <w:r>
        <w:tab/>
      </w:r>
      <w:r>
        <w:fldChar w:fldCharType="begin"/>
      </w:r>
      <w:r>
        <w:instrText xml:space="preserve"> PAGEREF _Toc16623 \h </w:instrText>
      </w:r>
      <w:r>
        <w:fldChar w:fldCharType="separate"/>
      </w:r>
      <w:r>
        <w:t>I</w:t>
      </w:r>
      <w:r>
        <w:fldChar w:fldCharType="end"/>
      </w:r>
      <w:r>
        <w:rPr>
          <w:rFonts w:hint="eastAsia"/>
          <w:color w:val="auto"/>
        </w:rPr>
        <w:fldChar w:fldCharType="end"/>
      </w:r>
    </w:p>
    <w:p w14:paraId="110AE298">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_Toc28191 </w:instrText>
      </w:r>
      <w:r>
        <w:rPr>
          <w:rFonts w:hint="eastAsia"/>
        </w:rPr>
        <w:fldChar w:fldCharType="separate"/>
      </w:r>
      <w:r>
        <w:rPr>
          <w:rFonts w:hint="eastAsia"/>
        </w:rPr>
        <w:t>概  述</w:t>
      </w:r>
      <w:r>
        <w:tab/>
      </w:r>
      <w:r>
        <w:fldChar w:fldCharType="begin"/>
      </w:r>
      <w:r>
        <w:instrText xml:space="preserve"> PAGEREF _Toc28191 \h </w:instrText>
      </w:r>
      <w:r>
        <w:fldChar w:fldCharType="separate"/>
      </w:r>
      <w:r>
        <w:t>5</w:t>
      </w:r>
      <w:r>
        <w:fldChar w:fldCharType="end"/>
      </w:r>
      <w:r>
        <w:rPr>
          <w:rFonts w:hint="eastAsia"/>
          <w:color w:val="auto"/>
        </w:rPr>
        <w:fldChar w:fldCharType="end"/>
      </w:r>
    </w:p>
    <w:p w14:paraId="3A40AED0">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_Toc32379 </w:instrText>
      </w:r>
      <w:r>
        <w:rPr>
          <w:rFonts w:hint="eastAsia"/>
        </w:rPr>
        <w:fldChar w:fldCharType="separate"/>
      </w:r>
      <w:r>
        <w:rPr>
          <w:rFonts w:hint="eastAsia"/>
        </w:rPr>
        <w:t>一、项目由来</w:t>
      </w:r>
      <w:r>
        <w:tab/>
      </w:r>
      <w:r>
        <w:fldChar w:fldCharType="begin"/>
      </w:r>
      <w:r>
        <w:instrText xml:space="preserve"> PAGEREF _Toc32379 \h </w:instrText>
      </w:r>
      <w:r>
        <w:fldChar w:fldCharType="separate"/>
      </w:r>
      <w:r>
        <w:t>5</w:t>
      </w:r>
      <w:r>
        <w:fldChar w:fldCharType="end"/>
      </w:r>
      <w:r>
        <w:rPr>
          <w:rFonts w:hint="eastAsia"/>
          <w:color w:val="auto"/>
        </w:rPr>
        <w:fldChar w:fldCharType="end"/>
      </w:r>
    </w:p>
    <w:p w14:paraId="24B52B0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_Toc15758 </w:instrText>
      </w:r>
      <w:r>
        <w:rPr>
          <w:rFonts w:hint="eastAsia"/>
        </w:rPr>
        <w:fldChar w:fldCharType="separate"/>
      </w:r>
      <w:r>
        <w:rPr>
          <w:rFonts w:hint="eastAsia"/>
        </w:rPr>
        <w:t>二、环境影响评价工作过程</w:t>
      </w:r>
      <w:r>
        <w:tab/>
      </w:r>
      <w:r>
        <w:fldChar w:fldCharType="begin"/>
      </w:r>
      <w:r>
        <w:instrText xml:space="preserve"> PAGEREF _Toc15758 \h </w:instrText>
      </w:r>
      <w:r>
        <w:fldChar w:fldCharType="separate"/>
      </w:r>
      <w:r>
        <w:t>5</w:t>
      </w:r>
      <w:r>
        <w:fldChar w:fldCharType="end"/>
      </w:r>
      <w:r>
        <w:rPr>
          <w:rFonts w:hint="eastAsia"/>
          <w:color w:val="auto"/>
        </w:rPr>
        <w:fldChar w:fldCharType="end"/>
      </w:r>
    </w:p>
    <w:p w14:paraId="6917BDDA">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_Toc18445 </w:instrText>
      </w:r>
      <w:r>
        <w:rPr>
          <w:rFonts w:hint="eastAsia"/>
        </w:rPr>
        <w:fldChar w:fldCharType="separate"/>
      </w:r>
      <w:r>
        <w:rPr>
          <w:rFonts w:hint="eastAsia"/>
        </w:rPr>
        <w:t>三、关注的主要环境问题</w:t>
      </w:r>
      <w:r>
        <w:tab/>
      </w:r>
      <w:r>
        <w:fldChar w:fldCharType="begin"/>
      </w:r>
      <w:r>
        <w:instrText xml:space="preserve"> PAGEREF _Toc18445 \h </w:instrText>
      </w:r>
      <w:r>
        <w:fldChar w:fldCharType="separate"/>
      </w:r>
      <w:r>
        <w:t>6</w:t>
      </w:r>
      <w:r>
        <w:fldChar w:fldCharType="end"/>
      </w:r>
      <w:r>
        <w:rPr>
          <w:rFonts w:hint="eastAsia"/>
          <w:color w:val="auto"/>
        </w:rPr>
        <w:fldChar w:fldCharType="end"/>
      </w:r>
    </w:p>
    <w:p w14:paraId="078D32A2">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_Toc18652 </w:instrText>
      </w:r>
      <w:r>
        <w:rPr>
          <w:rFonts w:hint="eastAsia"/>
        </w:rPr>
        <w:fldChar w:fldCharType="separate"/>
      </w:r>
      <w:r>
        <w:rPr>
          <w:rFonts w:hint="eastAsia"/>
        </w:rPr>
        <w:t>四、项目可行性分析</w:t>
      </w:r>
      <w:r>
        <w:tab/>
      </w:r>
      <w:r>
        <w:fldChar w:fldCharType="begin"/>
      </w:r>
      <w:r>
        <w:instrText xml:space="preserve"> PAGEREF _Toc18652 \h </w:instrText>
      </w:r>
      <w:r>
        <w:fldChar w:fldCharType="separate"/>
      </w:r>
      <w:r>
        <w:t>7</w:t>
      </w:r>
      <w:r>
        <w:fldChar w:fldCharType="end"/>
      </w:r>
      <w:r>
        <w:rPr>
          <w:rFonts w:hint="eastAsia"/>
          <w:color w:val="auto"/>
        </w:rPr>
        <w:fldChar w:fldCharType="end"/>
      </w:r>
    </w:p>
    <w:p w14:paraId="38E0DF9B">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_Toc16189 </w:instrText>
      </w:r>
      <w:r>
        <w:rPr>
          <w:rFonts w:hint="eastAsia"/>
        </w:rPr>
        <w:fldChar w:fldCharType="separate"/>
      </w:r>
      <w:r>
        <w:rPr>
          <w:rFonts w:hint="eastAsia"/>
        </w:rPr>
        <w:t>五、环境影响报告书的主要结论</w:t>
      </w:r>
      <w:r>
        <w:tab/>
      </w:r>
      <w:r>
        <w:fldChar w:fldCharType="begin"/>
      </w:r>
      <w:r>
        <w:instrText xml:space="preserve"> PAGEREF _Toc16189 \h </w:instrText>
      </w:r>
      <w:r>
        <w:fldChar w:fldCharType="separate"/>
      </w:r>
      <w:r>
        <w:t>18</w:t>
      </w:r>
      <w:r>
        <w:fldChar w:fldCharType="end"/>
      </w:r>
      <w:r>
        <w:rPr>
          <w:rFonts w:hint="eastAsia"/>
          <w:color w:val="auto"/>
        </w:rPr>
        <w:fldChar w:fldCharType="end"/>
      </w:r>
    </w:p>
    <w:p w14:paraId="5F8F0239">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_Toc9370 </w:instrText>
      </w:r>
      <w:r>
        <w:rPr>
          <w:rFonts w:hint="eastAsia"/>
        </w:rPr>
        <w:fldChar w:fldCharType="separate"/>
      </w:r>
      <w:r>
        <w:rPr>
          <w:rFonts w:hint="default" w:ascii="Times New Roman" w:hAnsi="Times New Roman" w:eastAsia="宋体" w:cs="Times New Roman"/>
          <w:lang w:val="en-US" w:eastAsia="zh-CN"/>
        </w:rPr>
        <w:t xml:space="preserve">1. </w:t>
      </w:r>
      <w:r>
        <w:rPr>
          <w:rFonts w:hint="eastAsia" w:ascii="Times New Roman" w:hAnsi="Times New Roman" w:eastAsia="宋体" w:cs="Times New Roman"/>
          <w:lang w:val="en-US" w:eastAsia="zh-CN"/>
        </w:rPr>
        <w:t>总  则</w:t>
      </w:r>
      <w:r>
        <w:tab/>
      </w:r>
      <w:r>
        <w:fldChar w:fldCharType="begin"/>
      </w:r>
      <w:r>
        <w:instrText xml:space="preserve"> PAGEREF _Toc9370 \h </w:instrText>
      </w:r>
      <w:r>
        <w:fldChar w:fldCharType="separate"/>
      </w:r>
      <w:r>
        <w:t>22</w:t>
      </w:r>
      <w:r>
        <w:fldChar w:fldCharType="end"/>
      </w:r>
      <w:r>
        <w:rPr>
          <w:rFonts w:hint="eastAsia"/>
          <w:color w:val="auto"/>
        </w:rPr>
        <w:fldChar w:fldCharType="end"/>
      </w:r>
    </w:p>
    <w:p w14:paraId="1E1FF7C7">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_Toc16948 </w:instrText>
      </w:r>
      <w:r>
        <w:rPr>
          <w:rFonts w:hint="eastAsia"/>
        </w:rPr>
        <w:fldChar w:fldCharType="separate"/>
      </w:r>
      <w:r>
        <w:rPr>
          <w:rFonts w:hint="default"/>
        </w:rPr>
        <w:t xml:space="preserve">1.1. </w:t>
      </w:r>
      <w:r>
        <w:rPr>
          <w:rFonts w:hint="eastAsia"/>
        </w:rPr>
        <w:t>编制依据</w:t>
      </w:r>
      <w:r>
        <w:tab/>
      </w:r>
      <w:r>
        <w:fldChar w:fldCharType="begin"/>
      </w:r>
      <w:r>
        <w:instrText xml:space="preserve"> PAGEREF _Toc16948 \h </w:instrText>
      </w:r>
      <w:r>
        <w:fldChar w:fldCharType="separate"/>
      </w:r>
      <w:r>
        <w:t>23</w:t>
      </w:r>
      <w:r>
        <w:fldChar w:fldCharType="end"/>
      </w:r>
      <w:r>
        <w:rPr>
          <w:rFonts w:hint="eastAsia"/>
          <w:color w:val="auto"/>
        </w:rPr>
        <w:fldChar w:fldCharType="end"/>
      </w:r>
    </w:p>
    <w:p w14:paraId="734CE239">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_Toc19142 </w:instrText>
      </w:r>
      <w:r>
        <w:rPr>
          <w:rFonts w:hint="eastAsia"/>
        </w:rPr>
        <w:fldChar w:fldCharType="separate"/>
      </w:r>
      <w:r>
        <w:rPr>
          <w:rFonts w:hint="default" w:ascii="Times New Roman" w:hAnsi="Times New Roman" w:eastAsia="宋体" w:cs="Times New Roman"/>
        </w:rPr>
        <w:t xml:space="preserve">1.2. </w:t>
      </w:r>
      <w:r>
        <w:rPr>
          <w:rFonts w:hint="eastAsia" w:ascii="Times New Roman" w:hAnsi="Times New Roman" w:eastAsia="宋体" w:cs="Times New Roman"/>
        </w:rPr>
        <w:t>污染控制与环境保护目标</w:t>
      </w:r>
      <w:r>
        <w:tab/>
      </w:r>
      <w:r>
        <w:fldChar w:fldCharType="begin"/>
      </w:r>
      <w:r>
        <w:instrText xml:space="preserve"> PAGEREF _Toc19142 \h </w:instrText>
      </w:r>
      <w:r>
        <w:fldChar w:fldCharType="separate"/>
      </w:r>
      <w:r>
        <w:t>28</w:t>
      </w:r>
      <w:r>
        <w:fldChar w:fldCharType="end"/>
      </w:r>
      <w:r>
        <w:rPr>
          <w:rFonts w:hint="eastAsia"/>
          <w:color w:val="auto"/>
        </w:rPr>
        <w:fldChar w:fldCharType="end"/>
      </w:r>
    </w:p>
    <w:p w14:paraId="5DBC21BA">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_Toc28063 </w:instrText>
      </w:r>
      <w:r>
        <w:rPr>
          <w:rFonts w:hint="eastAsia"/>
        </w:rPr>
        <w:fldChar w:fldCharType="separate"/>
      </w:r>
      <w:r>
        <w:rPr>
          <w:rFonts w:hint="default" w:ascii="Times New Roman" w:hAnsi="Times New Roman" w:eastAsia="宋体" w:cs="Times New Roman"/>
        </w:rPr>
        <w:t xml:space="preserve">1.3. </w:t>
      </w:r>
      <w:r>
        <w:rPr>
          <w:rFonts w:hint="eastAsia" w:ascii="Times New Roman" w:hAnsi="Times New Roman" w:eastAsia="宋体" w:cs="Times New Roman"/>
        </w:rPr>
        <w:t>环境功能区划</w:t>
      </w:r>
      <w:r>
        <w:tab/>
      </w:r>
      <w:r>
        <w:fldChar w:fldCharType="begin"/>
      </w:r>
      <w:r>
        <w:instrText xml:space="preserve"> PAGEREF _Toc28063 \h </w:instrText>
      </w:r>
      <w:r>
        <w:fldChar w:fldCharType="separate"/>
      </w:r>
      <w:r>
        <w:t>32</w:t>
      </w:r>
      <w:r>
        <w:fldChar w:fldCharType="end"/>
      </w:r>
      <w:r>
        <w:rPr>
          <w:rFonts w:hint="eastAsia"/>
          <w:color w:val="auto"/>
        </w:rPr>
        <w:fldChar w:fldCharType="end"/>
      </w:r>
    </w:p>
    <w:p w14:paraId="41525221">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_Toc27992 </w:instrText>
      </w:r>
      <w:r>
        <w:rPr>
          <w:rFonts w:hint="eastAsia"/>
        </w:rPr>
        <w:fldChar w:fldCharType="separate"/>
      </w:r>
      <w:r>
        <w:rPr>
          <w:rFonts w:hint="default" w:ascii="Times New Roman" w:hAnsi="Times New Roman" w:eastAsia="宋体" w:cs="Times New Roman"/>
        </w:rPr>
        <w:t xml:space="preserve">1.4. </w:t>
      </w:r>
      <w:r>
        <w:rPr>
          <w:rFonts w:hint="eastAsia" w:ascii="Times New Roman" w:hAnsi="Times New Roman" w:eastAsia="宋体" w:cs="Times New Roman"/>
        </w:rPr>
        <w:t>评价因子与评价标准</w:t>
      </w:r>
      <w:r>
        <w:tab/>
      </w:r>
      <w:r>
        <w:fldChar w:fldCharType="begin"/>
      </w:r>
      <w:r>
        <w:instrText xml:space="preserve"> PAGEREF _Toc27992 \h </w:instrText>
      </w:r>
      <w:r>
        <w:fldChar w:fldCharType="separate"/>
      </w:r>
      <w:r>
        <w:t>45</w:t>
      </w:r>
      <w:r>
        <w:fldChar w:fldCharType="end"/>
      </w:r>
      <w:r>
        <w:rPr>
          <w:rFonts w:hint="eastAsia"/>
          <w:color w:val="auto"/>
        </w:rPr>
        <w:fldChar w:fldCharType="end"/>
      </w:r>
    </w:p>
    <w:p w14:paraId="765FC7F9">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_Toc7056 </w:instrText>
      </w:r>
      <w:r>
        <w:rPr>
          <w:rFonts w:hint="eastAsia"/>
        </w:rPr>
        <w:fldChar w:fldCharType="separate"/>
      </w:r>
      <w:r>
        <w:rPr>
          <w:rFonts w:hint="default" w:ascii="Times New Roman" w:hAnsi="Times New Roman" w:eastAsia="宋体" w:cs="Times New Roman"/>
        </w:rPr>
        <w:t xml:space="preserve">1.5. </w:t>
      </w:r>
      <w:r>
        <w:rPr>
          <w:rFonts w:hint="eastAsia" w:ascii="Times New Roman" w:hAnsi="Times New Roman" w:eastAsia="宋体" w:cs="Times New Roman"/>
        </w:rPr>
        <w:t>评价工作等级</w:t>
      </w:r>
      <w:r>
        <w:tab/>
      </w:r>
      <w:r>
        <w:fldChar w:fldCharType="begin"/>
      </w:r>
      <w:r>
        <w:instrText xml:space="preserve"> PAGEREF _Toc7056 \h </w:instrText>
      </w:r>
      <w:r>
        <w:fldChar w:fldCharType="separate"/>
      </w:r>
      <w:r>
        <w:t>54</w:t>
      </w:r>
      <w:r>
        <w:fldChar w:fldCharType="end"/>
      </w:r>
      <w:r>
        <w:rPr>
          <w:rFonts w:hint="eastAsia"/>
          <w:color w:val="auto"/>
        </w:rPr>
        <w:fldChar w:fldCharType="end"/>
      </w:r>
    </w:p>
    <w:p w14:paraId="454B876F">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_Toc5674 </w:instrText>
      </w:r>
      <w:r>
        <w:rPr>
          <w:rFonts w:hint="eastAsia"/>
        </w:rPr>
        <w:fldChar w:fldCharType="separate"/>
      </w:r>
      <w:r>
        <w:rPr>
          <w:rFonts w:hint="default" w:ascii="Times New Roman" w:hAnsi="Times New Roman" w:eastAsia="宋体" w:cs="Times New Roman"/>
        </w:rPr>
        <w:t xml:space="preserve">1.6. </w:t>
      </w:r>
      <w:r>
        <w:rPr>
          <w:rFonts w:hint="eastAsia" w:ascii="Times New Roman" w:hAnsi="Times New Roman" w:eastAsia="宋体" w:cs="Times New Roman"/>
        </w:rPr>
        <w:t>评价范围</w:t>
      </w:r>
      <w:r>
        <w:tab/>
      </w:r>
      <w:r>
        <w:fldChar w:fldCharType="begin"/>
      </w:r>
      <w:r>
        <w:instrText xml:space="preserve"> PAGEREF _Toc5674 \h </w:instrText>
      </w:r>
      <w:r>
        <w:fldChar w:fldCharType="separate"/>
      </w:r>
      <w:r>
        <w:t>62</w:t>
      </w:r>
      <w:r>
        <w:fldChar w:fldCharType="end"/>
      </w:r>
      <w:r>
        <w:rPr>
          <w:rFonts w:hint="eastAsia"/>
          <w:color w:val="auto"/>
        </w:rPr>
        <w:fldChar w:fldCharType="end"/>
      </w:r>
    </w:p>
    <w:p w14:paraId="6BD3261E">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_Toc11847 </w:instrText>
      </w:r>
      <w:r>
        <w:rPr>
          <w:rFonts w:hint="eastAsia"/>
        </w:rPr>
        <w:fldChar w:fldCharType="separate"/>
      </w:r>
      <w:r>
        <w:rPr>
          <w:rFonts w:hint="default" w:ascii="Times New Roman" w:hAnsi="Times New Roman" w:eastAsia="宋体" w:cs="Times New Roman"/>
        </w:rPr>
        <w:t xml:space="preserve">1.7. </w:t>
      </w:r>
      <w:r>
        <w:rPr>
          <w:rFonts w:hint="eastAsia" w:ascii="Times New Roman" w:hAnsi="Times New Roman" w:eastAsia="宋体" w:cs="Times New Roman"/>
        </w:rPr>
        <w:t>评价因子</w:t>
      </w:r>
      <w:r>
        <w:tab/>
      </w:r>
      <w:r>
        <w:fldChar w:fldCharType="begin"/>
      </w:r>
      <w:r>
        <w:instrText xml:space="preserve"> PAGEREF _Toc11847 \h </w:instrText>
      </w:r>
      <w:r>
        <w:fldChar w:fldCharType="separate"/>
      </w:r>
      <w:r>
        <w:t>63</w:t>
      </w:r>
      <w:r>
        <w:fldChar w:fldCharType="end"/>
      </w:r>
      <w:r>
        <w:rPr>
          <w:rFonts w:hint="eastAsia"/>
          <w:color w:val="auto"/>
        </w:rPr>
        <w:fldChar w:fldCharType="end"/>
      </w:r>
    </w:p>
    <w:p w14:paraId="22E2B84B">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_Toc18212 </w:instrText>
      </w:r>
      <w:r>
        <w:rPr>
          <w:rFonts w:hint="eastAsia"/>
        </w:rPr>
        <w:fldChar w:fldCharType="separate"/>
      </w:r>
      <w:r>
        <w:rPr>
          <w:rFonts w:hint="default"/>
        </w:rPr>
        <w:t xml:space="preserve">2. </w:t>
      </w:r>
      <w:r>
        <w:rPr>
          <w:rFonts w:hint="eastAsia"/>
        </w:rPr>
        <w:t>工程分析</w:t>
      </w:r>
      <w:r>
        <w:tab/>
      </w:r>
      <w:r>
        <w:fldChar w:fldCharType="begin"/>
      </w:r>
      <w:r>
        <w:instrText xml:space="preserve"> PAGEREF _Toc18212 \h </w:instrText>
      </w:r>
      <w:r>
        <w:fldChar w:fldCharType="separate"/>
      </w:r>
      <w:r>
        <w:t>64</w:t>
      </w:r>
      <w:r>
        <w:fldChar w:fldCharType="end"/>
      </w:r>
      <w:r>
        <w:rPr>
          <w:rFonts w:hint="eastAsia"/>
          <w:color w:val="auto"/>
        </w:rPr>
        <w:fldChar w:fldCharType="end"/>
      </w:r>
    </w:p>
    <w:p w14:paraId="3E844A1C">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_Toc11810 </w:instrText>
      </w:r>
      <w:r>
        <w:rPr>
          <w:rFonts w:hint="eastAsia"/>
        </w:rPr>
        <w:fldChar w:fldCharType="separate"/>
      </w:r>
      <w:r>
        <w:rPr>
          <w:rFonts w:hint="default"/>
        </w:rPr>
        <w:t xml:space="preserve">2.1. </w:t>
      </w:r>
      <w:r>
        <w:rPr>
          <w:rFonts w:hint="eastAsia"/>
        </w:rPr>
        <w:t>项目基本情况</w:t>
      </w:r>
      <w:r>
        <w:tab/>
      </w:r>
      <w:r>
        <w:fldChar w:fldCharType="begin"/>
      </w:r>
      <w:r>
        <w:instrText xml:space="preserve"> PAGEREF _Toc11810 \h </w:instrText>
      </w:r>
      <w:r>
        <w:fldChar w:fldCharType="separate"/>
      </w:r>
      <w:r>
        <w:t>64</w:t>
      </w:r>
      <w:r>
        <w:fldChar w:fldCharType="end"/>
      </w:r>
      <w:r>
        <w:rPr>
          <w:rFonts w:hint="eastAsia"/>
          <w:color w:val="auto"/>
        </w:rPr>
        <w:fldChar w:fldCharType="end"/>
      </w:r>
    </w:p>
    <w:p w14:paraId="251F7B1F">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_Toc9433 </w:instrText>
      </w:r>
      <w:r>
        <w:rPr>
          <w:rFonts w:hint="eastAsia"/>
        </w:rPr>
        <w:fldChar w:fldCharType="separate"/>
      </w:r>
      <w:r>
        <w:rPr>
          <w:rFonts w:hint="default" w:ascii="Times New Roman" w:hAnsi="Times New Roman" w:eastAsia="宋体" w:cs="Times New Roman"/>
        </w:rPr>
        <w:t xml:space="preserve">2.2. </w:t>
      </w:r>
      <w:r>
        <w:rPr>
          <w:rFonts w:hint="eastAsia" w:ascii="Times New Roman" w:hAnsi="Times New Roman" w:eastAsia="宋体" w:cs="Times New Roman"/>
        </w:rPr>
        <w:t>项目工程组成</w:t>
      </w:r>
      <w:r>
        <w:tab/>
      </w:r>
      <w:r>
        <w:fldChar w:fldCharType="begin"/>
      </w:r>
      <w:r>
        <w:instrText xml:space="preserve"> PAGEREF _Toc9433 \h </w:instrText>
      </w:r>
      <w:r>
        <w:fldChar w:fldCharType="separate"/>
      </w:r>
      <w:r>
        <w:t>66</w:t>
      </w:r>
      <w:r>
        <w:fldChar w:fldCharType="end"/>
      </w:r>
      <w:r>
        <w:rPr>
          <w:rFonts w:hint="eastAsia"/>
          <w:color w:val="auto"/>
        </w:rPr>
        <w:fldChar w:fldCharType="end"/>
      </w:r>
    </w:p>
    <w:p w14:paraId="5D92E30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_Toc15443 </w:instrText>
      </w:r>
      <w:r>
        <w:rPr>
          <w:rFonts w:hint="eastAsia"/>
        </w:rPr>
        <w:fldChar w:fldCharType="separate"/>
      </w:r>
      <w:r>
        <w:rPr>
          <w:rFonts w:hint="default" w:ascii="Times New Roman" w:hAnsi="Times New Roman" w:eastAsia="宋体" w:cs="Times New Roman"/>
        </w:rPr>
        <w:t xml:space="preserve">2.3. </w:t>
      </w:r>
      <w:r>
        <w:rPr>
          <w:rFonts w:hint="eastAsia" w:ascii="Times New Roman" w:hAnsi="Times New Roman" w:eastAsia="宋体" w:cs="Times New Roman"/>
        </w:rPr>
        <w:t>产品方案</w:t>
      </w:r>
      <w:r>
        <w:tab/>
      </w:r>
      <w:r>
        <w:fldChar w:fldCharType="begin"/>
      </w:r>
      <w:r>
        <w:instrText xml:space="preserve"> PAGEREF _Toc15443 \h </w:instrText>
      </w:r>
      <w:r>
        <w:fldChar w:fldCharType="separate"/>
      </w:r>
      <w:r>
        <w:t>69</w:t>
      </w:r>
      <w:r>
        <w:fldChar w:fldCharType="end"/>
      </w:r>
      <w:r>
        <w:rPr>
          <w:rFonts w:hint="eastAsia"/>
          <w:color w:val="auto"/>
        </w:rPr>
        <w:fldChar w:fldCharType="end"/>
      </w:r>
    </w:p>
    <w:p w14:paraId="2D6B66B1">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_Toc18165 </w:instrText>
      </w:r>
      <w:r>
        <w:rPr>
          <w:rFonts w:hint="eastAsia"/>
        </w:rPr>
        <w:fldChar w:fldCharType="separate"/>
      </w:r>
      <w:r>
        <w:rPr>
          <w:rFonts w:hint="default" w:ascii="Times New Roman" w:hAnsi="Times New Roman" w:eastAsia="宋体" w:cs="Times New Roman"/>
        </w:rPr>
        <w:t xml:space="preserve">2.4. </w:t>
      </w:r>
      <w:r>
        <w:rPr>
          <w:rFonts w:hint="eastAsia" w:ascii="Times New Roman" w:hAnsi="Times New Roman" w:eastAsia="宋体" w:cs="Times New Roman"/>
        </w:rPr>
        <w:t>主要生产设备</w:t>
      </w:r>
      <w:r>
        <w:tab/>
      </w:r>
      <w:r>
        <w:fldChar w:fldCharType="begin"/>
      </w:r>
      <w:r>
        <w:instrText xml:space="preserve"> PAGEREF _Toc18165 \h </w:instrText>
      </w:r>
      <w:r>
        <w:fldChar w:fldCharType="separate"/>
      </w:r>
      <w:r>
        <w:t>70</w:t>
      </w:r>
      <w:r>
        <w:fldChar w:fldCharType="end"/>
      </w:r>
      <w:r>
        <w:rPr>
          <w:rFonts w:hint="eastAsia"/>
          <w:color w:val="auto"/>
        </w:rPr>
        <w:fldChar w:fldCharType="end"/>
      </w:r>
    </w:p>
    <w:p w14:paraId="63F32C37">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_Toc10255 </w:instrText>
      </w:r>
      <w:r>
        <w:rPr>
          <w:rFonts w:hint="eastAsia"/>
        </w:rPr>
        <w:fldChar w:fldCharType="separate"/>
      </w:r>
      <w:r>
        <w:rPr>
          <w:rFonts w:hint="default" w:ascii="Times New Roman" w:hAnsi="Times New Roman" w:eastAsia="宋体" w:cs="Times New Roman"/>
        </w:rPr>
        <w:t xml:space="preserve">2.5. </w:t>
      </w:r>
      <w:r>
        <w:rPr>
          <w:rFonts w:hint="eastAsia" w:ascii="Times New Roman" w:hAnsi="Times New Roman" w:eastAsia="宋体" w:cs="Times New Roman"/>
        </w:rPr>
        <w:t>主要原辅材料及资源能源消耗</w:t>
      </w:r>
      <w:r>
        <w:tab/>
      </w:r>
      <w:r>
        <w:fldChar w:fldCharType="begin"/>
      </w:r>
      <w:r>
        <w:instrText xml:space="preserve"> PAGEREF _Toc10255 \h </w:instrText>
      </w:r>
      <w:r>
        <w:fldChar w:fldCharType="separate"/>
      </w:r>
      <w:r>
        <w:t>71</w:t>
      </w:r>
      <w:r>
        <w:fldChar w:fldCharType="end"/>
      </w:r>
      <w:r>
        <w:rPr>
          <w:rFonts w:hint="eastAsia"/>
          <w:color w:val="auto"/>
        </w:rPr>
        <w:fldChar w:fldCharType="end"/>
      </w:r>
    </w:p>
    <w:p w14:paraId="076DF32A">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_Toc25899 </w:instrText>
      </w:r>
      <w:r>
        <w:rPr>
          <w:rFonts w:hint="eastAsia"/>
        </w:rPr>
        <w:fldChar w:fldCharType="separate"/>
      </w:r>
      <w:r>
        <w:rPr>
          <w:rFonts w:hint="default" w:ascii="Times New Roman" w:hAnsi="Times New Roman" w:eastAsia="宋体" w:cs="Times New Roman"/>
        </w:rPr>
        <w:t xml:space="preserve">2.6. </w:t>
      </w:r>
      <w:r>
        <w:rPr>
          <w:rFonts w:hint="eastAsia" w:ascii="Times New Roman" w:hAnsi="Times New Roman" w:eastAsia="宋体" w:cs="Times New Roman"/>
        </w:rPr>
        <w:t>公用工程</w:t>
      </w:r>
      <w:r>
        <w:tab/>
      </w:r>
      <w:r>
        <w:fldChar w:fldCharType="begin"/>
      </w:r>
      <w:r>
        <w:instrText xml:space="preserve"> PAGEREF _Toc25899 \h </w:instrText>
      </w:r>
      <w:r>
        <w:fldChar w:fldCharType="separate"/>
      </w:r>
      <w:r>
        <w:t>79</w:t>
      </w:r>
      <w:r>
        <w:fldChar w:fldCharType="end"/>
      </w:r>
      <w:r>
        <w:rPr>
          <w:rFonts w:hint="eastAsia"/>
          <w:color w:val="auto"/>
        </w:rPr>
        <w:fldChar w:fldCharType="end"/>
      </w:r>
    </w:p>
    <w:p w14:paraId="4BDB324B">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_Toc8778 </w:instrText>
      </w:r>
      <w:r>
        <w:rPr>
          <w:rFonts w:hint="eastAsia"/>
        </w:rPr>
        <w:fldChar w:fldCharType="separate"/>
      </w:r>
      <w:r>
        <w:rPr>
          <w:rFonts w:hint="default" w:ascii="Times New Roman" w:hAnsi="Times New Roman" w:eastAsia="宋体" w:cs="Times New Roman"/>
        </w:rPr>
        <w:t xml:space="preserve">2.7. </w:t>
      </w:r>
      <w:r>
        <w:rPr>
          <w:rFonts w:hint="eastAsia" w:ascii="Times New Roman" w:hAnsi="Times New Roman" w:eastAsia="宋体" w:cs="Times New Roman"/>
        </w:rPr>
        <w:t>项目工艺流程及产污环节</w:t>
      </w:r>
      <w:r>
        <w:tab/>
      </w:r>
      <w:r>
        <w:fldChar w:fldCharType="begin"/>
      </w:r>
      <w:r>
        <w:instrText xml:space="preserve"> PAGEREF _Toc8778 \h </w:instrText>
      </w:r>
      <w:r>
        <w:fldChar w:fldCharType="separate"/>
      </w:r>
      <w:r>
        <w:t>81</w:t>
      </w:r>
      <w:r>
        <w:fldChar w:fldCharType="end"/>
      </w:r>
      <w:r>
        <w:rPr>
          <w:rFonts w:hint="eastAsia"/>
          <w:color w:val="auto"/>
        </w:rPr>
        <w:fldChar w:fldCharType="end"/>
      </w:r>
    </w:p>
    <w:p w14:paraId="3FEFA26A">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_Toc3205 </w:instrText>
      </w:r>
      <w:r>
        <w:rPr>
          <w:rFonts w:hint="eastAsia"/>
        </w:rPr>
        <w:fldChar w:fldCharType="separate"/>
      </w:r>
      <w:r>
        <w:rPr>
          <w:rFonts w:hint="default" w:ascii="Times New Roman" w:hAnsi="Times New Roman" w:eastAsia="宋体" w:cs="Times New Roman"/>
        </w:rPr>
        <w:t xml:space="preserve">2.8. </w:t>
      </w:r>
      <w:r>
        <w:rPr>
          <w:rFonts w:hint="eastAsia" w:ascii="Times New Roman" w:hAnsi="Times New Roman" w:eastAsia="宋体" w:cs="Times New Roman"/>
        </w:rPr>
        <w:t>营运期污染源分析</w:t>
      </w:r>
      <w:r>
        <w:tab/>
      </w:r>
      <w:r>
        <w:fldChar w:fldCharType="begin"/>
      </w:r>
      <w:r>
        <w:instrText xml:space="preserve"> PAGEREF _Toc3205 \h </w:instrText>
      </w:r>
      <w:r>
        <w:fldChar w:fldCharType="separate"/>
      </w:r>
      <w:r>
        <w:t>89</w:t>
      </w:r>
      <w:r>
        <w:fldChar w:fldCharType="end"/>
      </w:r>
      <w:r>
        <w:rPr>
          <w:rFonts w:hint="eastAsia"/>
          <w:color w:val="auto"/>
        </w:rPr>
        <w:fldChar w:fldCharType="end"/>
      </w:r>
    </w:p>
    <w:p w14:paraId="17BDF734">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_Toc11326 </w:instrText>
      </w:r>
      <w:r>
        <w:rPr>
          <w:rFonts w:hint="eastAsia"/>
        </w:rPr>
        <w:fldChar w:fldCharType="separate"/>
      </w:r>
      <w:r>
        <w:rPr>
          <w:rFonts w:hint="default" w:ascii="Times New Roman" w:hAnsi="Times New Roman" w:eastAsia="宋体" w:cs="Times New Roman"/>
        </w:rPr>
        <w:t xml:space="preserve">2.9. </w:t>
      </w:r>
      <w:r>
        <w:rPr>
          <w:rFonts w:hint="eastAsia" w:ascii="Times New Roman" w:hAnsi="Times New Roman" w:eastAsia="宋体" w:cs="Times New Roman"/>
        </w:rPr>
        <w:t>施工期污染源分析</w:t>
      </w:r>
      <w:r>
        <w:tab/>
      </w:r>
      <w:r>
        <w:fldChar w:fldCharType="begin"/>
      </w:r>
      <w:r>
        <w:instrText xml:space="preserve"> PAGEREF _Toc11326 \h </w:instrText>
      </w:r>
      <w:r>
        <w:fldChar w:fldCharType="separate"/>
      </w:r>
      <w:r>
        <w:t>106</w:t>
      </w:r>
      <w:r>
        <w:fldChar w:fldCharType="end"/>
      </w:r>
      <w:r>
        <w:rPr>
          <w:rFonts w:hint="eastAsia"/>
          <w:color w:val="auto"/>
        </w:rPr>
        <w:fldChar w:fldCharType="end"/>
      </w:r>
    </w:p>
    <w:p w14:paraId="3E7900D3">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_Toc10308 </w:instrText>
      </w:r>
      <w:r>
        <w:rPr>
          <w:rFonts w:hint="eastAsia"/>
        </w:rPr>
        <w:fldChar w:fldCharType="separate"/>
      </w:r>
      <w:r>
        <w:rPr>
          <w:rFonts w:hint="default" w:ascii="Times New Roman" w:hAnsi="Times New Roman" w:eastAsia="宋体" w:cs="Times New Roman"/>
        </w:rPr>
        <w:t xml:space="preserve">2.10. </w:t>
      </w:r>
      <w:r>
        <w:rPr>
          <w:rFonts w:hint="eastAsia" w:ascii="Times New Roman" w:hAnsi="Times New Roman" w:eastAsia="宋体" w:cs="Times New Roman"/>
        </w:rPr>
        <w:t>总量控制</w:t>
      </w:r>
      <w:r>
        <w:tab/>
      </w:r>
      <w:r>
        <w:fldChar w:fldCharType="begin"/>
      </w:r>
      <w:r>
        <w:instrText xml:space="preserve"> PAGEREF _Toc10308 \h </w:instrText>
      </w:r>
      <w:r>
        <w:fldChar w:fldCharType="separate"/>
      </w:r>
      <w:r>
        <w:t>106</w:t>
      </w:r>
      <w:r>
        <w:fldChar w:fldCharType="end"/>
      </w:r>
      <w:r>
        <w:rPr>
          <w:rFonts w:hint="eastAsia"/>
          <w:color w:val="auto"/>
        </w:rPr>
        <w:fldChar w:fldCharType="end"/>
      </w:r>
    </w:p>
    <w:p w14:paraId="22EC9353">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_Toc32594 </w:instrText>
      </w:r>
      <w:r>
        <w:rPr>
          <w:rFonts w:hint="eastAsia"/>
        </w:rPr>
        <w:fldChar w:fldCharType="separate"/>
      </w:r>
      <w:r>
        <w:rPr>
          <w:rFonts w:hint="default"/>
        </w:rPr>
        <w:t xml:space="preserve">3. </w:t>
      </w:r>
      <w:r>
        <w:rPr>
          <w:rFonts w:hint="eastAsia"/>
        </w:rPr>
        <w:t>环境现状调查与评价</w:t>
      </w:r>
      <w:r>
        <w:tab/>
      </w:r>
      <w:r>
        <w:fldChar w:fldCharType="begin"/>
      </w:r>
      <w:r>
        <w:instrText xml:space="preserve"> PAGEREF _Toc32594 \h </w:instrText>
      </w:r>
      <w:r>
        <w:fldChar w:fldCharType="separate"/>
      </w:r>
      <w:r>
        <w:t>107</w:t>
      </w:r>
      <w:r>
        <w:fldChar w:fldCharType="end"/>
      </w:r>
      <w:r>
        <w:rPr>
          <w:rFonts w:hint="eastAsia"/>
          <w:color w:val="auto"/>
        </w:rPr>
        <w:fldChar w:fldCharType="end"/>
      </w:r>
    </w:p>
    <w:p w14:paraId="0B298178">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_Toc17075 </w:instrText>
      </w:r>
      <w:r>
        <w:rPr>
          <w:rFonts w:hint="eastAsia"/>
        </w:rPr>
        <w:fldChar w:fldCharType="separate"/>
      </w:r>
      <w:r>
        <w:rPr>
          <w:rFonts w:hint="default"/>
        </w:rPr>
        <w:t xml:space="preserve">3.1. </w:t>
      </w:r>
      <w:r>
        <w:t>自然环境现状调查与评价</w:t>
      </w:r>
      <w:r>
        <w:tab/>
      </w:r>
      <w:r>
        <w:fldChar w:fldCharType="begin"/>
      </w:r>
      <w:r>
        <w:instrText xml:space="preserve"> PAGEREF _Toc17075 \h </w:instrText>
      </w:r>
      <w:r>
        <w:fldChar w:fldCharType="separate"/>
      </w:r>
      <w:r>
        <w:t>107</w:t>
      </w:r>
      <w:r>
        <w:fldChar w:fldCharType="end"/>
      </w:r>
      <w:r>
        <w:rPr>
          <w:rFonts w:hint="eastAsia"/>
          <w:color w:val="auto"/>
        </w:rPr>
        <w:fldChar w:fldCharType="end"/>
      </w:r>
    </w:p>
    <w:p w14:paraId="7EBF1966">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_Toc24865 </w:instrText>
      </w:r>
      <w:r>
        <w:rPr>
          <w:rFonts w:hint="eastAsia"/>
        </w:rPr>
        <w:fldChar w:fldCharType="separate"/>
      </w:r>
      <w:r>
        <w:rPr>
          <w:rFonts w:hint="default" w:ascii="Times New Roman" w:hAnsi="Times New Roman" w:eastAsia="宋体" w:cs="Times New Roman"/>
        </w:rPr>
        <w:t xml:space="preserve">3.2. </w:t>
      </w:r>
      <w:r>
        <w:rPr>
          <w:rFonts w:ascii="Times New Roman" w:hAnsi="Times New Roman" w:eastAsia="宋体" w:cs="Times New Roman"/>
        </w:rPr>
        <w:t>地表水质量现状监测与评价</w:t>
      </w:r>
      <w:r>
        <w:tab/>
      </w:r>
      <w:r>
        <w:fldChar w:fldCharType="begin"/>
      </w:r>
      <w:r>
        <w:instrText xml:space="preserve"> PAGEREF _Toc24865 \h </w:instrText>
      </w:r>
      <w:r>
        <w:fldChar w:fldCharType="separate"/>
      </w:r>
      <w:r>
        <w:t>108</w:t>
      </w:r>
      <w:r>
        <w:fldChar w:fldCharType="end"/>
      </w:r>
      <w:r>
        <w:rPr>
          <w:rFonts w:hint="eastAsia"/>
          <w:color w:val="auto"/>
        </w:rPr>
        <w:fldChar w:fldCharType="end"/>
      </w:r>
    </w:p>
    <w:p w14:paraId="6937DF2D">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_Toc17814 </w:instrText>
      </w:r>
      <w:r>
        <w:rPr>
          <w:rFonts w:hint="eastAsia"/>
        </w:rPr>
        <w:fldChar w:fldCharType="separate"/>
      </w:r>
      <w:r>
        <w:rPr>
          <w:rFonts w:hint="default" w:ascii="Times New Roman" w:hAnsi="Times New Roman" w:eastAsia="宋体" w:cs="Times New Roman"/>
        </w:rPr>
        <w:t xml:space="preserve">3.3. </w:t>
      </w:r>
      <w:r>
        <w:rPr>
          <w:rFonts w:ascii="Times New Roman" w:hAnsi="Times New Roman" w:eastAsia="宋体" w:cs="Times New Roman"/>
        </w:rPr>
        <w:t>环境空气质量现状监测与评价</w:t>
      </w:r>
      <w:r>
        <w:tab/>
      </w:r>
      <w:r>
        <w:fldChar w:fldCharType="begin"/>
      </w:r>
      <w:r>
        <w:instrText xml:space="preserve"> PAGEREF _Toc17814 \h </w:instrText>
      </w:r>
      <w:r>
        <w:fldChar w:fldCharType="separate"/>
      </w:r>
      <w:r>
        <w:t>109</w:t>
      </w:r>
      <w:r>
        <w:fldChar w:fldCharType="end"/>
      </w:r>
      <w:r>
        <w:rPr>
          <w:rFonts w:hint="eastAsia"/>
          <w:color w:val="auto"/>
        </w:rPr>
        <w:fldChar w:fldCharType="end"/>
      </w:r>
    </w:p>
    <w:p w14:paraId="2B66911D">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_Toc11428 </w:instrText>
      </w:r>
      <w:r>
        <w:rPr>
          <w:rFonts w:hint="eastAsia"/>
        </w:rPr>
        <w:fldChar w:fldCharType="separate"/>
      </w:r>
      <w:r>
        <w:rPr>
          <w:rFonts w:hint="default" w:ascii="Times New Roman" w:hAnsi="Times New Roman" w:eastAsia="宋体" w:cs="Times New Roman"/>
        </w:rPr>
        <w:t xml:space="preserve">3.4. </w:t>
      </w:r>
      <w:r>
        <w:rPr>
          <w:rFonts w:ascii="Times New Roman" w:hAnsi="Times New Roman" w:eastAsia="宋体" w:cs="Times New Roman"/>
        </w:rPr>
        <w:t>声环境质量现状监测与评价</w:t>
      </w:r>
      <w:r>
        <w:tab/>
      </w:r>
      <w:r>
        <w:fldChar w:fldCharType="begin"/>
      </w:r>
      <w:r>
        <w:instrText xml:space="preserve"> PAGEREF _Toc11428 \h </w:instrText>
      </w:r>
      <w:r>
        <w:fldChar w:fldCharType="separate"/>
      </w:r>
      <w:r>
        <w:t>114</w:t>
      </w:r>
      <w:r>
        <w:fldChar w:fldCharType="end"/>
      </w:r>
      <w:r>
        <w:rPr>
          <w:rFonts w:hint="eastAsia"/>
          <w:color w:val="auto"/>
        </w:rPr>
        <w:fldChar w:fldCharType="end"/>
      </w:r>
    </w:p>
    <w:p w14:paraId="243044B6">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_Toc32549 </w:instrText>
      </w:r>
      <w:r>
        <w:rPr>
          <w:rFonts w:hint="eastAsia"/>
        </w:rPr>
        <w:fldChar w:fldCharType="separate"/>
      </w:r>
      <w:r>
        <w:rPr>
          <w:rFonts w:hint="default" w:ascii="Times New Roman" w:hAnsi="Times New Roman" w:eastAsia="宋体" w:cs="Times New Roman"/>
        </w:rPr>
        <w:t xml:space="preserve">3.5. </w:t>
      </w:r>
      <w:r>
        <w:rPr>
          <w:rFonts w:ascii="Times New Roman" w:hAnsi="Times New Roman" w:eastAsia="宋体" w:cs="Times New Roman"/>
        </w:rPr>
        <w:t>地下水环境质量现状监测与评价</w:t>
      </w:r>
      <w:r>
        <w:tab/>
      </w:r>
      <w:r>
        <w:fldChar w:fldCharType="begin"/>
      </w:r>
      <w:r>
        <w:instrText xml:space="preserve"> PAGEREF _Toc32549 \h </w:instrText>
      </w:r>
      <w:r>
        <w:fldChar w:fldCharType="separate"/>
      </w:r>
      <w:r>
        <w:t>116</w:t>
      </w:r>
      <w:r>
        <w:fldChar w:fldCharType="end"/>
      </w:r>
      <w:r>
        <w:rPr>
          <w:rFonts w:hint="eastAsia"/>
          <w:color w:val="auto"/>
        </w:rPr>
        <w:fldChar w:fldCharType="end"/>
      </w:r>
    </w:p>
    <w:p w14:paraId="56D3EE3A">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_Toc25043 </w:instrText>
      </w:r>
      <w:r>
        <w:rPr>
          <w:rFonts w:hint="eastAsia"/>
        </w:rPr>
        <w:fldChar w:fldCharType="separate"/>
      </w:r>
      <w:r>
        <w:rPr>
          <w:rFonts w:hint="default" w:ascii="Times New Roman" w:hAnsi="Times New Roman" w:eastAsia="宋体" w:cs="Times New Roman"/>
        </w:rPr>
        <w:t xml:space="preserve">3.6. </w:t>
      </w:r>
      <w:r>
        <w:rPr>
          <w:rFonts w:hint="eastAsia" w:ascii="Times New Roman" w:hAnsi="Times New Roman" w:eastAsia="宋体" w:cs="Times New Roman"/>
        </w:rPr>
        <w:t>土壤环境现状调查与评价</w:t>
      </w:r>
      <w:r>
        <w:tab/>
      </w:r>
      <w:r>
        <w:fldChar w:fldCharType="begin"/>
      </w:r>
      <w:r>
        <w:instrText xml:space="preserve"> PAGEREF _Toc25043 \h </w:instrText>
      </w:r>
      <w:r>
        <w:fldChar w:fldCharType="separate"/>
      </w:r>
      <w:r>
        <w:t>116</w:t>
      </w:r>
      <w:r>
        <w:fldChar w:fldCharType="end"/>
      </w:r>
      <w:r>
        <w:rPr>
          <w:rFonts w:hint="eastAsia"/>
          <w:color w:val="auto"/>
        </w:rPr>
        <w:fldChar w:fldCharType="end"/>
      </w:r>
    </w:p>
    <w:p w14:paraId="2E7E3BC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_Toc6055 </w:instrText>
      </w:r>
      <w:r>
        <w:rPr>
          <w:rFonts w:hint="eastAsia"/>
        </w:rPr>
        <w:fldChar w:fldCharType="separate"/>
      </w:r>
      <w:r>
        <w:rPr>
          <w:rFonts w:hint="default" w:ascii="Times New Roman" w:hAnsi="Times New Roman" w:eastAsia="宋体" w:cs="Times New Roman"/>
        </w:rPr>
        <w:t xml:space="preserve">3.7. </w:t>
      </w:r>
      <w:r>
        <w:rPr>
          <w:rFonts w:hint="eastAsia" w:ascii="Times New Roman" w:hAnsi="Times New Roman" w:eastAsia="宋体" w:cs="Times New Roman"/>
        </w:rPr>
        <w:t>生态环境现状调查与评价</w:t>
      </w:r>
      <w:r>
        <w:tab/>
      </w:r>
      <w:r>
        <w:fldChar w:fldCharType="begin"/>
      </w:r>
      <w:r>
        <w:instrText xml:space="preserve"> PAGEREF _Toc6055 \h </w:instrText>
      </w:r>
      <w:r>
        <w:fldChar w:fldCharType="separate"/>
      </w:r>
      <w:r>
        <w:t>117</w:t>
      </w:r>
      <w:r>
        <w:fldChar w:fldCharType="end"/>
      </w:r>
      <w:r>
        <w:rPr>
          <w:rFonts w:hint="eastAsia"/>
          <w:color w:val="auto"/>
        </w:rPr>
        <w:fldChar w:fldCharType="end"/>
      </w:r>
    </w:p>
    <w:p w14:paraId="7A53A348">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_Toc22334 </w:instrText>
      </w:r>
      <w:r>
        <w:rPr>
          <w:rFonts w:hint="eastAsia"/>
        </w:rPr>
        <w:fldChar w:fldCharType="separate"/>
      </w:r>
      <w:r>
        <w:rPr>
          <w:rFonts w:hint="default" w:ascii="Times New Roman" w:hAnsi="Times New Roman" w:eastAsia="宋体" w:cs="Times New Roman"/>
        </w:rPr>
        <w:t xml:space="preserve">4. </w:t>
      </w:r>
      <w:r>
        <w:rPr>
          <w:rFonts w:hint="eastAsia" w:ascii="Times New Roman" w:hAnsi="Times New Roman" w:eastAsia="宋体" w:cs="Times New Roman"/>
        </w:rPr>
        <w:t>环境影响预测与评价</w:t>
      </w:r>
      <w:r>
        <w:tab/>
      </w:r>
      <w:r>
        <w:fldChar w:fldCharType="begin"/>
      </w:r>
      <w:r>
        <w:instrText xml:space="preserve"> PAGEREF _Toc22334 \h </w:instrText>
      </w:r>
      <w:r>
        <w:fldChar w:fldCharType="separate"/>
      </w:r>
      <w:r>
        <w:t>118</w:t>
      </w:r>
      <w:r>
        <w:fldChar w:fldCharType="end"/>
      </w:r>
      <w:r>
        <w:rPr>
          <w:rFonts w:hint="eastAsia"/>
          <w:color w:val="auto"/>
        </w:rPr>
        <w:fldChar w:fldCharType="end"/>
      </w:r>
    </w:p>
    <w:p w14:paraId="1AC66C50">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_Toc17713 </w:instrText>
      </w:r>
      <w:r>
        <w:rPr>
          <w:rFonts w:hint="eastAsia"/>
        </w:rPr>
        <w:fldChar w:fldCharType="separate"/>
      </w:r>
      <w:r>
        <w:rPr>
          <w:rFonts w:hint="default" w:ascii="Times New Roman" w:hAnsi="Times New Roman" w:eastAsia="宋体" w:cs="Times New Roman"/>
        </w:rPr>
        <w:t xml:space="preserve">4.1. </w:t>
      </w:r>
      <w:r>
        <w:rPr>
          <w:rFonts w:hint="eastAsia" w:ascii="Times New Roman" w:hAnsi="Times New Roman" w:eastAsia="宋体" w:cs="Times New Roman"/>
        </w:rPr>
        <w:t>施工期环境影响分析</w:t>
      </w:r>
      <w:r>
        <w:tab/>
      </w:r>
      <w:r>
        <w:fldChar w:fldCharType="begin"/>
      </w:r>
      <w:r>
        <w:instrText xml:space="preserve"> PAGEREF _Toc17713 \h </w:instrText>
      </w:r>
      <w:r>
        <w:fldChar w:fldCharType="separate"/>
      </w:r>
      <w:r>
        <w:t>118</w:t>
      </w:r>
      <w:r>
        <w:fldChar w:fldCharType="end"/>
      </w:r>
      <w:r>
        <w:rPr>
          <w:rFonts w:hint="eastAsia"/>
          <w:color w:val="auto"/>
        </w:rPr>
        <w:fldChar w:fldCharType="end"/>
      </w:r>
    </w:p>
    <w:p w14:paraId="03493AB9">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_Toc17764 </w:instrText>
      </w:r>
      <w:r>
        <w:rPr>
          <w:rFonts w:hint="eastAsia"/>
        </w:rPr>
        <w:fldChar w:fldCharType="separate"/>
      </w:r>
      <w:r>
        <w:rPr>
          <w:rFonts w:hint="default" w:ascii="Times New Roman" w:hAnsi="Times New Roman" w:eastAsia="宋体" w:cs="Times New Roman"/>
        </w:rPr>
        <w:t xml:space="preserve">4.2. </w:t>
      </w:r>
      <w:r>
        <w:rPr>
          <w:rFonts w:hint="eastAsia" w:ascii="Times New Roman" w:hAnsi="Times New Roman" w:eastAsia="宋体" w:cs="Times New Roman"/>
        </w:rPr>
        <w:t>营运期大气环境影响分析</w:t>
      </w:r>
      <w:r>
        <w:tab/>
      </w:r>
      <w:r>
        <w:fldChar w:fldCharType="begin"/>
      </w:r>
      <w:r>
        <w:instrText xml:space="preserve"> PAGEREF _Toc17764 \h </w:instrText>
      </w:r>
      <w:r>
        <w:fldChar w:fldCharType="separate"/>
      </w:r>
      <w:r>
        <w:t>118</w:t>
      </w:r>
      <w:r>
        <w:fldChar w:fldCharType="end"/>
      </w:r>
      <w:r>
        <w:rPr>
          <w:rFonts w:hint="eastAsia"/>
          <w:color w:val="auto"/>
        </w:rPr>
        <w:fldChar w:fldCharType="end"/>
      </w:r>
    </w:p>
    <w:p w14:paraId="42644208">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_Toc13845 </w:instrText>
      </w:r>
      <w:r>
        <w:rPr>
          <w:rFonts w:hint="eastAsia"/>
        </w:rPr>
        <w:fldChar w:fldCharType="separate"/>
      </w:r>
      <w:r>
        <w:rPr>
          <w:rFonts w:hint="default" w:ascii="Times New Roman" w:hAnsi="Times New Roman" w:eastAsia="宋体" w:cs="Times New Roman"/>
        </w:rPr>
        <w:t xml:space="preserve">4.3. </w:t>
      </w:r>
      <w:r>
        <w:rPr>
          <w:rFonts w:hint="eastAsia" w:ascii="Times New Roman" w:hAnsi="Times New Roman" w:eastAsia="宋体" w:cs="Times New Roman"/>
        </w:rPr>
        <w:t>营运期水环境影响分析</w:t>
      </w:r>
      <w:r>
        <w:tab/>
      </w:r>
      <w:r>
        <w:fldChar w:fldCharType="begin"/>
      </w:r>
      <w:r>
        <w:instrText xml:space="preserve"> PAGEREF _Toc13845 \h </w:instrText>
      </w:r>
      <w:r>
        <w:fldChar w:fldCharType="separate"/>
      </w:r>
      <w:r>
        <w:t>137</w:t>
      </w:r>
      <w:r>
        <w:fldChar w:fldCharType="end"/>
      </w:r>
      <w:r>
        <w:rPr>
          <w:rFonts w:hint="eastAsia"/>
          <w:color w:val="auto"/>
        </w:rPr>
        <w:fldChar w:fldCharType="end"/>
      </w:r>
    </w:p>
    <w:p w14:paraId="0D3E23D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_Toc25047 </w:instrText>
      </w:r>
      <w:r>
        <w:rPr>
          <w:rFonts w:hint="eastAsia"/>
        </w:rPr>
        <w:fldChar w:fldCharType="separate"/>
      </w:r>
      <w:r>
        <w:rPr>
          <w:rFonts w:hint="default" w:ascii="Times New Roman" w:hAnsi="Times New Roman" w:eastAsia="宋体" w:cs="Times New Roman"/>
        </w:rPr>
        <w:t xml:space="preserve">4.4. </w:t>
      </w:r>
      <w:r>
        <w:rPr>
          <w:rFonts w:hint="eastAsia" w:ascii="Times New Roman" w:hAnsi="Times New Roman" w:eastAsia="宋体" w:cs="Times New Roman"/>
        </w:rPr>
        <w:t>营运期噪声环境影响分析</w:t>
      </w:r>
      <w:r>
        <w:tab/>
      </w:r>
      <w:r>
        <w:fldChar w:fldCharType="begin"/>
      </w:r>
      <w:r>
        <w:instrText xml:space="preserve"> PAGEREF _Toc25047 \h </w:instrText>
      </w:r>
      <w:r>
        <w:fldChar w:fldCharType="separate"/>
      </w:r>
      <w:r>
        <w:t>141</w:t>
      </w:r>
      <w:r>
        <w:fldChar w:fldCharType="end"/>
      </w:r>
      <w:r>
        <w:rPr>
          <w:rFonts w:hint="eastAsia"/>
          <w:color w:val="auto"/>
        </w:rPr>
        <w:fldChar w:fldCharType="end"/>
      </w:r>
    </w:p>
    <w:p w14:paraId="011C93E2">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_Toc12286 </w:instrText>
      </w:r>
      <w:r>
        <w:rPr>
          <w:rFonts w:hint="eastAsia"/>
        </w:rPr>
        <w:fldChar w:fldCharType="separate"/>
      </w:r>
      <w:r>
        <w:rPr>
          <w:rFonts w:hint="default" w:ascii="Times New Roman" w:hAnsi="Times New Roman" w:eastAsia="宋体" w:cs="Times New Roman"/>
        </w:rPr>
        <w:t xml:space="preserve">4.5. </w:t>
      </w:r>
      <w:r>
        <w:rPr>
          <w:rFonts w:hint="eastAsia" w:ascii="Times New Roman" w:hAnsi="Times New Roman" w:eastAsia="宋体" w:cs="Times New Roman"/>
        </w:rPr>
        <w:t>营运期固体废物环境影响分析</w:t>
      </w:r>
      <w:r>
        <w:tab/>
      </w:r>
      <w:r>
        <w:fldChar w:fldCharType="begin"/>
      </w:r>
      <w:r>
        <w:instrText xml:space="preserve"> PAGEREF _Toc12286 \h </w:instrText>
      </w:r>
      <w:r>
        <w:fldChar w:fldCharType="separate"/>
      </w:r>
      <w:r>
        <w:t>146</w:t>
      </w:r>
      <w:r>
        <w:fldChar w:fldCharType="end"/>
      </w:r>
      <w:r>
        <w:rPr>
          <w:rFonts w:hint="eastAsia"/>
          <w:color w:val="auto"/>
        </w:rPr>
        <w:fldChar w:fldCharType="end"/>
      </w:r>
    </w:p>
    <w:p w14:paraId="13188E4A">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_Toc12401 </w:instrText>
      </w:r>
      <w:r>
        <w:rPr>
          <w:rFonts w:hint="eastAsia"/>
        </w:rPr>
        <w:fldChar w:fldCharType="separate"/>
      </w:r>
      <w:r>
        <w:rPr>
          <w:rFonts w:hint="default" w:ascii="Times New Roman" w:hAnsi="Times New Roman" w:eastAsia="宋体" w:cs="Times New Roman"/>
        </w:rPr>
        <w:t xml:space="preserve">4.6. </w:t>
      </w:r>
      <w:r>
        <w:rPr>
          <w:rFonts w:hint="eastAsia" w:ascii="Times New Roman" w:hAnsi="Times New Roman" w:eastAsia="宋体" w:cs="Times New Roman"/>
        </w:rPr>
        <w:t>营运期环境风险评价</w:t>
      </w:r>
      <w:r>
        <w:tab/>
      </w:r>
      <w:r>
        <w:fldChar w:fldCharType="begin"/>
      </w:r>
      <w:r>
        <w:instrText xml:space="preserve"> PAGEREF _Toc12401 \h </w:instrText>
      </w:r>
      <w:r>
        <w:fldChar w:fldCharType="separate"/>
      </w:r>
      <w:r>
        <w:t>148</w:t>
      </w:r>
      <w:r>
        <w:fldChar w:fldCharType="end"/>
      </w:r>
      <w:r>
        <w:rPr>
          <w:rFonts w:hint="eastAsia"/>
          <w:color w:val="auto"/>
        </w:rPr>
        <w:fldChar w:fldCharType="end"/>
      </w:r>
    </w:p>
    <w:p w14:paraId="36FC72EA">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_Toc4311 </w:instrText>
      </w:r>
      <w:r>
        <w:rPr>
          <w:rFonts w:hint="eastAsia"/>
        </w:rPr>
        <w:fldChar w:fldCharType="separate"/>
      </w:r>
      <w:r>
        <w:rPr>
          <w:rFonts w:hint="default" w:ascii="Times New Roman" w:hAnsi="Times New Roman" w:eastAsia="宋体" w:cs="Times New Roman"/>
        </w:rPr>
        <w:t xml:space="preserve">5. </w:t>
      </w:r>
      <w:r>
        <w:rPr>
          <w:rFonts w:hint="eastAsia" w:ascii="Times New Roman" w:hAnsi="Times New Roman" w:eastAsia="宋体" w:cs="Times New Roman"/>
        </w:rPr>
        <w:t>环境保护措施及可行性论证</w:t>
      </w:r>
      <w:r>
        <w:tab/>
      </w:r>
      <w:r>
        <w:fldChar w:fldCharType="begin"/>
      </w:r>
      <w:r>
        <w:instrText xml:space="preserve"> PAGEREF _Toc4311 \h </w:instrText>
      </w:r>
      <w:r>
        <w:fldChar w:fldCharType="separate"/>
      </w:r>
      <w:r>
        <w:t>159</w:t>
      </w:r>
      <w:r>
        <w:fldChar w:fldCharType="end"/>
      </w:r>
      <w:r>
        <w:rPr>
          <w:rFonts w:hint="eastAsia"/>
          <w:color w:val="auto"/>
        </w:rPr>
        <w:fldChar w:fldCharType="end"/>
      </w:r>
    </w:p>
    <w:p w14:paraId="2CA38B78">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_Toc8984 </w:instrText>
      </w:r>
      <w:r>
        <w:rPr>
          <w:rFonts w:hint="eastAsia"/>
        </w:rPr>
        <w:fldChar w:fldCharType="separate"/>
      </w:r>
      <w:r>
        <w:rPr>
          <w:rFonts w:hint="default"/>
        </w:rPr>
        <w:t xml:space="preserve">5.1. </w:t>
      </w:r>
      <w:r>
        <w:rPr>
          <w:rFonts w:hint="eastAsia"/>
        </w:rPr>
        <w:t>水污染防治措施及可行性分析</w:t>
      </w:r>
      <w:r>
        <w:tab/>
      </w:r>
      <w:r>
        <w:fldChar w:fldCharType="begin"/>
      </w:r>
      <w:r>
        <w:instrText xml:space="preserve"> PAGEREF _Toc8984 \h </w:instrText>
      </w:r>
      <w:r>
        <w:fldChar w:fldCharType="separate"/>
      </w:r>
      <w:r>
        <w:t>159</w:t>
      </w:r>
      <w:r>
        <w:fldChar w:fldCharType="end"/>
      </w:r>
      <w:r>
        <w:rPr>
          <w:rFonts w:hint="eastAsia"/>
          <w:color w:val="auto"/>
        </w:rPr>
        <w:fldChar w:fldCharType="end"/>
      </w:r>
    </w:p>
    <w:p w14:paraId="18328767">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_Toc9463 </w:instrText>
      </w:r>
      <w:r>
        <w:rPr>
          <w:rFonts w:hint="eastAsia"/>
        </w:rPr>
        <w:fldChar w:fldCharType="separate"/>
      </w:r>
      <w:r>
        <w:rPr>
          <w:rFonts w:hint="default"/>
        </w:rPr>
        <w:t xml:space="preserve">5.2. </w:t>
      </w:r>
      <w:r>
        <w:rPr>
          <w:rFonts w:hint="eastAsia"/>
        </w:rPr>
        <w:t>废气污染环境保护措施及可行性分析</w:t>
      </w:r>
      <w:r>
        <w:tab/>
      </w:r>
      <w:r>
        <w:fldChar w:fldCharType="begin"/>
      </w:r>
      <w:r>
        <w:instrText xml:space="preserve"> PAGEREF _Toc9463 \h </w:instrText>
      </w:r>
      <w:r>
        <w:fldChar w:fldCharType="separate"/>
      </w:r>
      <w:r>
        <w:t>161</w:t>
      </w:r>
      <w:r>
        <w:fldChar w:fldCharType="end"/>
      </w:r>
      <w:r>
        <w:rPr>
          <w:rFonts w:hint="eastAsia"/>
          <w:color w:val="auto"/>
        </w:rPr>
        <w:fldChar w:fldCharType="end"/>
      </w:r>
    </w:p>
    <w:p w14:paraId="0EB9EE7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_Toc20677 </w:instrText>
      </w:r>
      <w:r>
        <w:rPr>
          <w:rFonts w:hint="eastAsia"/>
        </w:rPr>
        <w:fldChar w:fldCharType="separate"/>
      </w:r>
      <w:r>
        <w:rPr>
          <w:rFonts w:hint="default"/>
        </w:rPr>
        <w:t xml:space="preserve">5.3. </w:t>
      </w:r>
      <w:r>
        <w:rPr>
          <w:rFonts w:hint="eastAsia"/>
        </w:rPr>
        <w:t>噪声污染防治措施及可行性分析</w:t>
      </w:r>
      <w:r>
        <w:tab/>
      </w:r>
      <w:r>
        <w:fldChar w:fldCharType="begin"/>
      </w:r>
      <w:r>
        <w:instrText xml:space="preserve"> PAGEREF _Toc20677 \h </w:instrText>
      </w:r>
      <w:r>
        <w:fldChar w:fldCharType="separate"/>
      </w:r>
      <w:r>
        <w:t>175</w:t>
      </w:r>
      <w:r>
        <w:fldChar w:fldCharType="end"/>
      </w:r>
      <w:r>
        <w:rPr>
          <w:rFonts w:hint="eastAsia"/>
          <w:color w:val="auto"/>
        </w:rPr>
        <w:fldChar w:fldCharType="end"/>
      </w:r>
    </w:p>
    <w:p w14:paraId="48DD72DF">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_Toc21513 </w:instrText>
      </w:r>
      <w:r>
        <w:rPr>
          <w:rFonts w:hint="eastAsia"/>
        </w:rPr>
        <w:fldChar w:fldCharType="separate"/>
      </w:r>
      <w:r>
        <w:rPr>
          <w:rFonts w:hint="default"/>
        </w:rPr>
        <w:t xml:space="preserve">5.4. </w:t>
      </w:r>
      <w:r>
        <w:rPr>
          <w:rFonts w:hint="eastAsia"/>
        </w:rPr>
        <w:t>固废污染防治措施及可行性分析</w:t>
      </w:r>
      <w:r>
        <w:tab/>
      </w:r>
      <w:r>
        <w:fldChar w:fldCharType="begin"/>
      </w:r>
      <w:r>
        <w:instrText xml:space="preserve"> PAGEREF _Toc21513 \h </w:instrText>
      </w:r>
      <w:r>
        <w:fldChar w:fldCharType="separate"/>
      </w:r>
      <w:r>
        <w:t>175</w:t>
      </w:r>
      <w:r>
        <w:fldChar w:fldCharType="end"/>
      </w:r>
      <w:r>
        <w:rPr>
          <w:rFonts w:hint="eastAsia"/>
          <w:color w:val="auto"/>
        </w:rPr>
        <w:fldChar w:fldCharType="end"/>
      </w:r>
    </w:p>
    <w:p w14:paraId="75282BED">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_Toc18207 </w:instrText>
      </w:r>
      <w:r>
        <w:rPr>
          <w:rFonts w:hint="eastAsia"/>
        </w:rPr>
        <w:fldChar w:fldCharType="separate"/>
      </w:r>
      <w:r>
        <w:rPr>
          <w:rFonts w:hint="default"/>
        </w:rPr>
        <w:t xml:space="preserve">5.5. </w:t>
      </w:r>
      <w:r>
        <w:rPr>
          <w:rFonts w:hint="eastAsia"/>
        </w:rPr>
        <w:t>地下水污染防治措施及可行性分析</w:t>
      </w:r>
      <w:r>
        <w:tab/>
      </w:r>
      <w:r>
        <w:fldChar w:fldCharType="begin"/>
      </w:r>
      <w:r>
        <w:instrText xml:space="preserve"> PAGEREF _Toc18207 \h </w:instrText>
      </w:r>
      <w:r>
        <w:fldChar w:fldCharType="separate"/>
      </w:r>
      <w:r>
        <w:t>180</w:t>
      </w:r>
      <w:r>
        <w:fldChar w:fldCharType="end"/>
      </w:r>
      <w:r>
        <w:rPr>
          <w:rFonts w:hint="eastAsia"/>
          <w:color w:val="auto"/>
        </w:rPr>
        <w:fldChar w:fldCharType="end"/>
      </w:r>
    </w:p>
    <w:p w14:paraId="57411D33">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_Toc1128 </w:instrText>
      </w:r>
      <w:r>
        <w:rPr>
          <w:rFonts w:hint="eastAsia"/>
        </w:rPr>
        <w:fldChar w:fldCharType="separate"/>
      </w:r>
      <w:r>
        <w:rPr>
          <w:rFonts w:hint="default"/>
        </w:rPr>
        <w:t xml:space="preserve">5.6. </w:t>
      </w:r>
      <w:r>
        <w:rPr>
          <w:rFonts w:hint="eastAsia"/>
        </w:rPr>
        <w:t>土壤污染防治措施分析</w:t>
      </w:r>
      <w:r>
        <w:tab/>
      </w:r>
      <w:r>
        <w:fldChar w:fldCharType="begin"/>
      </w:r>
      <w:r>
        <w:instrText xml:space="preserve"> PAGEREF _Toc1128 \h </w:instrText>
      </w:r>
      <w:r>
        <w:fldChar w:fldCharType="separate"/>
      </w:r>
      <w:r>
        <w:t>184</w:t>
      </w:r>
      <w:r>
        <w:fldChar w:fldCharType="end"/>
      </w:r>
      <w:r>
        <w:rPr>
          <w:rFonts w:hint="eastAsia"/>
          <w:color w:val="auto"/>
        </w:rPr>
        <w:fldChar w:fldCharType="end"/>
      </w:r>
    </w:p>
    <w:p w14:paraId="6A78AFA7">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_Toc8539 </w:instrText>
      </w:r>
      <w:r>
        <w:rPr>
          <w:rFonts w:hint="eastAsia"/>
        </w:rPr>
        <w:fldChar w:fldCharType="separate"/>
      </w:r>
      <w:r>
        <w:rPr>
          <w:rFonts w:hint="default"/>
        </w:rPr>
        <w:t xml:space="preserve">6. </w:t>
      </w:r>
      <w:r>
        <w:rPr>
          <w:rFonts w:hint="eastAsia"/>
        </w:rPr>
        <w:t>环境管理与监测计划</w:t>
      </w:r>
      <w:r>
        <w:tab/>
      </w:r>
      <w:r>
        <w:fldChar w:fldCharType="begin"/>
      </w:r>
      <w:r>
        <w:instrText xml:space="preserve"> PAGEREF _Toc8539 \h </w:instrText>
      </w:r>
      <w:r>
        <w:fldChar w:fldCharType="separate"/>
      </w:r>
      <w:r>
        <w:t>185</w:t>
      </w:r>
      <w:r>
        <w:fldChar w:fldCharType="end"/>
      </w:r>
      <w:r>
        <w:rPr>
          <w:rFonts w:hint="eastAsia"/>
          <w:color w:val="auto"/>
        </w:rPr>
        <w:fldChar w:fldCharType="end"/>
      </w:r>
    </w:p>
    <w:p w14:paraId="724C5ACB">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_Toc17098 </w:instrText>
      </w:r>
      <w:r>
        <w:rPr>
          <w:rFonts w:hint="eastAsia"/>
        </w:rPr>
        <w:fldChar w:fldCharType="separate"/>
      </w:r>
      <w:r>
        <w:rPr>
          <w:rFonts w:hint="default"/>
        </w:rPr>
        <w:t xml:space="preserve">6.1. </w:t>
      </w:r>
      <w:r>
        <w:rPr>
          <w:rFonts w:hint="eastAsia"/>
        </w:rPr>
        <w:t>概述</w:t>
      </w:r>
      <w:r>
        <w:tab/>
      </w:r>
      <w:r>
        <w:fldChar w:fldCharType="begin"/>
      </w:r>
      <w:r>
        <w:instrText xml:space="preserve"> PAGEREF _Toc17098 \h </w:instrText>
      </w:r>
      <w:r>
        <w:fldChar w:fldCharType="separate"/>
      </w:r>
      <w:r>
        <w:t>185</w:t>
      </w:r>
      <w:r>
        <w:fldChar w:fldCharType="end"/>
      </w:r>
      <w:r>
        <w:rPr>
          <w:rFonts w:hint="eastAsia"/>
          <w:color w:val="auto"/>
        </w:rPr>
        <w:fldChar w:fldCharType="end"/>
      </w:r>
    </w:p>
    <w:p w14:paraId="3191A33D">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_Toc20891 </w:instrText>
      </w:r>
      <w:r>
        <w:rPr>
          <w:rFonts w:hint="eastAsia"/>
        </w:rPr>
        <w:fldChar w:fldCharType="separate"/>
      </w:r>
      <w:r>
        <w:rPr>
          <w:rFonts w:hint="default"/>
        </w:rPr>
        <w:t xml:space="preserve">6.2. </w:t>
      </w:r>
      <w:r>
        <w:rPr>
          <w:rFonts w:hint="eastAsia"/>
        </w:rPr>
        <w:t>营运期环境管理与监测计划</w:t>
      </w:r>
      <w:r>
        <w:tab/>
      </w:r>
      <w:r>
        <w:fldChar w:fldCharType="begin"/>
      </w:r>
      <w:r>
        <w:instrText xml:space="preserve"> PAGEREF _Toc20891 \h </w:instrText>
      </w:r>
      <w:r>
        <w:fldChar w:fldCharType="separate"/>
      </w:r>
      <w:r>
        <w:t>185</w:t>
      </w:r>
      <w:r>
        <w:fldChar w:fldCharType="end"/>
      </w:r>
      <w:r>
        <w:rPr>
          <w:rFonts w:hint="eastAsia"/>
          <w:color w:val="auto"/>
        </w:rPr>
        <w:fldChar w:fldCharType="end"/>
      </w:r>
    </w:p>
    <w:p w14:paraId="70BAF807">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_Toc30719 </w:instrText>
      </w:r>
      <w:r>
        <w:rPr>
          <w:rFonts w:hint="eastAsia"/>
        </w:rPr>
        <w:fldChar w:fldCharType="separate"/>
      </w:r>
      <w:r>
        <w:rPr>
          <w:rFonts w:hint="default"/>
        </w:rPr>
        <w:t xml:space="preserve">6.3. </w:t>
      </w:r>
      <w:r>
        <w:rPr>
          <w:rFonts w:hint="eastAsia"/>
        </w:rPr>
        <w:t>规范排污口</w:t>
      </w:r>
      <w:r>
        <w:tab/>
      </w:r>
      <w:r>
        <w:fldChar w:fldCharType="begin"/>
      </w:r>
      <w:r>
        <w:instrText xml:space="preserve"> PAGEREF _Toc30719 \h </w:instrText>
      </w:r>
      <w:r>
        <w:fldChar w:fldCharType="separate"/>
      </w:r>
      <w:r>
        <w:t>193</w:t>
      </w:r>
      <w:r>
        <w:fldChar w:fldCharType="end"/>
      </w:r>
      <w:r>
        <w:rPr>
          <w:rFonts w:hint="eastAsia"/>
          <w:color w:val="auto"/>
        </w:rPr>
        <w:fldChar w:fldCharType="end"/>
      </w:r>
    </w:p>
    <w:p w14:paraId="1A4C6687">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_Toc18362 </w:instrText>
      </w:r>
      <w:r>
        <w:rPr>
          <w:rFonts w:hint="eastAsia"/>
        </w:rPr>
        <w:fldChar w:fldCharType="separate"/>
      </w:r>
      <w:r>
        <w:rPr>
          <w:rFonts w:hint="default"/>
        </w:rPr>
        <w:t xml:space="preserve">6.4. </w:t>
      </w:r>
      <w:r>
        <w:rPr>
          <w:rFonts w:hint="eastAsia"/>
        </w:rPr>
        <w:t>项目环境管理要求</w:t>
      </w:r>
      <w:r>
        <w:tab/>
      </w:r>
      <w:r>
        <w:fldChar w:fldCharType="begin"/>
      </w:r>
      <w:r>
        <w:instrText xml:space="preserve"> PAGEREF _Toc18362 \h </w:instrText>
      </w:r>
      <w:r>
        <w:fldChar w:fldCharType="separate"/>
      </w:r>
      <w:r>
        <w:t>195</w:t>
      </w:r>
      <w:r>
        <w:fldChar w:fldCharType="end"/>
      </w:r>
      <w:r>
        <w:rPr>
          <w:rFonts w:hint="eastAsia"/>
          <w:color w:val="auto"/>
        </w:rPr>
        <w:fldChar w:fldCharType="end"/>
      </w:r>
    </w:p>
    <w:p w14:paraId="57F12496">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_Toc7555 </w:instrText>
      </w:r>
      <w:r>
        <w:rPr>
          <w:rFonts w:hint="eastAsia"/>
        </w:rPr>
        <w:fldChar w:fldCharType="separate"/>
      </w:r>
      <w:r>
        <w:rPr>
          <w:rFonts w:hint="default"/>
        </w:rPr>
        <w:t xml:space="preserve">7. </w:t>
      </w:r>
      <w:r>
        <w:rPr>
          <w:rFonts w:hint="eastAsia"/>
        </w:rPr>
        <w:t>环境影响经济损益分析</w:t>
      </w:r>
      <w:r>
        <w:tab/>
      </w:r>
      <w:r>
        <w:fldChar w:fldCharType="begin"/>
      </w:r>
      <w:r>
        <w:instrText xml:space="preserve"> PAGEREF _Toc7555 \h </w:instrText>
      </w:r>
      <w:r>
        <w:fldChar w:fldCharType="separate"/>
      </w:r>
      <w:r>
        <w:t>198</w:t>
      </w:r>
      <w:r>
        <w:fldChar w:fldCharType="end"/>
      </w:r>
      <w:r>
        <w:rPr>
          <w:rFonts w:hint="eastAsia"/>
          <w:color w:val="auto"/>
        </w:rPr>
        <w:fldChar w:fldCharType="end"/>
      </w:r>
    </w:p>
    <w:p w14:paraId="5EB0D269">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_Toc25644 </w:instrText>
      </w:r>
      <w:r>
        <w:rPr>
          <w:rFonts w:hint="eastAsia"/>
        </w:rPr>
        <w:fldChar w:fldCharType="separate"/>
      </w:r>
      <w:r>
        <w:rPr>
          <w:rFonts w:hint="default"/>
        </w:rPr>
        <w:t xml:space="preserve">7.1. </w:t>
      </w:r>
      <w:r>
        <w:rPr>
          <w:rFonts w:hint="eastAsia"/>
        </w:rPr>
        <w:t>环境保护措施投资估算</w:t>
      </w:r>
      <w:r>
        <w:tab/>
      </w:r>
      <w:r>
        <w:fldChar w:fldCharType="begin"/>
      </w:r>
      <w:r>
        <w:instrText xml:space="preserve"> PAGEREF _Toc25644 \h </w:instrText>
      </w:r>
      <w:r>
        <w:fldChar w:fldCharType="separate"/>
      </w:r>
      <w:r>
        <w:t>198</w:t>
      </w:r>
      <w:r>
        <w:fldChar w:fldCharType="end"/>
      </w:r>
      <w:r>
        <w:rPr>
          <w:rFonts w:hint="eastAsia"/>
          <w:color w:val="auto"/>
        </w:rPr>
        <w:fldChar w:fldCharType="end"/>
      </w:r>
    </w:p>
    <w:p w14:paraId="7469F81E">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_Toc13137 </w:instrText>
      </w:r>
      <w:r>
        <w:rPr>
          <w:rFonts w:hint="eastAsia"/>
        </w:rPr>
        <w:fldChar w:fldCharType="separate"/>
      </w:r>
      <w:r>
        <w:rPr>
          <w:rFonts w:hint="default"/>
        </w:rPr>
        <w:t xml:space="preserve">7.2. </w:t>
      </w:r>
      <w:r>
        <w:rPr>
          <w:rFonts w:hint="eastAsia"/>
        </w:rPr>
        <w:t>环境经济损益分析</w:t>
      </w:r>
      <w:r>
        <w:tab/>
      </w:r>
      <w:r>
        <w:fldChar w:fldCharType="begin"/>
      </w:r>
      <w:r>
        <w:instrText xml:space="preserve"> PAGEREF _Toc13137 \h </w:instrText>
      </w:r>
      <w:r>
        <w:fldChar w:fldCharType="separate"/>
      </w:r>
      <w:r>
        <w:t>199</w:t>
      </w:r>
      <w:r>
        <w:fldChar w:fldCharType="end"/>
      </w:r>
      <w:r>
        <w:rPr>
          <w:rFonts w:hint="eastAsia"/>
          <w:color w:val="auto"/>
        </w:rPr>
        <w:fldChar w:fldCharType="end"/>
      </w:r>
    </w:p>
    <w:p w14:paraId="39BF4932">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_Toc10991 </w:instrText>
      </w:r>
      <w:r>
        <w:rPr>
          <w:rFonts w:hint="eastAsia"/>
        </w:rPr>
        <w:fldChar w:fldCharType="separate"/>
      </w:r>
      <w:r>
        <w:rPr>
          <w:rFonts w:hint="default"/>
        </w:rPr>
        <w:t xml:space="preserve">7.3. </w:t>
      </w:r>
      <w:r>
        <w:rPr>
          <w:rFonts w:hint="eastAsia"/>
        </w:rPr>
        <w:t>社会经济效益分析</w:t>
      </w:r>
      <w:r>
        <w:tab/>
      </w:r>
      <w:r>
        <w:fldChar w:fldCharType="begin"/>
      </w:r>
      <w:r>
        <w:instrText xml:space="preserve"> PAGEREF _Toc10991 \h </w:instrText>
      </w:r>
      <w:r>
        <w:fldChar w:fldCharType="separate"/>
      </w:r>
      <w:r>
        <w:t>200</w:t>
      </w:r>
      <w:r>
        <w:fldChar w:fldCharType="end"/>
      </w:r>
      <w:r>
        <w:rPr>
          <w:rFonts w:hint="eastAsia"/>
          <w:color w:val="auto"/>
        </w:rPr>
        <w:fldChar w:fldCharType="end"/>
      </w:r>
    </w:p>
    <w:p w14:paraId="13CBAB40">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_Toc27037 </w:instrText>
      </w:r>
      <w:r>
        <w:rPr>
          <w:rFonts w:hint="eastAsia"/>
        </w:rPr>
        <w:fldChar w:fldCharType="separate"/>
      </w:r>
      <w:r>
        <w:rPr>
          <w:rFonts w:hint="default"/>
        </w:rPr>
        <w:t xml:space="preserve">7.4. </w:t>
      </w:r>
      <w:r>
        <w:rPr>
          <w:rFonts w:hint="eastAsia"/>
        </w:rPr>
        <w:t>小结</w:t>
      </w:r>
      <w:r>
        <w:tab/>
      </w:r>
      <w:r>
        <w:fldChar w:fldCharType="begin"/>
      </w:r>
      <w:r>
        <w:instrText xml:space="preserve"> PAGEREF _Toc27037 \h </w:instrText>
      </w:r>
      <w:r>
        <w:fldChar w:fldCharType="separate"/>
      </w:r>
      <w:r>
        <w:t>200</w:t>
      </w:r>
      <w:r>
        <w:fldChar w:fldCharType="end"/>
      </w:r>
      <w:r>
        <w:rPr>
          <w:rFonts w:hint="eastAsia"/>
          <w:color w:val="auto"/>
        </w:rPr>
        <w:fldChar w:fldCharType="end"/>
      </w:r>
    </w:p>
    <w:p w14:paraId="6327F0CC">
      <w:pPr>
        <w:pStyle w:val="28"/>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_Toc32492 </w:instrText>
      </w:r>
      <w:r>
        <w:rPr>
          <w:rFonts w:hint="eastAsia"/>
        </w:rPr>
        <w:fldChar w:fldCharType="separate"/>
      </w:r>
      <w:r>
        <w:rPr>
          <w:rFonts w:hint="default"/>
        </w:rPr>
        <w:t xml:space="preserve">8. </w:t>
      </w:r>
      <w:r>
        <w:rPr>
          <w:rFonts w:hint="eastAsia"/>
        </w:rPr>
        <w:t>结论与建议</w:t>
      </w:r>
      <w:r>
        <w:tab/>
      </w:r>
      <w:r>
        <w:fldChar w:fldCharType="begin"/>
      </w:r>
      <w:r>
        <w:instrText xml:space="preserve"> PAGEREF _Toc32492 \h </w:instrText>
      </w:r>
      <w:r>
        <w:fldChar w:fldCharType="separate"/>
      </w:r>
      <w:r>
        <w:t>201</w:t>
      </w:r>
      <w:r>
        <w:fldChar w:fldCharType="end"/>
      </w:r>
      <w:r>
        <w:rPr>
          <w:rFonts w:hint="eastAsia"/>
          <w:color w:val="auto"/>
        </w:rPr>
        <w:fldChar w:fldCharType="end"/>
      </w:r>
    </w:p>
    <w:p w14:paraId="5D2A290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_Toc17702 </w:instrText>
      </w:r>
      <w:r>
        <w:rPr>
          <w:rFonts w:hint="eastAsia"/>
        </w:rPr>
        <w:fldChar w:fldCharType="separate"/>
      </w:r>
      <w:r>
        <w:rPr>
          <w:rFonts w:hint="default"/>
        </w:rPr>
        <w:t xml:space="preserve">8.1. </w:t>
      </w:r>
      <w:r>
        <w:rPr>
          <w:rFonts w:hint="eastAsia"/>
        </w:rPr>
        <w:t>项目概况</w:t>
      </w:r>
      <w:r>
        <w:tab/>
      </w:r>
      <w:r>
        <w:fldChar w:fldCharType="begin"/>
      </w:r>
      <w:r>
        <w:instrText xml:space="preserve"> PAGEREF _Toc17702 \h </w:instrText>
      </w:r>
      <w:r>
        <w:fldChar w:fldCharType="separate"/>
      </w:r>
      <w:r>
        <w:t>201</w:t>
      </w:r>
      <w:r>
        <w:fldChar w:fldCharType="end"/>
      </w:r>
      <w:r>
        <w:rPr>
          <w:rFonts w:hint="eastAsia"/>
          <w:color w:val="auto"/>
        </w:rPr>
        <w:fldChar w:fldCharType="end"/>
      </w:r>
    </w:p>
    <w:p w14:paraId="57113497">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_Toc12664 </w:instrText>
      </w:r>
      <w:r>
        <w:rPr>
          <w:rFonts w:hint="eastAsia"/>
        </w:rPr>
        <w:fldChar w:fldCharType="separate"/>
      </w:r>
      <w:r>
        <w:rPr>
          <w:rFonts w:hint="default"/>
        </w:rPr>
        <w:t xml:space="preserve">8.2. </w:t>
      </w:r>
      <w:r>
        <w:t>环境质量现状评价结论</w:t>
      </w:r>
      <w:r>
        <w:tab/>
      </w:r>
      <w:r>
        <w:fldChar w:fldCharType="begin"/>
      </w:r>
      <w:r>
        <w:instrText xml:space="preserve"> PAGEREF _Toc12664 \h </w:instrText>
      </w:r>
      <w:r>
        <w:fldChar w:fldCharType="separate"/>
      </w:r>
      <w:r>
        <w:t>201</w:t>
      </w:r>
      <w:r>
        <w:fldChar w:fldCharType="end"/>
      </w:r>
      <w:r>
        <w:rPr>
          <w:rFonts w:hint="eastAsia"/>
          <w:color w:val="auto"/>
        </w:rPr>
        <w:fldChar w:fldCharType="end"/>
      </w:r>
    </w:p>
    <w:p w14:paraId="4B53E0A2">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_Toc31539 </w:instrText>
      </w:r>
      <w:r>
        <w:rPr>
          <w:rFonts w:hint="eastAsia"/>
        </w:rPr>
        <w:fldChar w:fldCharType="separate"/>
      </w:r>
      <w:r>
        <w:rPr>
          <w:rFonts w:hint="default"/>
        </w:rPr>
        <w:t xml:space="preserve">8.3. </w:t>
      </w:r>
      <w:r>
        <w:rPr>
          <w:rFonts w:hint="eastAsia"/>
        </w:rPr>
        <w:t>施工期环境影响分析结论</w:t>
      </w:r>
      <w:r>
        <w:tab/>
      </w:r>
      <w:r>
        <w:fldChar w:fldCharType="begin"/>
      </w:r>
      <w:r>
        <w:instrText xml:space="preserve"> PAGEREF _Toc31539 \h </w:instrText>
      </w:r>
      <w:r>
        <w:fldChar w:fldCharType="separate"/>
      </w:r>
      <w:r>
        <w:t>202</w:t>
      </w:r>
      <w:r>
        <w:fldChar w:fldCharType="end"/>
      </w:r>
      <w:r>
        <w:rPr>
          <w:rFonts w:hint="eastAsia"/>
          <w:color w:val="auto"/>
        </w:rPr>
        <w:fldChar w:fldCharType="end"/>
      </w:r>
    </w:p>
    <w:p w14:paraId="508BC45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_Toc20188 </w:instrText>
      </w:r>
      <w:r>
        <w:rPr>
          <w:rFonts w:hint="eastAsia"/>
        </w:rPr>
        <w:fldChar w:fldCharType="separate"/>
      </w:r>
      <w:r>
        <w:rPr>
          <w:rFonts w:hint="default"/>
        </w:rPr>
        <w:t xml:space="preserve">8.4. </w:t>
      </w:r>
      <w:r>
        <w:t>营运期环境影响评价结论</w:t>
      </w:r>
      <w:r>
        <w:tab/>
      </w:r>
      <w:r>
        <w:fldChar w:fldCharType="begin"/>
      </w:r>
      <w:r>
        <w:instrText xml:space="preserve"> PAGEREF _Toc20188 \h </w:instrText>
      </w:r>
      <w:r>
        <w:fldChar w:fldCharType="separate"/>
      </w:r>
      <w:r>
        <w:t>203</w:t>
      </w:r>
      <w:r>
        <w:fldChar w:fldCharType="end"/>
      </w:r>
      <w:r>
        <w:rPr>
          <w:rFonts w:hint="eastAsia"/>
          <w:color w:val="auto"/>
        </w:rPr>
        <w:fldChar w:fldCharType="end"/>
      </w:r>
    </w:p>
    <w:p w14:paraId="00D334EB">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_Toc27270 </w:instrText>
      </w:r>
      <w:r>
        <w:rPr>
          <w:rFonts w:hint="eastAsia"/>
        </w:rPr>
        <w:fldChar w:fldCharType="separate"/>
      </w:r>
      <w:r>
        <w:rPr>
          <w:rFonts w:hint="default"/>
        </w:rPr>
        <w:t xml:space="preserve">8.5. </w:t>
      </w:r>
      <w:r>
        <w:rPr>
          <w:rFonts w:hint="eastAsia"/>
        </w:rPr>
        <w:t>环境保护防治措施</w:t>
      </w:r>
      <w:r>
        <w:tab/>
      </w:r>
      <w:r>
        <w:fldChar w:fldCharType="begin"/>
      </w:r>
      <w:r>
        <w:instrText xml:space="preserve"> PAGEREF _Toc27270 \h </w:instrText>
      </w:r>
      <w:r>
        <w:fldChar w:fldCharType="separate"/>
      </w:r>
      <w:r>
        <w:t>204</w:t>
      </w:r>
      <w:r>
        <w:fldChar w:fldCharType="end"/>
      </w:r>
      <w:r>
        <w:rPr>
          <w:rFonts w:hint="eastAsia"/>
          <w:color w:val="auto"/>
        </w:rPr>
        <w:fldChar w:fldCharType="end"/>
      </w:r>
    </w:p>
    <w:p w14:paraId="3D41D077">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_Toc6148 </w:instrText>
      </w:r>
      <w:r>
        <w:rPr>
          <w:rFonts w:hint="eastAsia"/>
        </w:rPr>
        <w:fldChar w:fldCharType="separate"/>
      </w:r>
      <w:r>
        <w:rPr>
          <w:rFonts w:hint="default"/>
        </w:rPr>
        <w:t xml:space="preserve">8.6. </w:t>
      </w:r>
      <w:r>
        <w:rPr>
          <w:rFonts w:hint="eastAsia"/>
        </w:rPr>
        <w:t>公众意见采纳与不采纳情况说明</w:t>
      </w:r>
      <w:r>
        <w:tab/>
      </w:r>
      <w:r>
        <w:fldChar w:fldCharType="begin"/>
      </w:r>
      <w:r>
        <w:instrText xml:space="preserve"> PAGEREF _Toc6148 \h </w:instrText>
      </w:r>
      <w:r>
        <w:fldChar w:fldCharType="separate"/>
      </w:r>
      <w:r>
        <w:t>205</w:t>
      </w:r>
      <w:r>
        <w:fldChar w:fldCharType="end"/>
      </w:r>
      <w:r>
        <w:rPr>
          <w:rFonts w:hint="eastAsia"/>
          <w:color w:val="auto"/>
        </w:rPr>
        <w:fldChar w:fldCharType="end"/>
      </w:r>
    </w:p>
    <w:p w14:paraId="6635F09A">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_Toc195 </w:instrText>
      </w:r>
      <w:r>
        <w:rPr>
          <w:rFonts w:hint="eastAsia"/>
        </w:rPr>
        <w:fldChar w:fldCharType="separate"/>
      </w:r>
      <w:r>
        <w:rPr>
          <w:rFonts w:hint="default"/>
        </w:rPr>
        <w:t xml:space="preserve">8.7. </w:t>
      </w:r>
      <w:r>
        <w:rPr>
          <w:rFonts w:hint="default"/>
          <w:lang w:val="en-US" w:eastAsia="zh-CN"/>
        </w:rPr>
        <w:t>总量控制</w:t>
      </w:r>
      <w:r>
        <w:rPr>
          <w:rFonts w:hint="default"/>
        </w:rPr>
        <w:t>结论</w:t>
      </w:r>
      <w:r>
        <w:tab/>
      </w:r>
      <w:r>
        <w:fldChar w:fldCharType="begin"/>
      </w:r>
      <w:r>
        <w:instrText xml:space="preserve"> PAGEREF _Toc195 \h </w:instrText>
      </w:r>
      <w:r>
        <w:fldChar w:fldCharType="separate"/>
      </w:r>
      <w:r>
        <w:t>205</w:t>
      </w:r>
      <w:r>
        <w:fldChar w:fldCharType="end"/>
      </w:r>
      <w:r>
        <w:rPr>
          <w:rFonts w:hint="eastAsia"/>
          <w:color w:val="auto"/>
        </w:rPr>
        <w:fldChar w:fldCharType="end"/>
      </w:r>
    </w:p>
    <w:p w14:paraId="169B2D00">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_Toc23243 </w:instrText>
      </w:r>
      <w:r>
        <w:rPr>
          <w:rFonts w:hint="eastAsia"/>
        </w:rPr>
        <w:fldChar w:fldCharType="separate"/>
      </w:r>
      <w:r>
        <w:rPr>
          <w:rFonts w:hint="default"/>
        </w:rPr>
        <w:t>8.8. 环境影响经济损益分析结论</w:t>
      </w:r>
      <w:r>
        <w:tab/>
      </w:r>
      <w:r>
        <w:fldChar w:fldCharType="begin"/>
      </w:r>
      <w:r>
        <w:instrText xml:space="preserve"> PAGEREF _Toc23243 \h </w:instrText>
      </w:r>
      <w:r>
        <w:fldChar w:fldCharType="separate"/>
      </w:r>
      <w:r>
        <w:t>205</w:t>
      </w:r>
      <w:r>
        <w:fldChar w:fldCharType="end"/>
      </w:r>
      <w:r>
        <w:rPr>
          <w:rFonts w:hint="eastAsia"/>
          <w:color w:val="auto"/>
        </w:rPr>
        <w:fldChar w:fldCharType="end"/>
      </w:r>
    </w:p>
    <w:p w14:paraId="49300CD8">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_Toc6167 </w:instrText>
      </w:r>
      <w:r>
        <w:rPr>
          <w:rFonts w:hint="eastAsia"/>
        </w:rPr>
        <w:fldChar w:fldCharType="separate"/>
      </w:r>
      <w:r>
        <w:rPr>
          <w:rFonts w:hint="default"/>
        </w:rPr>
        <w:t xml:space="preserve">8.9. </w:t>
      </w:r>
      <w:r>
        <w:rPr>
          <w:rFonts w:hint="eastAsia"/>
        </w:rPr>
        <w:t>综合结论</w:t>
      </w:r>
      <w:r>
        <w:tab/>
      </w:r>
      <w:r>
        <w:fldChar w:fldCharType="begin"/>
      </w:r>
      <w:r>
        <w:instrText xml:space="preserve"> PAGEREF _Toc6167 \h </w:instrText>
      </w:r>
      <w:r>
        <w:fldChar w:fldCharType="separate"/>
      </w:r>
      <w:r>
        <w:t>205</w:t>
      </w:r>
      <w:r>
        <w:fldChar w:fldCharType="end"/>
      </w:r>
      <w:r>
        <w:rPr>
          <w:rFonts w:hint="eastAsia"/>
          <w:color w:val="auto"/>
        </w:rPr>
        <w:fldChar w:fldCharType="end"/>
      </w:r>
    </w:p>
    <w:p w14:paraId="43B7BAC5">
      <w:pPr>
        <w:pStyle w:val="33"/>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pPr>
      <w:r>
        <w:rPr>
          <w:rFonts w:hint="eastAsia"/>
          <w:color w:val="auto"/>
        </w:rPr>
        <w:fldChar w:fldCharType="begin"/>
      </w:r>
      <w:r>
        <w:rPr>
          <w:rFonts w:hint="eastAsia"/>
        </w:rPr>
        <w:instrText xml:space="preserve"> HYPERLINK \l _Toc9595 </w:instrText>
      </w:r>
      <w:r>
        <w:rPr>
          <w:rFonts w:hint="eastAsia"/>
        </w:rPr>
        <w:fldChar w:fldCharType="separate"/>
      </w:r>
      <w:r>
        <w:rPr>
          <w:rFonts w:hint="default"/>
        </w:rPr>
        <w:t xml:space="preserve">8.10. </w:t>
      </w:r>
      <w:r>
        <w:rPr>
          <w:rFonts w:hint="eastAsia"/>
        </w:rPr>
        <w:t>建议</w:t>
      </w:r>
      <w:r>
        <w:tab/>
      </w:r>
      <w:r>
        <w:fldChar w:fldCharType="begin"/>
      </w:r>
      <w:r>
        <w:instrText xml:space="preserve"> PAGEREF _Toc9595 \h </w:instrText>
      </w:r>
      <w:r>
        <w:fldChar w:fldCharType="separate"/>
      </w:r>
      <w:r>
        <w:t>206</w:t>
      </w:r>
      <w:r>
        <w:fldChar w:fldCharType="end"/>
      </w:r>
      <w:r>
        <w:rPr>
          <w:rFonts w:hint="eastAsia"/>
          <w:color w:val="auto"/>
        </w:rPr>
        <w:fldChar w:fldCharType="end"/>
      </w:r>
    </w:p>
    <w:p w14:paraId="183C4FBA">
      <w:pPr>
        <w:keepNext w:val="0"/>
        <w:keepLines w:val="0"/>
        <w:pageBreakBefore w:val="0"/>
        <w:widowControl w:val="0"/>
        <w:kinsoku/>
        <w:wordWrap/>
        <w:overflowPunct/>
        <w:topLinePunct w:val="0"/>
        <w:autoSpaceDE/>
        <w:autoSpaceDN/>
        <w:bidi w:val="0"/>
        <w:adjustRightInd/>
        <w:snapToGrid/>
        <w:ind w:firstLine="0" w:firstLineChars="0"/>
        <w:textAlignment w:val="auto"/>
        <w:rPr>
          <w:color w:val="auto"/>
        </w:rPr>
      </w:pPr>
      <w:r>
        <w:rPr>
          <w:rFonts w:hint="eastAsia"/>
          <w:color w:val="auto"/>
        </w:rPr>
        <w:fldChar w:fldCharType="end"/>
      </w:r>
    </w:p>
    <w:p w14:paraId="34216D7D">
      <w:pPr>
        <w:pStyle w:val="64"/>
        <w:spacing w:before="156" w:after="156"/>
        <w:rPr>
          <w:color w:val="auto"/>
        </w:rPr>
      </w:pPr>
      <w:r>
        <w:rPr>
          <w:rFonts w:hint="eastAsia"/>
          <w:color w:val="auto"/>
        </w:rPr>
        <w:t>附件：</w:t>
      </w:r>
    </w:p>
    <w:p w14:paraId="6BE9FA22">
      <w:pPr>
        <w:numPr>
          <w:ilvl w:val="0"/>
          <w:numId w:val="3"/>
        </w:numPr>
        <w:ind w:firstLine="480"/>
        <w:rPr>
          <w:color w:val="auto"/>
        </w:rPr>
      </w:pPr>
      <w:r>
        <w:rPr>
          <w:rFonts w:hint="eastAsia"/>
          <w:color w:val="auto"/>
        </w:rPr>
        <w:t>委托</w:t>
      </w:r>
      <w:r>
        <w:rPr>
          <w:rFonts w:hint="eastAsia"/>
          <w:color w:val="auto"/>
          <w:lang w:val="en-US" w:eastAsia="zh-CN"/>
        </w:rPr>
        <w:t>书</w:t>
      </w:r>
    </w:p>
    <w:p w14:paraId="6DB87E68">
      <w:pPr>
        <w:numPr>
          <w:ilvl w:val="0"/>
          <w:numId w:val="3"/>
        </w:numPr>
        <w:ind w:firstLine="480"/>
        <w:rPr>
          <w:color w:val="auto"/>
        </w:rPr>
      </w:pPr>
      <w:r>
        <w:rPr>
          <w:rFonts w:hint="eastAsia"/>
          <w:color w:val="auto"/>
        </w:rPr>
        <w:t>建设单位营业执照复印件</w:t>
      </w:r>
    </w:p>
    <w:p w14:paraId="4DD316ED">
      <w:pPr>
        <w:numPr>
          <w:ilvl w:val="0"/>
          <w:numId w:val="3"/>
        </w:numPr>
        <w:ind w:firstLine="480"/>
        <w:rPr>
          <w:color w:val="auto"/>
        </w:rPr>
      </w:pPr>
      <w:r>
        <w:rPr>
          <w:rFonts w:hint="eastAsia"/>
          <w:color w:val="auto"/>
        </w:rPr>
        <w:t>法人身份证复印件</w:t>
      </w:r>
    </w:p>
    <w:p w14:paraId="64197458">
      <w:pPr>
        <w:numPr>
          <w:ilvl w:val="0"/>
          <w:numId w:val="3"/>
        </w:numPr>
        <w:ind w:firstLine="480"/>
        <w:rPr>
          <w:color w:val="auto"/>
        </w:rPr>
      </w:pPr>
      <w:r>
        <w:rPr>
          <w:rFonts w:hint="eastAsia"/>
          <w:color w:val="auto"/>
        </w:rPr>
        <w:t>不动产权证</w:t>
      </w:r>
    </w:p>
    <w:p w14:paraId="0660B835">
      <w:pPr>
        <w:numPr>
          <w:ilvl w:val="0"/>
          <w:numId w:val="3"/>
        </w:numPr>
        <w:ind w:firstLine="480"/>
        <w:rPr>
          <w:color w:val="auto"/>
        </w:rPr>
      </w:pPr>
      <w:r>
        <w:rPr>
          <w:rFonts w:hint="eastAsia"/>
          <w:color w:val="auto"/>
          <w:lang w:val="en-US" w:eastAsia="zh-CN"/>
        </w:rPr>
        <w:t>租赁协议</w:t>
      </w:r>
    </w:p>
    <w:p w14:paraId="266F1F72">
      <w:pPr>
        <w:numPr>
          <w:ilvl w:val="0"/>
          <w:numId w:val="3"/>
        </w:numPr>
        <w:ind w:firstLine="480"/>
        <w:rPr>
          <w:color w:val="auto"/>
        </w:rPr>
      </w:pPr>
      <w:r>
        <w:rPr>
          <w:rFonts w:hint="eastAsia" w:ascii="Times New Roman" w:hAnsi="Times New Roman" w:cs="Times New Roman"/>
          <w:lang w:eastAsia="zh-CN"/>
        </w:rPr>
        <w:t>鹤山市2024年</w:t>
      </w:r>
      <w:r>
        <w:rPr>
          <w:rFonts w:hint="eastAsia" w:ascii="Times New Roman" w:hAnsi="Times New Roman" w:cs="Times New Roman"/>
          <w:lang w:val="en-US" w:eastAsia="zh-CN"/>
        </w:rPr>
        <w:t>环境</w:t>
      </w:r>
      <w:r>
        <w:rPr>
          <w:rFonts w:hint="eastAsia" w:ascii="Times New Roman" w:hAnsi="Times New Roman" w:cs="Times New Roman"/>
          <w:lang w:eastAsia="zh-CN"/>
        </w:rPr>
        <w:t>空气质量年报</w:t>
      </w:r>
    </w:p>
    <w:p w14:paraId="55A3A8E4">
      <w:pPr>
        <w:numPr>
          <w:ilvl w:val="0"/>
          <w:numId w:val="3"/>
        </w:numPr>
        <w:ind w:firstLine="480"/>
        <w:rPr>
          <w:color w:val="auto"/>
        </w:rPr>
      </w:pPr>
      <w:r>
        <w:rPr>
          <w:rFonts w:hint="eastAsia" w:ascii="Times New Roman" w:hAnsi="Times New Roman" w:cs="Times New Roman"/>
        </w:rPr>
        <w:t>202</w:t>
      </w:r>
      <w:r>
        <w:rPr>
          <w:rFonts w:hint="eastAsia" w:ascii="Times New Roman" w:hAnsi="Times New Roman" w:cs="Times New Roman"/>
          <w:lang w:val="en-US" w:eastAsia="zh-CN"/>
        </w:rPr>
        <w:t>5</w:t>
      </w:r>
      <w:r>
        <w:rPr>
          <w:rFonts w:hint="eastAsia" w:ascii="Times New Roman" w:hAnsi="Times New Roman" w:cs="Times New Roman"/>
        </w:rPr>
        <w:t>年第</w:t>
      </w:r>
      <w:r>
        <w:rPr>
          <w:rFonts w:hint="eastAsia" w:ascii="Times New Roman" w:hAnsi="Times New Roman" w:cs="Times New Roman"/>
          <w:lang w:val="en-US" w:eastAsia="zh-CN"/>
        </w:rPr>
        <w:t>一、二、三</w:t>
      </w:r>
      <w:r>
        <w:rPr>
          <w:rFonts w:hint="eastAsia" w:ascii="Times New Roman" w:hAnsi="Times New Roman" w:cs="Times New Roman"/>
        </w:rPr>
        <w:t>季度江门市全面推行河长制水质季报</w:t>
      </w:r>
    </w:p>
    <w:p w14:paraId="6A00B022">
      <w:pPr>
        <w:numPr>
          <w:ilvl w:val="0"/>
          <w:numId w:val="3"/>
        </w:numPr>
        <w:ind w:firstLine="480"/>
        <w:rPr>
          <w:color w:val="auto"/>
        </w:rPr>
      </w:pPr>
      <w:r>
        <w:rPr>
          <w:rFonts w:hint="eastAsia" w:ascii="Times New Roman" w:hAnsi="Times New Roman" w:cs="Times New Roman"/>
          <w:lang w:val="en-US" w:eastAsia="zh-CN"/>
        </w:rPr>
        <w:t>环境现状监测报告</w:t>
      </w:r>
    </w:p>
    <w:p w14:paraId="3EFB1448">
      <w:pPr>
        <w:numPr>
          <w:ilvl w:val="0"/>
          <w:numId w:val="3"/>
        </w:numPr>
        <w:ind w:firstLine="480"/>
        <w:rPr>
          <w:color w:val="auto"/>
        </w:rPr>
      </w:pPr>
      <w:r>
        <w:rPr>
          <w:rFonts w:hint="eastAsia" w:ascii="Times New Roman" w:hAnsi="Times New Roman" w:eastAsia="宋体" w:cs="Times New Roman"/>
          <w:lang w:val="en-US" w:eastAsia="zh-CN"/>
        </w:rPr>
        <w:t>溶剂型油墨MSDS、VOCs含量检测报告</w:t>
      </w:r>
    </w:p>
    <w:p w14:paraId="2B4370F7">
      <w:pPr>
        <w:numPr>
          <w:ilvl w:val="0"/>
          <w:numId w:val="3"/>
        </w:numPr>
        <w:ind w:firstLine="480"/>
        <w:rPr>
          <w:color w:val="auto"/>
        </w:rPr>
      </w:pPr>
      <w:r>
        <w:rPr>
          <w:rFonts w:hint="eastAsia" w:ascii="Times New Roman" w:hAnsi="Times New Roman" w:eastAsia="宋体" w:cs="Times New Roman"/>
          <w:lang w:val="en-US" w:eastAsia="zh-CN"/>
        </w:rPr>
        <w:t>无溶剂聚氨酯胶水MSDS、VOCs含量检测报告</w:t>
      </w:r>
    </w:p>
    <w:p w14:paraId="22CC6DD7">
      <w:pPr>
        <w:numPr>
          <w:ilvl w:val="0"/>
          <w:numId w:val="3"/>
        </w:numPr>
        <w:ind w:firstLine="480"/>
        <w:rPr>
          <w:color w:val="auto"/>
        </w:rPr>
      </w:pPr>
      <w:r>
        <w:rPr>
          <w:rFonts w:hint="eastAsia" w:ascii="Times New Roman" w:hAnsi="Times New Roman" w:eastAsia="宋体" w:cs="Times New Roman"/>
          <w:lang w:val="en-US" w:eastAsia="zh-CN"/>
        </w:rPr>
        <w:t>纳污说明</w:t>
      </w:r>
    </w:p>
    <w:p w14:paraId="10A5674E">
      <w:pPr>
        <w:pStyle w:val="48"/>
        <w:rPr>
          <w:color w:val="auto"/>
        </w:rPr>
      </w:pPr>
    </w:p>
    <w:p w14:paraId="2290B9D4">
      <w:pPr>
        <w:pStyle w:val="64"/>
        <w:spacing w:before="156" w:after="156"/>
        <w:rPr>
          <w:color w:val="auto"/>
        </w:rPr>
      </w:pPr>
      <w:r>
        <w:rPr>
          <w:rFonts w:hint="eastAsia"/>
          <w:color w:val="auto"/>
        </w:rPr>
        <w:t>附表：</w:t>
      </w:r>
    </w:p>
    <w:p w14:paraId="1678FB05">
      <w:pPr>
        <w:ind w:firstLine="480"/>
        <w:rPr>
          <w:color w:val="auto"/>
        </w:rPr>
      </w:pPr>
      <w:r>
        <w:rPr>
          <w:rFonts w:hint="eastAsia"/>
          <w:color w:val="auto"/>
        </w:rPr>
        <w:t>1.  建设项目环评审批基础信息表</w:t>
      </w:r>
    </w:p>
    <w:p w14:paraId="10235286">
      <w:pPr>
        <w:ind w:firstLine="480"/>
        <w:rPr>
          <w:color w:val="auto"/>
        </w:rPr>
      </w:pPr>
    </w:p>
    <w:p w14:paraId="7DB0CAC1">
      <w:pPr>
        <w:ind w:firstLine="480"/>
        <w:rPr>
          <w:color w:val="auto"/>
        </w:rPr>
        <w:sectPr>
          <w:headerReference r:id="rId11" w:type="default"/>
          <w:footerReference r:id="rId12" w:type="default"/>
          <w:pgSz w:w="11906" w:h="16838"/>
          <w:pgMar w:top="1417" w:right="1417" w:bottom="1417" w:left="1417" w:header="992" w:footer="992" w:gutter="0"/>
          <w:pgNumType w:fmt="upperRoman" w:start="1"/>
          <w:cols w:space="720" w:num="1"/>
          <w:docGrid w:type="lines" w:linePitch="312" w:charSpace="0"/>
        </w:sectPr>
      </w:pPr>
    </w:p>
    <w:p w14:paraId="5741F48E">
      <w:pPr>
        <w:pStyle w:val="66"/>
        <w:rPr>
          <w:color w:val="auto"/>
        </w:rPr>
      </w:pPr>
      <w:bookmarkStart w:id="3" w:name="_Toc28191"/>
      <w:r>
        <w:rPr>
          <w:rFonts w:hint="eastAsia"/>
          <w:color w:val="auto"/>
        </w:rPr>
        <w:t>概  述</w:t>
      </w:r>
      <w:bookmarkEnd w:id="3"/>
    </w:p>
    <w:p w14:paraId="7730EE66">
      <w:pPr>
        <w:pStyle w:val="67"/>
        <w:numPr>
          <w:ilvl w:val="0"/>
          <w:numId w:val="0"/>
        </w:numPr>
        <w:spacing w:before="166" w:after="166"/>
        <w:ind w:leftChars="0"/>
        <w:rPr>
          <w:color w:val="auto"/>
        </w:rPr>
      </w:pPr>
      <w:bookmarkStart w:id="4" w:name="_Toc32379"/>
      <w:r>
        <w:rPr>
          <w:rFonts w:hint="eastAsia"/>
          <w:color w:val="auto"/>
        </w:rPr>
        <w:t>一、项目由来</w:t>
      </w:r>
      <w:bookmarkEnd w:id="4"/>
    </w:p>
    <w:p w14:paraId="0D5A7CCD">
      <w:pPr>
        <w:bidi w:val="0"/>
      </w:pPr>
      <w:r>
        <w:rPr>
          <w:rFonts w:hint="eastAsia"/>
          <w:lang w:eastAsia="zh-CN"/>
        </w:rPr>
        <w:t>鹤山市衍鹏印刷有限公司</w:t>
      </w:r>
      <w:r>
        <w:rPr>
          <w:rFonts w:hint="eastAsia"/>
        </w:rPr>
        <w:t>位于</w:t>
      </w:r>
      <w:r>
        <w:rPr>
          <w:rFonts w:hint="eastAsia"/>
          <w:lang w:eastAsia="zh-CN"/>
        </w:rPr>
        <w:t>鹤山市古劳镇三连工业区一区20号之一的一、二楼厂房</w:t>
      </w:r>
      <w:r>
        <w:rPr>
          <w:rFonts w:hint="eastAsia"/>
        </w:rPr>
        <w:t>，所在地属于</w:t>
      </w:r>
      <w:r>
        <w:rPr>
          <w:rFonts w:hint="eastAsia"/>
          <w:lang w:eastAsia="zh-CN"/>
        </w:rPr>
        <w:t>鹤山市古劳镇三连工业区</w:t>
      </w:r>
      <w:r>
        <w:rPr>
          <w:rFonts w:hint="eastAsia"/>
        </w:rPr>
        <w:t>，E112°56′9.500″，N22°47′23.382″（坐标来自</w:t>
      </w:r>
      <w:r>
        <w:rPr>
          <w:rFonts w:hint="eastAsia"/>
          <w:lang w:val="en-US" w:eastAsia="zh-CN"/>
        </w:rPr>
        <w:t>91地图</w:t>
      </w:r>
      <w:r>
        <w:rPr>
          <w:rFonts w:hint="eastAsia"/>
        </w:rPr>
        <w:t>），</w:t>
      </w:r>
      <w:r>
        <w:rPr>
          <w:rFonts w:hint="eastAsia"/>
          <w:lang w:val="en-US" w:eastAsia="zh-CN"/>
        </w:rPr>
        <w:t>项目占地面积约3500m</w:t>
      </w:r>
      <w:r>
        <w:rPr>
          <w:rFonts w:hint="eastAsia"/>
          <w:vertAlign w:val="superscript"/>
          <w:lang w:val="en-US" w:eastAsia="zh-CN"/>
        </w:rPr>
        <w:t>2</w:t>
      </w:r>
      <w:r>
        <w:rPr>
          <w:rFonts w:hint="eastAsia"/>
          <w:lang w:val="en-US" w:eastAsia="zh-CN"/>
        </w:rPr>
        <w:t>，经营面积约4200m</w:t>
      </w:r>
      <w:r>
        <w:rPr>
          <w:rFonts w:hint="eastAsia"/>
          <w:vertAlign w:val="superscript"/>
          <w:lang w:val="en-US" w:eastAsia="zh-CN"/>
        </w:rPr>
        <w:t>2</w:t>
      </w:r>
      <w:r>
        <w:rPr>
          <w:rFonts w:hint="eastAsia"/>
          <w:lang w:val="en-US" w:eastAsia="zh-CN"/>
        </w:rPr>
        <w:t>，</w:t>
      </w:r>
      <w:r>
        <w:rPr>
          <w:rFonts w:ascii="宋体" w:hAnsi="宋体" w:eastAsia="宋体" w:cs="宋体"/>
          <w:spacing w:val="4"/>
          <w:sz w:val="24"/>
          <w:szCs w:val="24"/>
        </w:rPr>
        <w:t>主要从事塑料包装膜的印刷加工，建设性质为新建，设有</w:t>
      </w:r>
      <w:r>
        <w:rPr>
          <w:rFonts w:ascii="宋体" w:hAnsi="宋体" w:eastAsia="宋体" w:cs="宋体"/>
          <w:spacing w:val="3"/>
          <w:sz w:val="24"/>
          <w:szCs w:val="24"/>
        </w:rPr>
        <w:t>凹版印刷机</w:t>
      </w:r>
      <w:r>
        <w:rPr>
          <w:rFonts w:hint="eastAsia" w:ascii="宋体" w:hAnsi="宋体" w:eastAsia="宋体" w:cs="宋体"/>
          <w:spacing w:val="3"/>
          <w:sz w:val="24"/>
          <w:szCs w:val="24"/>
          <w:lang w:val="en-US" w:eastAsia="zh-CN"/>
        </w:rPr>
        <w:t>等设备</w:t>
      </w:r>
      <w:r>
        <w:rPr>
          <w:rFonts w:hint="eastAsia" w:ascii="宋体" w:hAnsi="宋体" w:eastAsia="宋体" w:cs="宋体"/>
          <w:spacing w:val="3"/>
          <w:sz w:val="24"/>
          <w:szCs w:val="24"/>
          <w:lang w:eastAsia="zh-CN"/>
        </w:rPr>
        <w:t>，</w:t>
      </w:r>
      <w:r>
        <w:rPr>
          <w:rFonts w:hint="eastAsia"/>
          <w:lang w:val="en-US" w:eastAsia="zh-CN"/>
        </w:rPr>
        <w:t>建设</w:t>
      </w:r>
      <w:r>
        <w:rPr>
          <w:rFonts w:hint="eastAsia"/>
          <w:lang w:eastAsia="zh-CN"/>
        </w:rPr>
        <w:t>年产450吨包装卷膜</w:t>
      </w:r>
      <w:r>
        <w:rPr>
          <w:rFonts w:hint="eastAsia"/>
          <w:lang w:val="en-US" w:eastAsia="zh-CN"/>
        </w:rPr>
        <w:t>生产线，劳动定员30人，</w:t>
      </w:r>
      <w:r>
        <w:rPr>
          <w:rFonts w:hint="eastAsia"/>
        </w:rPr>
        <w:t>总投资约</w:t>
      </w:r>
      <w:r>
        <w:rPr>
          <w:rFonts w:hint="eastAsia"/>
          <w:lang w:val="en-US" w:eastAsia="zh-CN"/>
        </w:rPr>
        <w:t>25</w:t>
      </w:r>
      <w:r>
        <w:rPr>
          <w:rFonts w:hint="eastAsia"/>
        </w:rPr>
        <w:t>00万元</w:t>
      </w:r>
      <w:r>
        <w:t>，其中环保投资</w:t>
      </w:r>
      <w:r>
        <w:rPr>
          <w:rFonts w:hint="eastAsia"/>
          <w:lang w:val="en-US" w:eastAsia="zh-CN"/>
        </w:rPr>
        <w:t>200</w:t>
      </w:r>
      <w:r>
        <w:rPr>
          <w:rFonts w:hint="eastAsia"/>
        </w:rPr>
        <w:t>万</w:t>
      </w:r>
      <w:r>
        <w:t>元</w:t>
      </w:r>
      <w:r>
        <w:rPr>
          <w:rFonts w:hint="eastAsia"/>
          <w:lang w:val="en-US" w:eastAsia="zh-CN"/>
        </w:rPr>
        <w:t>。</w:t>
      </w:r>
    </w:p>
    <w:p w14:paraId="05C32977">
      <w:pPr>
        <w:bidi w:val="0"/>
      </w:pPr>
      <w:r>
        <w:t>根据《中华人民共和国环境保护法》（2015 年</w:t>
      </w:r>
      <w:r>
        <w:rPr>
          <w:rFonts w:hint="eastAsia"/>
          <w:lang w:val="en-US" w:eastAsia="zh-CN"/>
        </w:rPr>
        <w:t>1</w:t>
      </w:r>
      <w:r>
        <w:t>月</w:t>
      </w:r>
      <w:r>
        <w:rPr>
          <w:rFonts w:hint="eastAsia"/>
          <w:lang w:val="en-US" w:eastAsia="zh-CN"/>
        </w:rPr>
        <w:t>1</w:t>
      </w:r>
      <w:r>
        <w:t>日起施行）、《中华人民共和国环境影响评价法》（2018年12月29日修订）、《建设项目环境保护管理条例》 （2017 年 10 月</w:t>
      </w:r>
      <w:r>
        <w:rPr>
          <w:rFonts w:hint="eastAsia"/>
          <w:lang w:val="en-US" w:eastAsia="zh-CN"/>
        </w:rPr>
        <w:t>1</w:t>
      </w:r>
      <w:r>
        <w:t>日起施行）的有关规定，对环境可能造成重大影响的应编制环境影响报告书，对建设项目产生的污染和环境影响进行全面、详细的评价。根据《建设项目环境影响评价分类管理目录》（2021年</w:t>
      </w:r>
      <w:r>
        <w:rPr>
          <w:rFonts w:hint="eastAsia"/>
          <w:lang w:val="en-US" w:eastAsia="zh-CN"/>
        </w:rPr>
        <w:t>1</w:t>
      </w:r>
      <w:r>
        <w:t>月</w:t>
      </w:r>
      <w:r>
        <w:rPr>
          <w:rFonts w:hint="eastAsia"/>
          <w:lang w:val="en-US" w:eastAsia="zh-CN"/>
        </w:rPr>
        <w:t>1</w:t>
      </w:r>
      <w:r>
        <w:t>日实施），本项目属于“二十、印刷和记录媒介复制业 23”中的“39、印刷 231*；年用溶剂油墨 10 吨及以上的”，因此需按要求编制环境影响报告书。</w:t>
      </w:r>
      <w:r>
        <w:rPr>
          <w:rFonts w:hint="eastAsia"/>
        </w:rPr>
        <w:t>因此，</w:t>
      </w:r>
      <w:r>
        <w:rPr>
          <w:rFonts w:hint="eastAsia"/>
          <w:lang w:eastAsia="zh-CN"/>
        </w:rPr>
        <w:t>鹤山市衍鹏印刷有限公司</w:t>
      </w:r>
      <w:r>
        <w:rPr>
          <w:rFonts w:hint="eastAsia"/>
        </w:rPr>
        <w:t>委托</w:t>
      </w:r>
      <w:r>
        <w:rPr>
          <w:rFonts w:hint="eastAsia"/>
          <w:lang w:val="en-US" w:eastAsia="zh-CN"/>
        </w:rPr>
        <w:t>江门市碧佳环保咨询服务有限公司</w:t>
      </w:r>
      <w:r>
        <w:rPr>
          <w:rFonts w:hint="eastAsia"/>
        </w:rPr>
        <w:t>进行</w:t>
      </w:r>
      <w:r>
        <w:rPr>
          <w:rFonts w:hint="eastAsia"/>
          <w:lang w:eastAsia="zh-CN"/>
        </w:rPr>
        <w:t>鹤山市衍鹏印刷有限公司年产450吨包装卷膜新建项目</w:t>
      </w:r>
      <w:r>
        <w:rPr>
          <w:rFonts w:hint="eastAsia"/>
        </w:rPr>
        <w:t>环境影响报告书的编制工作（委托书见附件1）。编制单位接受委托后，立即组织评价课题小组对评价区域进行了踏勘，在认真调查研究及收集有关数据、资料的基础上，并根据建设单位提供的项目资料，结合建设项目工程特点和工业园区的环境特征，按《建设项目环境影响评价技术导则 总纲》（HJ2.1-2016）的要求编制完成了</w:t>
      </w:r>
      <w:r>
        <w:t>《</w:t>
      </w:r>
      <w:r>
        <w:rPr>
          <w:rFonts w:hint="eastAsia"/>
          <w:lang w:eastAsia="zh-CN"/>
        </w:rPr>
        <w:t>鹤山市衍鹏印刷有限公司年产450吨包装卷膜新建项目</w:t>
      </w:r>
      <w:r>
        <w:rPr>
          <w:rFonts w:hint="eastAsia"/>
        </w:rPr>
        <w:t>环境影响报告书</w:t>
      </w:r>
      <w:r>
        <w:t>》。</w:t>
      </w:r>
    </w:p>
    <w:p w14:paraId="7F9E40E0">
      <w:pPr>
        <w:pStyle w:val="67"/>
        <w:numPr>
          <w:ilvl w:val="0"/>
          <w:numId w:val="0"/>
        </w:numPr>
        <w:spacing w:before="166" w:after="166"/>
        <w:ind w:leftChars="0"/>
        <w:rPr>
          <w:color w:val="auto"/>
        </w:rPr>
      </w:pPr>
      <w:bookmarkStart w:id="5" w:name="_Toc15758"/>
      <w:r>
        <w:rPr>
          <w:rFonts w:hint="eastAsia"/>
          <w:color w:val="auto"/>
        </w:rPr>
        <w:t>二、环境影响评价工作过程</w:t>
      </w:r>
      <w:bookmarkEnd w:id="5"/>
    </w:p>
    <w:p w14:paraId="741F378D">
      <w:pPr>
        <w:ind w:firstLine="480"/>
        <w:rPr>
          <w:color w:val="auto"/>
        </w:rPr>
      </w:pPr>
      <w:r>
        <w:rPr>
          <w:rFonts w:hint="eastAsia"/>
          <w:color w:val="auto"/>
        </w:rPr>
        <w:t>本项目评价工作程序见下图。</w:t>
      </w:r>
    </w:p>
    <w:p w14:paraId="3ADC3684">
      <w:pPr>
        <w:pStyle w:val="62"/>
        <w:rPr>
          <w:color w:val="auto"/>
        </w:rPr>
      </w:pPr>
      <w:r>
        <w:rPr>
          <w:color w:val="auto"/>
        </w:rPr>
        <w:object>
          <v:shape id="_x0000_i1025" o:spt="75" type="#_x0000_t75" style="height:562.95pt;width:425.95pt;" o:ole="t" filled="f" o:preferrelative="t" stroked="f" coordsize="21600,21600">
            <v:path/>
            <v:fill on="f" focussize="0,0"/>
            <v:stroke on="f" joinstyle="miter"/>
            <v:imagedata r:id="rId23" o:title=""/>
            <o:lock v:ext="edit" aspectratio="t"/>
            <w10:wrap type="none"/>
            <w10:anchorlock/>
          </v:shape>
          <o:OLEObject Type="Embed" ProgID="Visio.Drawing.11" ShapeID="_x0000_i1025" DrawAspect="Content" ObjectID="_1468075725" r:id="rId22">
            <o:LockedField>false</o:LockedField>
          </o:OLEObject>
        </w:object>
      </w:r>
    </w:p>
    <w:p w14:paraId="77C15F88">
      <w:pPr>
        <w:pStyle w:val="62"/>
        <w:rPr>
          <w:color w:val="auto"/>
        </w:rPr>
      </w:pPr>
      <w:r>
        <w:rPr>
          <w:rFonts w:hint="eastAsia"/>
          <w:color w:val="auto"/>
        </w:rPr>
        <w:t>图0-1  环境影响评价工作程序图</w:t>
      </w:r>
    </w:p>
    <w:p w14:paraId="5B5BFA55">
      <w:pPr>
        <w:pStyle w:val="67"/>
        <w:numPr>
          <w:ilvl w:val="0"/>
          <w:numId w:val="0"/>
        </w:numPr>
        <w:spacing w:before="166" w:after="166"/>
        <w:ind w:leftChars="0"/>
        <w:rPr>
          <w:color w:val="auto"/>
        </w:rPr>
      </w:pPr>
      <w:bookmarkStart w:id="6" w:name="_Toc18445"/>
      <w:r>
        <w:rPr>
          <w:rFonts w:hint="eastAsia"/>
          <w:color w:val="auto"/>
        </w:rPr>
        <w:t>三、关注的主要环境问题</w:t>
      </w:r>
      <w:bookmarkEnd w:id="6"/>
    </w:p>
    <w:p w14:paraId="6EDA1DAC">
      <w:pPr>
        <w:ind w:firstLine="480"/>
        <w:rPr>
          <w:color w:val="auto"/>
        </w:rPr>
      </w:pPr>
      <w:r>
        <w:rPr>
          <w:color w:val="auto"/>
        </w:rPr>
        <w:t>本次环评主要关注项目</w:t>
      </w:r>
      <w:r>
        <w:rPr>
          <w:rFonts w:hint="eastAsia"/>
          <w:color w:val="auto"/>
        </w:rPr>
        <w:t>建设及运营后可</w:t>
      </w:r>
      <w:r>
        <w:rPr>
          <w:color w:val="auto"/>
        </w:rPr>
        <w:t>能会产生的环境影响，详细调查项目区的环境现状，重点分析项目营运期对</w:t>
      </w:r>
      <w:r>
        <w:rPr>
          <w:rFonts w:hint="eastAsia"/>
          <w:color w:val="auto"/>
        </w:rPr>
        <w:t>声</w:t>
      </w:r>
      <w:r>
        <w:rPr>
          <w:color w:val="auto"/>
        </w:rPr>
        <w:t>环境、</w:t>
      </w:r>
      <w:r>
        <w:rPr>
          <w:rFonts w:hint="eastAsia"/>
          <w:color w:val="auto"/>
        </w:rPr>
        <w:t>大气</w:t>
      </w:r>
      <w:r>
        <w:rPr>
          <w:color w:val="auto"/>
        </w:rPr>
        <w:t>环境、</w:t>
      </w:r>
      <w:r>
        <w:rPr>
          <w:rFonts w:hint="eastAsia"/>
          <w:color w:val="auto"/>
        </w:rPr>
        <w:t>水环境</w:t>
      </w:r>
      <w:r>
        <w:rPr>
          <w:color w:val="auto"/>
        </w:rPr>
        <w:t>等可能产生的影响，从环保的角度论证项目建设与相关规划及法律法规的符合性，针对项目建设可能产生的不利影响及环境风险提出合理的对策措施。</w:t>
      </w:r>
    </w:p>
    <w:p w14:paraId="620C4C1C">
      <w:pPr>
        <w:pStyle w:val="67"/>
        <w:numPr>
          <w:ilvl w:val="0"/>
          <w:numId w:val="0"/>
        </w:numPr>
        <w:spacing w:before="166" w:after="166"/>
        <w:ind w:leftChars="0"/>
        <w:rPr>
          <w:color w:val="auto"/>
        </w:rPr>
      </w:pPr>
      <w:bookmarkStart w:id="7" w:name="_Toc18652"/>
      <w:r>
        <w:rPr>
          <w:rFonts w:hint="eastAsia"/>
          <w:color w:val="auto"/>
        </w:rPr>
        <w:t>四、项目可行性分析</w:t>
      </w:r>
      <w:bookmarkEnd w:id="7"/>
    </w:p>
    <w:p w14:paraId="17012728">
      <w:pPr>
        <w:pStyle w:val="64"/>
        <w:spacing w:before="166" w:after="166"/>
        <w:rPr>
          <w:color w:val="auto"/>
        </w:rPr>
      </w:pPr>
      <w:bookmarkStart w:id="8" w:name="_Toc280776085"/>
      <w:bookmarkStart w:id="9" w:name="_Toc323741176"/>
      <w:bookmarkStart w:id="10" w:name="_Toc26895"/>
      <w:r>
        <w:rPr>
          <w:rFonts w:hint="eastAsia"/>
          <w:color w:val="auto"/>
        </w:rPr>
        <w:t>1、</w:t>
      </w:r>
      <w:r>
        <w:rPr>
          <w:color w:val="auto"/>
        </w:rPr>
        <w:t>选址合理合法性分析</w:t>
      </w:r>
      <w:bookmarkEnd w:id="8"/>
      <w:bookmarkEnd w:id="9"/>
      <w:bookmarkEnd w:id="10"/>
    </w:p>
    <w:p w14:paraId="1C393922">
      <w:pPr>
        <w:ind w:firstLine="480"/>
        <w:rPr>
          <w:color w:val="auto"/>
        </w:rPr>
      </w:pPr>
      <w:r>
        <w:rPr>
          <w:rFonts w:hint="eastAsia"/>
          <w:color w:val="auto"/>
        </w:rPr>
        <w:t>建设项目位于</w:t>
      </w:r>
      <w:r>
        <w:rPr>
          <w:rFonts w:hint="eastAsia"/>
          <w:color w:val="auto"/>
          <w:kern w:val="0"/>
          <w:lang w:eastAsia="zh-CN"/>
        </w:rPr>
        <w:t>鹤山市古劳镇三连工业区一区20号之一的一、二楼厂房</w:t>
      </w:r>
      <w:r>
        <w:rPr>
          <w:rFonts w:hint="eastAsia"/>
          <w:lang w:val="en-US" w:eastAsia="zh-CN"/>
        </w:rPr>
        <w:t>（图0-1）</w:t>
      </w:r>
      <w:r>
        <w:rPr>
          <w:rFonts w:hint="eastAsia"/>
          <w:color w:val="auto"/>
        </w:rPr>
        <w:t>，根据附件不动产证</w:t>
      </w:r>
      <w:r>
        <w:rPr>
          <w:rFonts w:hint="eastAsia"/>
          <w:color w:val="auto"/>
          <w:kern w:val="0"/>
        </w:rPr>
        <w:t>，项目所在地为工业用地，建设项目用于工业生产，符合土地</w:t>
      </w:r>
      <w:r>
        <w:rPr>
          <w:rFonts w:hint="eastAsia"/>
          <w:color w:val="auto"/>
          <w:kern w:val="0"/>
          <w:lang w:val="en-US" w:eastAsia="zh-CN"/>
        </w:rPr>
        <w:t>证要求；根据</w:t>
      </w:r>
      <w:r>
        <w:rPr>
          <w:rFonts w:hint="eastAsia"/>
          <w:lang w:val="en-US" w:eastAsia="zh-CN"/>
        </w:rPr>
        <w:t>鹤山市古劳镇三连工业区控制性详细规划（图0-2），项目所在地为二类工业用地，</w:t>
      </w:r>
      <w:r>
        <w:rPr>
          <w:rFonts w:hint="eastAsia"/>
          <w:color w:val="auto"/>
          <w:kern w:val="0"/>
        </w:rPr>
        <w:t>建设项目用于工业生产，符合</w:t>
      </w:r>
      <w:r>
        <w:rPr>
          <w:rFonts w:hint="eastAsia"/>
          <w:color w:val="auto"/>
          <w:kern w:val="0"/>
          <w:lang w:val="en-US" w:eastAsia="zh-CN"/>
        </w:rPr>
        <w:t>规划要求</w:t>
      </w:r>
      <w:r>
        <w:rPr>
          <w:color w:val="auto"/>
        </w:rPr>
        <w:t>。</w:t>
      </w:r>
    </w:p>
    <w:p w14:paraId="7134CCF9">
      <w:pPr>
        <w:pStyle w:val="64"/>
        <w:spacing w:before="166" w:after="166"/>
        <w:rPr>
          <w:color w:val="auto"/>
        </w:rPr>
      </w:pPr>
      <w:r>
        <w:rPr>
          <w:rFonts w:hint="eastAsia"/>
          <w:color w:val="auto"/>
        </w:rPr>
        <w:t>2、与“三线一单”相符性分析</w:t>
      </w:r>
    </w:p>
    <w:p w14:paraId="14916419">
      <w:pPr>
        <w:ind w:firstLine="480"/>
        <w:rPr>
          <w:rFonts w:hint="eastAsia" w:eastAsia="宋体"/>
          <w:color w:val="auto"/>
          <w:lang w:val="en-US" w:eastAsia="zh-CN"/>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与</w:t>
      </w:r>
      <w:r>
        <w:rPr>
          <w:color w:val="auto"/>
        </w:rPr>
        <w:t>《关于</w:t>
      </w:r>
      <w:r>
        <w:rPr>
          <w:rFonts w:hint="eastAsia"/>
          <w:color w:val="auto"/>
        </w:rPr>
        <w:t>以改善环境质量为核心加强环境影响评价管理的通知》(环环评〔2016〕150号)</w:t>
      </w:r>
      <w:r>
        <w:rPr>
          <w:rFonts w:hint="eastAsia"/>
          <w:color w:val="auto"/>
          <w:lang w:val="en-US" w:eastAsia="zh-CN"/>
        </w:rPr>
        <w:t>相符性</w:t>
      </w:r>
    </w:p>
    <w:p w14:paraId="27BF92E8">
      <w:pPr>
        <w:ind w:firstLine="480"/>
        <w:rPr>
          <w:color w:val="auto"/>
        </w:rPr>
      </w:pPr>
      <w:r>
        <w:rPr>
          <w:rFonts w:hint="eastAsia"/>
          <w:color w:val="auto"/>
        </w:rPr>
        <w:t>根据</w:t>
      </w:r>
      <w:r>
        <w:rPr>
          <w:color w:val="auto"/>
        </w:rPr>
        <w:t>《关于</w:t>
      </w:r>
      <w:r>
        <w:rPr>
          <w:rFonts w:hint="eastAsia"/>
          <w:color w:val="auto"/>
        </w:rPr>
        <w:t>以改善环境质量为核心加强环境影响评价管理的通知》(环环评〔2016〕150号)，落实生态保护红线、环境质量底线、资源利用上线和环境准入负面清单要求。</w:t>
      </w:r>
    </w:p>
    <w:p w14:paraId="58F25F53">
      <w:pPr>
        <w:ind w:firstLine="482"/>
        <w:rPr>
          <w:color w:val="auto"/>
        </w:rPr>
      </w:pPr>
      <w:r>
        <w:rPr>
          <w:rFonts w:hint="eastAsia"/>
          <w:b/>
          <w:bCs/>
          <w:color w:val="auto"/>
        </w:rPr>
        <w:t>生态保护红线要求：</w:t>
      </w:r>
      <w:r>
        <w:rPr>
          <w:color w:val="auto"/>
        </w:rPr>
        <w:t>根据</w:t>
      </w:r>
      <w:r>
        <w:rPr>
          <w:rFonts w:hint="eastAsia"/>
          <w:color w:val="auto"/>
        </w:rPr>
        <w:t>《广东省人民政府关于印发广东省“三线一单”生态环境分区管控方案的通知》（粤府〔2020〕71号），项目所在地属于重点管控单元，根据《江门生态市建设规划》-鹤山市生态分级控制图，本项目所在地位为引导性开发建设区，项目不位于</w:t>
      </w:r>
      <w:r>
        <w:rPr>
          <w:color w:val="auto"/>
        </w:rPr>
        <w:t>风景名胜区、森林公园、重要湿地、生态敏感区和其他重要生态功能区</w:t>
      </w:r>
      <w:r>
        <w:rPr>
          <w:rFonts w:hint="eastAsia"/>
          <w:color w:val="auto"/>
        </w:rPr>
        <w:t>，因此项目所在地不属于生态保护红线。</w:t>
      </w:r>
    </w:p>
    <w:p w14:paraId="0277C791">
      <w:pPr>
        <w:ind w:firstLine="482"/>
        <w:rPr>
          <w:color w:val="auto"/>
        </w:rPr>
      </w:pPr>
      <w:r>
        <w:rPr>
          <w:rFonts w:hint="eastAsia"/>
          <w:b/>
          <w:bCs/>
          <w:color w:val="auto"/>
        </w:rPr>
        <w:t>环境质量底线要求：</w:t>
      </w:r>
      <w:r>
        <w:rPr>
          <w:rFonts w:hint="eastAsia"/>
          <w:color w:val="auto"/>
        </w:rPr>
        <w:t>项目纳污水体</w:t>
      </w:r>
      <w:r>
        <w:rPr>
          <w:rFonts w:hint="eastAsia"/>
          <w:color w:val="auto"/>
          <w:lang w:eastAsia="zh-CN"/>
        </w:rPr>
        <w:t>沙坪河</w:t>
      </w:r>
      <w:r>
        <w:rPr>
          <w:rFonts w:hint="eastAsia" w:hAnsi="宋体"/>
          <w:bCs/>
          <w:color w:val="auto"/>
          <w:szCs w:val="24"/>
        </w:rPr>
        <w:t>水环境质量</w:t>
      </w:r>
      <w:r>
        <w:rPr>
          <w:rFonts w:hint="eastAsia" w:hAnsi="宋体"/>
          <w:bCs/>
          <w:color w:val="auto"/>
          <w:szCs w:val="24"/>
          <w:lang w:val="en-US" w:eastAsia="zh-CN"/>
        </w:rPr>
        <w:t>不</w:t>
      </w:r>
      <w:r>
        <w:rPr>
          <w:rFonts w:hint="eastAsia" w:hAnsi="宋体"/>
          <w:bCs/>
          <w:color w:val="auto"/>
          <w:szCs w:val="24"/>
        </w:rPr>
        <w:t>达标，鹤山市环境空气质量为不达标区，臭氧超标，声环境质量功能达标，经本环评分析，</w:t>
      </w:r>
      <w:r>
        <w:rPr>
          <w:color w:val="auto"/>
        </w:rPr>
        <w:t>项目排放的污染物强度不超过行业平均水平，</w:t>
      </w:r>
      <w:r>
        <w:rPr>
          <w:rFonts w:hint="eastAsia"/>
          <w:color w:val="auto"/>
        </w:rPr>
        <w:t>未造成区域环境质量功能的恶化，</w:t>
      </w:r>
      <w:r>
        <w:rPr>
          <w:color w:val="auto"/>
        </w:rPr>
        <w:t>符合该政策的要求。</w:t>
      </w:r>
    </w:p>
    <w:p w14:paraId="55837168">
      <w:pPr>
        <w:ind w:firstLine="482"/>
        <w:rPr>
          <w:color w:val="auto"/>
        </w:rPr>
      </w:pPr>
      <w:r>
        <w:rPr>
          <w:rFonts w:hint="eastAsia"/>
          <w:b/>
          <w:bCs/>
          <w:color w:val="auto"/>
        </w:rPr>
        <w:t>资源利用上线：</w:t>
      </w:r>
      <w:r>
        <w:rPr>
          <w:rFonts w:hint="eastAsia"/>
          <w:color w:val="auto"/>
        </w:rPr>
        <w:t>项目所在地</w:t>
      </w:r>
      <w:r>
        <w:rPr>
          <w:color w:val="auto"/>
        </w:rPr>
        <w:t>已铺设自来水管网且水源充足，</w:t>
      </w:r>
      <w:r>
        <w:rPr>
          <w:rFonts w:hint="eastAsia"/>
          <w:color w:val="auto"/>
        </w:rPr>
        <w:t>生产和</w:t>
      </w:r>
      <w:r>
        <w:rPr>
          <w:color w:val="auto"/>
        </w:rPr>
        <w:t>生活用水均使用自来水；能源主要依托当地电网供电。项目建设土地不涉及基本农田，土地资源消耗符合要求。因此，项目资源利用满足要求。</w:t>
      </w:r>
    </w:p>
    <w:p w14:paraId="157578E3">
      <w:pPr>
        <w:tabs>
          <w:tab w:val="left" w:pos="480"/>
        </w:tabs>
        <w:ind w:firstLine="482"/>
        <w:rPr>
          <w:color w:val="auto"/>
        </w:rPr>
      </w:pPr>
      <w:r>
        <w:rPr>
          <w:rFonts w:hint="eastAsia"/>
          <w:b/>
          <w:bCs/>
          <w:color w:val="auto"/>
        </w:rPr>
        <w:t>环境准入负面清单要求：</w:t>
      </w:r>
    </w:p>
    <w:p w14:paraId="7DC3A3C0">
      <w:pPr>
        <w:bidi w:val="0"/>
      </w:pPr>
      <w:r>
        <w:t>对照《产业结构调整指导目录（2024年本）》，本项目主要从事塑料包装膜的印刷加工，项目使用的薄膜为外购半成品，不涉及“一、落后生产工艺装备中（十二）轻工，超薄型（厚度低于 0.025 毫米）塑料购物袋生产。二、落后产品中（九）轻工，一次性发泡塑料餐具、一次性塑料棉签（2020年12月31日）；含塑料微珠的日化用品（到2020年12月31日禁止生产，到 2022 年12月31日禁止销售）；厚度低于 0.025毫米的超薄型塑料袋、厚度低于</w:t>
      </w:r>
      <w:r>
        <w:rPr>
          <w:rFonts w:hint="eastAsia"/>
          <w:lang w:val="en-US" w:eastAsia="zh-CN"/>
        </w:rPr>
        <w:t>0.01</w:t>
      </w:r>
      <w:r>
        <w:t>毫米的聚乙烯农用地膜”相关生产，使用设备、生产工艺、生产产品等均不属于限制类、淘汰类。</w:t>
      </w:r>
    </w:p>
    <w:p w14:paraId="1FD12742">
      <w:pPr>
        <w:pStyle w:val="62"/>
        <w:numPr>
          <w:ilvl w:val="0"/>
          <w:numId w:val="4"/>
        </w:numPr>
        <w:ind w:left="0" w:leftChars="0" w:firstLine="0" w:firstLineChars="0"/>
        <w:rPr>
          <w:rFonts w:ascii="Times New Roman" w:hAnsi="Times New Roman" w:cs="Times New Roman"/>
        </w:rPr>
      </w:pPr>
      <w:r>
        <w:rPr>
          <w:rFonts w:hint="eastAsia" w:ascii="Times New Roman" w:hAnsi="Times New Roman" w:cs="Times New Roman"/>
        </w:rPr>
        <w:t>与</w:t>
      </w:r>
      <w:r>
        <w:rPr>
          <w:rFonts w:ascii="Times New Roman" w:hAnsi="Times New Roman" w:cs="Times New Roman"/>
        </w:rPr>
        <w:t>《产业结构调整指导目录（20</w:t>
      </w:r>
      <w:r>
        <w:rPr>
          <w:rFonts w:hint="eastAsia" w:ascii="Times New Roman" w:hAnsi="Times New Roman" w:cs="Times New Roman"/>
        </w:rPr>
        <w:t>24</w:t>
      </w:r>
      <w:r>
        <w:rPr>
          <w:rFonts w:ascii="Times New Roman" w:hAnsi="Times New Roman" w:cs="Times New Roman"/>
        </w:rPr>
        <w:t>年本）》</w:t>
      </w:r>
      <w:r>
        <w:rPr>
          <w:rFonts w:hint="eastAsia" w:ascii="Times New Roman" w:hAnsi="Times New Roman" w:cs="Times New Roman"/>
        </w:rPr>
        <w:t>对照分析</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5659"/>
        <w:gridCol w:w="1638"/>
        <w:gridCol w:w="967"/>
      </w:tblGrid>
      <w:tr w14:paraId="2F0E7E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87" w:type="pct"/>
            <w:gridSpan w:val="2"/>
            <w:noWrap w:val="0"/>
            <w:vAlign w:val="center"/>
          </w:tcPr>
          <w:p w14:paraId="7C69EE7E">
            <w:pPr>
              <w:pStyle w:val="59"/>
              <w:rPr>
                <w:rFonts w:ascii="Times New Roman" w:hAnsi="Times New Roman" w:cs="Times New Roman"/>
              </w:rPr>
            </w:pPr>
            <w:r>
              <w:rPr>
                <w:rFonts w:ascii="Times New Roman" w:hAnsi="Times New Roman" w:cs="Times New Roman"/>
              </w:rPr>
              <w:t>文件规定</w:t>
            </w:r>
          </w:p>
        </w:tc>
        <w:tc>
          <w:tcPr>
            <w:tcW w:w="887" w:type="pct"/>
            <w:noWrap w:val="0"/>
            <w:vAlign w:val="center"/>
          </w:tcPr>
          <w:p w14:paraId="5E0DF1DD">
            <w:pPr>
              <w:pStyle w:val="59"/>
              <w:rPr>
                <w:rFonts w:ascii="Times New Roman" w:hAnsi="Times New Roman" w:cs="Times New Roman"/>
              </w:rPr>
            </w:pPr>
            <w:r>
              <w:rPr>
                <w:rFonts w:ascii="Times New Roman" w:hAnsi="Times New Roman" w:cs="Times New Roman"/>
              </w:rPr>
              <w:t>本项目情况</w:t>
            </w:r>
          </w:p>
        </w:tc>
        <w:tc>
          <w:tcPr>
            <w:tcW w:w="524" w:type="pct"/>
            <w:noWrap w:val="0"/>
            <w:vAlign w:val="center"/>
          </w:tcPr>
          <w:p w14:paraId="475CBF52">
            <w:pPr>
              <w:pStyle w:val="59"/>
              <w:rPr>
                <w:rFonts w:ascii="Times New Roman" w:hAnsi="Times New Roman" w:cs="Times New Roman"/>
              </w:rPr>
            </w:pPr>
            <w:r>
              <w:rPr>
                <w:rFonts w:ascii="Times New Roman" w:hAnsi="Times New Roman" w:cs="Times New Roman"/>
              </w:rPr>
              <w:t>符合性</w:t>
            </w:r>
          </w:p>
        </w:tc>
      </w:tr>
      <w:tr w14:paraId="55EA45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restart"/>
            <w:noWrap w:val="0"/>
            <w:vAlign w:val="center"/>
          </w:tcPr>
          <w:p w14:paraId="27D226E1">
            <w:pPr>
              <w:pStyle w:val="59"/>
              <w:rPr>
                <w:rFonts w:ascii="Times New Roman" w:hAnsi="Times New Roman" w:cs="Times New Roman"/>
              </w:rPr>
            </w:pPr>
            <w:r>
              <w:rPr>
                <w:rFonts w:ascii="Times New Roman" w:hAnsi="Times New Roman" w:cs="Times New Roman"/>
              </w:rPr>
              <w:t>淘汰的落后工艺设备</w:t>
            </w:r>
          </w:p>
        </w:tc>
        <w:tc>
          <w:tcPr>
            <w:tcW w:w="3064" w:type="pct"/>
            <w:noWrap w:val="0"/>
            <w:vAlign w:val="center"/>
          </w:tcPr>
          <w:p w14:paraId="2F6B13E4">
            <w:pPr>
              <w:pStyle w:val="59"/>
              <w:rPr>
                <w:rFonts w:ascii="Times New Roman" w:hAnsi="Times New Roman" w:cs="Times New Roman"/>
              </w:rPr>
            </w:pPr>
            <w:r>
              <w:rPr>
                <w:rFonts w:ascii="Times New Roman" w:hAnsi="Times New Roman" w:cs="Times New Roman"/>
              </w:rPr>
              <w:t>P401、P402型系列四开平压印刷机，P801、P802、P803、P804型系列八开平压印刷机</w:t>
            </w:r>
          </w:p>
        </w:tc>
        <w:tc>
          <w:tcPr>
            <w:tcW w:w="887" w:type="pct"/>
            <w:vMerge w:val="restart"/>
            <w:noWrap w:val="0"/>
            <w:vAlign w:val="center"/>
          </w:tcPr>
          <w:p w14:paraId="363D8DB2">
            <w:pPr>
              <w:pStyle w:val="59"/>
              <w:rPr>
                <w:rFonts w:hint="eastAsia" w:ascii="Times New Roman" w:hAnsi="Times New Roman" w:cs="Times New Roman"/>
              </w:rPr>
            </w:pPr>
            <w:r>
              <w:rPr>
                <w:rFonts w:hint="eastAsia" w:ascii="Times New Roman" w:hAnsi="Times New Roman" w:cs="Times New Roman"/>
              </w:rPr>
              <w:t>本项目不使用</w:t>
            </w:r>
            <w:r>
              <w:rPr>
                <w:rFonts w:ascii="Times New Roman" w:hAnsi="Times New Roman" w:cs="Times New Roman"/>
              </w:rPr>
              <w:t>《产业结构调整指导目录（</w:t>
            </w:r>
            <w:r>
              <w:rPr>
                <w:rFonts w:hint="eastAsia" w:ascii="Times New Roman" w:hAnsi="Times New Roman" w:cs="Times New Roman"/>
              </w:rPr>
              <w:t>2024年本</w:t>
            </w:r>
            <w:r>
              <w:rPr>
                <w:rFonts w:ascii="Times New Roman" w:hAnsi="Times New Roman" w:cs="Times New Roman"/>
              </w:rPr>
              <w:t>）》</w:t>
            </w:r>
            <w:r>
              <w:rPr>
                <w:rFonts w:hint="eastAsia" w:ascii="Times New Roman" w:hAnsi="Times New Roman" w:cs="Times New Roman"/>
              </w:rPr>
              <w:t>淘汰的设备</w:t>
            </w:r>
          </w:p>
        </w:tc>
        <w:tc>
          <w:tcPr>
            <w:tcW w:w="524" w:type="pct"/>
            <w:vMerge w:val="restart"/>
            <w:noWrap w:val="0"/>
            <w:vAlign w:val="center"/>
          </w:tcPr>
          <w:p w14:paraId="6BF16E59">
            <w:pPr>
              <w:pStyle w:val="59"/>
              <w:rPr>
                <w:rFonts w:ascii="Times New Roman" w:hAnsi="Times New Roman" w:cs="Times New Roman"/>
              </w:rPr>
            </w:pPr>
            <w:r>
              <w:rPr>
                <w:rFonts w:ascii="Times New Roman" w:hAnsi="Times New Roman" w:cs="Times New Roman"/>
              </w:rPr>
              <w:t>符合</w:t>
            </w:r>
          </w:p>
        </w:tc>
      </w:tr>
      <w:tr w14:paraId="15DB97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7E2AB3B5">
            <w:pPr>
              <w:pStyle w:val="59"/>
              <w:rPr>
                <w:rFonts w:ascii="Times New Roman" w:hAnsi="Times New Roman" w:cs="Times New Roman"/>
              </w:rPr>
            </w:pPr>
          </w:p>
        </w:tc>
        <w:tc>
          <w:tcPr>
            <w:tcW w:w="3064" w:type="pct"/>
            <w:noWrap w:val="0"/>
            <w:vAlign w:val="center"/>
          </w:tcPr>
          <w:p w14:paraId="33A36D31">
            <w:pPr>
              <w:pStyle w:val="59"/>
              <w:rPr>
                <w:rFonts w:ascii="Times New Roman" w:hAnsi="Times New Roman" w:cs="Times New Roman"/>
              </w:rPr>
            </w:pPr>
            <w:r>
              <w:rPr>
                <w:rFonts w:ascii="Times New Roman" w:hAnsi="Times New Roman" w:cs="Times New Roman"/>
              </w:rPr>
              <w:t>PE802型双合页印刷机</w:t>
            </w:r>
          </w:p>
        </w:tc>
        <w:tc>
          <w:tcPr>
            <w:tcW w:w="887" w:type="pct"/>
            <w:vMerge w:val="continue"/>
            <w:noWrap w:val="0"/>
            <w:vAlign w:val="center"/>
          </w:tcPr>
          <w:p w14:paraId="5CCA0C52">
            <w:pPr>
              <w:pStyle w:val="59"/>
              <w:rPr>
                <w:rFonts w:ascii="Times New Roman" w:hAnsi="Times New Roman" w:cs="Times New Roman"/>
              </w:rPr>
            </w:pPr>
          </w:p>
        </w:tc>
        <w:tc>
          <w:tcPr>
            <w:tcW w:w="524" w:type="pct"/>
            <w:vMerge w:val="continue"/>
            <w:noWrap w:val="0"/>
            <w:vAlign w:val="center"/>
          </w:tcPr>
          <w:p w14:paraId="4CA8DF7A">
            <w:pPr>
              <w:pStyle w:val="59"/>
              <w:rPr>
                <w:rFonts w:ascii="Times New Roman" w:hAnsi="Times New Roman" w:cs="Times New Roman"/>
              </w:rPr>
            </w:pPr>
          </w:p>
        </w:tc>
      </w:tr>
      <w:tr w14:paraId="4B69B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683B2595">
            <w:pPr>
              <w:pStyle w:val="59"/>
              <w:rPr>
                <w:rFonts w:ascii="Times New Roman" w:hAnsi="Times New Roman" w:cs="Times New Roman"/>
              </w:rPr>
            </w:pPr>
          </w:p>
        </w:tc>
        <w:tc>
          <w:tcPr>
            <w:tcW w:w="3064" w:type="pct"/>
            <w:noWrap w:val="0"/>
            <w:vAlign w:val="center"/>
          </w:tcPr>
          <w:p w14:paraId="4C6ADE80">
            <w:pPr>
              <w:pStyle w:val="59"/>
              <w:rPr>
                <w:rFonts w:ascii="Times New Roman" w:hAnsi="Times New Roman" w:cs="Times New Roman"/>
              </w:rPr>
            </w:pPr>
            <w:r>
              <w:rPr>
                <w:rFonts w:ascii="Times New Roman" w:hAnsi="Times New Roman" w:cs="Times New Roman"/>
              </w:rPr>
              <w:t>TE102、TE105、TE108型系列全张自动二回转平台印刷机</w:t>
            </w:r>
          </w:p>
        </w:tc>
        <w:tc>
          <w:tcPr>
            <w:tcW w:w="887" w:type="pct"/>
            <w:vMerge w:val="continue"/>
            <w:noWrap w:val="0"/>
            <w:vAlign w:val="center"/>
          </w:tcPr>
          <w:p w14:paraId="78DD747E">
            <w:pPr>
              <w:pStyle w:val="59"/>
              <w:rPr>
                <w:rFonts w:ascii="Times New Roman" w:hAnsi="Times New Roman" w:cs="Times New Roman"/>
              </w:rPr>
            </w:pPr>
          </w:p>
        </w:tc>
        <w:tc>
          <w:tcPr>
            <w:tcW w:w="524" w:type="pct"/>
            <w:vMerge w:val="continue"/>
            <w:noWrap w:val="0"/>
            <w:vAlign w:val="center"/>
          </w:tcPr>
          <w:p w14:paraId="0715B35B">
            <w:pPr>
              <w:pStyle w:val="59"/>
              <w:rPr>
                <w:rFonts w:ascii="Times New Roman" w:hAnsi="Times New Roman" w:cs="Times New Roman"/>
              </w:rPr>
            </w:pPr>
          </w:p>
        </w:tc>
      </w:tr>
      <w:tr w14:paraId="7D8891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57137CA7">
            <w:pPr>
              <w:pStyle w:val="59"/>
              <w:rPr>
                <w:rFonts w:ascii="Times New Roman" w:hAnsi="Times New Roman" w:cs="Times New Roman"/>
              </w:rPr>
            </w:pPr>
          </w:p>
        </w:tc>
        <w:tc>
          <w:tcPr>
            <w:tcW w:w="3064" w:type="pct"/>
            <w:noWrap w:val="0"/>
            <w:vAlign w:val="center"/>
          </w:tcPr>
          <w:p w14:paraId="444791A2">
            <w:pPr>
              <w:pStyle w:val="59"/>
              <w:rPr>
                <w:rFonts w:ascii="Times New Roman" w:hAnsi="Times New Roman" w:cs="Times New Roman"/>
              </w:rPr>
            </w:pPr>
            <w:r>
              <w:rPr>
                <w:rFonts w:ascii="Times New Roman" w:hAnsi="Times New Roman" w:cs="Times New Roman"/>
              </w:rPr>
              <w:t>TY201型对开单色一回转平台印刷机，TY401型四开单色一回转平台印刷机</w:t>
            </w:r>
          </w:p>
        </w:tc>
        <w:tc>
          <w:tcPr>
            <w:tcW w:w="887" w:type="pct"/>
            <w:vMerge w:val="continue"/>
            <w:noWrap w:val="0"/>
            <w:vAlign w:val="center"/>
          </w:tcPr>
          <w:p w14:paraId="5CBCF948">
            <w:pPr>
              <w:pStyle w:val="59"/>
              <w:rPr>
                <w:rFonts w:ascii="Times New Roman" w:hAnsi="Times New Roman" w:cs="Times New Roman"/>
              </w:rPr>
            </w:pPr>
          </w:p>
        </w:tc>
        <w:tc>
          <w:tcPr>
            <w:tcW w:w="524" w:type="pct"/>
            <w:vMerge w:val="continue"/>
            <w:noWrap w:val="0"/>
            <w:vAlign w:val="center"/>
          </w:tcPr>
          <w:p w14:paraId="7B1D3CA8">
            <w:pPr>
              <w:pStyle w:val="59"/>
              <w:rPr>
                <w:rFonts w:ascii="Times New Roman" w:hAnsi="Times New Roman" w:cs="Times New Roman"/>
              </w:rPr>
            </w:pPr>
          </w:p>
        </w:tc>
      </w:tr>
      <w:tr w14:paraId="7AF3D7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52F8F8C2">
            <w:pPr>
              <w:pStyle w:val="59"/>
              <w:rPr>
                <w:rFonts w:ascii="Times New Roman" w:hAnsi="Times New Roman" w:cs="Times New Roman"/>
              </w:rPr>
            </w:pPr>
          </w:p>
        </w:tc>
        <w:tc>
          <w:tcPr>
            <w:tcW w:w="3064" w:type="pct"/>
            <w:noWrap w:val="0"/>
            <w:vAlign w:val="center"/>
          </w:tcPr>
          <w:p w14:paraId="1BF37902">
            <w:pPr>
              <w:pStyle w:val="59"/>
              <w:rPr>
                <w:rFonts w:ascii="Times New Roman" w:hAnsi="Times New Roman" w:cs="Times New Roman"/>
              </w:rPr>
            </w:pPr>
            <w:r>
              <w:rPr>
                <w:rFonts w:ascii="Times New Roman" w:hAnsi="Times New Roman" w:cs="Times New Roman"/>
              </w:rPr>
              <w:t>TY4201型四开一回转双色印刷机</w:t>
            </w:r>
          </w:p>
        </w:tc>
        <w:tc>
          <w:tcPr>
            <w:tcW w:w="887" w:type="pct"/>
            <w:vMerge w:val="continue"/>
            <w:noWrap w:val="0"/>
            <w:vAlign w:val="center"/>
          </w:tcPr>
          <w:p w14:paraId="1D6A3E4A">
            <w:pPr>
              <w:pStyle w:val="59"/>
              <w:rPr>
                <w:rFonts w:ascii="Times New Roman" w:hAnsi="Times New Roman" w:cs="Times New Roman"/>
              </w:rPr>
            </w:pPr>
          </w:p>
        </w:tc>
        <w:tc>
          <w:tcPr>
            <w:tcW w:w="524" w:type="pct"/>
            <w:vMerge w:val="continue"/>
            <w:noWrap w:val="0"/>
            <w:vAlign w:val="center"/>
          </w:tcPr>
          <w:p w14:paraId="047158F0">
            <w:pPr>
              <w:pStyle w:val="59"/>
              <w:rPr>
                <w:rFonts w:ascii="Times New Roman" w:hAnsi="Times New Roman" w:cs="Times New Roman"/>
              </w:rPr>
            </w:pPr>
          </w:p>
        </w:tc>
      </w:tr>
      <w:tr w14:paraId="24BBEC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424531A1">
            <w:pPr>
              <w:pStyle w:val="59"/>
              <w:rPr>
                <w:rFonts w:ascii="Times New Roman" w:hAnsi="Times New Roman" w:cs="Times New Roman"/>
              </w:rPr>
            </w:pPr>
          </w:p>
        </w:tc>
        <w:tc>
          <w:tcPr>
            <w:tcW w:w="3064" w:type="pct"/>
            <w:noWrap w:val="0"/>
            <w:vAlign w:val="center"/>
          </w:tcPr>
          <w:p w14:paraId="611B928E">
            <w:pPr>
              <w:pStyle w:val="59"/>
              <w:rPr>
                <w:rFonts w:ascii="Times New Roman" w:hAnsi="Times New Roman" w:cs="Times New Roman"/>
              </w:rPr>
            </w:pPr>
            <w:r>
              <w:rPr>
                <w:rFonts w:ascii="Times New Roman" w:hAnsi="Times New Roman" w:cs="Times New Roman"/>
              </w:rPr>
              <w:t>TT201、TZ201、DT201型对开手动续纸停回转平台印刷机</w:t>
            </w:r>
          </w:p>
        </w:tc>
        <w:tc>
          <w:tcPr>
            <w:tcW w:w="887" w:type="pct"/>
            <w:vMerge w:val="continue"/>
            <w:noWrap w:val="0"/>
            <w:vAlign w:val="center"/>
          </w:tcPr>
          <w:p w14:paraId="1952CA40">
            <w:pPr>
              <w:pStyle w:val="59"/>
              <w:rPr>
                <w:rFonts w:ascii="Times New Roman" w:hAnsi="Times New Roman" w:cs="Times New Roman"/>
              </w:rPr>
            </w:pPr>
          </w:p>
        </w:tc>
        <w:tc>
          <w:tcPr>
            <w:tcW w:w="524" w:type="pct"/>
            <w:vMerge w:val="continue"/>
            <w:noWrap w:val="0"/>
            <w:vAlign w:val="center"/>
          </w:tcPr>
          <w:p w14:paraId="2364DEBE">
            <w:pPr>
              <w:pStyle w:val="59"/>
              <w:rPr>
                <w:rFonts w:ascii="Times New Roman" w:hAnsi="Times New Roman" w:cs="Times New Roman"/>
              </w:rPr>
            </w:pPr>
          </w:p>
        </w:tc>
      </w:tr>
      <w:tr w14:paraId="21B0F4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5ED2F0DB">
            <w:pPr>
              <w:pStyle w:val="59"/>
              <w:rPr>
                <w:rFonts w:ascii="Times New Roman" w:hAnsi="Times New Roman" w:cs="Times New Roman"/>
              </w:rPr>
            </w:pPr>
          </w:p>
        </w:tc>
        <w:tc>
          <w:tcPr>
            <w:tcW w:w="3064" w:type="pct"/>
            <w:noWrap w:val="0"/>
            <w:vAlign w:val="center"/>
          </w:tcPr>
          <w:p w14:paraId="68A5FAF3">
            <w:pPr>
              <w:pStyle w:val="59"/>
              <w:rPr>
                <w:rFonts w:ascii="Times New Roman" w:hAnsi="Times New Roman" w:cs="Times New Roman"/>
              </w:rPr>
            </w:pPr>
            <w:r>
              <w:rPr>
                <w:rFonts w:ascii="Times New Roman" w:hAnsi="Times New Roman" w:cs="Times New Roman"/>
              </w:rPr>
              <w:t>TT202型对开自动停回转平台印刷机，TT402、TT403、TT405、DT402型四开自动停回转平台印刷机，TZ202型对开半自动停回转平台印刷机，TZ401、TZS401、DT401型四开半自动停回转平台印刷机</w:t>
            </w:r>
          </w:p>
        </w:tc>
        <w:tc>
          <w:tcPr>
            <w:tcW w:w="887" w:type="pct"/>
            <w:vMerge w:val="continue"/>
            <w:noWrap w:val="0"/>
            <w:vAlign w:val="center"/>
          </w:tcPr>
          <w:p w14:paraId="19FD6AAE">
            <w:pPr>
              <w:pStyle w:val="59"/>
              <w:rPr>
                <w:rFonts w:ascii="Times New Roman" w:hAnsi="Times New Roman" w:cs="Times New Roman"/>
              </w:rPr>
            </w:pPr>
          </w:p>
        </w:tc>
        <w:tc>
          <w:tcPr>
            <w:tcW w:w="524" w:type="pct"/>
            <w:vMerge w:val="continue"/>
            <w:noWrap w:val="0"/>
            <w:vAlign w:val="center"/>
          </w:tcPr>
          <w:p w14:paraId="444573C2">
            <w:pPr>
              <w:pStyle w:val="59"/>
              <w:rPr>
                <w:rFonts w:ascii="Times New Roman" w:hAnsi="Times New Roman" w:cs="Times New Roman"/>
              </w:rPr>
            </w:pPr>
          </w:p>
        </w:tc>
      </w:tr>
      <w:tr w14:paraId="2C5F5E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6B4C1D80">
            <w:pPr>
              <w:pStyle w:val="59"/>
              <w:rPr>
                <w:rFonts w:ascii="Times New Roman" w:hAnsi="Times New Roman" w:cs="Times New Roman"/>
              </w:rPr>
            </w:pPr>
          </w:p>
        </w:tc>
        <w:tc>
          <w:tcPr>
            <w:tcW w:w="3064" w:type="pct"/>
            <w:noWrap w:val="0"/>
            <w:vAlign w:val="center"/>
          </w:tcPr>
          <w:p w14:paraId="1DFA4EE1">
            <w:pPr>
              <w:pStyle w:val="59"/>
              <w:rPr>
                <w:rFonts w:ascii="Times New Roman" w:hAnsi="Times New Roman" w:cs="Times New Roman"/>
              </w:rPr>
            </w:pPr>
            <w:r>
              <w:rPr>
                <w:rFonts w:ascii="Times New Roman" w:hAnsi="Times New Roman" w:cs="Times New Roman"/>
              </w:rPr>
              <w:t>TR801型系列立式平台印刷机</w:t>
            </w:r>
          </w:p>
        </w:tc>
        <w:tc>
          <w:tcPr>
            <w:tcW w:w="887" w:type="pct"/>
            <w:vMerge w:val="continue"/>
            <w:noWrap w:val="0"/>
            <w:vAlign w:val="center"/>
          </w:tcPr>
          <w:p w14:paraId="747F657D">
            <w:pPr>
              <w:pStyle w:val="59"/>
              <w:rPr>
                <w:rFonts w:ascii="Times New Roman" w:hAnsi="Times New Roman" w:cs="Times New Roman"/>
              </w:rPr>
            </w:pPr>
          </w:p>
        </w:tc>
        <w:tc>
          <w:tcPr>
            <w:tcW w:w="524" w:type="pct"/>
            <w:vMerge w:val="continue"/>
            <w:noWrap w:val="0"/>
            <w:vAlign w:val="center"/>
          </w:tcPr>
          <w:p w14:paraId="3901768B">
            <w:pPr>
              <w:pStyle w:val="59"/>
              <w:rPr>
                <w:rFonts w:ascii="Times New Roman" w:hAnsi="Times New Roman" w:cs="Times New Roman"/>
              </w:rPr>
            </w:pPr>
          </w:p>
        </w:tc>
      </w:tr>
      <w:tr w14:paraId="78FCC1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36CCC758">
            <w:pPr>
              <w:pStyle w:val="59"/>
              <w:rPr>
                <w:rFonts w:ascii="Times New Roman" w:hAnsi="Times New Roman" w:cs="Times New Roman"/>
              </w:rPr>
            </w:pPr>
          </w:p>
        </w:tc>
        <w:tc>
          <w:tcPr>
            <w:tcW w:w="3064" w:type="pct"/>
            <w:noWrap w:val="0"/>
            <w:vAlign w:val="center"/>
          </w:tcPr>
          <w:p w14:paraId="662A9156">
            <w:pPr>
              <w:pStyle w:val="59"/>
              <w:rPr>
                <w:rFonts w:ascii="Times New Roman" w:hAnsi="Times New Roman" w:cs="Times New Roman"/>
              </w:rPr>
            </w:pPr>
            <w:r>
              <w:rPr>
                <w:rFonts w:ascii="Times New Roman" w:hAnsi="Times New Roman" w:cs="Times New Roman"/>
              </w:rPr>
              <w:t>LP1101、LP1103型系列平板纸全张单面轮转印刷机， LP1201型平板纸全张双面轮转印刷机，LP4201型平板纸四开双色轮转印刷机</w:t>
            </w:r>
          </w:p>
        </w:tc>
        <w:tc>
          <w:tcPr>
            <w:tcW w:w="887" w:type="pct"/>
            <w:vMerge w:val="continue"/>
            <w:noWrap w:val="0"/>
            <w:vAlign w:val="center"/>
          </w:tcPr>
          <w:p w14:paraId="23BD9C02">
            <w:pPr>
              <w:pStyle w:val="59"/>
              <w:rPr>
                <w:rFonts w:ascii="Times New Roman" w:hAnsi="Times New Roman" w:cs="Times New Roman"/>
              </w:rPr>
            </w:pPr>
          </w:p>
        </w:tc>
        <w:tc>
          <w:tcPr>
            <w:tcW w:w="524" w:type="pct"/>
            <w:vMerge w:val="continue"/>
            <w:noWrap w:val="0"/>
            <w:vAlign w:val="center"/>
          </w:tcPr>
          <w:p w14:paraId="34FCE148">
            <w:pPr>
              <w:pStyle w:val="59"/>
              <w:rPr>
                <w:rFonts w:ascii="Times New Roman" w:hAnsi="Times New Roman" w:cs="Times New Roman"/>
              </w:rPr>
            </w:pPr>
          </w:p>
        </w:tc>
      </w:tr>
      <w:tr w14:paraId="1BFDD9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2" w:type="pct"/>
            <w:vMerge w:val="continue"/>
            <w:noWrap w:val="0"/>
            <w:vAlign w:val="center"/>
          </w:tcPr>
          <w:p w14:paraId="33AB7733">
            <w:pPr>
              <w:pStyle w:val="59"/>
              <w:rPr>
                <w:rFonts w:ascii="Times New Roman" w:hAnsi="Times New Roman" w:cs="Times New Roman"/>
              </w:rPr>
            </w:pPr>
          </w:p>
        </w:tc>
        <w:tc>
          <w:tcPr>
            <w:tcW w:w="3064" w:type="pct"/>
            <w:noWrap w:val="0"/>
            <w:vAlign w:val="center"/>
          </w:tcPr>
          <w:p w14:paraId="3640DC66">
            <w:pPr>
              <w:pStyle w:val="59"/>
              <w:rPr>
                <w:rFonts w:ascii="Times New Roman" w:hAnsi="Times New Roman" w:cs="Times New Roman"/>
              </w:rPr>
            </w:pPr>
            <w:r>
              <w:rPr>
                <w:rFonts w:ascii="Times New Roman" w:hAnsi="Times New Roman" w:cs="Times New Roman"/>
              </w:rPr>
              <w:t>LSB201（880mm×1230mm）及LS201、LS204（787mm×1092mm）型系列卷筒纸书刊转轮印刷机</w:t>
            </w:r>
          </w:p>
        </w:tc>
        <w:tc>
          <w:tcPr>
            <w:tcW w:w="887" w:type="pct"/>
            <w:vMerge w:val="continue"/>
            <w:noWrap w:val="0"/>
            <w:vAlign w:val="center"/>
          </w:tcPr>
          <w:p w14:paraId="04DE04CC">
            <w:pPr>
              <w:pStyle w:val="59"/>
              <w:rPr>
                <w:rFonts w:ascii="Times New Roman" w:hAnsi="Times New Roman" w:cs="Times New Roman"/>
              </w:rPr>
            </w:pPr>
          </w:p>
        </w:tc>
        <w:tc>
          <w:tcPr>
            <w:tcW w:w="524" w:type="pct"/>
            <w:vMerge w:val="continue"/>
            <w:noWrap w:val="0"/>
            <w:vAlign w:val="center"/>
          </w:tcPr>
          <w:p w14:paraId="40B8E79B">
            <w:pPr>
              <w:pStyle w:val="59"/>
              <w:rPr>
                <w:rFonts w:ascii="Times New Roman" w:hAnsi="Times New Roman" w:cs="Times New Roman"/>
              </w:rPr>
            </w:pPr>
          </w:p>
        </w:tc>
      </w:tr>
      <w:tr w14:paraId="4EAD0F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0847E5C5">
            <w:pPr>
              <w:pStyle w:val="59"/>
              <w:rPr>
                <w:rFonts w:ascii="Times New Roman" w:hAnsi="Times New Roman" w:cs="Times New Roman"/>
              </w:rPr>
            </w:pPr>
          </w:p>
        </w:tc>
        <w:tc>
          <w:tcPr>
            <w:tcW w:w="3064" w:type="pct"/>
            <w:noWrap w:val="0"/>
            <w:vAlign w:val="center"/>
          </w:tcPr>
          <w:p w14:paraId="691BCD2F">
            <w:pPr>
              <w:pStyle w:val="59"/>
              <w:rPr>
                <w:rFonts w:ascii="Times New Roman" w:hAnsi="Times New Roman" w:cs="Times New Roman"/>
              </w:rPr>
            </w:pPr>
            <w:r>
              <w:rPr>
                <w:rFonts w:ascii="Times New Roman" w:hAnsi="Times New Roman" w:cs="Times New Roman"/>
              </w:rPr>
              <w:t>LB203、LB205、LB403型卷筒纸报版轮转印刷机，LB2405、LB4405 型卷筒纸双层二组报版轮转印刷机，LBS201 型卷筒纸书、报二用轮转印刷机</w:t>
            </w:r>
          </w:p>
        </w:tc>
        <w:tc>
          <w:tcPr>
            <w:tcW w:w="887" w:type="pct"/>
            <w:vMerge w:val="continue"/>
            <w:noWrap w:val="0"/>
            <w:vAlign w:val="center"/>
          </w:tcPr>
          <w:p w14:paraId="6868A883">
            <w:pPr>
              <w:pStyle w:val="59"/>
              <w:rPr>
                <w:rFonts w:ascii="Times New Roman" w:hAnsi="Times New Roman" w:cs="Times New Roman"/>
              </w:rPr>
            </w:pPr>
          </w:p>
        </w:tc>
        <w:tc>
          <w:tcPr>
            <w:tcW w:w="524" w:type="pct"/>
            <w:vMerge w:val="continue"/>
            <w:noWrap w:val="0"/>
            <w:vAlign w:val="center"/>
          </w:tcPr>
          <w:p w14:paraId="60A15131">
            <w:pPr>
              <w:pStyle w:val="59"/>
              <w:rPr>
                <w:rFonts w:ascii="Times New Roman" w:hAnsi="Times New Roman" w:cs="Times New Roman"/>
              </w:rPr>
            </w:pPr>
          </w:p>
        </w:tc>
      </w:tr>
      <w:tr w14:paraId="64D13E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05FBDC0E">
            <w:pPr>
              <w:pStyle w:val="59"/>
              <w:rPr>
                <w:rFonts w:ascii="Times New Roman" w:hAnsi="Times New Roman" w:cs="Times New Roman"/>
              </w:rPr>
            </w:pPr>
          </w:p>
        </w:tc>
        <w:tc>
          <w:tcPr>
            <w:tcW w:w="3064" w:type="pct"/>
            <w:noWrap w:val="0"/>
            <w:vAlign w:val="center"/>
          </w:tcPr>
          <w:p w14:paraId="5873AB52">
            <w:pPr>
              <w:pStyle w:val="59"/>
              <w:rPr>
                <w:rFonts w:ascii="Times New Roman" w:hAnsi="Times New Roman" w:cs="Times New Roman"/>
              </w:rPr>
            </w:pPr>
            <w:r>
              <w:rPr>
                <w:rFonts w:ascii="Times New Roman" w:hAnsi="Times New Roman" w:cs="Times New Roman"/>
              </w:rPr>
              <w:t>J1101系列全张单色胶印机（印刷速度每小时5000张及以下）</w:t>
            </w:r>
          </w:p>
        </w:tc>
        <w:tc>
          <w:tcPr>
            <w:tcW w:w="887" w:type="pct"/>
            <w:vMerge w:val="continue"/>
            <w:noWrap w:val="0"/>
            <w:vAlign w:val="center"/>
          </w:tcPr>
          <w:p w14:paraId="53CEE5C8">
            <w:pPr>
              <w:pStyle w:val="59"/>
              <w:rPr>
                <w:rFonts w:ascii="Times New Roman" w:hAnsi="Times New Roman" w:cs="Times New Roman"/>
              </w:rPr>
            </w:pPr>
          </w:p>
        </w:tc>
        <w:tc>
          <w:tcPr>
            <w:tcW w:w="524" w:type="pct"/>
            <w:vMerge w:val="continue"/>
            <w:noWrap w:val="0"/>
            <w:vAlign w:val="center"/>
          </w:tcPr>
          <w:p w14:paraId="567756F1">
            <w:pPr>
              <w:pStyle w:val="59"/>
              <w:rPr>
                <w:rFonts w:ascii="Times New Roman" w:hAnsi="Times New Roman" w:cs="Times New Roman"/>
              </w:rPr>
            </w:pPr>
          </w:p>
        </w:tc>
      </w:tr>
      <w:tr w14:paraId="50DB9C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5EEAD68C">
            <w:pPr>
              <w:pStyle w:val="59"/>
              <w:rPr>
                <w:rFonts w:ascii="Times New Roman" w:hAnsi="Times New Roman" w:cs="Times New Roman"/>
              </w:rPr>
            </w:pPr>
          </w:p>
        </w:tc>
        <w:tc>
          <w:tcPr>
            <w:tcW w:w="3064" w:type="pct"/>
            <w:noWrap w:val="0"/>
            <w:vAlign w:val="center"/>
          </w:tcPr>
          <w:p w14:paraId="3C79E591">
            <w:pPr>
              <w:pStyle w:val="59"/>
              <w:rPr>
                <w:rFonts w:ascii="Times New Roman" w:hAnsi="Times New Roman" w:cs="Times New Roman"/>
              </w:rPr>
            </w:pPr>
            <w:r>
              <w:rPr>
                <w:rFonts w:ascii="Times New Roman" w:hAnsi="Times New Roman" w:cs="Times New Roman"/>
              </w:rPr>
              <w:t>J2101、PZ1920系列对开单色胶印机（印刷速度每小时4000张及以下），PZ1615系列四开单色胶印机（印刷速度每小时 4000张及以下），YPS1920系列双面单色胶印机（印刷速度每小时4000张及以下）</w:t>
            </w:r>
          </w:p>
        </w:tc>
        <w:tc>
          <w:tcPr>
            <w:tcW w:w="887" w:type="pct"/>
            <w:vMerge w:val="continue"/>
            <w:noWrap w:val="0"/>
            <w:vAlign w:val="center"/>
          </w:tcPr>
          <w:p w14:paraId="6239BBCD">
            <w:pPr>
              <w:pStyle w:val="59"/>
              <w:rPr>
                <w:rFonts w:ascii="Times New Roman" w:hAnsi="Times New Roman" w:cs="Times New Roman"/>
              </w:rPr>
            </w:pPr>
          </w:p>
        </w:tc>
        <w:tc>
          <w:tcPr>
            <w:tcW w:w="524" w:type="pct"/>
            <w:vMerge w:val="continue"/>
            <w:noWrap w:val="0"/>
            <w:vAlign w:val="center"/>
          </w:tcPr>
          <w:p w14:paraId="4EB97299">
            <w:pPr>
              <w:pStyle w:val="59"/>
              <w:rPr>
                <w:rFonts w:ascii="Times New Roman" w:hAnsi="Times New Roman" w:cs="Times New Roman"/>
              </w:rPr>
            </w:pPr>
          </w:p>
        </w:tc>
      </w:tr>
      <w:tr w14:paraId="5903FC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129EAB4D">
            <w:pPr>
              <w:pStyle w:val="59"/>
              <w:rPr>
                <w:rFonts w:ascii="Times New Roman" w:hAnsi="Times New Roman" w:cs="Times New Roman"/>
              </w:rPr>
            </w:pPr>
          </w:p>
        </w:tc>
        <w:tc>
          <w:tcPr>
            <w:tcW w:w="3064" w:type="pct"/>
            <w:noWrap w:val="0"/>
            <w:vAlign w:val="center"/>
          </w:tcPr>
          <w:p w14:paraId="4EA7EA64">
            <w:pPr>
              <w:pStyle w:val="59"/>
              <w:rPr>
                <w:rFonts w:ascii="Times New Roman" w:hAnsi="Times New Roman" w:cs="Times New Roman"/>
              </w:rPr>
            </w:pPr>
            <w:r>
              <w:rPr>
                <w:rFonts w:ascii="Times New Roman" w:hAnsi="Times New Roman" w:cs="Times New Roman"/>
              </w:rPr>
              <w:t>W1101型全张自动凹版印刷机、AJ401型卷筒纸单面四色凹版印刷机</w:t>
            </w:r>
          </w:p>
        </w:tc>
        <w:tc>
          <w:tcPr>
            <w:tcW w:w="887" w:type="pct"/>
            <w:vMerge w:val="continue"/>
            <w:noWrap w:val="0"/>
            <w:vAlign w:val="center"/>
          </w:tcPr>
          <w:p w14:paraId="7A1787FF">
            <w:pPr>
              <w:pStyle w:val="59"/>
              <w:rPr>
                <w:rFonts w:ascii="Times New Roman" w:hAnsi="Times New Roman" w:cs="Times New Roman"/>
              </w:rPr>
            </w:pPr>
          </w:p>
        </w:tc>
        <w:tc>
          <w:tcPr>
            <w:tcW w:w="524" w:type="pct"/>
            <w:vMerge w:val="continue"/>
            <w:noWrap w:val="0"/>
            <w:vAlign w:val="center"/>
          </w:tcPr>
          <w:p w14:paraId="6DDB5629">
            <w:pPr>
              <w:pStyle w:val="59"/>
              <w:rPr>
                <w:rFonts w:ascii="Times New Roman" w:hAnsi="Times New Roman" w:cs="Times New Roman"/>
              </w:rPr>
            </w:pPr>
          </w:p>
        </w:tc>
      </w:tr>
      <w:tr w14:paraId="171B10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7949B9D7">
            <w:pPr>
              <w:pStyle w:val="59"/>
              <w:rPr>
                <w:rFonts w:ascii="Times New Roman" w:hAnsi="Times New Roman" w:cs="Times New Roman"/>
              </w:rPr>
            </w:pPr>
          </w:p>
        </w:tc>
        <w:tc>
          <w:tcPr>
            <w:tcW w:w="3064" w:type="pct"/>
            <w:noWrap w:val="0"/>
            <w:vAlign w:val="center"/>
          </w:tcPr>
          <w:p w14:paraId="46A093E8">
            <w:pPr>
              <w:pStyle w:val="59"/>
              <w:rPr>
                <w:rFonts w:ascii="Times New Roman" w:hAnsi="Times New Roman" w:cs="Times New Roman"/>
              </w:rPr>
            </w:pPr>
            <w:r>
              <w:rPr>
                <w:rFonts w:ascii="Times New Roman" w:hAnsi="Times New Roman" w:cs="Times New Roman"/>
              </w:rPr>
              <w:t>DJ01型平装胶订联动机，PRD-01、PRD-02型平装胶订联动机，DBT-01型平装有线订、包、烫联动机</w:t>
            </w:r>
          </w:p>
        </w:tc>
        <w:tc>
          <w:tcPr>
            <w:tcW w:w="887" w:type="pct"/>
            <w:vMerge w:val="continue"/>
            <w:noWrap w:val="0"/>
            <w:vAlign w:val="center"/>
          </w:tcPr>
          <w:p w14:paraId="596633B6">
            <w:pPr>
              <w:pStyle w:val="59"/>
              <w:rPr>
                <w:rFonts w:ascii="Times New Roman" w:hAnsi="Times New Roman" w:cs="Times New Roman"/>
              </w:rPr>
            </w:pPr>
          </w:p>
        </w:tc>
        <w:tc>
          <w:tcPr>
            <w:tcW w:w="524" w:type="pct"/>
            <w:vMerge w:val="continue"/>
            <w:noWrap w:val="0"/>
            <w:vAlign w:val="center"/>
          </w:tcPr>
          <w:p w14:paraId="7682983E">
            <w:pPr>
              <w:pStyle w:val="59"/>
              <w:rPr>
                <w:rFonts w:ascii="Times New Roman" w:hAnsi="Times New Roman" w:cs="Times New Roman"/>
              </w:rPr>
            </w:pPr>
          </w:p>
        </w:tc>
      </w:tr>
      <w:tr w14:paraId="20BBA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restart"/>
            <w:noWrap w:val="0"/>
            <w:vAlign w:val="center"/>
          </w:tcPr>
          <w:p w14:paraId="39EFDE78">
            <w:pPr>
              <w:pStyle w:val="59"/>
              <w:rPr>
                <w:rFonts w:hint="eastAsia" w:ascii="Times New Roman" w:hAnsi="Times New Roman" w:cs="Times New Roman"/>
              </w:rPr>
            </w:pPr>
            <w:r>
              <w:rPr>
                <w:rFonts w:hint="eastAsia" w:ascii="Times New Roman" w:hAnsi="Times New Roman" w:cs="Times New Roman"/>
              </w:rPr>
              <w:t>淘汰的落后产品</w:t>
            </w:r>
          </w:p>
        </w:tc>
        <w:tc>
          <w:tcPr>
            <w:tcW w:w="3064" w:type="pct"/>
            <w:noWrap w:val="0"/>
            <w:vAlign w:val="center"/>
          </w:tcPr>
          <w:p w14:paraId="0C0EA1C9">
            <w:pPr>
              <w:pStyle w:val="59"/>
              <w:rPr>
                <w:rFonts w:ascii="Times New Roman" w:hAnsi="Times New Roman" w:cs="Times New Roman"/>
              </w:rPr>
            </w:pPr>
            <w:r>
              <w:rPr>
                <w:rFonts w:ascii="Times New Roman" w:hAnsi="Times New Roman" w:cs="Times New Roman"/>
              </w:rPr>
              <w:t>用于凹版印刷的苯胺油墨</w:t>
            </w:r>
          </w:p>
        </w:tc>
        <w:tc>
          <w:tcPr>
            <w:tcW w:w="887" w:type="pct"/>
            <w:noWrap w:val="0"/>
            <w:vAlign w:val="center"/>
          </w:tcPr>
          <w:p w14:paraId="206C44C5">
            <w:pPr>
              <w:pStyle w:val="59"/>
              <w:rPr>
                <w:rFonts w:hint="eastAsia" w:ascii="Times New Roman" w:hAnsi="Times New Roman" w:cs="Times New Roman"/>
              </w:rPr>
            </w:pPr>
            <w:r>
              <w:rPr>
                <w:rFonts w:hint="eastAsia" w:ascii="Times New Roman" w:hAnsi="Times New Roman" w:cs="Times New Roman"/>
              </w:rPr>
              <w:t>本项目不使用含苯胺的油墨</w:t>
            </w:r>
          </w:p>
        </w:tc>
        <w:tc>
          <w:tcPr>
            <w:tcW w:w="524" w:type="pct"/>
            <w:noWrap w:val="0"/>
            <w:vAlign w:val="center"/>
          </w:tcPr>
          <w:p w14:paraId="7740E75B">
            <w:pPr>
              <w:pStyle w:val="59"/>
              <w:rPr>
                <w:rFonts w:ascii="Times New Roman" w:hAnsi="Times New Roman" w:cs="Times New Roman"/>
              </w:rPr>
            </w:pPr>
            <w:r>
              <w:rPr>
                <w:rFonts w:ascii="Times New Roman" w:hAnsi="Times New Roman" w:cs="Times New Roman"/>
              </w:rPr>
              <w:t>符合</w:t>
            </w:r>
          </w:p>
        </w:tc>
      </w:tr>
      <w:tr w14:paraId="613E18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2" w:type="pct"/>
            <w:vMerge w:val="continue"/>
            <w:noWrap w:val="0"/>
            <w:vAlign w:val="center"/>
          </w:tcPr>
          <w:p w14:paraId="3430F321">
            <w:pPr>
              <w:pStyle w:val="59"/>
              <w:rPr>
                <w:rFonts w:hint="eastAsia" w:ascii="Times New Roman" w:hAnsi="Times New Roman" w:cs="Times New Roman"/>
              </w:rPr>
            </w:pPr>
          </w:p>
        </w:tc>
        <w:tc>
          <w:tcPr>
            <w:tcW w:w="3064" w:type="pct"/>
            <w:noWrap w:val="0"/>
            <w:vAlign w:val="center"/>
          </w:tcPr>
          <w:p w14:paraId="3D7CEE1E">
            <w:pPr>
              <w:pStyle w:val="59"/>
              <w:rPr>
                <w:rFonts w:ascii="Times New Roman" w:hAnsi="Times New Roman" w:cs="Times New Roman"/>
              </w:rPr>
            </w:pPr>
            <w:r>
              <w:rPr>
                <w:rFonts w:ascii="Times New Roman" w:hAnsi="Times New Roman" w:cs="Times New Roman"/>
              </w:rPr>
              <w:t>含苯类、苯酚、苯甲醛和二（三）氯甲烷的脱漆剂，立德粉，聚氯乙烯建筑防水接缝材料（焦油型），107胶（聚乙烯醇缩甲醛胶黏剂），瘦肉精，多氯联苯（变压器油）</w:t>
            </w:r>
          </w:p>
        </w:tc>
        <w:tc>
          <w:tcPr>
            <w:tcW w:w="887" w:type="pct"/>
            <w:noWrap w:val="0"/>
            <w:vAlign w:val="center"/>
          </w:tcPr>
          <w:p w14:paraId="2B28B63D">
            <w:pPr>
              <w:pStyle w:val="59"/>
              <w:rPr>
                <w:rFonts w:ascii="Times New Roman" w:hAnsi="Times New Roman" w:cs="Times New Roman"/>
              </w:rPr>
            </w:pPr>
            <w:r>
              <w:rPr>
                <w:rFonts w:hint="eastAsia" w:ascii="Times New Roman" w:hAnsi="Times New Roman" w:cs="Times New Roman"/>
              </w:rPr>
              <w:t>本项目使用的油墨、胶粘剂、清洗剂均不含所列原料</w:t>
            </w:r>
          </w:p>
        </w:tc>
        <w:tc>
          <w:tcPr>
            <w:tcW w:w="524" w:type="pct"/>
            <w:noWrap w:val="0"/>
            <w:vAlign w:val="center"/>
          </w:tcPr>
          <w:p w14:paraId="4CA570C0">
            <w:pPr>
              <w:pStyle w:val="59"/>
              <w:rPr>
                <w:rFonts w:ascii="Times New Roman" w:hAnsi="Times New Roman" w:cs="Times New Roman"/>
              </w:rPr>
            </w:pPr>
            <w:r>
              <w:rPr>
                <w:rFonts w:ascii="Times New Roman" w:hAnsi="Times New Roman" w:cs="Times New Roman"/>
              </w:rPr>
              <w:t>符合</w:t>
            </w:r>
          </w:p>
        </w:tc>
      </w:tr>
    </w:tbl>
    <w:p w14:paraId="237DE225">
      <w:pPr>
        <w:bidi w:val="0"/>
      </w:pPr>
      <w:r>
        <w:t>对照《环境保护综合名录（2021 年版），本项目涉及油性油墨和稀释剂的使用，油性油墨加稀释剂调配后，VOCs 含量满足《油墨中可挥发性有机化合物（VOCs）含量的限值》（GB 38507-2020）的相关要求，因此不属于《环境保护综合名录（2021 年版）》中的高污染产品。同时，本项目行业类别为 C2319 包装装潢及其他印刷，不属于《关于加强高耗能、高排放建设项目生态环境源头防控的指导意见》（环环评〔2021〕45 号） ”和“《广东省发展改革委关于印发《广东省坚决遏制“两高”项目盲目发展的实施方案》的通知》（粤发改能源〔2021〕368 号）中的“两高”项目范围。</w:t>
      </w:r>
    </w:p>
    <w:p w14:paraId="474A348B">
      <w:pPr>
        <w:bidi w:val="0"/>
        <w:rPr>
          <w:rFonts w:hint="eastAsia"/>
        </w:rPr>
      </w:pPr>
      <w:r>
        <w:t>根据《关于印发〈广东省禁止、限制生产、销售和使用的塑料制品目录〉（2020年版）的通知》（粤发改资环函〔2020〕1747 号）文件要求：一、禁止生产、销售的塑料制品--厚度小于 0.025 毫米的超薄塑料购物袋、厚度小于0.01 毫米的聚乙烯农用地</w:t>
      </w:r>
      <w:r>
        <w:rPr>
          <w:rFonts w:hint="eastAsia"/>
        </w:rPr>
        <w:t>膜、以医疗废物为原料制造塑料制品、一次性发泡塑料餐具、一次性塑料棉签、含塑料微珠的日化产品。二、禁止、限制使用的塑料制品--不可降解塑料袋、一次性塑料餐具、一次性塑料吸管、宾馆、酒店一次性塑料用品、快递塑料包装(塑料包装袋、一次性塑料编织袋、塑料胶带)。本项目主要从事塑料包装膜的印刷加工，项目使用的薄膜为外购半成品，厚度约为0.03~0.09mm,不属于禁止生产、销售、限制使用的塑料制品，项目符合该文件的要求。</w:t>
      </w:r>
    </w:p>
    <w:p w14:paraId="47BB90DC">
      <w:pPr>
        <w:bidi w:val="0"/>
        <w:rPr>
          <w:rFonts w:hint="eastAsia"/>
        </w:rPr>
      </w:pPr>
      <w:r>
        <w:rPr>
          <w:rFonts w:hint="eastAsia"/>
          <w:color w:val="auto"/>
          <w:lang w:val="en-US" w:eastAsia="zh-CN"/>
        </w:rPr>
        <w:t>同时，</w:t>
      </w:r>
      <w:r>
        <w:rPr>
          <w:color w:val="auto"/>
        </w:rPr>
        <w:t>经核查《江门市投资准入负面清单（2018年本）》</w:t>
      </w:r>
      <w:r>
        <w:rPr>
          <w:rFonts w:hint="eastAsia"/>
          <w:color w:val="auto"/>
        </w:rPr>
        <w:t>、《鹤山市投资准入禁止限制目录（2019年本）》、</w:t>
      </w:r>
      <w:r>
        <w:rPr>
          <w:rFonts w:hint="eastAsia"/>
          <w:color w:val="auto"/>
          <w:lang w:eastAsia="zh-CN"/>
        </w:rPr>
        <w:t>《市场准入负面清单》（2025年本）</w:t>
      </w:r>
      <w:r>
        <w:rPr>
          <w:color w:val="auto"/>
        </w:rPr>
        <w:t>，本项目不属于所列禁止类、限制类和淘汰类项目，符合国家、广东省和江门市产业政策。</w:t>
      </w:r>
    </w:p>
    <w:p w14:paraId="053F0328">
      <w:pPr>
        <w:ind w:firstLine="480"/>
        <w:rPr>
          <w:rFonts w:hint="eastAsia"/>
          <w:color w:val="auto"/>
        </w:rPr>
      </w:pPr>
      <w:r>
        <w:rPr>
          <w:rFonts w:hint="eastAsia"/>
          <w:color w:val="auto"/>
        </w:rPr>
        <w:t>（</w:t>
      </w:r>
      <w:r>
        <w:rPr>
          <w:rFonts w:hint="eastAsia"/>
          <w:color w:val="auto"/>
          <w:lang w:val="en-US" w:eastAsia="zh-CN"/>
        </w:rPr>
        <w:t>2</w:t>
      </w:r>
      <w:r>
        <w:rPr>
          <w:rFonts w:hint="eastAsia"/>
          <w:color w:val="auto"/>
        </w:rPr>
        <w:t>）</w:t>
      </w:r>
      <w:r>
        <w:rPr>
          <w:rFonts w:ascii="Times New Roman" w:hAnsi="Times New Roman" w:cs="Times New Roman"/>
          <w:b/>
          <w:bCs/>
        </w:rPr>
        <w:t>与</w:t>
      </w:r>
      <w:r>
        <w:rPr>
          <w:rFonts w:hint="eastAsia" w:ascii="Times New Roman" w:hAnsi="Times New Roman" w:cs="Times New Roman"/>
          <w:b/>
          <w:bCs/>
        </w:rPr>
        <w:t>《江门市“三线一单”生态环境分区管控方案》（江府〔2024〕15号）符合</w:t>
      </w:r>
      <w:r>
        <w:rPr>
          <w:rFonts w:hint="eastAsia" w:ascii="Times New Roman" w:hAnsi="Times New Roman" w:cs="Times New Roman"/>
          <w:b/>
          <w:bCs/>
          <w:kern w:val="0"/>
          <w:lang w:bidi="ar"/>
        </w:rPr>
        <w:t>性分析</w:t>
      </w:r>
    </w:p>
    <w:p w14:paraId="495A2F47">
      <w:pPr>
        <w:ind w:firstLine="480"/>
        <w:rPr>
          <w:rFonts w:hint="eastAsia" w:ascii="Times New Roman" w:hAnsi="Times New Roman" w:cs="Times New Roman"/>
        </w:rPr>
      </w:pPr>
      <w:r>
        <w:rPr>
          <w:rFonts w:hint="eastAsia" w:ascii="Times New Roman" w:hAnsi="Times New Roman" w:cs="Times New Roman"/>
        </w:rPr>
        <w:t>项目位于</w:t>
      </w:r>
      <w:r>
        <w:rPr>
          <w:rFonts w:hint="eastAsia" w:ascii="Times New Roman" w:hAnsi="Times New Roman" w:cs="Times New Roman"/>
          <w:bCs/>
        </w:rPr>
        <w:t>鹤山市古劳镇三连工业区六区16号自编6号</w:t>
      </w:r>
      <w:r>
        <w:rPr>
          <w:rFonts w:hint="eastAsia" w:ascii="Times New Roman" w:hAnsi="Times New Roman" w:cs="Times New Roman"/>
        </w:rPr>
        <w:t>，项目与江门市环境管控单元位置关系详见附图，属于“鹤山市重点管控单元1”，编号为ZH44078420002。</w:t>
      </w:r>
    </w:p>
    <w:p w14:paraId="34A6E968">
      <w:pPr>
        <w:pStyle w:val="62"/>
        <w:numPr>
          <w:ilvl w:val="0"/>
          <w:numId w:val="4"/>
        </w:numPr>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与（江府〔2024〕15号）相符性</w:t>
      </w:r>
    </w:p>
    <w:tbl>
      <w:tblPr>
        <w:tblStyle w:val="38"/>
        <w:tblW w:w="0" w:type="auto"/>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4411"/>
        <w:gridCol w:w="2698"/>
        <w:gridCol w:w="482"/>
      </w:tblGrid>
      <w:tr w14:paraId="7E482B44">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48" w:type="dxa"/>
            <w:tcBorders>
              <w:top w:val="single" w:color="auto" w:sz="12" w:space="0"/>
              <w:left w:val="nil"/>
              <w:bottom w:val="single" w:color="auto" w:sz="4" w:space="0"/>
              <w:right w:val="single" w:color="auto" w:sz="4" w:space="0"/>
            </w:tcBorders>
            <w:noWrap w:val="0"/>
            <w:vAlign w:val="center"/>
          </w:tcPr>
          <w:p w14:paraId="4E9E2103">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类别</w:t>
            </w:r>
          </w:p>
        </w:tc>
        <w:tc>
          <w:tcPr>
            <w:tcW w:w="4411" w:type="dxa"/>
            <w:tcBorders>
              <w:top w:val="single" w:color="auto" w:sz="12" w:space="0"/>
              <w:left w:val="nil"/>
              <w:bottom w:val="single" w:color="auto" w:sz="4" w:space="0"/>
              <w:right w:val="single" w:color="auto" w:sz="4" w:space="0"/>
            </w:tcBorders>
            <w:noWrap w:val="0"/>
            <w:vAlign w:val="center"/>
          </w:tcPr>
          <w:p w14:paraId="4390B01D">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《江门市“三线一单”生态环境分区管控方案》（江府</w:t>
            </w:r>
            <w:r>
              <w:rPr>
                <w:rFonts w:hint="eastAsia" w:ascii="Times New Roman" w:hAnsi="Times New Roman" w:cs="Times New Roman"/>
                <w:sz w:val="21"/>
                <w:szCs w:val="21"/>
              </w:rPr>
              <w:t>〔2024〕</w:t>
            </w:r>
            <w:r>
              <w:rPr>
                <w:rFonts w:hint="eastAsia" w:ascii="Times New Roman" w:hAnsi="Times New Roman" w:cs="Times New Roman"/>
                <w:sz w:val="21"/>
                <w:szCs w:val="21"/>
                <w:lang w:bidi="ar"/>
              </w:rPr>
              <w:t>15号）中的鹤山市重点管控单元1准入清单要求</w:t>
            </w:r>
          </w:p>
        </w:tc>
        <w:tc>
          <w:tcPr>
            <w:tcW w:w="2698" w:type="dxa"/>
            <w:tcBorders>
              <w:top w:val="single" w:color="auto" w:sz="12" w:space="0"/>
              <w:left w:val="nil"/>
              <w:bottom w:val="single" w:color="auto" w:sz="4" w:space="0"/>
              <w:right w:val="single" w:color="auto" w:sz="4" w:space="0"/>
            </w:tcBorders>
            <w:noWrap w:val="0"/>
            <w:vAlign w:val="center"/>
          </w:tcPr>
          <w:p w14:paraId="1A14CE4F">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本项目情况</w:t>
            </w:r>
          </w:p>
        </w:tc>
        <w:tc>
          <w:tcPr>
            <w:tcW w:w="482" w:type="dxa"/>
            <w:tcBorders>
              <w:top w:val="single" w:color="auto" w:sz="12" w:space="0"/>
              <w:left w:val="nil"/>
              <w:bottom w:val="single" w:color="auto" w:sz="4" w:space="0"/>
              <w:right w:val="nil"/>
            </w:tcBorders>
            <w:noWrap w:val="0"/>
            <w:vAlign w:val="center"/>
          </w:tcPr>
          <w:p w14:paraId="3A3CEE81">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相符性</w:t>
            </w:r>
          </w:p>
        </w:tc>
      </w:tr>
      <w:tr w14:paraId="7137CE2A">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tcBorders>
              <w:top w:val="single" w:color="auto" w:sz="4" w:space="0"/>
              <w:left w:val="nil"/>
              <w:bottom w:val="single" w:color="auto" w:sz="4" w:space="0"/>
              <w:right w:val="single" w:color="auto" w:sz="4" w:space="0"/>
            </w:tcBorders>
            <w:noWrap w:val="0"/>
            <w:vAlign w:val="center"/>
          </w:tcPr>
          <w:p w14:paraId="3882C406">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lang w:bidi="ar"/>
              </w:rPr>
            </w:pPr>
            <w:r>
              <w:rPr>
                <w:rFonts w:hint="eastAsia" w:ascii="Times New Roman" w:hAnsi="Times New Roman" w:cs="Times New Roman"/>
                <w:sz w:val="21"/>
                <w:szCs w:val="21"/>
                <w:lang w:bidi="ar"/>
              </w:rPr>
              <w:t>区域布局管控</w:t>
            </w:r>
          </w:p>
        </w:tc>
        <w:tc>
          <w:tcPr>
            <w:tcW w:w="4411" w:type="dxa"/>
            <w:tcBorders>
              <w:top w:val="single" w:color="auto" w:sz="4" w:space="0"/>
              <w:left w:val="nil"/>
              <w:bottom w:val="single" w:color="auto" w:sz="4" w:space="0"/>
              <w:right w:val="single" w:color="auto" w:sz="4" w:space="0"/>
            </w:tcBorders>
            <w:noWrap w:val="0"/>
            <w:vAlign w:val="center"/>
          </w:tcPr>
          <w:p w14:paraId="2FC3C43D">
            <w:pPr>
              <w:numPr>
                <w:ilvl w:val="1"/>
                <w:numId w:val="5"/>
              </w:numPr>
              <w:spacing w:line="240" w:lineRule="auto"/>
              <w:ind w:firstLineChars="0"/>
              <w:rPr>
                <w:rFonts w:ascii="Times New Roman" w:hAnsi="Times New Roman" w:cs="Times New Roman"/>
                <w:kern w:val="0"/>
                <w:sz w:val="21"/>
                <w:szCs w:val="21"/>
              </w:rPr>
            </w:pPr>
            <w:r>
              <w:rPr>
                <w:rFonts w:hint="eastAsia" w:ascii="Times New Roman" w:hAnsi="Times New Roman" w:cs="Times New Roman"/>
                <w:kern w:val="0"/>
                <w:sz w:val="21"/>
                <w:szCs w:val="21"/>
                <w:lang w:bidi="ar"/>
              </w:rPr>
              <w:t>1-1.【生态/禁止类】该单元生态保护红线内自然保护地核心保护区外，禁止开发性、生产性建设活动，在符合法律法规的前提下，仅允许对生态功能不造成破坏的有限人为活动。生态保护红线内自然保护区、风景名胜区、饮用水水源保护区等区域，依照法律法规执行。法律法规规定允许的有限人为活动之外，确需占用生态保护红线的国家重大项目，按照有关规定办理用地用海用岛审批。1-2.【生态/禁止类】生态保护红线外的一般生态空间，主导生态功能为水土保持和水源涵养。禁止在崩塌、滑坡危险区和泥石流易发区从事取土、挖砂、采石等可能造成水土流失的活动；开展石漠化区域和小流域综合治理，恢复和重建退化植被；严格保护具有重要水源涵养功能的自然植被，限制或禁止各种损害生态系统水源涵养功能的经济社会活动和生产方式，如无序采矿、毁林开荒；继续加强生态保护与恢复，恢复与重建水源涵养区森林、湿地等生态系统，提高生态系统的水源涵养能力；坚持自然恢复为主，严格限制在水源涵养区大规模人工造林。1-3.【生态/综合类】单元内江门大雁山地方级森林自然公园、佛山高明茶山地方级森林自然公园、佛山南海西岸地方级森林自然公园按《广东省森林公园管理条例》规定执行。1-4.【大气/禁止类】大气环境优先保护区，禁止新建、扩建排放大气污染物工业项目（国家和省规定不纳入环评管理的项目除外）。1-5.【大气/限制类】大气环境受体敏感重点管控区内，禁止新建储油库项目，严格限制产生和排放有毒有害大气污染物的建设项目以及生产、使用高 VOCs 原辅材料的溶剂型油墨、涂料、清洗剂、胶黏剂等项目，涉及 VOCs 无组织排放的企业执行《挥发性有机物无组织排放控制标准》（GB37822-2019）等标准要求，鼓励现有该类项目搬迁退出。1-6【水/禁止类】畜禽禁养区内不得从事畜禽养殖业。1-7.【岸线/禁止类】城镇建设和发展不得占用河道滩地。河道岸线的利用和建设，应当服从河道整治规划和航道整治规划。</w:t>
            </w:r>
          </w:p>
        </w:tc>
        <w:tc>
          <w:tcPr>
            <w:tcW w:w="2698" w:type="dxa"/>
            <w:tcBorders>
              <w:top w:val="single" w:color="auto" w:sz="4" w:space="0"/>
              <w:left w:val="nil"/>
              <w:bottom w:val="single" w:color="auto" w:sz="4" w:space="0"/>
              <w:right w:val="single" w:color="auto" w:sz="4" w:space="0"/>
            </w:tcBorders>
            <w:noWrap w:val="0"/>
            <w:vAlign w:val="center"/>
          </w:tcPr>
          <w:p w14:paraId="7F9FF327">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1-1项目不位于生态保护红线内自然保护地核心保护区外。</w:t>
            </w:r>
          </w:p>
          <w:p w14:paraId="61B02BD7">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1-2项目不在崩塌、滑坡危险区和泥石流易发区从事取土、挖砂、采石等可能造成水土流失的活动。</w:t>
            </w:r>
          </w:p>
          <w:p w14:paraId="4A5A6549">
            <w:pPr>
              <w:pStyle w:val="69"/>
              <w:jc w:val="left"/>
              <w:rPr>
                <w:rFonts w:hint="eastAsia" w:ascii="Times New Roman" w:hAnsi="Times New Roman" w:cs="Times New Roman"/>
              </w:rPr>
            </w:pPr>
            <w:r>
              <w:rPr>
                <w:rFonts w:hint="eastAsia" w:ascii="Times New Roman" w:hAnsi="Times New Roman" w:cs="Times New Roman"/>
                <w:kern w:val="0"/>
                <w:szCs w:val="21"/>
                <w:lang w:bidi="ar"/>
              </w:rPr>
              <w:t>项目所在地属于地下水分散式开发利用区</w:t>
            </w:r>
            <w:r>
              <w:rPr>
                <w:rFonts w:hint="eastAsia" w:ascii="Times New Roman" w:hAnsi="Times New Roman" w:cs="Times New Roman"/>
              </w:rPr>
              <w:t>。</w:t>
            </w:r>
          </w:p>
          <w:p w14:paraId="01EDA2BC">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1-3项目不位于江门大雁山地方级森林自然公园、佛山高明茶山地方级森林自然公园、佛山南海西岸地方级森林自然公园。</w:t>
            </w:r>
          </w:p>
          <w:p w14:paraId="55E71CDA">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1-4项目不属于大气环境优先保护区内。</w:t>
            </w:r>
          </w:p>
          <w:p w14:paraId="57AF2753">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1-5项目位于大气环境受体敏感重点管控区内，未新建储油库，不产生和排放有毒有害大气污染物，</w:t>
            </w:r>
            <w:r>
              <w:rPr>
                <w:rFonts w:hint="eastAsia" w:ascii="Times New Roman" w:hAnsi="Times New Roman" w:cs="Times New Roman"/>
                <w:kern w:val="0"/>
                <w:sz w:val="21"/>
                <w:szCs w:val="21"/>
                <w:lang w:val="en-US" w:eastAsia="zh-CN" w:bidi="ar"/>
              </w:rPr>
              <w:t>项目</w:t>
            </w:r>
            <w:r>
              <w:rPr>
                <w:rFonts w:hint="eastAsia" w:ascii="Times New Roman" w:hAnsi="Times New Roman" w:cs="Times New Roman"/>
                <w:kern w:val="0"/>
                <w:sz w:val="21"/>
                <w:szCs w:val="21"/>
                <w:lang w:bidi="ar"/>
              </w:rPr>
              <w:t>使用高 VOCs 原辅材料的溶剂型油墨、清洗剂。涉及 VOCs 无组织排放的企业执行《挥发性有机物无组织排放控制标准》（GB37822-2019）等标准。</w:t>
            </w:r>
          </w:p>
          <w:p w14:paraId="13B0FB56">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1-6不属于畜禽养殖业</w:t>
            </w:r>
          </w:p>
          <w:p w14:paraId="6C7143BB">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1-7不占用河道滩地。</w:t>
            </w:r>
          </w:p>
        </w:tc>
        <w:tc>
          <w:tcPr>
            <w:tcW w:w="482" w:type="dxa"/>
            <w:tcBorders>
              <w:top w:val="single" w:color="auto" w:sz="4" w:space="0"/>
              <w:left w:val="nil"/>
              <w:bottom w:val="single" w:color="auto" w:sz="4" w:space="0"/>
              <w:right w:val="nil"/>
            </w:tcBorders>
            <w:noWrap w:val="0"/>
            <w:vAlign w:val="center"/>
          </w:tcPr>
          <w:p w14:paraId="72B8AB1C">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相符</w:t>
            </w:r>
          </w:p>
        </w:tc>
      </w:tr>
      <w:tr w14:paraId="33A1E0E4">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8" w:type="dxa"/>
            <w:tcBorders>
              <w:top w:val="single" w:color="auto" w:sz="4" w:space="0"/>
              <w:left w:val="nil"/>
              <w:bottom w:val="single" w:color="auto" w:sz="4" w:space="0"/>
              <w:right w:val="single" w:color="auto" w:sz="4" w:space="0"/>
            </w:tcBorders>
            <w:noWrap w:val="0"/>
            <w:vAlign w:val="center"/>
          </w:tcPr>
          <w:p w14:paraId="52449D54">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lang w:bidi="ar"/>
              </w:rPr>
            </w:pPr>
            <w:r>
              <w:rPr>
                <w:rFonts w:hint="eastAsia" w:ascii="Times New Roman" w:hAnsi="Times New Roman" w:cs="Times New Roman"/>
                <w:sz w:val="21"/>
                <w:szCs w:val="21"/>
                <w:lang w:bidi="ar"/>
              </w:rPr>
              <w:t>能源资源利用</w:t>
            </w:r>
          </w:p>
        </w:tc>
        <w:tc>
          <w:tcPr>
            <w:tcW w:w="4411" w:type="dxa"/>
            <w:tcBorders>
              <w:top w:val="single" w:color="auto" w:sz="4" w:space="0"/>
              <w:left w:val="nil"/>
              <w:bottom w:val="single" w:color="auto" w:sz="4" w:space="0"/>
              <w:right w:val="single" w:color="auto" w:sz="4" w:space="0"/>
            </w:tcBorders>
            <w:noWrap w:val="0"/>
            <w:vAlign w:val="center"/>
          </w:tcPr>
          <w:p w14:paraId="67793079">
            <w:pPr>
              <w:spacing w:line="240" w:lineRule="auto"/>
              <w:ind w:firstLine="0" w:firstLineChars="0"/>
              <w:rPr>
                <w:rFonts w:ascii="Times New Roman" w:hAnsi="Times New Roman" w:cs="Times New Roman"/>
                <w:sz w:val="21"/>
                <w:szCs w:val="21"/>
              </w:rPr>
            </w:pPr>
            <w:r>
              <w:rPr>
                <w:rFonts w:hint="eastAsia" w:ascii="Times New Roman" w:hAnsi="Times New Roman" w:cs="Times New Roman"/>
                <w:kern w:val="0"/>
                <w:sz w:val="21"/>
                <w:szCs w:val="21"/>
                <w:lang w:bidi="ar"/>
              </w:rPr>
              <w:t>2-1.【能源/鼓励引导类】科学实施能源消费总量和强度“双控”，新上“两高”项目能效水平达到国内先进水平，“十四五”时期严格合理控制煤炭消费增长。2-2.【能源/鼓励引导类】逐步淘汰集中供热管网覆盖区域内的分散供热锅炉。2-3.【能源/禁止类】在禁燃区内，禁止销售、燃用高污染燃料；禁止新、扩建燃用高污染燃料的设施，已建成的高污染燃料设施应当改用天然气、页岩气、液化石油气、电等清洁能源。2-4.【水资源/综合类】贯彻落实“节水优先”方针，实行最严格水资源管理制度。2-5.【土地资源/综合类】盘活存量建设用地，落实单位土地面积投资强度、土地利用强度等建设用地控制性指标要求，提高土地利用效率。</w:t>
            </w:r>
          </w:p>
        </w:tc>
        <w:tc>
          <w:tcPr>
            <w:tcW w:w="2698" w:type="dxa"/>
            <w:tcBorders>
              <w:top w:val="single" w:color="auto" w:sz="4" w:space="0"/>
              <w:left w:val="nil"/>
              <w:bottom w:val="single" w:color="auto" w:sz="4" w:space="0"/>
              <w:right w:val="single" w:color="auto" w:sz="4" w:space="0"/>
            </w:tcBorders>
            <w:noWrap w:val="0"/>
            <w:vAlign w:val="center"/>
          </w:tcPr>
          <w:p w14:paraId="0CB2110F">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项目不涉及煤炭消费。</w:t>
            </w:r>
          </w:p>
          <w:p w14:paraId="28F2EFC4">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项目生产情况不涉及供热锅炉，不新、扩建燃用高污染燃料的设施。</w:t>
            </w:r>
          </w:p>
          <w:p w14:paraId="7766002E">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项目用水符合《用水定额 第3部分：生活》（DB44/T 1461.3-2021）。</w:t>
            </w:r>
          </w:p>
        </w:tc>
        <w:tc>
          <w:tcPr>
            <w:tcW w:w="482" w:type="dxa"/>
            <w:tcBorders>
              <w:top w:val="single" w:color="auto" w:sz="4" w:space="0"/>
              <w:left w:val="nil"/>
              <w:bottom w:val="single" w:color="auto" w:sz="4" w:space="0"/>
              <w:right w:val="nil"/>
            </w:tcBorders>
            <w:noWrap w:val="0"/>
            <w:vAlign w:val="center"/>
          </w:tcPr>
          <w:p w14:paraId="5B997358">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相符</w:t>
            </w:r>
          </w:p>
        </w:tc>
      </w:tr>
      <w:tr w14:paraId="2653085E">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8" w:type="dxa"/>
            <w:tcBorders>
              <w:top w:val="single" w:color="auto" w:sz="4" w:space="0"/>
              <w:left w:val="nil"/>
              <w:bottom w:val="single" w:color="auto" w:sz="4" w:space="0"/>
              <w:right w:val="single" w:color="auto" w:sz="4" w:space="0"/>
            </w:tcBorders>
            <w:noWrap w:val="0"/>
            <w:vAlign w:val="center"/>
          </w:tcPr>
          <w:p w14:paraId="094DC2DB">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lang w:bidi="ar"/>
              </w:rPr>
            </w:pPr>
            <w:r>
              <w:rPr>
                <w:rFonts w:hint="eastAsia" w:ascii="Times New Roman" w:hAnsi="Times New Roman" w:cs="Times New Roman"/>
                <w:sz w:val="21"/>
                <w:szCs w:val="21"/>
                <w:lang w:bidi="ar"/>
              </w:rPr>
              <w:t>污染物排放管控</w:t>
            </w:r>
          </w:p>
        </w:tc>
        <w:tc>
          <w:tcPr>
            <w:tcW w:w="4411" w:type="dxa"/>
            <w:tcBorders>
              <w:top w:val="single" w:color="auto" w:sz="4" w:space="0"/>
              <w:left w:val="nil"/>
              <w:bottom w:val="single" w:color="auto" w:sz="4" w:space="0"/>
              <w:right w:val="single" w:color="auto" w:sz="4" w:space="0"/>
            </w:tcBorders>
            <w:noWrap w:val="0"/>
            <w:vAlign w:val="center"/>
          </w:tcPr>
          <w:p w14:paraId="2AFB0FAE">
            <w:pPr>
              <w:spacing w:line="240" w:lineRule="auto"/>
              <w:ind w:firstLine="0" w:firstLineChars="0"/>
              <w:rPr>
                <w:rFonts w:ascii="Times New Roman" w:hAnsi="Times New Roman" w:cs="Times New Roman"/>
                <w:kern w:val="0"/>
                <w:sz w:val="21"/>
                <w:szCs w:val="21"/>
              </w:rPr>
            </w:pPr>
            <w:r>
              <w:rPr>
                <w:rFonts w:hint="eastAsia" w:ascii="Times New Roman" w:hAnsi="Times New Roman" w:cs="Times New Roman"/>
                <w:kern w:val="0"/>
                <w:sz w:val="21"/>
                <w:szCs w:val="21"/>
                <w:lang w:bidi="ar"/>
              </w:rPr>
              <w:t>3-1.【大气/限制类】大气环境布局敏感重点管控区：严格限制新建使用高 VOCs 原辅材料项目，大力推进低 VOCs 含量原辅材料替代，全面加强无组织排放控制，实施 VOCs 重点企业分级管控；限制新建、扩建氮氧化物、烟（粉）尘排放较高的建设项目（重点产业平台配套的集中供热设施，垃圾焚烧发电厂等重大民生工程项目除外）。3-2.【水/限制类】市政污水管网覆盖范围内的生活污水应当依法规范接入管网，严禁雨污混接错接；严禁小区或单位内部雨污混接或错接到市政排水管网，严禁污水直排。新建居民小区或公共建筑排水未规范接入市政排水管网的，不得交付使用；市政污水管网未覆盖的，应当依法建设污水处理设施达标排放。3-3.【水/鼓励引导类】提高污水处理厂进水水质浓度。区域新建、扩建污水处理设施和配套管网须同步设计、同步建设、同时投运，新建、改建和扩建城镇污水处理设施出水全面执行《城镇污水处理厂污染物排放标准》（GB18918-2002）一级Ａ标准及广东省地方标准《水污染物排放限值》（DB44/26-2001）的较严值。3-4.【土壤/禁止类】禁止向农用地排放重金属或者其他有毒有害物质含量超标的污水、污泥，以及可能造成土壤污染的清淤底泥、尾矿、矿渣等。</w:t>
            </w:r>
          </w:p>
        </w:tc>
        <w:tc>
          <w:tcPr>
            <w:tcW w:w="2698" w:type="dxa"/>
            <w:tcBorders>
              <w:top w:val="single" w:color="auto" w:sz="4" w:space="0"/>
              <w:left w:val="nil"/>
              <w:bottom w:val="single" w:color="auto" w:sz="4" w:space="0"/>
              <w:right w:val="single" w:color="auto" w:sz="4" w:space="0"/>
            </w:tcBorders>
            <w:noWrap w:val="0"/>
            <w:vAlign w:val="center"/>
          </w:tcPr>
          <w:p w14:paraId="1FE4E306">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项目位于大气环境受体敏感重点管控区内，未新建储油库，不产生和排放有毒有害大气污染物，使用高 VOCs 原辅材料的溶剂型油墨、清洗剂。</w:t>
            </w:r>
          </w:p>
          <w:p w14:paraId="5CC03E9B">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项目氮氧化物、烟（粉）尘排放</w:t>
            </w:r>
            <w:r>
              <w:rPr>
                <w:rFonts w:hint="eastAsia" w:ascii="Times New Roman" w:hAnsi="Times New Roman" w:cs="Times New Roman"/>
                <w:kern w:val="0"/>
                <w:sz w:val="21"/>
                <w:szCs w:val="21"/>
                <w:lang w:val="en-US" w:eastAsia="zh-CN" w:bidi="ar"/>
              </w:rPr>
              <w:t>量不大</w:t>
            </w:r>
            <w:r>
              <w:rPr>
                <w:rFonts w:hint="eastAsia" w:ascii="Times New Roman" w:hAnsi="Times New Roman" w:cs="Times New Roman"/>
                <w:kern w:val="0"/>
                <w:sz w:val="21"/>
                <w:szCs w:val="21"/>
                <w:lang w:bidi="ar"/>
              </w:rPr>
              <w:t>。</w:t>
            </w:r>
          </w:p>
          <w:p w14:paraId="7A3D35CE">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项目雨污分流，生活污水经三级化粪池处理达标后排放至市政污水管网。</w:t>
            </w:r>
          </w:p>
          <w:p w14:paraId="662DF3A4">
            <w:pPr>
              <w:spacing w:line="240" w:lineRule="auto"/>
              <w:ind w:firstLine="0" w:firstLineChars="0"/>
              <w:rPr>
                <w:rFonts w:ascii="Times New Roman" w:hAnsi="Times New Roman" w:cs="Times New Roman"/>
                <w:kern w:val="0"/>
                <w:sz w:val="21"/>
                <w:szCs w:val="21"/>
                <w:lang w:bidi="ar"/>
              </w:rPr>
            </w:pPr>
            <w:r>
              <w:rPr>
                <w:rFonts w:hint="eastAsia" w:ascii="Times New Roman" w:hAnsi="Times New Roman" w:cs="Times New Roman"/>
                <w:kern w:val="0"/>
                <w:sz w:val="21"/>
                <w:szCs w:val="21"/>
                <w:lang w:bidi="ar"/>
              </w:rPr>
              <w:t>项目不向农用地排放重金属或者其他有毒有害物质含量超标的污水、污泥、底泥、尾矿和矿渣等。</w:t>
            </w:r>
          </w:p>
        </w:tc>
        <w:tc>
          <w:tcPr>
            <w:tcW w:w="482" w:type="dxa"/>
            <w:tcBorders>
              <w:top w:val="single" w:color="auto" w:sz="4" w:space="0"/>
              <w:left w:val="nil"/>
              <w:bottom w:val="single" w:color="auto" w:sz="4" w:space="0"/>
              <w:right w:val="nil"/>
            </w:tcBorders>
            <w:noWrap w:val="0"/>
            <w:vAlign w:val="center"/>
          </w:tcPr>
          <w:p w14:paraId="5C07A10D">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相符</w:t>
            </w:r>
          </w:p>
        </w:tc>
      </w:tr>
      <w:tr w14:paraId="02A6DB7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8" w:type="dxa"/>
            <w:tcBorders>
              <w:top w:val="single" w:color="auto" w:sz="4" w:space="0"/>
              <w:left w:val="nil"/>
              <w:bottom w:val="single" w:color="auto" w:sz="12" w:space="0"/>
              <w:right w:val="single" w:color="auto" w:sz="4" w:space="0"/>
            </w:tcBorders>
            <w:noWrap w:val="0"/>
            <w:vAlign w:val="center"/>
          </w:tcPr>
          <w:p w14:paraId="1A343053">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lang w:bidi="ar"/>
              </w:rPr>
            </w:pPr>
            <w:r>
              <w:rPr>
                <w:rFonts w:hint="eastAsia" w:ascii="Times New Roman" w:hAnsi="Times New Roman" w:cs="Times New Roman"/>
                <w:sz w:val="21"/>
                <w:szCs w:val="21"/>
                <w:lang w:bidi="ar"/>
              </w:rPr>
              <w:t>环境风险防控</w:t>
            </w:r>
          </w:p>
        </w:tc>
        <w:tc>
          <w:tcPr>
            <w:tcW w:w="4411" w:type="dxa"/>
            <w:tcBorders>
              <w:top w:val="single" w:color="auto" w:sz="4" w:space="0"/>
              <w:left w:val="nil"/>
              <w:bottom w:val="single" w:color="auto" w:sz="12" w:space="0"/>
              <w:right w:val="single" w:color="auto" w:sz="4" w:space="0"/>
            </w:tcBorders>
            <w:noWrap w:val="0"/>
            <w:vAlign w:val="center"/>
          </w:tcPr>
          <w:p w14:paraId="2F9ABE40">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4-1.【风险/综合类】企业事业单位应当按照国家有关规定制定突发环境事件应急预案，报生态环境主管部门和有关部门备案。在发生或者可能发生突发环境事件时，企业事业单位应当立即采取措施处理，及时通报可能受到危害的单位和居民，并向生态环境主管部门和有关部门报告。4-2.【土壤/限制类】土地用途变更为住宅、公共管理与公共服务用地时，变更前应当按照规定进行土壤污染状况调查。重度污染农用地转为城镇建设用地的，由所在地县级人民政府负责组织开展调查评估。4-3.【土壤/综合类】重点监管企业应在有土壤风险位置设置防腐蚀、防泄漏设施和泄漏监测装置，依法开展自行监测、隐患排查和周边监测。4-4.【固废/综合】强化工业危险废弃物处理企业环境风险源监控，提升危险废物监管能力，依法及时公开危险废物污染环境防治信息，依法依规投保环境污染责任保险。</w:t>
            </w:r>
          </w:p>
        </w:tc>
        <w:tc>
          <w:tcPr>
            <w:tcW w:w="2698" w:type="dxa"/>
            <w:tcBorders>
              <w:top w:val="single" w:color="auto" w:sz="4" w:space="0"/>
              <w:left w:val="nil"/>
              <w:bottom w:val="single" w:color="auto" w:sz="12" w:space="0"/>
              <w:right w:val="single" w:color="auto" w:sz="4" w:space="0"/>
            </w:tcBorders>
            <w:noWrap w:val="0"/>
            <w:vAlign w:val="center"/>
          </w:tcPr>
          <w:p w14:paraId="3D34930C">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4-1 企业取得环评批复后，投产前制定突发环境事件应急预案，报生态环境主管部门和有关部门备案。</w:t>
            </w:r>
          </w:p>
          <w:p w14:paraId="1A0691C0">
            <w:pPr>
              <w:spacing w:line="240" w:lineRule="auto"/>
              <w:ind w:firstLine="0" w:firstLineChars="0"/>
              <w:rPr>
                <w:rFonts w:ascii="Times New Roman" w:hAnsi="Times New Roman" w:cs="Times New Roman"/>
                <w:kern w:val="0"/>
                <w:sz w:val="21"/>
                <w:szCs w:val="21"/>
                <w:lang w:bidi="ar"/>
              </w:rPr>
            </w:pPr>
            <w:r>
              <w:rPr>
                <w:rFonts w:hint="eastAsia" w:ascii="Times New Roman" w:hAnsi="Times New Roman" w:cs="Times New Roman"/>
                <w:kern w:val="0"/>
                <w:sz w:val="21"/>
                <w:szCs w:val="21"/>
                <w:lang w:bidi="ar"/>
              </w:rPr>
              <w:t>4-2土地用途不需变更。</w:t>
            </w:r>
          </w:p>
          <w:p w14:paraId="08E0ADA8">
            <w:pPr>
              <w:spacing w:line="240" w:lineRule="auto"/>
              <w:ind w:firstLine="0" w:firstLineChars="0"/>
              <w:rPr>
                <w:rFonts w:hint="eastAsia" w:ascii="Times New Roman" w:hAnsi="Times New Roman" w:cs="Times New Roman"/>
                <w:kern w:val="0"/>
                <w:sz w:val="21"/>
                <w:szCs w:val="21"/>
                <w:lang w:bidi="ar"/>
              </w:rPr>
            </w:pPr>
            <w:r>
              <w:rPr>
                <w:rFonts w:hint="eastAsia" w:ascii="Times New Roman" w:hAnsi="Times New Roman" w:cs="Times New Roman"/>
                <w:kern w:val="0"/>
                <w:sz w:val="21"/>
                <w:szCs w:val="21"/>
                <w:lang w:bidi="ar"/>
              </w:rPr>
              <w:t>4-3项目不属于重点监管企业。</w:t>
            </w:r>
          </w:p>
          <w:p w14:paraId="079A6AF0">
            <w:pPr>
              <w:spacing w:line="240" w:lineRule="auto"/>
              <w:ind w:firstLine="0" w:firstLineChars="0"/>
              <w:rPr>
                <w:rFonts w:ascii="Times New Roman" w:hAnsi="Times New Roman" w:cs="Times New Roman"/>
                <w:kern w:val="0"/>
                <w:sz w:val="21"/>
                <w:szCs w:val="21"/>
                <w:lang w:bidi="ar"/>
              </w:rPr>
            </w:pPr>
            <w:r>
              <w:rPr>
                <w:rFonts w:hint="eastAsia" w:ascii="Times New Roman" w:hAnsi="Times New Roman" w:cs="Times New Roman"/>
                <w:kern w:val="0"/>
                <w:sz w:val="21"/>
                <w:szCs w:val="21"/>
                <w:lang w:bidi="ar"/>
              </w:rPr>
              <w:t>4-4项目废物实行全过程管理。</w:t>
            </w:r>
          </w:p>
        </w:tc>
        <w:tc>
          <w:tcPr>
            <w:tcW w:w="482" w:type="dxa"/>
            <w:tcBorders>
              <w:top w:val="single" w:color="auto" w:sz="4" w:space="0"/>
              <w:left w:val="nil"/>
              <w:bottom w:val="single" w:color="auto" w:sz="12" w:space="0"/>
              <w:right w:val="nil"/>
            </w:tcBorders>
            <w:noWrap w:val="0"/>
            <w:vAlign w:val="center"/>
          </w:tcPr>
          <w:p w14:paraId="0528AE78">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lang w:bidi="ar"/>
              </w:rPr>
            </w:pPr>
            <w:r>
              <w:rPr>
                <w:rFonts w:hint="eastAsia" w:ascii="Times New Roman" w:hAnsi="Times New Roman" w:cs="Times New Roman"/>
                <w:sz w:val="21"/>
                <w:szCs w:val="21"/>
                <w:lang w:bidi="ar"/>
              </w:rPr>
              <w:t>相符</w:t>
            </w:r>
          </w:p>
        </w:tc>
      </w:tr>
    </w:tbl>
    <w:p w14:paraId="727A5D8A">
      <w:pPr>
        <w:pStyle w:val="64"/>
        <w:spacing w:before="166" w:after="166"/>
        <w:rPr>
          <w:color w:val="auto"/>
        </w:rPr>
      </w:pPr>
      <w:bookmarkStart w:id="11" w:name="_Toc323741178"/>
      <w:bookmarkStart w:id="12" w:name="_Toc28420"/>
      <w:bookmarkStart w:id="13" w:name="_Toc280776087"/>
      <w:r>
        <w:rPr>
          <w:rFonts w:hint="eastAsia"/>
          <w:color w:val="auto"/>
        </w:rPr>
        <w:t>3、</w:t>
      </w:r>
      <w:r>
        <w:rPr>
          <w:color w:val="auto"/>
        </w:rPr>
        <w:t>与</w:t>
      </w:r>
      <w:r>
        <w:rPr>
          <w:rFonts w:hint="eastAsia"/>
          <w:color w:val="auto"/>
        </w:rPr>
        <w:t>法律法规</w:t>
      </w:r>
      <w:r>
        <w:rPr>
          <w:color w:val="auto"/>
        </w:rPr>
        <w:t>相符性分析</w:t>
      </w:r>
      <w:bookmarkEnd w:id="11"/>
      <w:bookmarkEnd w:id="12"/>
      <w:bookmarkEnd w:id="13"/>
    </w:p>
    <w:p w14:paraId="2F9A106B">
      <w:pPr>
        <w:pStyle w:val="65"/>
        <w:numPr>
          <w:ilvl w:val="0"/>
          <w:numId w:val="6"/>
        </w:numPr>
        <w:ind w:left="0" w:firstLine="0"/>
        <w:rPr>
          <w:rFonts w:hint="eastAsia" w:ascii="Times New Roman" w:hAnsi="Times New Roman" w:eastAsia="宋体" w:cs="Times New Roman"/>
          <w:color w:val="auto"/>
        </w:rPr>
      </w:pPr>
      <w:r>
        <w:rPr>
          <w:rFonts w:hint="eastAsia" w:ascii="Times New Roman" w:hAnsi="Times New Roman" w:eastAsia="宋体" w:cs="Times New Roman"/>
          <w:color w:val="auto"/>
        </w:rPr>
        <w:t>与</w:t>
      </w:r>
      <w:r>
        <w:rPr>
          <w:rFonts w:hint="eastAsia" w:eastAsia="宋体"/>
          <w:color w:val="auto"/>
          <w:lang w:eastAsia="zh-CN"/>
        </w:rPr>
        <w:t>《</w:t>
      </w:r>
      <w:r>
        <w:rPr>
          <w:rFonts w:hint="eastAsia" w:eastAsia="宋体"/>
          <w:color w:val="auto"/>
          <w:lang w:eastAsia="zh-CN"/>
        </w:rPr>
        <w:fldChar w:fldCharType="begin"/>
      </w:r>
      <w:r>
        <w:rPr>
          <w:rFonts w:hint="eastAsia" w:eastAsia="宋体"/>
          <w:color w:val="auto"/>
          <w:lang w:eastAsia="zh-CN"/>
        </w:rPr>
        <w:instrText xml:space="preserve"> HYPERLINK "http://www.mee.gov.cn/xxgk2018/xxgk/xxgk05/202101/t20210108_816592.html" </w:instrText>
      </w:r>
      <w:r>
        <w:rPr>
          <w:rFonts w:hint="eastAsia" w:eastAsia="宋体"/>
          <w:color w:val="auto"/>
          <w:lang w:eastAsia="zh-CN"/>
        </w:rPr>
        <w:fldChar w:fldCharType="separate"/>
      </w:r>
      <w:r>
        <w:rPr>
          <w:rFonts w:hint="eastAsia" w:eastAsia="宋体"/>
          <w:color w:val="auto"/>
          <w:lang w:eastAsia="zh-CN"/>
        </w:rPr>
        <w:t>关于加强重点行业建设项目区域削减措施监督管理的通知</w:t>
      </w:r>
      <w:r>
        <w:rPr>
          <w:rFonts w:hint="eastAsia" w:eastAsia="宋体"/>
          <w:color w:val="auto"/>
          <w:lang w:eastAsia="zh-CN"/>
        </w:rPr>
        <w:fldChar w:fldCharType="end"/>
      </w:r>
      <w:r>
        <w:rPr>
          <w:rFonts w:hint="eastAsia" w:eastAsia="宋体"/>
          <w:color w:val="auto"/>
          <w:lang w:eastAsia="zh-CN"/>
        </w:rPr>
        <w:t>》（环办环评〔2020〕36号）</w:t>
      </w:r>
      <w:r>
        <w:rPr>
          <w:rFonts w:hint="eastAsia" w:ascii="Times New Roman" w:hAnsi="Times New Roman" w:eastAsia="宋体" w:cs="Times New Roman"/>
          <w:color w:val="auto"/>
        </w:rPr>
        <w:t>相符性分析</w:t>
      </w:r>
    </w:p>
    <w:p w14:paraId="0297F0A2">
      <w:pPr>
        <w:pStyle w:val="62"/>
        <w:numPr>
          <w:ilvl w:val="0"/>
          <w:numId w:val="4"/>
        </w:numPr>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与环办环评〔2020〕36号相符性分析</w:t>
      </w:r>
    </w:p>
    <w:tbl>
      <w:tblPr>
        <w:tblStyle w:val="38"/>
        <w:tblW w:w="4996" w:type="pct"/>
        <w:tblInd w:w="0" w:type="dxa"/>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659"/>
        <w:gridCol w:w="2100"/>
        <w:gridCol w:w="759"/>
      </w:tblGrid>
      <w:tr w14:paraId="09081DD0">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83" w:type="pct"/>
            <w:tcBorders>
              <w:top w:val="single" w:color="auto" w:sz="12" w:space="0"/>
              <w:left w:val="nil"/>
            </w:tcBorders>
            <w:noWrap w:val="0"/>
            <w:vAlign w:val="center"/>
          </w:tcPr>
          <w:p w14:paraId="3FAD29AC">
            <w:pPr>
              <w:pStyle w:val="59"/>
              <w:rPr>
                <w:color w:val="auto"/>
                <w:lang w:val="en-US" w:eastAsia="zh-CN"/>
              </w:rPr>
            </w:pPr>
            <w:r>
              <w:rPr>
                <w:rFonts w:hint="eastAsia"/>
                <w:color w:val="auto"/>
                <w:lang w:val="en-US" w:eastAsia="zh-CN"/>
              </w:rPr>
              <w:t>序号</w:t>
            </w:r>
          </w:p>
        </w:tc>
        <w:tc>
          <w:tcPr>
            <w:tcW w:w="3066" w:type="pct"/>
            <w:tcBorders>
              <w:top w:val="single" w:color="auto" w:sz="12" w:space="0"/>
            </w:tcBorders>
            <w:noWrap w:val="0"/>
            <w:vAlign w:val="center"/>
          </w:tcPr>
          <w:p w14:paraId="7396CC54">
            <w:pPr>
              <w:pStyle w:val="59"/>
              <w:rPr>
                <w:rFonts w:hint="eastAsia"/>
                <w:color w:val="auto"/>
                <w:lang w:val="en-US" w:eastAsia="zh-CN"/>
              </w:rPr>
            </w:pPr>
            <w:r>
              <w:rPr>
                <w:rFonts w:hint="eastAsia"/>
                <w:color w:val="auto"/>
                <w:lang w:val="en-US" w:eastAsia="zh-CN"/>
              </w:rPr>
              <w:t>规定</w:t>
            </w:r>
          </w:p>
        </w:tc>
        <w:tc>
          <w:tcPr>
            <w:tcW w:w="1138" w:type="pct"/>
            <w:tcBorders>
              <w:top w:val="single" w:color="auto" w:sz="12" w:space="0"/>
              <w:right w:val="nil"/>
            </w:tcBorders>
            <w:noWrap w:val="0"/>
            <w:vAlign w:val="center"/>
          </w:tcPr>
          <w:p w14:paraId="7A76B425">
            <w:pPr>
              <w:pStyle w:val="59"/>
              <w:rPr>
                <w:rFonts w:hint="eastAsia"/>
                <w:color w:val="auto"/>
                <w:lang w:val="en-US" w:eastAsia="zh-CN"/>
              </w:rPr>
            </w:pPr>
            <w:r>
              <w:rPr>
                <w:rFonts w:hint="eastAsia"/>
                <w:color w:val="auto"/>
                <w:lang w:val="en-US" w:eastAsia="zh-CN"/>
              </w:rPr>
              <w:t>企业实际情况</w:t>
            </w:r>
          </w:p>
        </w:tc>
        <w:tc>
          <w:tcPr>
            <w:tcW w:w="411" w:type="pct"/>
            <w:tcBorders>
              <w:top w:val="single" w:color="auto" w:sz="12" w:space="0"/>
              <w:right w:val="nil"/>
            </w:tcBorders>
            <w:noWrap w:val="0"/>
            <w:vAlign w:val="center"/>
          </w:tcPr>
          <w:p w14:paraId="6C38F3AF">
            <w:pPr>
              <w:pStyle w:val="59"/>
              <w:rPr>
                <w:rFonts w:hint="eastAsia"/>
                <w:color w:val="auto"/>
                <w:lang w:val="en-US" w:eastAsia="zh-CN"/>
              </w:rPr>
            </w:pPr>
            <w:r>
              <w:rPr>
                <w:rFonts w:hint="eastAsia"/>
                <w:color w:val="auto"/>
                <w:lang w:val="en-US" w:eastAsia="zh-CN"/>
              </w:rPr>
              <w:t>相符性</w:t>
            </w:r>
          </w:p>
        </w:tc>
      </w:tr>
      <w:tr w14:paraId="3AF46BA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tcBorders>
              <w:left w:val="nil"/>
            </w:tcBorders>
            <w:noWrap w:val="0"/>
            <w:vAlign w:val="center"/>
          </w:tcPr>
          <w:p w14:paraId="48B4B805">
            <w:pPr>
              <w:pStyle w:val="59"/>
              <w:rPr>
                <w:rFonts w:hint="eastAsia"/>
                <w:color w:val="auto"/>
                <w:lang w:val="en-US" w:eastAsia="zh-CN"/>
              </w:rPr>
            </w:pPr>
            <w:r>
              <w:rPr>
                <w:rFonts w:hint="eastAsia"/>
                <w:color w:val="auto"/>
                <w:lang w:val="en-US" w:eastAsia="zh-CN"/>
              </w:rPr>
              <w:t>1</w:t>
            </w:r>
          </w:p>
        </w:tc>
        <w:tc>
          <w:tcPr>
            <w:tcW w:w="3066" w:type="pct"/>
            <w:noWrap w:val="0"/>
            <w:vAlign w:val="top"/>
          </w:tcPr>
          <w:p w14:paraId="6D84B63B">
            <w:pPr>
              <w:pStyle w:val="69"/>
              <w:bidi w:val="0"/>
              <w:jc w:val="both"/>
              <w:rPr>
                <w:rFonts w:hint="eastAsia"/>
                <w:color w:val="auto"/>
                <w:lang w:val="en-US" w:eastAsia="zh-CN"/>
              </w:rPr>
            </w:pPr>
            <w:r>
              <w:rPr>
                <w:color w:val="auto"/>
              </w:rPr>
              <w:t>（一）严格区域削减要求。建设项目应满足区域、流域控制单元环境质量改善目标管理要求。所在区域、流域控制单元环境质量未达到国家或者地方环境质量标准的，建设项目应提出有效的区域削减方案，主要污染物实行区域倍量削减，确保项目投产后区域环境质量有改善。所在区域、流域控制单元环境质量达到国家或者地方环境质量标准的，原则上建设项目主要污染物实行区域等量削减，确保项目投产后区域环境质量不恶化。</w:t>
            </w:r>
          </w:p>
        </w:tc>
        <w:tc>
          <w:tcPr>
            <w:tcW w:w="1138" w:type="pct"/>
            <w:tcBorders>
              <w:right w:val="nil"/>
            </w:tcBorders>
            <w:noWrap w:val="0"/>
            <w:vAlign w:val="top"/>
          </w:tcPr>
          <w:p w14:paraId="60CEF00C">
            <w:pPr>
              <w:pStyle w:val="59"/>
              <w:rPr>
                <w:rFonts w:hint="default" w:eastAsia="宋体"/>
                <w:color w:val="auto"/>
                <w:lang w:val="en-US" w:eastAsia="zh-CN"/>
              </w:rPr>
            </w:pPr>
            <w:r>
              <w:rPr>
                <w:rFonts w:hint="eastAsia"/>
                <w:color w:val="auto"/>
              </w:rPr>
              <w:t>项目水污染物总量控制指标计入</w:t>
            </w:r>
            <w:r>
              <w:rPr>
                <w:rFonts w:hint="eastAsia"/>
                <w:color w:val="auto"/>
                <w:lang w:eastAsia="zh-CN"/>
              </w:rPr>
              <w:t>鹤山市第二污水处理厂</w:t>
            </w:r>
            <w:r>
              <w:rPr>
                <w:rFonts w:hint="eastAsia"/>
                <w:color w:val="auto"/>
              </w:rPr>
              <w:t>的总量控制指标内，不需另外申请水污染物排放总量。</w:t>
            </w:r>
            <w:r>
              <w:rPr>
                <w:rFonts w:hint="eastAsia"/>
                <w:color w:val="auto"/>
                <w:lang w:val="en-US" w:eastAsia="zh-CN"/>
              </w:rPr>
              <w:t>VOCs实行倍量削减。</w:t>
            </w:r>
          </w:p>
        </w:tc>
        <w:tc>
          <w:tcPr>
            <w:tcW w:w="411" w:type="pct"/>
            <w:tcBorders>
              <w:right w:val="nil"/>
            </w:tcBorders>
            <w:noWrap w:val="0"/>
            <w:vAlign w:val="center"/>
          </w:tcPr>
          <w:p w14:paraId="01D53171">
            <w:pPr>
              <w:pStyle w:val="59"/>
              <w:rPr>
                <w:rFonts w:hint="eastAsia"/>
                <w:color w:val="auto"/>
                <w:lang w:val="en-US" w:eastAsia="zh-CN"/>
              </w:rPr>
            </w:pPr>
            <w:r>
              <w:rPr>
                <w:rFonts w:hint="eastAsia"/>
                <w:color w:val="auto"/>
                <w:lang w:val="en-US" w:eastAsia="zh-CN"/>
              </w:rPr>
              <w:t>相符</w:t>
            </w:r>
          </w:p>
        </w:tc>
      </w:tr>
      <w:tr w14:paraId="69082868">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tcBorders>
              <w:left w:val="nil"/>
            </w:tcBorders>
            <w:noWrap w:val="0"/>
            <w:vAlign w:val="center"/>
          </w:tcPr>
          <w:p w14:paraId="61E4B7E2">
            <w:pPr>
              <w:pStyle w:val="59"/>
              <w:rPr>
                <w:rFonts w:hint="eastAsia"/>
                <w:color w:val="auto"/>
                <w:lang w:val="en-US" w:eastAsia="zh-CN"/>
              </w:rPr>
            </w:pPr>
            <w:r>
              <w:rPr>
                <w:rFonts w:hint="eastAsia"/>
                <w:color w:val="auto"/>
                <w:lang w:val="en-US" w:eastAsia="zh-CN"/>
              </w:rPr>
              <w:t>2</w:t>
            </w:r>
          </w:p>
        </w:tc>
        <w:tc>
          <w:tcPr>
            <w:tcW w:w="3066" w:type="pct"/>
            <w:noWrap w:val="0"/>
            <w:vAlign w:val="top"/>
          </w:tcPr>
          <w:p w14:paraId="2EBAA740">
            <w:pPr>
              <w:pStyle w:val="69"/>
              <w:bidi w:val="0"/>
              <w:jc w:val="both"/>
              <w:rPr>
                <w:color w:val="auto"/>
              </w:rPr>
            </w:pPr>
            <w:r>
              <w:rPr>
                <w:rFonts w:hint="eastAsia"/>
                <w:color w:val="auto"/>
                <w:lang w:val="en-US" w:eastAsia="zh-CN"/>
              </w:rPr>
              <w:t>规范削减措施来源。区域削减措施应明确测算依据、测算方法，确保可落实、可检查、可考核。削减措施原则上应优先来源于纳入排污许可管理的排污单位采取的治理措施（含关停、原料和工艺改造、末端治理等）。</w:t>
            </w:r>
          </w:p>
          <w:p w14:paraId="06F7296E">
            <w:pPr>
              <w:pStyle w:val="69"/>
              <w:bidi w:val="0"/>
              <w:jc w:val="both"/>
              <w:rPr>
                <w:rFonts w:hint="eastAsia"/>
                <w:color w:val="auto"/>
                <w:lang w:val="en-US" w:eastAsia="zh-CN"/>
              </w:rPr>
            </w:pPr>
            <w:r>
              <w:rPr>
                <w:rFonts w:hint="eastAsia"/>
                <w:color w:val="auto"/>
                <w:lang w:val="en-US" w:eastAsia="zh-CN"/>
              </w:rPr>
              <w:t>区域削减措施原则上应与建设项目位于同一地级市或市级行政区域内同一流域。地级市行政区域内削减量不足时，可来源于省级行政区域或省级行政区域内的同一流域。</w:t>
            </w:r>
          </w:p>
        </w:tc>
        <w:tc>
          <w:tcPr>
            <w:tcW w:w="1138" w:type="pct"/>
            <w:tcBorders>
              <w:right w:val="nil"/>
            </w:tcBorders>
            <w:noWrap w:val="0"/>
            <w:vAlign w:val="top"/>
          </w:tcPr>
          <w:p w14:paraId="39417CA5">
            <w:pPr>
              <w:pStyle w:val="69"/>
              <w:bidi w:val="0"/>
              <w:rPr>
                <w:rFonts w:hint="default"/>
                <w:color w:val="auto"/>
                <w:lang w:val="en-US" w:eastAsia="zh-CN"/>
              </w:rPr>
            </w:pPr>
            <w:r>
              <w:rPr>
                <w:rFonts w:hint="eastAsia"/>
                <w:color w:val="auto"/>
                <w:lang w:val="en-US" w:eastAsia="zh-CN"/>
              </w:rPr>
              <w:t>VOCs、NOx削减来源为区域削减。</w:t>
            </w:r>
          </w:p>
        </w:tc>
        <w:tc>
          <w:tcPr>
            <w:tcW w:w="411" w:type="pct"/>
            <w:tcBorders>
              <w:right w:val="nil"/>
            </w:tcBorders>
            <w:noWrap w:val="0"/>
            <w:vAlign w:val="center"/>
          </w:tcPr>
          <w:p w14:paraId="16A03725">
            <w:pPr>
              <w:pStyle w:val="59"/>
              <w:rPr>
                <w:rFonts w:hint="eastAsia"/>
                <w:color w:val="auto"/>
                <w:lang w:val="en-US" w:eastAsia="zh-CN"/>
              </w:rPr>
            </w:pPr>
            <w:r>
              <w:rPr>
                <w:rFonts w:hint="eastAsia"/>
                <w:color w:val="auto"/>
                <w:lang w:val="en-US" w:eastAsia="zh-CN"/>
              </w:rPr>
              <w:t>相符</w:t>
            </w:r>
          </w:p>
        </w:tc>
      </w:tr>
      <w:tr w14:paraId="6B30B00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tcBorders>
              <w:left w:val="nil"/>
            </w:tcBorders>
            <w:noWrap w:val="0"/>
            <w:vAlign w:val="center"/>
          </w:tcPr>
          <w:p w14:paraId="3BC11477">
            <w:pPr>
              <w:pStyle w:val="59"/>
              <w:rPr>
                <w:rFonts w:hint="eastAsia"/>
                <w:color w:val="auto"/>
                <w:lang w:val="en-US" w:eastAsia="zh-CN"/>
              </w:rPr>
            </w:pPr>
            <w:r>
              <w:rPr>
                <w:rFonts w:hint="eastAsia"/>
                <w:color w:val="auto"/>
                <w:lang w:val="en-US" w:eastAsia="zh-CN"/>
              </w:rPr>
              <w:t>3</w:t>
            </w:r>
          </w:p>
        </w:tc>
        <w:tc>
          <w:tcPr>
            <w:tcW w:w="3066" w:type="pct"/>
            <w:noWrap w:val="0"/>
            <w:vAlign w:val="top"/>
          </w:tcPr>
          <w:p w14:paraId="05FB7866">
            <w:pPr>
              <w:pStyle w:val="59"/>
              <w:bidi w:val="0"/>
              <w:jc w:val="both"/>
              <w:rPr>
                <w:color w:val="auto"/>
              </w:rPr>
            </w:pPr>
            <w:r>
              <w:rPr>
                <w:rFonts w:hint="eastAsia"/>
                <w:color w:val="auto"/>
                <w:lang w:val="en-US" w:eastAsia="zh-CN"/>
              </w:rPr>
              <w:t>强化建设单位、出让减排量排污单位和涉及的地方政府责任。区域削减方案由建设单位、出让减排量的排污单位及做出落实承诺的地方人民政府共同确认，并明确各方责任。</w:t>
            </w:r>
          </w:p>
          <w:p w14:paraId="4BB8DEFB">
            <w:pPr>
              <w:pStyle w:val="59"/>
              <w:bidi w:val="0"/>
              <w:jc w:val="both"/>
              <w:rPr>
                <w:rFonts w:hint="eastAsia"/>
                <w:color w:val="auto"/>
                <w:lang w:val="en-US" w:eastAsia="zh-CN"/>
              </w:rPr>
            </w:pPr>
            <w:r>
              <w:rPr>
                <w:rFonts w:hint="eastAsia"/>
                <w:color w:val="auto"/>
                <w:lang w:val="en-US" w:eastAsia="zh-CN"/>
              </w:rPr>
              <w:t>　　建设单位是控制污染物排放的责任主体，应在提交环境影响报告书时明确污染物区域削减方案，包括主要污染物削减量、削减来源、削减措施、责任主体、完成时限。</w:t>
            </w:r>
          </w:p>
        </w:tc>
        <w:tc>
          <w:tcPr>
            <w:tcW w:w="1138" w:type="pct"/>
            <w:tcBorders>
              <w:right w:val="nil"/>
            </w:tcBorders>
            <w:noWrap w:val="0"/>
            <w:vAlign w:val="top"/>
          </w:tcPr>
          <w:p w14:paraId="3BA066D6">
            <w:pPr>
              <w:pStyle w:val="59"/>
              <w:bidi w:val="0"/>
              <w:rPr>
                <w:rFonts w:hint="eastAsia"/>
                <w:color w:val="auto"/>
                <w:lang w:val="en-US" w:eastAsia="zh-CN"/>
              </w:rPr>
            </w:pPr>
            <w:r>
              <w:rPr>
                <w:rFonts w:hint="eastAsia"/>
                <w:color w:val="auto"/>
                <w:lang w:val="en-US" w:eastAsia="zh-CN"/>
              </w:rPr>
              <w:t>区域削减方案已由建设单位、出让减排量的排污单位及做出落实承诺的地方人民政府共同确认。</w:t>
            </w:r>
          </w:p>
        </w:tc>
        <w:tc>
          <w:tcPr>
            <w:tcW w:w="411" w:type="pct"/>
            <w:tcBorders>
              <w:right w:val="nil"/>
            </w:tcBorders>
            <w:noWrap w:val="0"/>
            <w:vAlign w:val="center"/>
          </w:tcPr>
          <w:p w14:paraId="1CD72458">
            <w:pPr>
              <w:pStyle w:val="59"/>
              <w:rPr>
                <w:rFonts w:hint="eastAsia"/>
                <w:color w:val="auto"/>
                <w:lang w:val="en-US" w:eastAsia="zh-CN"/>
              </w:rPr>
            </w:pPr>
            <w:r>
              <w:rPr>
                <w:rFonts w:hint="eastAsia"/>
                <w:color w:val="auto"/>
                <w:lang w:val="en-US" w:eastAsia="zh-CN"/>
              </w:rPr>
              <w:t>相符</w:t>
            </w:r>
          </w:p>
        </w:tc>
      </w:tr>
      <w:tr w14:paraId="79510B8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tcBorders>
              <w:left w:val="nil"/>
            </w:tcBorders>
            <w:noWrap w:val="0"/>
            <w:vAlign w:val="center"/>
          </w:tcPr>
          <w:p w14:paraId="75E598EA">
            <w:pPr>
              <w:pStyle w:val="69"/>
              <w:bidi w:val="0"/>
              <w:rPr>
                <w:rFonts w:hint="eastAsia"/>
                <w:color w:val="auto"/>
                <w:lang w:val="en-US" w:eastAsia="zh-CN"/>
              </w:rPr>
            </w:pPr>
            <w:r>
              <w:rPr>
                <w:rFonts w:hint="eastAsia"/>
                <w:color w:val="auto"/>
                <w:lang w:val="en-US" w:eastAsia="zh-CN"/>
              </w:rPr>
              <w:t>4</w:t>
            </w:r>
          </w:p>
        </w:tc>
        <w:tc>
          <w:tcPr>
            <w:tcW w:w="3066" w:type="pct"/>
            <w:noWrap w:val="0"/>
            <w:vAlign w:val="top"/>
          </w:tcPr>
          <w:p w14:paraId="79EB1894">
            <w:pPr>
              <w:pStyle w:val="69"/>
              <w:bidi w:val="0"/>
              <w:jc w:val="both"/>
              <w:rPr>
                <w:color w:val="auto"/>
              </w:rPr>
            </w:pPr>
            <w:r>
              <w:rPr>
                <w:rFonts w:hint="eastAsia"/>
                <w:color w:val="auto"/>
                <w:lang w:val="en-US" w:eastAsia="zh-CN"/>
              </w:rPr>
              <w:t>（四）明确环评单位和评估单位责任。建设单位或其委托的环境影响评价技术单位，在编制环境影响报告书时，应按照环境影响评价导则等文件测算建设项目主要污染物排放量，并对其准确性负责。</w:t>
            </w:r>
          </w:p>
          <w:p w14:paraId="1DE51285">
            <w:pPr>
              <w:pStyle w:val="69"/>
              <w:bidi w:val="0"/>
              <w:jc w:val="both"/>
              <w:rPr>
                <w:rFonts w:hint="eastAsia"/>
                <w:color w:val="auto"/>
                <w:lang w:val="en-US" w:eastAsia="zh-CN"/>
              </w:rPr>
            </w:pPr>
            <w:r>
              <w:rPr>
                <w:rFonts w:hint="eastAsia"/>
                <w:color w:val="auto"/>
                <w:lang w:val="en-US" w:eastAsia="zh-CN"/>
              </w:rPr>
              <w:t>　　受环评审批部门委托，技术机构对建设项目环境影响报告书进行技术评估时，应评估区域削减措施的可靠性和合理性，并对其提出的技术评估意见负责。</w:t>
            </w:r>
          </w:p>
        </w:tc>
        <w:tc>
          <w:tcPr>
            <w:tcW w:w="1138" w:type="pct"/>
            <w:tcBorders>
              <w:right w:val="nil"/>
            </w:tcBorders>
            <w:noWrap w:val="0"/>
            <w:vAlign w:val="top"/>
          </w:tcPr>
          <w:p w14:paraId="5B1B1CE8">
            <w:pPr>
              <w:pStyle w:val="69"/>
              <w:bidi w:val="0"/>
              <w:rPr>
                <w:rFonts w:hint="default"/>
                <w:color w:val="auto"/>
                <w:lang w:val="en-US" w:eastAsia="zh-CN"/>
              </w:rPr>
            </w:pPr>
            <w:r>
              <w:rPr>
                <w:rFonts w:hint="eastAsia"/>
                <w:color w:val="auto"/>
                <w:lang w:val="en-US" w:eastAsia="zh-CN"/>
              </w:rPr>
              <w:t>NOx、VOCs已按照环境影响评价导则等文件测算建设项目主要污染物排放量。</w:t>
            </w:r>
          </w:p>
        </w:tc>
        <w:tc>
          <w:tcPr>
            <w:tcW w:w="411" w:type="pct"/>
            <w:tcBorders>
              <w:right w:val="nil"/>
            </w:tcBorders>
            <w:noWrap w:val="0"/>
            <w:vAlign w:val="center"/>
          </w:tcPr>
          <w:p w14:paraId="364BB769">
            <w:pPr>
              <w:pStyle w:val="59"/>
              <w:rPr>
                <w:rFonts w:hint="eastAsia"/>
                <w:color w:val="auto"/>
                <w:lang w:val="en-US" w:eastAsia="zh-CN"/>
              </w:rPr>
            </w:pPr>
            <w:r>
              <w:rPr>
                <w:rFonts w:hint="eastAsia"/>
                <w:color w:val="auto"/>
                <w:lang w:val="en-US" w:eastAsia="zh-CN"/>
              </w:rPr>
              <w:t>相符</w:t>
            </w:r>
          </w:p>
        </w:tc>
      </w:tr>
    </w:tbl>
    <w:p w14:paraId="5F3964CC">
      <w:pPr>
        <w:pStyle w:val="65"/>
        <w:numPr>
          <w:ilvl w:val="0"/>
          <w:numId w:val="6"/>
        </w:numPr>
        <w:ind w:left="0" w:firstLine="0"/>
        <w:rPr>
          <w:rFonts w:hint="eastAsia" w:ascii="Times New Roman" w:hAnsi="Times New Roman" w:eastAsia="宋体" w:cs="Times New Roman"/>
          <w:color w:val="auto"/>
        </w:rPr>
      </w:pPr>
      <w:r>
        <w:rPr>
          <w:rFonts w:hint="eastAsia" w:cs="Times New Roman"/>
          <w:color w:val="auto"/>
          <w:lang w:val="en-US" w:eastAsia="zh-CN"/>
        </w:rPr>
        <w:t>与</w:t>
      </w:r>
      <w:r>
        <w:rPr>
          <w:rFonts w:hint="eastAsia" w:ascii="Times New Roman" w:hAnsi="Times New Roman" w:eastAsia="宋体" w:cs="Times New Roman"/>
          <w:color w:val="auto"/>
        </w:rPr>
        <w:t>《</w:t>
      </w:r>
      <w:r>
        <w:rPr>
          <w:rFonts w:hint="eastAsia" w:cs="Times New Roman"/>
          <w:color w:val="auto"/>
          <w:lang w:eastAsia="zh-CN"/>
        </w:rPr>
        <w:t>广东省生态环境保护“十四五”规划</w:t>
      </w:r>
      <w:r>
        <w:rPr>
          <w:rFonts w:hint="eastAsia" w:ascii="Times New Roman" w:hAnsi="Times New Roman" w:eastAsia="宋体" w:cs="Times New Roman"/>
          <w:color w:val="auto"/>
        </w:rPr>
        <w:t>》（粤环〔2021〕10号）</w:t>
      </w:r>
      <w:r>
        <w:rPr>
          <w:rFonts w:hint="eastAsia" w:ascii="Times New Roman" w:hAnsi="Times New Roman" w:eastAsia="宋体" w:cs="Times New Roman"/>
          <w:color w:val="auto"/>
          <w:lang w:eastAsia="zh-CN"/>
        </w:rPr>
        <w:t>、</w:t>
      </w:r>
      <w:r>
        <w:rPr>
          <w:rFonts w:hint="eastAsia"/>
          <w:color w:val="auto"/>
          <w:lang w:val="en-US" w:eastAsia="zh-CN"/>
        </w:rPr>
        <w:t>《江门市生态环境保护</w:t>
      </w:r>
      <w:r>
        <w:rPr>
          <w:rFonts w:hint="eastAsia" w:cs="Times New Roman"/>
          <w:color w:val="auto"/>
          <w:shd w:val="clear" w:fill="FFFF00"/>
          <w:lang w:eastAsia="zh-CN"/>
        </w:rPr>
        <w:t>“十四五”</w:t>
      </w:r>
      <w:r>
        <w:rPr>
          <w:rFonts w:hint="eastAsia"/>
          <w:color w:val="auto"/>
          <w:lang w:val="en-US" w:eastAsia="zh-CN"/>
        </w:rPr>
        <w:t>规划》（江府〔2022〕3号）、</w:t>
      </w:r>
      <w:r>
        <w:rPr>
          <w:rFonts w:hint="eastAsia" w:ascii="Times New Roman" w:hAnsi="Times New Roman" w:eastAsia="宋体" w:cs="Times New Roman"/>
          <w:color w:val="auto"/>
        </w:rPr>
        <w:t>《鹤山市生态环境保护“十四五”规划》相符性分析</w:t>
      </w:r>
    </w:p>
    <w:p w14:paraId="0A9AD120">
      <w:pPr>
        <w:ind w:firstLine="480"/>
        <w:rPr>
          <w:rFonts w:ascii="宋体" w:hAnsi="宋体" w:eastAsia="宋体" w:cs="宋体"/>
          <w:spacing w:val="2"/>
          <w:sz w:val="24"/>
          <w:szCs w:val="24"/>
        </w:rPr>
      </w:pPr>
      <w:r>
        <w:rPr>
          <w:rFonts w:hint="eastAsia" w:ascii="Times New Roman" w:hAnsi="Times New Roman" w:eastAsia="宋体" w:cs="Times New Roman"/>
          <w:color w:val="auto"/>
        </w:rPr>
        <w:t>《</w:t>
      </w:r>
      <w:r>
        <w:rPr>
          <w:rFonts w:hint="eastAsia" w:cs="Times New Roman"/>
          <w:color w:val="auto"/>
          <w:lang w:eastAsia="zh-CN"/>
        </w:rPr>
        <w:t>广东省生态环境保护“十四五”规划</w:t>
      </w:r>
      <w:r>
        <w:rPr>
          <w:rFonts w:hint="eastAsia" w:ascii="Times New Roman" w:hAnsi="Times New Roman" w:eastAsia="宋体" w:cs="Times New Roman"/>
          <w:color w:val="auto"/>
        </w:rPr>
        <w:t>》（粤环〔2021〕10号）</w:t>
      </w:r>
      <w:r>
        <w:rPr>
          <w:rFonts w:hint="eastAsia" w:ascii="宋体" w:hAnsi="宋体" w:eastAsia="宋体" w:cs="宋体"/>
          <w:spacing w:val="6"/>
          <w:sz w:val="24"/>
          <w:szCs w:val="24"/>
          <w:lang w:val="en-US" w:eastAsia="zh-CN"/>
        </w:rPr>
        <w:t>指出：</w:t>
      </w:r>
      <w:r>
        <w:rPr>
          <w:rFonts w:ascii="宋体" w:hAnsi="宋体" w:eastAsia="宋体" w:cs="宋体"/>
          <w:spacing w:val="6"/>
          <w:sz w:val="24"/>
          <w:szCs w:val="24"/>
        </w:rPr>
        <w:t>在石化、化工、包装印刷、</w:t>
      </w:r>
      <w:r>
        <w:rPr>
          <w:rFonts w:ascii="宋体" w:hAnsi="宋体" w:eastAsia="宋体" w:cs="宋体"/>
          <w:spacing w:val="7"/>
          <w:sz w:val="24"/>
          <w:szCs w:val="24"/>
        </w:rPr>
        <w:t>工业涂装等重点行业建立完善源头、过程和末端的</w:t>
      </w:r>
      <w:r>
        <w:rPr>
          <w:rFonts w:ascii="Times New Roman" w:hAnsi="Times New Roman" w:eastAsia="Times New Roman" w:cs="Times New Roman"/>
          <w:sz w:val="24"/>
          <w:szCs w:val="24"/>
        </w:rPr>
        <w:t>VOCs</w:t>
      </w:r>
      <w:r>
        <w:rPr>
          <w:rFonts w:ascii="宋体" w:hAnsi="宋体" w:eastAsia="宋体" w:cs="宋体"/>
          <w:spacing w:val="7"/>
          <w:sz w:val="24"/>
          <w:szCs w:val="24"/>
        </w:rPr>
        <w:t>全过程控制</w:t>
      </w:r>
      <w:r>
        <w:rPr>
          <w:rFonts w:ascii="宋体" w:hAnsi="宋体" w:eastAsia="宋体" w:cs="宋体"/>
          <w:spacing w:val="6"/>
          <w:sz w:val="24"/>
          <w:szCs w:val="24"/>
        </w:rPr>
        <w:t>体系。大力</w:t>
      </w:r>
      <w:r>
        <w:rPr>
          <w:rFonts w:ascii="宋体" w:hAnsi="宋体" w:eastAsia="宋体" w:cs="宋体"/>
          <w:spacing w:val="5"/>
          <w:sz w:val="24"/>
          <w:szCs w:val="24"/>
        </w:rPr>
        <w:t>推进低</w:t>
      </w:r>
      <w:r>
        <w:rPr>
          <w:rFonts w:ascii="Times New Roman" w:hAnsi="Times New Roman" w:eastAsia="Times New Roman" w:cs="Times New Roman"/>
          <w:sz w:val="24"/>
          <w:szCs w:val="24"/>
        </w:rPr>
        <w:t>VOCs</w:t>
      </w:r>
      <w:r>
        <w:rPr>
          <w:rFonts w:ascii="宋体" w:hAnsi="宋体" w:eastAsia="宋体" w:cs="宋体"/>
          <w:spacing w:val="5"/>
          <w:sz w:val="24"/>
          <w:szCs w:val="24"/>
        </w:rPr>
        <w:t>含量原辅材料源头替代，严格落实国家和地方产品</w:t>
      </w:r>
      <w:r>
        <w:rPr>
          <w:rFonts w:ascii="Times New Roman" w:hAnsi="Times New Roman" w:eastAsia="Times New Roman" w:cs="Times New Roman"/>
          <w:sz w:val="24"/>
          <w:szCs w:val="24"/>
        </w:rPr>
        <w:t>VOCs</w:t>
      </w:r>
      <w:r>
        <w:rPr>
          <w:rFonts w:ascii="宋体" w:hAnsi="宋体" w:eastAsia="宋体" w:cs="宋体"/>
          <w:spacing w:val="4"/>
          <w:sz w:val="24"/>
          <w:szCs w:val="24"/>
        </w:rPr>
        <w:t>含量限值质</w:t>
      </w:r>
      <w:r>
        <w:rPr>
          <w:rFonts w:ascii="宋体" w:hAnsi="宋体" w:eastAsia="宋体" w:cs="宋体"/>
          <w:spacing w:val="6"/>
          <w:sz w:val="24"/>
          <w:szCs w:val="24"/>
        </w:rPr>
        <w:t>量标准，禁止建设生产和使用高</w:t>
      </w:r>
      <w:r>
        <w:rPr>
          <w:rFonts w:ascii="Times New Roman" w:hAnsi="Times New Roman" w:eastAsia="Times New Roman" w:cs="Times New Roman"/>
          <w:sz w:val="24"/>
          <w:szCs w:val="24"/>
        </w:rPr>
        <w:t>VOCs</w:t>
      </w:r>
      <w:r>
        <w:rPr>
          <w:rFonts w:ascii="宋体" w:hAnsi="宋体" w:eastAsia="宋体" w:cs="宋体"/>
          <w:spacing w:val="6"/>
          <w:sz w:val="24"/>
          <w:szCs w:val="24"/>
        </w:rPr>
        <w:t>含量的溶剂型涂料、油墨、胶粘剂等项目。</w:t>
      </w:r>
      <w:r>
        <w:rPr>
          <w:rFonts w:ascii="宋体" w:hAnsi="宋体" w:eastAsia="宋体" w:cs="宋体"/>
          <w:spacing w:val="3"/>
          <w:sz w:val="24"/>
          <w:szCs w:val="24"/>
        </w:rPr>
        <w:t>严格实施</w:t>
      </w:r>
      <w:r>
        <w:rPr>
          <w:rFonts w:ascii="Times New Roman" w:hAnsi="Times New Roman" w:eastAsia="Times New Roman" w:cs="Times New Roman"/>
          <w:sz w:val="24"/>
          <w:szCs w:val="24"/>
        </w:rPr>
        <w:t>VOCs</w:t>
      </w:r>
      <w:r>
        <w:rPr>
          <w:rFonts w:ascii="宋体" w:hAnsi="宋体" w:eastAsia="宋体" w:cs="宋体"/>
          <w:spacing w:val="3"/>
          <w:sz w:val="24"/>
          <w:szCs w:val="24"/>
        </w:rPr>
        <w:t>排放企业分级管控，全面推进涉</w:t>
      </w:r>
      <w:r>
        <w:rPr>
          <w:rFonts w:ascii="Times New Roman" w:hAnsi="Times New Roman" w:eastAsia="Times New Roman" w:cs="Times New Roman"/>
          <w:sz w:val="24"/>
          <w:szCs w:val="24"/>
        </w:rPr>
        <w:t>VOCs</w:t>
      </w:r>
      <w:r>
        <w:rPr>
          <w:rFonts w:ascii="宋体" w:hAnsi="宋体" w:eastAsia="宋体" w:cs="宋体"/>
          <w:spacing w:val="3"/>
          <w:sz w:val="24"/>
          <w:szCs w:val="24"/>
        </w:rPr>
        <w:t>排放企业深度治理。开展中</w:t>
      </w:r>
      <w:r>
        <w:rPr>
          <w:rFonts w:ascii="宋体" w:hAnsi="宋体" w:eastAsia="宋体" w:cs="宋体"/>
          <w:spacing w:val="6"/>
          <w:sz w:val="24"/>
          <w:szCs w:val="24"/>
        </w:rPr>
        <w:t>小型企业废气收集和治理设施建设、运行情况的评估，强化对企业涉</w:t>
      </w:r>
      <w:r>
        <w:rPr>
          <w:rFonts w:ascii="Times New Roman" w:hAnsi="Times New Roman" w:eastAsia="Times New Roman" w:cs="Times New Roman"/>
          <w:sz w:val="24"/>
          <w:szCs w:val="24"/>
        </w:rPr>
        <w:t>VOCs</w:t>
      </w:r>
      <w:r>
        <w:rPr>
          <w:rFonts w:ascii="宋体" w:hAnsi="宋体" w:eastAsia="宋体" w:cs="宋体"/>
          <w:spacing w:val="6"/>
          <w:sz w:val="24"/>
          <w:szCs w:val="24"/>
        </w:rPr>
        <w:t>生产</w:t>
      </w:r>
      <w:r>
        <w:rPr>
          <w:rFonts w:ascii="宋体" w:hAnsi="宋体" w:eastAsia="宋体" w:cs="宋体"/>
          <w:spacing w:val="2"/>
          <w:sz w:val="24"/>
          <w:szCs w:val="24"/>
        </w:rPr>
        <w:t>车间/工序废气的收集管理，推动企业开展治理设施升级改造。</w:t>
      </w:r>
    </w:p>
    <w:p w14:paraId="33C88307">
      <w:pPr>
        <w:bidi w:val="0"/>
      </w:pPr>
      <w:r>
        <w:t>《江门市生态环境保护“十四五”规划》提出：“大力推进低VOCs含量原辅 材料源头替代，严格落实国家和地方产品VOCs 含量限值质量标准，禁止建设生 产和使用高VOCs含量的溶剂型涂料、油墨、胶粘剂等项目。</w:t>
      </w:r>
    </w:p>
    <w:p w14:paraId="35F6FF04">
      <w:pPr>
        <w:ind w:firstLine="480"/>
        <w:rPr>
          <w:rFonts w:hint="eastAsia" w:eastAsia="宋体"/>
          <w:color w:val="auto"/>
          <w:lang w:eastAsia="zh-CN"/>
        </w:rPr>
      </w:pPr>
      <w:r>
        <w:rPr>
          <w:rFonts w:hint="eastAsia" w:ascii="Times New Roman" w:hAnsi="Times New Roman" w:eastAsia="宋体" w:cs="Times New Roman"/>
          <w:color w:val="auto"/>
        </w:rPr>
        <w:t>《鹤山市生态环境保护“十四五”规划》</w:t>
      </w:r>
      <w:r>
        <w:rPr>
          <w:rFonts w:hint="eastAsia"/>
          <w:color w:val="auto"/>
        </w:rPr>
        <w:t xml:space="preserve">规定：“深挖VOCs减排潜力，持续推进重点行业VOCs综合整治。继续推进重点行业、重点企业挥发性有机物减排，配合开展重点行业VOCs排放基数调查，系统掌握工业源VOCs产生、处理、排放及分布情况，分类建立台账，实施VOCs精细化管理。在化工、包装印刷、工业涂装等重点行业建立完善源头、过程和末端的VOCs全过程控制体系。以排放量大、治理水平低和VOCs臭氧生成潜势大的企业作为突破口，按照重点VOCs行业治理指引的要求，通过开展源头物料替代、强化废气收集措施，推动企业逐步淘汰低温等离子、光催化、光氧化等低效治理技术的设施，严控新改扩建企业使用该类型治理工艺。严格实施VOCs排放企业分级管控，建立分级管控企业名录和低效处理技术使用企业名单，科学、合理指导企业落实深入整治措施，评估与跟踪整治效果。开展中小型企业废气收集和治理设施建设、运行情况的评估和帮扶指导，强化对企业涉VOCs废气的收集管理，指导企业进行治理设施的升级改造。开展无组织排放源排查，加强含VOCs物料全方位、全链条、全环节密闭管理，深入推进泄漏检测与修复（LDAR）工作。 </w:t>
      </w:r>
      <w:r>
        <w:rPr>
          <w:rFonts w:hint="eastAsia"/>
          <w:color w:val="auto"/>
          <w:lang w:eastAsia="zh-CN"/>
        </w:rPr>
        <w:t>”</w:t>
      </w:r>
    </w:p>
    <w:p w14:paraId="0E6B17DA">
      <w:pPr>
        <w:bidi w:val="0"/>
      </w:pPr>
      <w:r>
        <w:rPr>
          <w:rFonts w:hint="eastAsia"/>
          <w:lang w:val="en-US" w:eastAsia="zh-CN"/>
        </w:rPr>
        <w:t>相符性分析：</w:t>
      </w:r>
      <w:r>
        <w:t>本项目产品为塑料薄膜材质，为非吸收性承印物，采用水性油墨印后的图案附着力不强，耐晒、耐摩擦牢度不高，易出现散影现象，耐介质(油、酸、碱等) 及水煮/蒸煮等高性能产品不适用，鲜艳度较低，产品质量影响比较大，且生产速率较低，一般仅约为90m/min</w:t>
      </w:r>
      <w:r>
        <w:rPr>
          <w:rFonts w:hint="eastAsia"/>
          <w:lang w:eastAsia="zh-CN"/>
        </w:rPr>
        <w:t>，</w:t>
      </w:r>
      <w:r>
        <w:t>对生产效率影响比较严重。</w:t>
      </w:r>
    </w:p>
    <w:p w14:paraId="757E8A26">
      <w:pPr>
        <w:bidi w:val="0"/>
      </w:pPr>
      <w:r>
        <w:t>本项目在生产过程中，拟通过源头控制、过程控制、末端治理三方面，提高涉VOCs生产工序密闭效果、提高VOCs废气收集效率，以减少工艺过程的VOCs无组织排放，选用高处理效率的RTO治理技术，最大程度的减少VOCs有组织排放。</w:t>
      </w:r>
    </w:p>
    <w:p w14:paraId="3AF5E44D">
      <w:pPr>
        <w:bidi w:val="0"/>
      </w:pPr>
      <w:r>
        <w:t>根据广东省生态环境厅互动交流网络平台问询答复(网址：</w:t>
      </w:r>
      <w:r>
        <w:fldChar w:fldCharType="begin"/>
      </w:r>
      <w:r>
        <w:instrText xml:space="preserve"> HYPERLINK "http://gdee.gd.gov.cn/hdjlpt/detail?pid=2239699" </w:instrText>
      </w:r>
      <w:r>
        <w:fldChar w:fldCharType="separate"/>
      </w:r>
      <w:r>
        <w:t>http://gdee.gd.gov.cn/hdjlpt/detail?pid=2239699</w:t>
      </w:r>
      <w:r>
        <w:fldChar w:fldCharType="end"/>
      </w:r>
      <w:r>
        <w:t>)</w:t>
      </w:r>
      <w:r>
        <w:rPr>
          <w:rFonts w:hint="eastAsia"/>
          <w:lang w:eastAsia="zh-CN"/>
        </w:rPr>
        <w:t>：</w:t>
      </w:r>
      <w:r>
        <w:t>《广东省生态环境保护“十四五” 规划》(粤环(2021)10号)明确“大力推进低VOCs含量原辅材料源头替代，严格落实国家和地方产品VOCs含量限值质量标准，禁止建设生产和使用高VOCs含量的溶剂型涂料、油墨、胶粘剂等项目。”如果现阶段确无法实施替代的工序，由各地级以上市生态环境主管部门组织召开权威专家论证会，深入研究论证，出具专家意见。</w:t>
      </w:r>
    </w:p>
    <w:p w14:paraId="544AE48A">
      <w:pPr>
        <w:bidi w:val="0"/>
      </w:pPr>
      <w:r>
        <w:rPr>
          <w:rFonts w:hint="eastAsia"/>
          <w:lang w:val="en-US" w:eastAsia="zh-CN"/>
        </w:rPr>
        <w:t>参考同类项目《</w:t>
      </w:r>
      <w:r>
        <w:t>鹤山市业顺包装有限公司复合包装建设项目使用高VOCs原辅材料不可替代论证报告</w:t>
      </w:r>
      <w:r>
        <w:rPr>
          <w:rFonts w:hint="eastAsia"/>
          <w:lang w:eastAsia="zh-CN"/>
        </w:rPr>
        <w:t>》，</w:t>
      </w:r>
      <w:r>
        <w:rPr>
          <w:rFonts w:hint="eastAsia"/>
          <w:lang w:val="en-US" w:eastAsia="zh-CN"/>
        </w:rPr>
        <w:t>该公司</w:t>
      </w:r>
      <w:r>
        <w:t>属于包装装潢及其他印刷业（C2319），以生产软包装（食品包装袋、化妆品包装袋、食品包装卷膜等）为主，承印物均为塑料薄膜</w:t>
      </w:r>
      <w:r>
        <w:rPr>
          <w:rFonts w:hint="eastAsia"/>
          <w:lang w:eastAsia="zh-CN"/>
        </w:rPr>
        <w:t>，</w:t>
      </w:r>
      <w:r>
        <w:t>年产食品包装袋1000吨、化妆品包装袋380吨、卷膜850吨</w:t>
      </w:r>
      <w:r>
        <w:rPr>
          <w:rFonts w:hint="eastAsia"/>
          <w:lang w:eastAsia="zh-CN"/>
        </w:rPr>
        <w:t>，</w:t>
      </w:r>
      <w:r>
        <w:t>主要生产工艺主要为凹印印刷，工序包括：印前加工（设计制版）、印刷、复合、熟化、分切、制袋等。</w:t>
      </w:r>
      <w:r>
        <w:rPr>
          <w:rFonts w:hint="eastAsia"/>
          <w:lang w:val="en-US" w:eastAsia="zh-CN"/>
        </w:rPr>
        <w:t>该</w:t>
      </w:r>
      <w:r>
        <w:t>项目使用高VOCs含量原辅材料的不可替代性论报告专家评审会于2024年10月31日由江门市环境科学研究所(受江门市生态环境局委托)组织召开，经过研究讨论，形成专家意见：印刷行业受到产品质量控制要求、工艺设备、原材料理化特性等因素影响，就同行业而言，目前水性油墨及低挥发性溶剂在塑料薄膜、水煮蒸煮型产品等方面的应用上还处在逐步替代阶段，技术尚不完全成熟，本项目所论证的油性油墨现阶段暂时无法100%用水性油墨及低挥发性溶剂实施替代。</w:t>
      </w:r>
    </w:p>
    <w:p w14:paraId="3354014E">
      <w:pPr>
        <w:bidi w:val="0"/>
      </w:pPr>
      <w:r>
        <w:t>因此，本项目符合《广东省生态环境厅关于印发广东省生态环境保护“十四 五”规划的通知》(粤环(2021)10号)、《江门市生态环境保护“十四五”规 划》(江府〔2022〕3号)、《鹤山市生态环境保护“十四五”规划》(鹤府〔2022〕3号)的相关要求。</w:t>
      </w:r>
    </w:p>
    <w:p w14:paraId="52FF255F">
      <w:pPr>
        <w:ind w:firstLine="480"/>
        <w:rPr>
          <w:color w:val="auto"/>
        </w:rPr>
      </w:pPr>
      <w:r>
        <w:rPr>
          <w:rFonts w:hint="eastAsia"/>
          <w:color w:val="auto"/>
        </w:rPr>
        <w:t>综上，本项目与该方案相符。</w:t>
      </w:r>
    </w:p>
    <w:p w14:paraId="6814AA95">
      <w:pPr>
        <w:pStyle w:val="65"/>
        <w:numPr>
          <w:ilvl w:val="0"/>
          <w:numId w:val="6"/>
        </w:numPr>
        <w:rPr>
          <w:color w:val="auto"/>
        </w:rPr>
      </w:pPr>
      <w:r>
        <w:rPr>
          <w:rFonts w:hint="eastAsia"/>
          <w:color w:val="auto"/>
        </w:rPr>
        <w:t>与《重点行业挥发性有机物综合治理方案》（环大气</w:t>
      </w:r>
      <w:r>
        <w:rPr>
          <w:color w:val="auto"/>
        </w:rPr>
        <w:t>[2019]53</w:t>
      </w:r>
      <w:r>
        <w:rPr>
          <w:rFonts w:hint="eastAsia"/>
          <w:color w:val="auto"/>
        </w:rPr>
        <w:t>号）相符性分析</w:t>
      </w:r>
    </w:p>
    <w:p w14:paraId="7CF66F82">
      <w:pPr>
        <w:pStyle w:val="62"/>
        <w:numPr>
          <w:ilvl w:val="0"/>
          <w:numId w:val="4"/>
        </w:numPr>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与（环大气〔2019〕53号）相符性分析</w:t>
      </w:r>
    </w:p>
    <w:tbl>
      <w:tblPr>
        <w:tblStyle w:val="3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51"/>
        <w:gridCol w:w="2734"/>
        <w:gridCol w:w="493"/>
      </w:tblGrid>
      <w:tr w14:paraId="174D28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51" w:type="dxa"/>
            <w:noWrap w:val="0"/>
            <w:vAlign w:val="center"/>
          </w:tcPr>
          <w:p w14:paraId="3018E13A">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rPr>
              <w:t>《重点行业挥发性有机物综合治理方案》（环大气〔2019〕53号）</w:t>
            </w:r>
          </w:p>
        </w:tc>
        <w:tc>
          <w:tcPr>
            <w:tcW w:w="2734" w:type="dxa"/>
            <w:noWrap w:val="0"/>
            <w:vAlign w:val="center"/>
          </w:tcPr>
          <w:p w14:paraId="3B6182E6">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本项目情况</w:t>
            </w:r>
          </w:p>
        </w:tc>
        <w:tc>
          <w:tcPr>
            <w:tcW w:w="493" w:type="dxa"/>
            <w:noWrap w:val="0"/>
            <w:vAlign w:val="center"/>
          </w:tcPr>
          <w:p w14:paraId="30A7B762">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相符性</w:t>
            </w:r>
          </w:p>
        </w:tc>
      </w:tr>
      <w:tr w14:paraId="39CEA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51" w:type="dxa"/>
            <w:noWrap w:val="0"/>
            <w:vAlign w:val="center"/>
          </w:tcPr>
          <w:p w14:paraId="19116856">
            <w:pPr>
              <w:pStyle w:val="34"/>
              <w:widowControl w:val="0"/>
              <w:autoSpaceDE w:val="0"/>
              <w:adjustRightInd w:val="0"/>
              <w:spacing w:before="0" w:beforeAutospacing="0" w:after="0" w:afterAutospacing="0" w:line="240" w:lineRule="auto"/>
              <w:ind w:firstLine="0" w:firstLineChars="0"/>
              <w:textAlignment w:val="baseline"/>
              <w:rPr>
                <w:rFonts w:hint="eastAsia" w:ascii="Times New Roman" w:hAnsi="Times New Roman" w:cs="Times New Roman"/>
                <w:sz w:val="21"/>
                <w:szCs w:val="21"/>
                <w:lang w:bidi="ar"/>
              </w:rPr>
            </w:pPr>
            <w:r>
              <w:rPr>
                <w:rFonts w:hint="eastAsia" w:ascii="Times New Roman" w:hAnsi="Times New Roman" w:cs="Times New Roman"/>
                <w:sz w:val="21"/>
                <w:szCs w:val="21"/>
                <w:lang w:bidi="ar"/>
              </w:rPr>
              <w:t>大力推进源头替代。通过使用水性、粉末、高固体分、无溶剂、辐射固化等低VOCs含量的涂料，水性、辐射固化、植物基等低VOCs含量的油墨，水基、热熔、无溶剂、辐射固化、改性、生物降解等低VOCs含量的胶粘剂，以及低VOCs含量、低反应活性的清洗剂等，替代溶剂型涂料、油墨、胶粘剂、清洗剂等，从源头减少VOCs产生。工业涂装、包装印刷等行业要加大源头替代力度；化工行业要推广使用低（无）VOCs含量、低反应活性的原辅材料，加快对芳香烃、含卤素有机化合物的绿色替代。企业应大力推广使用低VOCs含量木器涂料、车辆涂料、机械设备涂料、集装箱涂料以及建筑物和构筑物防护涂料等，在技术成熟的行业，推广使用低VOCs含量油墨和胶粘剂，重点区域到2020年年底前基本完成。鼓励加快低VOCs含量涂料、油墨、胶粘剂等研发和生产。</w:t>
            </w:r>
          </w:p>
          <w:p w14:paraId="75A84D1E">
            <w:pPr>
              <w:pStyle w:val="34"/>
              <w:widowControl w:val="0"/>
              <w:autoSpaceDE w:val="0"/>
              <w:adjustRightInd w:val="0"/>
              <w:spacing w:before="0" w:beforeAutospacing="0" w:after="0" w:afterAutospacing="0" w:line="240" w:lineRule="auto"/>
              <w:ind w:firstLine="0" w:firstLineChars="0"/>
              <w:textAlignment w:val="baseline"/>
              <w:rPr>
                <w:rFonts w:hint="eastAsia" w:ascii="Times New Roman" w:hAnsi="Times New Roman" w:cs="Times New Roman"/>
                <w:sz w:val="21"/>
                <w:szCs w:val="21"/>
                <w:lang w:bidi="ar"/>
              </w:rPr>
            </w:pPr>
            <w:r>
              <w:rPr>
                <w:rFonts w:hint="eastAsia" w:ascii="Times New Roman" w:hAnsi="Times New Roman" w:cs="Times New Roman"/>
                <w:sz w:val="21"/>
                <w:szCs w:val="21"/>
                <w:lang w:bidi="ar"/>
              </w:rPr>
              <w:t>加强政策引导。企业采用符合国家有关低VOCs含量产品规定的涂料、油墨、胶粘剂等，排放浓度稳定达标且排放速率、排放绩效等满足相关规定的，相应生产工序可不要求建设末端治理设施。使用的原辅材料VOCs含量（质量比）低于10%的工序，可不要求采取无组织排放收集措施。</w:t>
            </w:r>
          </w:p>
        </w:tc>
        <w:tc>
          <w:tcPr>
            <w:tcW w:w="2734" w:type="dxa"/>
            <w:vMerge w:val="restart"/>
            <w:noWrap w:val="0"/>
            <w:vAlign w:val="center"/>
          </w:tcPr>
          <w:p w14:paraId="27EBCACE">
            <w:pPr>
              <w:spacing w:line="240" w:lineRule="auto"/>
              <w:ind w:firstLine="0" w:firstLineChars="0"/>
              <w:rPr>
                <w:rFonts w:hint="eastAsia" w:ascii="Times New Roman" w:hAnsi="Times New Roman" w:cs="Times New Roman"/>
                <w:sz w:val="21"/>
                <w:szCs w:val="21"/>
                <w:lang w:bidi="ar"/>
              </w:rPr>
            </w:pPr>
            <w:r>
              <w:rPr>
                <w:rFonts w:hint="eastAsia" w:ascii="Times New Roman" w:hAnsi="Times New Roman" w:cs="Times New Roman"/>
                <w:kern w:val="0"/>
                <w:sz w:val="21"/>
                <w:szCs w:val="21"/>
                <w:lang w:bidi="ar"/>
              </w:rPr>
              <w:t>项目使用的油墨、胶粘剂、清洗剂均为</w:t>
            </w:r>
            <w:r>
              <w:rPr>
                <w:rFonts w:hint="eastAsia" w:ascii="Times New Roman" w:hAnsi="Times New Roman" w:cs="Times New Roman"/>
                <w:sz w:val="21"/>
                <w:szCs w:val="21"/>
                <w:lang w:bidi="ar"/>
              </w:rPr>
              <w:t>低VOCs含量的油墨、胶粘剂、清洗剂，不含芳香烃、含卤素有机化合物。已从源头减少VOCs产生。</w:t>
            </w:r>
          </w:p>
          <w:p w14:paraId="72790397">
            <w:pPr>
              <w:spacing w:line="240" w:lineRule="auto"/>
              <w:ind w:firstLine="0" w:firstLineChars="0"/>
              <w:rPr>
                <w:rFonts w:hint="eastAsia" w:ascii="Times New Roman" w:hAnsi="Times New Roman" w:cs="Times New Roman"/>
                <w:sz w:val="21"/>
                <w:szCs w:val="21"/>
                <w:lang w:bidi="ar"/>
              </w:rPr>
            </w:pPr>
            <w:r>
              <w:rPr>
                <w:rFonts w:hint="eastAsia" w:ascii="Times New Roman" w:hAnsi="Times New Roman" w:cs="Times New Roman"/>
                <w:sz w:val="21"/>
                <w:szCs w:val="21"/>
                <w:lang w:bidi="ar"/>
              </w:rPr>
              <w:t>企业采用符合国家有关低VOCs含量产品规定的涂料、油墨、胶粘剂等，印刷、粘盒未建设末端治理设施。使用的原辅材料VOCs含量（质量比）均低于10%，不要求采取无组织排放收集措施。</w:t>
            </w:r>
          </w:p>
        </w:tc>
        <w:tc>
          <w:tcPr>
            <w:tcW w:w="493" w:type="dxa"/>
            <w:noWrap w:val="0"/>
            <w:vAlign w:val="center"/>
          </w:tcPr>
          <w:p w14:paraId="376EA853">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相符</w:t>
            </w:r>
          </w:p>
        </w:tc>
      </w:tr>
      <w:tr w14:paraId="6A5D57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51" w:type="dxa"/>
            <w:noWrap w:val="0"/>
            <w:vAlign w:val="center"/>
          </w:tcPr>
          <w:p w14:paraId="25D43A1C">
            <w:pPr>
              <w:pStyle w:val="34"/>
              <w:widowControl w:val="0"/>
              <w:autoSpaceDE w:val="0"/>
              <w:adjustRightInd w:val="0"/>
              <w:spacing w:before="0" w:beforeAutospacing="0" w:after="0" w:afterAutospacing="0" w:line="240" w:lineRule="auto"/>
              <w:ind w:firstLine="0" w:firstLineChars="0"/>
              <w:textAlignment w:val="baseline"/>
              <w:rPr>
                <w:rFonts w:ascii="Times New Roman" w:hAnsi="Times New Roman" w:cs="Times New Roman"/>
                <w:sz w:val="21"/>
                <w:szCs w:val="21"/>
              </w:rPr>
            </w:pPr>
            <w:r>
              <w:rPr>
                <w:rFonts w:ascii="Times New Roman" w:hAnsi="Times New Roman" w:cs="Times New Roman"/>
                <w:sz w:val="21"/>
                <w:szCs w:val="21"/>
                <w:lang w:bidi="ar"/>
              </w:rPr>
              <w:t>全面加强无组织排放控制。重点对含VOCs</w:t>
            </w:r>
            <w:r>
              <w:rPr>
                <w:rFonts w:hint="eastAsia" w:ascii="Times New Roman" w:hAnsi="Times New Roman" w:cs="Times New Roman"/>
                <w:sz w:val="21"/>
                <w:szCs w:val="21"/>
                <w:lang w:bidi="ar"/>
              </w:rPr>
              <w:t>物料（包括含</w:t>
            </w:r>
            <w:r>
              <w:rPr>
                <w:rFonts w:ascii="Times New Roman" w:hAnsi="Times New Roman" w:cs="Times New Roman"/>
                <w:sz w:val="21"/>
                <w:szCs w:val="21"/>
                <w:lang w:bidi="ar"/>
              </w:rPr>
              <w:t>VOCs</w:t>
            </w:r>
            <w:r>
              <w:rPr>
                <w:rFonts w:hint="eastAsia" w:ascii="Times New Roman" w:hAnsi="Times New Roman" w:cs="Times New Roman"/>
                <w:sz w:val="21"/>
                <w:szCs w:val="21"/>
                <w:lang w:bidi="ar"/>
              </w:rPr>
              <w:t>原辅材料、含</w:t>
            </w:r>
            <w:r>
              <w:rPr>
                <w:rFonts w:ascii="Times New Roman" w:hAnsi="Times New Roman" w:cs="Times New Roman"/>
                <w:sz w:val="21"/>
                <w:szCs w:val="21"/>
                <w:lang w:bidi="ar"/>
              </w:rPr>
              <w:t>VOCs</w:t>
            </w:r>
            <w:r>
              <w:rPr>
                <w:rFonts w:hint="eastAsia" w:ascii="Times New Roman" w:hAnsi="Times New Roman" w:cs="Times New Roman"/>
                <w:sz w:val="21"/>
                <w:szCs w:val="21"/>
                <w:lang w:bidi="ar"/>
              </w:rPr>
              <w:t>产品、含</w:t>
            </w:r>
            <w:r>
              <w:rPr>
                <w:rFonts w:ascii="Times New Roman" w:hAnsi="Times New Roman" w:cs="Times New Roman"/>
                <w:sz w:val="21"/>
                <w:szCs w:val="21"/>
                <w:lang w:bidi="ar"/>
              </w:rPr>
              <w:t>VOCs</w:t>
            </w:r>
            <w:r>
              <w:rPr>
                <w:rFonts w:hint="eastAsia" w:ascii="Times New Roman" w:hAnsi="Times New Roman" w:cs="Times New Roman"/>
                <w:sz w:val="21"/>
                <w:szCs w:val="21"/>
                <w:lang w:bidi="ar"/>
              </w:rPr>
              <w:t>废料以及有机聚合物材料等）储存、转移和输送、设备与管线组件泄漏、敞开液面逸散以及工艺过程等五类排放源实施管控，通过采取设备与场所密闭、工艺改进、废气有效收集等措施，削减</w:t>
            </w:r>
            <w:r>
              <w:rPr>
                <w:rFonts w:ascii="Times New Roman" w:hAnsi="Times New Roman" w:cs="Times New Roman"/>
                <w:sz w:val="21"/>
                <w:szCs w:val="21"/>
                <w:lang w:bidi="ar"/>
              </w:rPr>
              <w:t>VOCs</w:t>
            </w:r>
            <w:r>
              <w:rPr>
                <w:rFonts w:hint="eastAsia" w:ascii="Times New Roman" w:hAnsi="Times New Roman" w:cs="Times New Roman"/>
                <w:sz w:val="21"/>
                <w:szCs w:val="21"/>
                <w:lang w:bidi="ar"/>
              </w:rPr>
              <w:t>无组织排放。</w:t>
            </w:r>
          </w:p>
        </w:tc>
        <w:tc>
          <w:tcPr>
            <w:tcW w:w="2734" w:type="dxa"/>
            <w:vMerge w:val="continue"/>
            <w:noWrap w:val="0"/>
            <w:vAlign w:val="center"/>
          </w:tcPr>
          <w:p w14:paraId="25BAEAB4">
            <w:pPr>
              <w:pStyle w:val="69"/>
              <w:jc w:val="left"/>
              <w:rPr>
                <w:rFonts w:hint="eastAsia" w:ascii="Times New Roman" w:hAnsi="Times New Roman" w:cs="Times New Roman"/>
                <w:szCs w:val="21"/>
              </w:rPr>
            </w:pPr>
          </w:p>
        </w:tc>
        <w:tc>
          <w:tcPr>
            <w:tcW w:w="493" w:type="dxa"/>
            <w:noWrap w:val="0"/>
            <w:vAlign w:val="center"/>
          </w:tcPr>
          <w:p w14:paraId="5207132E">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相符</w:t>
            </w:r>
          </w:p>
        </w:tc>
      </w:tr>
      <w:tr w14:paraId="18A1F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51" w:type="dxa"/>
            <w:noWrap w:val="0"/>
            <w:vAlign w:val="center"/>
          </w:tcPr>
          <w:p w14:paraId="1E44CC41">
            <w:pPr>
              <w:pStyle w:val="34"/>
              <w:widowControl w:val="0"/>
              <w:autoSpaceDE w:val="0"/>
              <w:adjustRightInd w:val="0"/>
              <w:spacing w:before="0" w:beforeAutospacing="0" w:after="0" w:afterAutospacing="0" w:line="240" w:lineRule="auto"/>
              <w:ind w:firstLine="0" w:firstLineChars="0"/>
              <w:textAlignment w:val="baseline"/>
              <w:rPr>
                <w:rFonts w:ascii="Times New Roman" w:hAnsi="Times New Roman" w:cs="Times New Roman"/>
                <w:sz w:val="21"/>
                <w:szCs w:val="21"/>
              </w:rPr>
            </w:pPr>
            <w:r>
              <w:rPr>
                <w:rFonts w:ascii="Times New Roman" w:hAnsi="Times New Roman" w:cs="Times New Roman"/>
                <w:sz w:val="21"/>
                <w:szCs w:val="21"/>
                <w:lang w:bidi="ar"/>
              </w:rPr>
              <w:t>推进建设适宜高效的治污设施。企业新建治污设施或对现有治污设施实施改造，应依据排放废气的浓度、组分、风量，温度、湿度、压力，以及生产工况等，合理选择治理技术。鼓励企业采用多种技术的组合工艺，提高VOCs</w:t>
            </w:r>
            <w:r>
              <w:rPr>
                <w:rFonts w:hint="eastAsia" w:ascii="Times New Roman" w:hAnsi="Times New Roman" w:cs="Times New Roman"/>
                <w:sz w:val="21"/>
                <w:szCs w:val="21"/>
                <w:lang w:bidi="ar"/>
              </w:rPr>
              <w:t>治理效率。低浓度、大风量废气，宜采用沸石转轮吸附、活性炭吸附、减风增浓等浓缩技术，提高</w:t>
            </w:r>
            <w:r>
              <w:rPr>
                <w:rFonts w:ascii="Times New Roman" w:hAnsi="Times New Roman" w:cs="Times New Roman"/>
                <w:sz w:val="21"/>
                <w:szCs w:val="21"/>
                <w:lang w:bidi="ar"/>
              </w:rPr>
              <w:t>VOCs</w:t>
            </w:r>
            <w:r>
              <w:rPr>
                <w:rFonts w:hint="eastAsia" w:ascii="Times New Roman" w:hAnsi="Times New Roman" w:cs="Times New Roman"/>
                <w:sz w:val="21"/>
                <w:szCs w:val="21"/>
                <w:lang w:bidi="ar"/>
              </w:rPr>
              <w:t>浓度后净化处理；高浓度废气，优先进行溶剂回收，难以回收的，宜采用高温焚烧、催化燃烧等技术。</w:t>
            </w:r>
          </w:p>
        </w:tc>
        <w:tc>
          <w:tcPr>
            <w:tcW w:w="2734" w:type="dxa"/>
            <w:vMerge w:val="continue"/>
            <w:noWrap w:val="0"/>
            <w:vAlign w:val="center"/>
          </w:tcPr>
          <w:p w14:paraId="124191CD">
            <w:pPr>
              <w:spacing w:line="240" w:lineRule="auto"/>
              <w:ind w:firstLine="0" w:firstLineChars="0"/>
              <w:rPr>
                <w:rFonts w:hint="eastAsia" w:ascii="Times New Roman" w:hAnsi="Times New Roman" w:cs="Times New Roman"/>
                <w:sz w:val="21"/>
                <w:szCs w:val="21"/>
                <w:lang w:bidi="ar"/>
              </w:rPr>
            </w:pPr>
          </w:p>
        </w:tc>
        <w:tc>
          <w:tcPr>
            <w:tcW w:w="493" w:type="dxa"/>
            <w:noWrap w:val="0"/>
            <w:vAlign w:val="center"/>
          </w:tcPr>
          <w:p w14:paraId="3205A8E9">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Times New Roman"/>
                <w:sz w:val="21"/>
                <w:szCs w:val="21"/>
              </w:rPr>
            </w:pPr>
            <w:r>
              <w:rPr>
                <w:rFonts w:hint="eastAsia" w:ascii="Times New Roman" w:hAnsi="Times New Roman" w:cs="Times New Roman"/>
                <w:sz w:val="21"/>
                <w:szCs w:val="21"/>
                <w:lang w:bidi="ar"/>
              </w:rPr>
              <w:t>相符</w:t>
            </w:r>
          </w:p>
        </w:tc>
      </w:tr>
    </w:tbl>
    <w:p w14:paraId="52A07B82">
      <w:pPr>
        <w:ind w:firstLine="480"/>
        <w:rPr>
          <w:rFonts w:hint="eastAsia"/>
          <w:color w:val="auto"/>
        </w:rPr>
      </w:pPr>
    </w:p>
    <w:p w14:paraId="089DBACA">
      <w:pPr>
        <w:pStyle w:val="65"/>
        <w:numPr>
          <w:ilvl w:val="0"/>
          <w:numId w:val="6"/>
        </w:numPr>
        <w:ind w:left="864"/>
        <w:rPr>
          <w:rFonts w:hint="eastAsia" w:ascii="Times New Roman" w:hAnsi="Times New Roman" w:eastAsia="宋体" w:cs="Times New Roman"/>
          <w:color w:val="auto"/>
        </w:rPr>
      </w:pPr>
      <w:r>
        <w:rPr>
          <w:rFonts w:hint="eastAsia" w:ascii="Times New Roman" w:hAnsi="Times New Roman" w:eastAsia="宋体" w:cs="Times New Roman"/>
          <w:color w:val="auto"/>
        </w:rPr>
        <w:t>与《关于印发江门市202</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年细颗粒物和臭氧污染协同防控工作方案的通知》</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江环[2026]21号</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的相符性分析</w:t>
      </w:r>
    </w:p>
    <w:p w14:paraId="373F9B63">
      <w:pPr>
        <w:pStyle w:val="62"/>
        <w:numPr>
          <w:ilvl w:val="0"/>
          <w:numId w:val="4"/>
        </w:numPr>
        <w:ind w:left="0" w:leftChars="0" w:firstLine="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与（江环[2026]21号）的相符性分析</w:t>
      </w:r>
    </w:p>
    <w:p w14:paraId="5679949B">
      <w:pPr>
        <w:spacing w:line="89" w:lineRule="exact"/>
      </w:pPr>
    </w:p>
    <w:tbl>
      <w:tblPr>
        <w:tblStyle w:val="105"/>
        <w:tblW w:w="4997" w:type="pct"/>
        <w:tblInd w:w="0" w:type="dxa"/>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Layout w:type="autofit"/>
        <w:tblCellMar>
          <w:top w:w="0" w:type="dxa"/>
          <w:left w:w="0" w:type="dxa"/>
          <w:bottom w:w="0" w:type="dxa"/>
          <w:right w:w="0" w:type="dxa"/>
        </w:tblCellMar>
      </w:tblPr>
      <w:tblGrid>
        <w:gridCol w:w="377"/>
        <w:gridCol w:w="757"/>
        <w:gridCol w:w="3808"/>
        <w:gridCol w:w="7"/>
        <w:gridCol w:w="375"/>
        <w:gridCol w:w="3302"/>
        <w:gridCol w:w="377"/>
        <w:gridCol w:w="7"/>
      </w:tblGrid>
      <w:tr w14:paraId="32C666D9">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444" w:hRule="atLeast"/>
          <w:tblHeader/>
        </w:trPr>
        <w:tc>
          <w:tcPr>
            <w:tcW w:w="2742" w:type="pct"/>
            <w:gridSpan w:val="3"/>
            <w:tcBorders>
              <w:top w:val="single" w:color="000000" w:sz="12" w:space="0"/>
              <w:left w:val="nil"/>
              <w:tl2br w:val="nil"/>
            </w:tcBorders>
            <w:shd w:val="clear" w:color="auto" w:fill="FFFFFF"/>
            <w:vAlign w:val="center"/>
          </w:tcPr>
          <w:p w14:paraId="2A6C583B">
            <w:pPr>
              <w:pStyle w:val="69"/>
              <w:bidi w:val="0"/>
              <w:jc w:val="both"/>
            </w:pPr>
            <w:r>
              <w:t>方案要求(包装印刷业治理要求)</w:t>
            </w:r>
          </w:p>
        </w:tc>
        <w:tc>
          <w:tcPr>
            <w:tcW w:w="211" w:type="pct"/>
            <w:gridSpan w:val="2"/>
            <w:vMerge w:val="restart"/>
            <w:tcBorders>
              <w:top w:val="single" w:color="000000" w:sz="12" w:space="0"/>
            </w:tcBorders>
            <w:shd w:val="clear" w:color="auto" w:fill="FFFFFF"/>
            <w:vAlign w:val="center"/>
          </w:tcPr>
          <w:p w14:paraId="5B585418">
            <w:pPr>
              <w:pStyle w:val="69"/>
              <w:bidi w:val="0"/>
              <w:jc w:val="both"/>
            </w:pPr>
            <w:r>
              <w:t>实施</w:t>
            </w:r>
          </w:p>
          <w:p w14:paraId="2B8E6C9D">
            <w:pPr>
              <w:pStyle w:val="69"/>
              <w:bidi w:val="0"/>
              <w:jc w:val="both"/>
            </w:pPr>
            <w:r>
              <w:t>要求</w:t>
            </w:r>
          </w:p>
        </w:tc>
        <w:tc>
          <w:tcPr>
            <w:tcW w:w="1832" w:type="pct"/>
            <w:vMerge w:val="restart"/>
            <w:tcBorders>
              <w:top w:val="single" w:color="000000" w:sz="12" w:space="0"/>
            </w:tcBorders>
            <w:shd w:val="clear" w:color="auto" w:fill="FFFFFF"/>
            <w:vAlign w:val="center"/>
          </w:tcPr>
          <w:p w14:paraId="7BFFE848">
            <w:pPr>
              <w:pStyle w:val="69"/>
              <w:bidi w:val="0"/>
              <w:jc w:val="both"/>
            </w:pPr>
          </w:p>
          <w:p w14:paraId="14E565B7">
            <w:pPr>
              <w:pStyle w:val="69"/>
              <w:bidi w:val="0"/>
              <w:jc w:val="both"/>
            </w:pPr>
            <w:r>
              <w:t>本项目情况</w:t>
            </w:r>
          </w:p>
        </w:tc>
        <w:tc>
          <w:tcPr>
            <w:tcW w:w="209" w:type="pct"/>
            <w:vMerge w:val="restart"/>
            <w:tcBorders>
              <w:top w:val="single" w:color="000000" w:sz="12" w:space="0"/>
              <w:right w:val="nil"/>
            </w:tcBorders>
            <w:shd w:val="clear" w:color="auto" w:fill="FFFFFF"/>
            <w:vAlign w:val="center"/>
          </w:tcPr>
          <w:p w14:paraId="1C2DF9D4">
            <w:pPr>
              <w:pStyle w:val="69"/>
              <w:bidi w:val="0"/>
              <w:jc w:val="both"/>
            </w:pPr>
            <w:r>
              <w:t>相符 性</w:t>
            </w:r>
          </w:p>
        </w:tc>
      </w:tr>
      <w:tr w14:paraId="62B06374">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449" w:hRule="atLeast"/>
          <w:tblHeader/>
        </w:trPr>
        <w:tc>
          <w:tcPr>
            <w:tcW w:w="209" w:type="pct"/>
            <w:tcBorders>
              <w:left w:val="nil"/>
            </w:tcBorders>
            <w:shd w:val="clear" w:color="auto" w:fill="FFFFFF"/>
            <w:vAlign w:val="center"/>
          </w:tcPr>
          <w:p w14:paraId="31645B72">
            <w:pPr>
              <w:pStyle w:val="69"/>
              <w:bidi w:val="0"/>
              <w:jc w:val="both"/>
            </w:pPr>
            <w:r>
              <w:t>项 目</w:t>
            </w:r>
          </w:p>
        </w:tc>
        <w:tc>
          <w:tcPr>
            <w:tcW w:w="420" w:type="pct"/>
            <w:shd w:val="clear" w:color="auto" w:fill="FFFFFF"/>
            <w:vAlign w:val="center"/>
          </w:tcPr>
          <w:p w14:paraId="4C0F07FA">
            <w:pPr>
              <w:pStyle w:val="69"/>
              <w:bidi w:val="0"/>
              <w:jc w:val="both"/>
            </w:pPr>
            <w:r>
              <w:t>生产环节</w:t>
            </w:r>
          </w:p>
        </w:tc>
        <w:tc>
          <w:tcPr>
            <w:tcW w:w="2113" w:type="pct"/>
            <w:shd w:val="clear" w:color="auto" w:fill="FFFFFF"/>
            <w:vAlign w:val="center"/>
          </w:tcPr>
          <w:p w14:paraId="762ECE5D">
            <w:pPr>
              <w:pStyle w:val="69"/>
              <w:bidi w:val="0"/>
              <w:jc w:val="both"/>
            </w:pPr>
            <w:r>
              <w:t>治理任务要求</w:t>
            </w:r>
          </w:p>
        </w:tc>
        <w:tc>
          <w:tcPr>
            <w:tcW w:w="211" w:type="pct"/>
            <w:gridSpan w:val="2"/>
            <w:vMerge w:val="continue"/>
            <w:shd w:val="clear" w:color="auto" w:fill="FFFFFF"/>
            <w:vAlign w:val="center"/>
          </w:tcPr>
          <w:p w14:paraId="37F53CE8">
            <w:pPr>
              <w:pStyle w:val="69"/>
              <w:bidi w:val="0"/>
              <w:jc w:val="both"/>
            </w:pPr>
          </w:p>
        </w:tc>
        <w:tc>
          <w:tcPr>
            <w:tcW w:w="1832" w:type="pct"/>
            <w:vMerge w:val="continue"/>
            <w:shd w:val="clear" w:color="auto" w:fill="FFFFFF"/>
            <w:vAlign w:val="center"/>
          </w:tcPr>
          <w:p w14:paraId="7867959A">
            <w:pPr>
              <w:pStyle w:val="69"/>
              <w:bidi w:val="0"/>
              <w:jc w:val="both"/>
            </w:pPr>
          </w:p>
        </w:tc>
        <w:tc>
          <w:tcPr>
            <w:tcW w:w="209" w:type="pct"/>
            <w:vMerge w:val="continue"/>
            <w:tcBorders>
              <w:right w:val="nil"/>
            </w:tcBorders>
            <w:shd w:val="clear" w:color="auto" w:fill="FFFFFF"/>
            <w:vAlign w:val="center"/>
          </w:tcPr>
          <w:p w14:paraId="78B075EB">
            <w:pPr>
              <w:pStyle w:val="69"/>
              <w:bidi w:val="0"/>
              <w:jc w:val="both"/>
            </w:pPr>
          </w:p>
        </w:tc>
      </w:tr>
      <w:tr w14:paraId="2F2C85E2">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1089" w:hRule="atLeast"/>
        </w:trPr>
        <w:tc>
          <w:tcPr>
            <w:tcW w:w="209" w:type="pct"/>
            <w:tcBorders>
              <w:left w:val="nil"/>
            </w:tcBorders>
            <w:shd w:val="clear" w:color="auto" w:fill="FFFFFF"/>
            <w:vAlign w:val="center"/>
          </w:tcPr>
          <w:p w14:paraId="5F2CAE12">
            <w:pPr>
              <w:pStyle w:val="69"/>
              <w:bidi w:val="0"/>
              <w:jc w:val="both"/>
            </w:pPr>
          </w:p>
          <w:p w14:paraId="3DF05AD7">
            <w:pPr>
              <w:pStyle w:val="69"/>
              <w:bidi w:val="0"/>
              <w:jc w:val="both"/>
            </w:pPr>
            <w:r>
              <w:t>源头</w:t>
            </w:r>
          </w:p>
          <w:p w14:paraId="788DDD65">
            <w:pPr>
              <w:pStyle w:val="69"/>
              <w:bidi w:val="0"/>
              <w:jc w:val="both"/>
            </w:pPr>
            <w:r>
              <w:t>削减</w:t>
            </w:r>
          </w:p>
        </w:tc>
        <w:tc>
          <w:tcPr>
            <w:tcW w:w="420" w:type="pct"/>
            <w:vMerge w:val="restart"/>
            <w:shd w:val="clear" w:color="auto" w:fill="FFFFFF"/>
            <w:vAlign w:val="center"/>
          </w:tcPr>
          <w:p w14:paraId="58302F0E">
            <w:pPr>
              <w:pStyle w:val="69"/>
              <w:bidi w:val="0"/>
              <w:jc w:val="both"/>
            </w:pPr>
          </w:p>
          <w:p w14:paraId="4DE5D6D1">
            <w:pPr>
              <w:pStyle w:val="69"/>
              <w:bidi w:val="0"/>
              <w:jc w:val="both"/>
            </w:pPr>
          </w:p>
          <w:p w14:paraId="20ED69EE">
            <w:pPr>
              <w:pStyle w:val="69"/>
              <w:bidi w:val="0"/>
              <w:jc w:val="both"/>
            </w:pPr>
          </w:p>
          <w:p w14:paraId="576C7861">
            <w:pPr>
              <w:pStyle w:val="69"/>
              <w:bidi w:val="0"/>
              <w:jc w:val="both"/>
            </w:pPr>
          </w:p>
          <w:p w14:paraId="022C9C9D">
            <w:pPr>
              <w:pStyle w:val="69"/>
              <w:bidi w:val="0"/>
              <w:jc w:val="both"/>
            </w:pPr>
          </w:p>
          <w:p w14:paraId="1B4E2D3A">
            <w:pPr>
              <w:pStyle w:val="69"/>
              <w:bidi w:val="0"/>
              <w:jc w:val="both"/>
            </w:pPr>
          </w:p>
          <w:p w14:paraId="481A4EF2">
            <w:pPr>
              <w:pStyle w:val="69"/>
              <w:bidi w:val="0"/>
              <w:jc w:val="both"/>
            </w:pPr>
          </w:p>
          <w:p w14:paraId="47C4B6B5">
            <w:pPr>
              <w:pStyle w:val="69"/>
              <w:bidi w:val="0"/>
              <w:jc w:val="both"/>
            </w:pPr>
          </w:p>
          <w:p w14:paraId="00D40C38">
            <w:pPr>
              <w:pStyle w:val="69"/>
              <w:bidi w:val="0"/>
              <w:jc w:val="both"/>
            </w:pPr>
          </w:p>
          <w:p w14:paraId="45046E46">
            <w:pPr>
              <w:pStyle w:val="69"/>
              <w:bidi w:val="0"/>
              <w:jc w:val="both"/>
            </w:pPr>
            <w:r>
              <w:t>胶印、凹</w:t>
            </w:r>
          </w:p>
          <w:p w14:paraId="42ED7A8F">
            <w:pPr>
              <w:pStyle w:val="69"/>
              <w:bidi w:val="0"/>
              <w:jc w:val="both"/>
            </w:pPr>
            <w:r>
              <w:t>印、丝网  印、印铁制</w:t>
            </w:r>
          </w:p>
          <w:p w14:paraId="54385536">
            <w:pPr>
              <w:pStyle w:val="69"/>
              <w:bidi w:val="0"/>
              <w:jc w:val="both"/>
            </w:pPr>
            <w:r>
              <w:t>罐、柔印、</w:t>
            </w:r>
          </w:p>
          <w:p w14:paraId="03D5CCA0">
            <w:pPr>
              <w:pStyle w:val="69"/>
              <w:bidi w:val="0"/>
              <w:jc w:val="both"/>
            </w:pPr>
            <w:r>
              <w:t>复合、涂布</w:t>
            </w:r>
          </w:p>
        </w:tc>
        <w:tc>
          <w:tcPr>
            <w:tcW w:w="2113" w:type="pct"/>
            <w:shd w:val="clear" w:color="auto" w:fill="FFFFFF"/>
            <w:vAlign w:val="center"/>
          </w:tcPr>
          <w:p w14:paraId="289D0197">
            <w:pPr>
              <w:pStyle w:val="69"/>
              <w:bidi w:val="0"/>
              <w:jc w:val="both"/>
            </w:pPr>
            <w:r>
              <w:t>油墨符合《油墨中可挥发性有机化合物(VOCs)含量的限值》(GB38507-2020);胶粘剂符合《胶粘剂挥发性有机化合物限量》(GB33372-2020);清洗剂符合《清洗剂挥发性有机化合物含量限值》(GB38508-2020)要求；</w:t>
            </w:r>
          </w:p>
        </w:tc>
        <w:tc>
          <w:tcPr>
            <w:tcW w:w="211" w:type="pct"/>
            <w:gridSpan w:val="2"/>
            <w:shd w:val="clear" w:color="auto" w:fill="FFFFFF"/>
            <w:vAlign w:val="center"/>
          </w:tcPr>
          <w:p w14:paraId="0C3F4350">
            <w:pPr>
              <w:pStyle w:val="69"/>
              <w:bidi w:val="0"/>
              <w:jc w:val="both"/>
            </w:pPr>
          </w:p>
          <w:p w14:paraId="345B01F9">
            <w:pPr>
              <w:pStyle w:val="69"/>
              <w:bidi w:val="0"/>
              <w:jc w:val="both"/>
            </w:pPr>
            <w:r>
              <w:t>要求</w:t>
            </w:r>
          </w:p>
        </w:tc>
        <w:tc>
          <w:tcPr>
            <w:tcW w:w="1832" w:type="pct"/>
            <w:shd w:val="clear" w:color="auto" w:fill="FFFFFF"/>
            <w:vAlign w:val="center"/>
          </w:tcPr>
          <w:p w14:paraId="4D0097F4">
            <w:pPr>
              <w:pStyle w:val="69"/>
              <w:bidi w:val="0"/>
              <w:jc w:val="both"/>
            </w:pPr>
            <w:r>
              <w:t>本项目使用的油墨、胶粘剂等均符合相关标准要求，</w:t>
            </w:r>
          </w:p>
          <w:p w14:paraId="687F5FAA">
            <w:pPr>
              <w:pStyle w:val="69"/>
              <w:bidi w:val="0"/>
              <w:jc w:val="both"/>
            </w:pPr>
            <w:r>
              <w:t>详细的VOCs含量分析见</w:t>
            </w:r>
            <w:r>
              <w:rPr>
                <w:rFonts w:hint="eastAsia"/>
                <w:lang w:val="en-US" w:eastAsia="zh-CN"/>
              </w:rPr>
              <w:t>2.5.4章节分析</w:t>
            </w:r>
            <w:r>
              <w:t>。</w:t>
            </w:r>
          </w:p>
        </w:tc>
        <w:tc>
          <w:tcPr>
            <w:tcW w:w="209" w:type="pct"/>
            <w:tcBorders>
              <w:right w:val="nil"/>
            </w:tcBorders>
            <w:shd w:val="clear" w:color="auto" w:fill="FFFFFF"/>
            <w:vAlign w:val="center"/>
          </w:tcPr>
          <w:p w14:paraId="62F2AB3A">
            <w:pPr>
              <w:pStyle w:val="69"/>
              <w:bidi w:val="0"/>
              <w:jc w:val="both"/>
            </w:pPr>
          </w:p>
          <w:p w14:paraId="55B3793D">
            <w:pPr>
              <w:pStyle w:val="69"/>
              <w:bidi w:val="0"/>
              <w:jc w:val="both"/>
            </w:pPr>
            <w:r>
              <w:t>符合</w:t>
            </w:r>
          </w:p>
        </w:tc>
      </w:tr>
      <w:tr w14:paraId="0206E1C3">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829" w:hRule="atLeast"/>
        </w:trPr>
        <w:tc>
          <w:tcPr>
            <w:tcW w:w="209" w:type="pct"/>
            <w:vMerge w:val="restart"/>
            <w:tcBorders>
              <w:left w:val="nil"/>
            </w:tcBorders>
            <w:shd w:val="clear" w:color="auto" w:fill="FFFFFF"/>
            <w:vAlign w:val="center"/>
          </w:tcPr>
          <w:p w14:paraId="719509ED">
            <w:pPr>
              <w:pStyle w:val="69"/>
              <w:bidi w:val="0"/>
              <w:jc w:val="both"/>
            </w:pPr>
          </w:p>
          <w:p w14:paraId="2BF792FD">
            <w:pPr>
              <w:pStyle w:val="69"/>
              <w:bidi w:val="0"/>
              <w:jc w:val="both"/>
            </w:pPr>
          </w:p>
          <w:p w14:paraId="771CF2F8">
            <w:pPr>
              <w:pStyle w:val="69"/>
              <w:bidi w:val="0"/>
              <w:jc w:val="both"/>
            </w:pPr>
          </w:p>
          <w:p w14:paraId="1226CDD1">
            <w:pPr>
              <w:pStyle w:val="69"/>
              <w:bidi w:val="0"/>
              <w:jc w:val="both"/>
            </w:pPr>
          </w:p>
          <w:p w14:paraId="0E407320">
            <w:pPr>
              <w:pStyle w:val="69"/>
              <w:bidi w:val="0"/>
              <w:jc w:val="both"/>
            </w:pPr>
          </w:p>
          <w:p w14:paraId="55EFFD62">
            <w:pPr>
              <w:pStyle w:val="69"/>
              <w:bidi w:val="0"/>
              <w:jc w:val="both"/>
            </w:pPr>
          </w:p>
          <w:p w14:paraId="7EBED68C">
            <w:pPr>
              <w:pStyle w:val="69"/>
              <w:bidi w:val="0"/>
              <w:jc w:val="both"/>
            </w:pPr>
          </w:p>
          <w:p w14:paraId="2091D5E6">
            <w:pPr>
              <w:pStyle w:val="69"/>
              <w:bidi w:val="0"/>
              <w:jc w:val="both"/>
            </w:pPr>
          </w:p>
          <w:p w14:paraId="71B769B5">
            <w:pPr>
              <w:pStyle w:val="69"/>
              <w:bidi w:val="0"/>
              <w:jc w:val="both"/>
            </w:pPr>
          </w:p>
          <w:p w14:paraId="2A7EF819">
            <w:pPr>
              <w:pStyle w:val="69"/>
              <w:bidi w:val="0"/>
              <w:jc w:val="both"/>
            </w:pPr>
            <w:r>
              <w:t>过程 控制</w:t>
            </w:r>
          </w:p>
        </w:tc>
        <w:tc>
          <w:tcPr>
            <w:tcW w:w="420" w:type="pct"/>
            <w:vMerge w:val="continue"/>
            <w:shd w:val="clear" w:color="auto" w:fill="FFFFFF"/>
            <w:vAlign w:val="center"/>
          </w:tcPr>
          <w:p w14:paraId="1F1DA459">
            <w:pPr>
              <w:pStyle w:val="69"/>
              <w:bidi w:val="0"/>
              <w:jc w:val="both"/>
            </w:pPr>
          </w:p>
        </w:tc>
        <w:tc>
          <w:tcPr>
            <w:tcW w:w="2113" w:type="pct"/>
            <w:shd w:val="clear" w:color="auto" w:fill="FFFFFF"/>
            <w:vAlign w:val="center"/>
          </w:tcPr>
          <w:p w14:paraId="51FE0BB4">
            <w:pPr>
              <w:pStyle w:val="69"/>
              <w:bidi w:val="0"/>
              <w:jc w:val="both"/>
            </w:pPr>
            <w:r>
              <w:t>鼓励企业加大研究适用低挥发性原辅材料的印刷工艺及印刷设备，大力开发市场，培养接受低挥发性原辅材料印制的印刷产品。复合、涂布采用无溶剂型、水性物料。</w:t>
            </w:r>
          </w:p>
        </w:tc>
        <w:tc>
          <w:tcPr>
            <w:tcW w:w="211" w:type="pct"/>
            <w:gridSpan w:val="2"/>
            <w:shd w:val="clear" w:color="auto" w:fill="FFFFFF"/>
            <w:vAlign w:val="center"/>
          </w:tcPr>
          <w:p w14:paraId="5507DE41">
            <w:pPr>
              <w:pStyle w:val="69"/>
              <w:bidi w:val="0"/>
              <w:jc w:val="both"/>
            </w:pPr>
          </w:p>
          <w:p w14:paraId="496FBE80">
            <w:pPr>
              <w:pStyle w:val="69"/>
              <w:bidi w:val="0"/>
              <w:jc w:val="both"/>
            </w:pPr>
            <w:r>
              <w:t>推荐</w:t>
            </w:r>
          </w:p>
        </w:tc>
        <w:tc>
          <w:tcPr>
            <w:tcW w:w="1832" w:type="pct"/>
            <w:shd w:val="clear" w:color="auto" w:fill="FFFFFF"/>
            <w:vAlign w:val="center"/>
          </w:tcPr>
          <w:p w14:paraId="77F3256F">
            <w:pPr>
              <w:pStyle w:val="69"/>
              <w:bidi w:val="0"/>
              <w:jc w:val="both"/>
            </w:pPr>
            <w:r>
              <w:rPr>
                <w:rFonts w:hint="eastAsia"/>
                <w:lang w:val="en-US" w:eastAsia="zh-CN"/>
              </w:rPr>
              <w:t>项目印刷</w:t>
            </w:r>
            <w:r>
              <w:t>产品必须使用溶剂型油墨，</w:t>
            </w:r>
            <w:r>
              <w:rPr>
                <w:rFonts w:hint="eastAsia"/>
                <w:lang w:val="en-US" w:eastAsia="zh-CN"/>
              </w:rPr>
              <w:t>复合</w:t>
            </w:r>
            <w:r>
              <w:t>产品使用无溶剂胶粘剂。</w:t>
            </w:r>
          </w:p>
        </w:tc>
        <w:tc>
          <w:tcPr>
            <w:tcW w:w="209" w:type="pct"/>
            <w:tcBorders>
              <w:right w:val="nil"/>
            </w:tcBorders>
            <w:shd w:val="clear" w:color="auto" w:fill="FFFFFF"/>
            <w:vAlign w:val="center"/>
          </w:tcPr>
          <w:p w14:paraId="1BD1C046">
            <w:pPr>
              <w:pStyle w:val="69"/>
              <w:bidi w:val="0"/>
              <w:jc w:val="both"/>
            </w:pPr>
          </w:p>
          <w:p w14:paraId="41B93F80">
            <w:pPr>
              <w:pStyle w:val="69"/>
              <w:bidi w:val="0"/>
              <w:jc w:val="both"/>
            </w:pPr>
            <w:r>
              <w:t>符合</w:t>
            </w:r>
          </w:p>
        </w:tc>
      </w:tr>
      <w:tr w14:paraId="5B1FB12E">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440" w:hRule="atLeast"/>
        </w:trPr>
        <w:tc>
          <w:tcPr>
            <w:tcW w:w="209" w:type="pct"/>
            <w:vMerge w:val="continue"/>
            <w:tcBorders>
              <w:left w:val="nil"/>
            </w:tcBorders>
            <w:shd w:val="clear" w:color="auto" w:fill="FFFFFF"/>
            <w:vAlign w:val="center"/>
          </w:tcPr>
          <w:p w14:paraId="3994B1C6">
            <w:pPr>
              <w:pStyle w:val="69"/>
              <w:bidi w:val="0"/>
              <w:jc w:val="both"/>
            </w:pPr>
          </w:p>
        </w:tc>
        <w:tc>
          <w:tcPr>
            <w:tcW w:w="420" w:type="pct"/>
            <w:vMerge w:val="continue"/>
            <w:shd w:val="clear" w:color="auto" w:fill="FFFFFF"/>
            <w:vAlign w:val="center"/>
          </w:tcPr>
          <w:p w14:paraId="17F324CF">
            <w:pPr>
              <w:pStyle w:val="69"/>
              <w:bidi w:val="0"/>
              <w:jc w:val="both"/>
            </w:pPr>
          </w:p>
        </w:tc>
        <w:tc>
          <w:tcPr>
            <w:tcW w:w="2113" w:type="pct"/>
            <w:shd w:val="clear" w:color="auto" w:fill="FFFFFF"/>
            <w:vAlign w:val="center"/>
          </w:tcPr>
          <w:p w14:paraId="20708D9F">
            <w:pPr>
              <w:pStyle w:val="69"/>
              <w:bidi w:val="0"/>
              <w:jc w:val="both"/>
            </w:pPr>
            <w:r>
              <w:t>胶印、柔印、印铁制罐采用集中(中央)供墨设备系统。</w:t>
            </w:r>
          </w:p>
        </w:tc>
        <w:tc>
          <w:tcPr>
            <w:tcW w:w="211" w:type="pct"/>
            <w:gridSpan w:val="2"/>
            <w:shd w:val="clear" w:color="auto" w:fill="FFFFFF"/>
            <w:vAlign w:val="center"/>
          </w:tcPr>
          <w:p w14:paraId="2BA23FE3">
            <w:pPr>
              <w:pStyle w:val="69"/>
              <w:bidi w:val="0"/>
              <w:jc w:val="both"/>
            </w:pPr>
            <w:r>
              <w:t>推荐</w:t>
            </w:r>
          </w:p>
        </w:tc>
        <w:tc>
          <w:tcPr>
            <w:tcW w:w="1832" w:type="pct"/>
            <w:shd w:val="clear" w:color="auto" w:fill="FFFFFF"/>
            <w:vAlign w:val="center"/>
          </w:tcPr>
          <w:p w14:paraId="42271C25">
            <w:pPr>
              <w:pStyle w:val="69"/>
              <w:bidi w:val="0"/>
              <w:jc w:val="both"/>
            </w:pPr>
            <w:r>
              <w:t>不涉及</w:t>
            </w:r>
          </w:p>
        </w:tc>
        <w:tc>
          <w:tcPr>
            <w:tcW w:w="209" w:type="pct"/>
            <w:tcBorders>
              <w:right w:val="nil"/>
            </w:tcBorders>
            <w:shd w:val="clear" w:color="auto" w:fill="FFFFFF"/>
            <w:vAlign w:val="center"/>
          </w:tcPr>
          <w:p w14:paraId="23ABD189">
            <w:pPr>
              <w:pStyle w:val="69"/>
              <w:bidi w:val="0"/>
              <w:jc w:val="both"/>
            </w:pPr>
            <w:r>
              <w:t>符合</w:t>
            </w:r>
          </w:p>
        </w:tc>
      </w:tr>
      <w:tr w14:paraId="23C918F2">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689" w:hRule="atLeast"/>
        </w:trPr>
        <w:tc>
          <w:tcPr>
            <w:tcW w:w="209" w:type="pct"/>
            <w:vMerge w:val="continue"/>
            <w:tcBorders>
              <w:left w:val="nil"/>
            </w:tcBorders>
            <w:shd w:val="clear" w:color="auto" w:fill="FFFFFF"/>
            <w:vAlign w:val="center"/>
          </w:tcPr>
          <w:p w14:paraId="19044761">
            <w:pPr>
              <w:pStyle w:val="69"/>
              <w:bidi w:val="0"/>
              <w:jc w:val="both"/>
            </w:pPr>
          </w:p>
        </w:tc>
        <w:tc>
          <w:tcPr>
            <w:tcW w:w="420" w:type="pct"/>
            <w:vMerge w:val="continue"/>
            <w:shd w:val="clear" w:color="auto" w:fill="FFFFFF"/>
            <w:vAlign w:val="center"/>
          </w:tcPr>
          <w:p w14:paraId="0E0BB6C5">
            <w:pPr>
              <w:pStyle w:val="69"/>
              <w:bidi w:val="0"/>
              <w:jc w:val="both"/>
            </w:pPr>
          </w:p>
        </w:tc>
        <w:tc>
          <w:tcPr>
            <w:tcW w:w="2113" w:type="pct"/>
            <w:shd w:val="clear" w:color="auto" w:fill="FFFFFF"/>
            <w:vAlign w:val="center"/>
          </w:tcPr>
          <w:p w14:paraId="334A0D52">
            <w:pPr>
              <w:pStyle w:val="69"/>
              <w:bidi w:val="0"/>
              <w:jc w:val="both"/>
            </w:pPr>
            <w:r>
              <w:t>设置专用调墨(胶)间，废气排至VOCs废气收集处理系统；油墨输送、转移、存放均密闭操作。</w:t>
            </w:r>
          </w:p>
        </w:tc>
        <w:tc>
          <w:tcPr>
            <w:tcW w:w="211" w:type="pct"/>
            <w:gridSpan w:val="2"/>
            <w:shd w:val="clear" w:color="auto" w:fill="FFFFFF"/>
            <w:vAlign w:val="center"/>
          </w:tcPr>
          <w:p w14:paraId="5ED2DF7A">
            <w:pPr>
              <w:pStyle w:val="69"/>
              <w:bidi w:val="0"/>
              <w:jc w:val="both"/>
            </w:pPr>
            <w:r>
              <w:t>要求</w:t>
            </w:r>
          </w:p>
        </w:tc>
        <w:tc>
          <w:tcPr>
            <w:tcW w:w="1832" w:type="pct"/>
            <w:shd w:val="clear" w:color="auto" w:fill="FFFFFF"/>
            <w:vAlign w:val="center"/>
          </w:tcPr>
          <w:p w14:paraId="61FE590F">
            <w:pPr>
              <w:pStyle w:val="69"/>
              <w:bidi w:val="0"/>
              <w:jc w:val="both"/>
            </w:pPr>
            <w:r>
              <w:t>本项目设置单独的调墨间，废气经收集后排至RTO 装置处理；油墨输送、转移、存放均密闭操作。</w:t>
            </w:r>
          </w:p>
        </w:tc>
        <w:tc>
          <w:tcPr>
            <w:tcW w:w="209" w:type="pct"/>
            <w:tcBorders>
              <w:right w:val="nil"/>
            </w:tcBorders>
            <w:shd w:val="clear" w:color="auto" w:fill="FFFFFF"/>
            <w:vAlign w:val="center"/>
          </w:tcPr>
          <w:p w14:paraId="5791A1BA">
            <w:pPr>
              <w:pStyle w:val="69"/>
              <w:bidi w:val="0"/>
              <w:jc w:val="both"/>
            </w:pPr>
            <w:r>
              <w:t>符合</w:t>
            </w:r>
          </w:p>
        </w:tc>
      </w:tr>
      <w:tr w14:paraId="69972B41">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1368" w:hRule="atLeast"/>
        </w:trPr>
        <w:tc>
          <w:tcPr>
            <w:tcW w:w="209" w:type="pct"/>
            <w:vMerge w:val="continue"/>
            <w:tcBorders>
              <w:left w:val="nil"/>
            </w:tcBorders>
            <w:shd w:val="clear" w:color="auto" w:fill="FFFFFF"/>
            <w:vAlign w:val="center"/>
          </w:tcPr>
          <w:p w14:paraId="7DB27C38">
            <w:pPr>
              <w:pStyle w:val="69"/>
              <w:bidi w:val="0"/>
              <w:jc w:val="both"/>
            </w:pPr>
          </w:p>
        </w:tc>
        <w:tc>
          <w:tcPr>
            <w:tcW w:w="420" w:type="pct"/>
            <w:vMerge w:val="continue"/>
            <w:shd w:val="clear" w:color="auto" w:fill="FFFFFF"/>
            <w:vAlign w:val="center"/>
          </w:tcPr>
          <w:p w14:paraId="7E49410B">
            <w:pPr>
              <w:pStyle w:val="69"/>
              <w:bidi w:val="0"/>
              <w:jc w:val="both"/>
            </w:pPr>
          </w:p>
        </w:tc>
        <w:tc>
          <w:tcPr>
            <w:tcW w:w="2113" w:type="pct"/>
            <w:shd w:val="clear" w:color="auto" w:fill="FFFFFF"/>
            <w:vAlign w:val="center"/>
          </w:tcPr>
          <w:p w14:paraId="645FFA92">
            <w:pPr>
              <w:pStyle w:val="69"/>
              <w:bidi w:val="0"/>
              <w:jc w:val="both"/>
            </w:pPr>
            <w:r>
              <w:t>凹版印刷的印刷、复合生产线设置全密闭独立隔间，配置抽风设施有效收集车间烘干干燥有组织废气和墨槽、溶剂槽、调墨间等其他环节无组织废气。其它产生VOCs工序不具备整体收集的条件，可采用局部集气罩，距集气罩开口面最远处的VOCs无组织排放位置，控制风速≥0.3米/秒。</w:t>
            </w:r>
          </w:p>
        </w:tc>
        <w:tc>
          <w:tcPr>
            <w:tcW w:w="211" w:type="pct"/>
            <w:gridSpan w:val="2"/>
            <w:shd w:val="clear" w:color="auto" w:fill="FFFFFF"/>
            <w:vAlign w:val="center"/>
          </w:tcPr>
          <w:p w14:paraId="26E7E8B0">
            <w:pPr>
              <w:pStyle w:val="69"/>
              <w:bidi w:val="0"/>
              <w:jc w:val="both"/>
            </w:pPr>
          </w:p>
          <w:p w14:paraId="68EF54E8">
            <w:pPr>
              <w:pStyle w:val="69"/>
              <w:bidi w:val="0"/>
              <w:jc w:val="both"/>
            </w:pPr>
          </w:p>
          <w:p w14:paraId="1473016E">
            <w:pPr>
              <w:pStyle w:val="69"/>
              <w:bidi w:val="0"/>
              <w:jc w:val="both"/>
            </w:pPr>
            <w:r>
              <w:t>要求</w:t>
            </w:r>
          </w:p>
        </w:tc>
        <w:tc>
          <w:tcPr>
            <w:tcW w:w="1832" w:type="pct"/>
            <w:shd w:val="clear" w:color="auto" w:fill="FFFFFF"/>
            <w:vAlign w:val="center"/>
          </w:tcPr>
          <w:p w14:paraId="393026F4">
            <w:pPr>
              <w:pStyle w:val="69"/>
              <w:bidi w:val="0"/>
              <w:jc w:val="both"/>
            </w:pPr>
          </w:p>
          <w:p w14:paraId="3C8EEA26">
            <w:pPr>
              <w:pStyle w:val="69"/>
              <w:bidi w:val="0"/>
              <w:jc w:val="both"/>
            </w:pPr>
            <w:r>
              <w:t>本项目印刷间均设置全密闭单独隔间，配置抽风设施，对生产过程产生的VOCs进行收集后排至RTO装置处理。</w:t>
            </w:r>
          </w:p>
        </w:tc>
        <w:tc>
          <w:tcPr>
            <w:tcW w:w="209" w:type="pct"/>
            <w:tcBorders>
              <w:right w:val="nil"/>
            </w:tcBorders>
            <w:shd w:val="clear" w:color="auto" w:fill="FFFFFF"/>
            <w:vAlign w:val="center"/>
          </w:tcPr>
          <w:p w14:paraId="521767C0">
            <w:pPr>
              <w:pStyle w:val="69"/>
              <w:bidi w:val="0"/>
              <w:jc w:val="both"/>
            </w:pPr>
          </w:p>
          <w:p w14:paraId="0C105D83">
            <w:pPr>
              <w:pStyle w:val="69"/>
              <w:bidi w:val="0"/>
              <w:jc w:val="both"/>
            </w:pPr>
          </w:p>
          <w:p w14:paraId="7EA4746E">
            <w:pPr>
              <w:pStyle w:val="69"/>
              <w:bidi w:val="0"/>
              <w:jc w:val="both"/>
            </w:pPr>
            <w:r>
              <w:t>符合</w:t>
            </w:r>
          </w:p>
        </w:tc>
      </w:tr>
      <w:tr w14:paraId="03DA2E74">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659" w:hRule="atLeast"/>
        </w:trPr>
        <w:tc>
          <w:tcPr>
            <w:tcW w:w="209" w:type="pct"/>
            <w:vMerge w:val="continue"/>
            <w:tcBorders>
              <w:left w:val="nil"/>
            </w:tcBorders>
            <w:shd w:val="clear" w:color="auto" w:fill="FFFFFF"/>
            <w:vAlign w:val="center"/>
          </w:tcPr>
          <w:p w14:paraId="6DE9D277">
            <w:pPr>
              <w:pStyle w:val="69"/>
              <w:bidi w:val="0"/>
              <w:jc w:val="both"/>
            </w:pPr>
          </w:p>
        </w:tc>
        <w:tc>
          <w:tcPr>
            <w:tcW w:w="420" w:type="pct"/>
            <w:vMerge w:val="continue"/>
            <w:shd w:val="clear" w:color="auto" w:fill="FFFFFF"/>
            <w:vAlign w:val="center"/>
          </w:tcPr>
          <w:p w14:paraId="1DE6DA0A">
            <w:pPr>
              <w:pStyle w:val="69"/>
              <w:bidi w:val="0"/>
              <w:jc w:val="both"/>
            </w:pPr>
          </w:p>
        </w:tc>
        <w:tc>
          <w:tcPr>
            <w:tcW w:w="2113" w:type="pct"/>
            <w:shd w:val="clear" w:color="auto" w:fill="FFFFFF"/>
            <w:vAlign w:val="center"/>
          </w:tcPr>
          <w:p w14:paraId="70C9A797">
            <w:pPr>
              <w:pStyle w:val="69"/>
              <w:bidi w:val="0"/>
              <w:jc w:val="both"/>
            </w:pPr>
            <w:r>
              <w:t>印刷机烘箱密闭，保持负压，烘干废气宜单独收集后接入治理设施。</w:t>
            </w:r>
          </w:p>
        </w:tc>
        <w:tc>
          <w:tcPr>
            <w:tcW w:w="211" w:type="pct"/>
            <w:gridSpan w:val="2"/>
            <w:shd w:val="clear" w:color="auto" w:fill="FFFFFF"/>
            <w:vAlign w:val="center"/>
          </w:tcPr>
          <w:p w14:paraId="0711E0A2">
            <w:pPr>
              <w:pStyle w:val="69"/>
              <w:bidi w:val="0"/>
              <w:jc w:val="both"/>
            </w:pPr>
            <w:r>
              <w:t>要求</w:t>
            </w:r>
          </w:p>
        </w:tc>
        <w:tc>
          <w:tcPr>
            <w:tcW w:w="1832" w:type="pct"/>
            <w:shd w:val="clear" w:color="auto" w:fill="FFFFFF"/>
            <w:vAlign w:val="center"/>
          </w:tcPr>
          <w:p w14:paraId="7C7B5D5E">
            <w:pPr>
              <w:pStyle w:val="69"/>
              <w:bidi w:val="0"/>
              <w:jc w:val="both"/>
            </w:pPr>
            <w:r>
              <w:t>本项目印刷机烘箱密闭，保持负压，烘干废气经收集后接入RTO装置处理。</w:t>
            </w:r>
          </w:p>
        </w:tc>
        <w:tc>
          <w:tcPr>
            <w:tcW w:w="209" w:type="pct"/>
            <w:tcBorders>
              <w:right w:val="nil"/>
            </w:tcBorders>
            <w:shd w:val="clear" w:color="auto" w:fill="FFFFFF"/>
            <w:vAlign w:val="center"/>
          </w:tcPr>
          <w:p w14:paraId="576FFAA5">
            <w:pPr>
              <w:pStyle w:val="69"/>
              <w:bidi w:val="0"/>
              <w:jc w:val="both"/>
            </w:pPr>
            <w:r>
              <w:t>符合</w:t>
            </w:r>
          </w:p>
        </w:tc>
      </w:tr>
      <w:tr w14:paraId="308520F1">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559" w:hRule="atLeast"/>
        </w:trPr>
        <w:tc>
          <w:tcPr>
            <w:tcW w:w="209" w:type="pct"/>
            <w:vMerge w:val="continue"/>
            <w:tcBorders>
              <w:left w:val="nil"/>
            </w:tcBorders>
            <w:shd w:val="clear" w:color="auto" w:fill="FFFFFF"/>
            <w:vAlign w:val="center"/>
          </w:tcPr>
          <w:p w14:paraId="3D85C84C">
            <w:pPr>
              <w:pStyle w:val="69"/>
              <w:bidi w:val="0"/>
              <w:jc w:val="both"/>
            </w:pPr>
          </w:p>
        </w:tc>
        <w:tc>
          <w:tcPr>
            <w:tcW w:w="420" w:type="pct"/>
            <w:vMerge w:val="continue"/>
            <w:shd w:val="clear" w:color="auto" w:fill="FFFFFF"/>
            <w:vAlign w:val="center"/>
          </w:tcPr>
          <w:p w14:paraId="44ED369F">
            <w:pPr>
              <w:pStyle w:val="69"/>
              <w:bidi w:val="0"/>
              <w:jc w:val="both"/>
            </w:pPr>
          </w:p>
        </w:tc>
        <w:tc>
          <w:tcPr>
            <w:tcW w:w="2113" w:type="pct"/>
            <w:shd w:val="clear" w:color="auto" w:fill="FFFFFF"/>
            <w:vAlign w:val="center"/>
          </w:tcPr>
          <w:p w14:paraId="779D4CDF">
            <w:pPr>
              <w:pStyle w:val="69"/>
              <w:bidi w:val="0"/>
              <w:jc w:val="both"/>
            </w:pPr>
            <w:r>
              <w:t>采用无溶剂复合技术，共挤出复合技术</w:t>
            </w:r>
          </w:p>
        </w:tc>
        <w:tc>
          <w:tcPr>
            <w:tcW w:w="211" w:type="pct"/>
            <w:gridSpan w:val="2"/>
            <w:shd w:val="clear" w:color="auto" w:fill="FFFFFF"/>
            <w:vAlign w:val="center"/>
          </w:tcPr>
          <w:p w14:paraId="10B4B8D0">
            <w:pPr>
              <w:pStyle w:val="69"/>
              <w:bidi w:val="0"/>
              <w:jc w:val="both"/>
            </w:pPr>
            <w:r>
              <w:t>推荐</w:t>
            </w:r>
          </w:p>
        </w:tc>
        <w:tc>
          <w:tcPr>
            <w:tcW w:w="1832" w:type="pct"/>
            <w:shd w:val="clear" w:color="auto" w:fill="FFFFFF"/>
            <w:vAlign w:val="center"/>
          </w:tcPr>
          <w:p w14:paraId="1447C208">
            <w:pPr>
              <w:pStyle w:val="69"/>
              <w:bidi w:val="0"/>
              <w:jc w:val="both"/>
            </w:pPr>
            <w:r>
              <w:t>采用无溶剂复合技术</w:t>
            </w:r>
          </w:p>
        </w:tc>
        <w:tc>
          <w:tcPr>
            <w:tcW w:w="209" w:type="pct"/>
            <w:tcBorders>
              <w:right w:val="nil"/>
            </w:tcBorders>
            <w:shd w:val="clear" w:color="auto" w:fill="FFFFFF"/>
            <w:vAlign w:val="center"/>
          </w:tcPr>
          <w:p w14:paraId="24ACD825">
            <w:pPr>
              <w:pStyle w:val="69"/>
              <w:bidi w:val="0"/>
              <w:jc w:val="both"/>
            </w:pPr>
            <w:r>
              <w:t>符合</w:t>
            </w:r>
          </w:p>
        </w:tc>
      </w:tr>
      <w:tr w14:paraId="3865F635">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gridAfter w:val="1"/>
          <w:wAfter w:w="3" w:type="pct"/>
          <w:trHeight w:val="90" w:hRule="atLeast"/>
        </w:trPr>
        <w:tc>
          <w:tcPr>
            <w:tcW w:w="209" w:type="pct"/>
            <w:vMerge w:val="continue"/>
            <w:tcBorders>
              <w:left w:val="nil"/>
            </w:tcBorders>
            <w:shd w:val="clear" w:color="auto" w:fill="FFFFFF"/>
            <w:vAlign w:val="center"/>
          </w:tcPr>
          <w:p w14:paraId="386A60AB">
            <w:pPr>
              <w:pStyle w:val="69"/>
              <w:bidi w:val="0"/>
              <w:jc w:val="both"/>
            </w:pPr>
          </w:p>
        </w:tc>
        <w:tc>
          <w:tcPr>
            <w:tcW w:w="420" w:type="pct"/>
            <w:vMerge w:val="continue"/>
            <w:shd w:val="clear" w:color="auto" w:fill="FFFFFF"/>
            <w:vAlign w:val="center"/>
          </w:tcPr>
          <w:p w14:paraId="3344F380">
            <w:pPr>
              <w:pStyle w:val="69"/>
              <w:bidi w:val="0"/>
              <w:jc w:val="both"/>
            </w:pPr>
          </w:p>
        </w:tc>
        <w:tc>
          <w:tcPr>
            <w:tcW w:w="2113" w:type="pct"/>
            <w:shd w:val="clear" w:color="auto" w:fill="FFFFFF"/>
            <w:vAlign w:val="center"/>
          </w:tcPr>
          <w:p w14:paraId="1707A19D">
            <w:pPr>
              <w:pStyle w:val="69"/>
              <w:bidi w:val="0"/>
              <w:jc w:val="both"/>
            </w:pPr>
            <w:r>
              <w:t>印刷机采用封闭刮刀或墨槽、复合机溶剂槽安装盖板。</w:t>
            </w:r>
          </w:p>
        </w:tc>
        <w:tc>
          <w:tcPr>
            <w:tcW w:w="211" w:type="pct"/>
            <w:gridSpan w:val="2"/>
            <w:shd w:val="clear" w:color="auto" w:fill="FFFFFF"/>
            <w:vAlign w:val="center"/>
          </w:tcPr>
          <w:p w14:paraId="0121E254">
            <w:pPr>
              <w:pStyle w:val="69"/>
              <w:bidi w:val="0"/>
              <w:jc w:val="both"/>
            </w:pPr>
            <w:r>
              <w:t>要求</w:t>
            </w:r>
          </w:p>
        </w:tc>
        <w:tc>
          <w:tcPr>
            <w:tcW w:w="1832" w:type="pct"/>
            <w:shd w:val="clear" w:color="auto" w:fill="FFFFFF"/>
            <w:vAlign w:val="center"/>
          </w:tcPr>
          <w:p w14:paraId="28E674E6">
            <w:pPr>
              <w:pStyle w:val="69"/>
              <w:bidi w:val="0"/>
              <w:jc w:val="both"/>
              <w:rPr>
                <w:rFonts w:hint="eastAsia" w:eastAsia="宋体"/>
                <w:lang w:val="en-US" w:eastAsia="zh-CN"/>
              </w:rPr>
            </w:pPr>
            <w:r>
              <w:t>印刷机采用封闭刮刀或墨槽</w:t>
            </w:r>
            <w:r>
              <w:rPr>
                <w:rFonts w:hint="eastAsia"/>
                <w:lang w:eastAsia="zh-CN"/>
              </w:rPr>
              <w:t>，</w:t>
            </w:r>
            <w:r>
              <w:t>复合机</w:t>
            </w:r>
            <w:r>
              <w:rPr>
                <w:rFonts w:hint="eastAsia"/>
                <w:lang w:val="en-US" w:eastAsia="zh-CN"/>
              </w:rPr>
              <w:t>不使用</w:t>
            </w:r>
            <w:r>
              <w:t>溶剂</w:t>
            </w:r>
          </w:p>
        </w:tc>
        <w:tc>
          <w:tcPr>
            <w:tcW w:w="209" w:type="pct"/>
            <w:tcBorders>
              <w:right w:val="nil"/>
            </w:tcBorders>
            <w:shd w:val="clear" w:color="auto" w:fill="FFFFFF"/>
            <w:vAlign w:val="center"/>
          </w:tcPr>
          <w:p w14:paraId="41A1D3C3">
            <w:pPr>
              <w:pStyle w:val="69"/>
              <w:bidi w:val="0"/>
              <w:jc w:val="both"/>
            </w:pPr>
            <w:r>
              <w:t>符合</w:t>
            </w:r>
          </w:p>
        </w:tc>
      </w:tr>
      <w:tr w14:paraId="44221C47">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818" w:hRule="atLeast"/>
        </w:trPr>
        <w:tc>
          <w:tcPr>
            <w:tcW w:w="209" w:type="pct"/>
            <w:vMerge w:val="restart"/>
            <w:tcBorders>
              <w:left w:val="nil"/>
            </w:tcBorders>
            <w:shd w:val="clear" w:color="auto" w:fill="FFFFFF"/>
            <w:vAlign w:val="center"/>
          </w:tcPr>
          <w:p w14:paraId="55038CD2">
            <w:pPr>
              <w:pStyle w:val="69"/>
              <w:bidi w:val="0"/>
              <w:jc w:val="both"/>
            </w:pPr>
          </w:p>
          <w:p w14:paraId="6104E516">
            <w:pPr>
              <w:pStyle w:val="69"/>
              <w:bidi w:val="0"/>
              <w:jc w:val="both"/>
            </w:pPr>
          </w:p>
          <w:p w14:paraId="51968ADC">
            <w:pPr>
              <w:pStyle w:val="69"/>
              <w:bidi w:val="0"/>
              <w:jc w:val="both"/>
            </w:pPr>
          </w:p>
          <w:p w14:paraId="5D23FBD5">
            <w:pPr>
              <w:pStyle w:val="69"/>
              <w:bidi w:val="0"/>
              <w:jc w:val="both"/>
            </w:pPr>
          </w:p>
          <w:p w14:paraId="0BDBC3D8">
            <w:pPr>
              <w:pStyle w:val="69"/>
              <w:bidi w:val="0"/>
              <w:jc w:val="both"/>
            </w:pPr>
          </w:p>
          <w:p w14:paraId="576921D5">
            <w:pPr>
              <w:pStyle w:val="69"/>
              <w:bidi w:val="0"/>
              <w:jc w:val="both"/>
            </w:pPr>
          </w:p>
          <w:p w14:paraId="7C1D49F8">
            <w:pPr>
              <w:pStyle w:val="69"/>
              <w:bidi w:val="0"/>
              <w:jc w:val="both"/>
            </w:pPr>
            <w:r>
              <w:t>末端 治理</w:t>
            </w:r>
          </w:p>
        </w:tc>
        <w:tc>
          <w:tcPr>
            <w:tcW w:w="420" w:type="pct"/>
            <w:vMerge w:val="restart"/>
            <w:shd w:val="clear" w:color="auto" w:fill="FFFFFF"/>
            <w:vAlign w:val="center"/>
          </w:tcPr>
          <w:p w14:paraId="03AC8498">
            <w:pPr>
              <w:pStyle w:val="69"/>
              <w:bidi w:val="0"/>
              <w:jc w:val="both"/>
            </w:pPr>
          </w:p>
          <w:p w14:paraId="0CD601D7">
            <w:pPr>
              <w:pStyle w:val="69"/>
              <w:bidi w:val="0"/>
              <w:jc w:val="both"/>
            </w:pPr>
          </w:p>
          <w:p w14:paraId="5C961F9A">
            <w:pPr>
              <w:pStyle w:val="69"/>
              <w:bidi w:val="0"/>
              <w:jc w:val="both"/>
            </w:pPr>
          </w:p>
          <w:p w14:paraId="63E9C294">
            <w:pPr>
              <w:pStyle w:val="69"/>
              <w:bidi w:val="0"/>
              <w:jc w:val="both"/>
            </w:pPr>
          </w:p>
          <w:p w14:paraId="02832492">
            <w:pPr>
              <w:pStyle w:val="69"/>
              <w:bidi w:val="0"/>
              <w:jc w:val="both"/>
            </w:pPr>
          </w:p>
          <w:p w14:paraId="19C4E27C">
            <w:pPr>
              <w:pStyle w:val="69"/>
              <w:bidi w:val="0"/>
              <w:jc w:val="both"/>
            </w:pPr>
          </w:p>
          <w:p w14:paraId="0787D82B">
            <w:pPr>
              <w:pStyle w:val="69"/>
              <w:bidi w:val="0"/>
              <w:jc w:val="both"/>
            </w:pPr>
            <w:r>
              <w:t>末端治理</w:t>
            </w:r>
          </w:p>
          <w:p w14:paraId="513D785A">
            <w:pPr>
              <w:pStyle w:val="69"/>
              <w:bidi w:val="0"/>
              <w:jc w:val="both"/>
            </w:pPr>
            <w:r>
              <w:t>设备</w:t>
            </w:r>
          </w:p>
        </w:tc>
        <w:tc>
          <w:tcPr>
            <w:tcW w:w="2117" w:type="pct"/>
            <w:gridSpan w:val="2"/>
            <w:shd w:val="clear" w:color="auto" w:fill="FFFFFF"/>
            <w:vAlign w:val="center"/>
          </w:tcPr>
          <w:p w14:paraId="605E730E">
            <w:pPr>
              <w:pStyle w:val="69"/>
              <w:bidi w:val="0"/>
              <w:jc w:val="both"/>
            </w:pPr>
            <w:r>
              <w:t>废油墨桶、溶剂桶、胶粘剂桶、清洗剂桶等加盖；废润版液、清洗液、橡胶布密闭收集存放，集中放置专门场所并设</w:t>
            </w:r>
          </w:p>
          <w:p w14:paraId="30CA7848">
            <w:pPr>
              <w:pStyle w:val="69"/>
              <w:bidi w:val="0"/>
              <w:jc w:val="both"/>
            </w:pPr>
            <w:r>
              <w:t>置废气抽风收集设备。</w:t>
            </w:r>
          </w:p>
        </w:tc>
        <w:tc>
          <w:tcPr>
            <w:tcW w:w="208" w:type="pct"/>
            <w:shd w:val="clear" w:color="auto" w:fill="FFFFFF"/>
            <w:vAlign w:val="center"/>
          </w:tcPr>
          <w:p w14:paraId="5F6A983C">
            <w:pPr>
              <w:pStyle w:val="69"/>
              <w:bidi w:val="0"/>
              <w:jc w:val="both"/>
            </w:pPr>
            <w:r>
              <w:t>要求</w:t>
            </w:r>
          </w:p>
        </w:tc>
        <w:tc>
          <w:tcPr>
            <w:tcW w:w="1832" w:type="pct"/>
            <w:shd w:val="clear" w:color="auto" w:fill="FFFFFF"/>
            <w:vAlign w:val="center"/>
          </w:tcPr>
          <w:p w14:paraId="616717D9">
            <w:pPr>
              <w:pStyle w:val="69"/>
              <w:bidi w:val="0"/>
              <w:jc w:val="both"/>
            </w:pPr>
            <w:r>
              <w:t>本项目的涉VOCs废包装物等加盖密闭，集中放置在危险废物暂存仓库内，并设置</w:t>
            </w:r>
            <w:r>
              <w:rPr>
                <w:rFonts w:hint="eastAsia"/>
                <w:lang w:val="en-US" w:eastAsia="zh-CN"/>
              </w:rPr>
              <w:t>废气</w:t>
            </w:r>
            <w:r>
              <w:t>抽风收集设备。</w:t>
            </w:r>
          </w:p>
        </w:tc>
        <w:tc>
          <w:tcPr>
            <w:tcW w:w="213" w:type="pct"/>
            <w:gridSpan w:val="2"/>
            <w:tcBorders>
              <w:right w:val="nil"/>
            </w:tcBorders>
            <w:shd w:val="clear" w:color="auto" w:fill="FFFFFF"/>
            <w:vAlign w:val="center"/>
          </w:tcPr>
          <w:p w14:paraId="4DB3C6A9">
            <w:pPr>
              <w:pStyle w:val="69"/>
              <w:bidi w:val="0"/>
              <w:jc w:val="both"/>
            </w:pPr>
            <w:r>
              <w:t>符合</w:t>
            </w:r>
          </w:p>
        </w:tc>
      </w:tr>
      <w:tr w14:paraId="79CC52B3">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958" w:hRule="atLeast"/>
        </w:trPr>
        <w:tc>
          <w:tcPr>
            <w:tcW w:w="209" w:type="pct"/>
            <w:vMerge w:val="continue"/>
            <w:tcBorders>
              <w:left w:val="nil"/>
            </w:tcBorders>
            <w:shd w:val="clear" w:color="auto" w:fill="FFFFFF"/>
            <w:vAlign w:val="center"/>
          </w:tcPr>
          <w:p w14:paraId="01A060A8">
            <w:pPr>
              <w:pStyle w:val="69"/>
              <w:bidi w:val="0"/>
              <w:jc w:val="both"/>
            </w:pPr>
          </w:p>
        </w:tc>
        <w:tc>
          <w:tcPr>
            <w:tcW w:w="420" w:type="pct"/>
            <w:vMerge w:val="continue"/>
            <w:shd w:val="clear" w:color="auto" w:fill="FFFFFF"/>
            <w:vAlign w:val="center"/>
          </w:tcPr>
          <w:p w14:paraId="10D06033">
            <w:pPr>
              <w:pStyle w:val="69"/>
              <w:bidi w:val="0"/>
              <w:jc w:val="both"/>
            </w:pPr>
          </w:p>
        </w:tc>
        <w:tc>
          <w:tcPr>
            <w:tcW w:w="2117" w:type="pct"/>
            <w:gridSpan w:val="2"/>
            <w:shd w:val="clear" w:color="auto" w:fill="FFFFFF"/>
            <w:vAlign w:val="center"/>
          </w:tcPr>
          <w:p w14:paraId="437553B5">
            <w:pPr>
              <w:pStyle w:val="69"/>
              <w:bidi w:val="0"/>
              <w:jc w:val="both"/>
            </w:pPr>
            <w:r>
              <w:t>凹版印刷原辅材料单一组分溶剂宜采用吸附冷凝回收，混合溶剂宜采用沸石转轮吸附浓缩+RTO/RCO/CO、RTO、TO高效治理设施</w:t>
            </w:r>
          </w:p>
        </w:tc>
        <w:tc>
          <w:tcPr>
            <w:tcW w:w="208" w:type="pct"/>
            <w:shd w:val="clear" w:color="auto" w:fill="FFFFFF"/>
            <w:vAlign w:val="center"/>
          </w:tcPr>
          <w:p w14:paraId="4F402FFB">
            <w:pPr>
              <w:pStyle w:val="69"/>
              <w:bidi w:val="0"/>
              <w:jc w:val="both"/>
            </w:pPr>
          </w:p>
          <w:p w14:paraId="5D3267E6">
            <w:pPr>
              <w:pStyle w:val="69"/>
              <w:bidi w:val="0"/>
              <w:jc w:val="both"/>
            </w:pPr>
            <w:r>
              <w:t>要求</w:t>
            </w:r>
          </w:p>
        </w:tc>
        <w:tc>
          <w:tcPr>
            <w:tcW w:w="1832" w:type="pct"/>
            <w:shd w:val="clear" w:color="auto" w:fill="FFFFFF"/>
            <w:vAlign w:val="center"/>
          </w:tcPr>
          <w:p w14:paraId="0CA360D4">
            <w:pPr>
              <w:pStyle w:val="69"/>
              <w:bidi w:val="0"/>
              <w:jc w:val="both"/>
            </w:pPr>
            <w:r>
              <w:t>本项目凹版印刷使用的混合溶剂，生产过程产生的VOCs采用沸石转轮吸附浓缩+RTO高效治理设施。</w:t>
            </w:r>
          </w:p>
        </w:tc>
        <w:tc>
          <w:tcPr>
            <w:tcW w:w="213" w:type="pct"/>
            <w:gridSpan w:val="2"/>
            <w:tcBorders>
              <w:right w:val="nil"/>
            </w:tcBorders>
            <w:shd w:val="clear" w:color="auto" w:fill="FFFFFF"/>
            <w:vAlign w:val="center"/>
          </w:tcPr>
          <w:p w14:paraId="1055CF52">
            <w:pPr>
              <w:pStyle w:val="69"/>
              <w:bidi w:val="0"/>
              <w:jc w:val="both"/>
            </w:pPr>
          </w:p>
          <w:p w14:paraId="7AB6A7E7">
            <w:pPr>
              <w:pStyle w:val="69"/>
              <w:bidi w:val="0"/>
              <w:jc w:val="both"/>
            </w:pPr>
            <w:r>
              <w:t>符合</w:t>
            </w:r>
          </w:p>
        </w:tc>
      </w:tr>
      <w:tr w14:paraId="5E7DC805">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1477" w:hRule="atLeast"/>
        </w:trPr>
        <w:tc>
          <w:tcPr>
            <w:tcW w:w="209" w:type="pct"/>
            <w:vMerge w:val="continue"/>
            <w:tcBorders>
              <w:left w:val="nil"/>
            </w:tcBorders>
            <w:shd w:val="clear" w:color="auto" w:fill="FFFFFF"/>
            <w:vAlign w:val="center"/>
          </w:tcPr>
          <w:p w14:paraId="4D149FC4">
            <w:pPr>
              <w:pStyle w:val="69"/>
              <w:bidi w:val="0"/>
              <w:jc w:val="both"/>
            </w:pPr>
          </w:p>
        </w:tc>
        <w:tc>
          <w:tcPr>
            <w:tcW w:w="420" w:type="pct"/>
            <w:vMerge w:val="continue"/>
            <w:shd w:val="clear" w:color="auto" w:fill="FFFFFF"/>
            <w:vAlign w:val="center"/>
          </w:tcPr>
          <w:p w14:paraId="56AC12F1">
            <w:pPr>
              <w:pStyle w:val="69"/>
              <w:bidi w:val="0"/>
              <w:jc w:val="both"/>
            </w:pPr>
          </w:p>
        </w:tc>
        <w:tc>
          <w:tcPr>
            <w:tcW w:w="2117" w:type="pct"/>
            <w:gridSpan w:val="2"/>
            <w:shd w:val="clear" w:color="auto" w:fill="FFFFFF"/>
            <w:vAlign w:val="center"/>
          </w:tcPr>
          <w:p w14:paraId="59D50234">
            <w:pPr>
              <w:pStyle w:val="69"/>
              <w:bidi w:val="0"/>
              <w:jc w:val="both"/>
            </w:pPr>
            <w:r>
              <w:t>印刷相关工序高浓度和低浓度VOCs废气宜实行分类收集治 理，高浓度废气直接焚烧，低浓度废气浓缩后处理，如凹版 印刷烘干工序高浓度废气收集后直接入焚烧设施，油墨调墨、印刷等工序所生产较低浓度废气收集后接入吸附浓缩设施后焚烧处理。</w:t>
            </w:r>
          </w:p>
        </w:tc>
        <w:tc>
          <w:tcPr>
            <w:tcW w:w="208" w:type="pct"/>
            <w:shd w:val="clear" w:color="auto" w:fill="FFFFFF"/>
            <w:vAlign w:val="center"/>
          </w:tcPr>
          <w:p w14:paraId="3D489374">
            <w:pPr>
              <w:pStyle w:val="69"/>
              <w:bidi w:val="0"/>
              <w:jc w:val="both"/>
            </w:pPr>
          </w:p>
          <w:p w14:paraId="78C57225">
            <w:pPr>
              <w:pStyle w:val="69"/>
              <w:bidi w:val="0"/>
              <w:jc w:val="both"/>
            </w:pPr>
          </w:p>
          <w:p w14:paraId="1D14CDCF">
            <w:pPr>
              <w:pStyle w:val="69"/>
              <w:bidi w:val="0"/>
              <w:jc w:val="both"/>
            </w:pPr>
            <w:r>
              <w:t>要求</w:t>
            </w:r>
          </w:p>
        </w:tc>
        <w:tc>
          <w:tcPr>
            <w:tcW w:w="1832" w:type="pct"/>
            <w:shd w:val="clear" w:color="auto" w:fill="FFFFFF"/>
            <w:vAlign w:val="center"/>
          </w:tcPr>
          <w:p w14:paraId="63ADC4CA">
            <w:pPr>
              <w:pStyle w:val="69"/>
              <w:bidi w:val="0"/>
              <w:jc w:val="both"/>
            </w:pPr>
          </w:p>
          <w:p w14:paraId="3DABAA6C">
            <w:pPr>
              <w:pStyle w:val="69"/>
              <w:bidi w:val="0"/>
              <w:jc w:val="both"/>
            </w:pPr>
            <w:r>
              <w:t>本项目的油墨调配、印刷、印刷烘干、复合等工序经收集后，采用减风增浓方式后，接入RTO高效治理设施。</w:t>
            </w:r>
          </w:p>
        </w:tc>
        <w:tc>
          <w:tcPr>
            <w:tcW w:w="213" w:type="pct"/>
            <w:gridSpan w:val="2"/>
            <w:tcBorders>
              <w:right w:val="nil"/>
            </w:tcBorders>
            <w:shd w:val="clear" w:color="auto" w:fill="FFFFFF"/>
            <w:vAlign w:val="center"/>
          </w:tcPr>
          <w:p w14:paraId="4F9DA84F">
            <w:pPr>
              <w:pStyle w:val="69"/>
              <w:bidi w:val="0"/>
              <w:jc w:val="both"/>
            </w:pPr>
          </w:p>
          <w:p w14:paraId="0140888A">
            <w:pPr>
              <w:pStyle w:val="69"/>
              <w:bidi w:val="0"/>
              <w:jc w:val="both"/>
            </w:pPr>
          </w:p>
          <w:p w14:paraId="28C88410">
            <w:pPr>
              <w:pStyle w:val="69"/>
              <w:bidi w:val="0"/>
              <w:jc w:val="both"/>
            </w:pPr>
            <w:r>
              <w:t>符合</w:t>
            </w:r>
          </w:p>
        </w:tc>
      </w:tr>
      <w:tr w14:paraId="751ABB22">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209" w:type="pct"/>
            <w:vMerge w:val="continue"/>
            <w:tcBorders>
              <w:left w:val="nil"/>
            </w:tcBorders>
            <w:shd w:val="clear" w:color="auto" w:fill="FFFFFF"/>
            <w:vAlign w:val="center"/>
          </w:tcPr>
          <w:p w14:paraId="175613F3">
            <w:pPr>
              <w:pStyle w:val="69"/>
              <w:bidi w:val="0"/>
              <w:jc w:val="both"/>
            </w:pPr>
          </w:p>
        </w:tc>
        <w:tc>
          <w:tcPr>
            <w:tcW w:w="420" w:type="pct"/>
            <w:vMerge w:val="continue"/>
            <w:shd w:val="clear" w:color="auto" w:fill="FFFFFF"/>
            <w:vAlign w:val="center"/>
          </w:tcPr>
          <w:p w14:paraId="25F2A508">
            <w:pPr>
              <w:pStyle w:val="69"/>
              <w:bidi w:val="0"/>
              <w:jc w:val="both"/>
            </w:pPr>
          </w:p>
        </w:tc>
        <w:tc>
          <w:tcPr>
            <w:tcW w:w="2117" w:type="pct"/>
            <w:gridSpan w:val="2"/>
            <w:shd w:val="clear" w:color="auto" w:fill="FFFFFF"/>
            <w:vAlign w:val="center"/>
          </w:tcPr>
          <w:p w14:paraId="3918BA0B">
            <w:pPr>
              <w:pStyle w:val="69"/>
              <w:bidi w:val="0"/>
              <w:jc w:val="both"/>
            </w:pPr>
            <w:r>
              <w:t>印铁制罐宜采用沸石转轮吸附浓缩+RTO/RCO/CO、RTO、TO 等高效治理设施</w:t>
            </w:r>
          </w:p>
        </w:tc>
        <w:tc>
          <w:tcPr>
            <w:tcW w:w="208" w:type="pct"/>
            <w:shd w:val="clear" w:color="auto" w:fill="FFFFFF"/>
            <w:vAlign w:val="center"/>
          </w:tcPr>
          <w:p w14:paraId="24B72B79">
            <w:pPr>
              <w:pStyle w:val="69"/>
              <w:bidi w:val="0"/>
              <w:jc w:val="both"/>
            </w:pPr>
            <w:r>
              <w:t>要求</w:t>
            </w:r>
          </w:p>
        </w:tc>
        <w:tc>
          <w:tcPr>
            <w:tcW w:w="1832" w:type="pct"/>
            <w:shd w:val="clear" w:color="auto" w:fill="FFFFFF"/>
            <w:vAlign w:val="center"/>
          </w:tcPr>
          <w:p w14:paraId="706E26D9">
            <w:pPr>
              <w:pStyle w:val="69"/>
              <w:bidi w:val="0"/>
              <w:jc w:val="both"/>
            </w:pPr>
            <w:r>
              <w:t>不涉及</w:t>
            </w:r>
          </w:p>
        </w:tc>
        <w:tc>
          <w:tcPr>
            <w:tcW w:w="213" w:type="pct"/>
            <w:gridSpan w:val="2"/>
            <w:tcBorders>
              <w:right w:val="nil"/>
            </w:tcBorders>
            <w:shd w:val="clear" w:color="auto" w:fill="FFFFFF"/>
            <w:vAlign w:val="center"/>
          </w:tcPr>
          <w:p w14:paraId="001ACEBE">
            <w:pPr>
              <w:pStyle w:val="69"/>
              <w:bidi w:val="0"/>
              <w:jc w:val="both"/>
            </w:pPr>
            <w:r>
              <w:t>/</w:t>
            </w:r>
          </w:p>
        </w:tc>
      </w:tr>
      <w:tr w14:paraId="0398BB58">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664" w:hRule="atLeast"/>
        </w:trPr>
        <w:tc>
          <w:tcPr>
            <w:tcW w:w="209" w:type="pct"/>
            <w:vMerge w:val="continue"/>
            <w:tcBorders>
              <w:left w:val="nil"/>
              <w:bottom w:val="single" w:color="000000" w:sz="12" w:space="0"/>
            </w:tcBorders>
            <w:shd w:val="clear" w:color="auto" w:fill="FFFFFF"/>
            <w:vAlign w:val="center"/>
          </w:tcPr>
          <w:p w14:paraId="03D8DEF4">
            <w:pPr>
              <w:pStyle w:val="69"/>
              <w:bidi w:val="0"/>
              <w:jc w:val="both"/>
            </w:pPr>
          </w:p>
        </w:tc>
        <w:tc>
          <w:tcPr>
            <w:tcW w:w="420" w:type="pct"/>
            <w:vMerge w:val="continue"/>
            <w:tcBorders>
              <w:bottom w:val="single" w:color="000000" w:sz="12" w:space="0"/>
            </w:tcBorders>
            <w:shd w:val="clear" w:color="auto" w:fill="FFFFFF"/>
            <w:vAlign w:val="center"/>
          </w:tcPr>
          <w:p w14:paraId="0A9F027E">
            <w:pPr>
              <w:pStyle w:val="69"/>
              <w:bidi w:val="0"/>
              <w:jc w:val="both"/>
            </w:pPr>
          </w:p>
        </w:tc>
        <w:tc>
          <w:tcPr>
            <w:tcW w:w="2117" w:type="pct"/>
            <w:gridSpan w:val="2"/>
            <w:tcBorders>
              <w:bottom w:val="single" w:color="000000" w:sz="12" w:space="0"/>
            </w:tcBorders>
            <w:shd w:val="clear" w:color="auto" w:fill="FFFFFF"/>
            <w:vAlign w:val="center"/>
          </w:tcPr>
          <w:p w14:paraId="7F4C58C9">
            <w:pPr>
              <w:pStyle w:val="69"/>
              <w:bidi w:val="0"/>
              <w:jc w:val="both"/>
            </w:pPr>
            <w:r>
              <w:t>其他印刷工艺类型宜采用吸附浓缩+RTO/RCO/CO等高效治 理设施</w:t>
            </w:r>
          </w:p>
        </w:tc>
        <w:tc>
          <w:tcPr>
            <w:tcW w:w="208" w:type="pct"/>
            <w:tcBorders>
              <w:bottom w:val="single" w:color="000000" w:sz="12" w:space="0"/>
            </w:tcBorders>
            <w:shd w:val="clear" w:color="auto" w:fill="FFFFFF"/>
            <w:vAlign w:val="center"/>
          </w:tcPr>
          <w:p w14:paraId="27FF5B81">
            <w:pPr>
              <w:pStyle w:val="69"/>
              <w:bidi w:val="0"/>
              <w:jc w:val="both"/>
            </w:pPr>
            <w:r>
              <w:t>推荐</w:t>
            </w:r>
          </w:p>
        </w:tc>
        <w:tc>
          <w:tcPr>
            <w:tcW w:w="1832" w:type="pct"/>
            <w:tcBorders>
              <w:bottom w:val="single" w:color="000000" w:sz="12" w:space="0"/>
            </w:tcBorders>
            <w:shd w:val="clear" w:color="auto" w:fill="FFFFFF"/>
            <w:vAlign w:val="center"/>
          </w:tcPr>
          <w:p w14:paraId="0E8945B6">
            <w:pPr>
              <w:pStyle w:val="69"/>
              <w:bidi w:val="0"/>
              <w:jc w:val="both"/>
            </w:pPr>
            <w:r>
              <w:t>不涉及</w:t>
            </w:r>
          </w:p>
        </w:tc>
        <w:tc>
          <w:tcPr>
            <w:tcW w:w="213" w:type="pct"/>
            <w:gridSpan w:val="2"/>
            <w:tcBorders>
              <w:bottom w:val="single" w:color="000000" w:sz="12" w:space="0"/>
              <w:right w:val="nil"/>
            </w:tcBorders>
            <w:shd w:val="clear" w:color="auto" w:fill="FFFFFF"/>
            <w:vAlign w:val="center"/>
          </w:tcPr>
          <w:p w14:paraId="7BED812F">
            <w:pPr>
              <w:pStyle w:val="69"/>
              <w:bidi w:val="0"/>
              <w:jc w:val="both"/>
            </w:pPr>
            <w:r>
              <w:t>/</w:t>
            </w:r>
          </w:p>
        </w:tc>
      </w:tr>
    </w:tbl>
    <w:p w14:paraId="4338BD78">
      <w:pPr>
        <w:pStyle w:val="65"/>
        <w:numPr>
          <w:ilvl w:val="0"/>
          <w:numId w:val="6"/>
        </w:numPr>
        <w:ind w:left="864"/>
        <w:rPr>
          <w:rFonts w:hint="default" w:ascii="Times New Roman" w:hAnsi="Times New Roman" w:eastAsia="宋体" w:cs="Times New Roman"/>
          <w:color w:val="auto"/>
          <w:lang w:val="en-US" w:eastAsia="zh-CN"/>
        </w:rPr>
      </w:pPr>
      <w:bookmarkStart w:id="14" w:name="_Toc16189"/>
      <w:r>
        <w:rPr>
          <w:rFonts w:hint="eastAsia" w:ascii="Times New Roman" w:hAnsi="Times New Roman" w:eastAsia="宋体" w:cs="Times New Roman"/>
          <w:color w:val="auto"/>
          <w:lang w:val="en-US" w:eastAsia="zh-CN"/>
        </w:rPr>
        <w:t>与《关于加强重点行业涉新污染物建设项目环境影响评价工作的意见》（环环评〔2025〕28号）相符性分析</w:t>
      </w:r>
    </w:p>
    <w:p w14:paraId="276CEDD1">
      <w:pPr>
        <w:pStyle w:val="62"/>
        <w:numPr>
          <w:ilvl w:val="0"/>
          <w:numId w:val="4"/>
        </w:numPr>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与环环评〔2025〕28号相符性分析</w:t>
      </w:r>
    </w:p>
    <w:tbl>
      <w:tblPr>
        <w:tblStyle w:val="3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4600"/>
        <w:gridCol w:w="2651"/>
        <w:gridCol w:w="1093"/>
      </w:tblGrid>
      <w:tr w14:paraId="1B90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78" w:type="pct"/>
            <w:tcBorders>
              <w:top w:val="single" w:color="000000" w:sz="12" w:space="0"/>
              <w:left w:val="nil"/>
              <w:tl2br w:val="nil"/>
            </w:tcBorders>
            <w:shd w:val="clear" w:color="auto" w:fill="FFFFFF"/>
            <w:noWrap w:val="0"/>
            <w:vAlign w:val="center"/>
          </w:tcPr>
          <w:p w14:paraId="78D3E00D">
            <w:pPr>
              <w:pStyle w:val="59"/>
              <w:bidi w:val="0"/>
              <w:jc w:val="center"/>
              <w:rPr>
                <w:rFonts w:hint="eastAsia" w:eastAsia="宋体"/>
                <w:b w:val="0"/>
                <w:color w:val="000000"/>
                <w:lang w:eastAsia="zh-CN"/>
              </w:rPr>
            </w:pPr>
            <w:r>
              <w:rPr>
                <w:rFonts w:hint="eastAsia"/>
                <w:b w:val="0"/>
                <w:color w:val="000000"/>
                <w:lang w:val="en-US" w:eastAsia="zh-CN"/>
              </w:rPr>
              <w:t>序号</w:t>
            </w:r>
          </w:p>
        </w:tc>
        <w:tc>
          <w:tcPr>
            <w:tcW w:w="2492" w:type="pct"/>
            <w:tcBorders>
              <w:top w:val="single" w:color="000000" w:sz="12" w:space="0"/>
            </w:tcBorders>
            <w:shd w:val="clear" w:color="auto" w:fill="FFFFFF"/>
            <w:noWrap w:val="0"/>
            <w:vAlign w:val="center"/>
          </w:tcPr>
          <w:p w14:paraId="0B510F32">
            <w:pPr>
              <w:pStyle w:val="59"/>
              <w:bidi w:val="0"/>
              <w:jc w:val="center"/>
              <w:rPr>
                <w:rFonts w:hint="eastAsia"/>
                <w:b w:val="0"/>
                <w:color w:val="000000"/>
              </w:rPr>
            </w:pPr>
            <w:r>
              <w:rPr>
                <w:b w:val="0"/>
                <w:color w:val="000000"/>
              </w:rPr>
              <w:t>治理任务要求</w:t>
            </w:r>
          </w:p>
        </w:tc>
        <w:tc>
          <w:tcPr>
            <w:tcW w:w="1436" w:type="pct"/>
            <w:tcBorders>
              <w:top w:val="single" w:color="000000" w:sz="12" w:space="0"/>
            </w:tcBorders>
            <w:shd w:val="clear" w:color="auto" w:fill="FFFFFF"/>
            <w:noWrap w:val="0"/>
            <w:vAlign w:val="center"/>
          </w:tcPr>
          <w:p w14:paraId="44003630">
            <w:pPr>
              <w:pStyle w:val="59"/>
              <w:bidi w:val="0"/>
              <w:jc w:val="center"/>
              <w:rPr>
                <w:b w:val="0"/>
                <w:color w:val="000000"/>
              </w:rPr>
            </w:pPr>
            <w:r>
              <w:rPr>
                <w:rFonts w:hint="eastAsia"/>
                <w:b w:val="0"/>
                <w:color w:val="000000"/>
              </w:rPr>
              <w:t>企业实际情况</w:t>
            </w:r>
          </w:p>
        </w:tc>
        <w:tc>
          <w:tcPr>
            <w:tcW w:w="592" w:type="pct"/>
            <w:tcBorders>
              <w:top w:val="single" w:color="000000" w:sz="12" w:space="0"/>
              <w:right w:val="nil"/>
            </w:tcBorders>
            <w:shd w:val="clear" w:color="auto" w:fill="FFFFFF"/>
            <w:noWrap w:val="0"/>
            <w:vAlign w:val="center"/>
          </w:tcPr>
          <w:p w14:paraId="3CF3E0E1">
            <w:pPr>
              <w:pStyle w:val="59"/>
              <w:bidi w:val="0"/>
              <w:jc w:val="center"/>
              <w:rPr>
                <w:b w:val="0"/>
                <w:color w:val="000000"/>
              </w:rPr>
            </w:pPr>
            <w:r>
              <w:rPr>
                <w:rFonts w:hint="eastAsia"/>
                <w:b w:val="0"/>
                <w:color w:val="000000"/>
              </w:rPr>
              <w:t>符合性</w:t>
            </w:r>
          </w:p>
        </w:tc>
      </w:tr>
      <w:tr w14:paraId="1DE7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tcBorders>
            <w:shd w:val="clear" w:color="auto" w:fill="FFFFFF"/>
            <w:noWrap w:val="0"/>
            <w:vAlign w:val="center"/>
          </w:tcPr>
          <w:p w14:paraId="2A77E48F">
            <w:pPr>
              <w:pStyle w:val="59"/>
              <w:numPr>
                <w:ilvl w:val="0"/>
                <w:numId w:val="7"/>
              </w:numPr>
              <w:bidi w:val="0"/>
              <w:ind w:left="425" w:leftChars="0" w:hanging="425" w:firstLineChars="0"/>
              <w:jc w:val="center"/>
              <w:rPr>
                <w:rFonts w:hint="eastAsia"/>
                <w:b w:val="0"/>
                <w:color w:val="000000"/>
                <w:lang w:val="en-US" w:eastAsia="zh-CN"/>
              </w:rPr>
            </w:pPr>
          </w:p>
        </w:tc>
        <w:tc>
          <w:tcPr>
            <w:tcW w:w="2492" w:type="pct"/>
            <w:shd w:val="clear" w:color="auto" w:fill="FFFFFF"/>
            <w:noWrap w:val="0"/>
            <w:vAlign w:val="center"/>
          </w:tcPr>
          <w:p w14:paraId="2F58FA90">
            <w:pPr>
              <w:pStyle w:val="59"/>
              <w:bidi w:val="0"/>
              <w:jc w:val="center"/>
              <w:rPr>
                <w:b w:val="0"/>
                <w:color w:val="000000"/>
              </w:rPr>
            </w:pPr>
            <w:r>
              <w:rPr>
                <w:rFonts w:hint="eastAsia"/>
                <w:b w:val="0"/>
                <w:color w:val="000000"/>
              </w:rPr>
              <w:t>重点关注重点管控新污染物清单、有毒有害污染物名录、优先控制化学品名录以及《关于持久性有机污染物的斯德哥尔摩公约》（简称《斯德哥尔摩公约》）附件中已发布环境质量标准、污染物排放标准、环境监测方法标准或其他具有污染治理技术的污染物。重点关注石化、涂料、纺织印染、橡胶、农药、医药等重点行业建设项目，在建设项目环评工作中做好上述新污染物识别，涉及上述新污染物的，执行本意见要求；不涉及新污染物的，无需开展相关工作。</w:t>
            </w:r>
          </w:p>
        </w:tc>
        <w:tc>
          <w:tcPr>
            <w:tcW w:w="1436" w:type="pct"/>
            <w:shd w:val="clear" w:color="auto" w:fill="FFFFFF"/>
            <w:noWrap w:val="0"/>
            <w:vAlign w:val="center"/>
          </w:tcPr>
          <w:p w14:paraId="67C0AACE">
            <w:pPr>
              <w:pStyle w:val="59"/>
              <w:bidi w:val="0"/>
              <w:jc w:val="center"/>
              <w:rPr>
                <w:rFonts w:hint="eastAsia"/>
                <w:b w:val="0"/>
                <w:color w:val="000000"/>
              </w:rPr>
            </w:pPr>
            <w:r>
              <w:rPr>
                <w:rFonts w:hint="eastAsia"/>
                <w:b w:val="0"/>
                <w:color w:val="000000"/>
                <w:lang w:val="en-US" w:eastAsia="zh-CN"/>
              </w:rPr>
              <w:t>根据《石油化学工业污染物排放标准》（GB 31571-2015）</w:t>
            </w:r>
            <w:r>
              <w:rPr>
                <w:rFonts w:hint="eastAsia"/>
                <w:b w:val="0"/>
                <w:color w:val="000000"/>
              </w:rPr>
              <w:t>石油化学工业</w:t>
            </w:r>
            <w:r>
              <w:rPr>
                <w:rFonts w:hint="eastAsia"/>
                <w:b w:val="0"/>
                <w:color w:val="000000"/>
                <w:lang w:val="en-US" w:eastAsia="zh-CN"/>
              </w:rPr>
              <w:t>是</w:t>
            </w:r>
            <w:r>
              <w:rPr>
                <w:rFonts w:hint="eastAsia"/>
                <w:b w:val="0"/>
                <w:color w:val="000000"/>
              </w:rPr>
              <w:t>以石油馏分、天然气等为原料，生产有机化学品(参见附录A)、合成树脂、合成纤维、合成橡胶等的工业</w:t>
            </w:r>
            <w:r>
              <w:rPr>
                <w:rFonts w:hint="eastAsia"/>
                <w:b w:val="0"/>
                <w:color w:val="000000"/>
                <w:lang w:eastAsia="zh-CN"/>
              </w:rPr>
              <w:t>，</w:t>
            </w:r>
            <w:r>
              <w:rPr>
                <w:rFonts w:hint="eastAsia"/>
                <w:b w:val="0"/>
                <w:color w:val="000000"/>
                <w:lang w:val="en-US" w:eastAsia="zh-CN"/>
              </w:rPr>
              <w:t>本项目不属于</w:t>
            </w:r>
            <w:r>
              <w:rPr>
                <w:rFonts w:hint="eastAsia"/>
                <w:b w:val="0"/>
                <w:color w:val="000000"/>
              </w:rPr>
              <w:t>石化、涂料、纺织印染、橡胶、农药、医药等重点行业建设项目</w:t>
            </w:r>
            <w:r>
              <w:rPr>
                <w:rFonts w:hint="eastAsia"/>
                <w:b w:val="0"/>
                <w:color w:val="000000"/>
                <w:lang w:eastAsia="zh-CN"/>
              </w:rPr>
              <w:t>。</w:t>
            </w:r>
          </w:p>
        </w:tc>
        <w:tc>
          <w:tcPr>
            <w:tcW w:w="592" w:type="pct"/>
            <w:tcBorders>
              <w:right w:val="nil"/>
            </w:tcBorders>
            <w:shd w:val="clear" w:color="auto" w:fill="FFFFFF"/>
            <w:noWrap w:val="0"/>
            <w:vAlign w:val="center"/>
          </w:tcPr>
          <w:p w14:paraId="12D47401">
            <w:pPr>
              <w:pStyle w:val="59"/>
              <w:bidi w:val="0"/>
              <w:jc w:val="center"/>
              <w:rPr>
                <w:rFonts w:hint="eastAsia" w:eastAsia="宋体"/>
                <w:b w:val="0"/>
                <w:color w:val="000000"/>
                <w:lang w:val="en-US" w:eastAsia="zh-CN"/>
              </w:rPr>
            </w:pPr>
            <w:r>
              <w:rPr>
                <w:rFonts w:hint="eastAsia"/>
                <w:b w:val="0"/>
                <w:color w:val="000000"/>
                <w:lang w:val="en-US" w:eastAsia="zh-CN"/>
              </w:rPr>
              <w:t>/</w:t>
            </w:r>
          </w:p>
        </w:tc>
      </w:tr>
      <w:tr w14:paraId="2F88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tcBorders>
            <w:shd w:val="clear" w:color="auto" w:fill="FFFFFF"/>
            <w:noWrap w:val="0"/>
            <w:vAlign w:val="center"/>
          </w:tcPr>
          <w:p w14:paraId="1A900BB7">
            <w:pPr>
              <w:pStyle w:val="59"/>
              <w:numPr>
                <w:ilvl w:val="0"/>
                <w:numId w:val="7"/>
              </w:numPr>
              <w:bidi w:val="0"/>
              <w:ind w:left="425" w:leftChars="0" w:hanging="425" w:firstLineChars="0"/>
              <w:jc w:val="center"/>
              <w:rPr>
                <w:rFonts w:hint="eastAsia"/>
                <w:b w:val="0"/>
                <w:color w:val="000000"/>
                <w:lang w:val="en-US" w:eastAsia="zh-CN"/>
              </w:rPr>
            </w:pPr>
          </w:p>
        </w:tc>
        <w:tc>
          <w:tcPr>
            <w:tcW w:w="2492" w:type="pct"/>
            <w:shd w:val="clear" w:color="auto" w:fill="FFFFFF"/>
            <w:noWrap w:val="0"/>
            <w:vAlign w:val="center"/>
          </w:tcPr>
          <w:p w14:paraId="52777AF6">
            <w:pPr>
              <w:pStyle w:val="59"/>
              <w:bidi w:val="0"/>
              <w:jc w:val="center"/>
              <w:rPr>
                <w:rFonts w:hint="eastAsia"/>
                <w:b w:val="0"/>
                <w:color w:val="000000"/>
              </w:rPr>
            </w:pPr>
            <w:r>
              <w:rPr>
                <w:rFonts w:hint="eastAsia"/>
                <w:b w:val="0"/>
                <w:color w:val="000000"/>
              </w:rPr>
              <w:t>各级环评审批部门在受理和审批建设项目环评文件时，应落实重点管控新污染物清单、产业结构调整指导目录、《斯德哥尔摩公约》、生态环境分区管控方案和项目所在园区规划环评等有关管控要求。对照不予审批环评的项目类别（见附表），严格审核建设项目原辅材料和产品，对于以禁止生产、加工使用的新污染物作为原辅料或产品的建设项目，依法不予审批。</w:t>
            </w:r>
          </w:p>
        </w:tc>
        <w:tc>
          <w:tcPr>
            <w:tcW w:w="1436" w:type="pct"/>
            <w:shd w:val="clear" w:color="auto" w:fill="FFFFFF"/>
            <w:noWrap w:val="0"/>
            <w:vAlign w:val="center"/>
          </w:tcPr>
          <w:p w14:paraId="50CE02D8">
            <w:pPr>
              <w:pStyle w:val="59"/>
              <w:bidi w:val="0"/>
              <w:jc w:val="center"/>
              <w:rPr>
                <w:rFonts w:hint="eastAsia" w:eastAsia="宋体"/>
                <w:b w:val="0"/>
                <w:color w:val="000000"/>
                <w:lang w:val="en-US" w:eastAsia="zh-CN"/>
              </w:rPr>
            </w:pPr>
            <w:r>
              <w:rPr>
                <w:rFonts w:hint="eastAsia"/>
                <w:b w:val="0"/>
                <w:color w:val="000000"/>
                <w:lang w:val="en-US" w:eastAsia="zh-CN"/>
              </w:rPr>
              <w:t>本项目不属于</w:t>
            </w:r>
            <w:r>
              <w:rPr>
                <w:rFonts w:hint="eastAsia"/>
                <w:b w:val="0"/>
                <w:color w:val="000000"/>
              </w:rPr>
              <w:t>不予审批环评的项目类别</w:t>
            </w:r>
            <w:r>
              <w:rPr>
                <w:rFonts w:hint="eastAsia"/>
                <w:b w:val="0"/>
                <w:color w:val="000000"/>
                <w:lang w:eastAsia="zh-CN"/>
              </w:rPr>
              <w:t>。</w:t>
            </w:r>
          </w:p>
        </w:tc>
        <w:tc>
          <w:tcPr>
            <w:tcW w:w="592" w:type="pct"/>
            <w:tcBorders>
              <w:right w:val="nil"/>
            </w:tcBorders>
            <w:shd w:val="clear" w:color="auto" w:fill="FFFFFF"/>
            <w:noWrap w:val="0"/>
            <w:vAlign w:val="center"/>
          </w:tcPr>
          <w:p w14:paraId="511F868E">
            <w:pPr>
              <w:pStyle w:val="59"/>
              <w:bidi w:val="0"/>
              <w:jc w:val="center"/>
              <w:rPr>
                <w:rFonts w:hint="eastAsia"/>
                <w:b w:val="0"/>
                <w:color w:val="000000"/>
              </w:rPr>
            </w:pPr>
            <w:r>
              <w:rPr>
                <w:rFonts w:hint="eastAsia"/>
                <w:b w:val="0"/>
                <w:color w:val="000000"/>
              </w:rPr>
              <w:t>相符</w:t>
            </w:r>
          </w:p>
        </w:tc>
      </w:tr>
      <w:tr w14:paraId="3E4E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tcBorders>
            <w:shd w:val="clear" w:color="auto" w:fill="FFFFFF"/>
            <w:noWrap w:val="0"/>
            <w:vAlign w:val="center"/>
          </w:tcPr>
          <w:p w14:paraId="379D68AD">
            <w:pPr>
              <w:pStyle w:val="59"/>
              <w:numPr>
                <w:ilvl w:val="0"/>
                <w:numId w:val="7"/>
              </w:numPr>
              <w:bidi w:val="0"/>
              <w:ind w:left="425" w:leftChars="0" w:hanging="425" w:firstLineChars="0"/>
              <w:jc w:val="center"/>
              <w:rPr>
                <w:rFonts w:hint="eastAsia" w:eastAsia="宋体"/>
                <w:b w:val="0"/>
                <w:color w:val="000000"/>
                <w:lang w:val="en-US" w:eastAsia="zh-CN"/>
              </w:rPr>
            </w:pPr>
          </w:p>
        </w:tc>
        <w:tc>
          <w:tcPr>
            <w:tcW w:w="2492" w:type="pct"/>
            <w:shd w:val="clear" w:color="auto" w:fill="FFFFFF"/>
            <w:noWrap w:val="0"/>
            <w:vAlign w:val="center"/>
          </w:tcPr>
          <w:p w14:paraId="6EA1BC9C">
            <w:pPr>
              <w:pStyle w:val="59"/>
              <w:bidi w:val="0"/>
              <w:jc w:val="center"/>
              <w:rPr>
                <w:b w:val="0"/>
                <w:color w:val="000000"/>
              </w:rPr>
            </w:pPr>
            <w:r>
              <w:rPr>
                <w:rFonts w:hint="eastAsia"/>
                <w:b w:val="0"/>
                <w:color w:val="000000"/>
              </w:rPr>
              <w:t>（一）优化原料、工艺和治理措施，从源头减少新污染物产生。建设项目应尽可能开发、使用低毒低害和无毒无害原料，减少产品中有毒有害物质含量；应采用清洁的生产工艺，提高资源利用率，从源头避免或削减新污染物产生。强化治理措施，已有污染防治技术的新污染物，应采取可行污染防治技术，加大治理力度，减轻新污染物排放对环境的影响。鼓励建设项目开展有毒有害化学物质绿色替代、新污染物减排以及污水污泥、废液废渣中新污染物治理等技术示范。</w:t>
            </w:r>
          </w:p>
        </w:tc>
        <w:tc>
          <w:tcPr>
            <w:tcW w:w="1436" w:type="pct"/>
            <w:shd w:val="clear" w:color="auto" w:fill="FFFFFF"/>
            <w:noWrap w:val="0"/>
            <w:vAlign w:val="center"/>
          </w:tcPr>
          <w:p w14:paraId="4D8A8C01">
            <w:pPr>
              <w:pStyle w:val="59"/>
              <w:bidi w:val="0"/>
              <w:jc w:val="center"/>
              <w:rPr>
                <w:rFonts w:hint="default" w:eastAsia="宋体"/>
                <w:b w:val="0"/>
                <w:color w:val="000000"/>
                <w:lang w:val="en-US" w:eastAsia="zh-CN"/>
              </w:rPr>
            </w:pPr>
            <w:r>
              <w:rPr>
                <w:rFonts w:hint="eastAsia" w:eastAsia="宋体"/>
                <w:b w:val="0"/>
                <w:color w:val="000000"/>
                <w:lang w:val="en-US" w:eastAsia="zh-CN"/>
              </w:rPr>
              <w:t>本项目不生产、使用新污染物，PVC高温定型时释放二氯甲烷。</w:t>
            </w:r>
          </w:p>
        </w:tc>
        <w:tc>
          <w:tcPr>
            <w:tcW w:w="592" w:type="pct"/>
            <w:tcBorders>
              <w:right w:val="nil"/>
            </w:tcBorders>
            <w:shd w:val="clear" w:color="auto" w:fill="FFFFFF"/>
            <w:noWrap w:val="0"/>
            <w:vAlign w:val="center"/>
          </w:tcPr>
          <w:p w14:paraId="33723668">
            <w:pPr>
              <w:pStyle w:val="59"/>
              <w:bidi w:val="0"/>
              <w:jc w:val="center"/>
              <w:rPr>
                <w:b w:val="0"/>
                <w:color w:val="000000"/>
              </w:rPr>
            </w:pPr>
            <w:r>
              <w:rPr>
                <w:rFonts w:hint="eastAsia"/>
                <w:b w:val="0"/>
                <w:color w:val="000000"/>
              </w:rPr>
              <w:t>相符</w:t>
            </w:r>
          </w:p>
        </w:tc>
      </w:tr>
      <w:tr w14:paraId="322F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tcBorders>
            <w:shd w:val="clear" w:color="auto" w:fill="FFFFFF"/>
            <w:noWrap w:val="0"/>
            <w:vAlign w:val="center"/>
          </w:tcPr>
          <w:p w14:paraId="00E5DBB5">
            <w:pPr>
              <w:pStyle w:val="59"/>
              <w:numPr>
                <w:ilvl w:val="0"/>
                <w:numId w:val="7"/>
              </w:numPr>
              <w:bidi w:val="0"/>
              <w:ind w:left="425" w:leftChars="0" w:hanging="425" w:firstLineChars="0"/>
              <w:jc w:val="center"/>
              <w:rPr>
                <w:rFonts w:hint="eastAsia" w:eastAsia="宋体"/>
                <w:b w:val="0"/>
                <w:color w:val="000000"/>
                <w:lang w:val="en-US" w:eastAsia="zh-CN"/>
              </w:rPr>
            </w:pPr>
          </w:p>
        </w:tc>
        <w:tc>
          <w:tcPr>
            <w:tcW w:w="2492" w:type="pct"/>
            <w:shd w:val="clear" w:color="auto" w:fill="FFFFFF"/>
            <w:noWrap w:val="0"/>
            <w:vAlign w:val="center"/>
          </w:tcPr>
          <w:p w14:paraId="1344655C">
            <w:pPr>
              <w:pStyle w:val="59"/>
              <w:bidi w:val="0"/>
              <w:rPr>
                <w:b w:val="0"/>
                <w:color w:val="000000"/>
              </w:rPr>
            </w:pPr>
            <w:r>
              <w:rPr>
                <w:rFonts w:hint="eastAsia"/>
                <w:b w:val="0"/>
                <w:color w:val="000000"/>
              </w:rPr>
              <w:t>（二）核算新污染物产排污情况。环评文件应给出所有列入重点管控新污染物清单、有毒有害污染物名录和优先控制化学品名录的化学物质生产或使用的数量、品种、用途，涉及化学反应的，分析主副反应中新污染物的迁移转化情况；将涉及的新污染物纳入评价因子；核算各环节新污染物的产生和排放情况。改建、扩建项目还应梳理现有工程新污染物排放情况，鼓励采用靶向及非靶向检测技术对废水、废气及废渣中的新污染物进行筛查。</w:t>
            </w:r>
          </w:p>
        </w:tc>
        <w:tc>
          <w:tcPr>
            <w:tcW w:w="1436" w:type="pct"/>
            <w:shd w:val="clear" w:color="auto" w:fill="FFFFFF"/>
            <w:noWrap w:val="0"/>
            <w:vAlign w:val="center"/>
          </w:tcPr>
          <w:p w14:paraId="22066E30">
            <w:pPr>
              <w:pStyle w:val="59"/>
              <w:bidi w:val="0"/>
              <w:jc w:val="center"/>
              <w:rPr>
                <w:rFonts w:hint="default" w:eastAsia="宋体"/>
                <w:b w:val="0"/>
                <w:color w:val="000000"/>
                <w:lang w:val="en-US" w:eastAsia="zh-CN"/>
              </w:rPr>
            </w:pPr>
            <w:r>
              <w:rPr>
                <w:rFonts w:hint="eastAsia" w:eastAsia="宋体"/>
                <w:b w:val="0"/>
                <w:color w:val="000000"/>
                <w:lang w:val="en-US" w:eastAsia="zh-CN"/>
              </w:rPr>
              <w:t>项目已核算二氯甲烷的</w:t>
            </w:r>
            <w:r>
              <w:rPr>
                <w:rFonts w:hint="eastAsia"/>
                <w:b w:val="0"/>
                <w:color w:val="000000"/>
              </w:rPr>
              <w:t>产排污情况。</w:t>
            </w:r>
          </w:p>
        </w:tc>
        <w:tc>
          <w:tcPr>
            <w:tcW w:w="592" w:type="pct"/>
            <w:tcBorders>
              <w:right w:val="nil"/>
            </w:tcBorders>
            <w:shd w:val="clear" w:color="auto" w:fill="FFFFFF"/>
            <w:noWrap w:val="0"/>
            <w:vAlign w:val="center"/>
          </w:tcPr>
          <w:p w14:paraId="17016F91">
            <w:pPr>
              <w:pStyle w:val="59"/>
              <w:bidi w:val="0"/>
              <w:jc w:val="center"/>
              <w:rPr>
                <w:b w:val="0"/>
                <w:color w:val="000000"/>
              </w:rPr>
            </w:pPr>
            <w:r>
              <w:rPr>
                <w:rFonts w:hint="eastAsia"/>
                <w:b w:val="0"/>
                <w:color w:val="000000"/>
              </w:rPr>
              <w:t>相符</w:t>
            </w:r>
          </w:p>
        </w:tc>
      </w:tr>
      <w:tr w14:paraId="3348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tcBorders>
            <w:shd w:val="clear" w:color="auto" w:fill="FFFFFF"/>
            <w:noWrap w:val="0"/>
            <w:vAlign w:val="center"/>
          </w:tcPr>
          <w:p w14:paraId="38F9DBA6">
            <w:pPr>
              <w:pStyle w:val="59"/>
              <w:numPr>
                <w:ilvl w:val="0"/>
                <w:numId w:val="7"/>
              </w:numPr>
              <w:bidi w:val="0"/>
              <w:ind w:left="425" w:leftChars="0" w:hanging="425" w:firstLineChars="0"/>
              <w:jc w:val="center"/>
              <w:rPr>
                <w:rFonts w:hint="eastAsia" w:eastAsia="宋体"/>
                <w:b w:val="0"/>
                <w:color w:val="000000"/>
                <w:lang w:val="en-US" w:eastAsia="zh-CN"/>
              </w:rPr>
            </w:pPr>
          </w:p>
        </w:tc>
        <w:tc>
          <w:tcPr>
            <w:tcW w:w="2492" w:type="pct"/>
            <w:shd w:val="clear" w:color="auto" w:fill="FFFFFF"/>
            <w:noWrap w:val="0"/>
            <w:vAlign w:val="center"/>
          </w:tcPr>
          <w:p w14:paraId="28BF1538">
            <w:pPr>
              <w:pStyle w:val="59"/>
              <w:bidi w:val="0"/>
              <w:rPr>
                <w:b w:val="0"/>
                <w:color w:val="000000"/>
              </w:rPr>
            </w:pPr>
            <w:r>
              <w:rPr>
                <w:rFonts w:hint="eastAsia"/>
                <w:b w:val="0"/>
                <w:color w:val="000000"/>
              </w:rPr>
              <w:t>（三）对已发布污染物排放标准的新污染物严格排放达标要求。新建项目产生并排放已有排放标准新污染物的，应采取措施确保排放达标。涉及新污染物排放的改建、扩建项目，应对现有项目废气、废水排放口新污染物排放情况进行监测，对排放不能达标的，应提出整改措施。对可能涉及新污染物的废母液、精馏残渣、抗生素菌渣、废反应基和废培养基、污泥等固体废物，应根据国家危险废物名录进行判定，未列入名录的固体废物应提出项目运行后按危险废物鉴别标准进行鉴别的要求，属于危险废物的按照危险废物污染环境防治相关要求进行管理。对涉及新污染物的生产、贮存、运输、处置等装置、设备设施及场所，应按相关国家标准提出防腐蚀、防渗漏、防扬散等土壤和地下水污染防治措施。</w:t>
            </w:r>
          </w:p>
        </w:tc>
        <w:tc>
          <w:tcPr>
            <w:tcW w:w="1436" w:type="pct"/>
            <w:shd w:val="clear" w:color="auto" w:fill="FFFFFF"/>
            <w:noWrap w:val="0"/>
            <w:vAlign w:val="center"/>
          </w:tcPr>
          <w:p w14:paraId="654875AC">
            <w:pPr>
              <w:pStyle w:val="59"/>
              <w:bidi w:val="0"/>
              <w:jc w:val="center"/>
              <w:rPr>
                <w:rFonts w:hint="default" w:ascii="Times New Roman" w:hAnsi="Times New Roman" w:eastAsia="宋体" w:cs="Times New Roman"/>
                <w:b w:val="0"/>
                <w:color w:val="000000"/>
                <w:highlight w:val="none"/>
                <w:lang w:val="en-US" w:eastAsia="zh-CN"/>
              </w:rPr>
            </w:pPr>
            <w:r>
              <w:rPr>
                <w:rFonts w:hint="eastAsia" w:eastAsia="宋体"/>
                <w:b w:val="0"/>
                <w:color w:val="000000"/>
                <w:lang w:val="en-US" w:eastAsia="zh-CN"/>
              </w:rPr>
              <w:t>本项目不生产、使用新污染物，PVC高温定型时释放二氯甲烷。</w:t>
            </w:r>
          </w:p>
        </w:tc>
        <w:tc>
          <w:tcPr>
            <w:tcW w:w="592" w:type="pct"/>
            <w:tcBorders>
              <w:right w:val="nil"/>
            </w:tcBorders>
            <w:shd w:val="clear" w:color="auto" w:fill="FFFFFF"/>
            <w:noWrap w:val="0"/>
            <w:vAlign w:val="center"/>
          </w:tcPr>
          <w:p w14:paraId="105AD3A4">
            <w:pPr>
              <w:pStyle w:val="59"/>
              <w:bidi w:val="0"/>
              <w:jc w:val="center"/>
              <w:rPr>
                <w:rFonts w:hint="eastAsia"/>
                <w:b w:val="0"/>
                <w:color w:val="000000"/>
              </w:rPr>
            </w:pPr>
            <w:r>
              <w:rPr>
                <w:rFonts w:hint="eastAsia"/>
                <w:b w:val="0"/>
                <w:color w:val="000000"/>
              </w:rPr>
              <w:t>相符</w:t>
            </w:r>
          </w:p>
        </w:tc>
      </w:tr>
      <w:tr w14:paraId="4F4F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tcBorders>
            <w:shd w:val="clear" w:color="auto" w:fill="FFFFFF"/>
            <w:noWrap w:val="0"/>
            <w:vAlign w:val="center"/>
          </w:tcPr>
          <w:p w14:paraId="3E9DE0DC">
            <w:pPr>
              <w:pStyle w:val="59"/>
              <w:numPr>
                <w:ilvl w:val="0"/>
                <w:numId w:val="7"/>
              </w:numPr>
              <w:bidi w:val="0"/>
              <w:ind w:left="425" w:leftChars="0" w:hanging="425" w:firstLineChars="0"/>
              <w:jc w:val="center"/>
              <w:rPr>
                <w:rFonts w:hint="eastAsia" w:eastAsia="宋体"/>
                <w:b w:val="0"/>
                <w:color w:val="000000"/>
                <w:lang w:val="en-US" w:eastAsia="zh-CN"/>
              </w:rPr>
            </w:pPr>
          </w:p>
        </w:tc>
        <w:tc>
          <w:tcPr>
            <w:tcW w:w="2492" w:type="pct"/>
            <w:shd w:val="clear" w:color="auto" w:fill="FFFFFF"/>
            <w:noWrap w:val="0"/>
            <w:vAlign w:val="center"/>
          </w:tcPr>
          <w:p w14:paraId="67C4A4AB">
            <w:pPr>
              <w:pStyle w:val="59"/>
              <w:bidi w:val="0"/>
              <w:rPr>
                <w:b w:val="0"/>
                <w:color w:val="000000"/>
              </w:rPr>
            </w:pPr>
            <w:r>
              <w:rPr>
                <w:rFonts w:hint="eastAsia"/>
                <w:b w:val="0"/>
                <w:color w:val="000000"/>
              </w:rPr>
              <w:t>（四）对环境质量标准规定的新污染物做好环境质量现状和影响评价。建设项目现状评价因子和预测评价因子筛选应考虑涉及的新污染物，充分利用国家和地方新污染物环境监测试点成果，收集评价范围内和建设项目相关的新污染物环境质量历史监测资料（包括环境空气、周边地表水体及相应底泥/沉积物、土壤和地下水、周边海域海水及沉积物/生物体等），没有相关监测数据的，进行补充监测。对环境质量标准规定的新污染物，根据相关环境质量标准进行现状评价，环境质量标准未规定但已有环境监测方法标准的，应给出监测值。将相应已有环境质量标准的新污染物纳入环境影响预测因子并预测评价其环境影响。</w:t>
            </w:r>
          </w:p>
        </w:tc>
        <w:tc>
          <w:tcPr>
            <w:tcW w:w="1436" w:type="pct"/>
            <w:shd w:val="clear" w:color="auto" w:fill="FFFFFF"/>
            <w:noWrap w:val="0"/>
            <w:vAlign w:val="center"/>
          </w:tcPr>
          <w:p w14:paraId="76BA66C9">
            <w:pPr>
              <w:pStyle w:val="59"/>
              <w:bidi w:val="0"/>
              <w:jc w:val="center"/>
              <w:rPr>
                <w:rFonts w:hint="eastAsia" w:eastAsia="宋体"/>
                <w:b w:val="0"/>
                <w:color w:val="000000"/>
                <w:lang w:val="en-US" w:eastAsia="zh-CN"/>
              </w:rPr>
            </w:pPr>
            <w:r>
              <w:rPr>
                <w:rFonts w:hint="eastAsia" w:eastAsia="宋体"/>
                <w:b w:val="0"/>
                <w:color w:val="000000"/>
                <w:lang w:val="en-US" w:eastAsia="zh-CN"/>
              </w:rPr>
              <w:t>本项目不生产、使用新污染物，PVC高温定型时释放二氯甲烷。</w:t>
            </w:r>
          </w:p>
        </w:tc>
        <w:tc>
          <w:tcPr>
            <w:tcW w:w="592" w:type="pct"/>
            <w:tcBorders>
              <w:right w:val="nil"/>
            </w:tcBorders>
            <w:shd w:val="clear" w:color="auto" w:fill="FFFFFF"/>
            <w:noWrap w:val="0"/>
            <w:vAlign w:val="center"/>
          </w:tcPr>
          <w:p w14:paraId="2F397D68">
            <w:pPr>
              <w:pStyle w:val="59"/>
              <w:bidi w:val="0"/>
              <w:jc w:val="center"/>
              <w:rPr>
                <w:rFonts w:hint="eastAsia"/>
                <w:b w:val="0"/>
                <w:color w:val="000000"/>
              </w:rPr>
            </w:pPr>
            <w:r>
              <w:rPr>
                <w:rFonts w:hint="eastAsia"/>
                <w:b w:val="0"/>
                <w:color w:val="000000"/>
              </w:rPr>
              <w:t>相符</w:t>
            </w:r>
          </w:p>
        </w:tc>
      </w:tr>
      <w:tr w14:paraId="65DE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tcBorders>
            <w:shd w:val="clear" w:color="auto" w:fill="FFFFFF"/>
            <w:noWrap w:val="0"/>
            <w:vAlign w:val="center"/>
          </w:tcPr>
          <w:p w14:paraId="05C8FA03">
            <w:pPr>
              <w:pStyle w:val="59"/>
              <w:numPr>
                <w:ilvl w:val="0"/>
                <w:numId w:val="7"/>
              </w:numPr>
              <w:bidi w:val="0"/>
              <w:ind w:left="425" w:leftChars="0" w:hanging="425" w:firstLineChars="0"/>
              <w:jc w:val="center"/>
              <w:rPr>
                <w:rFonts w:hint="eastAsia" w:eastAsia="宋体"/>
                <w:b w:val="0"/>
                <w:color w:val="000000"/>
                <w:lang w:val="en-US" w:eastAsia="zh-CN"/>
              </w:rPr>
            </w:pPr>
          </w:p>
        </w:tc>
        <w:tc>
          <w:tcPr>
            <w:tcW w:w="2492" w:type="pct"/>
            <w:shd w:val="clear" w:color="auto" w:fill="FFFFFF"/>
            <w:noWrap w:val="0"/>
            <w:vAlign w:val="center"/>
          </w:tcPr>
          <w:p w14:paraId="26F5F3BD">
            <w:pPr>
              <w:pStyle w:val="59"/>
              <w:bidi w:val="0"/>
              <w:rPr>
                <w:b w:val="0"/>
                <w:color w:val="000000"/>
              </w:rPr>
            </w:pPr>
            <w:r>
              <w:rPr>
                <w:rFonts w:hint="eastAsia"/>
                <w:b w:val="0"/>
                <w:color w:val="000000"/>
              </w:rPr>
              <w:t>（五）强化新污染物排放情况跟踪监测。应在涉及新污染物的建设项目环评文件中，明确提出将相应的新污染物纳入监测计划要求；对既未发布污染物排放标准，也无污染防治技术，但已有环境监测方法标准的新污染物，应加强日常监控和监测，掌握新污染物排放情况。将周边环境的相应新污染物监测纳入环境监测计划，做好跟踪监测。</w:t>
            </w:r>
          </w:p>
        </w:tc>
        <w:tc>
          <w:tcPr>
            <w:tcW w:w="1436" w:type="pct"/>
            <w:shd w:val="clear" w:color="auto" w:fill="FFFFFF"/>
            <w:noWrap w:val="0"/>
            <w:vAlign w:val="center"/>
          </w:tcPr>
          <w:p w14:paraId="5930C4C2">
            <w:pPr>
              <w:pStyle w:val="59"/>
              <w:bidi w:val="0"/>
              <w:jc w:val="center"/>
              <w:rPr>
                <w:rFonts w:hint="default" w:eastAsia="宋体"/>
                <w:b w:val="0"/>
                <w:color w:val="000000"/>
                <w:lang w:val="en-US" w:eastAsia="zh-CN"/>
              </w:rPr>
            </w:pPr>
            <w:r>
              <w:rPr>
                <w:rFonts w:hint="eastAsia" w:eastAsia="宋体"/>
                <w:b w:val="0"/>
                <w:color w:val="000000"/>
                <w:lang w:val="en-US" w:eastAsia="zh-CN"/>
              </w:rPr>
              <w:t>二氯甲烷未有排放标准。</w:t>
            </w:r>
          </w:p>
        </w:tc>
        <w:tc>
          <w:tcPr>
            <w:tcW w:w="592" w:type="pct"/>
            <w:tcBorders>
              <w:right w:val="nil"/>
            </w:tcBorders>
            <w:shd w:val="clear" w:color="auto" w:fill="FFFFFF"/>
            <w:noWrap w:val="0"/>
            <w:vAlign w:val="center"/>
          </w:tcPr>
          <w:p w14:paraId="2DCE3DE0">
            <w:pPr>
              <w:pStyle w:val="59"/>
              <w:bidi w:val="0"/>
              <w:jc w:val="center"/>
              <w:rPr>
                <w:rFonts w:hint="eastAsia"/>
                <w:b w:val="0"/>
                <w:color w:val="000000"/>
              </w:rPr>
            </w:pPr>
            <w:r>
              <w:rPr>
                <w:rFonts w:hint="eastAsia"/>
                <w:b w:val="0"/>
                <w:color w:val="000000"/>
              </w:rPr>
              <w:t>相符</w:t>
            </w:r>
          </w:p>
        </w:tc>
      </w:tr>
      <w:tr w14:paraId="4B0D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 w:type="pct"/>
            <w:tcBorders>
              <w:left w:val="nil"/>
              <w:bottom w:val="single" w:color="000000" w:sz="12" w:space="0"/>
            </w:tcBorders>
            <w:shd w:val="clear" w:color="auto" w:fill="FFFFFF"/>
            <w:noWrap w:val="0"/>
            <w:vAlign w:val="center"/>
          </w:tcPr>
          <w:p w14:paraId="4AB4BDB1">
            <w:pPr>
              <w:pStyle w:val="59"/>
              <w:numPr>
                <w:ilvl w:val="0"/>
                <w:numId w:val="7"/>
              </w:numPr>
              <w:bidi w:val="0"/>
              <w:ind w:left="425" w:leftChars="0" w:hanging="425" w:firstLineChars="0"/>
              <w:jc w:val="center"/>
              <w:rPr>
                <w:rFonts w:hint="default"/>
                <w:b w:val="0"/>
                <w:color w:val="000000"/>
                <w:lang w:val="en-US" w:eastAsia="zh-CN"/>
              </w:rPr>
            </w:pPr>
          </w:p>
        </w:tc>
        <w:tc>
          <w:tcPr>
            <w:tcW w:w="2492" w:type="pct"/>
            <w:tcBorders>
              <w:bottom w:val="single" w:color="000000" w:sz="12" w:space="0"/>
            </w:tcBorders>
            <w:shd w:val="clear" w:color="auto" w:fill="FFFFFF"/>
            <w:noWrap w:val="0"/>
            <w:vAlign w:val="center"/>
          </w:tcPr>
          <w:p w14:paraId="723E8CF6">
            <w:pPr>
              <w:pStyle w:val="59"/>
              <w:bidi w:val="0"/>
              <w:jc w:val="center"/>
              <w:rPr>
                <w:b w:val="0"/>
                <w:color w:val="000000"/>
                <w:lang w:val="en-US" w:eastAsia="zh-CN"/>
              </w:rPr>
            </w:pPr>
            <w:r>
              <w:rPr>
                <w:rFonts w:hint="eastAsia"/>
                <w:b w:val="0"/>
                <w:color w:val="000000"/>
                <w:lang w:val="en-US" w:eastAsia="zh-CN"/>
              </w:rPr>
              <w:t>（六）提出新化学物质环境管理登记要求。对照《中国现有化学物质名录》，原辅材料或产品属于新化学物质的，或将实施新用途环境管理的现有化学物质，用于允许用途以外的其他工业用途的，应在环评文件中提出按相关规定办理新化学物质环境管理登记的要求。</w:t>
            </w:r>
          </w:p>
        </w:tc>
        <w:tc>
          <w:tcPr>
            <w:tcW w:w="1436" w:type="pct"/>
            <w:tcBorders>
              <w:bottom w:val="single" w:color="000000" w:sz="12" w:space="0"/>
            </w:tcBorders>
            <w:shd w:val="clear" w:color="auto" w:fill="FFFFFF"/>
            <w:noWrap w:val="0"/>
            <w:vAlign w:val="center"/>
          </w:tcPr>
          <w:p w14:paraId="204CDF70">
            <w:pPr>
              <w:pStyle w:val="59"/>
              <w:bidi w:val="0"/>
              <w:jc w:val="center"/>
              <w:rPr>
                <w:rFonts w:hint="default" w:eastAsia="宋体"/>
                <w:b w:val="0"/>
                <w:color w:val="000000"/>
                <w:lang w:val="en-US" w:eastAsia="zh-CN"/>
              </w:rPr>
            </w:pPr>
            <w:r>
              <w:rPr>
                <w:rFonts w:hint="eastAsia" w:eastAsia="宋体"/>
                <w:b w:val="0"/>
                <w:color w:val="000000"/>
                <w:lang w:val="en-US" w:eastAsia="zh-CN"/>
              </w:rPr>
              <w:t>原来不涉及二氯甲烷</w:t>
            </w:r>
          </w:p>
        </w:tc>
        <w:tc>
          <w:tcPr>
            <w:tcW w:w="592" w:type="pct"/>
            <w:tcBorders>
              <w:bottom w:val="single" w:color="000000" w:sz="12" w:space="0"/>
              <w:right w:val="nil"/>
            </w:tcBorders>
            <w:shd w:val="clear" w:color="auto" w:fill="FFFFFF"/>
            <w:noWrap w:val="0"/>
            <w:vAlign w:val="center"/>
          </w:tcPr>
          <w:p w14:paraId="0DC19D22">
            <w:pPr>
              <w:pStyle w:val="59"/>
              <w:bidi w:val="0"/>
              <w:jc w:val="center"/>
              <w:rPr>
                <w:rFonts w:hint="eastAsia"/>
                <w:b w:val="0"/>
                <w:color w:val="000000"/>
              </w:rPr>
            </w:pPr>
            <w:r>
              <w:rPr>
                <w:rFonts w:hint="eastAsia"/>
                <w:b w:val="0"/>
                <w:color w:val="000000"/>
              </w:rPr>
              <w:t>相符</w:t>
            </w:r>
          </w:p>
        </w:tc>
      </w:tr>
    </w:tbl>
    <w:p w14:paraId="2FADF1BB">
      <w:pPr>
        <w:bidi w:val="0"/>
        <w:rPr>
          <w:rFonts w:hint="eastAsia"/>
        </w:rPr>
      </w:pPr>
    </w:p>
    <w:p w14:paraId="32AC2AAB">
      <w:pPr>
        <w:pStyle w:val="67"/>
        <w:numPr>
          <w:ilvl w:val="0"/>
          <w:numId w:val="0"/>
        </w:numPr>
        <w:spacing w:before="166" w:after="166"/>
        <w:ind w:leftChars="0"/>
        <w:rPr>
          <w:color w:val="auto"/>
        </w:rPr>
      </w:pPr>
      <w:r>
        <w:rPr>
          <w:rFonts w:hint="eastAsia"/>
          <w:color w:val="auto"/>
        </w:rPr>
        <w:t>五、环境影响报告书的主要结论</w:t>
      </w:r>
      <w:bookmarkEnd w:id="14"/>
    </w:p>
    <w:p w14:paraId="6781B678">
      <w:pPr>
        <w:ind w:firstLine="480"/>
        <w:rPr>
          <w:b/>
          <w:bCs/>
          <w:color w:val="auto"/>
        </w:rPr>
        <w:sectPr>
          <w:footerReference r:id="rId13" w:type="default"/>
          <w:pgSz w:w="11849" w:h="16781"/>
          <w:pgMar w:top="1417" w:right="1417" w:bottom="1417" w:left="1417" w:header="992" w:footer="992" w:gutter="0"/>
          <w:pgNumType w:fmt="decimal"/>
          <w:cols w:space="720" w:num="1"/>
          <w:docGrid w:type="lines" w:linePitch="332" w:charSpace="0"/>
        </w:sectPr>
      </w:pPr>
      <w:r>
        <w:rPr>
          <w:rFonts w:hint="eastAsia"/>
          <w:color w:val="auto"/>
        </w:rPr>
        <w:t>综上所述，本项目符合国家和地方产业政策，项目选址布局合理，项目拟采取的各项环境保护措施具有经济和技术可行性。本项目建设单位在严格执行建设项目环境保护“三同时制度”、认真落实相应的环境保护防治措施后，本项目的各类污染物均能做到达标排放或妥善处置，对外部环境影响较小，故</w:t>
      </w:r>
      <w:r>
        <w:rPr>
          <w:b/>
          <w:bCs/>
          <w:color w:val="auto"/>
        </w:rPr>
        <w:t>从环境保护角度</w:t>
      </w:r>
      <w:r>
        <w:rPr>
          <w:rFonts w:hint="eastAsia"/>
          <w:b/>
          <w:bCs/>
          <w:color w:val="auto"/>
        </w:rPr>
        <w:t>分析，本</w:t>
      </w:r>
      <w:r>
        <w:rPr>
          <w:b/>
          <w:bCs/>
          <w:color w:val="auto"/>
        </w:rPr>
        <w:t>项目</w:t>
      </w:r>
      <w:r>
        <w:rPr>
          <w:rFonts w:hint="eastAsia"/>
          <w:b/>
          <w:bCs/>
          <w:color w:val="auto"/>
        </w:rPr>
        <w:t>的建设</w:t>
      </w:r>
      <w:r>
        <w:rPr>
          <w:b/>
          <w:bCs/>
          <w:color w:val="auto"/>
        </w:rPr>
        <w:t>是可行的</w:t>
      </w:r>
      <w:r>
        <w:rPr>
          <w:rFonts w:hint="eastAsia"/>
          <w:b/>
          <w:bCs/>
          <w:color w:val="auto"/>
        </w:rPr>
        <w:t>。</w:t>
      </w:r>
    </w:p>
    <w:p w14:paraId="33708A49">
      <w:pPr>
        <w:pStyle w:val="85"/>
        <w:bidi w:val="0"/>
        <w:rPr>
          <w:rFonts w:hint="eastAsia" w:eastAsia="宋体"/>
          <w:lang w:eastAsia="zh-CN"/>
        </w:rPr>
      </w:pPr>
      <w:r>
        <w:rPr>
          <w:rFonts w:hint="eastAsia" w:eastAsia="宋体"/>
          <w:lang w:eastAsia="zh-CN"/>
        </w:rPr>
        <w:drawing>
          <wp:anchor distT="0" distB="0" distL="114300" distR="114300" simplePos="0" relativeHeight="251726848" behindDoc="0" locked="0" layoutInCell="1" allowOverlap="1">
            <wp:simplePos x="0" y="0"/>
            <wp:positionH relativeFrom="column">
              <wp:posOffset>7902575</wp:posOffset>
            </wp:positionH>
            <wp:positionV relativeFrom="paragraph">
              <wp:posOffset>52070</wp:posOffset>
            </wp:positionV>
            <wp:extent cx="1188085" cy="1118235"/>
            <wp:effectExtent l="0" t="0" r="2540" b="5715"/>
            <wp:wrapNone/>
            <wp:docPr id="30" name="图片 30" descr="2024年鹤山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024年鹤山风玫瑰图"/>
                    <pic:cNvPicPr>
                      <a:picLocks noChangeAspect="1"/>
                    </pic:cNvPicPr>
                  </pic:nvPicPr>
                  <pic:blipFill>
                    <a:blip r:embed="rId24"/>
                    <a:stretch>
                      <a:fillRect/>
                    </a:stretch>
                  </pic:blipFill>
                  <pic:spPr>
                    <a:xfrm>
                      <a:off x="0" y="0"/>
                      <a:ext cx="1188085" cy="1118235"/>
                    </a:xfrm>
                    <a:prstGeom prst="rect">
                      <a:avLst/>
                    </a:prstGeom>
                  </pic:spPr>
                </pic:pic>
              </a:graphicData>
            </a:graphic>
          </wp:anchor>
        </w:drawing>
      </w:r>
      <w:r>
        <mc:AlternateContent>
          <mc:Choice Requires="wps">
            <w:drawing>
              <wp:anchor distT="0" distB="0" distL="114300" distR="114300" simplePos="0" relativeHeight="251725824" behindDoc="0" locked="0" layoutInCell="1" allowOverlap="1">
                <wp:simplePos x="0" y="0"/>
                <wp:positionH relativeFrom="column">
                  <wp:posOffset>1037590</wp:posOffset>
                </wp:positionH>
                <wp:positionV relativeFrom="paragraph">
                  <wp:posOffset>701040</wp:posOffset>
                </wp:positionV>
                <wp:extent cx="760095" cy="147320"/>
                <wp:effectExtent l="4445" t="4445" r="6985" b="10160"/>
                <wp:wrapNone/>
                <wp:docPr id="28" name="任意多边形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60095" cy="147320"/>
                        </a:xfrm>
                        <a:custGeom>
                          <a:avLst/>
                          <a:gdLst/>
                          <a:ahLst/>
                          <a:cxnLst/>
                          <a:pathLst>
                            <a:path w="3908" h="660">
                              <a:moveTo>
                                <a:pt x="0" y="0"/>
                              </a:moveTo>
                              <a:lnTo>
                                <a:pt x="3900" y="195"/>
                              </a:lnTo>
                              <a:lnTo>
                                <a:pt x="3908" y="435"/>
                              </a:lnTo>
                              <a:lnTo>
                                <a:pt x="3713" y="660"/>
                              </a:lnTo>
                              <a:lnTo>
                                <a:pt x="0" y="458"/>
                              </a:lnTo>
                              <a:lnTo>
                                <a:pt x="0" y="0"/>
                              </a:lnTo>
                              <a:close/>
                            </a:path>
                          </a:pathLst>
                        </a:cu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81.7pt;margin-top:55.2pt;height:11.6pt;width:59.85pt;z-index:251725824;mso-width-relative:page;mso-height-relative:page;" filled="f" stroked="t" coordsize="3908,660" o:gfxdata="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I5VtSzaAAAACwEAAA8AAAAAAAAAAQAgAAAAIgAA&#10;AGRycy9kb3ducmV2LnhtbFBLAQIUABQAAAAIAIdO4kBRGZrfeAIAAGQFAAAOAAAAAAAAAAEAIAAA&#10;ACkBAABkcnMvZTJvRG9jLnhtbFBLBQYAAAAABgAGAFkBAAATBgAAAAA=&#10;" path="m0,0l3900,195,3908,435,3713,660,0,458,0,0xe">
                <v:fill on="f" focussize="0,0"/>
                <v:stroke color="#FF0000" joinstyle="round"/>
                <v:imagedata o:title=""/>
                <o:lock v:ext="edit" aspectratio="t"/>
              </v:shape>
            </w:pict>
          </mc:Fallback>
        </mc:AlternateContent>
      </w:r>
      <w:r>
        <w:drawing>
          <wp:anchor distT="0" distB="0" distL="114300" distR="114300" simplePos="0" relativeHeight="251695104" behindDoc="0" locked="0" layoutInCell="1" allowOverlap="1">
            <wp:simplePos x="0" y="0"/>
            <wp:positionH relativeFrom="column">
              <wp:posOffset>-2540</wp:posOffset>
            </wp:positionH>
            <wp:positionV relativeFrom="paragraph">
              <wp:posOffset>26670</wp:posOffset>
            </wp:positionV>
            <wp:extent cx="2518410" cy="2198370"/>
            <wp:effectExtent l="0" t="0" r="5715" b="1905"/>
            <wp:wrapNone/>
            <wp:docPr id="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
                    <pic:cNvPicPr>
                      <a:picLocks noChangeAspect="1"/>
                    </pic:cNvPicPr>
                  </pic:nvPicPr>
                  <pic:blipFill>
                    <a:blip r:embed="rId25"/>
                    <a:stretch>
                      <a:fillRect/>
                    </a:stretch>
                  </pic:blipFill>
                  <pic:spPr>
                    <a:xfrm>
                      <a:off x="0" y="0"/>
                      <a:ext cx="2518410" cy="2198370"/>
                    </a:xfrm>
                    <a:prstGeom prst="rect">
                      <a:avLst/>
                    </a:prstGeom>
                    <a:noFill/>
                    <a:ln>
                      <a:noFill/>
                    </a:ln>
                  </pic:spPr>
                </pic:pic>
              </a:graphicData>
            </a:graphic>
          </wp:anchor>
        </w:drawing>
      </w:r>
      <w:r>
        <mc:AlternateContent>
          <mc:Choice Requires="wps">
            <w:drawing>
              <wp:anchor distT="0" distB="0" distL="114300" distR="114300" simplePos="0" relativeHeight="251692032" behindDoc="0" locked="0" layoutInCell="1" allowOverlap="1">
                <wp:simplePos x="0" y="0"/>
                <wp:positionH relativeFrom="column">
                  <wp:posOffset>3728085</wp:posOffset>
                </wp:positionH>
                <wp:positionV relativeFrom="paragraph">
                  <wp:posOffset>2062480</wp:posOffset>
                </wp:positionV>
                <wp:extent cx="1181100" cy="327660"/>
                <wp:effectExtent l="6350" t="6350" r="12700" b="637540"/>
                <wp:wrapNone/>
                <wp:docPr id="203" name="矩形标注 203"/>
                <wp:cNvGraphicFramePr/>
                <a:graphic xmlns:a="http://schemas.openxmlformats.org/drawingml/2006/main">
                  <a:graphicData uri="http://schemas.microsoft.com/office/word/2010/wordprocessingShape">
                    <wps:wsp>
                      <wps:cNvSpPr/>
                      <wps:spPr>
                        <a:xfrm>
                          <a:off x="0" y="0"/>
                          <a:ext cx="1181100" cy="327660"/>
                        </a:xfrm>
                        <a:prstGeom prst="wedgeRectCallout">
                          <a:avLst>
                            <a:gd name="adj1" fmla="val -45278"/>
                            <a:gd name="adj2" fmla="val 235519"/>
                          </a:avLst>
                        </a:prstGeom>
                        <a:solidFill>
                          <a:srgbClr val="FFFFFF"/>
                        </a:solidFill>
                        <a:ln w="12700" cap="flat" cmpd="sng">
                          <a:solidFill>
                            <a:srgbClr val="000001"/>
                          </a:solidFill>
                          <a:prstDash val="solid"/>
                          <a:miter/>
                          <a:headEnd type="none" w="med" len="med"/>
                          <a:tailEnd type="none" w="med" len="med"/>
                        </a:ln>
                        <a:effectLst/>
                      </wps:spPr>
                      <wps:txbx>
                        <w:txbxContent>
                          <w:p w14:paraId="7D964FCC">
                            <w:pPr>
                              <w:pStyle w:val="69"/>
                              <w:bidi w:val="0"/>
                            </w:pPr>
                            <w:r>
                              <w:rPr>
                                <w:rFonts w:hint="eastAsia"/>
                              </w:rPr>
                              <w:t>项目所在位置</w:t>
                            </w:r>
                          </w:p>
                        </w:txbxContent>
                      </wps:txbx>
                      <wps:bodyPr wrap="square" upright="1"/>
                    </wps:wsp>
                  </a:graphicData>
                </a:graphic>
              </wp:anchor>
            </w:drawing>
          </mc:Choice>
          <mc:Fallback>
            <w:pict>
              <v:shape id="_x0000_s1026" o:spid="_x0000_s1026" o:spt="61" type="#_x0000_t61" style="position:absolute;left:0pt;margin-left:293.55pt;margin-top:162.4pt;height:25.8pt;width:93pt;z-index:251692032;mso-width-relative:page;mso-height-relative:page;" fillcolor="#FFFFFF" filled="t" stroked="t" coordsize="21600,21600" o:gfxdata="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QapCtkAAAALAQAADwAAAAAA&#10;AAABACAAAAAiAAAAZHJzL2Rvd25yZXYueG1sUEsBAhQAFAAAAAgAh07iQOYDKtBLAgAArwQAAA4A&#10;AAAAAAAAAQAgAAAAKAEAAGRycy9lMm9Eb2MueG1sUEsFBgAAAAAGAAYAWQEAAOUFAAAAAA==&#10;" adj="1020,61672">
                <v:fill on="t" focussize="0,0"/>
                <v:stroke weight="1pt" color="#000001" joinstyle="miter"/>
                <v:imagedata o:title=""/>
                <o:lock v:ext="edit" aspectratio="f"/>
                <v:textbox>
                  <w:txbxContent>
                    <w:p w14:paraId="7D964FCC">
                      <w:pPr>
                        <w:pStyle w:val="69"/>
                        <w:bidi w:val="0"/>
                      </w:pPr>
                      <w:r>
                        <w:rPr>
                          <w:rFonts w:hint="eastAsia"/>
                        </w:rPr>
                        <w:t>项目所在位置</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3719830</wp:posOffset>
                </wp:positionH>
                <wp:positionV relativeFrom="paragraph">
                  <wp:posOffset>2985770</wp:posOffset>
                </wp:positionV>
                <wp:extent cx="95250" cy="106680"/>
                <wp:effectExtent l="4445" t="4445" r="5080" b="12700"/>
                <wp:wrapNone/>
                <wp:docPr id="47" name="椭圆 47"/>
                <wp:cNvGraphicFramePr/>
                <a:graphic xmlns:a="http://schemas.openxmlformats.org/drawingml/2006/main">
                  <a:graphicData uri="http://schemas.microsoft.com/office/word/2010/wordprocessingShape">
                    <wps:wsp>
                      <wps:cNvSpPr/>
                      <wps:spPr>
                        <a:xfrm>
                          <a:off x="0" y="0"/>
                          <a:ext cx="95250" cy="106680"/>
                        </a:xfrm>
                        <a:prstGeom prst="ellipse">
                          <a:avLst/>
                        </a:prstGeom>
                        <a:solidFill>
                          <a:srgbClr val="FFFF00"/>
                        </a:solidFill>
                        <a:ln w="9525" cap="flat" cmpd="sng">
                          <a:solidFill>
                            <a:srgbClr val="000000"/>
                          </a:solidFill>
                          <a:prstDash val="solid"/>
                          <a:headEnd type="none" w="med" len="med"/>
                          <a:tailEnd type="none" w="med" len="med"/>
                        </a:ln>
                        <a:effectLst/>
                      </wps:spPr>
                      <wps:txbx>
                        <w:txbxContent>
                          <w:p w14:paraId="70AE2D65">
                            <w:pPr>
                              <w:jc w:val="center"/>
                            </w:pPr>
                          </w:p>
                        </w:txbxContent>
                      </wps:txbx>
                      <wps:bodyPr wrap="square" upright="1"/>
                    </wps:wsp>
                  </a:graphicData>
                </a:graphic>
              </wp:anchor>
            </w:drawing>
          </mc:Choice>
          <mc:Fallback>
            <w:pict>
              <v:shape id="_x0000_s1026" o:spid="_x0000_s1026" o:spt="3" type="#_x0000_t3" style="position:absolute;left:0pt;margin-left:292.9pt;margin-top:235.1pt;height:8.4pt;width:7.5pt;z-index:251693056;mso-width-relative:page;mso-height-relative:page;" fillcolor="#FFFF00" filled="t" stroked="t" coordsize="21600,21600" o:gfxdata="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K6e91wAAAAsBAAAPAAAAAAAAAAEAIAAA&#10;ACIAAABkcnMvZG93bnJldi54bWxQSwECFAAUAAAACACHTuJAd91YpQ0CAAA+BAAADgAAAAAAAAAB&#10;ACAAAAAmAQAAZHJzL2Uyb0RvYy54bWxQSwUGAAAAAAYABgBZAQAApQUAAAAA&#10;">
                <v:fill on="t" focussize="0,0"/>
                <v:stroke color="#000000" joinstyle="round"/>
                <v:imagedata o:title=""/>
                <o:lock v:ext="edit" aspectratio="f"/>
                <v:textbox>
                  <w:txbxContent>
                    <w:p w14:paraId="70AE2D65">
                      <w:pPr>
                        <w:jc w:val="center"/>
                      </w:pPr>
                    </w:p>
                  </w:txbxContent>
                </v:textbox>
              </v:shape>
            </w:pict>
          </mc:Fallback>
        </mc:AlternateContent>
      </w:r>
      <w:r>
        <w:drawing>
          <wp:anchor distT="0" distB="0" distL="114300" distR="114300" simplePos="0" relativeHeight="251694080" behindDoc="0" locked="0" layoutInCell="1" allowOverlap="1">
            <wp:simplePos x="0" y="0"/>
            <wp:positionH relativeFrom="column">
              <wp:posOffset>7820660</wp:posOffset>
            </wp:positionH>
            <wp:positionV relativeFrom="paragraph">
              <wp:posOffset>3678555</wp:posOffset>
            </wp:positionV>
            <wp:extent cx="1275715" cy="1398270"/>
            <wp:effectExtent l="9525" t="9525" r="10160" b="11430"/>
            <wp:wrapNone/>
            <wp:docPr id="202" name="图片 4" descr="附图-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4" descr="附图-Model"/>
                    <pic:cNvPicPr>
                      <a:picLocks noChangeAspect="1"/>
                    </pic:cNvPicPr>
                  </pic:nvPicPr>
                  <pic:blipFill>
                    <a:blip r:embed="rId26"/>
                    <a:srcRect t="5933" b="6383"/>
                    <a:stretch>
                      <a:fillRect/>
                    </a:stretch>
                  </pic:blipFill>
                  <pic:spPr>
                    <a:xfrm>
                      <a:off x="0" y="0"/>
                      <a:ext cx="1275715" cy="1398270"/>
                    </a:xfrm>
                    <a:prstGeom prst="rect">
                      <a:avLst/>
                    </a:prstGeom>
                    <a:noFill/>
                    <a:ln w="9525" cap="flat" cmpd="sng">
                      <a:solidFill>
                        <a:srgbClr val="000000"/>
                      </a:solidFill>
                      <a:prstDash val="solid"/>
                      <a:miter/>
                      <a:headEnd type="none" w="med" len="med"/>
                      <a:tailEnd type="none" w="med" len="med"/>
                    </a:ln>
                  </pic:spPr>
                </pic:pic>
              </a:graphicData>
            </a:graphic>
          </wp:anchor>
        </w:drawing>
      </w:r>
      <w:r>
        <mc:AlternateContent>
          <mc:Choice Requires="wps">
            <w:drawing>
              <wp:anchor distT="0" distB="0" distL="114300" distR="114300" simplePos="0" relativeHeight="251696128" behindDoc="0" locked="0" layoutInCell="1" allowOverlap="1">
                <wp:simplePos x="0" y="0"/>
                <wp:positionH relativeFrom="column">
                  <wp:posOffset>2559050</wp:posOffset>
                </wp:positionH>
                <wp:positionV relativeFrom="paragraph">
                  <wp:posOffset>1325245</wp:posOffset>
                </wp:positionV>
                <wp:extent cx="1160780" cy="1713865"/>
                <wp:effectExtent l="0" t="0" r="20320" b="10160"/>
                <wp:wrapNone/>
                <wp:docPr id="43" name="直接箭头连接符 43"/>
                <wp:cNvGraphicFramePr/>
                <a:graphic xmlns:a="http://schemas.openxmlformats.org/drawingml/2006/main">
                  <a:graphicData uri="http://schemas.microsoft.com/office/word/2010/wordprocessingShape">
                    <wps:wsp>
                      <wps:cNvCnPr>
                        <a:stCxn id="47" idx="2"/>
                      </wps:cNvCnPr>
                      <wps:spPr>
                        <a:xfrm flipH="1" flipV="1">
                          <a:off x="0" y="0"/>
                          <a:ext cx="1160780" cy="1713865"/>
                        </a:xfrm>
                        <a:prstGeom prst="straightConnector1">
                          <a:avLst/>
                        </a:prstGeom>
                        <a:noFill/>
                        <a:ln w="28575" cap="flat" cmpd="sng" algn="ctr">
                          <a:solidFill>
                            <a:srgbClr val="000000"/>
                          </a:solidFill>
                          <a:prstDash val="sysDash"/>
                          <a:miter lim="800000"/>
                          <a:tailEnd type="arrow"/>
                        </a:ln>
                        <a:effectLst/>
                      </wps:spPr>
                      <wps:bodyPr/>
                    </wps:wsp>
                  </a:graphicData>
                </a:graphic>
              </wp:anchor>
            </w:drawing>
          </mc:Choice>
          <mc:Fallback>
            <w:pict>
              <v:shape id="_x0000_s1026" o:spid="_x0000_s1026" o:spt="32" type="#_x0000_t32" style="position:absolute;left:0pt;flip:x y;margin-left:201.5pt;margin-top:104.35pt;height:134.95pt;width:91.4pt;z-index:251696128;mso-width-relative:page;mso-height-relative:page;" filled="f" stroked="t" coordsize="21600,21600" o:gfxdata="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jjnzTZAAAACwEAAA8AAAAAAAAAAQAgAAAAIgAAAGRycy9kb3ducmV2LnhtbFBL&#10;AQIUABQAAAAIAIdO4kAMj2JwLgIAADIEAAAOAAAAAAAAAAEAIAAAACgBAABkcnMvZTJvRG9jLnht&#10;bFBLBQYAAAAABgAGAFkBAADIBQAAAAA=&#10;">
                <v:fill on="f" focussize="0,0"/>
                <v:stroke weight="2.25pt" color="#000000" miterlimit="8" joinstyle="miter" dashstyle="3 1" endarrow="open"/>
                <v:imagedata o:title=""/>
                <o:lock v:ext="edit" aspectratio="f"/>
              </v:shape>
            </w:pict>
          </mc:Fallback>
        </mc:AlternateContent>
      </w:r>
      <w:r>
        <w:drawing>
          <wp:inline distT="0" distB="0" distL="114300" distR="114300">
            <wp:extent cx="9103360" cy="5004435"/>
            <wp:effectExtent l="9525" t="9525" r="12065" b="15240"/>
            <wp:docPr id="201" name="图片 49" descr="沙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49" descr="沙坪"/>
                    <pic:cNvPicPr>
                      <a:picLocks noChangeAspect="1"/>
                    </pic:cNvPicPr>
                  </pic:nvPicPr>
                  <pic:blipFill>
                    <a:blip r:embed="rId27"/>
                    <a:srcRect t="9547" r="642" b="15268"/>
                    <a:stretch>
                      <a:fillRect/>
                    </a:stretch>
                  </pic:blipFill>
                  <pic:spPr>
                    <a:xfrm>
                      <a:off x="0" y="0"/>
                      <a:ext cx="9103360" cy="500443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087F0965">
      <w:pPr>
        <w:pStyle w:val="62"/>
        <w:rPr>
          <w:color w:val="auto"/>
        </w:rPr>
        <w:sectPr>
          <w:footerReference r:id="rId14" w:type="default"/>
          <w:pgSz w:w="16781" w:h="11849" w:orient="landscape"/>
          <w:pgMar w:top="1417" w:right="1417" w:bottom="1417" w:left="1417" w:header="992" w:footer="992" w:gutter="0"/>
          <w:pgNumType w:fmt="decimal"/>
          <w:cols w:space="720" w:num="1"/>
          <w:docGrid w:type="lines" w:linePitch="333" w:charSpace="0"/>
        </w:sectPr>
      </w:pPr>
      <w:r>
        <w:rPr>
          <w:rFonts w:hint="eastAsia"/>
          <w:color w:val="auto"/>
        </w:rPr>
        <w:t>图0-1  建设项目地理位置图</w:t>
      </w:r>
      <w:bookmarkStart w:id="15" w:name="_Toc12738"/>
    </w:p>
    <w:p w14:paraId="53140367">
      <w:pPr>
        <w:pStyle w:val="62"/>
        <w:bidi w:val="0"/>
        <w:rPr>
          <w:rFonts w:hint="eastAsia" w:eastAsia="宋体"/>
          <w:lang w:eastAsia="zh-CN"/>
        </w:rPr>
      </w:pPr>
      <w:r>
        <w:rPr>
          <w:rFonts w:hint="eastAsia" w:ascii="Times New Roman" w:hAnsi="Times New Roman" w:eastAsia="宋体" w:cs="Times New Roman"/>
          <w:color w:val="auto"/>
          <w:lang w:val="en-US" w:eastAsia="zh-CN"/>
        </w:rPr>
        <w:t xml:space="preserve"> </w:t>
      </w:r>
      <w:bookmarkStart w:id="16" w:name="_Toc9370"/>
      <w:r>
        <mc:AlternateContent>
          <mc:Choice Requires="wps">
            <w:drawing>
              <wp:anchor distT="0" distB="0" distL="114300" distR="114300" simplePos="0" relativeHeight="251729920" behindDoc="0" locked="0" layoutInCell="1" allowOverlap="1">
                <wp:simplePos x="0" y="0"/>
                <wp:positionH relativeFrom="column">
                  <wp:posOffset>3799205</wp:posOffset>
                </wp:positionH>
                <wp:positionV relativeFrom="paragraph">
                  <wp:posOffset>1424305</wp:posOffset>
                </wp:positionV>
                <wp:extent cx="1181100" cy="327660"/>
                <wp:effectExtent l="6350" t="6350" r="12700" b="637540"/>
                <wp:wrapNone/>
                <wp:docPr id="27" name="矩形标注 27"/>
                <wp:cNvGraphicFramePr/>
                <a:graphic xmlns:a="http://schemas.openxmlformats.org/drawingml/2006/main">
                  <a:graphicData uri="http://schemas.microsoft.com/office/word/2010/wordprocessingShape">
                    <wps:wsp>
                      <wps:cNvSpPr/>
                      <wps:spPr>
                        <a:xfrm>
                          <a:off x="0" y="0"/>
                          <a:ext cx="1181100" cy="327660"/>
                        </a:xfrm>
                        <a:prstGeom prst="wedgeRectCallout">
                          <a:avLst>
                            <a:gd name="adj1" fmla="val -45278"/>
                            <a:gd name="adj2" fmla="val 235519"/>
                          </a:avLst>
                        </a:prstGeom>
                        <a:solidFill>
                          <a:srgbClr val="FFFFFF"/>
                        </a:solidFill>
                        <a:ln w="12700" cap="flat" cmpd="sng">
                          <a:solidFill>
                            <a:srgbClr val="000001"/>
                          </a:solidFill>
                          <a:prstDash val="solid"/>
                          <a:miter/>
                          <a:headEnd type="none" w="med" len="med"/>
                          <a:tailEnd type="none" w="med" len="med"/>
                        </a:ln>
                        <a:effectLst/>
                      </wps:spPr>
                      <wps:txbx>
                        <w:txbxContent>
                          <w:p w14:paraId="7B964199">
                            <w:pPr>
                              <w:pStyle w:val="69"/>
                              <w:bidi w:val="0"/>
                            </w:pPr>
                            <w:r>
                              <w:rPr>
                                <w:rFonts w:hint="eastAsia"/>
                              </w:rPr>
                              <w:t>项目所在位置</w:t>
                            </w:r>
                          </w:p>
                        </w:txbxContent>
                      </wps:txbx>
                      <wps:bodyPr wrap="square" upright="1"/>
                    </wps:wsp>
                  </a:graphicData>
                </a:graphic>
              </wp:anchor>
            </w:drawing>
          </mc:Choice>
          <mc:Fallback>
            <w:pict>
              <v:shape id="_x0000_s1026" o:spid="_x0000_s1026" o:spt="61" type="#_x0000_t61" style="position:absolute;left:0pt;margin-left:299.15pt;margin-top:112.15pt;height:25.8pt;width:93pt;z-index:251729920;mso-width-relative:page;mso-height-relative:page;" fillcolor="#FFFFFF" filled="t" stroked="t" coordsize="21600,21600" o:gfxdata="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QUHPKtkAAAALAQAADwAAAAAA&#10;AAABACAAAAAiAAAAZHJzL2Rvd25yZXYueG1sUEsBAhQAFAAAAAgAh07iQHOm8slLAgAArQQAAA4A&#10;AAAAAAAAAQAgAAAAKAEAAGRycy9lMm9Eb2MueG1sUEsFBgAAAAAGAAYAWQEAAOUFAAAAAA==&#10;" adj="1020,61672">
                <v:fill on="t" focussize="0,0"/>
                <v:stroke weight="1pt" color="#000001" joinstyle="miter"/>
                <v:imagedata o:title=""/>
                <o:lock v:ext="edit" aspectratio="f"/>
                <v:textbox>
                  <w:txbxContent>
                    <w:p w14:paraId="7B964199">
                      <w:pPr>
                        <w:pStyle w:val="69"/>
                        <w:bidi w:val="0"/>
                      </w:pPr>
                      <w:r>
                        <w:rPr>
                          <w:rFonts w:hint="eastAsia"/>
                        </w:rPr>
                        <w:t>项目所在位置</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3714115</wp:posOffset>
                </wp:positionH>
                <wp:positionV relativeFrom="paragraph">
                  <wp:posOffset>2344420</wp:posOffset>
                </wp:positionV>
                <wp:extent cx="222885" cy="43180"/>
                <wp:effectExtent l="4445" t="4445" r="10795" b="9525"/>
                <wp:wrapNone/>
                <wp:docPr id="26" name="任意多边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2885" cy="43180"/>
                        </a:xfrm>
                        <a:custGeom>
                          <a:avLst/>
                          <a:gdLst/>
                          <a:ahLst/>
                          <a:cxnLst/>
                          <a:pathLst>
                            <a:path w="3908" h="660">
                              <a:moveTo>
                                <a:pt x="0" y="0"/>
                              </a:moveTo>
                              <a:lnTo>
                                <a:pt x="3900" y="195"/>
                              </a:lnTo>
                              <a:lnTo>
                                <a:pt x="3908" y="435"/>
                              </a:lnTo>
                              <a:lnTo>
                                <a:pt x="3713" y="660"/>
                              </a:lnTo>
                              <a:lnTo>
                                <a:pt x="0" y="458"/>
                              </a:lnTo>
                              <a:lnTo>
                                <a:pt x="0" y="0"/>
                              </a:lnTo>
                              <a:close/>
                            </a:path>
                          </a:pathLst>
                        </a:custGeom>
                        <a:noFill/>
                        <a:ln w="9525"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92.45pt;margin-top:184.6pt;height:3.4pt;width:17.55pt;z-index:251728896;mso-width-relative:page;mso-height-relative:page;" filled="f" stroked="t" coordsize="3908,660" o:gfxdata="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4GhFfdwAAAALAQAADwAAAAAAAAABACAAAAAiAAAA&#10;ZHJzL2Rvd25yZXYueG1sUEsBAhQAFAAAAAgAh07iQNPadb11AgAAYwUAAA4AAAAAAAAAAQAgAAAA&#10;KwEAAGRycy9lMm9Eb2MueG1sUEsFBgAAAAAGAAYAWQEAABIGAAAAAA==&#10;" path="m0,0l3900,195,3908,435,3713,660,0,458,0,0xe">
                <v:fill on="f" focussize="0,0"/>
                <v:stroke color="#FF0000" joinstyle="round"/>
                <v:imagedata o:title=""/>
                <o:lock v:ext="edit" aspectratio="t"/>
              </v:shape>
            </w:pict>
          </mc:Fallback>
        </mc:AlternateContent>
      </w:r>
      <w:r>
        <w:rPr>
          <w:rFonts w:hint="eastAsia" w:eastAsia="宋体"/>
          <w:lang w:eastAsia="zh-CN"/>
        </w:rPr>
        <w:drawing>
          <wp:inline distT="0" distB="0" distL="114300" distR="114300">
            <wp:extent cx="7446645" cy="5266055"/>
            <wp:effectExtent l="0" t="0" r="1905" b="1270"/>
            <wp:docPr id="20" name="图片 20" descr="（已压缩）440784103鹤山市古劳镇三连工业区控制性详细规划送审稿(12月)_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已压缩）440784103鹤山市古劳镇三连工业区控制性详细规划送审稿(12月)_158"/>
                    <pic:cNvPicPr>
                      <a:picLocks noChangeAspect="1"/>
                    </pic:cNvPicPr>
                  </pic:nvPicPr>
                  <pic:blipFill>
                    <a:blip r:embed="rId28"/>
                    <a:stretch>
                      <a:fillRect/>
                    </a:stretch>
                  </pic:blipFill>
                  <pic:spPr>
                    <a:xfrm>
                      <a:off x="0" y="0"/>
                      <a:ext cx="7446645" cy="5266055"/>
                    </a:xfrm>
                    <a:prstGeom prst="rect">
                      <a:avLst/>
                    </a:prstGeom>
                  </pic:spPr>
                </pic:pic>
              </a:graphicData>
            </a:graphic>
          </wp:inline>
        </w:drawing>
      </w:r>
    </w:p>
    <w:p w14:paraId="4DEBA171">
      <w:pPr>
        <w:pStyle w:val="62"/>
        <w:bidi w:val="0"/>
        <w:rPr>
          <w:rFonts w:hint="default" w:eastAsia="宋体"/>
          <w:lang w:val="en-US" w:eastAsia="zh-CN"/>
        </w:rPr>
        <w:sectPr>
          <w:footerReference r:id="rId15" w:type="default"/>
          <w:pgSz w:w="16781" w:h="11849" w:orient="landscape"/>
          <w:pgMar w:top="1417" w:right="1417" w:bottom="1417" w:left="1417" w:header="992" w:footer="992" w:gutter="0"/>
          <w:pgNumType w:fmt="decimal"/>
          <w:cols w:space="720" w:num="1"/>
          <w:docGrid w:type="lines" w:linePitch="332" w:charSpace="0"/>
        </w:sectPr>
      </w:pPr>
      <w:r>
        <w:rPr>
          <w:rFonts w:hint="eastAsia"/>
          <w:lang w:val="en-US" w:eastAsia="zh-CN"/>
        </w:rPr>
        <w:t>图0-2  鹤山市古劳镇三连工业区控制性详细规划</w:t>
      </w:r>
    </w:p>
    <w:p w14:paraId="4FB6AFDD">
      <w:pPr>
        <w:pStyle w:val="66"/>
        <w:numPr>
          <w:ilvl w:val="0"/>
          <w:numId w:val="8"/>
        </w:numPr>
        <w:ind w:left="425" w:leftChars="0" w:hanging="425"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总  则</w:t>
      </w:r>
      <w:bookmarkEnd w:id="15"/>
      <w:bookmarkEnd w:id="16"/>
    </w:p>
    <w:p w14:paraId="0940AB9B">
      <w:pPr>
        <w:pStyle w:val="67"/>
        <w:numPr>
          <w:ilvl w:val="1"/>
          <w:numId w:val="8"/>
        </w:numPr>
        <w:bidi w:val="0"/>
        <w:ind w:left="567" w:leftChars="0" w:hanging="567" w:firstLineChars="0"/>
        <w:rPr>
          <w:color w:val="auto"/>
        </w:rPr>
      </w:pPr>
      <w:bookmarkStart w:id="17" w:name="_Toc10524"/>
      <w:bookmarkStart w:id="18" w:name="_Toc16948"/>
      <w:r>
        <w:rPr>
          <w:rFonts w:hint="eastAsia"/>
          <w:color w:val="auto"/>
        </w:rPr>
        <w:t>编制依据</w:t>
      </w:r>
      <w:bookmarkEnd w:id="17"/>
      <w:bookmarkEnd w:id="18"/>
    </w:p>
    <w:p w14:paraId="2596B8E2">
      <w:pPr>
        <w:pStyle w:val="64"/>
        <w:numPr>
          <w:ilvl w:val="2"/>
          <w:numId w:val="8"/>
        </w:numPr>
        <w:spacing w:before="120" w:after="120"/>
        <w:ind w:left="709" w:leftChars="0" w:hanging="709" w:firstLineChars="0"/>
        <w:rPr>
          <w:color w:val="auto"/>
        </w:rPr>
      </w:pPr>
      <w:r>
        <w:rPr>
          <w:color w:val="auto"/>
        </w:rPr>
        <w:t>国家法律、法规及政策</w:t>
      </w:r>
    </w:p>
    <w:p w14:paraId="2A853CC0">
      <w:pPr>
        <w:numPr>
          <w:ilvl w:val="0"/>
          <w:numId w:val="9"/>
        </w:numPr>
        <w:ind w:left="0" w:firstLine="480"/>
        <w:rPr>
          <w:rFonts w:hint="eastAsia"/>
          <w:color w:val="auto"/>
        </w:rPr>
      </w:pPr>
      <w:r>
        <w:rPr>
          <w:rFonts w:hint="eastAsia"/>
          <w:color w:val="auto"/>
        </w:rPr>
        <w:t>《中华人民共和国噪声污染防治法》（2021年12月24日第十三届全国人民代表大会常务委员会第三十二次会议通过</w:t>
      </w:r>
      <w:r>
        <w:rPr>
          <w:rFonts w:hint="eastAsia"/>
          <w:color w:val="auto"/>
          <w:lang w:eastAsia="zh-CN"/>
        </w:rPr>
        <w:t>，</w:t>
      </w:r>
      <w:r>
        <w:rPr>
          <w:rFonts w:hint="eastAsia"/>
          <w:color w:val="auto"/>
        </w:rPr>
        <w:t>自2022年6月5日起施行）；</w:t>
      </w:r>
    </w:p>
    <w:p w14:paraId="4C0D1E91">
      <w:pPr>
        <w:numPr>
          <w:ilvl w:val="0"/>
          <w:numId w:val="9"/>
        </w:numPr>
        <w:ind w:left="0" w:firstLine="480"/>
        <w:rPr>
          <w:color w:val="auto"/>
        </w:rPr>
      </w:pPr>
      <w:r>
        <w:rPr>
          <w:rFonts w:hint="eastAsia"/>
          <w:color w:val="auto"/>
        </w:rPr>
        <w:t>《中华人民共和国大气污染防治法》（2018年10月26日第十三届全国人民代表大会常务委员会第六次会议）；</w:t>
      </w:r>
    </w:p>
    <w:p w14:paraId="601AC8EE">
      <w:pPr>
        <w:numPr>
          <w:ilvl w:val="0"/>
          <w:numId w:val="9"/>
        </w:numPr>
        <w:ind w:left="0" w:firstLine="480"/>
        <w:rPr>
          <w:color w:val="auto"/>
        </w:rPr>
      </w:pPr>
      <w:r>
        <w:rPr>
          <w:rFonts w:hint="eastAsia"/>
          <w:color w:val="auto"/>
        </w:rPr>
        <w:t>《中华人民共和国水法》（2016年7月修订）；</w:t>
      </w:r>
    </w:p>
    <w:p w14:paraId="44A03EB9">
      <w:pPr>
        <w:numPr>
          <w:ilvl w:val="0"/>
          <w:numId w:val="9"/>
        </w:numPr>
        <w:ind w:left="0" w:firstLine="480"/>
        <w:rPr>
          <w:color w:val="auto"/>
        </w:rPr>
      </w:pPr>
      <w:r>
        <w:rPr>
          <w:rFonts w:hint="eastAsia"/>
          <w:color w:val="auto"/>
        </w:rPr>
        <w:t>《中华人民共和国土地管理法》（2020年1月1日施行）；</w:t>
      </w:r>
    </w:p>
    <w:p w14:paraId="636DDE8F">
      <w:pPr>
        <w:numPr>
          <w:ilvl w:val="0"/>
          <w:numId w:val="9"/>
        </w:numPr>
        <w:ind w:left="0" w:firstLine="480"/>
        <w:rPr>
          <w:color w:val="auto"/>
        </w:rPr>
      </w:pPr>
      <w:r>
        <w:rPr>
          <w:rFonts w:hint="eastAsia"/>
          <w:color w:val="auto"/>
        </w:rPr>
        <w:t>《中华人民共和国环境保护法》（2014年4月24日修订通过，自2015年1月1日起施行）；</w:t>
      </w:r>
    </w:p>
    <w:p w14:paraId="7B594F02">
      <w:pPr>
        <w:numPr>
          <w:ilvl w:val="0"/>
          <w:numId w:val="9"/>
        </w:numPr>
        <w:ind w:left="0" w:firstLine="480"/>
        <w:rPr>
          <w:color w:val="auto"/>
        </w:rPr>
      </w:pPr>
      <w:r>
        <w:rPr>
          <w:rFonts w:hint="eastAsia"/>
          <w:color w:val="auto"/>
        </w:rPr>
        <w:t>《中华人民共和国水污染防治法》（2017年6月28日修订通过，自2018年1月1日起施行）；</w:t>
      </w:r>
    </w:p>
    <w:p w14:paraId="35C5BC74">
      <w:pPr>
        <w:numPr>
          <w:ilvl w:val="0"/>
          <w:numId w:val="9"/>
        </w:numPr>
        <w:ind w:left="0" w:firstLine="480"/>
        <w:rPr>
          <w:color w:val="auto"/>
        </w:rPr>
      </w:pPr>
      <w:r>
        <w:rPr>
          <w:rFonts w:hint="eastAsia"/>
          <w:color w:val="auto"/>
        </w:rPr>
        <w:t>《中华人民共和国固体废物污染环境防治法》（2020年4月29日修订通过，自2020年9月1日起施行）；</w:t>
      </w:r>
    </w:p>
    <w:p w14:paraId="389F6826">
      <w:pPr>
        <w:numPr>
          <w:ilvl w:val="0"/>
          <w:numId w:val="9"/>
        </w:numPr>
        <w:ind w:left="0" w:firstLine="480"/>
        <w:rPr>
          <w:color w:val="auto"/>
        </w:rPr>
      </w:pPr>
      <w:r>
        <w:rPr>
          <w:rFonts w:hint="eastAsia"/>
          <w:color w:val="auto"/>
        </w:rPr>
        <w:t>《中华人民共和国环境影响评价法》（</w:t>
      </w:r>
      <w:r>
        <w:rPr>
          <w:color w:val="auto"/>
        </w:rPr>
        <w:t>2016年7月2日</w:t>
      </w:r>
      <w:r>
        <w:rPr>
          <w:rFonts w:hint="eastAsia"/>
          <w:color w:val="auto"/>
        </w:rPr>
        <w:t>修正</w:t>
      </w:r>
      <w:r>
        <w:rPr>
          <w:color w:val="auto"/>
        </w:rPr>
        <w:t>，自2016年9月1日起施行</w:t>
      </w:r>
      <w:r>
        <w:rPr>
          <w:rFonts w:hint="eastAsia"/>
          <w:color w:val="auto"/>
        </w:rPr>
        <w:t>）；</w:t>
      </w:r>
    </w:p>
    <w:p w14:paraId="39062536">
      <w:pPr>
        <w:numPr>
          <w:ilvl w:val="0"/>
          <w:numId w:val="9"/>
        </w:numPr>
        <w:ind w:left="0" w:firstLine="480"/>
        <w:rPr>
          <w:color w:val="auto"/>
        </w:rPr>
      </w:pPr>
      <w:r>
        <w:rPr>
          <w:color w:val="auto"/>
        </w:rPr>
        <w:t>《城镇排水与污水处理条例》</w:t>
      </w:r>
      <w:r>
        <w:rPr>
          <w:rFonts w:hint="eastAsia"/>
          <w:color w:val="auto"/>
        </w:rPr>
        <w:t>（</w:t>
      </w:r>
      <w:r>
        <w:rPr>
          <w:color w:val="auto"/>
        </w:rPr>
        <w:t>国务院令第641号</w:t>
      </w:r>
      <w:r>
        <w:rPr>
          <w:rFonts w:hint="eastAsia"/>
          <w:color w:val="auto"/>
        </w:rPr>
        <w:t>，</w:t>
      </w:r>
      <w:r>
        <w:rPr>
          <w:color w:val="auto"/>
        </w:rPr>
        <w:t>2013年9月18日通过</w:t>
      </w:r>
      <w:r>
        <w:rPr>
          <w:rFonts w:hint="eastAsia"/>
          <w:color w:val="auto"/>
        </w:rPr>
        <w:t>，</w:t>
      </w:r>
      <w:r>
        <w:rPr>
          <w:color w:val="auto"/>
        </w:rPr>
        <w:t>自2014年1月1日起施行</w:t>
      </w:r>
      <w:r>
        <w:rPr>
          <w:rFonts w:hint="eastAsia"/>
          <w:color w:val="auto"/>
        </w:rPr>
        <w:t>）；</w:t>
      </w:r>
    </w:p>
    <w:p w14:paraId="67693964">
      <w:pPr>
        <w:numPr>
          <w:ilvl w:val="0"/>
          <w:numId w:val="9"/>
        </w:numPr>
        <w:ind w:left="0" w:firstLine="480"/>
        <w:rPr>
          <w:color w:val="auto"/>
        </w:rPr>
      </w:pPr>
      <w:r>
        <w:rPr>
          <w:rFonts w:hint="eastAsia"/>
          <w:color w:val="auto"/>
        </w:rPr>
        <w:t>《产业结构调整指导目录（2019年本）》；</w:t>
      </w:r>
    </w:p>
    <w:p w14:paraId="09DD0F44">
      <w:pPr>
        <w:numPr>
          <w:ilvl w:val="0"/>
          <w:numId w:val="9"/>
        </w:numPr>
        <w:ind w:left="0" w:firstLine="480"/>
        <w:rPr>
          <w:color w:val="auto"/>
        </w:rPr>
      </w:pPr>
      <w:r>
        <w:rPr>
          <w:color w:val="auto"/>
        </w:rPr>
        <w:t>《城市建筑垃圾管理规定》</w:t>
      </w:r>
      <w:r>
        <w:rPr>
          <w:rFonts w:hint="eastAsia"/>
          <w:color w:val="auto"/>
        </w:rPr>
        <w:t>（</w:t>
      </w:r>
      <w:r>
        <w:rPr>
          <w:color w:val="auto"/>
        </w:rPr>
        <w:t>中华人</w:t>
      </w:r>
      <w:bookmarkStart w:id="368" w:name="_GoBack"/>
      <w:bookmarkEnd w:id="368"/>
      <w:r>
        <w:rPr>
          <w:color w:val="auto"/>
        </w:rPr>
        <w:t>民共和国建设部令</w:t>
      </w:r>
      <w:r>
        <w:rPr>
          <w:rFonts w:hint="eastAsia"/>
          <w:color w:val="auto"/>
        </w:rPr>
        <w:t xml:space="preserve"> </w:t>
      </w:r>
      <w:r>
        <w:rPr>
          <w:color w:val="auto"/>
        </w:rPr>
        <w:t>第139号</w:t>
      </w:r>
      <w:r>
        <w:rPr>
          <w:rFonts w:hint="eastAsia"/>
          <w:color w:val="auto"/>
        </w:rPr>
        <w:t>，2005年3月1日通过，2005年6月1日施行）；</w:t>
      </w:r>
    </w:p>
    <w:p w14:paraId="21208FB3">
      <w:pPr>
        <w:numPr>
          <w:ilvl w:val="0"/>
          <w:numId w:val="9"/>
        </w:numPr>
        <w:ind w:left="0" w:firstLine="480"/>
        <w:rPr>
          <w:color w:val="auto"/>
        </w:rPr>
      </w:pPr>
      <w:r>
        <w:rPr>
          <w:rFonts w:hint="eastAsia"/>
          <w:color w:val="auto"/>
        </w:rPr>
        <w:t>《国家突发事件总体应急预案》（2005年8月7日发布实施）；</w:t>
      </w:r>
    </w:p>
    <w:p w14:paraId="3F78140A">
      <w:pPr>
        <w:numPr>
          <w:ilvl w:val="0"/>
          <w:numId w:val="9"/>
        </w:numPr>
        <w:ind w:left="0" w:firstLine="480"/>
        <w:rPr>
          <w:color w:val="auto"/>
        </w:rPr>
      </w:pPr>
      <w:r>
        <w:rPr>
          <w:rFonts w:hint="eastAsia"/>
          <w:color w:val="auto"/>
          <w:kern w:val="0"/>
        </w:rPr>
        <w:t>《</w:t>
      </w:r>
      <w:r>
        <w:rPr>
          <w:color w:val="auto"/>
          <w:kern w:val="0"/>
        </w:rPr>
        <w:t>废弃危险化学品污染环境防治办法</w:t>
      </w:r>
      <w:r>
        <w:rPr>
          <w:rFonts w:hint="eastAsia"/>
          <w:color w:val="auto"/>
        </w:rPr>
        <w:t>》（</w:t>
      </w:r>
      <w:r>
        <w:rPr>
          <w:color w:val="auto"/>
        </w:rPr>
        <w:t>国家环境保护总局令 第27号</w:t>
      </w:r>
      <w:r>
        <w:rPr>
          <w:rFonts w:hint="eastAsia"/>
          <w:color w:val="auto"/>
        </w:rPr>
        <w:t>，</w:t>
      </w:r>
      <w:r>
        <w:rPr>
          <w:color w:val="auto"/>
        </w:rPr>
        <w:t>2005年8月18日通过，2005年10月1日起施行</w:t>
      </w:r>
      <w:r>
        <w:rPr>
          <w:rFonts w:hint="eastAsia"/>
          <w:color w:val="auto"/>
        </w:rPr>
        <w:t>）</w:t>
      </w:r>
    </w:p>
    <w:p w14:paraId="4FEFFFFE">
      <w:pPr>
        <w:numPr>
          <w:ilvl w:val="0"/>
          <w:numId w:val="9"/>
        </w:numPr>
        <w:ind w:left="0" w:firstLine="480"/>
        <w:rPr>
          <w:color w:val="auto"/>
        </w:rPr>
      </w:pPr>
      <w:r>
        <w:rPr>
          <w:color w:val="auto"/>
        </w:rPr>
        <w:t>《关于加强城市建设项目环境影响评价监督管理工作的通知》（环办[2008]70号）</w:t>
      </w:r>
      <w:r>
        <w:rPr>
          <w:rFonts w:hint="eastAsia"/>
          <w:color w:val="auto"/>
        </w:rPr>
        <w:t>；</w:t>
      </w:r>
    </w:p>
    <w:p w14:paraId="2AE3FF1B">
      <w:pPr>
        <w:numPr>
          <w:ilvl w:val="0"/>
          <w:numId w:val="9"/>
        </w:numPr>
        <w:ind w:left="0" w:firstLine="480"/>
        <w:rPr>
          <w:color w:val="auto"/>
        </w:rPr>
      </w:pPr>
      <w:r>
        <w:rPr>
          <w:rFonts w:hint="eastAsia"/>
          <w:color w:val="auto"/>
        </w:rPr>
        <w:t>《建设项目环境影响评价文件分级审批规定》（2008年12月11日修订通过，自2009年3月1日起施行）；</w:t>
      </w:r>
    </w:p>
    <w:p w14:paraId="57570A02">
      <w:pPr>
        <w:numPr>
          <w:ilvl w:val="0"/>
          <w:numId w:val="9"/>
        </w:numPr>
        <w:ind w:left="0" w:firstLine="480"/>
        <w:rPr>
          <w:color w:val="auto"/>
        </w:rPr>
      </w:pPr>
      <w:r>
        <w:rPr>
          <w:color w:val="auto"/>
          <w:kern w:val="0"/>
        </w:rPr>
        <w:t>《关于加强环境噪声污染防治工作改善城乡声环境质量的指导意见》（环发</w:t>
      </w:r>
      <w:r>
        <w:rPr>
          <w:rFonts w:hint="eastAsia"/>
          <w:color w:val="auto"/>
          <w:kern w:val="0"/>
        </w:rPr>
        <w:t>[</w:t>
      </w:r>
      <w:r>
        <w:rPr>
          <w:color w:val="auto"/>
        </w:rPr>
        <w:t>2010</w:t>
      </w:r>
      <w:r>
        <w:rPr>
          <w:rFonts w:hint="eastAsia"/>
          <w:color w:val="auto"/>
          <w:kern w:val="0"/>
        </w:rPr>
        <w:t>]</w:t>
      </w:r>
      <w:r>
        <w:rPr>
          <w:color w:val="auto"/>
          <w:kern w:val="0"/>
        </w:rPr>
        <w:t>144号）</w:t>
      </w:r>
      <w:r>
        <w:rPr>
          <w:rFonts w:hint="eastAsia"/>
          <w:color w:val="auto"/>
          <w:kern w:val="0"/>
        </w:rPr>
        <w:t>；</w:t>
      </w:r>
    </w:p>
    <w:p w14:paraId="1C034F15">
      <w:pPr>
        <w:numPr>
          <w:ilvl w:val="0"/>
          <w:numId w:val="9"/>
        </w:numPr>
        <w:ind w:left="0" w:firstLine="480"/>
        <w:rPr>
          <w:color w:val="auto"/>
        </w:rPr>
      </w:pPr>
      <w:r>
        <w:rPr>
          <w:color w:val="auto"/>
          <w:kern w:val="0"/>
        </w:rPr>
        <w:t>《</w:t>
      </w:r>
      <w:r>
        <w:rPr>
          <w:rFonts w:hint="eastAsia"/>
          <w:color w:val="auto"/>
        </w:rPr>
        <w:t>关于进一步环境影响评价管理防范环境风险的通知》（环发[2012]77号）；</w:t>
      </w:r>
    </w:p>
    <w:p w14:paraId="66EE36AB">
      <w:pPr>
        <w:numPr>
          <w:ilvl w:val="0"/>
          <w:numId w:val="9"/>
        </w:numPr>
        <w:ind w:left="0" w:firstLine="480"/>
        <w:rPr>
          <w:color w:val="auto"/>
        </w:rPr>
      </w:pPr>
      <w:r>
        <w:rPr>
          <w:rFonts w:hint="eastAsia"/>
          <w:color w:val="auto"/>
        </w:rPr>
        <w:t>《关于发布实施&lt;限制用地项目目录（2012年本）&gt;和&lt;禁止用地项目目录（2012年本）&gt;的通知》，2012年5月23日发布施行；</w:t>
      </w:r>
    </w:p>
    <w:p w14:paraId="4D927808">
      <w:pPr>
        <w:numPr>
          <w:ilvl w:val="0"/>
          <w:numId w:val="9"/>
        </w:numPr>
        <w:ind w:left="0" w:firstLine="480"/>
        <w:rPr>
          <w:color w:val="auto"/>
        </w:rPr>
      </w:pPr>
      <w:r>
        <w:rPr>
          <w:color w:val="auto"/>
        </w:rPr>
        <w:t>《建设项目环境影响评价政府信息公开指南（试行）》</w:t>
      </w:r>
      <w:r>
        <w:rPr>
          <w:rFonts w:hint="eastAsia"/>
          <w:color w:val="auto"/>
        </w:rPr>
        <w:t>（</w:t>
      </w:r>
      <w:r>
        <w:rPr>
          <w:color w:val="auto"/>
        </w:rPr>
        <w:t>2013年11月14日</w:t>
      </w:r>
      <w:r>
        <w:rPr>
          <w:rFonts w:hint="eastAsia"/>
          <w:color w:val="auto"/>
        </w:rPr>
        <w:t>发布，2014年1月1日起施行）；</w:t>
      </w:r>
    </w:p>
    <w:p w14:paraId="15990412">
      <w:pPr>
        <w:numPr>
          <w:ilvl w:val="0"/>
          <w:numId w:val="9"/>
        </w:numPr>
        <w:ind w:left="0" w:firstLine="480"/>
        <w:rPr>
          <w:color w:val="auto"/>
        </w:rPr>
      </w:pPr>
      <w:r>
        <w:rPr>
          <w:rFonts w:hint="eastAsia"/>
          <w:color w:val="auto"/>
        </w:rPr>
        <w:t xml:space="preserve">《关于发布&lt;吸附法工业有机废气治理工程技术规范&gt;等五项国家环境保护标准的公告》（环保部公告 </w:t>
      </w:r>
      <w:r>
        <w:rPr>
          <w:color w:val="auto"/>
        </w:rPr>
        <w:t xml:space="preserve">2013 </w:t>
      </w:r>
      <w:r>
        <w:rPr>
          <w:rFonts w:hint="eastAsia"/>
          <w:color w:val="auto"/>
        </w:rPr>
        <w:t>年 第</w:t>
      </w:r>
      <w:r>
        <w:rPr>
          <w:color w:val="auto"/>
        </w:rPr>
        <w:t xml:space="preserve">18 </w:t>
      </w:r>
      <w:r>
        <w:rPr>
          <w:rFonts w:hint="eastAsia"/>
          <w:color w:val="auto"/>
        </w:rPr>
        <w:t>号）；</w:t>
      </w:r>
    </w:p>
    <w:p w14:paraId="249BF227">
      <w:pPr>
        <w:numPr>
          <w:ilvl w:val="0"/>
          <w:numId w:val="9"/>
        </w:numPr>
        <w:ind w:left="0" w:firstLine="480"/>
        <w:rPr>
          <w:color w:val="auto"/>
        </w:rPr>
      </w:pPr>
      <w:r>
        <w:rPr>
          <w:rFonts w:hint="eastAsia"/>
          <w:color w:val="auto"/>
        </w:rPr>
        <w:t xml:space="preserve">《挥发性有机物污染防治技术政策》（环保部公告 </w:t>
      </w:r>
      <w:r>
        <w:rPr>
          <w:color w:val="auto"/>
        </w:rPr>
        <w:t xml:space="preserve">2013 </w:t>
      </w:r>
      <w:r>
        <w:rPr>
          <w:rFonts w:hint="eastAsia"/>
          <w:color w:val="auto"/>
        </w:rPr>
        <w:t>年 第</w:t>
      </w:r>
      <w:r>
        <w:rPr>
          <w:color w:val="auto"/>
        </w:rPr>
        <w:t xml:space="preserve">31 </w:t>
      </w:r>
      <w:r>
        <w:rPr>
          <w:rFonts w:hint="eastAsia"/>
          <w:color w:val="auto"/>
        </w:rPr>
        <w:t>号）；</w:t>
      </w:r>
    </w:p>
    <w:p w14:paraId="34C847B0">
      <w:pPr>
        <w:numPr>
          <w:ilvl w:val="0"/>
          <w:numId w:val="9"/>
        </w:numPr>
        <w:ind w:left="0" w:firstLine="480"/>
        <w:rPr>
          <w:color w:val="auto"/>
        </w:rPr>
      </w:pPr>
      <w:r>
        <w:rPr>
          <w:rFonts w:hint="eastAsia"/>
          <w:color w:val="auto"/>
        </w:rPr>
        <w:t>《国务院关于印发</w:t>
      </w:r>
      <w:r>
        <w:rPr>
          <w:rFonts w:ascii="Arial" w:hAnsi="Arial" w:cs="Arial"/>
          <w:color w:val="auto"/>
          <w:shd w:val="clear" w:color="auto" w:fill="FFFFFF"/>
        </w:rPr>
        <w:t>大气污染</w:t>
      </w:r>
      <w:r>
        <w:rPr>
          <w:color w:val="auto"/>
        </w:rPr>
        <w:t>防治行动</w:t>
      </w:r>
      <w:r>
        <w:rPr>
          <w:rFonts w:ascii="Arial" w:hAnsi="Arial" w:cs="Arial"/>
          <w:color w:val="auto"/>
          <w:shd w:val="clear" w:color="auto" w:fill="FFFFFF"/>
        </w:rPr>
        <w:t>计划</w:t>
      </w:r>
      <w:r>
        <w:rPr>
          <w:color w:val="auto"/>
        </w:rPr>
        <w:t>的通知</w:t>
      </w:r>
      <w:r>
        <w:rPr>
          <w:rFonts w:hint="eastAsia"/>
          <w:color w:val="auto"/>
        </w:rPr>
        <w:t>》（</w:t>
      </w:r>
      <w:r>
        <w:rPr>
          <w:color w:val="auto"/>
        </w:rPr>
        <w:t>国发（2013）37号</w:t>
      </w:r>
      <w:r>
        <w:rPr>
          <w:rFonts w:hint="eastAsia"/>
          <w:color w:val="auto"/>
        </w:rPr>
        <w:t>）；</w:t>
      </w:r>
    </w:p>
    <w:p w14:paraId="08F8E01A">
      <w:pPr>
        <w:numPr>
          <w:ilvl w:val="0"/>
          <w:numId w:val="9"/>
        </w:numPr>
        <w:ind w:left="0" w:firstLine="480"/>
        <w:rPr>
          <w:color w:val="auto"/>
        </w:rPr>
      </w:pPr>
      <w:r>
        <w:rPr>
          <w:rFonts w:hint="eastAsia"/>
          <w:color w:val="auto"/>
        </w:rPr>
        <w:t>《</w:t>
      </w:r>
      <w:r>
        <w:rPr>
          <w:color w:val="auto"/>
        </w:rPr>
        <w:t>大气污染防治行动计划实施情况考核办法（试行）》</w:t>
      </w:r>
      <w:r>
        <w:rPr>
          <w:rFonts w:hint="eastAsia"/>
          <w:color w:val="auto"/>
        </w:rPr>
        <w:t>（</w:t>
      </w:r>
      <w:r>
        <w:rPr>
          <w:color w:val="auto"/>
        </w:rPr>
        <w:t>国办发〔2014〕21号</w:t>
      </w:r>
      <w:r>
        <w:rPr>
          <w:rFonts w:hint="eastAsia"/>
          <w:color w:val="auto"/>
        </w:rPr>
        <w:t>）；</w:t>
      </w:r>
    </w:p>
    <w:p w14:paraId="40AA7604">
      <w:pPr>
        <w:numPr>
          <w:ilvl w:val="0"/>
          <w:numId w:val="9"/>
        </w:numPr>
        <w:ind w:left="0" w:firstLine="480"/>
        <w:rPr>
          <w:color w:val="auto"/>
        </w:rPr>
      </w:pPr>
      <w:r>
        <w:rPr>
          <w:rFonts w:hint="eastAsia"/>
          <w:color w:val="auto"/>
        </w:rPr>
        <w:t>《</w:t>
      </w:r>
      <w:r>
        <w:rPr>
          <w:color w:val="auto"/>
        </w:rPr>
        <w:t>关于进一步加强环境影响评价违法项目责任追究的通知</w:t>
      </w:r>
      <w:r>
        <w:rPr>
          <w:rFonts w:hint="eastAsia"/>
          <w:color w:val="auto"/>
        </w:rPr>
        <w:t>》（</w:t>
      </w:r>
      <w:r>
        <w:rPr>
          <w:color w:val="auto"/>
        </w:rPr>
        <w:t>环办函[2015]389号</w:t>
      </w:r>
      <w:r>
        <w:rPr>
          <w:rFonts w:hint="eastAsia"/>
          <w:color w:val="auto"/>
        </w:rPr>
        <w:t>）；</w:t>
      </w:r>
    </w:p>
    <w:p w14:paraId="71C34D79">
      <w:pPr>
        <w:numPr>
          <w:ilvl w:val="0"/>
          <w:numId w:val="9"/>
        </w:numPr>
        <w:ind w:left="0" w:firstLine="480"/>
        <w:rPr>
          <w:color w:val="auto"/>
        </w:rPr>
      </w:pPr>
      <w:r>
        <w:rPr>
          <w:rFonts w:hint="eastAsia"/>
          <w:color w:val="auto"/>
        </w:rPr>
        <w:t>《危险化学品名录（2015年版）》（2015年5月1日起施行）；</w:t>
      </w:r>
    </w:p>
    <w:p w14:paraId="66DE0028">
      <w:pPr>
        <w:numPr>
          <w:ilvl w:val="0"/>
          <w:numId w:val="9"/>
        </w:numPr>
        <w:ind w:left="0" w:firstLine="480"/>
        <w:rPr>
          <w:bCs/>
          <w:color w:val="auto"/>
        </w:rPr>
      </w:pPr>
      <w:r>
        <w:rPr>
          <w:rFonts w:hint="eastAsia"/>
          <w:bCs/>
          <w:color w:val="auto"/>
        </w:rPr>
        <w:t>《</w:t>
      </w:r>
      <w:r>
        <w:rPr>
          <w:bCs/>
          <w:color w:val="auto"/>
        </w:rPr>
        <w:t>水污染防治行动计划的通知</w:t>
      </w:r>
      <w:r>
        <w:rPr>
          <w:rFonts w:hint="eastAsia"/>
          <w:bCs/>
          <w:color w:val="auto"/>
        </w:rPr>
        <w:t>》</w:t>
      </w:r>
      <w:r>
        <w:rPr>
          <w:bCs/>
          <w:color w:val="auto"/>
        </w:rPr>
        <w:t>（国发〔2015〕17号）</w:t>
      </w:r>
      <w:r>
        <w:rPr>
          <w:rFonts w:hint="eastAsia"/>
          <w:bCs/>
          <w:color w:val="auto"/>
        </w:rPr>
        <w:t>；</w:t>
      </w:r>
    </w:p>
    <w:p w14:paraId="770464D7">
      <w:pPr>
        <w:numPr>
          <w:ilvl w:val="0"/>
          <w:numId w:val="9"/>
        </w:numPr>
        <w:ind w:left="0" w:firstLine="480"/>
        <w:rPr>
          <w:color w:val="auto"/>
        </w:rPr>
      </w:pPr>
      <w:r>
        <w:rPr>
          <w:rFonts w:hint="eastAsia"/>
          <w:bCs/>
          <w:color w:val="auto"/>
        </w:rPr>
        <w:t>《</w:t>
      </w:r>
      <w:r>
        <w:rPr>
          <w:color w:val="auto"/>
        </w:rPr>
        <w:fldChar w:fldCharType="begin"/>
      </w:r>
      <w:r>
        <w:rPr>
          <w:color w:val="auto"/>
        </w:rPr>
        <w:instrText xml:space="preserve"> HYPERLINK "http://www.mep.gov.cn/gkml/hbb/bl/201504/t20150429_299852.htm" </w:instrText>
      </w:r>
      <w:r>
        <w:rPr>
          <w:color w:val="auto"/>
        </w:rPr>
        <w:fldChar w:fldCharType="separate"/>
      </w:r>
      <w:r>
        <w:rPr>
          <w:bCs/>
          <w:color w:val="auto"/>
        </w:rPr>
        <w:t>突发环境事件应急管理办法</w:t>
      </w:r>
      <w:r>
        <w:rPr>
          <w:bCs/>
          <w:color w:val="auto"/>
        </w:rPr>
        <w:fldChar w:fldCharType="end"/>
      </w:r>
      <w:r>
        <w:rPr>
          <w:rFonts w:hint="eastAsia"/>
          <w:bCs/>
          <w:color w:val="auto"/>
        </w:rPr>
        <w:t>》（2015年3月19日环境保护部部务会议通过，自2015年 6月5日起施行）；</w:t>
      </w:r>
    </w:p>
    <w:p w14:paraId="097F6121">
      <w:pPr>
        <w:numPr>
          <w:ilvl w:val="0"/>
          <w:numId w:val="9"/>
        </w:numPr>
        <w:ind w:left="0" w:firstLine="480"/>
        <w:rPr>
          <w:color w:val="auto"/>
        </w:rPr>
      </w:pPr>
      <w:r>
        <w:rPr>
          <w:color w:val="auto"/>
        </w:rPr>
        <w:t>《关于</w:t>
      </w:r>
      <w:r>
        <w:rPr>
          <w:rFonts w:hint="eastAsia"/>
          <w:color w:val="auto"/>
        </w:rPr>
        <w:t>以改善环境质量为核心加强环境影响评价管理的通知》(环环评〔2016〕150号)；</w:t>
      </w:r>
    </w:p>
    <w:p w14:paraId="5E306A15">
      <w:pPr>
        <w:numPr>
          <w:ilvl w:val="0"/>
          <w:numId w:val="9"/>
        </w:numPr>
        <w:ind w:left="0" w:firstLine="480"/>
        <w:rPr>
          <w:color w:val="auto"/>
        </w:rPr>
      </w:pPr>
      <w:r>
        <w:rPr>
          <w:rFonts w:hint="eastAsia"/>
          <w:color w:val="auto"/>
        </w:rPr>
        <w:t>《</w:t>
      </w:r>
      <w:r>
        <w:rPr>
          <w:color w:val="auto"/>
        </w:rPr>
        <w:t>土壤污染防治行动计划》</w:t>
      </w:r>
      <w:r>
        <w:rPr>
          <w:rFonts w:hint="eastAsia"/>
          <w:color w:val="auto"/>
        </w:rPr>
        <w:t>（</w:t>
      </w:r>
      <w:r>
        <w:rPr>
          <w:color w:val="auto"/>
        </w:rPr>
        <w:t>自2016年5月28日起实施</w:t>
      </w:r>
      <w:r>
        <w:rPr>
          <w:rFonts w:hint="eastAsia"/>
          <w:color w:val="auto"/>
        </w:rPr>
        <w:t>）；</w:t>
      </w:r>
    </w:p>
    <w:p w14:paraId="7F6C91B7">
      <w:pPr>
        <w:numPr>
          <w:ilvl w:val="0"/>
          <w:numId w:val="9"/>
        </w:numPr>
        <w:ind w:left="0" w:firstLine="480"/>
        <w:rPr>
          <w:rFonts w:hint="eastAsia"/>
          <w:color w:val="auto"/>
          <w:lang w:eastAsia="zh-CN"/>
        </w:rPr>
      </w:pPr>
      <w:r>
        <w:rPr>
          <w:rFonts w:hint="eastAsia"/>
          <w:color w:val="auto"/>
        </w:rPr>
        <w:t>《建设项目环境保护管理条例》（</w:t>
      </w:r>
      <w:r>
        <w:rPr>
          <w:color w:val="auto"/>
        </w:rPr>
        <w:t>国令第</w:t>
      </w:r>
      <w:r>
        <w:rPr>
          <w:rFonts w:hint="eastAsia"/>
          <w:color w:val="auto"/>
        </w:rPr>
        <w:t>682</w:t>
      </w:r>
      <w:r>
        <w:rPr>
          <w:color w:val="auto"/>
        </w:rPr>
        <w:t>号</w:t>
      </w:r>
      <w:r>
        <w:rPr>
          <w:rFonts w:hint="eastAsia"/>
          <w:color w:val="auto"/>
        </w:rPr>
        <w:t>，自2017年10月1日起施行）；</w:t>
      </w:r>
    </w:p>
    <w:p w14:paraId="3F8AC2A7">
      <w:pPr>
        <w:numPr>
          <w:ilvl w:val="0"/>
          <w:numId w:val="9"/>
        </w:numPr>
        <w:ind w:left="0" w:firstLine="480"/>
        <w:rPr>
          <w:rFonts w:hint="eastAsia"/>
          <w:color w:val="auto"/>
          <w:lang w:eastAsia="zh-CN"/>
        </w:rPr>
      </w:pPr>
      <w:r>
        <w:rPr>
          <w:rFonts w:hint="eastAsia"/>
          <w:color w:val="auto"/>
          <w:lang w:eastAsia="zh-CN"/>
        </w:rPr>
        <w:t>《</w:t>
      </w:r>
      <w:r>
        <w:rPr>
          <w:color w:val="auto"/>
        </w:rPr>
        <w:t>关于加强“未批先建”建设项目环境影响评价管理工作的通知</w:t>
      </w:r>
      <w:r>
        <w:rPr>
          <w:rFonts w:hint="eastAsia"/>
          <w:color w:val="auto"/>
          <w:lang w:eastAsia="zh-CN"/>
        </w:rPr>
        <w:t>》（</w:t>
      </w:r>
      <w:r>
        <w:rPr>
          <w:color w:val="auto"/>
        </w:rPr>
        <w:t>环办环评〔2018〕18号</w:t>
      </w:r>
      <w:r>
        <w:rPr>
          <w:rFonts w:hint="eastAsia"/>
          <w:color w:val="auto"/>
          <w:lang w:eastAsia="zh-CN"/>
        </w:rPr>
        <w:t>）；</w:t>
      </w:r>
    </w:p>
    <w:p w14:paraId="23A0FDF4">
      <w:pPr>
        <w:numPr>
          <w:ilvl w:val="0"/>
          <w:numId w:val="9"/>
        </w:numPr>
        <w:ind w:left="0" w:firstLine="480"/>
        <w:rPr>
          <w:color w:val="auto"/>
        </w:rPr>
      </w:pPr>
      <w:r>
        <w:rPr>
          <w:rFonts w:hint="eastAsia"/>
          <w:color w:val="auto"/>
          <w:lang w:eastAsia="zh-CN"/>
        </w:rPr>
        <w:t>《市场准入负面清单》（2025年本）</w:t>
      </w:r>
      <w:r>
        <w:rPr>
          <w:rFonts w:hint="eastAsia"/>
          <w:color w:val="auto"/>
        </w:rPr>
        <w:t>；</w:t>
      </w:r>
    </w:p>
    <w:p w14:paraId="11B59F25">
      <w:pPr>
        <w:numPr>
          <w:ilvl w:val="0"/>
          <w:numId w:val="9"/>
        </w:numPr>
        <w:ind w:left="0" w:firstLine="480"/>
        <w:rPr>
          <w:color w:val="auto"/>
        </w:rPr>
      </w:pPr>
      <w:r>
        <w:rPr>
          <w:rFonts w:hint="eastAsia"/>
          <w:color w:val="auto"/>
        </w:rPr>
        <w:t>《关于印发〈2020年挥发性有机物治理攻坚方案〉的通知》（环大气〔2020〕33号）</w:t>
      </w:r>
      <w:r>
        <w:rPr>
          <w:rFonts w:hint="eastAsia"/>
          <w:color w:val="auto"/>
          <w:lang w:eastAsia="zh-CN"/>
        </w:rPr>
        <w:t>；</w:t>
      </w:r>
    </w:p>
    <w:p w14:paraId="5137ABF5">
      <w:pPr>
        <w:numPr>
          <w:ilvl w:val="0"/>
          <w:numId w:val="9"/>
        </w:numPr>
        <w:ind w:left="0" w:firstLine="480"/>
        <w:rPr>
          <w:rFonts w:hint="eastAsia" w:eastAsia="宋体"/>
          <w:color w:val="auto"/>
          <w:lang w:eastAsia="zh-CN"/>
        </w:rPr>
      </w:pPr>
      <w:r>
        <w:rPr>
          <w:rFonts w:hint="eastAsia" w:eastAsia="宋体"/>
          <w:color w:val="auto"/>
          <w:lang w:eastAsia="zh-CN"/>
        </w:rPr>
        <w:t>《</w:t>
      </w:r>
      <w:r>
        <w:rPr>
          <w:rFonts w:hint="eastAsia" w:eastAsia="宋体"/>
          <w:color w:val="auto"/>
          <w:lang w:eastAsia="zh-CN"/>
        </w:rPr>
        <w:fldChar w:fldCharType="begin"/>
      </w:r>
      <w:r>
        <w:rPr>
          <w:rFonts w:hint="eastAsia" w:eastAsia="宋体"/>
          <w:color w:val="auto"/>
          <w:lang w:eastAsia="zh-CN"/>
        </w:rPr>
        <w:instrText xml:space="preserve"> HYPERLINK "http://www.mee.gov.cn/xxgk2018/xxgk/xxgk05/202101/t20210108_816592.html" </w:instrText>
      </w:r>
      <w:r>
        <w:rPr>
          <w:rFonts w:hint="eastAsia" w:eastAsia="宋体"/>
          <w:color w:val="auto"/>
          <w:lang w:eastAsia="zh-CN"/>
        </w:rPr>
        <w:fldChar w:fldCharType="separate"/>
      </w:r>
      <w:r>
        <w:rPr>
          <w:rFonts w:hint="eastAsia" w:eastAsia="宋体"/>
          <w:color w:val="auto"/>
          <w:lang w:eastAsia="zh-CN"/>
        </w:rPr>
        <w:t>关于加强重点行业建设项目区域削减措施监督管理的通知</w:t>
      </w:r>
      <w:r>
        <w:rPr>
          <w:rFonts w:hint="eastAsia" w:eastAsia="宋体"/>
          <w:color w:val="auto"/>
          <w:lang w:eastAsia="zh-CN"/>
        </w:rPr>
        <w:fldChar w:fldCharType="end"/>
      </w:r>
      <w:r>
        <w:rPr>
          <w:rFonts w:hint="eastAsia" w:eastAsia="宋体"/>
          <w:color w:val="auto"/>
          <w:lang w:eastAsia="zh-CN"/>
        </w:rPr>
        <w:t>》（环办环评〔2020〕36号）；</w:t>
      </w:r>
    </w:p>
    <w:p w14:paraId="7DD1A7F9">
      <w:pPr>
        <w:numPr>
          <w:ilvl w:val="0"/>
          <w:numId w:val="9"/>
        </w:numPr>
        <w:ind w:left="0" w:firstLine="480"/>
        <w:rPr>
          <w:color w:val="auto"/>
        </w:rPr>
      </w:pPr>
      <w:r>
        <w:rPr>
          <w:rFonts w:hint="eastAsia"/>
          <w:color w:val="auto"/>
          <w:lang w:eastAsia="zh-CN"/>
        </w:rPr>
        <w:t>《国家危险废物名录》（2025年本）</w:t>
      </w:r>
      <w:r>
        <w:rPr>
          <w:rFonts w:hint="eastAsia"/>
          <w:color w:val="auto"/>
        </w:rPr>
        <w:t>；</w:t>
      </w:r>
    </w:p>
    <w:p w14:paraId="21BCBECB">
      <w:pPr>
        <w:numPr>
          <w:ilvl w:val="0"/>
          <w:numId w:val="9"/>
        </w:numPr>
        <w:ind w:lef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《建设项目环境影响评价分类管理名录》（2021年本）；</w:t>
      </w:r>
    </w:p>
    <w:p w14:paraId="09FC5B87">
      <w:pPr>
        <w:numPr>
          <w:ilvl w:val="0"/>
          <w:numId w:val="9"/>
        </w:numPr>
        <w:ind w:left="0" w:firstLine="480"/>
        <w:rPr>
          <w:rFonts w:hint="eastAsia"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《关于加强重点行业涉新污染物建设项目环境影响评价工作的意见》（环环评〔2025〕28号）</w:t>
      </w:r>
      <w:r>
        <w:rPr>
          <w:rFonts w:hint="eastAsia" w:ascii="Times New Roman" w:hAnsi="Times New Roman" w:eastAsia="宋体" w:cs="Times New Roman"/>
          <w:color w:val="auto"/>
          <w:lang w:val="en-US" w:eastAsia="zh-CN"/>
        </w:rPr>
        <w:t>；</w:t>
      </w:r>
    </w:p>
    <w:p w14:paraId="528F7388">
      <w:pPr>
        <w:pStyle w:val="64"/>
        <w:numPr>
          <w:ilvl w:val="2"/>
          <w:numId w:val="8"/>
        </w:numPr>
        <w:spacing w:before="120" w:after="120"/>
        <w:ind w:left="709" w:leftChars="0" w:hanging="709" w:firstLineChars="0"/>
        <w:rPr>
          <w:rFonts w:ascii="Times New Roman" w:hAnsi="Times New Roman" w:eastAsia="宋体" w:cs="Times New Roman"/>
          <w:color w:val="auto"/>
        </w:rPr>
      </w:pPr>
      <w:r>
        <w:rPr>
          <w:rFonts w:ascii="Times New Roman" w:hAnsi="Times New Roman" w:eastAsia="宋体" w:cs="Times New Roman"/>
          <w:color w:val="auto"/>
        </w:rPr>
        <w:t>地方性法规和规范性文件</w:t>
      </w:r>
    </w:p>
    <w:p w14:paraId="434885A6">
      <w:pPr>
        <w:numPr>
          <w:ilvl w:val="0"/>
          <w:numId w:val="10"/>
        </w:numPr>
        <w:tabs>
          <w:tab w:val="left" w:pos="420"/>
          <w:tab w:val="left" w:pos="900"/>
          <w:tab w:val="clear" w:pos="425"/>
        </w:tabs>
        <w:ind w:left="0" w:firstLine="480"/>
        <w:rPr>
          <w:color w:val="auto"/>
        </w:rPr>
      </w:pPr>
      <w:r>
        <w:rPr>
          <w:color w:val="auto"/>
        </w:rPr>
        <w:t>《广东省环境保护条例》（</w:t>
      </w:r>
      <w:r>
        <w:rPr>
          <w:rFonts w:hint="eastAsia"/>
          <w:color w:val="auto"/>
          <w:lang w:val="en-US" w:eastAsia="zh-CN"/>
        </w:rPr>
        <w:t>2022年修正版，</w:t>
      </w:r>
      <w:r>
        <w:rPr>
          <w:rFonts w:hint="default"/>
          <w:color w:val="auto"/>
          <w:lang w:val="en-US" w:eastAsia="zh-CN"/>
        </w:rPr>
        <w:t>20</w:t>
      </w:r>
      <w:r>
        <w:rPr>
          <w:rFonts w:hint="eastAsia"/>
          <w:color w:val="auto"/>
          <w:lang w:val="en-US" w:eastAsia="zh-CN"/>
        </w:rPr>
        <w:t>22年11月30日广东省第十三届人民代表大会常务委员会第四十七次会议</w:t>
      </w:r>
      <w:r>
        <w:rPr>
          <w:color w:val="auto"/>
        </w:rPr>
        <w:t>）；</w:t>
      </w:r>
    </w:p>
    <w:p w14:paraId="6F843EE4">
      <w:pPr>
        <w:numPr>
          <w:ilvl w:val="0"/>
          <w:numId w:val="10"/>
        </w:numPr>
        <w:tabs>
          <w:tab w:val="left" w:pos="420"/>
          <w:tab w:val="left" w:pos="900"/>
          <w:tab w:val="clear" w:pos="425"/>
        </w:tabs>
        <w:ind w:left="0" w:firstLine="480"/>
        <w:rPr>
          <w:color w:val="auto"/>
        </w:rPr>
      </w:pPr>
      <w:r>
        <w:rPr>
          <w:color w:val="auto"/>
        </w:rPr>
        <w:t>《广东省固体废物污染环境防治条例》（</w:t>
      </w:r>
      <w:r>
        <w:rPr>
          <w:rFonts w:hint="eastAsia"/>
          <w:color w:val="auto"/>
        </w:rPr>
        <w:t>2018年11月29日修订通过，自2019年3月1日起施行</w:t>
      </w:r>
      <w:r>
        <w:rPr>
          <w:color w:val="auto"/>
        </w:rPr>
        <w:t>）；</w:t>
      </w:r>
    </w:p>
    <w:p w14:paraId="1C8B25B3">
      <w:pPr>
        <w:numPr>
          <w:ilvl w:val="0"/>
          <w:numId w:val="10"/>
        </w:numPr>
        <w:tabs>
          <w:tab w:val="left" w:pos="420"/>
          <w:tab w:val="left" w:pos="900"/>
          <w:tab w:val="clear" w:pos="425"/>
        </w:tabs>
        <w:ind w:left="0" w:firstLine="480"/>
        <w:rPr>
          <w:color w:val="auto"/>
        </w:rPr>
      </w:pPr>
      <w:r>
        <w:rPr>
          <w:color w:val="auto"/>
        </w:rPr>
        <w:t>《广东地表水环境功能区划》</w:t>
      </w:r>
      <w:r>
        <w:rPr>
          <w:rFonts w:hint="eastAsia"/>
          <w:color w:val="auto"/>
        </w:rPr>
        <w:t>（</w:t>
      </w:r>
      <w:r>
        <w:rPr>
          <w:color w:val="auto"/>
        </w:rPr>
        <w:t>粤</w:t>
      </w:r>
      <w:r>
        <w:rPr>
          <w:rFonts w:hint="eastAsia"/>
          <w:color w:val="auto"/>
        </w:rPr>
        <w:t>环</w:t>
      </w:r>
      <w:r>
        <w:rPr>
          <w:color w:val="auto"/>
        </w:rPr>
        <w:t>[2011]</w:t>
      </w:r>
      <w:r>
        <w:rPr>
          <w:rFonts w:hint="eastAsia"/>
          <w:color w:val="auto"/>
        </w:rPr>
        <w:t>14</w:t>
      </w:r>
      <w:r>
        <w:rPr>
          <w:color w:val="auto"/>
        </w:rPr>
        <w:t>号</w:t>
      </w:r>
      <w:r>
        <w:rPr>
          <w:rFonts w:hint="eastAsia"/>
          <w:color w:val="auto"/>
        </w:rPr>
        <w:t>）</w:t>
      </w:r>
      <w:r>
        <w:rPr>
          <w:color w:val="auto"/>
        </w:rPr>
        <w:t>；</w:t>
      </w:r>
    </w:p>
    <w:p w14:paraId="508131CB">
      <w:pPr>
        <w:numPr>
          <w:ilvl w:val="0"/>
          <w:numId w:val="10"/>
        </w:numPr>
        <w:tabs>
          <w:tab w:val="left" w:pos="420"/>
          <w:tab w:val="left" w:pos="900"/>
          <w:tab w:val="clear" w:pos="425"/>
        </w:tabs>
        <w:ind w:left="0" w:firstLine="480"/>
        <w:rPr>
          <w:color w:val="auto"/>
        </w:rPr>
      </w:pPr>
      <w:r>
        <w:rPr>
          <w:rFonts w:hint="eastAsia"/>
          <w:color w:val="auto"/>
        </w:rPr>
        <w:t>《广东省地下水保护与利用规划》（粤水资源函[2011]377号）；</w:t>
      </w:r>
    </w:p>
    <w:p w14:paraId="6E1C1EBA">
      <w:pPr>
        <w:numPr>
          <w:ilvl w:val="0"/>
          <w:numId w:val="10"/>
        </w:numPr>
        <w:tabs>
          <w:tab w:val="left" w:pos="420"/>
          <w:tab w:val="left" w:pos="900"/>
          <w:tab w:val="clear" w:pos="425"/>
        </w:tabs>
        <w:ind w:left="0" w:firstLine="480"/>
        <w:rPr>
          <w:color w:val="auto"/>
        </w:rPr>
      </w:pPr>
      <w:r>
        <w:rPr>
          <w:color w:val="auto"/>
        </w:rPr>
        <w:t>《关于珠江三角洲地区严格控制工业企业挥发性有机物（VOCs）排放的意见》</w:t>
      </w:r>
      <w:r>
        <w:rPr>
          <w:rFonts w:hint="eastAsia"/>
          <w:color w:val="auto"/>
        </w:rPr>
        <w:t>（</w:t>
      </w:r>
      <w:r>
        <w:rPr>
          <w:color w:val="auto"/>
        </w:rPr>
        <w:t>粤环[2012]18号</w:t>
      </w:r>
      <w:r>
        <w:rPr>
          <w:rFonts w:hint="eastAsia"/>
          <w:color w:val="auto"/>
        </w:rPr>
        <w:t>）</w:t>
      </w:r>
      <w:r>
        <w:rPr>
          <w:color w:val="auto"/>
        </w:rPr>
        <w:t>；</w:t>
      </w:r>
    </w:p>
    <w:p w14:paraId="051741D8">
      <w:pPr>
        <w:numPr>
          <w:ilvl w:val="0"/>
          <w:numId w:val="10"/>
        </w:numPr>
        <w:tabs>
          <w:tab w:val="left" w:pos="420"/>
          <w:tab w:val="left" w:pos="900"/>
          <w:tab w:val="clear" w:pos="425"/>
        </w:tabs>
        <w:ind w:left="0" w:firstLine="480"/>
        <w:rPr>
          <w:color w:val="auto"/>
        </w:rPr>
      </w:pPr>
      <w:r>
        <w:rPr>
          <w:rFonts w:hint="eastAsia"/>
          <w:color w:val="auto"/>
        </w:rPr>
        <w:t>《广东省城乡生活垃圾处理条例》（自2016年1月1日起施行）；</w:t>
      </w:r>
    </w:p>
    <w:p w14:paraId="1C80CA28">
      <w:pPr>
        <w:numPr>
          <w:ilvl w:val="0"/>
          <w:numId w:val="10"/>
        </w:numPr>
        <w:tabs>
          <w:tab w:val="left" w:pos="420"/>
          <w:tab w:val="left" w:pos="900"/>
          <w:tab w:val="clear" w:pos="425"/>
        </w:tabs>
        <w:ind w:left="0" w:firstLine="480"/>
        <w:rPr>
          <w:color w:val="auto"/>
        </w:rPr>
      </w:pPr>
      <w:r>
        <w:rPr>
          <w:rFonts w:hint="eastAsia"/>
          <w:color w:val="auto"/>
        </w:rPr>
        <w:t>《广东省环境保护厅关于印发广东省重金属污染综合防治“十三五”规划的通知》（</w:t>
      </w:r>
      <w:r>
        <w:rPr>
          <w:color w:val="auto"/>
        </w:rPr>
        <w:t>粤环发〔2017〕2号</w:t>
      </w:r>
      <w:r>
        <w:rPr>
          <w:rFonts w:hint="eastAsia"/>
          <w:color w:val="auto"/>
        </w:rPr>
        <w:t>）；</w:t>
      </w:r>
    </w:p>
    <w:p w14:paraId="0B6714BF">
      <w:pPr>
        <w:numPr>
          <w:ilvl w:val="0"/>
          <w:numId w:val="10"/>
        </w:numPr>
        <w:tabs>
          <w:tab w:val="left" w:pos="420"/>
          <w:tab w:val="left" w:pos="900"/>
          <w:tab w:val="clear" w:pos="425"/>
        </w:tabs>
        <w:ind w:left="0" w:firstLine="480"/>
        <w:rPr>
          <w:color w:val="auto"/>
        </w:rPr>
      </w:pPr>
      <w:r>
        <w:rPr>
          <w:rFonts w:hint="eastAsia"/>
          <w:color w:val="auto"/>
        </w:rPr>
        <w:t>《南粤水更清行动计划（修订本）（2017-2020年）》（粤环[2017]28号）；</w:t>
      </w:r>
    </w:p>
    <w:p w14:paraId="3C49C044">
      <w:pPr>
        <w:numPr>
          <w:ilvl w:val="0"/>
          <w:numId w:val="10"/>
        </w:numPr>
        <w:tabs>
          <w:tab w:val="left" w:pos="480"/>
        </w:tabs>
        <w:snapToGrid w:val="0"/>
        <w:ind w:left="0" w:firstLine="480"/>
        <w:rPr>
          <w:color w:val="auto"/>
        </w:rPr>
      </w:pPr>
      <w:r>
        <w:rPr>
          <w:rFonts w:hint="eastAsia"/>
          <w:color w:val="auto"/>
        </w:rPr>
        <w:t>《广东省饮用水源水质保护条例》（2018年11月29日广东省第十三届人民代表大会常务委员会第七次会议修正）；</w:t>
      </w:r>
    </w:p>
    <w:p w14:paraId="2671B95E">
      <w:pPr>
        <w:numPr>
          <w:ilvl w:val="0"/>
          <w:numId w:val="10"/>
        </w:numPr>
        <w:tabs>
          <w:tab w:val="left" w:pos="480"/>
        </w:tabs>
        <w:snapToGrid w:val="0"/>
        <w:ind w:left="0" w:firstLine="480"/>
        <w:rPr>
          <w:rFonts w:hint="eastAsia"/>
          <w:color w:val="auto"/>
          <w:lang w:eastAsia="zh-CN"/>
        </w:rPr>
      </w:pPr>
      <w:r>
        <w:rPr>
          <w:rFonts w:hint="eastAsia"/>
          <w:color w:val="auto"/>
        </w:rPr>
        <w:t>关于发布《突发环境事件应急预案备案行业名录（指导性意见）》的通知（粤环〔2018〕44号）</w:t>
      </w:r>
      <w:r>
        <w:rPr>
          <w:rFonts w:hint="eastAsia"/>
          <w:color w:val="auto"/>
          <w:lang w:eastAsia="zh-CN"/>
        </w:rPr>
        <w:t>；</w:t>
      </w:r>
    </w:p>
    <w:p w14:paraId="73ACD5CA">
      <w:pPr>
        <w:numPr>
          <w:ilvl w:val="0"/>
          <w:numId w:val="10"/>
        </w:numPr>
        <w:tabs>
          <w:tab w:val="left" w:pos="480"/>
        </w:tabs>
        <w:snapToGrid w:val="0"/>
        <w:ind w:left="0" w:firstLine="480"/>
        <w:rPr>
          <w:color w:val="auto"/>
        </w:rPr>
      </w:pPr>
      <w:r>
        <w:rPr>
          <w:rFonts w:hint="eastAsia"/>
          <w:color w:val="auto"/>
          <w:lang w:eastAsia="zh-CN"/>
        </w:rPr>
        <w:t>《</w:t>
      </w:r>
      <w:r>
        <w:rPr>
          <w:rFonts w:hint="eastAsia"/>
          <w:color w:val="auto"/>
        </w:rPr>
        <w:t>广东省人民政府关于调整江门市部分饮用水水保护区的批复</w:t>
      </w:r>
      <w:r>
        <w:rPr>
          <w:rFonts w:hint="eastAsia"/>
          <w:color w:val="auto"/>
          <w:lang w:eastAsia="zh-CN"/>
        </w:rPr>
        <w:t>》（</w:t>
      </w:r>
      <w:r>
        <w:rPr>
          <w:color w:val="auto"/>
        </w:rPr>
        <w:t>粤府函〔</w:t>
      </w:r>
      <w:r>
        <w:rPr>
          <w:rFonts w:hint="eastAsia"/>
          <w:color w:val="auto"/>
          <w:lang w:val="en-US" w:eastAsia="zh-CN"/>
        </w:rPr>
        <w:t>2019</w:t>
      </w:r>
      <w:r>
        <w:rPr>
          <w:color w:val="auto"/>
        </w:rPr>
        <w:t>〕</w:t>
      </w:r>
      <w:r>
        <w:rPr>
          <w:rFonts w:hint="eastAsia"/>
          <w:color w:val="auto"/>
          <w:lang w:val="en-US" w:eastAsia="zh-CN"/>
        </w:rPr>
        <w:t>273</w:t>
      </w:r>
      <w:r>
        <w:rPr>
          <w:color w:val="auto"/>
        </w:rPr>
        <w:t>号</w:t>
      </w:r>
      <w:r>
        <w:rPr>
          <w:rFonts w:hint="eastAsia"/>
          <w:color w:val="auto"/>
          <w:lang w:eastAsia="zh-CN"/>
        </w:rPr>
        <w:t>）；</w:t>
      </w:r>
    </w:p>
    <w:p w14:paraId="5550F156">
      <w:pPr>
        <w:numPr>
          <w:ilvl w:val="0"/>
          <w:numId w:val="10"/>
        </w:numPr>
        <w:tabs>
          <w:tab w:val="left" w:pos="480"/>
        </w:tabs>
        <w:snapToGrid w:val="0"/>
        <w:ind w:left="0" w:firstLine="480"/>
        <w:rPr>
          <w:color w:val="auto"/>
        </w:rPr>
      </w:pPr>
      <w:r>
        <w:rPr>
          <w:rFonts w:hint="eastAsia"/>
          <w:color w:val="auto"/>
        </w:rPr>
        <w:t>《广东省生态环境厅2019年水污染防治攻坚战工作方案》（粤环函〔2019〕1093号）；</w:t>
      </w:r>
    </w:p>
    <w:p w14:paraId="70BC6E77">
      <w:pPr>
        <w:numPr>
          <w:ilvl w:val="0"/>
          <w:numId w:val="10"/>
        </w:numPr>
        <w:tabs>
          <w:tab w:val="left" w:pos="480"/>
        </w:tabs>
        <w:snapToGrid w:val="0"/>
        <w:ind w:left="0" w:firstLine="480"/>
        <w:rPr>
          <w:color w:val="auto"/>
        </w:rPr>
      </w:pPr>
      <w:r>
        <w:rPr>
          <w:rFonts w:hint="eastAsia"/>
          <w:color w:val="auto"/>
        </w:rPr>
        <w:t>《广东省生态环境厅广东省发展和改革委员会广东省工业和信息化厅广东省财政厅关于贯彻落实〈工业炉窑大气污染综合治理方案〉的实施意见》（粤环函〔2019〕1112号）；</w:t>
      </w:r>
    </w:p>
    <w:p w14:paraId="1D20EF22">
      <w:pPr>
        <w:numPr>
          <w:ilvl w:val="0"/>
          <w:numId w:val="10"/>
        </w:numPr>
        <w:tabs>
          <w:tab w:val="left" w:pos="480"/>
        </w:tabs>
        <w:snapToGrid w:val="0"/>
        <w:ind w:left="0" w:firstLine="480"/>
        <w:rPr>
          <w:color w:val="auto"/>
        </w:rPr>
      </w:pPr>
      <w:r>
        <w:rPr>
          <w:color w:val="auto"/>
        </w:rPr>
        <w:t>《广东省大气污染防治条例》</w:t>
      </w:r>
      <w:r>
        <w:rPr>
          <w:rFonts w:hint="eastAsia"/>
          <w:color w:val="auto"/>
        </w:rPr>
        <w:t>（</w:t>
      </w:r>
      <w:r>
        <w:rPr>
          <w:color w:val="auto"/>
        </w:rPr>
        <w:t>广东省第十三届人民代表大会常务委员会第七次会议于2018年11月29日通过</w:t>
      </w:r>
      <w:r>
        <w:rPr>
          <w:rFonts w:hint="eastAsia"/>
          <w:color w:val="auto"/>
        </w:rPr>
        <w:t>，</w:t>
      </w:r>
      <w:r>
        <w:rPr>
          <w:color w:val="auto"/>
        </w:rPr>
        <w:t>自2019年3月1日起施行</w:t>
      </w:r>
      <w:r>
        <w:rPr>
          <w:rFonts w:hint="eastAsia"/>
          <w:color w:val="auto"/>
        </w:rPr>
        <w:t>）；</w:t>
      </w:r>
    </w:p>
    <w:p w14:paraId="15B5AC1E">
      <w:pPr>
        <w:numPr>
          <w:ilvl w:val="0"/>
          <w:numId w:val="10"/>
        </w:numPr>
        <w:tabs>
          <w:tab w:val="left" w:pos="480"/>
        </w:tabs>
        <w:snapToGrid w:val="0"/>
        <w:ind w:left="0" w:firstLine="480"/>
        <w:rPr>
          <w:color w:val="auto"/>
        </w:rPr>
      </w:pPr>
      <w:r>
        <w:rPr>
          <w:rFonts w:hint="eastAsia"/>
          <w:color w:val="auto"/>
        </w:rPr>
        <w:t>《</w:t>
      </w:r>
      <w:r>
        <w:rPr>
          <w:color w:val="auto"/>
        </w:rPr>
        <w:t>广东省水污染防治条例》</w:t>
      </w:r>
      <w:r>
        <w:rPr>
          <w:rFonts w:hint="eastAsia"/>
          <w:color w:val="auto"/>
        </w:rPr>
        <w:t>（</w:t>
      </w:r>
      <w:r>
        <w:rPr>
          <w:color w:val="auto"/>
        </w:rPr>
        <w:t>广东省第十三届人民代表大会常务委员会第二十六次会议于2020年11月27日通过</w:t>
      </w:r>
      <w:r>
        <w:rPr>
          <w:rFonts w:hint="eastAsia"/>
          <w:color w:val="auto"/>
        </w:rPr>
        <w:t>，</w:t>
      </w:r>
      <w:r>
        <w:rPr>
          <w:color w:val="auto"/>
        </w:rPr>
        <w:t>自2021年1月1日起施行</w:t>
      </w:r>
      <w:r>
        <w:rPr>
          <w:rFonts w:hint="eastAsia"/>
          <w:color w:val="auto"/>
        </w:rPr>
        <w:t>）；</w:t>
      </w:r>
    </w:p>
    <w:p w14:paraId="5838984D">
      <w:pPr>
        <w:numPr>
          <w:ilvl w:val="0"/>
          <w:numId w:val="10"/>
        </w:numPr>
        <w:tabs>
          <w:tab w:val="left" w:pos="480"/>
        </w:tabs>
        <w:snapToGrid w:val="0"/>
        <w:ind w:left="0" w:firstLine="480"/>
        <w:rPr>
          <w:color w:val="auto"/>
        </w:rPr>
      </w:pPr>
      <w:r>
        <w:rPr>
          <w:rFonts w:hint="eastAsia"/>
          <w:color w:val="auto"/>
        </w:rPr>
        <w:t>《广东省生态环境厅关于化工、有色金属冶炼行业执行大气污染物特别排放限值的公告</w:t>
      </w:r>
      <w:r>
        <w:rPr>
          <w:color w:val="auto"/>
        </w:rPr>
        <w:t>》</w:t>
      </w:r>
      <w:r>
        <w:rPr>
          <w:rFonts w:hint="eastAsia"/>
          <w:color w:val="auto"/>
        </w:rPr>
        <w:t>（粤环发〔2020〕2号）；</w:t>
      </w:r>
    </w:p>
    <w:p w14:paraId="72EAEE52">
      <w:pPr>
        <w:numPr>
          <w:ilvl w:val="0"/>
          <w:numId w:val="10"/>
        </w:numPr>
        <w:tabs>
          <w:tab w:val="left" w:pos="480"/>
        </w:tabs>
        <w:snapToGrid w:val="0"/>
        <w:ind w:left="0" w:firstLine="480"/>
        <w:rPr>
          <w:color w:val="auto"/>
        </w:rPr>
      </w:pPr>
      <w:r>
        <w:rPr>
          <w:rFonts w:hint="eastAsia"/>
          <w:color w:val="auto"/>
        </w:rPr>
        <w:t>《广东省生态环境厅建设项目环境影响评价文件告知承诺制审批规程》（粤环发〔2020〕3号）；</w:t>
      </w:r>
    </w:p>
    <w:p w14:paraId="50A68497">
      <w:pPr>
        <w:numPr>
          <w:ilvl w:val="0"/>
          <w:numId w:val="10"/>
        </w:numPr>
        <w:tabs>
          <w:tab w:val="left" w:pos="480"/>
        </w:tabs>
        <w:snapToGrid w:val="0"/>
        <w:ind w:left="0" w:firstLine="480"/>
        <w:rPr>
          <w:color w:val="auto"/>
        </w:rPr>
      </w:pPr>
      <w:r>
        <w:rPr>
          <w:rFonts w:hint="eastAsia"/>
          <w:color w:val="auto"/>
        </w:rPr>
        <w:t>《挥发性有机物重点监管企业VOCs管控台账清单》（粤环办函〔2020〕19号）；</w:t>
      </w:r>
    </w:p>
    <w:p w14:paraId="7EDAB58F">
      <w:pPr>
        <w:numPr>
          <w:ilvl w:val="0"/>
          <w:numId w:val="10"/>
        </w:numPr>
        <w:tabs>
          <w:tab w:val="left" w:pos="480"/>
        </w:tabs>
        <w:snapToGrid w:val="0"/>
        <w:ind w:left="0" w:firstLine="480"/>
        <w:rPr>
          <w:color w:val="auto"/>
        </w:rPr>
      </w:pPr>
      <w:r>
        <w:rPr>
          <w:rFonts w:hint="eastAsia"/>
          <w:color w:val="auto"/>
        </w:rPr>
        <w:t>《关于深化我省环境影响评价制度改革的指导意见》（粤办函〔2020〕44号）；</w:t>
      </w:r>
    </w:p>
    <w:p w14:paraId="0A073CBA">
      <w:pPr>
        <w:numPr>
          <w:ilvl w:val="0"/>
          <w:numId w:val="10"/>
        </w:numPr>
        <w:tabs>
          <w:tab w:val="left" w:pos="480"/>
        </w:tabs>
        <w:snapToGrid w:val="0"/>
        <w:ind w:left="0" w:firstLine="480"/>
        <w:rPr>
          <w:color w:val="auto"/>
        </w:rPr>
      </w:pPr>
      <w:r>
        <w:rPr>
          <w:rFonts w:hint="eastAsia"/>
          <w:color w:val="auto"/>
        </w:rPr>
        <w:t>《广东省企业事业单位突发环境事件应急预案编制指南（试行）》（粤环办〔2020〕51号）；</w:t>
      </w:r>
    </w:p>
    <w:p w14:paraId="5D4281F7">
      <w:pPr>
        <w:numPr>
          <w:ilvl w:val="0"/>
          <w:numId w:val="10"/>
        </w:numPr>
        <w:tabs>
          <w:tab w:val="left" w:pos="480"/>
        </w:tabs>
        <w:snapToGrid w:val="0"/>
        <w:ind w:left="0" w:firstLine="480"/>
        <w:rPr>
          <w:color w:val="auto"/>
        </w:rPr>
      </w:pPr>
      <w:r>
        <w:rPr>
          <w:rFonts w:hint="eastAsia"/>
          <w:color w:val="auto"/>
        </w:rPr>
        <w:t>《广东省“三线一单”生态环境分区管控方案》（</w:t>
      </w:r>
      <w:r>
        <w:rPr>
          <w:color w:val="auto"/>
        </w:rPr>
        <w:t>粤府〔2020〕71号</w:t>
      </w:r>
      <w:r>
        <w:rPr>
          <w:rFonts w:hint="eastAsia"/>
          <w:color w:val="auto"/>
        </w:rPr>
        <w:t>）；</w:t>
      </w:r>
    </w:p>
    <w:p w14:paraId="6B49DB3D">
      <w:pPr>
        <w:numPr>
          <w:ilvl w:val="0"/>
          <w:numId w:val="10"/>
        </w:numPr>
        <w:tabs>
          <w:tab w:val="left" w:pos="480"/>
        </w:tabs>
        <w:snapToGrid w:val="0"/>
        <w:ind w:left="0" w:firstLine="480"/>
        <w:rPr>
          <w:color w:val="auto"/>
        </w:rPr>
      </w:pPr>
      <w:r>
        <w:rPr>
          <w:rFonts w:hint="eastAsia"/>
          <w:color w:val="auto"/>
        </w:rPr>
        <w:t>《广东省实行环境影响评价重点管理的建设项目名录（2020年版）》（粤环函〔2020〕109号）；</w:t>
      </w:r>
    </w:p>
    <w:p w14:paraId="4A8FA0A9">
      <w:pPr>
        <w:numPr>
          <w:ilvl w:val="0"/>
          <w:numId w:val="10"/>
        </w:numPr>
        <w:tabs>
          <w:tab w:val="left" w:pos="480"/>
        </w:tabs>
        <w:snapToGrid w:val="0"/>
        <w:ind w:left="0" w:firstLine="480"/>
        <w:rPr>
          <w:color w:val="auto"/>
        </w:rPr>
      </w:pPr>
      <w:r>
        <w:rPr>
          <w:rFonts w:hint="eastAsia"/>
          <w:color w:val="auto"/>
        </w:rPr>
        <w:t>《广东省2020年土壤污染防治工作方案》（粤环函〔2020〕201号）；</w:t>
      </w:r>
    </w:p>
    <w:p w14:paraId="0A5A78B2">
      <w:pPr>
        <w:numPr>
          <w:ilvl w:val="0"/>
          <w:numId w:val="10"/>
        </w:numPr>
        <w:tabs>
          <w:tab w:val="left" w:pos="480"/>
        </w:tabs>
        <w:snapToGrid w:val="0"/>
        <w:ind w:left="0" w:firstLine="480"/>
        <w:rPr>
          <w:color w:val="auto"/>
        </w:rPr>
      </w:pPr>
      <w:r>
        <w:rPr>
          <w:rFonts w:hint="eastAsia" w:ascii="Times New Roman" w:hAnsi="Times New Roman" w:eastAsia="宋体" w:cs="Times New Roman"/>
          <w:color w:val="auto"/>
        </w:rPr>
        <w:t>《</w:t>
      </w:r>
      <w:r>
        <w:rPr>
          <w:rFonts w:hint="eastAsia" w:cs="Times New Roman"/>
          <w:color w:val="auto"/>
          <w:lang w:eastAsia="zh-CN"/>
        </w:rPr>
        <w:t>广东省生态环境保护“十四五”规划</w:t>
      </w:r>
      <w:r>
        <w:rPr>
          <w:rFonts w:hint="eastAsia" w:ascii="Times New Roman" w:hAnsi="Times New Roman" w:eastAsia="宋体" w:cs="Times New Roman"/>
          <w:color w:val="auto"/>
        </w:rPr>
        <w:t>》（粤环〔2021〕10号）</w:t>
      </w:r>
      <w:r>
        <w:rPr>
          <w:rFonts w:hint="eastAsia" w:ascii="Times New Roman" w:hAnsi="Times New Roman" w:eastAsia="宋体" w:cs="Times New Roman"/>
          <w:color w:val="auto"/>
          <w:lang w:eastAsia="zh-CN"/>
        </w:rPr>
        <w:t>；</w:t>
      </w:r>
    </w:p>
    <w:p w14:paraId="4C5A7213">
      <w:pPr>
        <w:numPr>
          <w:ilvl w:val="0"/>
          <w:numId w:val="10"/>
        </w:numPr>
        <w:tabs>
          <w:tab w:val="left" w:pos="480"/>
        </w:tabs>
        <w:snapToGrid w:val="0"/>
        <w:ind w:left="0" w:firstLine="480"/>
        <w:rPr>
          <w:color w:val="auto"/>
        </w:rPr>
      </w:pPr>
      <w:r>
        <w:rPr>
          <w:color w:val="auto"/>
        </w:rPr>
        <w:t>《广东省2021年水、大气、土壤污染防治工作方案》</w:t>
      </w:r>
      <w:r>
        <w:rPr>
          <w:rFonts w:hint="eastAsia"/>
          <w:color w:val="auto"/>
          <w:lang w:eastAsia="zh-CN"/>
        </w:rPr>
        <w:t>；</w:t>
      </w:r>
    </w:p>
    <w:p w14:paraId="3496F7BF">
      <w:pPr>
        <w:numPr>
          <w:ilvl w:val="0"/>
          <w:numId w:val="10"/>
        </w:numPr>
        <w:tabs>
          <w:tab w:val="left" w:pos="480"/>
        </w:tabs>
        <w:snapToGrid w:val="0"/>
        <w:ind w:left="0" w:firstLine="480"/>
        <w:rPr>
          <w:rFonts w:hint="eastAsia" w:cs="Times New Roman"/>
          <w:color w:val="auto"/>
          <w:lang w:eastAsia="zh-CN"/>
        </w:rPr>
      </w:pPr>
      <w:r>
        <w:rPr>
          <w:rFonts w:hint="eastAsia" w:cs="Times New Roman"/>
          <w:color w:val="auto"/>
          <w:lang w:eastAsia="zh-CN"/>
        </w:rPr>
        <w:t>关于发布《广东省生态环境厅审批环境影响报告书（表）的建设项目名录（2021年本）》的通知（粤环办〔2021〕27号）；</w:t>
      </w:r>
    </w:p>
    <w:p w14:paraId="5115E686">
      <w:pPr>
        <w:keepNext w:val="0"/>
        <w:keepLines w:val="0"/>
        <w:pageBreakBefore w:val="0"/>
        <w:widowControl w:val="0"/>
        <w:numPr>
          <w:ilvl w:val="0"/>
          <w:numId w:val="10"/>
        </w:numPr>
        <w:kinsoku/>
        <w:wordWrap/>
        <w:overflowPunct/>
        <w:topLinePunct w:val="0"/>
        <w:autoSpaceDE/>
        <w:autoSpaceDN/>
        <w:bidi w:val="0"/>
        <w:adjustRightInd/>
        <w:snapToGrid/>
        <w:ind w:left="0"/>
        <w:textAlignment w:val="auto"/>
        <w:rPr>
          <w:color w:val="auto"/>
        </w:rPr>
      </w:pPr>
      <w:r>
        <w:rPr>
          <w:color w:val="auto"/>
        </w:rPr>
        <w:t>《广东省2021年大气污染防治工作方案》（粤办函〔2021〕58号）</w:t>
      </w:r>
      <w:r>
        <w:rPr>
          <w:rFonts w:hint="eastAsia"/>
          <w:color w:val="auto"/>
          <w:lang w:eastAsia="zh-CN"/>
        </w:rPr>
        <w:t>；</w:t>
      </w:r>
    </w:p>
    <w:p w14:paraId="40530C37">
      <w:pPr>
        <w:numPr>
          <w:ilvl w:val="0"/>
          <w:numId w:val="10"/>
        </w:numPr>
        <w:tabs>
          <w:tab w:val="left" w:pos="420"/>
          <w:tab w:val="left" w:pos="900"/>
          <w:tab w:val="clear" w:pos="425"/>
        </w:tabs>
        <w:ind w:left="0" w:firstLine="480"/>
        <w:rPr>
          <w:color w:val="auto"/>
        </w:rPr>
      </w:pPr>
      <w:r>
        <w:rPr>
          <w:rFonts w:hint="eastAsia"/>
          <w:color w:val="auto"/>
        </w:rPr>
        <w:t>《广东省涉挥发性有机物（VOCs）重点行业治理指引》的通知（</w:t>
      </w:r>
      <w:r>
        <w:rPr>
          <w:color w:val="auto"/>
        </w:rPr>
        <w:t>粤环办〔2021〕43号</w:t>
      </w:r>
      <w:r>
        <w:rPr>
          <w:rFonts w:hint="eastAsia"/>
          <w:color w:val="auto"/>
        </w:rPr>
        <w:t>）</w:t>
      </w:r>
      <w:r>
        <w:rPr>
          <w:rFonts w:hint="eastAsia"/>
          <w:color w:val="auto"/>
          <w:lang w:eastAsia="zh-CN"/>
        </w:rPr>
        <w:t>；</w:t>
      </w:r>
    </w:p>
    <w:p w14:paraId="60A131C7">
      <w:pPr>
        <w:keepNext w:val="0"/>
        <w:keepLines w:val="0"/>
        <w:pageBreakBefore w:val="0"/>
        <w:widowControl w:val="0"/>
        <w:numPr>
          <w:ilvl w:val="0"/>
          <w:numId w:val="10"/>
        </w:numPr>
        <w:kinsoku/>
        <w:wordWrap/>
        <w:overflowPunct/>
        <w:topLinePunct w:val="0"/>
        <w:autoSpaceDE/>
        <w:autoSpaceDN/>
        <w:bidi w:val="0"/>
        <w:adjustRightInd/>
        <w:snapToGrid/>
        <w:ind w:left="0"/>
        <w:textAlignment w:val="auto"/>
        <w:rPr>
          <w:rFonts w:hint="eastAsia" w:eastAsia="宋体"/>
          <w:color w:val="auto"/>
        </w:rPr>
      </w:pPr>
      <w:r>
        <w:rPr>
          <w:rFonts w:hint="eastAsia" w:eastAsia="宋体"/>
          <w:color w:val="auto"/>
        </w:rPr>
        <w:t>《广东省“十四五”节能减排实施方案》</w:t>
      </w:r>
      <w:r>
        <w:rPr>
          <w:rFonts w:hint="eastAsia" w:eastAsia="宋体"/>
          <w:color w:val="auto"/>
          <w:lang w:eastAsia="zh-CN"/>
        </w:rPr>
        <w:t>（</w:t>
      </w:r>
      <w:r>
        <w:rPr>
          <w:rFonts w:hint="eastAsia" w:eastAsia="宋体"/>
          <w:color w:val="auto"/>
        </w:rPr>
        <w:t>粤府〔2022〕68号</w:t>
      </w:r>
      <w:r>
        <w:rPr>
          <w:rFonts w:hint="eastAsia" w:eastAsia="宋体"/>
          <w:color w:val="auto"/>
          <w:lang w:eastAsia="zh-CN"/>
        </w:rPr>
        <w:t>）；</w:t>
      </w:r>
    </w:p>
    <w:p w14:paraId="08DF076C">
      <w:pPr>
        <w:keepNext w:val="0"/>
        <w:keepLines w:val="0"/>
        <w:pageBreakBefore w:val="0"/>
        <w:widowControl w:val="0"/>
        <w:numPr>
          <w:ilvl w:val="0"/>
          <w:numId w:val="10"/>
        </w:numPr>
        <w:kinsoku/>
        <w:wordWrap/>
        <w:overflowPunct/>
        <w:topLinePunct w:val="0"/>
        <w:autoSpaceDE/>
        <w:autoSpaceDN/>
        <w:bidi w:val="0"/>
        <w:adjustRightInd/>
        <w:snapToGrid/>
        <w:ind w:left="0"/>
        <w:textAlignment w:val="auto"/>
        <w:rPr>
          <w:rFonts w:hint="eastAsia" w:eastAsia="宋体"/>
          <w:color w:val="auto"/>
          <w:lang w:val="en-US" w:eastAsia="zh-CN"/>
        </w:rPr>
      </w:pPr>
      <w:r>
        <w:rPr>
          <w:rFonts w:hint="eastAsia" w:eastAsia="宋体"/>
          <w:color w:val="auto"/>
          <w:lang w:val="en-US" w:eastAsia="zh-CN"/>
        </w:rPr>
        <w:t>《广东省“十四五”重金属污染防治工作方案》（</w:t>
      </w:r>
      <w:r>
        <w:rPr>
          <w:rFonts w:hint="eastAsia" w:eastAsia="宋体"/>
          <w:color w:val="auto"/>
        </w:rPr>
        <w:t>粤环〔2022〕11 号</w:t>
      </w:r>
      <w:r>
        <w:rPr>
          <w:rFonts w:hint="eastAsia" w:eastAsia="宋体"/>
          <w:color w:val="auto"/>
          <w:lang w:val="en-US" w:eastAsia="zh-CN"/>
        </w:rPr>
        <w:t>）；</w:t>
      </w:r>
    </w:p>
    <w:p w14:paraId="133F5794">
      <w:pPr>
        <w:keepNext w:val="0"/>
        <w:keepLines w:val="0"/>
        <w:pageBreakBefore w:val="0"/>
        <w:widowControl w:val="0"/>
        <w:numPr>
          <w:ilvl w:val="0"/>
          <w:numId w:val="10"/>
        </w:numPr>
        <w:kinsoku/>
        <w:wordWrap/>
        <w:overflowPunct/>
        <w:topLinePunct w:val="0"/>
        <w:autoSpaceDE/>
        <w:autoSpaceDN/>
        <w:bidi w:val="0"/>
        <w:adjustRightInd/>
        <w:snapToGrid/>
        <w:ind w:left="0"/>
        <w:textAlignment w:val="auto"/>
        <w:rPr>
          <w:color w:val="auto"/>
        </w:rPr>
      </w:pPr>
      <w:r>
        <w:rPr>
          <w:rFonts w:hint="eastAsia" w:eastAsia="宋体"/>
          <w:color w:val="auto"/>
        </w:rPr>
        <w:t>《</w:t>
      </w:r>
      <w:r>
        <w:rPr>
          <w:rFonts w:eastAsia="宋体"/>
          <w:color w:val="auto"/>
        </w:rPr>
        <w:t>印发进一步</w:t>
      </w:r>
      <w:r>
        <w:rPr>
          <w:color w:val="auto"/>
        </w:rPr>
        <w:t>加强江门市城乡生活垃圾处理工作实施方案的通知</w:t>
      </w:r>
      <w:r>
        <w:rPr>
          <w:rFonts w:hint="eastAsia"/>
          <w:color w:val="auto"/>
        </w:rPr>
        <w:t>》（</w:t>
      </w:r>
      <w:r>
        <w:rPr>
          <w:color w:val="auto"/>
        </w:rPr>
        <w:t>江府办</w:t>
      </w:r>
      <w:r>
        <w:rPr>
          <w:rFonts w:hint="eastAsia"/>
          <w:color w:val="auto"/>
        </w:rPr>
        <w:t>[</w:t>
      </w:r>
      <w:r>
        <w:rPr>
          <w:color w:val="auto"/>
        </w:rPr>
        <w:t>2012</w:t>
      </w:r>
      <w:r>
        <w:rPr>
          <w:rFonts w:hint="eastAsia"/>
          <w:color w:val="auto"/>
        </w:rPr>
        <w:t>]</w:t>
      </w:r>
      <w:r>
        <w:rPr>
          <w:color w:val="auto"/>
        </w:rPr>
        <w:t>51号</w:t>
      </w:r>
      <w:r>
        <w:rPr>
          <w:rFonts w:hint="eastAsia"/>
          <w:color w:val="auto"/>
        </w:rPr>
        <w:t>）；</w:t>
      </w:r>
    </w:p>
    <w:p w14:paraId="506237D5">
      <w:pPr>
        <w:numPr>
          <w:ilvl w:val="0"/>
          <w:numId w:val="10"/>
        </w:numPr>
        <w:tabs>
          <w:tab w:val="left" w:pos="420"/>
          <w:tab w:val="left" w:pos="900"/>
          <w:tab w:val="clear" w:pos="425"/>
        </w:tabs>
        <w:ind w:left="0" w:firstLine="480"/>
        <w:rPr>
          <w:color w:val="auto"/>
        </w:rPr>
      </w:pPr>
      <w:r>
        <w:rPr>
          <w:rFonts w:hint="eastAsia"/>
          <w:color w:val="auto"/>
        </w:rPr>
        <w:t>《江门市饮用水水源地环境保护规划》（2006～2020）；</w:t>
      </w:r>
    </w:p>
    <w:p w14:paraId="6E2B7FD6">
      <w:pPr>
        <w:numPr>
          <w:ilvl w:val="0"/>
          <w:numId w:val="10"/>
        </w:numPr>
        <w:tabs>
          <w:tab w:val="left" w:pos="420"/>
          <w:tab w:val="left" w:pos="900"/>
          <w:tab w:val="clear" w:pos="425"/>
        </w:tabs>
        <w:ind w:left="0" w:firstLine="480"/>
        <w:rPr>
          <w:color w:val="auto"/>
        </w:rPr>
      </w:pPr>
      <w:r>
        <w:rPr>
          <w:rFonts w:hint="eastAsia"/>
          <w:color w:val="auto"/>
        </w:rPr>
        <w:t>《</w:t>
      </w:r>
      <w:r>
        <w:rPr>
          <w:color w:val="auto"/>
        </w:rPr>
        <w:t>关于鹤山市环境空气质量功能区划分的批复》</w:t>
      </w:r>
      <w:r>
        <w:rPr>
          <w:rFonts w:hint="eastAsia"/>
          <w:color w:val="auto"/>
        </w:rPr>
        <w:t>（</w:t>
      </w:r>
      <w:r>
        <w:rPr>
          <w:color w:val="auto"/>
        </w:rPr>
        <w:t>江环局[1997]128号</w:t>
      </w:r>
      <w:r>
        <w:rPr>
          <w:rFonts w:hint="eastAsia"/>
          <w:color w:val="auto"/>
        </w:rPr>
        <w:t>）；</w:t>
      </w:r>
    </w:p>
    <w:p w14:paraId="0BCE53EE">
      <w:pPr>
        <w:numPr>
          <w:ilvl w:val="0"/>
          <w:numId w:val="10"/>
        </w:numPr>
        <w:tabs>
          <w:tab w:val="left" w:pos="420"/>
          <w:tab w:val="left" w:pos="900"/>
          <w:tab w:val="clear" w:pos="425"/>
        </w:tabs>
        <w:ind w:left="0" w:firstLine="480"/>
        <w:rPr>
          <w:color w:val="auto"/>
        </w:rPr>
      </w:pPr>
      <w:r>
        <w:rPr>
          <w:rFonts w:hint="eastAsia"/>
          <w:color w:val="auto"/>
        </w:rPr>
        <w:t>《江门市投资准入禁止限制目录（2018年本）》；</w:t>
      </w:r>
    </w:p>
    <w:p w14:paraId="23CCACD0">
      <w:pPr>
        <w:numPr>
          <w:ilvl w:val="0"/>
          <w:numId w:val="10"/>
        </w:numPr>
        <w:tabs>
          <w:tab w:val="left" w:pos="420"/>
          <w:tab w:val="left" w:pos="900"/>
          <w:tab w:val="clear" w:pos="425"/>
        </w:tabs>
        <w:ind w:left="0" w:firstLine="480"/>
        <w:rPr>
          <w:color w:val="auto"/>
        </w:rPr>
      </w:pPr>
      <w:r>
        <w:rPr>
          <w:rFonts w:hint="eastAsia"/>
          <w:color w:val="auto"/>
        </w:rPr>
        <w:t>《江门市城市黑臭水体治理攻坚战实施方案》（江水〔2018〕118号）；</w:t>
      </w:r>
    </w:p>
    <w:p w14:paraId="0F772141">
      <w:pPr>
        <w:numPr>
          <w:ilvl w:val="0"/>
          <w:numId w:val="10"/>
        </w:numPr>
        <w:tabs>
          <w:tab w:val="left" w:pos="420"/>
          <w:tab w:val="left" w:pos="900"/>
          <w:tab w:val="clear" w:pos="425"/>
        </w:tabs>
        <w:ind w:left="0" w:firstLine="480"/>
        <w:rPr>
          <w:color w:val="auto"/>
        </w:rPr>
      </w:pPr>
      <w:r>
        <w:rPr>
          <w:rFonts w:hint="eastAsia"/>
          <w:color w:val="auto"/>
        </w:rPr>
        <w:t>关于印发《江门市声环境功能区划》的通知（江环[2019]378号）；</w:t>
      </w:r>
    </w:p>
    <w:p w14:paraId="2909CD66">
      <w:pPr>
        <w:numPr>
          <w:ilvl w:val="0"/>
          <w:numId w:val="10"/>
        </w:numPr>
        <w:tabs>
          <w:tab w:val="left" w:pos="420"/>
          <w:tab w:val="left" w:pos="900"/>
          <w:tab w:val="clear" w:pos="425"/>
        </w:tabs>
        <w:ind w:left="0" w:firstLine="480"/>
        <w:rPr>
          <w:color w:val="auto"/>
        </w:rPr>
      </w:pPr>
      <w:r>
        <w:rPr>
          <w:rFonts w:hint="eastAsia"/>
          <w:bCs/>
          <w:color w:val="auto"/>
        </w:rPr>
        <w:t>《关于印发江门市2019年水污染防治攻坚战实施方案的通知》（江环〔2019〕272号）；</w:t>
      </w:r>
    </w:p>
    <w:p w14:paraId="4F43D2D2">
      <w:pPr>
        <w:numPr>
          <w:ilvl w:val="0"/>
          <w:numId w:val="10"/>
        </w:numPr>
        <w:tabs>
          <w:tab w:val="left" w:pos="420"/>
          <w:tab w:val="left" w:pos="900"/>
          <w:tab w:val="clear" w:pos="425"/>
        </w:tabs>
        <w:ind w:left="0" w:firstLine="480"/>
        <w:rPr>
          <w:color w:val="auto"/>
        </w:rPr>
      </w:pPr>
      <w:r>
        <w:rPr>
          <w:rFonts w:hint="eastAsia"/>
          <w:color w:val="auto"/>
          <w:lang w:eastAsia="zh-CN"/>
        </w:rPr>
        <w:t>《</w:t>
      </w:r>
      <w:r>
        <w:rPr>
          <w:rFonts w:hint="eastAsia"/>
          <w:color w:val="auto"/>
        </w:rPr>
        <w:t>江门市工业炉窑大气污染综合治理方案》（江环函〔2020〕22 号）</w:t>
      </w:r>
      <w:r>
        <w:rPr>
          <w:rFonts w:hint="eastAsia"/>
          <w:color w:val="auto"/>
          <w:lang w:eastAsia="zh-CN"/>
        </w:rPr>
        <w:t>；</w:t>
      </w:r>
    </w:p>
    <w:p w14:paraId="2B64A3A3">
      <w:pPr>
        <w:numPr>
          <w:ilvl w:val="0"/>
          <w:numId w:val="10"/>
        </w:numPr>
        <w:tabs>
          <w:tab w:val="left" w:pos="420"/>
          <w:tab w:val="left" w:pos="900"/>
          <w:tab w:val="clear" w:pos="425"/>
        </w:tabs>
        <w:ind w:left="0" w:firstLine="480"/>
        <w:rPr>
          <w:rFonts w:hint="eastAsia" w:eastAsia="宋体"/>
          <w:color w:val="auto"/>
          <w:lang w:eastAsia="zh-CN"/>
        </w:rPr>
      </w:pPr>
      <w:r>
        <w:rPr>
          <w:rFonts w:hint="eastAsia"/>
          <w:color w:val="auto"/>
        </w:rPr>
        <w:t>《江门市“三线一单”生态环境分区管控方案的通知》（江府〔2021〕9号）</w:t>
      </w:r>
      <w:r>
        <w:rPr>
          <w:rFonts w:hint="eastAsia"/>
          <w:color w:val="auto"/>
          <w:lang w:eastAsia="zh-CN"/>
        </w:rPr>
        <w:t>；</w:t>
      </w:r>
    </w:p>
    <w:p w14:paraId="302C1835">
      <w:pPr>
        <w:numPr>
          <w:ilvl w:val="0"/>
          <w:numId w:val="10"/>
        </w:numPr>
        <w:tabs>
          <w:tab w:val="left" w:pos="420"/>
          <w:tab w:val="left" w:pos="900"/>
          <w:tab w:val="clear" w:pos="425"/>
        </w:tabs>
        <w:ind w:left="0" w:firstLine="480"/>
        <w:rPr>
          <w:rFonts w:hint="eastAsia" w:eastAsia="宋体"/>
          <w:color w:val="auto"/>
          <w:lang w:eastAsia="zh-CN"/>
        </w:rPr>
      </w:pPr>
      <w:r>
        <w:rPr>
          <w:rFonts w:hint="eastAsia"/>
          <w:color w:val="auto"/>
        </w:rPr>
        <w:t>关于转发广东省生态环境厅《关于做好建设项目挥发性有机物（VOCs）排放削减替代工作的补充通知》的通知</w:t>
      </w:r>
      <w:r>
        <w:rPr>
          <w:rFonts w:hint="eastAsia"/>
          <w:color w:val="auto"/>
          <w:lang w:eastAsia="zh-CN"/>
        </w:rPr>
        <w:t>（</w:t>
      </w:r>
      <w:r>
        <w:rPr>
          <w:rFonts w:hint="eastAsia"/>
          <w:color w:val="auto"/>
        </w:rPr>
        <w:t>江环办函[2021]142号</w:t>
      </w:r>
      <w:r>
        <w:rPr>
          <w:rFonts w:hint="eastAsia"/>
          <w:color w:val="auto"/>
          <w:lang w:eastAsia="zh-CN"/>
        </w:rPr>
        <w:t>）</w:t>
      </w:r>
    </w:p>
    <w:p w14:paraId="59E7BEA2">
      <w:pPr>
        <w:numPr>
          <w:ilvl w:val="0"/>
          <w:numId w:val="10"/>
        </w:numPr>
        <w:tabs>
          <w:tab w:val="left" w:pos="420"/>
          <w:tab w:val="left" w:pos="900"/>
          <w:tab w:val="clear" w:pos="425"/>
        </w:tabs>
        <w:ind w:left="0" w:firstLine="480"/>
        <w:rPr>
          <w:rFonts w:hint="eastAsia"/>
          <w:color w:val="auto"/>
          <w:lang w:eastAsia="zh-CN"/>
        </w:rPr>
      </w:pPr>
      <w:r>
        <w:rPr>
          <w:rFonts w:hint="eastAsia" w:ascii="Times New Roman" w:hAnsi="Times New Roman" w:eastAsia="宋体" w:cs="Times New Roman"/>
          <w:b w:val="0"/>
          <w:color w:val="auto"/>
          <w:kern w:val="2"/>
          <w:szCs w:val="21"/>
          <w:lang w:val="en-US" w:eastAsia="zh-CN" w:bidi="ar-SA"/>
        </w:rPr>
        <w:t>《关于发布江门市生态环境局审批环境影响报告书（表）的建设项目名录的通知》</w:t>
      </w:r>
      <w:r>
        <w:rPr>
          <w:rFonts w:hint="eastAsia"/>
          <w:color w:val="auto"/>
          <w:lang w:val="en-US" w:eastAsia="zh-CN"/>
        </w:rPr>
        <w:t>（2022年9月1日）；</w:t>
      </w:r>
    </w:p>
    <w:p w14:paraId="4240356F">
      <w:pPr>
        <w:numPr>
          <w:ilvl w:val="0"/>
          <w:numId w:val="10"/>
        </w:numPr>
        <w:tabs>
          <w:tab w:val="left" w:pos="420"/>
          <w:tab w:val="left" w:pos="900"/>
          <w:tab w:val="clear" w:pos="425"/>
        </w:tabs>
        <w:ind w:left="0" w:firstLine="480"/>
        <w:rPr>
          <w:rFonts w:hint="eastAsia"/>
          <w:color w:val="auto"/>
          <w:lang w:eastAsia="zh-CN"/>
        </w:rPr>
      </w:pPr>
      <w:r>
        <w:rPr>
          <w:rFonts w:hint="eastAsia"/>
          <w:color w:val="auto"/>
        </w:rPr>
        <w:t>关于印发《江门市土壤与地下水污染防治“十四五”规划》的通知</w:t>
      </w:r>
      <w:r>
        <w:rPr>
          <w:rFonts w:hint="eastAsia"/>
          <w:color w:val="auto"/>
          <w:lang w:eastAsia="zh-CN"/>
        </w:rPr>
        <w:t>（</w:t>
      </w:r>
      <w:r>
        <w:rPr>
          <w:rFonts w:hint="eastAsia"/>
          <w:color w:val="auto"/>
          <w:lang w:val="en-US" w:eastAsia="zh-CN"/>
        </w:rPr>
        <w:t>2022年12月29日</w:t>
      </w:r>
      <w:r>
        <w:rPr>
          <w:rFonts w:hint="eastAsia"/>
          <w:color w:val="auto"/>
          <w:lang w:eastAsia="zh-CN"/>
        </w:rPr>
        <w:t>）；</w:t>
      </w:r>
    </w:p>
    <w:p w14:paraId="7B3FDFEE">
      <w:pPr>
        <w:numPr>
          <w:ilvl w:val="0"/>
          <w:numId w:val="10"/>
        </w:numPr>
        <w:tabs>
          <w:tab w:val="left" w:pos="420"/>
          <w:tab w:val="left" w:pos="900"/>
          <w:tab w:val="clear" w:pos="425"/>
        </w:tabs>
        <w:ind w:left="0" w:firstLine="480"/>
        <w:rPr>
          <w:color w:val="auto"/>
        </w:rPr>
      </w:pPr>
      <w:r>
        <w:rPr>
          <w:rFonts w:hint="eastAsia"/>
          <w:color w:val="auto"/>
        </w:rPr>
        <w:t>《鹤山市生态环境保护“十四五”规划》</w:t>
      </w:r>
      <w:r>
        <w:rPr>
          <w:rFonts w:hint="eastAsia"/>
          <w:color w:val="auto"/>
          <w:lang w:eastAsia="zh-CN"/>
        </w:rPr>
        <w:t>；</w:t>
      </w:r>
    </w:p>
    <w:p w14:paraId="1F857B38">
      <w:pPr>
        <w:numPr>
          <w:ilvl w:val="0"/>
          <w:numId w:val="10"/>
        </w:numPr>
        <w:tabs>
          <w:tab w:val="left" w:pos="420"/>
          <w:tab w:val="left" w:pos="900"/>
          <w:tab w:val="clear" w:pos="425"/>
        </w:tabs>
        <w:ind w:left="0" w:firstLine="480"/>
        <w:rPr>
          <w:rFonts w:hint="eastAsia" w:eastAsia="宋体"/>
          <w:color w:val="auto"/>
          <w:lang w:eastAsia="zh-CN"/>
        </w:rPr>
      </w:pPr>
      <w:r>
        <w:rPr>
          <w:rFonts w:hint="eastAsia"/>
          <w:color w:val="auto"/>
          <w:lang w:eastAsia="zh-CN"/>
        </w:rPr>
        <w:t>《江门市生态环境保护</w:t>
      </w:r>
      <w:r>
        <w:rPr>
          <w:rFonts w:hint="eastAsia"/>
          <w:color w:val="auto"/>
          <w:shd w:val="clear" w:fill="FFFF00"/>
        </w:rPr>
        <w:t>“十四五”</w:t>
      </w:r>
      <w:r>
        <w:rPr>
          <w:rFonts w:hint="eastAsia"/>
          <w:color w:val="auto"/>
          <w:lang w:eastAsia="zh-CN"/>
        </w:rPr>
        <w:t>规划》（江府〔2022〕3号）；</w:t>
      </w:r>
    </w:p>
    <w:p w14:paraId="7BA2263C">
      <w:pPr>
        <w:numPr>
          <w:ilvl w:val="0"/>
          <w:numId w:val="10"/>
        </w:numPr>
        <w:tabs>
          <w:tab w:val="left" w:pos="420"/>
          <w:tab w:val="left" w:pos="900"/>
          <w:tab w:val="clear" w:pos="425"/>
        </w:tabs>
        <w:ind w:left="0" w:firstLine="48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关于印发江门市2022年度土壤污染重点监管单位名录的函</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江环函[2022]128号</w:t>
      </w:r>
      <w:r>
        <w:rPr>
          <w:rFonts w:hint="eastAsia" w:ascii="Times New Roman" w:hAnsi="Times New Roman" w:eastAsia="宋体" w:cs="Times New Roman"/>
          <w:color w:val="auto"/>
          <w:lang w:eastAsia="zh-CN"/>
        </w:rPr>
        <w:t>）；</w:t>
      </w:r>
    </w:p>
    <w:p w14:paraId="1CDBB138">
      <w:pPr>
        <w:numPr>
          <w:ilvl w:val="0"/>
          <w:numId w:val="10"/>
        </w:numPr>
        <w:tabs>
          <w:tab w:val="left" w:pos="420"/>
          <w:tab w:val="left" w:pos="900"/>
          <w:tab w:val="clear" w:pos="425"/>
        </w:tabs>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fldChar w:fldCharType="begin"/>
      </w:r>
      <w:r>
        <w:rPr>
          <w:rFonts w:hint="eastAsia" w:ascii="Times New Roman" w:hAnsi="Times New Roman" w:eastAsia="宋体" w:cs="Times New Roman"/>
          <w:color w:val="auto"/>
        </w:rPr>
        <w:instrText xml:space="preserve"> HYPERLINK "http://www.jiangmen.gov.cn/attachment/0/242/242826/2690288.pdf" \o "江环函[2022]246号关于加快推进低值类一般工业固体废物收集转运体系建设的函.pdf" \t "http://www.jiangmen.gov.cn/bmpd/jmssthjj/zwgk/bmwj/content/_blank" </w:instrText>
      </w:r>
      <w:r>
        <w:rPr>
          <w:rFonts w:hint="eastAsia" w:ascii="Times New Roman" w:hAnsi="Times New Roman" w:eastAsia="宋体" w:cs="Times New Roman"/>
          <w:color w:val="auto"/>
        </w:rPr>
        <w:fldChar w:fldCharType="separate"/>
      </w:r>
      <w:r>
        <w:rPr>
          <w:rFonts w:hint="eastAsia" w:ascii="Times New Roman" w:hAnsi="Times New Roman" w:eastAsia="宋体" w:cs="Times New Roman"/>
          <w:color w:val="auto"/>
        </w:rPr>
        <w:t>关于加快推进低值类一般工业固体废物收集转运体系建设的函</w:t>
      </w:r>
      <w:r>
        <w:rPr>
          <w:rFonts w:hint="eastAsia" w:ascii="Times New Roman" w:hAnsi="Times New Roman" w:eastAsia="宋体" w:cs="Times New Roman"/>
          <w:color w:val="auto"/>
        </w:rPr>
        <w:fldChar w:fldCharType="end"/>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江环函[2022]246号</w:t>
      </w:r>
      <w:r>
        <w:rPr>
          <w:rFonts w:hint="eastAsia" w:ascii="Times New Roman" w:hAnsi="Times New Roman" w:eastAsia="宋体" w:cs="Times New Roman"/>
          <w:color w:val="auto"/>
          <w:lang w:eastAsia="zh-CN"/>
        </w:rPr>
        <w:t>）；</w:t>
      </w:r>
    </w:p>
    <w:p w14:paraId="0D6F9912">
      <w:pPr>
        <w:numPr>
          <w:ilvl w:val="0"/>
          <w:numId w:val="10"/>
        </w:numPr>
        <w:tabs>
          <w:tab w:val="left" w:pos="420"/>
          <w:tab w:val="left" w:pos="900"/>
          <w:tab w:val="clear" w:pos="425"/>
        </w:tabs>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rPr>
        <w:t>《江门市“三线一单”生态环境分区管控方案》（</w:t>
      </w:r>
      <w:r>
        <w:rPr>
          <w:rFonts w:hint="eastAsia" w:ascii="Times New Roman" w:hAnsi="Times New Roman" w:eastAsia="宋体" w:cs="Times New Roman"/>
          <w:color w:val="auto"/>
          <w:lang w:eastAsia="zh-CN"/>
        </w:rPr>
        <w:t>江府〔2024〕15 号</w:t>
      </w:r>
      <w:r>
        <w:rPr>
          <w:rFonts w:hint="eastAsia" w:ascii="Times New Roman" w:hAnsi="Times New Roman" w:eastAsia="宋体" w:cs="Times New Roman"/>
          <w:color w:val="auto"/>
        </w:rPr>
        <w:t>）</w:t>
      </w:r>
      <w:r>
        <w:rPr>
          <w:rFonts w:hint="eastAsia" w:ascii="Times New Roman" w:hAnsi="Times New Roman" w:eastAsia="宋体" w:cs="Times New Roman"/>
          <w:color w:val="auto"/>
          <w:lang w:eastAsia="zh-CN"/>
        </w:rPr>
        <w:t>；</w:t>
      </w:r>
    </w:p>
    <w:p w14:paraId="4D4C0502">
      <w:pPr>
        <w:numPr>
          <w:ilvl w:val="0"/>
          <w:numId w:val="10"/>
        </w:numPr>
        <w:tabs>
          <w:tab w:val="left" w:pos="420"/>
          <w:tab w:val="left" w:pos="900"/>
          <w:tab w:val="clear" w:pos="425"/>
        </w:tabs>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lang w:eastAsia="zh-CN"/>
        </w:rPr>
        <w:t>关于印发江门市202</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lang w:eastAsia="zh-CN"/>
        </w:rPr>
        <w:t>年细颗粒物和臭氧污染协同防控工作方案的通知</w:t>
      </w:r>
      <w:r>
        <w:rPr>
          <w:rFonts w:hint="eastAsia" w:ascii="Times New Roman" w:hAnsi="Times New Roman" w:eastAsia="宋体" w:cs="Times New Roman"/>
          <w:color w:val="auto"/>
          <w:lang w:val="en-US" w:eastAsia="zh-CN"/>
        </w:rPr>
        <w:t>》（</w:t>
      </w:r>
      <w:r>
        <w:rPr>
          <w:rFonts w:hint="eastAsia" w:ascii="Times New Roman" w:hAnsi="Times New Roman" w:eastAsia="宋体" w:cs="Times New Roman"/>
          <w:color w:val="auto"/>
          <w:lang w:eastAsia="zh-CN"/>
        </w:rPr>
        <w:t>江环〔202</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lang w:eastAsia="zh-CN"/>
        </w:rPr>
        <w:t>〕2</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号）；</w:t>
      </w:r>
    </w:p>
    <w:p w14:paraId="598D1C11">
      <w:pPr>
        <w:numPr>
          <w:ilvl w:val="0"/>
          <w:numId w:val="10"/>
        </w:numPr>
        <w:tabs>
          <w:tab w:val="left" w:pos="420"/>
          <w:tab w:val="left" w:pos="900"/>
          <w:tab w:val="clear" w:pos="425"/>
        </w:tabs>
        <w:ind w:left="0" w:firstLine="480"/>
        <w:rPr>
          <w:rFonts w:hint="eastAsia" w:ascii="Times New Roman" w:hAnsi="Times New Roman" w:eastAsia="宋体" w:cs="Times New Roman"/>
          <w:color w:val="auto"/>
        </w:rPr>
      </w:pPr>
      <w:r>
        <w:rPr>
          <w:rFonts w:hint="eastAsia" w:ascii="Times New Roman" w:hAnsi="Times New Roman" w:cs="Times New Roman"/>
          <w:color w:val="auto"/>
        </w:rPr>
        <w:t>《江门市声环境功能区划》（江环〔2019〕378号）以及关于修改《江门市声环境功能区划》及延长文件有效期的通知（江环〔2025〕13号）</w:t>
      </w:r>
      <w:r>
        <w:rPr>
          <w:rFonts w:hint="eastAsia" w:ascii="Times New Roman" w:hAnsi="Times New Roman" w:cs="Times New Roman"/>
          <w:color w:val="auto"/>
          <w:lang w:eastAsia="zh-CN"/>
        </w:rPr>
        <w:t>；</w:t>
      </w:r>
    </w:p>
    <w:p w14:paraId="2425E85C">
      <w:pPr>
        <w:pStyle w:val="64"/>
        <w:numPr>
          <w:ilvl w:val="2"/>
          <w:numId w:val="8"/>
        </w:numPr>
        <w:spacing w:before="120" w:after="120"/>
        <w:ind w:left="709" w:leftChars="0" w:hanging="709" w:firstLineChars="0"/>
        <w:rPr>
          <w:rFonts w:ascii="Times New Roman" w:hAnsi="Times New Roman" w:eastAsia="宋体" w:cs="Times New Roman"/>
          <w:color w:val="auto"/>
        </w:rPr>
      </w:pPr>
      <w:bookmarkStart w:id="19" w:name="_Toc275331995"/>
      <w:bookmarkStart w:id="20" w:name="_Toc239440802"/>
      <w:r>
        <w:rPr>
          <w:rFonts w:ascii="Times New Roman" w:hAnsi="Times New Roman" w:eastAsia="宋体" w:cs="Times New Roman"/>
          <w:color w:val="auto"/>
        </w:rPr>
        <w:t>环保行业标准及技术规范</w:t>
      </w:r>
      <w:bookmarkEnd w:id="19"/>
      <w:bookmarkEnd w:id="20"/>
    </w:p>
    <w:p w14:paraId="05503FD6">
      <w:pPr>
        <w:numPr>
          <w:ilvl w:val="0"/>
          <w:numId w:val="11"/>
        </w:numPr>
        <w:snapToGrid w:val="0"/>
        <w:ind w:left="0" w:firstLine="480"/>
        <w:rPr>
          <w:color w:val="auto"/>
        </w:rPr>
      </w:pPr>
      <w:r>
        <w:rPr>
          <w:color w:val="auto"/>
        </w:rPr>
        <w:t>《</w:t>
      </w:r>
      <w:r>
        <w:rPr>
          <w:rFonts w:hint="eastAsia"/>
          <w:color w:val="auto"/>
        </w:rPr>
        <w:t>建设项目</w:t>
      </w:r>
      <w:r>
        <w:rPr>
          <w:color w:val="auto"/>
        </w:rPr>
        <w:t>环境影响评价技术导则  总纲》（HJ</w:t>
      </w:r>
      <w:r>
        <w:rPr>
          <w:rFonts w:hint="eastAsia"/>
          <w:color w:val="auto"/>
        </w:rPr>
        <w:t xml:space="preserve"> </w:t>
      </w:r>
      <w:r>
        <w:rPr>
          <w:color w:val="auto"/>
        </w:rPr>
        <w:t>2.1-201</w:t>
      </w:r>
      <w:r>
        <w:rPr>
          <w:rFonts w:hint="eastAsia"/>
          <w:color w:val="auto"/>
        </w:rPr>
        <w:t>6</w:t>
      </w:r>
      <w:r>
        <w:rPr>
          <w:color w:val="auto"/>
        </w:rPr>
        <w:t>）；</w:t>
      </w:r>
    </w:p>
    <w:p w14:paraId="207D4571">
      <w:pPr>
        <w:numPr>
          <w:ilvl w:val="0"/>
          <w:numId w:val="11"/>
        </w:numPr>
        <w:snapToGrid w:val="0"/>
        <w:ind w:left="0" w:firstLine="480"/>
        <w:rPr>
          <w:color w:val="auto"/>
        </w:rPr>
      </w:pPr>
      <w:r>
        <w:rPr>
          <w:color w:val="auto"/>
        </w:rPr>
        <w:t>《环境影响评价技术导则 大气环境》</w:t>
      </w:r>
      <w:r>
        <w:rPr>
          <w:bCs/>
          <w:color w:val="auto"/>
        </w:rPr>
        <w:t>（HJ</w:t>
      </w:r>
      <w:r>
        <w:rPr>
          <w:rFonts w:hint="eastAsia"/>
          <w:bCs/>
          <w:color w:val="auto"/>
        </w:rPr>
        <w:t xml:space="preserve"> </w:t>
      </w:r>
      <w:r>
        <w:rPr>
          <w:bCs/>
          <w:color w:val="auto"/>
        </w:rPr>
        <w:t>2.2-20</w:t>
      </w:r>
      <w:r>
        <w:rPr>
          <w:rFonts w:hint="eastAsia"/>
          <w:bCs/>
          <w:color w:val="auto"/>
        </w:rPr>
        <w:t>1</w:t>
      </w:r>
      <w:r>
        <w:rPr>
          <w:bCs/>
          <w:color w:val="auto"/>
        </w:rPr>
        <w:t>8）</w:t>
      </w:r>
      <w:r>
        <w:rPr>
          <w:color w:val="auto"/>
        </w:rPr>
        <w:t>；</w:t>
      </w:r>
    </w:p>
    <w:p w14:paraId="08047BEF">
      <w:pPr>
        <w:numPr>
          <w:ilvl w:val="0"/>
          <w:numId w:val="11"/>
        </w:numPr>
        <w:snapToGrid w:val="0"/>
        <w:ind w:left="0" w:firstLine="480"/>
        <w:rPr>
          <w:color w:val="auto"/>
        </w:rPr>
      </w:pPr>
      <w:r>
        <w:rPr>
          <w:color w:val="auto"/>
        </w:rPr>
        <w:t>《</w:t>
      </w:r>
      <w:r>
        <w:rPr>
          <w:rFonts w:hint="eastAsia"/>
          <w:color w:val="auto"/>
          <w:lang w:eastAsia="zh-CN"/>
        </w:rPr>
        <w:t>环境影响评价技术导则 地表水环境</w:t>
      </w:r>
      <w:r>
        <w:rPr>
          <w:color w:val="auto"/>
        </w:rPr>
        <w:t>》</w:t>
      </w:r>
      <w:r>
        <w:rPr>
          <w:bCs/>
          <w:color w:val="auto"/>
        </w:rPr>
        <w:t>（HJ2.3-</w:t>
      </w:r>
      <w:r>
        <w:rPr>
          <w:rFonts w:hint="eastAsia"/>
          <w:bCs/>
          <w:color w:val="auto"/>
        </w:rPr>
        <w:t>2018</w:t>
      </w:r>
      <w:r>
        <w:rPr>
          <w:bCs/>
          <w:color w:val="auto"/>
        </w:rPr>
        <w:t>）</w:t>
      </w:r>
      <w:r>
        <w:rPr>
          <w:color w:val="auto"/>
        </w:rPr>
        <w:t>；</w:t>
      </w:r>
    </w:p>
    <w:p w14:paraId="27FD1DA7">
      <w:pPr>
        <w:numPr>
          <w:ilvl w:val="0"/>
          <w:numId w:val="11"/>
        </w:numPr>
        <w:snapToGrid w:val="0"/>
        <w:ind w:left="0" w:firstLine="480"/>
        <w:rPr>
          <w:color w:val="auto"/>
        </w:rPr>
      </w:pPr>
      <w:r>
        <w:rPr>
          <w:color w:val="auto"/>
        </w:rPr>
        <w:t>《环境影响评价技术导则 地</w:t>
      </w:r>
      <w:r>
        <w:rPr>
          <w:rFonts w:hint="eastAsia"/>
          <w:color w:val="auto"/>
        </w:rPr>
        <w:t>下</w:t>
      </w:r>
      <w:r>
        <w:rPr>
          <w:color w:val="auto"/>
        </w:rPr>
        <w:t>水环境》（HJ</w:t>
      </w:r>
      <w:r>
        <w:rPr>
          <w:rFonts w:hint="eastAsia"/>
          <w:color w:val="auto"/>
        </w:rPr>
        <w:t xml:space="preserve"> 610-2016</w:t>
      </w:r>
      <w:r>
        <w:rPr>
          <w:color w:val="auto"/>
        </w:rPr>
        <w:t>）；</w:t>
      </w:r>
    </w:p>
    <w:p w14:paraId="02D36C12">
      <w:pPr>
        <w:numPr>
          <w:ilvl w:val="0"/>
          <w:numId w:val="11"/>
        </w:numPr>
        <w:snapToGrid w:val="0"/>
        <w:ind w:left="0" w:firstLine="480"/>
        <w:rPr>
          <w:color w:val="auto"/>
        </w:rPr>
      </w:pPr>
      <w:r>
        <w:rPr>
          <w:color w:val="auto"/>
        </w:rPr>
        <w:t>《环境影响评价技术导则  声环境》（</w:t>
      </w:r>
      <w:r>
        <w:rPr>
          <w:rFonts w:hint="eastAsia"/>
          <w:color w:val="auto"/>
          <w:lang w:eastAsia="zh-CN"/>
        </w:rPr>
        <w:t>HJ 2.4-2021</w:t>
      </w:r>
      <w:r>
        <w:rPr>
          <w:color w:val="auto"/>
        </w:rPr>
        <w:t>）；</w:t>
      </w:r>
    </w:p>
    <w:p w14:paraId="05BEEA24">
      <w:pPr>
        <w:numPr>
          <w:ilvl w:val="0"/>
          <w:numId w:val="11"/>
        </w:numPr>
        <w:snapToGrid w:val="0"/>
        <w:ind w:left="0" w:firstLine="480"/>
        <w:rPr>
          <w:color w:val="auto"/>
        </w:rPr>
      </w:pPr>
      <w:r>
        <w:rPr>
          <w:color w:val="auto"/>
        </w:rPr>
        <w:t>《环境影响评价技术导则  生态影响》（</w:t>
      </w:r>
      <w:r>
        <w:rPr>
          <w:rFonts w:hint="eastAsia"/>
          <w:color w:val="auto"/>
          <w:lang w:eastAsia="zh-CN"/>
        </w:rPr>
        <w:t>HJ 19-2022</w:t>
      </w:r>
      <w:r>
        <w:rPr>
          <w:color w:val="auto"/>
        </w:rPr>
        <w:t>）；</w:t>
      </w:r>
    </w:p>
    <w:p w14:paraId="7E1CA5E0">
      <w:pPr>
        <w:numPr>
          <w:ilvl w:val="0"/>
          <w:numId w:val="11"/>
        </w:numPr>
        <w:snapToGrid w:val="0"/>
        <w:ind w:left="0" w:firstLine="480"/>
        <w:rPr>
          <w:color w:val="auto"/>
        </w:rPr>
      </w:pPr>
      <w:r>
        <w:rPr>
          <w:color w:val="auto"/>
        </w:rPr>
        <w:t>《环境影响评价技术导则 土壤环境(试行)》</w:t>
      </w:r>
      <w:r>
        <w:rPr>
          <w:rFonts w:hint="eastAsia"/>
          <w:color w:val="auto"/>
        </w:rPr>
        <w:t>（</w:t>
      </w:r>
      <w:r>
        <w:rPr>
          <w:color w:val="auto"/>
        </w:rPr>
        <w:t>HJ 964-2018</w:t>
      </w:r>
      <w:r>
        <w:rPr>
          <w:rFonts w:hint="eastAsia"/>
          <w:color w:val="auto"/>
        </w:rPr>
        <w:t>）；</w:t>
      </w:r>
    </w:p>
    <w:p w14:paraId="65B9BF52">
      <w:pPr>
        <w:numPr>
          <w:ilvl w:val="0"/>
          <w:numId w:val="11"/>
        </w:numPr>
        <w:snapToGrid w:val="0"/>
        <w:ind w:left="0" w:firstLine="480"/>
        <w:rPr>
          <w:color w:val="auto"/>
        </w:rPr>
      </w:pPr>
      <w:r>
        <w:rPr>
          <w:color w:val="auto"/>
        </w:rPr>
        <w:t>《</w:t>
      </w:r>
      <w:r>
        <w:rPr>
          <w:color w:val="auto"/>
        </w:rPr>
        <w:fldChar w:fldCharType="begin"/>
      </w:r>
      <w:r>
        <w:rPr>
          <w:color w:val="auto"/>
        </w:rPr>
        <w:instrText xml:space="preserve"> HYPERLINK "http://kjs.mep.gov.cn/hjbhbz/bzwb/other/pjjsdz/200412/t20041211_63369.shtml" \t "http://kjs.mep.gov.cn/hjbhbz/bzwb/other/pjjsdz/_blank" \o "建设项目环境风险评价技术导则" </w:instrText>
      </w:r>
      <w:r>
        <w:rPr>
          <w:color w:val="auto"/>
        </w:rPr>
        <w:fldChar w:fldCharType="separate"/>
      </w:r>
      <w:r>
        <w:rPr>
          <w:rFonts w:hint="eastAsia"/>
          <w:color w:val="auto"/>
        </w:rPr>
        <w:t>建设项目环境风险评价技术导则</w:t>
      </w:r>
      <w:r>
        <w:rPr>
          <w:color w:val="auto"/>
        </w:rPr>
        <w:t>》（</w:t>
      </w:r>
      <w:r>
        <w:rPr>
          <w:rFonts w:hint="eastAsia"/>
          <w:color w:val="auto"/>
        </w:rPr>
        <w:t>HJ/T 169－2018</w:t>
      </w:r>
      <w:r>
        <w:rPr>
          <w:color w:val="auto"/>
        </w:rPr>
        <w:t>）；</w:t>
      </w:r>
      <w:r>
        <w:rPr>
          <w:rFonts w:hint="eastAsia"/>
          <w:color w:val="auto"/>
        </w:rPr>
        <w:t xml:space="preserve"> </w:t>
      </w:r>
      <w:r>
        <w:rPr>
          <w:rFonts w:hint="eastAsia"/>
          <w:color w:val="auto"/>
        </w:rPr>
        <w:fldChar w:fldCharType="end"/>
      </w:r>
    </w:p>
    <w:p w14:paraId="3CF62047">
      <w:pPr>
        <w:numPr>
          <w:ilvl w:val="0"/>
          <w:numId w:val="11"/>
        </w:numPr>
        <w:snapToGrid w:val="0"/>
        <w:ind w:left="0" w:firstLine="480"/>
        <w:rPr>
          <w:color w:val="auto"/>
        </w:rPr>
      </w:pPr>
      <w:r>
        <w:rPr>
          <w:rFonts w:hint="eastAsia"/>
          <w:color w:val="auto"/>
        </w:rPr>
        <w:t>《</w:t>
      </w:r>
      <w:r>
        <w:rPr>
          <w:color w:val="auto"/>
          <w:szCs w:val="24"/>
          <w:shd w:val="clear" w:color="auto" w:fill="FFFFFF"/>
        </w:rPr>
        <w:t>声环境功能区划分技术规范</w:t>
      </w:r>
      <w:r>
        <w:rPr>
          <w:rFonts w:hint="eastAsia"/>
          <w:color w:val="auto"/>
          <w:szCs w:val="24"/>
          <w:shd w:val="clear" w:color="auto" w:fill="FFFFFF"/>
        </w:rPr>
        <w:t>》</w:t>
      </w:r>
      <w:r>
        <w:rPr>
          <w:color w:val="auto"/>
          <w:szCs w:val="24"/>
          <w:shd w:val="clear" w:color="auto" w:fill="FFFFFF"/>
        </w:rPr>
        <w:t>（GB/T 15190-2014）</w:t>
      </w:r>
      <w:r>
        <w:rPr>
          <w:rFonts w:hint="eastAsia"/>
          <w:color w:val="auto"/>
        </w:rPr>
        <w:t>；</w:t>
      </w:r>
    </w:p>
    <w:p w14:paraId="0B3D4344">
      <w:pPr>
        <w:numPr>
          <w:ilvl w:val="0"/>
          <w:numId w:val="11"/>
        </w:numPr>
        <w:snapToGrid w:val="0"/>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rPr>
        <w:t>《固体废物鉴别标准 通则》（GB34330-2017）</w:t>
      </w:r>
      <w:r>
        <w:rPr>
          <w:rFonts w:hint="eastAsia" w:ascii="Times New Roman" w:hAnsi="Times New Roman" w:eastAsia="宋体" w:cs="Times New Roman"/>
          <w:color w:val="auto"/>
          <w:lang w:eastAsia="zh-CN"/>
        </w:rPr>
        <w:t>；</w:t>
      </w:r>
    </w:p>
    <w:p w14:paraId="09CFBA17">
      <w:pPr>
        <w:numPr>
          <w:ilvl w:val="0"/>
          <w:numId w:val="11"/>
        </w:numPr>
        <w:snapToGrid w:val="0"/>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rPr>
        <w:t>《危险废物贮存污染控制标准》（GB 18597-20</w:t>
      </w:r>
      <w:r>
        <w:rPr>
          <w:rFonts w:hint="eastAsia" w:ascii="Times New Roman" w:hAnsi="Times New Roman" w:eastAsia="宋体" w:cs="Times New Roman"/>
          <w:color w:val="auto"/>
          <w:lang w:val="en-US" w:eastAsia="zh-CN"/>
        </w:rPr>
        <w:t>23</w:t>
      </w:r>
      <w:r>
        <w:rPr>
          <w:rFonts w:hint="eastAsia" w:ascii="Times New Roman" w:hAnsi="Times New Roman" w:eastAsia="宋体" w:cs="Times New Roman"/>
          <w:color w:val="auto"/>
        </w:rPr>
        <w:t>）</w:t>
      </w:r>
      <w:r>
        <w:rPr>
          <w:rFonts w:hint="eastAsia" w:ascii="Times New Roman" w:hAnsi="Times New Roman" w:eastAsia="宋体" w:cs="Times New Roman"/>
          <w:color w:val="auto"/>
          <w:lang w:eastAsia="zh-CN"/>
        </w:rPr>
        <w:t>；</w:t>
      </w:r>
    </w:p>
    <w:p w14:paraId="5F40E303">
      <w:pPr>
        <w:numPr>
          <w:ilvl w:val="0"/>
          <w:numId w:val="11"/>
        </w:numPr>
        <w:snapToGrid w:val="0"/>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排污许可证申请与核发技术规范 印刷工业</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（HJ 1066－2019）</w:t>
      </w:r>
      <w:r>
        <w:rPr>
          <w:rFonts w:hint="eastAsia" w:ascii="Times New Roman" w:hAnsi="Times New Roman" w:eastAsia="宋体" w:cs="Times New Roman"/>
          <w:color w:val="auto"/>
          <w:lang w:eastAsia="zh-CN"/>
        </w:rPr>
        <w:t>；</w:t>
      </w:r>
    </w:p>
    <w:p w14:paraId="74B728B8">
      <w:pPr>
        <w:numPr>
          <w:ilvl w:val="0"/>
          <w:numId w:val="11"/>
        </w:numPr>
        <w:snapToGrid w:val="0"/>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rPr>
        <w:t>《印刷工业污染防治可行技术指南》（HJ1089-2020）</w:t>
      </w:r>
      <w:r>
        <w:rPr>
          <w:rFonts w:hint="eastAsia" w:ascii="Times New Roman" w:hAnsi="Times New Roman" w:eastAsia="宋体" w:cs="Times New Roman"/>
          <w:color w:val="auto"/>
          <w:lang w:eastAsia="zh-CN"/>
        </w:rPr>
        <w:t>；</w:t>
      </w:r>
    </w:p>
    <w:p w14:paraId="4B63FA6A">
      <w:pPr>
        <w:numPr>
          <w:ilvl w:val="0"/>
          <w:numId w:val="11"/>
        </w:numPr>
        <w:snapToGrid w:val="0"/>
        <w:ind w:left="0" w:firstLine="480"/>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《排污单位自行监测技术指南 印刷工业》（HJ 1246—2022）。</w:t>
      </w:r>
    </w:p>
    <w:p w14:paraId="342B86EA">
      <w:pPr>
        <w:pStyle w:val="64"/>
        <w:numPr>
          <w:ilvl w:val="2"/>
          <w:numId w:val="8"/>
        </w:numPr>
        <w:spacing w:before="120" w:after="120"/>
        <w:ind w:left="709" w:leftChars="0" w:hanging="709" w:firstLineChars="0"/>
        <w:rPr>
          <w:rFonts w:ascii="Times New Roman" w:hAnsi="Times New Roman" w:eastAsia="宋体" w:cs="Times New Roman"/>
          <w:color w:val="auto"/>
        </w:rPr>
      </w:pPr>
      <w:r>
        <w:rPr>
          <w:rFonts w:ascii="Times New Roman" w:hAnsi="Times New Roman" w:eastAsia="宋体" w:cs="Times New Roman"/>
          <w:color w:val="auto"/>
        </w:rPr>
        <w:t>其他有关依据</w:t>
      </w:r>
    </w:p>
    <w:p w14:paraId="669D8D8B">
      <w:pPr>
        <w:numPr>
          <w:ilvl w:val="0"/>
          <w:numId w:val="12"/>
        </w:numPr>
        <w:ind w:firstLine="480"/>
        <w:rPr>
          <w:color w:val="auto"/>
        </w:rPr>
      </w:pPr>
      <w:r>
        <w:rPr>
          <w:rFonts w:hint="eastAsia"/>
          <w:color w:val="auto"/>
        </w:rPr>
        <w:t>《</w:t>
      </w:r>
      <w:r>
        <w:rPr>
          <w:rFonts w:hint="eastAsia"/>
          <w:color w:val="auto"/>
          <w:lang w:eastAsia="zh-CN"/>
        </w:rPr>
        <w:t>鹤山市衍鹏印刷有限公司年产450吨包装卷膜新建项目</w:t>
      </w:r>
      <w:r>
        <w:rPr>
          <w:rFonts w:hint="eastAsia"/>
          <w:color w:val="auto"/>
        </w:rPr>
        <w:t>环境影响评价委托书》（见附件1）；</w:t>
      </w:r>
    </w:p>
    <w:p w14:paraId="22BA34C3">
      <w:pPr>
        <w:numPr>
          <w:ilvl w:val="0"/>
          <w:numId w:val="12"/>
        </w:numPr>
        <w:ind w:firstLine="480"/>
        <w:rPr>
          <w:color w:val="auto"/>
        </w:rPr>
      </w:pPr>
      <w:r>
        <w:rPr>
          <w:rFonts w:hint="eastAsia"/>
          <w:color w:val="auto"/>
          <w:lang w:eastAsia="zh-CN"/>
        </w:rPr>
        <w:t>鹤山市衍鹏印刷有限公司</w:t>
      </w:r>
      <w:r>
        <w:rPr>
          <w:rFonts w:hint="eastAsia"/>
          <w:color w:val="auto"/>
        </w:rPr>
        <w:t>提供的其他资料。</w:t>
      </w:r>
    </w:p>
    <w:p w14:paraId="11E79B3E">
      <w:pPr>
        <w:pStyle w:val="67"/>
        <w:numPr>
          <w:ilvl w:val="1"/>
          <w:numId w:val="8"/>
        </w:numPr>
        <w:bidi w:val="0"/>
        <w:ind w:left="567" w:leftChars="0" w:hanging="567" w:firstLineChars="0"/>
        <w:rPr>
          <w:rFonts w:hint="eastAsia" w:ascii="Times New Roman" w:hAnsi="Times New Roman" w:eastAsia="宋体" w:cs="Times New Roman"/>
          <w:color w:val="auto"/>
        </w:rPr>
      </w:pPr>
      <w:bookmarkStart w:id="21" w:name="_Toc17042730"/>
      <w:bookmarkStart w:id="22" w:name="_Toc105736111"/>
      <w:bookmarkStart w:id="23" w:name="_Toc9115357"/>
      <w:bookmarkStart w:id="24" w:name="_Toc240680699"/>
      <w:bookmarkStart w:id="25" w:name="_Toc19142"/>
      <w:bookmarkStart w:id="26" w:name="_Toc1768"/>
      <w:bookmarkStart w:id="27" w:name="_Toc283585972"/>
      <w:bookmarkStart w:id="28" w:name="_Toc269723260"/>
      <w:bookmarkStart w:id="29" w:name="_Toc342748470"/>
      <w:bookmarkStart w:id="30" w:name="_Toc113414070"/>
      <w:r>
        <w:rPr>
          <w:rFonts w:hint="eastAsia" w:ascii="Times New Roman" w:hAnsi="Times New Roman" w:eastAsia="宋体" w:cs="Times New Roman"/>
          <w:color w:val="auto"/>
        </w:rPr>
        <w:t>污染控制与环境保护</w:t>
      </w:r>
      <w:bookmarkEnd w:id="21"/>
      <w:bookmarkEnd w:id="22"/>
      <w:bookmarkEnd w:id="23"/>
      <w:r>
        <w:rPr>
          <w:rFonts w:hint="eastAsia" w:ascii="Times New Roman" w:hAnsi="Times New Roman" w:eastAsia="宋体" w:cs="Times New Roman"/>
          <w:color w:val="auto"/>
        </w:rPr>
        <w:t>目标</w:t>
      </w:r>
      <w:bookmarkEnd w:id="24"/>
      <w:bookmarkEnd w:id="25"/>
      <w:bookmarkEnd w:id="26"/>
      <w:bookmarkEnd w:id="27"/>
      <w:bookmarkEnd w:id="28"/>
      <w:bookmarkEnd w:id="29"/>
      <w:bookmarkEnd w:id="30"/>
    </w:p>
    <w:p w14:paraId="535D966A">
      <w:pPr>
        <w:pStyle w:val="64"/>
        <w:numPr>
          <w:ilvl w:val="2"/>
          <w:numId w:val="8"/>
        </w:numPr>
        <w:bidi w:val="0"/>
        <w:ind w:left="709" w:leftChars="0" w:hanging="709" w:firstLineChars="0"/>
        <w:rPr>
          <w:rFonts w:hint="eastAsia"/>
          <w:color w:val="auto"/>
        </w:rPr>
      </w:pPr>
      <w:r>
        <w:rPr>
          <w:rFonts w:hint="eastAsia"/>
          <w:color w:val="auto"/>
        </w:rPr>
        <w:t>环境污染控制目标</w:t>
      </w:r>
    </w:p>
    <w:p w14:paraId="5B19E3D5">
      <w:pPr>
        <w:ind w:firstLine="480"/>
        <w:rPr>
          <w:color w:val="auto"/>
        </w:rPr>
      </w:pPr>
      <w:r>
        <w:rPr>
          <w:color w:val="auto"/>
        </w:rPr>
        <w:t>（1）</w:t>
      </w:r>
      <w:r>
        <w:rPr>
          <w:rFonts w:hint="eastAsia"/>
          <w:color w:val="auto"/>
        </w:rPr>
        <w:t>确保生活污水预处理达标后排放至市政污水管网</w:t>
      </w:r>
      <w:r>
        <w:rPr>
          <w:color w:val="auto"/>
        </w:rPr>
        <w:t>，有效控制主要污染物COD、BOD</w:t>
      </w:r>
      <w:r>
        <w:rPr>
          <w:color w:val="auto"/>
          <w:vertAlign w:val="subscript"/>
        </w:rPr>
        <w:t>5</w:t>
      </w:r>
      <w:r>
        <w:rPr>
          <w:color w:val="auto"/>
        </w:rPr>
        <w:t>、氨氮、</w:t>
      </w:r>
      <w:r>
        <w:rPr>
          <w:rFonts w:hint="eastAsia"/>
          <w:color w:val="auto"/>
        </w:rPr>
        <w:t>SS、TP</w:t>
      </w:r>
      <w:r>
        <w:rPr>
          <w:rFonts w:hint="eastAsia"/>
          <w:color w:val="auto"/>
          <w:lang w:eastAsia="zh-CN"/>
        </w:rPr>
        <w:t>、</w:t>
      </w:r>
      <w:r>
        <w:rPr>
          <w:rFonts w:hint="eastAsia"/>
          <w:color w:val="auto"/>
          <w:lang w:val="en-US" w:eastAsia="zh-CN"/>
        </w:rPr>
        <w:t>TN</w:t>
      </w:r>
      <w:r>
        <w:rPr>
          <w:color w:val="auto"/>
        </w:rPr>
        <w:t>等</w:t>
      </w:r>
      <w:r>
        <w:rPr>
          <w:rFonts w:hint="eastAsia"/>
          <w:color w:val="auto"/>
        </w:rPr>
        <w:t>不污染</w:t>
      </w:r>
      <w:r>
        <w:rPr>
          <w:rFonts w:hint="eastAsia"/>
          <w:color w:val="auto"/>
          <w:lang w:eastAsia="zh-CN"/>
        </w:rPr>
        <w:t>沙坪河</w:t>
      </w:r>
      <w:r>
        <w:rPr>
          <w:rFonts w:hint="eastAsia"/>
          <w:color w:val="auto"/>
        </w:rPr>
        <w:t>。</w:t>
      </w:r>
    </w:p>
    <w:p w14:paraId="4475F68D">
      <w:pPr>
        <w:ind w:firstLine="480"/>
        <w:rPr>
          <w:color w:val="auto"/>
        </w:rPr>
      </w:pPr>
      <w:r>
        <w:rPr>
          <w:color w:val="auto"/>
        </w:rPr>
        <w:t>（2）大气污染物达标排放，有效控制</w:t>
      </w:r>
      <w:r>
        <w:rPr>
          <w:rFonts w:hint="eastAsia"/>
          <w:color w:val="auto"/>
        </w:rPr>
        <w:t>氮氧化物、臭气浓度、VOCs、非甲烷总烃、</w:t>
      </w:r>
      <w:r>
        <w:rPr>
          <w:rFonts w:hint="eastAsia"/>
          <w:color w:val="auto"/>
          <w:lang w:val="en-US" w:eastAsia="zh-CN"/>
        </w:rPr>
        <w:t>二氧化硫、氯化氢</w:t>
      </w:r>
      <w:r>
        <w:rPr>
          <w:color w:val="auto"/>
        </w:rPr>
        <w:t>等主要大气污染物的排放，保护本项目拟建址及周边区域的环境空气质量</w:t>
      </w:r>
      <w:r>
        <w:rPr>
          <w:rFonts w:hint="eastAsia"/>
          <w:color w:val="auto"/>
        </w:rPr>
        <w:t>达到</w:t>
      </w:r>
      <w:r>
        <w:rPr>
          <w:color w:val="auto"/>
        </w:rPr>
        <w:t>《环境空气质量标准》（GB3095-2012）</w:t>
      </w:r>
      <w:r>
        <w:rPr>
          <w:rFonts w:hint="eastAsia"/>
          <w:color w:val="auto"/>
        </w:rPr>
        <w:t>及其修改单</w:t>
      </w:r>
      <w:r>
        <w:rPr>
          <w:color w:val="auto"/>
        </w:rPr>
        <w:t>二级标准。</w:t>
      </w:r>
    </w:p>
    <w:p w14:paraId="60362FC3">
      <w:pPr>
        <w:ind w:firstLine="480"/>
        <w:rPr>
          <w:color w:val="auto"/>
        </w:rPr>
      </w:pPr>
      <w:r>
        <w:rPr>
          <w:color w:val="auto"/>
        </w:rPr>
        <w:t>（3）控制本项目噪声的排放，使项目所在区域噪声敏感点声环境质量不受项目影响。</w:t>
      </w:r>
    </w:p>
    <w:p w14:paraId="2D159B01">
      <w:pPr>
        <w:ind w:firstLine="480"/>
        <w:rPr>
          <w:color w:val="auto"/>
        </w:rPr>
      </w:pPr>
      <w:r>
        <w:rPr>
          <w:color w:val="auto"/>
        </w:rPr>
        <w:t>（4）有效控制本项目固体废物的污染，使其拟建址所在区域生态环境得到保护。</w:t>
      </w:r>
    </w:p>
    <w:p w14:paraId="6E08A73A">
      <w:pPr>
        <w:ind w:firstLine="480"/>
        <w:rPr>
          <w:color w:val="auto"/>
        </w:rPr>
      </w:pPr>
      <w:r>
        <w:rPr>
          <w:color w:val="auto"/>
        </w:rPr>
        <w:t>（5）加强绿化、美化，使项目辖区及周边区域生态环境质量不受到明显不良影响。</w:t>
      </w:r>
    </w:p>
    <w:p w14:paraId="6B13048B">
      <w:pPr>
        <w:pStyle w:val="64"/>
        <w:numPr>
          <w:ilvl w:val="2"/>
          <w:numId w:val="8"/>
        </w:numPr>
        <w:bidi w:val="0"/>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环境保护敏感目标</w:t>
      </w:r>
    </w:p>
    <w:p w14:paraId="76B0888E">
      <w:pPr>
        <w:ind w:firstLine="480"/>
        <w:rPr>
          <w:rFonts w:hint="default" w:eastAsia="宋体"/>
          <w:color w:val="auto"/>
          <w:lang w:val="en-US" w:eastAsia="zh-CN"/>
        </w:rPr>
      </w:pPr>
      <w:r>
        <w:rPr>
          <w:color w:val="auto"/>
        </w:rPr>
        <w:t>经初步调查，可统计出本项目所在区域及周边区域环境保护敏感对象，具体详见表1.</w:t>
      </w:r>
      <w:r>
        <w:rPr>
          <w:rFonts w:hint="eastAsia"/>
          <w:color w:val="auto"/>
        </w:rPr>
        <w:t>2</w:t>
      </w:r>
      <w:r>
        <w:rPr>
          <w:color w:val="auto"/>
        </w:rPr>
        <w:t>-1所示</w:t>
      </w:r>
      <w:r>
        <w:rPr>
          <w:rFonts w:hint="eastAsia"/>
          <w:color w:val="auto"/>
        </w:rPr>
        <w:t>。</w:t>
      </w:r>
      <w:r>
        <w:rPr>
          <w:rFonts w:hint="eastAsia"/>
          <w:color w:val="auto"/>
          <w:lang w:val="en-US" w:eastAsia="zh-CN"/>
        </w:rPr>
        <w:t>本项目无声环境保护目标。</w:t>
      </w:r>
    </w:p>
    <w:p w14:paraId="4D08509C">
      <w:pPr>
        <w:pStyle w:val="62"/>
        <w:rPr>
          <w:color w:val="auto"/>
          <w:szCs w:val="24"/>
        </w:rPr>
      </w:pPr>
      <w:bookmarkStart w:id="31" w:name="_Toc23101"/>
      <w:r>
        <w:rPr>
          <w:color w:val="auto"/>
        </w:rPr>
        <w:t>表1.</w:t>
      </w:r>
      <w:r>
        <w:rPr>
          <w:rFonts w:hint="eastAsia"/>
          <w:color w:val="auto"/>
        </w:rPr>
        <w:t>2</w:t>
      </w:r>
      <w:r>
        <w:rPr>
          <w:color w:val="auto"/>
        </w:rPr>
        <w:t>-1</w:t>
      </w:r>
      <w:r>
        <w:rPr>
          <w:rFonts w:hint="eastAsia"/>
          <w:color w:val="auto"/>
        </w:rPr>
        <w:t xml:space="preserve">  建设项目</w:t>
      </w:r>
      <w:r>
        <w:rPr>
          <w:rFonts w:hint="eastAsia"/>
          <w:color w:val="auto"/>
          <w:lang w:val="en-US" w:eastAsia="zh-CN"/>
        </w:rPr>
        <w:t>大气、风险</w:t>
      </w:r>
      <w:r>
        <w:rPr>
          <w:color w:val="auto"/>
        </w:rPr>
        <w:t>环境保护敏感对象</w:t>
      </w:r>
      <w:r>
        <w:rPr>
          <w:color w:val="auto"/>
          <w:szCs w:val="24"/>
        </w:rPr>
        <w:t>一览表</w:t>
      </w:r>
    </w:p>
    <w:tbl>
      <w:tblPr>
        <w:tblStyle w:val="3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1137"/>
        <w:gridCol w:w="1064"/>
        <w:gridCol w:w="760"/>
        <w:gridCol w:w="1001"/>
        <w:gridCol w:w="1323"/>
        <w:gridCol w:w="791"/>
        <w:gridCol w:w="856"/>
        <w:gridCol w:w="791"/>
        <w:gridCol w:w="1069"/>
      </w:tblGrid>
      <w:tr w14:paraId="3A34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blHeader/>
          <w:jc w:val="center"/>
        </w:trPr>
        <w:tc>
          <w:tcPr>
            <w:tcW w:w="263" w:type="pct"/>
            <w:vMerge w:val="restart"/>
            <w:tcBorders>
              <w:top w:val="single" w:color="000000" w:sz="12" w:space="0"/>
              <w:left w:val="nil"/>
              <w:tl2br w:val="nil"/>
            </w:tcBorders>
            <w:shd w:val="clear" w:color="auto" w:fill="FFFFFF"/>
            <w:vAlign w:val="center"/>
          </w:tcPr>
          <w:p w14:paraId="50AE82DB">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rPr>
              <w:t>序号</w:t>
            </w:r>
          </w:p>
        </w:tc>
        <w:tc>
          <w:tcPr>
            <w:tcW w:w="1185" w:type="pct"/>
            <w:gridSpan w:val="2"/>
            <w:tcBorders>
              <w:top w:val="single" w:color="000000" w:sz="12" w:space="0"/>
            </w:tcBorders>
            <w:shd w:val="clear" w:color="auto" w:fill="FFFFFF"/>
            <w:vAlign w:val="center"/>
          </w:tcPr>
          <w:p w14:paraId="69220112">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rPr>
              <w:t>坐标m</w:t>
            </w:r>
          </w:p>
        </w:tc>
        <w:tc>
          <w:tcPr>
            <w:tcW w:w="948" w:type="pct"/>
            <w:gridSpan w:val="2"/>
            <w:vMerge w:val="restart"/>
            <w:tcBorders>
              <w:top w:val="single" w:color="000000" w:sz="12" w:space="0"/>
            </w:tcBorders>
            <w:shd w:val="clear" w:color="auto" w:fill="FFFFFF"/>
            <w:vAlign w:val="center"/>
          </w:tcPr>
          <w:p w14:paraId="16225050">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rPr>
              <w:t>名称</w:t>
            </w:r>
          </w:p>
        </w:tc>
        <w:tc>
          <w:tcPr>
            <w:tcW w:w="712" w:type="pct"/>
            <w:vMerge w:val="restart"/>
            <w:tcBorders>
              <w:top w:val="single" w:color="000000" w:sz="12" w:space="0"/>
            </w:tcBorders>
            <w:shd w:val="clear" w:color="auto" w:fill="FFFFFF"/>
            <w:vAlign w:val="center"/>
          </w:tcPr>
          <w:p w14:paraId="7CF679A1">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保护内容</w:t>
            </w:r>
          </w:p>
        </w:tc>
        <w:tc>
          <w:tcPr>
            <w:tcW w:w="426" w:type="pct"/>
            <w:vMerge w:val="restart"/>
            <w:tcBorders>
              <w:top w:val="single" w:color="000000" w:sz="12" w:space="0"/>
            </w:tcBorders>
            <w:shd w:val="clear" w:color="auto" w:fill="FFFFFF"/>
            <w:vAlign w:val="center"/>
          </w:tcPr>
          <w:p w14:paraId="0BEA6B08">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b w:val="0"/>
                <w:color w:val="000000"/>
              </w:rPr>
              <w:t>相对厂址方位</w:t>
            </w:r>
          </w:p>
        </w:tc>
        <w:tc>
          <w:tcPr>
            <w:tcW w:w="461" w:type="pct"/>
            <w:vMerge w:val="restart"/>
            <w:tcBorders>
              <w:top w:val="single" w:color="000000" w:sz="12" w:space="0"/>
            </w:tcBorders>
            <w:shd w:val="clear" w:color="auto" w:fill="FFFFFF"/>
            <w:vAlign w:val="center"/>
          </w:tcPr>
          <w:p w14:paraId="181A9107">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人数</w:t>
            </w:r>
          </w:p>
        </w:tc>
        <w:tc>
          <w:tcPr>
            <w:tcW w:w="426" w:type="pct"/>
            <w:vMerge w:val="restart"/>
            <w:tcBorders>
              <w:top w:val="single" w:color="000000" w:sz="12" w:space="0"/>
            </w:tcBorders>
            <w:shd w:val="clear" w:color="auto" w:fill="FFFFFF"/>
            <w:vAlign w:val="center"/>
          </w:tcPr>
          <w:p w14:paraId="61332C6B">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rPr>
              <w:t>相对厂界距离m</w:t>
            </w:r>
          </w:p>
        </w:tc>
        <w:tc>
          <w:tcPr>
            <w:tcW w:w="575" w:type="pct"/>
            <w:vMerge w:val="restart"/>
            <w:tcBorders>
              <w:top w:val="single" w:color="000000" w:sz="12" w:space="0"/>
              <w:right w:val="nil"/>
            </w:tcBorders>
            <w:shd w:val="clear" w:color="auto" w:fill="FFFFFF"/>
            <w:vAlign w:val="center"/>
          </w:tcPr>
          <w:p w14:paraId="5D285298">
            <w:pPr>
              <w:pStyle w:val="59"/>
              <w:keepNext w:val="0"/>
              <w:keepLines w:val="0"/>
              <w:suppressLineNumbers w:val="0"/>
              <w:bidi w:val="0"/>
              <w:spacing w:before="0" w:beforeAutospacing="0" w:after="0" w:afterAutospacing="0"/>
              <w:ind w:left="0" w:right="0"/>
              <w:rPr>
                <w:rFonts w:hint="eastAsia" w:eastAsia="宋体"/>
                <w:b w:val="0"/>
                <w:color w:val="000000"/>
                <w:lang w:val="en-US" w:eastAsia="zh-CN"/>
              </w:rPr>
            </w:pPr>
            <w:r>
              <w:rPr>
                <w:rFonts w:hint="eastAsia"/>
                <w:b w:val="0"/>
                <w:color w:val="000000"/>
                <w:lang w:val="en-US" w:eastAsia="zh-CN"/>
              </w:rPr>
              <w:t>敏感因素</w:t>
            </w:r>
          </w:p>
        </w:tc>
      </w:tr>
      <w:tr w14:paraId="2433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blHeader/>
          <w:jc w:val="center"/>
        </w:trPr>
        <w:tc>
          <w:tcPr>
            <w:tcW w:w="263" w:type="pct"/>
            <w:vMerge w:val="continue"/>
            <w:tcBorders>
              <w:left w:val="nil"/>
            </w:tcBorders>
            <w:shd w:val="clear" w:color="auto" w:fill="FFFFFF"/>
            <w:vAlign w:val="center"/>
          </w:tcPr>
          <w:p w14:paraId="60E1C360">
            <w:pPr>
              <w:pStyle w:val="59"/>
              <w:keepNext w:val="0"/>
              <w:keepLines w:val="0"/>
              <w:suppressLineNumbers w:val="0"/>
              <w:bidi w:val="0"/>
              <w:spacing w:before="0" w:beforeAutospacing="0" w:after="0" w:afterAutospacing="0"/>
              <w:ind w:left="0" w:right="0"/>
              <w:rPr>
                <w:b w:val="0"/>
                <w:color w:val="000000"/>
              </w:rPr>
            </w:pPr>
          </w:p>
        </w:tc>
        <w:tc>
          <w:tcPr>
            <w:tcW w:w="612" w:type="pct"/>
            <w:shd w:val="clear" w:color="auto" w:fill="FFFFFF"/>
            <w:vAlign w:val="center"/>
          </w:tcPr>
          <w:p w14:paraId="17D360DC">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X</w:t>
            </w:r>
          </w:p>
        </w:tc>
        <w:tc>
          <w:tcPr>
            <w:tcW w:w="573" w:type="pct"/>
            <w:shd w:val="clear" w:color="auto" w:fill="FFFFFF"/>
            <w:vAlign w:val="center"/>
          </w:tcPr>
          <w:p w14:paraId="072D564E">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Y</w:t>
            </w:r>
          </w:p>
        </w:tc>
        <w:tc>
          <w:tcPr>
            <w:tcW w:w="948" w:type="pct"/>
            <w:gridSpan w:val="2"/>
            <w:vMerge w:val="continue"/>
            <w:shd w:val="clear" w:color="auto" w:fill="FFFFFF"/>
            <w:vAlign w:val="center"/>
          </w:tcPr>
          <w:p w14:paraId="4874ECBF">
            <w:pPr>
              <w:pStyle w:val="59"/>
              <w:keepNext w:val="0"/>
              <w:keepLines w:val="0"/>
              <w:suppressLineNumbers w:val="0"/>
              <w:bidi w:val="0"/>
              <w:spacing w:before="0" w:beforeAutospacing="0" w:after="0" w:afterAutospacing="0"/>
              <w:ind w:left="0" w:right="0"/>
              <w:rPr>
                <w:rFonts w:hint="eastAsia"/>
                <w:b w:val="0"/>
                <w:color w:val="000000"/>
              </w:rPr>
            </w:pPr>
          </w:p>
        </w:tc>
        <w:tc>
          <w:tcPr>
            <w:tcW w:w="712" w:type="pct"/>
            <w:vMerge w:val="continue"/>
            <w:shd w:val="clear" w:color="auto" w:fill="FFFFFF"/>
            <w:vAlign w:val="center"/>
          </w:tcPr>
          <w:p w14:paraId="7FC606E9">
            <w:pPr>
              <w:pStyle w:val="59"/>
              <w:keepNext w:val="0"/>
              <w:keepLines w:val="0"/>
              <w:suppressLineNumbers w:val="0"/>
              <w:bidi w:val="0"/>
              <w:spacing w:before="0" w:beforeAutospacing="0" w:after="0" w:afterAutospacing="0"/>
              <w:ind w:left="0" w:right="0"/>
              <w:rPr>
                <w:rFonts w:hint="eastAsia"/>
                <w:b w:val="0"/>
                <w:color w:val="000000"/>
              </w:rPr>
            </w:pPr>
          </w:p>
        </w:tc>
        <w:tc>
          <w:tcPr>
            <w:tcW w:w="426" w:type="pct"/>
            <w:vMerge w:val="continue"/>
            <w:shd w:val="clear" w:color="auto" w:fill="FFFFFF"/>
            <w:vAlign w:val="center"/>
          </w:tcPr>
          <w:p w14:paraId="79B8BB15">
            <w:pPr>
              <w:pStyle w:val="59"/>
              <w:keepNext w:val="0"/>
              <w:keepLines w:val="0"/>
              <w:suppressLineNumbers w:val="0"/>
              <w:bidi w:val="0"/>
              <w:spacing w:before="0" w:beforeAutospacing="0" w:after="0" w:afterAutospacing="0"/>
              <w:ind w:left="0" w:right="0"/>
              <w:rPr>
                <w:rFonts w:hint="eastAsia"/>
                <w:b w:val="0"/>
                <w:color w:val="000000"/>
              </w:rPr>
            </w:pPr>
          </w:p>
        </w:tc>
        <w:tc>
          <w:tcPr>
            <w:tcW w:w="461" w:type="pct"/>
            <w:vMerge w:val="continue"/>
            <w:shd w:val="clear" w:color="auto" w:fill="FFFFFF"/>
            <w:vAlign w:val="center"/>
          </w:tcPr>
          <w:p w14:paraId="105AFD95">
            <w:pPr>
              <w:pStyle w:val="59"/>
              <w:keepNext w:val="0"/>
              <w:keepLines w:val="0"/>
              <w:suppressLineNumbers w:val="0"/>
              <w:bidi w:val="0"/>
              <w:spacing w:before="0" w:beforeAutospacing="0" w:after="0" w:afterAutospacing="0"/>
              <w:ind w:left="0" w:right="0"/>
              <w:rPr>
                <w:rFonts w:hint="eastAsia"/>
                <w:b w:val="0"/>
                <w:color w:val="000000"/>
              </w:rPr>
            </w:pPr>
          </w:p>
        </w:tc>
        <w:tc>
          <w:tcPr>
            <w:tcW w:w="426" w:type="pct"/>
            <w:vMerge w:val="continue"/>
            <w:shd w:val="clear" w:color="auto" w:fill="FFFFFF"/>
            <w:vAlign w:val="center"/>
          </w:tcPr>
          <w:p w14:paraId="0CC379EE">
            <w:pPr>
              <w:pStyle w:val="59"/>
              <w:keepNext w:val="0"/>
              <w:keepLines w:val="0"/>
              <w:suppressLineNumbers w:val="0"/>
              <w:bidi w:val="0"/>
              <w:spacing w:before="0" w:beforeAutospacing="0" w:after="0" w:afterAutospacing="0"/>
              <w:ind w:left="0" w:right="0"/>
              <w:rPr>
                <w:rFonts w:hint="eastAsia"/>
                <w:b w:val="0"/>
                <w:color w:val="000000"/>
              </w:rPr>
            </w:pPr>
          </w:p>
        </w:tc>
        <w:tc>
          <w:tcPr>
            <w:tcW w:w="575" w:type="pct"/>
            <w:vMerge w:val="continue"/>
            <w:tcBorders>
              <w:right w:val="nil"/>
            </w:tcBorders>
            <w:shd w:val="clear" w:color="auto" w:fill="FFFFFF"/>
            <w:vAlign w:val="center"/>
          </w:tcPr>
          <w:p w14:paraId="1BED71DA">
            <w:pPr>
              <w:pStyle w:val="59"/>
              <w:keepNext w:val="0"/>
              <w:keepLines w:val="0"/>
              <w:suppressLineNumbers w:val="0"/>
              <w:bidi w:val="0"/>
              <w:spacing w:before="0" w:beforeAutospacing="0" w:after="0" w:afterAutospacing="0"/>
              <w:ind w:left="0" w:right="0"/>
              <w:rPr>
                <w:rFonts w:hint="eastAsia"/>
                <w:b w:val="0"/>
                <w:color w:val="000000"/>
              </w:rPr>
            </w:pPr>
          </w:p>
        </w:tc>
      </w:tr>
      <w:tr w14:paraId="31BA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63" w:type="pct"/>
            <w:tcBorders>
              <w:left w:val="nil"/>
            </w:tcBorders>
            <w:shd w:val="clear" w:color="auto" w:fill="FFFFFF"/>
            <w:vAlign w:val="center"/>
          </w:tcPr>
          <w:p w14:paraId="0EC16721">
            <w:pPr>
              <w:pStyle w:val="59"/>
              <w:keepNext w:val="0"/>
              <w:keepLines w:val="0"/>
              <w:numPr>
                <w:ilvl w:val="0"/>
                <w:numId w:val="13"/>
              </w:numPr>
              <w:suppressLineNumbers w:val="0"/>
              <w:bidi w:val="0"/>
              <w:spacing w:before="0" w:beforeAutospacing="0" w:after="0" w:afterAutospacing="0"/>
              <w:ind w:left="425" w:leftChars="0" w:right="0" w:hanging="425" w:firstLineChars="0"/>
              <w:rPr>
                <w:b w:val="0"/>
                <w:color w:val="000000"/>
              </w:rPr>
            </w:pPr>
          </w:p>
        </w:tc>
        <w:tc>
          <w:tcPr>
            <w:tcW w:w="612" w:type="pct"/>
            <w:shd w:val="clear" w:color="auto" w:fill="FFFFFF"/>
            <w:vAlign w:val="center"/>
          </w:tcPr>
          <w:p w14:paraId="08248364">
            <w:pPr>
              <w:pStyle w:val="69"/>
              <w:ind w:firstLine="0" w:firstLineChars="0"/>
              <w:rPr>
                <w:rFonts w:hint="eastAsia" w:eastAsia="宋体"/>
                <w:b w:val="0"/>
                <w:color w:val="000000"/>
                <w:lang w:val="en-US" w:eastAsia="zh-CN"/>
              </w:rPr>
            </w:pPr>
            <w:r>
              <w:rPr>
                <w:rFonts w:hint="eastAsia"/>
                <w:b w:val="0"/>
                <w:color w:val="000000"/>
                <w:lang w:val="en-US" w:eastAsia="zh-CN"/>
              </w:rPr>
              <w:t>/</w:t>
            </w:r>
          </w:p>
        </w:tc>
        <w:tc>
          <w:tcPr>
            <w:tcW w:w="573" w:type="pct"/>
            <w:shd w:val="clear" w:color="auto" w:fill="FFFFFF"/>
            <w:vAlign w:val="center"/>
          </w:tcPr>
          <w:p w14:paraId="1C9DB3F8">
            <w:pPr>
              <w:pStyle w:val="69"/>
              <w:ind w:firstLine="0" w:firstLineChars="0"/>
              <w:rPr>
                <w:rFonts w:hint="eastAsia" w:eastAsia="宋体"/>
                <w:b w:val="0"/>
                <w:color w:val="000000"/>
                <w:lang w:val="en-US" w:eastAsia="zh-CN"/>
              </w:rPr>
            </w:pPr>
            <w:r>
              <w:rPr>
                <w:rFonts w:hint="eastAsia"/>
                <w:b w:val="0"/>
                <w:color w:val="000000"/>
                <w:lang w:val="en-US" w:eastAsia="zh-CN"/>
              </w:rPr>
              <w:t>/</w:t>
            </w:r>
          </w:p>
        </w:tc>
        <w:tc>
          <w:tcPr>
            <w:tcW w:w="948" w:type="pct"/>
            <w:gridSpan w:val="2"/>
            <w:shd w:val="clear" w:color="auto" w:fill="FFFFFF"/>
            <w:vAlign w:val="center"/>
          </w:tcPr>
          <w:p w14:paraId="4E6F975E">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小精灵幼儿园（已注销）</w:t>
            </w:r>
          </w:p>
        </w:tc>
        <w:tc>
          <w:tcPr>
            <w:tcW w:w="712" w:type="pct"/>
            <w:shd w:val="clear" w:color="auto" w:fill="FFFFFF"/>
            <w:vAlign w:val="center"/>
          </w:tcPr>
          <w:p w14:paraId="085DBE48">
            <w:pPr>
              <w:pStyle w:val="59"/>
              <w:keepNext w:val="0"/>
              <w:keepLines w:val="0"/>
              <w:suppressLineNumbers w:val="0"/>
              <w:bidi w:val="0"/>
              <w:spacing w:before="0" w:beforeAutospacing="0" w:after="0" w:afterAutospacing="0"/>
              <w:ind w:left="0" w:right="0"/>
              <w:rPr>
                <w:rFonts w:hint="eastAsia" w:eastAsia="宋体"/>
                <w:b w:val="0"/>
                <w:color w:val="000000"/>
                <w:lang w:val="en-US" w:eastAsia="zh-CN"/>
              </w:rPr>
            </w:pPr>
            <w:r>
              <w:rPr>
                <w:rFonts w:hint="eastAsia"/>
                <w:b w:val="0"/>
                <w:color w:val="000000"/>
                <w:lang w:val="en-US" w:eastAsia="zh-CN"/>
              </w:rPr>
              <w:t>学校</w:t>
            </w:r>
          </w:p>
        </w:tc>
        <w:tc>
          <w:tcPr>
            <w:tcW w:w="426" w:type="pct"/>
            <w:shd w:val="clear" w:color="auto" w:fill="FFFFFF"/>
            <w:vAlign w:val="center"/>
          </w:tcPr>
          <w:p w14:paraId="3B56F688">
            <w:pPr>
              <w:pStyle w:val="59"/>
              <w:keepNext w:val="0"/>
              <w:keepLines w:val="0"/>
              <w:suppressLineNumbers w:val="0"/>
              <w:bidi w:val="0"/>
              <w:spacing w:before="0" w:beforeAutospacing="0" w:after="0" w:afterAutospacing="0"/>
              <w:ind w:left="0" w:right="0"/>
              <w:rPr>
                <w:rFonts w:hint="eastAsia" w:eastAsia="宋体"/>
                <w:b w:val="0"/>
                <w:color w:val="000000"/>
                <w:lang w:val="en-US" w:eastAsia="zh-CN"/>
              </w:rPr>
            </w:pPr>
            <w:r>
              <w:rPr>
                <w:rFonts w:hint="eastAsia"/>
                <w:b w:val="0"/>
                <w:color w:val="000000"/>
                <w:lang w:val="en-US" w:eastAsia="zh-CN"/>
              </w:rPr>
              <w:t>西南</w:t>
            </w:r>
          </w:p>
        </w:tc>
        <w:tc>
          <w:tcPr>
            <w:tcW w:w="461" w:type="pct"/>
            <w:shd w:val="clear" w:color="auto" w:fill="FFFFFF"/>
            <w:vAlign w:val="center"/>
          </w:tcPr>
          <w:p w14:paraId="7F720D74">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0</w:t>
            </w:r>
          </w:p>
        </w:tc>
        <w:tc>
          <w:tcPr>
            <w:tcW w:w="426" w:type="pct"/>
            <w:shd w:val="clear" w:color="auto" w:fill="FFFFFF"/>
            <w:vAlign w:val="center"/>
          </w:tcPr>
          <w:p w14:paraId="3994A093">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w:t>
            </w:r>
          </w:p>
        </w:tc>
        <w:tc>
          <w:tcPr>
            <w:tcW w:w="575" w:type="pct"/>
            <w:tcBorders>
              <w:right w:val="nil"/>
            </w:tcBorders>
            <w:shd w:val="clear" w:color="auto" w:fill="FFFFFF"/>
            <w:vAlign w:val="center"/>
          </w:tcPr>
          <w:p w14:paraId="5F919770">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w:t>
            </w:r>
          </w:p>
        </w:tc>
      </w:tr>
      <w:tr w14:paraId="3C31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2882AFD4">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775F90A5">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-876</w:t>
            </w:r>
          </w:p>
        </w:tc>
        <w:tc>
          <w:tcPr>
            <w:tcW w:w="573" w:type="pct"/>
            <w:shd w:val="clear" w:color="auto" w:fill="auto"/>
            <w:vAlign w:val="center"/>
          </w:tcPr>
          <w:p w14:paraId="30BD91F1">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130</w:t>
            </w:r>
          </w:p>
        </w:tc>
        <w:tc>
          <w:tcPr>
            <w:tcW w:w="409" w:type="pct"/>
            <w:vMerge w:val="restart"/>
            <w:shd w:val="clear" w:color="auto" w:fill="FFFFFF"/>
            <w:vAlign w:val="center"/>
          </w:tcPr>
          <w:p w14:paraId="617B7761">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连城村</w:t>
            </w:r>
          </w:p>
        </w:tc>
        <w:tc>
          <w:tcPr>
            <w:tcW w:w="539" w:type="pct"/>
            <w:shd w:val="clear" w:color="auto" w:fill="FFFFFF"/>
            <w:vAlign w:val="center"/>
          </w:tcPr>
          <w:p w14:paraId="3A1DBCA5">
            <w:pPr>
              <w:pStyle w:val="59"/>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天伦</w:t>
            </w:r>
          </w:p>
        </w:tc>
        <w:tc>
          <w:tcPr>
            <w:tcW w:w="712" w:type="pct"/>
            <w:shd w:val="clear" w:color="auto" w:fill="FFFFFF"/>
            <w:vAlign w:val="center"/>
          </w:tcPr>
          <w:p w14:paraId="32D4D2A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自然村</w:t>
            </w:r>
          </w:p>
        </w:tc>
        <w:tc>
          <w:tcPr>
            <w:tcW w:w="426" w:type="pct"/>
            <w:shd w:val="clear" w:color="auto" w:fill="FFFFFF"/>
            <w:vAlign w:val="center"/>
          </w:tcPr>
          <w:p w14:paraId="3D75EF7D">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西</w:t>
            </w:r>
          </w:p>
        </w:tc>
        <w:tc>
          <w:tcPr>
            <w:tcW w:w="461" w:type="pct"/>
            <w:vMerge w:val="restart"/>
            <w:shd w:val="clear" w:color="auto" w:fill="FFFFFF"/>
            <w:vAlign w:val="center"/>
          </w:tcPr>
          <w:p w14:paraId="654F76EA">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6788</w:t>
            </w:r>
          </w:p>
        </w:tc>
        <w:tc>
          <w:tcPr>
            <w:tcW w:w="426" w:type="pct"/>
            <w:shd w:val="clear" w:color="auto" w:fill="FFFFFF"/>
            <w:vAlign w:val="center"/>
          </w:tcPr>
          <w:p w14:paraId="1CD0FA4C">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472</w:t>
            </w:r>
          </w:p>
        </w:tc>
        <w:tc>
          <w:tcPr>
            <w:tcW w:w="575" w:type="pct"/>
            <w:vMerge w:val="restart"/>
            <w:tcBorders>
              <w:right w:val="nil"/>
            </w:tcBorders>
            <w:shd w:val="clear" w:color="auto" w:fill="FFFFFF"/>
            <w:vAlign w:val="center"/>
          </w:tcPr>
          <w:p w14:paraId="0F7B37DE">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大气、风险</w:t>
            </w:r>
          </w:p>
        </w:tc>
      </w:tr>
      <w:tr w14:paraId="5821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23E3EC5F">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7A84CAE4">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-472</w:t>
            </w:r>
          </w:p>
        </w:tc>
        <w:tc>
          <w:tcPr>
            <w:tcW w:w="573" w:type="pct"/>
            <w:shd w:val="clear" w:color="auto" w:fill="auto"/>
            <w:vAlign w:val="center"/>
          </w:tcPr>
          <w:p w14:paraId="184162F6">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507</w:t>
            </w:r>
          </w:p>
        </w:tc>
        <w:tc>
          <w:tcPr>
            <w:tcW w:w="409" w:type="pct"/>
            <w:vMerge w:val="continue"/>
            <w:shd w:val="clear" w:color="auto" w:fill="FFFFFF"/>
            <w:vAlign w:val="center"/>
          </w:tcPr>
          <w:p w14:paraId="7775EC28">
            <w:pPr>
              <w:pStyle w:val="59"/>
              <w:keepNext w:val="0"/>
              <w:keepLines w:val="0"/>
              <w:suppressLineNumbers w:val="0"/>
              <w:bidi w:val="0"/>
              <w:spacing w:before="0" w:beforeAutospacing="0" w:after="0" w:afterAutospacing="0"/>
              <w:ind w:left="0" w:right="0"/>
              <w:rPr>
                <w:rFonts w:hint="eastAsia"/>
                <w:b w:val="0"/>
                <w:color w:val="000000"/>
                <w:lang w:val="en-US" w:eastAsia="zh-CN"/>
              </w:rPr>
            </w:pPr>
          </w:p>
        </w:tc>
        <w:tc>
          <w:tcPr>
            <w:tcW w:w="539" w:type="pct"/>
            <w:shd w:val="clear" w:color="auto" w:fill="FFFFFF"/>
            <w:vAlign w:val="center"/>
          </w:tcPr>
          <w:p w14:paraId="19CA95FA">
            <w:pPr>
              <w:pStyle w:val="59"/>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水楼</w:t>
            </w:r>
          </w:p>
        </w:tc>
        <w:tc>
          <w:tcPr>
            <w:tcW w:w="712" w:type="pct"/>
            <w:shd w:val="clear" w:color="auto" w:fill="FFFFFF"/>
            <w:vAlign w:val="center"/>
          </w:tcPr>
          <w:p w14:paraId="11839377">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自然村</w:t>
            </w:r>
          </w:p>
        </w:tc>
        <w:tc>
          <w:tcPr>
            <w:tcW w:w="426" w:type="pct"/>
            <w:shd w:val="clear" w:color="auto" w:fill="FFFFFF"/>
            <w:vAlign w:val="center"/>
          </w:tcPr>
          <w:p w14:paraId="10359C32">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西北</w:t>
            </w:r>
          </w:p>
        </w:tc>
        <w:tc>
          <w:tcPr>
            <w:tcW w:w="461" w:type="pct"/>
            <w:vMerge w:val="continue"/>
            <w:shd w:val="clear" w:color="auto" w:fill="FFFFFF"/>
            <w:vAlign w:val="center"/>
          </w:tcPr>
          <w:p w14:paraId="4B6B5699">
            <w:pPr>
              <w:pStyle w:val="59"/>
              <w:keepNext w:val="0"/>
              <w:keepLines w:val="0"/>
              <w:suppressLineNumbers w:val="0"/>
              <w:bidi w:val="0"/>
              <w:spacing w:before="0" w:beforeAutospacing="0" w:after="0" w:afterAutospacing="0"/>
              <w:ind w:left="0" w:right="0"/>
              <w:rPr>
                <w:rFonts w:hint="eastAsia"/>
                <w:b w:val="0"/>
                <w:color w:val="000000"/>
                <w:lang w:val="en-US" w:eastAsia="zh-CN"/>
              </w:rPr>
            </w:pPr>
          </w:p>
        </w:tc>
        <w:tc>
          <w:tcPr>
            <w:tcW w:w="426" w:type="pct"/>
            <w:shd w:val="clear" w:color="auto" w:fill="FFFFFF"/>
            <w:vAlign w:val="center"/>
          </w:tcPr>
          <w:p w14:paraId="18206F3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631</w:t>
            </w:r>
          </w:p>
        </w:tc>
        <w:tc>
          <w:tcPr>
            <w:tcW w:w="575" w:type="pct"/>
            <w:vMerge w:val="continue"/>
            <w:tcBorders>
              <w:right w:val="nil"/>
            </w:tcBorders>
            <w:shd w:val="clear" w:color="auto" w:fill="FFFFFF"/>
            <w:vAlign w:val="center"/>
          </w:tcPr>
          <w:p w14:paraId="685980E3">
            <w:pPr>
              <w:pStyle w:val="59"/>
              <w:keepNext w:val="0"/>
              <w:keepLines w:val="0"/>
              <w:suppressLineNumbers w:val="0"/>
              <w:bidi w:val="0"/>
              <w:spacing w:before="0" w:beforeAutospacing="0" w:after="0" w:afterAutospacing="0"/>
              <w:ind w:left="0" w:right="0"/>
              <w:rPr>
                <w:rFonts w:hint="eastAsia"/>
                <w:b w:val="0"/>
                <w:color w:val="000000"/>
                <w:lang w:val="en-US" w:eastAsia="zh-CN"/>
              </w:rPr>
            </w:pPr>
          </w:p>
        </w:tc>
      </w:tr>
      <w:tr w14:paraId="3E80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32845737">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3164FB02">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-286</w:t>
            </w:r>
          </w:p>
        </w:tc>
        <w:tc>
          <w:tcPr>
            <w:tcW w:w="573" w:type="pct"/>
            <w:shd w:val="clear" w:color="auto" w:fill="auto"/>
            <w:vAlign w:val="center"/>
          </w:tcPr>
          <w:p w14:paraId="52B49F1F">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795</w:t>
            </w:r>
          </w:p>
        </w:tc>
        <w:tc>
          <w:tcPr>
            <w:tcW w:w="409" w:type="pct"/>
            <w:vMerge w:val="continue"/>
            <w:shd w:val="clear" w:color="auto" w:fill="FFFFFF"/>
            <w:vAlign w:val="center"/>
          </w:tcPr>
          <w:p w14:paraId="19635C0D">
            <w:pPr>
              <w:pStyle w:val="59"/>
              <w:keepNext w:val="0"/>
              <w:keepLines w:val="0"/>
              <w:suppressLineNumbers w:val="0"/>
              <w:bidi w:val="0"/>
              <w:spacing w:before="0" w:beforeAutospacing="0" w:after="0" w:afterAutospacing="0"/>
              <w:ind w:left="0" w:right="0"/>
              <w:rPr>
                <w:rFonts w:hint="eastAsia"/>
                <w:b w:val="0"/>
                <w:color w:val="000000"/>
              </w:rPr>
            </w:pPr>
          </w:p>
        </w:tc>
        <w:tc>
          <w:tcPr>
            <w:tcW w:w="539" w:type="pct"/>
            <w:shd w:val="clear" w:color="auto" w:fill="FFFFFF"/>
            <w:vAlign w:val="center"/>
          </w:tcPr>
          <w:p w14:paraId="7D3AC3CE">
            <w:pPr>
              <w:pStyle w:val="59"/>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中和</w:t>
            </w:r>
          </w:p>
        </w:tc>
        <w:tc>
          <w:tcPr>
            <w:tcW w:w="712" w:type="pct"/>
            <w:shd w:val="clear" w:color="auto" w:fill="FFFFFF"/>
            <w:vAlign w:val="center"/>
          </w:tcPr>
          <w:p w14:paraId="509754AA">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自然村</w:t>
            </w:r>
          </w:p>
        </w:tc>
        <w:tc>
          <w:tcPr>
            <w:tcW w:w="426" w:type="pct"/>
            <w:shd w:val="clear" w:color="auto" w:fill="FFFFFF"/>
            <w:vAlign w:val="center"/>
          </w:tcPr>
          <w:p w14:paraId="5389BEE4">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西北</w:t>
            </w:r>
          </w:p>
        </w:tc>
        <w:tc>
          <w:tcPr>
            <w:tcW w:w="461" w:type="pct"/>
            <w:vMerge w:val="continue"/>
            <w:shd w:val="clear" w:color="auto" w:fill="FFFFFF"/>
            <w:vAlign w:val="center"/>
          </w:tcPr>
          <w:p w14:paraId="3A911390">
            <w:pPr>
              <w:pStyle w:val="59"/>
              <w:keepNext w:val="0"/>
              <w:keepLines w:val="0"/>
              <w:suppressLineNumbers w:val="0"/>
              <w:bidi w:val="0"/>
              <w:spacing w:before="0" w:beforeAutospacing="0" w:after="0" w:afterAutospacing="0"/>
              <w:ind w:left="0" w:right="0"/>
              <w:rPr>
                <w:rFonts w:hint="eastAsia"/>
                <w:b w:val="0"/>
                <w:color w:val="000000"/>
              </w:rPr>
            </w:pPr>
          </w:p>
        </w:tc>
        <w:tc>
          <w:tcPr>
            <w:tcW w:w="426" w:type="pct"/>
            <w:shd w:val="clear" w:color="auto" w:fill="FFFFFF"/>
            <w:vAlign w:val="center"/>
          </w:tcPr>
          <w:p w14:paraId="68297B40">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867</w:t>
            </w:r>
          </w:p>
        </w:tc>
        <w:tc>
          <w:tcPr>
            <w:tcW w:w="575" w:type="pct"/>
            <w:vMerge w:val="continue"/>
            <w:tcBorders>
              <w:right w:val="nil"/>
            </w:tcBorders>
            <w:shd w:val="clear" w:color="auto" w:fill="FFFFFF"/>
            <w:vAlign w:val="center"/>
          </w:tcPr>
          <w:p w14:paraId="7E420690">
            <w:pPr>
              <w:pStyle w:val="59"/>
              <w:keepNext w:val="0"/>
              <w:keepLines w:val="0"/>
              <w:suppressLineNumbers w:val="0"/>
              <w:bidi w:val="0"/>
              <w:spacing w:before="0" w:beforeAutospacing="0" w:after="0" w:afterAutospacing="0"/>
              <w:ind w:left="0" w:right="0"/>
              <w:rPr>
                <w:rFonts w:hint="eastAsia"/>
                <w:b w:val="0"/>
                <w:color w:val="000000"/>
              </w:rPr>
            </w:pPr>
          </w:p>
        </w:tc>
      </w:tr>
      <w:tr w14:paraId="2E3D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4A06AF52">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47CCB7BF">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-140</w:t>
            </w:r>
          </w:p>
        </w:tc>
        <w:tc>
          <w:tcPr>
            <w:tcW w:w="573" w:type="pct"/>
            <w:shd w:val="clear" w:color="auto" w:fill="auto"/>
            <w:vAlign w:val="center"/>
          </w:tcPr>
          <w:p w14:paraId="167D328E">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161</w:t>
            </w:r>
          </w:p>
        </w:tc>
        <w:tc>
          <w:tcPr>
            <w:tcW w:w="409" w:type="pct"/>
            <w:vMerge w:val="continue"/>
            <w:shd w:val="clear" w:color="auto" w:fill="FFFFFF"/>
            <w:vAlign w:val="center"/>
          </w:tcPr>
          <w:p w14:paraId="6041076C">
            <w:pPr>
              <w:pStyle w:val="59"/>
              <w:keepNext w:val="0"/>
              <w:keepLines w:val="0"/>
              <w:suppressLineNumbers w:val="0"/>
              <w:bidi w:val="0"/>
              <w:spacing w:before="0" w:beforeAutospacing="0" w:after="0" w:afterAutospacing="0"/>
              <w:ind w:left="0" w:right="0"/>
              <w:rPr>
                <w:rFonts w:hint="eastAsia"/>
                <w:b w:val="0"/>
                <w:color w:val="000000"/>
              </w:rPr>
            </w:pPr>
          </w:p>
        </w:tc>
        <w:tc>
          <w:tcPr>
            <w:tcW w:w="539" w:type="pct"/>
            <w:shd w:val="clear" w:color="auto" w:fill="FFFFFF"/>
            <w:vAlign w:val="center"/>
          </w:tcPr>
          <w:p w14:paraId="37C505D9">
            <w:pPr>
              <w:pStyle w:val="59"/>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新岗</w:t>
            </w:r>
          </w:p>
        </w:tc>
        <w:tc>
          <w:tcPr>
            <w:tcW w:w="712" w:type="pct"/>
            <w:shd w:val="clear" w:color="auto" w:fill="FFFFFF"/>
            <w:vAlign w:val="center"/>
          </w:tcPr>
          <w:p w14:paraId="348FB426">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自然村</w:t>
            </w:r>
          </w:p>
        </w:tc>
        <w:tc>
          <w:tcPr>
            <w:tcW w:w="426" w:type="pct"/>
            <w:shd w:val="clear" w:color="auto" w:fill="FFFFFF"/>
            <w:vAlign w:val="center"/>
          </w:tcPr>
          <w:p w14:paraId="382D2C11">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北</w:t>
            </w:r>
          </w:p>
        </w:tc>
        <w:tc>
          <w:tcPr>
            <w:tcW w:w="461" w:type="pct"/>
            <w:vMerge w:val="continue"/>
            <w:shd w:val="clear" w:color="auto" w:fill="FFFFFF"/>
            <w:vAlign w:val="center"/>
          </w:tcPr>
          <w:p w14:paraId="0BDC85CA">
            <w:pPr>
              <w:pStyle w:val="59"/>
              <w:keepNext w:val="0"/>
              <w:keepLines w:val="0"/>
              <w:suppressLineNumbers w:val="0"/>
              <w:bidi w:val="0"/>
              <w:spacing w:before="0" w:beforeAutospacing="0" w:after="0" w:afterAutospacing="0"/>
              <w:ind w:left="0" w:right="0"/>
              <w:rPr>
                <w:rFonts w:hint="eastAsia"/>
                <w:b w:val="0"/>
                <w:color w:val="000000"/>
              </w:rPr>
            </w:pPr>
          </w:p>
        </w:tc>
        <w:tc>
          <w:tcPr>
            <w:tcW w:w="426" w:type="pct"/>
            <w:shd w:val="clear" w:color="auto" w:fill="FFFFFF"/>
            <w:vAlign w:val="center"/>
          </w:tcPr>
          <w:p w14:paraId="14BAD544">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150</w:t>
            </w:r>
          </w:p>
        </w:tc>
        <w:tc>
          <w:tcPr>
            <w:tcW w:w="575" w:type="pct"/>
            <w:vMerge w:val="continue"/>
            <w:tcBorders>
              <w:right w:val="nil"/>
            </w:tcBorders>
            <w:shd w:val="clear" w:color="auto" w:fill="FFFFFF"/>
            <w:vAlign w:val="center"/>
          </w:tcPr>
          <w:p w14:paraId="61D65210">
            <w:pPr>
              <w:pStyle w:val="59"/>
              <w:keepNext w:val="0"/>
              <w:keepLines w:val="0"/>
              <w:suppressLineNumbers w:val="0"/>
              <w:bidi w:val="0"/>
              <w:spacing w:before="0" w:beforeAutospacing="0" w:after="0" w:afterAutospacing="0"/>
              <w:ind w:left="0" w:right="0"/>
              <w:rPr>
                <w:rFonts w:hint="eastAsia"/>
                <w:b w:val="0"/>
                <w:color w:val="000000"/>
              </w:rPr>
            </w:pPr>
          </w:p>
        </w:tc>
      </w:tr>
      <w:tr w14:paraId="6A2B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5E53E979">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55E25BD1">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-268</w:t>
            </w:r>
          </w:p>
        </w:tc>
        <w:tc>
          <w:tcPr>
            <w:tcW w:w="573" w:type="pct"/>
            <w:shd w:val="clear" w:color="auto" w:fill="auto"/>
            <w:vAlign w:val="center"/>
          </w:tcPr>
          <w:p w14:paraId="4B1817EC">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449</w:t>
            </w:r>
          </w:p>
        </w:tc>
        <w:tc>
          <w:tcPr>
            <w:tcW w:w="409" w:type="pct"/>
            <w:vMerge w:val="continue"/>
            <w:shd w:val="clear" w:color="auto" w:fill="FFFFFF"/>
            <w:vAlign w:val="center"/>
          </w:tcPr>
          <w:p w14:paraId="433D0CE0">
            <w:pPr>
              <w:pStyle w:val="59"/>
              <w:keepNext w:val="0"/>
              <w:keepLines w:val="0"/>
              <w:suppressLineNumbers w:val="0"/>
              <w:bidi w:val="0"/>
              <w:spacing w:before="0" w:beforeAutospacing="0" w:after="0" w:afterAutospacing="0"/>
              <w:ind w:left="0" w:right="0"/>
              <w:rPr>
                <w:rFonts w:hint="eastAsia"/>
                <w:b w:val="0"/>
                <w:color w:val="000000"/>
              </w:rPr>
            </w:pPr>
          </w:p>
        </w:tc>
        <w:tc>
          <w:tcPr>
            <w:tcW w:w="539" w:type="pct"/>
            <w:shd w:val="clear" w:color="auto" w:fill="FFFFFF"/>
            <w:vAlign w:val="center"/>
          </w:tcPr>
          <w:p w14:paraId="123D3FDB">
            <w:pPr>
              <w:pStyle w:val="59"/>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龙井</w:t>
            </w:r>
          </w:p>
        </w:tc>
        <w:tc>
          <w:tcPr>
            <w:tcW w:w="712" w:type="pct"/>
            <w:shd w:val="clear" w:color="auto" w:fill="FFFFFF"/>
            <w:vAlign w:val="center"/>
          </w:tcPr>
          <w:p w14:paraId="5BFE0C00">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自然村</w:t>
            </w:r>
          </w:p>
        </w:tc>
        <w:tc>
          <w:tcPr>
            <w:tcW w:w="426" w:type="pct"/>
            <w:shd w:val="clear" w:color="auto" w:fill="FFFFFF"/>
            <w:vAlign w:val="center"/>
          </w:tcPr>
          <w:p w14:paraId="1BCF3645">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北</w:t>
            </w:r>
          </w:p>
        </w:tc>
        <w:tc>
          <w:tcPr>
            <w:tcW w:w="461" w:type="pct"/>
            <w:vMerge w:val="continue"/>
            <w:shd w:val="clear" w:color="auto" w:fill="FFFFFF"/>
            <w:vAlign w:val="center"/>
          </w:tcPr>
          <w:p w14:paraId="3C630AF7">
            <w:pPr>
              <w:pStyle w:val="59"/>
              <w:keepNext w:val="0"/>
              <w:keepLines w:val="0"/>
              <w:suppressLineNumbers w:val="0"/>
              <w:bidi w:val="0"/>
              <w:spacing w:before="0" w:beforeAutospacing="0" w:after="0" w:afterAutospacing="0"/>
              <w:ind w:left="0" w:right="0"/>
              <w:rPr>
                <w:rFonts w:hint="eastAsia"/>
                <w:b w:val="0"/>
                <w:color w:val="000000"/>
              </w:rPr>
            </w:pPr>
          </w:p>
        </w:tc>
        <w:tc>
          <w:tcPr>
            <w:tcW w:w="426" w:type="pct"/>
            <w:shd w:val="clear" w:color="auto" w:fill="FFFFFF"/>
            <w:vAlign w:val="center"/>
          </w:tcPr>
          <w:p w14:paraId="22C49077">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431</w:t>
            </w:r>
          </w:p>
        </w:tc>
        <w:tc>
          <w:tcPr>
            <w:tcW w:w="575" w:type="pct"/>
            <w:vMerge w:val="continue"/>
            <w:tcBorders>
              <w:right w:val="nil"/>
            </w:tcBorders>
            <w:shd w:val="clear" w:color="auto" w:fill="FFFFFF"/>
            <w:vAlign w:val="center"/>
          </w:tcPr>
          <w:p w14:paraId="7162CFD9">
            <w:pPr>
              <w:pStyle w:val="59"/>
              <w:keepNext w:val="0"/>
              <w:keepLines w:val="0"/>
              <w:suppressLineNumbers w:val="0"/>
              <w:bidi w:val="0"/>
              <w:spacing w:before="0" w:beforeAutospacing="0" w:after="0" w:afterAutospacing="0"/>
              <w:ind w:left="0" w:right="0"/>
              <w:rPr>
                <w:rFonts w:hint="eastAsia"/>
                <w:b w:val="0"/>
                <w:color w:val="000000"/>
              </w:rPr>
            </w:pPr>
          </w:p>
        </w:tc>
      </w:tr>
      <w:tr w14:paraId="71BA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7FFDA9A1">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6C5B0114">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-1280</w:t>
            </w:r>
          </w:p>
        </w:tc>
        <w:tc>
          <w:tcPr>
            <w:tcW w:w="573" w:type="pct"/>
            <w:shd w:val="clear" w:color="auto" w:fill="auto"/>
            <w:vAlign w:val="center"/>
          </w:tcPr>
          <w:p w14:paraId="77994B22">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-407</w:t>
            </w:r>
          </w:p>
        </w:tc>
        <w:tc>
          <w:tcPr>
            <w:tcW w:w="409" w:type="pct"/>
            <w:vMerge w:val="continue"/>
            <w:shd w:val="clear" w:color="auto" w:fill="FFFFFF"/>
            <w:vAlign w:val="center"/>
          </w:tcPr>
          <w:p w14:paraId="394BFCC5">
            <w:pPr>
              <w:pStyle w:val="59"/>
              <w:keepNext w:val="0"/>
              <w:keepLines w:val="0"/>
              <w:suppressLineNumbers w:val="0"/>
              <w:bidi w:val="0"/>
              <w:spacing w:before="0" w:beforeAutospacing="0" w:after="0" w:afterAutospacing="0"/>
              <w:ind w:left="0" w:right="0"/>
              <w:rPr>
                <w:rFonts w:hint="eastAsia"/>
                <w:b w:val="0"/>
                <w:color w:val="000000"/>
              </w:rPr>
            </w:pPr>
          </w:p>
        </w:tc>
        <w:tc>
          <w:tcPr>
            <w:tcW w:w="539" w:type="pct"/>
            <w:shd w:val="clear" w:color="auto" w:fill="FFFFFF"/>
            <w:vAlign w:val="center"/>
          </w:tcPr>
          <w:p w14:paraId="1275D868">
            <w:pPr>
              <w:pStyle w:val="59"/>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大江头</w:t>
            </w:r>
          </w:p>
        </w:tc>
        <w:tc>
          <w:tcPr>
            <w:tcW w:w="712" w:type="pct"/>
            <w:shd w:val="clear" w:color="auto" w:fill="FFFFFF"/>
            <w:vAlign w:val="center"/>
          </w:tcPr>
          <w:p w14:paraId="0FDECD0F">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自然村</w:t>
            </w:r>
          </w:p>
        </w:tc>
        <w:tc>
          <w:tcPr>
            <w:tcW w:w="426" w:type="pct"/>
            <w:shd w:val="clear" w:color="auto" w:fill="FFFFFF"/>
            <w:vAlign w:val="center"/>
          </w:tcPr>
          <w:p w14:paraId="29D17F37">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北</w:t>
            </w:r>
          </w:p>
        </w:tc>
        <w:tc>
          <w:tcPr>
            <w:tcW w:w="461" w:type="pct"/>
            <w:vMerge w:val="continue"/>
            <w:shd w:val="clear" w:color="auto" w:fill="FFFFFF"/>
            <w:vAlign w:val="center"/>
          </w:tcPr>
          <w:p w14:paraId="373D8436">
            <w:pPr>
              <w:pStyle w:val="59"/>
              <w:keepNext w:val="0"/>
              <w:keepLines w:val="0"/>
              <w:suppressLineNumbers w:val="0"/>
              <w:bidi w:val="0"/>
              <w:spacing w:before="0" w:beforeAutospacing="0" w:after="0" w:afterAutospacing="0"/>
              <w:ind w:left="0" w:right="0"/>
              <w:rPr>
                <w:rFonts w:hint="eastAsia"/>
                <w:b w:val="0"/>
                <w:color w:val="000000"/>
              </w:rPr>
            </w:pPr>
          </w:p>
        </w:tc>
        <w:tc>
          <w:tcPr>
            <w:tcW w:w="426" w:type="pct"/>
            <w:shd w:val="clear" w:color="auto" w:fill="FFFFFF"/>
            <w:vAlign w:val="center"/>
          </w:tcPr>
          <w:p w14:paraId="44C42360">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1156</w:t>
            </w:r>
          </w:p>
        </w:tc>
        <w:tc>
          <w:tcPr>
            <w:tcW w:w="575" w:type="pct"/>
            <w:vMerge w:val="continue"/>
            <w:tcBorders>
              <w:right w:val="nil"/>
            </w:tcBorders>
            <w:shd w:val="clear" w:color="auto" w:fill="FFFFFF"/>
            <w:vAlign w:val="center"/>
          </w:tcPr>
          <w:p w14:paraId="189FEC70">
            <w:pPr>
              <w:pStyle w:val="59"/>
              <w:keepNext w:val="0"/>
              <w:keepLines w:val="0"/>
              <w:suppressLineNumbers w:val="0"/>
              <w:bidi w:val="0"/>
              <w:spacing w:before="0" w:beforeAutospacing="0" w:after="0" w:afterAutospacing="0"/>
              <w:ind w:left="0" w:right="0"/>
              <w:rPr>
                <w:rFonts w:hint="eastAsia"/>
                <w:b w:val="0"/>
                <w:color w:val="000000"/>
              </w:rPr>
            </w:pPr>
          </w:p>
        </w:tc>
      </w:tr>
      <w:tr w14:paraId="0F0C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0CC81EA4">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405E8476">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-849</w:t>
            </w:r>
          </w:p>
        </w:tc>
        <w:tc>
          <w:tcPr>
            <w:tcW w:w="573" w:type="pct"/>
            <w:shd w:val="clear" w:color="auto" w:fill="auto"/>
            <w:vAlign w:val="center"/>
          </w:tcPr>
          <w:p w14:paraId="1184E3B2">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-660</w:t>
            </w:r>
          </w:p>
        </w:tc>
        <w:tc>
          <w:tcPr>
            <w:tcW w:w="409" w:type="pct"/>
            <w:vMerge w:val="continue"/>
            <w:shd w:val="clear" w:color="auto" w:fill="FFFFFF"/>
            <w:vAlign w:val="center"/>
          </w:tcPr>
          <w:p w14:paraId="4816C3BC">
            <w:pPr>
              <w:pStyle w:val="59"/>
              <w:keepNext w:val="0"/>
              <w:keepLines w:val="0"/>
              <w:suppressLineNumbers w:val="0"/>
              <w:bidi w:val="0"/>
              <w:spacing w:before="0" w:beforeAutospacing="0" w:after="0" w:afterAutospacing="0"/>
              <w:ind w:left="0" w:right="0"/>
              <w:rPr>
                <w:rFonts w:hint="eastAsia"/>
                <w:b w:val="0"/>
                <w:color w:val="000000"/>
              </w:rPr>
            </w:pPr>
          </w:p>
        </w:tc>
        <w:tc>
          <w:tcPr>
            <w:tcW w:w="539" w:type="pct"/>
            <w:shd w:val="clear" w:color="auto" w:fill="FFFFFF"/>
            <w:vAlign w:val="center"/>
          </w:tcPr>
          <w:p w14:paraId="4E53AEE1">
            <w:pPr>
              <w:pStyle w:val="59"/>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小江头</w:t>
            </w:r>
          </w:p>
        </w:tc>
        <w:tc>
          <w:tcPr>
            <w:tcW w:w="712" w:type="pct"/>
            <w:shd w:val="clear" w:color="auto" w:fill="FFFFFF"/>
            <w:vAlign w:val="center"/>
          </w:tcPr>
          <w:p w14:paraId="74827D2F">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自然村</w:t>
            </w:r>
          </w:p>
        </w:tc>
        <w:tc>
          <w:tcPr>
            <w:tcW w:w="426" w:type="pct"/>
            <w:shd w:val="clear" w:color="auto" w:fill="FFFFFF"/>
            <w:vAlign w:val="center"/>
          </w:tcPr>
          <w:p w14:paraId="3DE42701">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北</w:t>
            </w:r>
          </w:p>
        </w:tc>
        <w:tc>
          <w:tcPr>
            <w:tcW w:w="461" w:type="pct"/>
            <w:vMerge w:val="continue"/>
            <w:shd w:val="clear" w:color="auto" w:fill="FFFFFF"/>
            <w:vAlign w:val="center"/>
          </w:tcPr>
          <w:p w14:paraId="1F65B1FD">
            <w:pPr>
              <w:pStyle w:val="59"/>
              <w:keepNext w:val="0"/>
              <w:keepLines w:val="0"/>
              <w:suppressLineNumbers w:val="0"/>
              <w:bidi w:val="0"/>
              <w:spacing w:before="0" w:beforeAutospacing="0" w:after="0" w:afterAutospacing="0"/>
              <w:ind w:left="0" w:right="0"/>
              <w:rPr>
                <w:rFonts w:hint="eastAsia"/>
                <w:b w:val="0"/>
                <w:color w:val="000000"/>
              </w:rPr>
            </w:pPr>
          </w:p>
        </w:tc>
        <w:tc>
          <w:tcPr>
            <w:tcW w:w="426" w:type="pct"/>
            <w:shd w:val="clear" w:color="auto" w:fill="FFFFFF"/>
            <w:vAlign w:val="center"/>
          </w:tcPr>
          <w:p w14:paraId="13F23291">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927</w:t>
            </w:r>
          </w:p>
        </w:tc>
        <w:tc>
          <w:tcPr>
            <w:tcW w:w="575" w:type="pct"/>
            <w:vMerge w:val="continue"/>
            <w:tcBorders>
              <w:right w:val="nil"/>
            </w:tcBorders>
            <w:shd w:val="clear" w:color="auto" w:fill="FFFFFF"/>
            <w:vAlign w:val="center"/>
          </w:tcPr>
          <w:p w14:paraId="4DED7718">
            <w:pPr>
              <w:pStyle w:val="59"/>
              <w:keepNext w:val="0"/>
              <w:keepLines w:val="0"/>
              <w:suppressLineNumbers w:val="0"/>
              <w:bidi w:val="0"/>
              <w:spacing w:before="0" w:beforeAutospacing="0" w:after="0" w:afterAutospacing="0"/>
              <w:ind w:left="0" w:right="0"/>
              <w:rPr>
                <w:rFonts w:hint="eastAsia"/>
                <w:b w:val="0"/>
                <w:color w:val="000000"/>
              </w:rPr>
            </w:pPr>
          </w:p>
        </w:tc>
      </w:tr>
      <w:tr w14:paraId="4143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263" w:type="pct"/>
            <w:tcBorders>
              <w:left w:val="nil"/>
            </w:tcBorders>
            <w:shd w:val="clear" w:color="auto" w:fill="FFFFFF"/>
            <w:vAlign w:val="center"/>
          </w:tcPr>
          <w:p w14:paraId="5147658C">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4545C502">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308</w:t>
            </w:r>
          </w:p>
        </w:tc>
        <w:tc>
          <w:tcPr>
            <w:tcW w:w="573" w:type="pct"/>
            <w:shd w:val="clear" w:color="auto" w:fill="auto"/>
            <w:vAlign w:val="center"/>
          </w:tcPr>
          <w:p w14:paraId="3C93D0A9">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-642</w:t>
            </w:r>
          </w:p>
        </w:tc>
        <w:tc>
          <w:tcPr>
            <w:tcW w:w="409" w:type="pct"/>
            <w:vMerge w:val="restart"/>
            <w:shd w:val="clear" w:color="auto" w:fill="FFFFFF"/>
            <w:vAlign w:val="center"/>
          </w:tcPr>
          <w:p w14:paraId="5DA5E6C6">
            <w:pPr>
              <w:pStyle w:val="59"/>
              <w:keepNext w:val="0"/>
              <w:keepLines w:val="0"/>
              <w:suppressLineNumbers w:val="0"/>
              <w:bidi w:val="0"/>
              <w:spacing w:before="0" w:beforeAutospacing="0" w:after="0" w:afterAutospacing="0"/>
              <w:ind w:left="0" w:right="0"/>
              <w:rPr>
                <w:rFonts w:hint="eastAsia"/>
                <w:b w:val="0"/>
                <w:color w:val="000000"/>
              </w:rPr>
            </w:pPr>
            <w:r>
              <w:rPr>
                <w:rFonts w:hint="default"/>
                <w:b w:val="0"/>
                <w:color w:val="000000"/>
              </w:rPr>
              <w:t>连南村</w:t>
            </w:r>
          </w:p>
        </w:tc>
        <w:tc>
          <w:tcPr>
            <w:tcW w:w="539" w:type="pct"/>
            <w:shd w:val="clear" w:color="auto" w:fill="FFFFFF"/>
            <w:vAlign w:val="center"/>
          </w:tcPr>
          <w:p w14:paraId="6654C172">
            <w:pPr>
              <w:pStyle w:val="59"/>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b w:val="0"/>
                <w:color w:val="000000"/>
                <w:kern w:val="0"/>
                <w:sz w:val="21"/>
                <w:szCs w:val="20"/>
                <w:lang w:val="en-US" w:eastAsia="zh-CN" w:bidi="ar-SA"/>
              </w:rPr>
            </w:pPr>
            <w:r>
              <w:rPr>
                <w:rFonts w:hint="default"/>
                <w:b w:val="0"/>
                <w:color w:val="000000"/>
              </w:rPr>
              <w:t>前江</w:t>
            </w:r>
          </w:p>
        </w:tc>
        <w:tc>
          <w:tcPr>
            <w:tcW w:w="712" w:type="pct"/>
            <w:shd w:val="clear" w:color="auto" w:fill="FFFFFF"/>
            <w:vAlign w:val="center"/>
          </w:tcPr>
          <w:p w14:paraId="5CBD895B">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自然村</w:t>
            </w:r>
          </w:p>
        </w:tc>
        <w:tc>
          <w:tcPr>
            <w:tcW w:w="426" w:type="pct"/>
            <w:shd w:val="clear" w:color="auto" w:fill="FFFFFF"/>
            <w:vAlign w:val="center"/>
          </w:tcPr>
          <w:p w14:paraId="698E3DA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东南</w:t>
            </w:r>
          </w:p>
        </w:tc>
        <w:tc>
          <w:tcPr>
            <w:tcW w:w="461" w:type="pct"/>
            <w:vMerge w:val="restart"/>
            <w:shd w:val="clear" w:color="auto" w:fill="FFFFFF"/>
            <w:vAlign w:val="center"/>
          </w:tcPr>
          <w:p w14:paraId="3E84B5ED">
            <w:pPr>
              <w:pStyle w:val="59"/>
              <w:keepNext w:val="0"/>
              <w:keepLines w:val="0"/>
              <w:suppressLineNumbers w:val="0"/>
              <w:bidi w:val="0"/>
              <w:spacing w:before="0" w:beforeAutospacing="0" w:after="0" w:afterAutospacing="0"/>
              <w:ind w:left="0" w:right="0"/>
              <w:rPr>
                <w:rFonts w:hint="eastAsia"/>
                <w:b w:val="0"/>
                <w:color w:val="000000"/>
              </w:rPr>
            </w:pPr>
            <w:r>
              <w:rPr>
                <w:rFonts w:hint="default"/>
                <w:b w:val="0"/>
                <w:color w:val="000000"/>
              </w:rPr>
              <w:t>2942</w:t>
            </w:r>
          </w:p>
        </w:tc>
        <w:tc>
          <w:tcPr>
            <w:tcW w:w="426" w:type="pct"/>
            <w:shd w:val="clear" w:color="auto" w:fill="FFFFFF"/>
            <w:vAlign w:val="center"/>
          </w:tcPr>
          <w:p w14:paraId="27751633">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720</w:t>
            </w:r>
          </w:p>
        </w:tc>
        <w:tc>
          <w:tcPr>
            <w:tcW w:w="575" w:type="pct"/>
            <w:vMerge w:val="restart"/>
            <w:tcBorders>
              <w:right w:val="nil"/>
            </w:tcBorders>
            <w:shd w:val="clear" w:color="auto" w:fill="FFFFFF"/>
            <w:vAlign w:val="center"/>
          </w:tcPr>
          <w:p w14:paraId="0A17CD7B">
            <w:pPr>
              <w:pStyle w:val="59"/>
              <w:keepNext w:val="0"/>
              <w:keepLines w:val="0"/>
              <w:suppressLineNumbers w:val="0"/>
              <w:bidi w:val="0"/>
              <w:spacing w:before="0" w:beforeAutospacing="0" w:after="0" w:afterAutospacing="0"/>
              <w:ind w:left="0" w:right="0"/>
              <w:rPr>
                <w:rFonts w:hint="default"/>
                <w:b w:val="0"/>
                <w:color w:val="000000"/>
                <w:lang w:val="en-US"/>
              </w:rPr>
            </w:pPr>
            <w:r>
              <w:rPr>
                <w:rFonts w:hint="eastAsia"/>
                <w:b w:val="0"/>
                <w:color w:val="000000"/>
                <w:lang w:val="en-US" w:eastAsia="zh-CN"/>
              </w:rPr>
              <w:t>大气、风险</w:t>
            </w:r>
          </w:p>
        </w:tc>
      </w:tr>
      <w:tr w14:paraId="2C93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6B204134">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638397E9">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60</w:t>
            </w:r>
          </w:p>
        </w:tc>
        <w:tc>
          <w:tcPr>
            <w:tcW w:w="573" w:type="pct"/>
            <w:shd w:val="clear" w:color="auto" w:fill="auto"/>
            <w:vAlign w:val="center"/>
          </w:tcPr>
          <w:p w14:paraId="5E8D499F">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347</w:t>
            </w:r>
          </w:p>
        </w:tc>
        <w:tc>
          <w:tcPr>
            <w:tcW w:w="409" w:type="pct"/>
            <w:vMerge w:val="continue"/>
            <w:shd w:val="clear" w:color="auto" w:fill="FFFFFF"/>
            <w:vAlign w:val="center"/>
          </w:tcPr>
          <w:p w14:paraId="5E0CCC88">
            <w:pPr>
              <w:pStyle w:val="59"/>
              <w:keepNext w:val="0"/>
              <w:keepLines w:val="0"/>
              <w:suppressLineNumbers w:val="0"/>
              <w:bidi w:val="0"/>
              <w:spacing w:before="0" w:beforeAutospacing="0" w:after="0" w:afterAutospacing="0"/>
              <w:ind w:left="0" w:right="0"/>
              <w:rPr>
                <w:rFonts w:hint="default"/>
                <w:b w:val="0"/>
                <w:color w:val="000000"/>
              </w:rPr>
            </w:pPr>
          </w:p>
        </w:tc>
        <w:tc>
          <w:tcPr>
            <w:tcW w:w="539" w:type="pct"/>
            <w:shd w:val="clear" w:color="auto" w:fill="FFFFFF"/>
            <w:vAlign w:val="center"/>
          </w:tcPr>
          <w:p w14:paraId="488F80FF">
            <w:pPr>
              <w:pStyle w:val="59"/>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b w:val="0"/>
                <w:color w:val="000000"/>
                <w:kern w:val="0"/>
                <w:sz w:val="21"/>
                <w:szCs w:val="20"/>
                <w:lang w:val="en-US" w:eastAsia="zh-CN" w:bidi="ar-SA"/>
              </w:rPr>
            </w:pPr>
            <w:r>
              <w:rPr>
                <w:rFonts w:hint="default"/>
                <w:b w:val="0"/>
                <w:color w:val="000000"/>
              </w:rPr>
              <w:t>江里</w:t>
            </w:r>
          </w:p>
        </w:tc>
        <w:tc>
          <w:tcPr>
            <w:tcW w:w="712" w:type="pct"/>
            <w:shd w:val="clear" w:color="auto" w:fill="FFFFFF"/>
            <w:vAlign w:val="center"/>
          </w:tcPr>
          <w:p w14:paraId="2371D0BF">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自然村</w:t>
            </w:r>
          </w:p>
        </w:tc>
        <w:tc>
          <w:tcPr>
            <w:tcW w:w="426" w:type="pct"/>
            <w:shd w:val="clear" w:color="auto" w:fill="FFFFFF"/>
            <w:vAlign w:val="center"/>
          </w:tcPr>
          <w:p w14:paraId="733D2672">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南</w:t>
            </w:r>
          </w:p>
        </w:tc>
        <w:tc>
          <w:tcPr>
            <w:tcW w:w="461" w:type="pct"/>
            <w:vMerge w:val="continue"/>
            <w:shd w:val="clear" w:color="auto" w:fill="FFFFFF"/>
            <w:vAlign w:val="center"/>
          </w:tcPr>
          <w:p w14:paraId="740C5F3A">
            <w:pPr>
              <w:pStyle w:val="59"/>
              <w:keepNext w:val="0"/>
              <w:keepLines w:val="0"/>
              <w:suppressLineNumbers w:val="0"/>
              <w:bidi w:val="0"/>
              <w:spacing w:before="0" w:beforeAutospacing="0" w:after="0" w:afterAutospacing="0"/>
              <w:ind w:left="0" w:right="0"/>
              <w:rPr>
                <w:rFonts w:hint="default"/>
                <w:b w:val="0"/>
                <w:color w:val="000000"/>
              </w:rPr>
            </w:pPr>
          </w:p>
        </w:tc>
        <w:tc>
          <w:tcPr>
            <w:tcW w:w="426" w:type="pct"/>
            <w:shd w:val="clear" w:color="auto" w:fill="FFFFFF"/>
            <w:vAlign w:val="center"/>
          </w:tcPr>
          <w:p w14:paraId="3DD4025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784</w:t>
            </w:r>
          </w:p>
        </w:tc>
        <w:tc>
          <w:tcPr>
            <w:tcW w:w="575" w:type="pct"/>
            <w:vMerge w:val="continue"/>
            <w:tcBorders>
              <w:right w:val="nil"/>
            </w:tcBorders>
            <w:shd w:val="clear" w:color="auto" w:fill="FFFFFF"/>
            <w:vAlign w:val="center"/>
          </w:tcPr>
          <w:p w14:paraId="5D0217EA">
            <w:pPr>
              <w:pStyle w:val="59"/>
              <w:keepNext w:val="0"/>
              <w:keepLines w:val="0"/>
              <w:suppressLineNumbers w:val="0"/>
              <w:bidi w:val="0"/>
              <w:spacing w:before="0" w:beforeAutospacing="0" w:after="0" w:afterAutospacing="0"/>
              <w:ind w:left="0" w:right="0"/>
              <w:rPr>
                <w:rFonts w:hint="eastAsia"/>
                <w:b w:val="0"/>
                <w:color w:val="000000"/>
              </w:rPr>
            </w:pPr>
          </w:p>
        </w:tc>
      </w:tr>
      <w:tr w14:paraId="6160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63795753">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4A805CC5">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787</w:t>
            </w:r>
          </w:p>
        </w:tc>
        <w:tc>
          <w:tcPr>
            <w:tcW w:w="573" w:type="pct"/>
            <w:shd w:val="clear" w:color="auto" w:fill="auto"/>
            <w:vAlign w:val="center"/>
          </w:tcPr>
          <w:p w14:paraId="4B999D3B">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-762</w:t>
            </w:r>
          </w:p>
        </w:tc>
        <w:tc>
          <w:tcPr>
            <w:tcW w:w="409" w:type="pct"/>
            <w:vMerge w:val="continue"/>
            <w:shd w:val="clear" w:color="auto" w:fill="FFFFFF"/>
            <w:vAlign w:val="center"/>
          </w:tcPr>
          <w:p w14:paraId="669E7ADF">
            <w:pPr>
              <w:pStyle w:val="59"/>
              <w:keepNext w:val="0"/>
              <w:keepLines w:val="0"/>
              <w:suppressLineNumbers w:val="0"/>
              <w:bidi w:val="0"/>
              <w:spacing w:before="0" w:beforeAutospacing="0" w:after="0" w:afterAutospacing="0"/>
              <w:ind w:left="0" w:right="0"/>
              <w:rPr>
                <w:rFonts w:hint="default"/>
                <w:b w:val="0"/>
                <w:color w:val="000000"/>
              </w:rPr>
            </w:pPr>
          </w:p>
        </w:tc>
        <w:tc>
          <w:tcPr>
            <w:tcW w:w="539" w:type="pct"/>
            <w:shd w:val="clear" w:color="auto" w:fill="FFFFFF"/>
            <w:vAlign w:val="center"/>
          </w:tcPr>
          <w:p w14:paraId="2B5EE372">
            <w:pPr>
              <w:pStyle w:val="59"/>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b w:val="0"/>
                <w:color w:val="000000"/>
                <w:kern w:val="0"/>
                <w:sz w:val="21"/>
                <w:szCs w:val="20"/>
                <w:lang w:val="en-US" w:eastAsia="zh-CN" w:bidi="ar-SA"/>
              </w:rPr>
            </w:pPr>
            <w:r>
              <w:rPr>
                <w:rFonts w:hint="default"/>
                <w:b w:val="0"/>
                <w:color w:val="000000"/>
              </w:rPr>
              <w:t>罗江</w:t>
            </w:r>
          </w:p>
        </w:tc>
        <w:tc>
          <w:tcPr>
            <w:tcW w:w="712" w:type="pct"/>
            <w:shd w:val="clear" w:color="auto" w:fill="FFFFFF"/>
            <w:vAlign w:val="center"/>
          </w:tcPr>
          <w:p w14:paraId="7808F181">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自然村</w:t>
            </w:r>
          </w:p>
        </w:tc>
        <w:tc>
          <w:tcPr>
            <w:tcW w:w="426" w:type="pct"/>
            <w:shd w:val="clear" w:color="auto" w:fill="FFFFFF"/>
            <w:vAlign w:val="center"/>
          </w:tcPr>
          <w:p w14:paraId="5626B60E">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东南</w:t>
            </w:r>
          </w:p>
        </w:tc>
        <w:tc>
          <w:tcPr>
            <w:tcW w:w="461" w:type="pct"/>
            <w:vMerge w:val="continue"/>
            <w:shd w:val="clear" w:color="auto" w:fill="FFFFFF"/>
            <w:vAlign w:val="center"/>
          </w:tcPr>
          <w:p w14:paraId="73B95153">
            <w:pPr>
              <w:pStyle w:val="59"/>
              <w:keepNext w:val="0"/>
              <w:keepLines w:val="0"/>
              <w:suppressLineNumbers w:val="0"/>
              <w:bidi w:val="0"/>
              <w:spacing w:before="0" w:beforeAutospacing="0" w:after="0" w:afterAutospacing="0"/>
              <w:ind w:left="0" w:right="0"/>
              <w:rPr>
                <w:rFonts w:hint="default"/>
                <w:b w:val="0"/>
                <w:color w:val="000000"/>
              </w:rPr>
            </w:pPr>
          </w:p>
        </w:tc>
        <w:tc>
          <w:tcPr>
            <w:tcW w:w="426" w:type="pct"/>
            <w:shd w:val="clear" w:color="auto" w:fill="FFFFFF"/>
            <w:vAlign w:val="center"/>
          </w:tcPr>
          <w:p w14:paraId="1032AE4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1050</w:t>
            </w:r>
          </w:p>
        </w:tc>
        <w:tc>
          <w:tcPr>
            <w:tcW w:w="575" w:type="pct"/>
            <w:vMerge w:val="continue"/>
            <w:tcBorders>
              <w:right w:val="nil"/>
            </w:tcBorders>
            <w:shd w:val="clear" w:color="auto" w:fill="FFFFFF"/>
            <w:vAlign w:val="center"/>
          </w:tcPr>
          <w:p w14:paraId="19044258">
            <w:pPr>
              <w:pStyle w:val="59"/>
              <w:keepNext w:val="0"/>
              <w:keepLines w:val="0"/>
              <w:suppressLineNumbers w:val="0"/>
              <w:bidi w:val="0"/>
              <w:spacing w:before="0" w:beforeAutospacing="0" w:after="0" w:afterAutospacing="0"/>
              <w:ind w:left="0" w:right="0"/>
              <w:rPr>
                <w:rFonts w:hint="eastAsia"/>
                <w:b w:val="0"/>
                <w:color w:val="000000"/>
              </w:rPr>
            </w:pPr>
          </w:p>
        </w:tc>
      </w:tr>
      <w:tr w14:paraId="2525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678EEE09">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0CDA4048">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286</w:t>
            </w:r>
          </w:p>
        </w:tc>
        <w:tc>
          <w:tcPr>
            <w:tcW w:w="573" w:type="pct"/>
            <w:shd w:val="clear" w:color="auto" w:fill="auto"/>
            <w:vAlign w:val="center"/>
          </w:tcPr>
          <w:p w14:paraId="3ED42AE7">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-25</w:t>
            </w:r>
          </w:p>
        </w:tc>
        <w:tc>
          <w:tcPr>
            <w:tcW w:w="409" w:type="pct"/>
            <w:vMerge w:val="continue"/>
            <w:shd w:val="clear" w:color="auto" w:fill="FFFFFF"/>
            <w:vAlign w:val="center"/>
          </w:tcPr>
          <w:p w14:paraId="5A3067B3">
            <w:pPr>
              <w:pStyle w:val="59"/>
              <w:keepNext w:val="0"/>
              <w:keepLines w:val="0"/>
              <w:suppressLineNumbers w:val="0"/>
              <w:bidi w:val="0"/>
              <w:spacing w:before="0" w:beforeAutospacing="0" w:after="0" w:afterAutospacing="0"/>
              <w:ind w:left="0" w:right="0"/>
              <w:rPr>
                <w:rFonts w:hint="default"/>
                <w:b w:val="0"/>
                <w:color w:val="000000"/>
              </w:rPr>
            </w:pPr>
          </w:p>
        </w:tc>
        <w:tc>
          <w:tcPr>
            <w:tcW w:w="539" w:type="pct"/>
            <w:shd w:val="clear" w:color="auto" w:fill="FFFFFF"/>
            <w:vAlign w:val="center"/>
          </w:tcPr>
          <w:p w14:paraId="0C379692">
            <w:pPr>
              <w:pStyle w:val="59"/>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b w:val="0"/>
                <w:color w:val="000000"/>
                <w:kern w:val="0"/>
                <w:sz w:val="21"/>
                <w:szCs w:val="20"/>
                <w:lang w:val="en-US" w:eastAsia="zh-CN" w:bidi="ar-SA"/>
              </w:rPr>
            </w:pPr>
            <w:r>
              <w:rPr>
                <w:rFonts w:hint="default"/>
                <w:b w:val="0"/>
                <w:color w:val="000000"/>
              </w:rPr>
              <w:t>梧坑</w:t>
            </w:r>
          </w:p>
        </w:tc>
        <w:tc>
          <w:tcPr>
            <w:tcW w:w="712" w:type="pct"/>
            <w:shd w:val="clear" w:color="auto" w:fill="FFFFFF"/>
            <w:vAlign w:val="center"/>
          </w:tcPr>
          <w:p w14:paraId="5F444B1E">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自然村</w:t>
            </w:r>
          </w:p>
        </w:tc>
        <w:tc>
          <w:tcPr>
            <w:tcW w:w="426" w:type="pct"/>
            <w:shd w:val="clear" w:color="auto" w:fill="FFFFFF"/>
            <w:vAlign w:val="center"/>
          </w:tcPr>
          <w:p w14:paraId="6F1DDFE1">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东北</w:t>
            </w:r>
          </w:p>
        </w:tc>
        <w:tc>
          <w:tcPr>
            <w:tcW w:w="461" w:type="pct"/>
            <w:vMerge w:val="continue"/>
            <w:shd w:val="clear" w:color="auto" w:fill="FFFFFF"/>
            <w:vAlign w:val="center"/>
          </w:tcPr>
          <w:p w14:paraId="2AD77F66">
            <w:pPr>
              <w:pStyle w:val="59"/>
              <w:keepNext w:val="0"/>
              <w:keepLines w:val="0"/>
              <w:suppressLineNumbers w:val="0"/>
              <w:bidi w:val="0"/>
              <w:spacing w:before="0" w:beforeAutospacing="0" w:after="0" w:afterAutospacing="0"/>
              <w:ind w:left="0" w:right="0"/>
              <w:rPr>
                <w:rFonts w:hint="default"/>
                <w:b w:val="0"/>
                <w:color w:val="000000"/>
              </w:rPr>
            </w:pPr>
          </w:p>
        </w:tc>
        <w:tc>
          <w:tcPr>
            <w:tcW w:w="426" w:type="pct"/>
            <w:shd w:val="clear" w:color="auto" w:fill="FFFFFF"/>
            <w:vAlign w:val="center"/>
          </w:tcPr>
          <w:p w14:paraId="67A4FBE0">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238</w:t>
            </w:r>
          </w:p>
        </w:tc>
        <w:tc>
          <w:tcPr>
            <w:tcW w:w="575" w:type="pct"/>
            <w:vMerge w:val="continue"/>
            <w:tcBorders>
              <w:right w:val="nil"/>
            </w:tcBorders>
            <w:shd w:val="clear" w:color="auto" w:fill="FFFFFF"/>
            <w:vAlign w:val="center"/>
          </w:tcPr>
          <w:p w14:paraId="6F3301FE">
            <w:pPr>
              <w:pStyle w:val="59"/>
              <w:keepNext w:val="0"/>
              <w:keepLines w:val="0"/>
              <w:suppressLineNumbers w:val="0"/>
              <w:bidi w:val="0"/>
              <w:spacing w:before="0" w:beforeAutospacing="0" w:after="0" w:afterAutospacing="0"/>
              <w:ind w:left="0" w:right="0"/>
              <w:rPr>
                <w:rFonts w:hint="eastAsia"/>
                <w:b w:val="0"/>
                <w:color w:val="000000"/>
              </w:rPr>
            </w:pPr>
          </w:p>
        </w:tc>
      </w:tr>
      <w:tr w14:paraId="0784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746FF623">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44E96BC3">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91</w:t>
            </w:r>
          </w:p>
        </w:tc>
        <w:tc>
          <w:tcPr>
            <w:tcW w:w="573" w:type="pct"/>
            <w:shd w:val="clear" w:color="auto" w:fill="auto"/>
            <w:vAlign w:val="center"/>
          </w:tcPr>
          <w:p w14:paraId="06CE5E33">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143</w:t>
            </w:r>
          </w:p>
        </w:tc>
        <w:tc>
          <w:tcPr>
            <w:tcW w:w="409" w:type="pct"/>
            <w:vMerge w:val="continue"/>
            <w:shd w:val="clear" w:color="auto" w:fill="FFFFFF"/>
            <w:vAlign w:val="center"/>
          </w:tcPr>
          <w:p w14:paraId="1E397892">
            <w:pPr>
              <w:pStyle w:val="59"/>
              <w:keepNext w:val="0"/>
              <w:keepLines w:val="0"/>
              <w:suppressLineNumbers w:val="0"/>
              <w:bidi w:val="0"/>
              <w:spacing w:before="0" w:beforeAutospacing="0" w:after="0" w:afterAutospacing="0"/>
              <w:ind w:left="0" w:right="0"/>
              <w:rPr>
                <w:rFonts w:hint="default"/>
                <w:b w:val="0"/>
                <w:color w:val="000000"/>
              </w:rPr>
            </w:pPr>
          </w:p>
        </w:tc>
        <w:tc>
          <w:tcPr>
            <w:tcW w:w="539" w:type="pct"/>
            <w:shd w:val="clear" w:color="auto" w:fill="FFFFFF"/>
            <w:vAlign w:val="center"/>
          </w:tcPr>
          <w:p w14:paraId="58D0832B">
            <w:pPr>
              <w:pStyle w:val="59"/>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b w:val="0"/>
                <w:color w:val="000000"/>
                <w:kern w:val="0"/>
                <w:sz w:val="21"/>
                <w:szCs w:val="20"/>
                <w:lang w:val="en-US" w:eastAsia="zh-CN" w:bidi="ar-SA"/>
              </w:rPr>
            </w:pPr>
            <w:r>
              <w:rPr>
                <w:rFonts w:hint="default"/>
                <w:b w:val="0"/>
                <w:color w:val="000000"/>
              </w:rPr>
              <w:t>六联</w:t>
            </w:r>
          </w:p>
        </w:tc>
        <w:tc>
          <w:tcPr>
            <w:tcW w:w="712" w:type="pct"/>
            <w:shd w:val="clear" w:color="auto" w:fill="FFFFFF"/>
            <w:vAlign w:val="center"/>
          </w:tcPr>
          <w:p w14:paraId="1074E84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自然村</w:t>
            </w:r>
          </w:p>
        </w:tc>
        <w:tc>
          <w:tcPr>
            <w:tcW w:w="426" w:type="pct"/>
            <w:shd w:val="clear" w:color="auto" w:fill="FFFFFF"/>
            <w:vAlign w:val="center"/>
          </w:tcPr>
          <w:p w14:paraId="77B39967">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东北</w:t>
            </w:r>
          </w:p>
        </w:tc>
        <w:tc>
          <w:tcPr>
            <w:tcW w:w="461" w:type="pct"/>
            <w:vMerge w:val="continue"/>
            <w:shd w:val="clear" w:color="auto" w:fill="FFFFFF"/>
            <w:vAlign w:val="center"/>
          </w:tcPr>
          <w:p w14:paraId="6654F0A1">
            <w:pPr>
              <w:pStyle w:val="59"/>
              <w:keepNext w:val="0"/>
              <w:keepLines w:val="0"/>
              <w:suppressLineNumbers w:val="0"/>
              <w:bidi w:val="0"/>
              <w:spacing w:before="0" w:beforeAutospacing="0" w:after="0" w:afterAutospacing="0"/>
              <w:ind w:left="0" w:right="0"/>
              <w:rPr>
                <w:rFonts w:hint="default"/>
                <w:b w:val="0"/>
                <w:color w:val="000000"/>
              </w:rPr>
            </w:pPr>
          </w:p>
        </w:tc>
        <w:tc>
          <w:tcPr>
            <w:tcW w:w="426" w:type="pct"/>
            <w:shd w:val="clear" w:color="auto" w:fill="FFFFFF"/>
            <w:vAlign w:val="center"/>
          </w:tcPr>
          <w:p w14:paraId="3F9C8A36">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150</w:t>
            </w:r>
          </w:p>
        </w:tc>
        <w:tc>
          <w:tcPr>
            <w:tcW w:w="575" w:type="pct"/>
            <w:vMerge w:val="continue"/>
            <w:tcBorders>
              <w:right w:val="nil"/>
            </w:tcBorders>
            <w:shd w:val="clear" w:color="auto" w:fill="FFFFFF"/>
            <w:vAlign w:val="center"/>
          </w:tcPr>
          <w:p w14:paraId="49111C0B">
            <w:pPr>
              <w:pStyle w:val="59"/>
              <w:keepNext w:val="0"/>
              <w:keepLines w:val="0"/>
              <w:suppressLineNumbers w:val="0"/>
              <w:bidi w:val="0"/>
              <w:spacing w:before="0" w:beforeAutospacing="0" w:after="0" w:afterAutospacing="0"/>
              <w:ind w:left="0" w:right="0"/>
              <w:rPr>
                <w:rFonts w:hint="eastAsia"/>
                <w:b w:val="0"/>
                <w:color w:val="000000"/>
              </w:rPr>
            </w:pPr>
          </w:p>
        </w:tc>
      </w:tr>
      <w:tr w14:paraId="3D32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7B5750C8">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6268E249">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180</w:t>
            </w:r>
          </w:p>
        </w:tc>
        <w:tc>
          <w:tcPr>
            <w:tcW w:w="573" w:type="pct"/>
            <w:shd w:val="clear" w:color="auto" w:fill="auto"/>
            <w:vAlign w:val="center"/>
          </w:tcPr>
          <w:p w14:paraId="2103A5B9">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-287</w:t>
            </w:r>
          </w:p>
        </w:tc>
        <w:tc>
          <w:tcPr>
            <w:tcW w:w="948" w:type="pct"/>
            <w:gridSpan w:val="2"/>
            <w:shd w:val="clear" w:color="auto" w:fill="FFFFFF"/>
            <w:vAlign w:val="center"/>
          </w:tcPr>
          <w:p w14:paraId="70FCDAE9">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rPr>
              <w:t>古劳中学</w:t>
            </w:r>
          </w:p>
        </w:tc>
        <w:tc>
          <w:tcPr>
            <w:tcW w:w="712" w:type="pct"/>
            <w:shd w:val="clear" w:color="auto" w:fill="FFFFFF"/>
            <w:vAlign w:val="center"/>
          </w:tcPr>
          <w:p w14:paraId="6F33044B">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学校</w:t>
            </w:r>
          </w:p>
        </w:tc>
        <w:tc>
          <w:tcPr>
            <w:tcW w:w="426" w:type="pct"/>
            <w:shd w:val="clear" w:color="auto" w:fill="FFFFFF"/>
            <w:vAlign w:val="center"/>
          </w:tcPr>
          <w:p w14:paraId="1F49562A">
            <w:pPr>
              <w:pStyle w:val="59"/>
              <w:keepNext w:val="0"/>
              <w:keepLines w:val="0"/>
              <w:suppressLineNumbers w:val="0"/>
              <w:bidi w:val="0"/>
              <w:spacing w:before="0" w:beforeAutospacing="0" w:after="0" w:afterAutospacing="0"/>
              <w:ind w:left="0" w:right="0"/>
              <w:rPr>
                <w:rFonts w:hint="eastAsia" w:eastAsia="宋体"/>
                <w:b w:val="0"/>
                <w:color w:val="000000"/>
                <w:lang w:val="en-US" w:eastAsia="zh-CN"/>
              </w:rPr>
            </w:pPr>
            <w:r>
              <w:rPr>
                <w:rFonts w:hint="eastAsia"/>
                <w:b w:val="0"/>
                <w:color w:val="000000"/>
              </w:rPr>
              <w:t>东</w:t>
            </w:r>
            <w:r>
              <w:rPr>
                <w:rFonts w:hint="eastAsia"/>
                <w:b w:val="0"/>
                <w:color w:val="000000"/>
                <w:lang w:val="en-US" w:eastAsia="zh-CN"/>
              </w:rPr>
              <w:t>南</w:t>
            </w:r>
          </w:p>
        </w:tc>
        <w:tc>
          <w:tcPr>
            <w:tcW w:w="461" w:type="pct"/>
            <w:shd w:val="clear" w:color="auto" w:fill="FFFFFF"/>
            <w:vAlign w:val="center"/>
          </w:tcPr>
          <w:p w14:paraId="56BE536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rPr>
              <w:t>1</w:t>
            </w:r>
            <w:r>
              <w:rPr>
                <w:rFonts w:hint="eastAsia"/>
                <w:b w:val="0"/>
                <w:color w:val="000000"/>
                <w:lang w:val="en-US" w:eastAsia="zh-CN"/>
              </w:rPr>
              <w:t>2</w:t>
            </w:r>
            <w:r>
              <w:rPr>
                <w:rFonts w:hint="eastAsia"/>
                <w:b w:val="0"/>
                <w:color w:val="000000"/>
              </w:rPr>
              <w:t>00</w:t>
            </w:r>
          </w:p>
        </w:tc>
        <w:tc>
          <w:tcPr>
            <w:tcW w:w="426" w:type="pct"/>
            <w:shd w:val="clear" w:color="auto" w:fill="FFFFFF"/>
            <w:vAlign w:val="center"/>
          </w:tcPr>
          <w:p w14:paraId="40199631">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334</w:t>
            </w:r>
          </w:p>
        </w:tc>
        <w:tc>
          <w:tcPr>
            <w:tcW w:w="575" w:type="pct"/>
            <w:tcBorders>
              <w:right w:val="nil"/>
            </w:tcBorders>
            <w:shd w:val="clear" w:color="auto" w:fill="FFFFFF"/>
            <w:vAlign w:val="center"/>
          </w:tcPr>
          <w:p w14:paraId="1C971340">
            <w:pPr>
              <w:pStyle w:val="59"/>
              <w:bidi w:val="0"/>
              <w:rPr>
                <w:rFonts w:hint="eastAsia"/>
                <w:b w:val="0"/>
                <w:color w:val="000000"/>
                <w:lang w:val="en-US" w:eastAsia="zh-CN"/>
              </w:rPr>
            </w:pPr>
            <w:r>
              <w:rPr>
                <w:rFonts w:hint="eastAsia"/>
                <w:b w:val="0"/>
                <w:color w:val="000000"/>
                <w:lang w:val="en-US" w:eastAsia="zh-CN"/>
              </w:rPr>
              <w:t>大气、风险</w:t>
            </w:r>
          </w:p>
        </w:tc>
      </w:tr>
      <w:tr w14:paraId="730B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335C7F22">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65626527">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-694</w:t>
            </w:r>
          </w:p>
        </w:tc>
        <w:tc>
          <w:tcPr>
            <w:tcW w:w="573" w:type="pct"/>
            <w:shd w:val="clear" w:color="auto" w:fill="auto"/>
            <w:vAlign w:val="center"/>
          </w:tcPr>
          <w:p w14:paraId="479EA34A">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130</w:t>
            </w:r>
          </w:p>
        </w:tc>
        <w:tc>
          <w:tcPr>
            <w:tcW w:w="948" w:type="pct"/>
            <w:gridSpan w:val="2"/>
            <w:shd w:val="clear" w:color="auto" w:fill="FFFFFF"/>
            <w:vAlign w:val="center"/>
          </w:tcPr>
          <w:p w14:paraId="2921F4D9">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连城幼儿园</w:t>
            </w:r>
          </w:p>
        </w:tc>
        <w:tc>
          <w:tcPr>
            <w:tcW w:w="712" w:type="pct"/>
            <w:shd w:val="clear" w:color="auto" w:fill="FFFFFF"/>
            <w:vAlign w:val="center"/>
          </w:tcPr>
          <w:p w14:paraId="01387F7A">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rPr>
              <w:t>学校</w:t>
            </w:r>
          </w:p>
        </w:tc>
        <w:tc>
          <w:tcPr>
            <w:tcW w:w="426" w:type="pct"/>
            <w:shd w:val="clear" w:color="auto" w:fill="FFFFFF"/>
            <w:vAlign w:val="center"/>
          </w:tcPr>
          <w:p w14:paraId="08FEADCD">
            <w:pPr>
              <w:pStyle w:val="59"/>
              <w:keepNext w:val="0"/>
              <w:keepLines w:val="0"/>
              <w:suppressLineNumbers w:val="0"/>
              <w:bidi w:val="0"/>
              <w:spacing w:before="0" w:beforeAutospacing="0" w:after="0" w:afterAutospacing="0"/>
              <w:ind w:left="0" w:right="0"/>
              <w:rPr>
                <w:rFonts w:hint="eastAsia" w:eastAsia="宋体"/>
                <w:b w:val="0"/>
                <w:color w:val="000000"/>
                <w:lang w:val="en-US" w:eastAsia="zh-CN"/>
              </w:rPr>
            </w:pPr>
            <w:r>
              <w:rPr>
                <w:rFonts w:hint="eastAsia"/>
                <w:b w:val="0"/>
                <w:color w:val="000000"/>
                <w:lang w:val="en-US" w:eastAsia="zh-CN"/>
              </w:rPr>
              <w:t>西</w:t>
            </w:r>
          </w:p>
        </w:tc>
        <w:tc>
          <w:tcPr>
            <w:tcW w:w="461" w:type="pct"/>
            <w:shd w:val="clear" w:color="auto" w:fill="FFFFFF"/>
            <w:vAlign w:val="center"/>
          </w:tcPr>
          <w:p w14:paraId="30361A21">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300</w:t>
            </w:r>
          </w:p>
        </w:tc>
        <w:tc>
          <w:tcPr>
            <w:tcW w:w="426" w:type="pct"/>
            <w:shd w:val="clear" w:color="auto" w:fill="FFFFFF"/>
            <w:vAlign w:val="center"/>
          </w:tcPr>
          <w:p w14:paraId="198F4813">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533</w:t>
            </w:r>
          </w:p>
        </w:tc>
        <w:tc>
          <w:tcPr>
            <w:tcW w:w="575" w:type="pct"/>
            <w:tcBorders>
              <w:right w:val="nil"/>
            </w:tcBorders>
            <w:shd w:val="clear" w:color="auto" w:fill="FFFFFF"/>
            <w:vAlign w:val="center"/>
          </w:tcPr>
          <w:p w14:paraId="70508370">
            <w:pPr>
              <w:pStyle w:val="59"/>
              <w:bidi w:val="0"/>
              <w:rPr>
                <w:rFonts w:hint="eastAsia"/>
                <w:b w:val="0"/>
                <w:color w:val="000000"/>
                <w:lang w:val="en-US" w:eastAsia="zh-CN"/>
              </w:rPr>
            </w:pPr>
            <w:r>
              <w:rPr>
                <w:rFonts w:hint="eastAsia"/>
                <w:b w:val="0"/>
                <w:color w:val="000000"/>
                <w:lang w:val="en-US" w:eastAsia="zh-CN"/>
              </w:rPr>
              <w:t>大气、风险</w:t>
            </w:r>
          </w:p>
        </w:tc>
      </w:tr>
      <w:tr w14:paraId="2C50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17DA3425">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5BFB460E">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523</w:t>
            </w:r>
          </w:p>
        </w:tc>
        <w:tc>
          <w:tcPr>
            <w:tcW w:w="573" w:type="pct"/>
            <w:shd w:val="clear" w:color="auto" w:fill="auto"/>
            <w:vAlign w:val="center"/>
          </w:tcPr>
          <w:p w14:paraId="28DC2325">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-764</w:t>
            </w:r>
          </w:p>
        </w:tc>
        <w:tc>
          <w:tcPr>
            <w:tcW w:w="948" w:type="pct"/>
            <w:gridSpan w:val="2"/>
            <w:shd w:val="clear" w:color="auto" w:fill="FFFFFF"/>
            <w:vAlign w:val="center"/>
          </w:tcPr>
          <w:p w14:paraId="034C8EF1">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连南小学</w:t>
            </w:r>
          </w:p>
        </w:tc>
        <w:tc>
          <w:tcPr>
            <w:tcW w:w="712" w:type="pct"/>
            <w:shd w:val="clear" w:color="auto" w:fill="FFFFFF"/>
            <w:vAlign w:val="center"/>
          </w:tcPr>
          <w:p w14:paraId="606D6DB1">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学校</w:t>
            </w:r>
          </w:p>
        </w:tc>
        <w:tc>
          <w:tcPr>
            <w:tcW w:w="426" w:type="pct"/>
            <w:shd w:val="clear" w:color="auto" w:fill="FFFFFF"/>
            <w:vAlign w:val="center"/>
          </w:tcPr>
          <w:p w14:paraId="0C782BF5">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东</w:t>
            </w:r>
          </w:p>
        </w:tc>
        <w:tc>
          <w:tcPr>
            <w:tcW w:w="461" w:type="pct"/>
            <w:shd w:val="clear" w:color="auto" w:fill="FFFFFF"/>
            <w:vAlign w:val="center"/>
          </w:tcPr>
          <w:p w14:paraId="2B53CEAE">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1000</w:t>
            </w:r>
          </w:p>
        </w:tc>
        <w:tc>
          <w:tcPr>
            <w:tcW w:w="426" w:type="pct"/>
            <w:shd w:val="clear" w:color="auto" w:fill="FFFFFF"/>
            <w:vAlign w:val="center"/>
          </w:tcPr>
          <w:p w14:paraId="5FB4829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996</w:t>
            </w:r>
          </w:p>
        </w:tc>
        <w:tc>
          <w:tcPr>
            <w:tcW w:w="575" w:type="pct"/>
            <w:tcBorders>
              <w:right w:val="nil"/>
            </w:tcBorders>
            <w:shd w:val="clear" w:color="auto" w:fill="FFFFFF"/>
            <w:vAlign w:val="center"/>
          </w:tcPr>
          <w:p w14:paraId="6DD75A2F">
            <w:pPr>
              <w:pStyle w:val="59"/>
              <w:bidi w:val="0"/>
              <w:rPr>
                <w:rFonts w:hint="eastAsia"/>
                <w:b w:val="0"/>
                <w:color w:val="000000"/>
                <w:lang w:val="en-US" w:eastAsia="zh-CN"/>
              </w:rPr>
            </w:pPr>
            <w:r>
              <w:rPr>
                <w:rFonts w:hint="eastAsia"/>
                <w:b w:val="0"/>
                <w:color w:val="000000"/>
                <w:lang w:val="en-US" w:eastAsia="zh-CN"/>
              </w:rPr>
              <w:t>大气、风险</w:t>
            </w:r>
          </w:p>
        </w:tc>
      </w:tr>
      <w:tr w14:paraId="7071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34D08C7C">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23A961CB">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183</w:t>
            </w:r>
          </w:p>
        </w:tc>
        <w:tc>
          <w:tcPr>
            <w:tcW w:w="573" w:type="pct"/>
            <w:shd w:val="clear" w:color="auto" w:fill="auto"/>
            <w:vAlign w:val="center"/>
          </w:tcPr>
          <w:p w14:paraId="5DAA3E6B">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1270</w:t>
            </w:r>
          </w:p>
        </w:tc>
        <w:tc>
          <w:tcPr>
            <w:tcW w:w="948" w:type="pct"/>
            <w:gridSpan w:val="2"/>
            <w:shd w:val="clear" w:color="auto" w:fill="FFFFFF"/>
            <w:vAlign w:val="center"/>
          </w:tcPr>
          <w:p w14:paraId="52D566AA">
            <w:pPr>
              <w:pStyle w:val="59"/>
              <w:keepNext w:val="0"/>
              <w:keepLines w:val="0"/>
              <w:suppressLineNumbers w:val="0"/>
              <w:bidi w:val="0"/>
              <w:spacing w:before="0" w:beforeAutospacing="0" w:after="0" w:afterAutospacing="0"/>
              <w:ind w:left="0" w:right="0"/>
              <w:rPr>
                <w:rFonts w:hint="eastAsia"/>
                <w:b w:val="0"/>
                <w:color w:val="000000"/>
              </w:rPr>
            </w:pPr>
            <w:r>
              <w:rPr>
                <w:rFonts w:hint="default"/>
                <w:b w:val="0"/>
                <w:color w:val="000000"/>
              </w:rPr>
              <w:t>大埠村</w:t>
            </w:r>
          </w:p>
        </w:tc>
        <w:tc>
          <w:tcPr>
            <w:tcW w:w="712" w:type="pct"/>
            <w:shd w:val="clear" w:color="auto" w:fill="FFFFFF"/>
            <w:vAlign w:val="center"/>
          </w:tcPr>
          <w:p w14:paraId="776152F4">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50DA7D3F">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北</w:t>
            </w:r>
          </w:p>
        </w:tc>
        <w:tc>
          <w:tcPr>
            <w:tcW w:w="461" w:type="pct"/>
            <w:shd w:val="clear" w:color="auto" w:fill="FFFFFF"/>
            <w:vAlign w:val="center"/>
          </w:tcPr>
          <w:p w14:paraId="3B72DE7F">
            <w:pPr>
              <w:pStyle w:val="59"/>
              <w:keepNext w:val="0"/>
              <w:keepLines w:val="0"/>
              <w:suppressLineNumbers w:val="0"/>
              <w:bidi w:val="0"/>
              <w:spacing w:before="0" w:beforeAutospacing="0" w:after="0" w:afterAutospacing="0"/>
              <w:ind w:left="0" w:right="0"/>
              <w:rPr>
                <w:rFonts w:hint="eastAsia"/>
                <w:b w:val="0"/>
                <w:color w:val="000000"/>
              </w:rPr>
            </w:pPr>
            <w:r>
              <w:rPr>
                <w:rFonts w:hint="default"/>
                <w:b w:val="0"/>
                <w:color w:val="000000"/>
              </w:rPr>
              <w:t>1643</w:t>
            </w:r>
          </w:p>
        </w:tc>
        <w:tc>
          <w:tcPr>
            <w:tcW w:w="426" w:type="pct"/>
            <w:shd w:val="clear" w:color="auto" w:fill="FFFFFF"/>
            <w:vAlign w:val="center"/>
          </w:tcPr>
          <w:p w14:paraId="36BEA6F9">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1400</w:t>
            </w:r>
          </w:p>
        </w:tc>
        <w:tc>
          <w:tcPr>
            <w:tcW w:w="575" w:type="pct"/>
            <w:tcBorders>
              <w:right w:val="nil"/>
            </w:tcBorders>
            <w:shd w:val="clear" w:color="auto" w:fill="FFFFFF"/>
            <w:vAlign w:val="center"/>
          </w:tcPr>
          <w:p w14:paraId="4DBB9E52">
            <w:pPr>
              <w:pStyle w:val="59"/>
              <w:bidi w:val="0"/>
              <w:rPr>
                <w:rFonts w:hint="default"/>
                <w:b w:val="0"/>
                <w:color w:val="000000"/>
                <w:lang w:val="en-US"/>
              </w:rPr>
            </w:pPr>
            <w:r>
              <w:rPr>
                <w:rFonts w:hint="eastAsia"/>
                <w:b w:val="0"/>
                <w:color w:val="000000"/>
                <w:lang w:val="en-US" w:eastAsia="zh-CN"/>
              </w:rPr>
              <w:t>大气、风险</w:t>
            </w:r>
          </w:p>
        </w:tc>
      </w:tr>
      <w:tr w14:paraId="426E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65E491BB">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18A61E23">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-142</w:t>
            </w:r>
          </w:p>
        </w:tc>
        <w:tc>
          <w:tcPr>
            <w:tcW w:w="573" w:type="pct"/>
            <w:shd w:val="clear" w:color="auto" w:fill="auto"/>
            <w:vAlign w:val="center"/>
          </w:tcPr>
          <w:p w14:paraId="39445609">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1330</w:t>
            </w:r>
          </w:p>
        </w:tc>
        <w:tc>
          <w:tcPr>
            <w:tcW w:w="948" w:type="pct"/>
            <w:gridSpan w:val="2"/>
            <w:shd w:val="clear" w:color="auto" w:fill="FFFFFF"/>
            <w:vAlign w:val="center"/>
          </w:tcPr>
          <w:p w14:paraId="50BACEDE">
            <w:pPr>
              <w:pStyle w:val="59"/>
              <w:keepNext w:val="0"/>
              <w:keepLines w:val="0"/>
              <w:suppressLineNumbers w:val="0"/>
              <w:bidi w:val="0"/>
              <w:spacing w:before="0" w:beforeAutospacing="0" w:after="0" w:afterAutospacing="0"/>
              <w:ind w:left="0" w:right="0"/>
              <w:rPr>
                <w:rFonts w:hint="default"/>
                <w:b w:val="0"/>
                <w:color w:val="000000"/>
              </w:rPr>
            </w:pPr>
            <w:r>
              <w:rPr>
                <w:rFonts w:hint="eastAsia"/>
                <w:b w:val="0"/>
                <w:color w:val="000000"/>
              </w:rPr>
              <w:t>连北村</w:t>
            </w:r>
          </w:p>
        </w:tc>
        <w:tc>
          <w:tcPr>
            <w:tcW w:w="712" w:type="pct"/>
            <w:shd w:val="clear" w:color="auto" w:fill="FFFFFF"/>
            <w:vAlign w:val="center"/>
          </w:tcPr>
          <w:p w14:paraId="70E8CBB5">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1D61242C">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北</w:t>
            </w:r>
          </w:p>
        </w:tc>
        <w:tc>
          <w:tcPr>
            <w:tcW w:w="461" w:type="pct"/>
            <w:shd w:val="clear" w:color="auto" w:fill="FFFFFF"/>
            <w:vAlign w:val="center"/>
          </w:tcPr>
          <w:p w14:paraId="1F95B0DD">
            <w:pPr>
              <w:pStyle w:val="59"/>
              <w:keepNext w:val="0"/>
              <w:keepLines w:val="0"/>
              <w:suppressLineNumbers w:val="0"/>
              <w:bidi w:val="0"/>
              <w:spacing w:before="0" w:beforeAutospacing="0" w:after="0" w:afterAutospacing="0"/>
              <w:ind w:left="0" w:right="0"/>
              <w:rPr>
                <w:rFonts w:hint="default"/>
                <w:b w:val="0"/>
                <w:color w:val="000000"/>
              </w:rPr>
            </w:pPr>
            <w:r>
              <w:rPr>
                <w:rFonts w:hint="default"/>
                <w:b w:val="0"/>
                <w:color w:val="000000"/>
              </w:rPr>
              <w:t>1572</w:t>
            </w:r>
          </w:p>
        </w:tc>
        <w:tc>
          <w:tcPr>
            <w:tcW w:w="426" w:type="pct"/>
            <w:shd w:val="clear" w:color="auto" w:fill="FFFFFF"/>
            <w:vAlign w:val="center"/>
          </w:tcPr>
          <w:p w14:paraId="6EF6DDA9">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1400</w:t>
            </w:r>
          </w:p>
        </w:tc>
        <w:tc>
          <w:tcPr>
            <w:tcW w:w="575" w:type="pct"/>
            <w:tcBorders>
              <w:right w:val="nil"/>
            </w:tcBorders>
            <w:shd w:val="clear" w:color="auto" w:fill="FFFFFF"/>
            <w:vAlign w:val="center"/>
          </w:tcPr>
          <w:p w14:paraId="09DF0528">
            <w:pPr>
              <w:pStyle w:val="59"/>
              <w:bidi w:val="0"/>
              <w:rPr>
                <w:rFonts w:hint="default"/>
                <w:b w:val="0"/>
                <w:color w:val="000000"/>
                <w:lang w:val="en-US" w:eastAsia="zh-CN"/>
              </w:rPr>
            </w:pPr>
            <w:r>
              <w:rPr>
                <w:rFonts w:hint="eastAsia"/>
                <w:b w:val="0"/>
                <w:color w:val="000000"/>
                <w:lang w:val="en-US" w:eastAsia="zh-CN"/>
              </w:rPr>
              <w:t>大气、风险</w:t>
            </w:r>
          </w:p>
        </w:tc>
      </w:tr>
      <w:tr w14:paraId="29F9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2AE3E329">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56DFA4AA">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-2036</w:t>
            </w:r>
          </w:p>
        </w:tc>
        <w:tc>
          <w:tcPr>
            <w:tcW w:w="573" w:type="pct"/>
            <w:shd w:val="clear" w:color="auto" w:fill="auto"/>
            <w:vAlign w:val="center"/>
          </w:tcPr>
          <w:p w14:paraId="1A619DA5">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935</w:t>
            </w:r>
          </w:p>
        </w:tc>
        <w:tc>
          <w:tcPr>
            <w:tcW w:w="948" w:type="pct"/>
            <w:gridSpan w:val="2"/>
            <w:shd w:val="clear" w:color="auto" w:fill="FFFFFF"/>
            <w:vAlign w:val="center"/>
          </w:tcPr>
          <w:p w14:paraId="61E35A2D">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rPr>
              <w:t>下六村</w:t>
            </w:r>
          </w:p>
        </w:tc>
        <w:tc>
          <w:tcPr>
            <w:tcW w:w="712" w:type="pct"/>
            <w:shd w:val="clear" w:color="auto" w:fill="FFFFFF"/>
            <w:vAlign w:val="center"/>
          </w:tcPr>
          <w:p w14:paraId="0D7C2849">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22432DCA">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西北</w:t>
            </w:r>
          </w:p>
        </w:tc>
        <w:tc>
          <w:tcPr>
            <w:tcW w:w="461" w:type="pct"/>
            <w:shd w:val="clear" w:color="auto" w:fill="FFFFFF"/>
            <w:vAlign w:val="center"/>
          </w:tcPr>
          <w:p w14:paraId="24AC27FE">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1900</w:t>
            </w:r>
          </w:p>
        </w:tc>
        <w:tc>
          <w:tcPr>
            <w:tcW w:w="426" w:type="pct"/>
            <w:shd w:val="clear" w:color="auto" w:fill="FFFFFF"/>
            <w:vAlign w:val="center"/>
          </w:tcPr>
          <w:p w14:paraId="29B8DAB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2300</w:t>
            </w:r>
          </w:p>
        </w:tc>
        <w:tc>
          <w:tcPr>
            <w:tcW w:w="575" w:type="pct"/>
            <w:tcBorders>
              <w:right w:val="nil"/>
            </w:tcBorders>
            <w:shd w:val="clear" w:color="auto" w:fill="FFFFFF"/>
            <w:vAlign w:val="center"/>
          </w:tcPr>
          <w:p w14:paraId="45A8E98D">
            <w:pPr>
              <w:pStyle w:val="59"/>
              <w:bidi w:val="0"/>
              <w:rPr>
                <w:rFonts w:hint="default"/>
                <w:b w:val="0"/>
                <w:color w:val="000000"/>
                <w:lang w:val="en-US"/>
              </w:rPr>
            </w:pPr>
            <w:r>
              <w:rPr>
                <w:rFonts w:hint="eastAsia"/>
                <w:b w:val="0"/>
                <w:color w:val="000000"/>
                <w:lang w:val="en-US" w:eastAsia="zh-CN"/>
              </w:rPr>
              <w:t>大气、风险</w:t>
            </w:r>
          </w:p>
        </w:tc>
      </w:tr>
      <w:tr w14:paraId="3030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4D53F813">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6005B3AA">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1163</w:t>
            </w:r>
          </w:p>
        </w:tc>
        <w:tc>
          <w:tcPr>
            <w:tcW w:w="573" w:type="pct"/>
            <w:shd w:val="clear" w:color="auto" w:fill="auto"/>
            <w:vAlign w:val="center"/>
          </w:tcPr>
          <w:p w14:paraId="7B6A32BE">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-1344</w:t>
            </w:r>
          </w:p>
        </w:tc>
        <w:tc>
          <w:tcPr>
            <w:tcW w:w="948" w:type="pct"/>
            <w:gridSpan w:val="2"/>
            <w:shd w:val="clear" w:color="auto" w:fill="FFFFFF"/>
            <w:vAlign w:val="center"/>
          </w:tcPr>
          <w:p w14:paraId="3BB4A83B">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沙坪第一小学</w:t>
            </w:r>
          </w:p>
        </w:tc>
        <w:tc>
          <w:tcPr>
            <w:tcW w:w="712" w:type="pct"/>
            <w:shd w:val="clear" w:color="auto" w:fill="FFFFFF"/>
            <w:vAlign w:val="center"/>
          </w:tcPr>
          <w:p w14:paraId="1CD4387B">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学校</w:t>
            </w:r>
          </w:p>
        </w:tc>
        <w:tc>
          <w:tcPr>
            <w:tcW w:w="426" w:type="pct"/>
            <w:shd w:val="clear" w:color="auto" w:fill="FFFFFF"/>
            <w:vAlign w:val="center"/>
          </w:tcPr>
          <w:p w14:paraId="272D679F">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东南</w:t>
            </w:r>
          </w:p>
        </w:tc>
        <w:tc>
          <w:tcPr>
            <w:tcW w:w="461" w:type="pct"/>
            <w:shd w:val="clear" w:color="auto" w:fill="FFFFFF"/>
            <w:vAlign w:val="center"/>
          </w:tcPr>
          <w:p w14:paraId="0D2A35F7">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1500</w:t>
            </w:r>
          </w:p>
        </w:tc>
        <w:tc>
          <w:tcPr>
            <w:tcW w:w="426" w:type="pct"/>
            <w:shd w:val="clear" w:color="auto" w:fill="FFFFFF"/>
            <w:vAlign w:val="center"/>
          </w:tcPr>
          <w:p w14:paraId="25336292">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1900</w:t>
            </w:r>
          </w:p>
        </w:tc>
        <w:tc>
          <w:tcPr>
            <w:tcW w:w="575" w:type="pct"/>
            <w:tcBorders>
              <w:right w:val="nil"/>
            </w:tcBorders>
            <w:shd w:val="clear" w:color="auto" w:fill="FFFFFF"/>
            <w:vAlign w:val="center"/>
          </w:tcPr>
          <w:p w14:paraId="7451B14D">
            <w:pPr>
              <w:pStyle w:val="59"/>
              <w:bidi w:val="0"/>
              <w:rPr>
                <w:rFonts w:hint="eastAsia"/>
                <w:b w:val="0"/>
                <w:color w:val="000000"/>
                <w:lang w:val="en-US" w:eastAsia="zh-CN"/>
              </w:rPr>
            </w:pPr>
            <w:r>
              <w:rPr>
                <w:rFonts w:hint="eastAsia"/>
                <w:b w:val="0"/>
                <w:color w:val="000000"/>
                <w:lang w:val="en-US" w:eastAsia="zh-CN"/>
              </w:rPr>
              <w:t>大气、风险</w:t>
            </w:r>
          </w:p>
        </w:tc>
      </w:tr>
      <w:tr w14:paraId="3984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222A2307">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2B88B7A2">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1804</w:t>
            </w:r>
          </w:p>
        </w:tc>
        <w:tc>
          <w:tcPr>
            <w:tcW w:w="573" w:type="pct"/>
            <w:shd w:val="clear" w:color="auto" w:fill="auto"/>
            <w:vAlign w:val="center"/>
          </w:tcPr>
          <w:p w14:paraId="5D2944C9">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854</w:t>
            </w:r>
          </w:p>
        </w:tc>
        <w:tc>
          <w:tcPr>
            <w:tcW w:w="948" w:type="pct"/>
            <w:gridSpan w:val="2"/>
            <w:shd w:val="clear" w:color="auto" w:fill="FFFFFF"/>
            <w:vAlign w:val="center"/>
          </w:tcPr>
          <w:p w14:paraId="349638C9">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上升村</w:t>
            </w:r>
          </w:p>
        </w:tc>
        <w:tc>
          <w:tcPr>
            <w:tcW w:w="712" w:type="pct"/>
            <w:shd w:val="clear" w:color="auto" w:fill="FFFFFF"/>
            <w:vAlign w:val="center"/>
          </w:tcPr>
          <w:p w14:paraId="667DCEA8">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7756EC1F">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东北</w:t>
            </w:r>
          </w:p>
        </w:tc>
        <w:tc>
          <w:tcPr>
            <w:tcW w:w="461" w:type="pct"/>
            <w:shd w:val="clear" w:color="auto" w:fill="FFFFFF"/>
            <w:vAlign w:val="center"/>
          </w:tcPr>
          <w:p w14:paraId="23F84C47">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default"/>
                <w:b w:val="0"/>
                <w:color w:val="000000"/>
              </w:rPr>
              <w:t>3766</w:t>
            </w:r>
          </w:p>
        </w:tc>
        <w:tc>
          <w:tcPr>
            <w:tcW w:w="426" w:type="pct"/>
            <w:shd w:val="clear" w:color="auto" w:fill="FFFFFF"/>
            <w:vAlign w:val="center"/>
          </w:tcPr>
          <w:p w14:paraId="25E84196">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1900</w:t>
            </w:r>
          </w:p>
        </w:tc>
        <w:tc>
          <w:tcPr>
            <w:tcW w:w="575" w:type="pct"/>
            <w:tcBorders>
              <w:right w:val="nil"/>
            </w:tcBorders>
            <w:shd w:val="clear" w:color="auto" w:fill="FFFFFF"/>
            <w:vAlign w:val="center"/>
          </w:tcPr>
          <w:p w14:paraId="510E587B">
            <w:pPr>
              <w:pStyle w:val="59"/>
              <w:bidi w:val="0"/>
              <w:rPr>
                <w:rFonts w:hint="default"/>
                <w:b w:val="0"/>
                <w:color w:val="000000"/>
                <w:lang w:val="en-US" w:eastAsia="zh-CN"/>
              </w:rPr>
            </w:pPr>
            <w:r>
              <w:rPr>
                <w:rFonts w:hint="eastAsia"/>
                <w:b w:val="0"/>
                <w:color w:val="000000"/>
                <w:lang w:val="en-US" w:eastAsia="zh-CN"/>
              </w:rPr>
              <w:t>大气、风险</w:t>
            </w:r>
          </w:p>
        </w:tc>
      </w:tr>
      <w:tr w14:paraId="7F19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3C48910A">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31A7673C">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2033</w:t>
            </w:r>
          </w:p>
        </w:tc>
        <w:tc>
          <w:tcPr>
            <w:tcW w:w="573" w:type="pct"/>
            <w:shd w:val="clear" w:color="auto" w:fill="auto"/>
            <w:vAlign w:val="center"/>
          </w:tcPr>
          <w:p w14:paraId="0EE9FBCC">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311</w:t>
            </w:r>
          </w:p>
        </w:tc>
        <w:tc>
          <w:tcPr>
            <w:tcW w:w="948" w:type="pct"/>
            <w:gridSpan w:val="2"/>
            <w:shd w:val="clear" w:color="auto" w:fill="FFFFFF"/>
            <w:vAlign w:val="center"/>
          </w:tcPr>
          <w:p w14:paraId="38DBD726">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新星村</w:t>
            </w:r>
          </w:p>
        </w:tc>
        <w:tc>
          <w:tcPr>
            <w:tcW w:w="712" w:type="pct"/>
            <w:shd w:val="clear" w:color="auto" w:fill="FFFFFF"/>
            <w:vAlign w:val="center"/>
          </w:tcPr>
          <w:p w14:paraId="5778696F">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3FF4C525">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w:t>
            </w:r>
          </w:p>
        </w:tc>
        <w:tc>
          <w:tcPr>
            <w:tcW w:w="461" w:type="pct"/>
            <w:shd w:val="clear" w:color="auto" w:fill="FFFFFF"/>
            <w:vAlign w:val="center"/>
          </w:tcPr>
          <w:p w14:paraId="336A8D93">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2082</w:t>
            </w:r>
          </w:p>
        </w:tc>
        <w:tc>
          <w:tcPr>
            <w:tcW w:w="426" w:type="pct"/>
            <w:shd w:val="clear" w:color="auto" w:fill="FFFFFF"/>
            <w:vAlign w:val="center"/>
          </w:tcPr>
          <w:p w14:paraId="23ACE639">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2053</w:t>
            </w:r>
          </w:p>
        </w:tc>
        <w:tc>
          <w:tcPr>
            <w:tcW w:w="575" w:type="pct"/>
            <w:tcBorders>
              <w:right w:val="nil"/>
            </w:tcBorders>
            <w:shd w:val="clear" w:color="auto" w:fill="FFFFFF"/>
            <w:vAlign w:val="center"/>
          </w:tcPr>
          <w:p w14:paraId="48AE1DE0">
            <w:pPr>
              <w:pStyle w:val="59"/>
              <w:bidi w:val="0"/>
              <w:rPr>
                <w:rFonts w:hint="default"/>
                <w:b w:val="0"/>
                <w:color w:val="000000"/>
                <w:lang w:val="en-US"/>
              </w:rPr>
            </w:pPr>
            <w:r>
              <w:rPr>
                <w:rFonts w:hint="eastAsia"/>
                <w:b w:val="0"/>
                <w:color w:val="000000"/>
                <w:lang w:val="en-US" w:eastAsia="zh-CN"/>
              </w:rPr>
              <w:t>大气、风险</w:t>
            </w:r>
          </w:p>
        </w:tc>
      </w:tr>
      <w:tr w14:paraId="2267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10AAD498">
            <w:pPr>
              <w:pStyle w:val="59"/>
              <w:keepNext w:val="0"/>
              <w:keepLines w:val="0"/>
              <w:numPr>
                <w:ilvl w:val="0"/>
                <w:numId w:val="13"/>
              </w:numPr>
              <w:suppressLineNumbers w:val="0"/>
              <w:bidi w:val="0"/>
              <w:spacing w:before="0" w:beforeAutospacing="0" w:after="0" w:afterAutospacing="0"/>
              <w:ind w:left="425" w:leftChars="0" w:right="0" w:hanging="425" w:firstLineChars="0"/>
              <w:rPr>
                <w:rFonts w:hint="eastAsia"/>
                <w:b w:val="0"/>
                <w:color w:val="000000"/>
                <w:lang w:val="en-US" w:eastAsia="zh-CN"/>
              </w:rPr>
            </w:pPr>
          </w:p>
        </w:tc>
        <w:tc>
          <w:tcPr>
            <w:tcW w:w="612" w:type="pct"/>
            <w:shd w:val="clear" w:color="auto" w:fill="auto"/>
            <w:vAlign w:val="center"/>
          </w:tcPr>
          <w:p w14:paraId="6E2D10D0">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720</w:t>
            </w:r>
          </w:p>
        </w:tc>
        <w:tc>
          <w:tcPr>
            <w:tcW w:w="573" w:type="pct"/>
            <w:shd w:val="clear" w:color="auto" w:fill="auto"/>
            <w:vAlign w:val="center"/>
          </w:tcPr>
          <w:p w14:paraId="6FB7A6DC">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2397</w:t>
            </w:r>
          </w:p>
        </w:tc>
        <w:tc>
          <w:tcPr>
            <w:tcW w:w="948" w:type="pct"/>
            <w:gridSpan w:val="2"/>
            <w:shd w:val="clear" w:color="auto" w:fill="FFFFFF"/>
            <w:vAlign w:val="center"/>
          </w:tcPr>
          <w:p w14:paraId="197AB47B">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default"/>
                <w:b w:val="0"/>
                <w:color w:val="000000"/>
              </w:rPr>
              <w:t>双桥村</w:t>
            </w:r>
          </w:p>
        </w:tc>
        <w:tc>
          <w:tcPr>
            <w:tcW w:w="712" w:type="pct"/>
            <w:shd w:val="clear" w:color="auto" w:fill="FFFFFF"/>
            <w:vAlign w:val="center"/>
          </w:tcPr>
          <w:p w14:paraId="4983E0FF">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57A24960">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北</w:t>
            </w:r>
          </w:p>
        </w:tc>
        <w:tc>
          <w:tcPr>
            <w:tcW w:w="461" w:type="pct"/>
            <w:shd w:val="clear" w:color="auto" w:fill="FFFFFF"/>
            <w:vAlign w:val="center"/>
          </w:tcPr>
          <w:p w14:paraId="460BA29F">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1500</w:t>
            </w:r>
          </w:p>
        </w:tc>
        <w:tc>
          <w:tcPr>
            <w:tcW w:w="426" w:type="pct"/>
            <w:shd w:val="clear" w:color="auto" w:fill="FFFFFF"/>
            <w:vAlign w:val="center"/>
          </w:tcPr>
          <w:p w14:paraId="19EDD920">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2500</w:t>
            </w:r>
          </w:p>
        </w:tc>
        <w:tc>
          <w:tcPr>
            <w:tcW w:w="575" w:type="pct"/>
            <w:tcBorders>
              <w:right w:val="nil"/>
            </w:tcBorders>
            <w:shd w:val="clear" w:color="auto" w:fill="FFFFFF"/>
            <w:vAlign w:val="center"/>
          </w:tcPr>
          <w:p w14:paraId="00B93002">
            <w:pPr>
              <w:pStyle w:val="59"/>
              <w:bidi w:val="0"/>
              <w:rPr>
                <w:rFonts w:hint="default"/>
                <w:b w:val="0"/>
                <w:color w:val="000000"/>
                <w:lang w:val="en-US" w:eastAsia="zh-CN"/>
              </w:rPr>
            </w:pPr>
            <w:r>
              <w:rPr>
                <w:rFonts w:hint="eastAsia"/>
                <w:b w:val="0"/>
                <w:color w:val="000000"/>
                <w:lang w:val="en-US" w:eastAsia="zh-CN"/>
              </w:rPr>
              <w:t>大气、风险</w:t>
            </w:r>
          </w:p>
        </w:tc>
      </w:tr>
      <w:tr w14:paraId="5DFC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565865E2">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717ED133">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152</w:t>
            </w:r>
          </w:p>
        </w:tc>
        <w:tc>
          <w:tcPr>
            <w:tcW w:w="573" w:type="pct"/>
            <w:shd w:val="clear" w:color="auto" w:fill="auto"/>
            <w:vAlign w:val="center"/>
          </w:tcPr>
          <w:p w14:paraId="75210EE0">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-2529</w:t>
            </w:r>
          </w:p>
        </w:tc>
        <w:tc>
          <w:tcPr>
            <w:tcW w:w="948" w:type="pct"/>
            <w:gridSpan w:val="2"/>
            <w:shd w:val="clear" w:color="auto" w:fill="FFFFFF"/>
            <w:vAlign w:val="center"/>
          </w:tcPr>
          <w:p w14:paraId="7AE60FC4">
            <w:pPr>
              <w:pStyle w:val="59"/>
              <w:keepNext w:val="0"/>
              <w:keepLines w:val="0"/>
              <w:suppressLineNumbers w:val="0"/>
              <w:bidi w:val="0"/>
              <w:spacing w:before="0" w:beforeAutospacing="0" w:after="0" w:afterAutospacing="0"/>
              <w:ind w:left="0" w:right="0"/>
              <w:rPr>
                <w:rFonts w:hint="default"/>
                <w:b w:val="0"/>
                <w:color w:val="000000"/>
              </w:rPr>
            </w:pPr>
            <w:r>
              <w:rPr>
                <w:rFonts w:hint="eastAsia"/>
                <w:b w:val="0"/>
                <w:color w:val="000000"/>
              </w:rPr>
              <w:t>粤语·碧水湾</w:t>
            </w:r>
          </w:p>
        </w:tc>
        <w:tc>
          <w:tcPr>
            <w:tcW w:w="712" w:type="pct"/>
            <w:shd w:val="clear" w:color="auto" w:fill="FFFFFF"/>
            <w:vAlign w:val="center"/>
          </w:tcPr>
          <w:p w14:paraId="3A5894DC">
            <w:pPr>
              <w:pStyle w:val="59"/>
              <w:keepNext w:val="0"/>
              <w:keepLines w:val="0"/>
              <w:suppressLineNumbers w:val="0"/>
              <w:bidi w:val="0"/>
              <w:spacing w:before="0" w:beforeAutospacing="0" w:after="0" w:afterAutospacing="0"/>
              <w:ind w:left="0" w:right="0"/>
              <w:rPr>
                <w:rFonts w:hint="default"/>
                <w:b w:val="0"/>
                <w:color w:val="000000"/>
              </w:rPr>
            </w:pPr>
            <w:r>
              <w:rPr>
                <w:rFonts w:hint="eastAsia"/>
                <w:b w:val="0"/>
                <w:color w:val="000000"/>
              </w:rPr>
              <w:t>居民区</w:t>
            </w:r>
          </w:p>
        </w:tc>
        <w:tc>
          <w:tcPr>
            <w:tcW w:w="426" w:type="pct"/>
            <w:shd w:val="clear" w:color="auto" w:fill="FFFFFF"/>
            <w:vAlign w:val="center"/>
          </w:tcPr>
          <w:p w14:paraId="1E23C607">
            <w:pPr>
              <w:pStyle w:val="59"/>
              <w:keepNext w:val="0"/>
              <w:keepLines w:val="0"/>
              <w:suppressLineNumbers w:val="0"/>
              <w:bidi w:val="0"/>
              <w:spacing w:before="0" w:beforeAutospacing="0" w:after="0" w:afterAutospacing="0"/>
              <w:ind w:left="0" w:right="0"/>
              <w:rPr>
                <w:rFonts w:hint="default"/>
                <w:b w:val="0"/>
                <w:color w:val="000000"/>
              </w:rPr>
            </w:pPr>
            <w:r>
              <w:rPr>
                <w:rFonts w:hint="eastAsia"/>
                <w:b w:val="0"/>
                <w:color w:val="000000"/>
              </w:rPr>
              <w:t>南</w:t>
            </w:r>
          </w:p>
        </w:tc>
        <w:tc>
          <w:tcPr>
            <w:tcW w:w="461" w:type="pct"/>
            <w:shd w:val="clear" w:color="auto" w:fill="FFFFFF"/>
            <w:vAlign w:val="center"/>
          </w:tcPr>
          <w:p w14:paraId="2A0DC28E">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5000</w:t>
            </w:r>
          </w:p>
        </w:tc>
        <w:tc>
          <w:tcPr>
            <w:tcW w:w="426" w:type="pct"/>
            <w:shd w:val="clear" w:color="auto" w:fill="FFFFFF"/>
            <w:vAlign w:val="center"/>
          </w:tcPr>
          <w:p w14:paraId="1685CCD4">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2619</w:t>
            </w:r>
          </w:p>
        </w:tc>
        <w:tc>
          <w:tcPr>
            <w:tcW w:w="575" w:type="pct"/>
            <w:tcBorders>
              <w:right w:val="nil"/>
            </w:tcBorders>
            <w:shd w:val="clear" w:color="auto" w:fill="FFFFFF"/>
            <w:vAlign w:val="center"/>
          </w:tcPr>
          <w:p w14:paraId="1D296924">
            <w:pPr>
              <w:pStyle w:val="59"/>
              <w:bidi w:val="0"/>
              <w:rPr>
                <w:rFonts w:hint="default"/>
                <w:b w:val="0"/>
                <w:color w:val="000000"/>
              </w:rPr>
            </w:pPr>
            <w:r>
              <w:rPr>
                <w:rFonts w:hint="eastAsia"/>
                <w:b w:val="0"/>
                <w:color w:val="000000"/>
                <w:lang w:val="en-US" w:eastAsia="zh-CN"/>
              </w:rPr>
              <w:t>大气、风险</w:t>
            </w:r>
          </w:p>
        </w:tc>
      </w:tr>
      <w:tr w14:paraId="6FA7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56D66A44">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3696933A">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-2052</w:t>
            </w:r>
          </w:p>
        </w:tc>
        <w:tc>
          <w:tcPr>
            <w:tcW w:w="573" w:type="pct"/>
            <w:shd w:val="clear" w:color="auto" w:fill="auto"/>
            <w:vAlign w:val="center"/>
          </w:tcPr>
          <w:p w14:paraId="6675F1E1">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-960</w:t>
            </w:r>
          </w:p>
        </w:tc>
        <w:tc>
          <w:tcPr>
            <w:tcW w:w="948" w:type="pct"/>
            <w:gridSpan w:val="2"/>
            <w:shd w:val="clear" w:color="auto" w:fill="FFFFFF"/>
            <w:vAlign w:val="center"/>
          </w:tcPr>
          <w:p w14:paraId="0BD50335">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霄南村</w:t>
            </w:r>
          </w:p>
        </w:tc>
        <w:tc>
          <w:tcPr>
            <w:tcW w:w="712" w:type="pct"/>
            <w:shd w:val="clear" w:color="auto" w:fill="FFFFFF"/>
            <w:vAlign w:val="center"/>
          </w:tcPr>
          <w:p w14:paraId="79C2DAA5">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3713EF88">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西南</w:t>
            </w:r>
          </w:p>
        </w:tc>
        <w:tc>
          <w:tcPr>
            <w:tcW w:w="461" w:type="pct"/>
            <w:shd w:val="clear" w:color="auto" w:fill="FFFFFF"/>
            <w:vAlign w:val="center"/>
          </w:tcPr>
          <w:p w14:paraId="11041516">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2040</w:t>
            </w:r>
          </w:p>
        </w:tc>
        <w:tc>
          <w:tcPr>
            <w:tcW w:w="426" w:type="pct"/>
            <w:shd w:val="clear" w:color="auto" w:fill="FFFFFF"/>
            <w:vAlign w:val="center"/>
          </w:tcPr>
          <w:p w14:paraId="37B9C62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1918</w:t>
            </w:r>
          </w:p>
        </w:tc>
        <w:tc>
          <w:tcPr>
            <w:tcW w:w="575" w:type="pct"/>
            <w:tcBorders>
              <w:right w:val="nil"/>
            </w:tcBorders>
            <w:shd w:val="clear" w:color="auto" w:fill="FFFFFF"/>
            <w:vAlign w:val="center"/>
          </w:tcPr>
          <w:p w14:paraId="0C9935E8">
            <w:pPr>
              <w:pStyle w:val="59"/>
              <w:bidi w:val="0"/>
              <w:rPr>
                <w:rFonts w:hint="default"/>
                <w:b w:val="0"/>
                <w:color w:val="000000"/>
                <w:lang w:val="en-US"/>
              </w:rPr>
            </w:pPr>
            <w:r>
              <w:rPr>
                <w:rFonts w:hint="eastAsia"/>
                <w:b w:val="0"/>
                <w:color w:val="000000"/>
                <w:lang w:val="en-US" w:eastAsia="zh-CN"/>
              </w:rPr>
              <w:t>大气、风险</w:t>
            </w:r>
          </w:p>
        </w:tc>
      </w:tr>
      <w:tr w14:paraId="2295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1809D78D">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13ECA229">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948</w:t>
            </w:r>
          </w:p>
        </w:tc>
        <w:tc>
          <w:tcPr>
            <w:tcW w:w="573" w:type="pct"/>
            <w:shd w:val="clear" w:color="auto" w:fill="auto"/>
            <w:vAlign w:val="center"/>
          </w:tcPr>
          <w:p w14:paraId="298A0D43">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-1079</w:t>
            </w:r>
          </w:p>
        </w:tc>
        <w:tc>
          <w:tcPr>
            <w:tcW w:w="948" w:type="pct"/>
            <w:gridSpan w:val="2"/>
            <w:shd w:val="clear" w:color="auto" w:fill="FFFFFF"/>
            <w:vAlign w:val="center"/>
          </w:tcPr>
          <w:p w14:paraId="61FCBA0F">
            <w:pPr>
              <w:pStyle w:val="59"/>
              <w:keepNext w:val="0"/>
              <w:keepLines w:val="0"/>
              <w:suppressLineNumbers w:val="0"/>
              <w:bidi w:val="0"/>
              <w:spacing w:before="0" w:beforeAutospacing="0" w:after="0" w:afterAutospacing="0"/>
              <w:ind w:left="0" w:right="0"/>
              <w:rPr>
                <w:rFonts w:hint="default"/>
                <w:b w:val="0"/>
                <w:color w:val="000000"/>
              </w:rPr>
            </w:pPr>
            <w:r>
              <w:rPr>
                <w:rFonts w:hint="eastAsia"/>
                <w:b w:val="0"/>
                <w:color w:val="000000"/>
              </w:rPr>
              <w:t>峻廷湾</w:t>
            </w:r>
          </w:p>
        </w:tc>
        <w:tc>
          <w:tcPr>
            <w:tcW w:w="712" w:type="pct"/>
            <w:shd w:val="clear" w:color="auto" w:fill="FFFFFF"/>
            <w:vAlign w:val="center"/>
          </w:tcPr>
          <w:p w14:paraId="6FFEC533">
            <w:pPr>
              <w:pStyle w:val="59"/>
              <w:keepNext w:val="0"/>
              <w:keepLines w:val="0"/>
              <w:suppressLineNumbers w:val="0"/>
              <w:bidi w:val="0"/>
              <w:spacing w:before="0" w:beforeAutospacing="0" w:after="0" w:afterAutospacing="0"/>
              <w:ind w:left="0" w:right="0"/>
              <w:rPr>
                <w:rFonts w:hint="default"/>
                <w:b w:val="0"/>
                <w:color w:val="000000"/>
              </w:rPr>
            </w:pPr>
            <w:r>
              <w:rPr>
                <w:rFonts w:hint="eastAsia"/>
                <w:b w:val="0"/>
                <w:color w:val="000000"/>
              </w:rPr>
              <w:t>居民区</w:t>
            </w:r>
          </w:p>
        </w:tc>
        <w:tc>
          <w:tcPr>
            <w:tcW w:w="426" w:type="pct"/>
            <w:shd w:val="clear" w:color="auto" w:fill="FFFFFF"/>
            <w:vAlign w:val="center"/>
          </w:tcPr>
          <w:p w14:paraId="53F519A8">
            <w:pPr>
              <w:pStyle w:val="59"/>
              <w:keepNext w:val="0"/>
              <w:keepLines w:val="0"/>
              <w:suppressLineNumbers w:val="0"/>
              <w:bidi w:val="0"/>
              <w:spacing w:before="0" w:beforeAutospacing="0" w:after="0" w:afterAutospacing="0"/>
              <w:ind w:left="0" w:right="0"/>
              <w:rPr>
                <w:rFonts w:hint="default"/>
                <w:b w:val="0"/>
                <w:color w:val="000000"/>
              </w:rPr>
            </w:pPr>
            <w:r>
              <w:rPr>
                <w:rFonts w:hint="eastAsia"/>
                <w:b w:val="0"/>
                <w:color w:val="000000"/>
              </w:rPr>
              <w:t>东南</w:t>
            </w:r>
          </w:p>
        </w:tc>
        <w:tc>
          <w:tcPr>
            <w:tcW w:w="461" w:type="pct"/>
            <w:shd w:val="clear" w:color="auto" w:fill="FFFFFF"/>
            <w:vAlign w:val="center"/>
          </w:tcPr>
          <w:p w14:paraId="046AF208">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5000</w:t>
            </w:r>
          </w:p>
        </w:tc>
        <w:tc>
          <w:tcPr>
            <w:tcW w:w="426" w:type="pct"/>
            <w:shd w:val="clear" w:color="auto" w:fill="FFFFFF"/>
            <w:vAlign w:val="center"/>
          </w:tcPr>
          <w:p w14:paraId="5C25A677">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1476</w:t>
            </w:r>
          </w:p>
        </w:tc>
        <w:tc>
          <w:tcPr>
            <w:tcW w:w="575" w:type="pct"/>
            <w:tcBorders>
              <w:right w:val="nil"/>
            </w:tcBorders>
            <w:shd w:val="clear" w:color="auto" w:fill="FFFFFF"/>
            <w:vAlign w:val="center"/>
          </w:tcPr>
          <w:p w14:paraId="3D7324CF">
            <w:pPr>
              <w:pStyle w:val="59"/>
              <w:bidi w:val="0"/>
              <w:rPr>
                <w:rFonts w:hint="default"/>
                <w:b w:val="0"/>
                <w:color w:val="000000"/>
              </w:rPr>
            </w:pPr>
            <w:r>
              <w:rPr>
                <w:rFonts w:hint="eastAsia"/>
                <w:b w:val="0"/>
                <w:color w:val="000000"/>
                <w:lang w:val="en-US" w:eastAsia="zh-CN"/>
              </w:rPr>
              <w:t>大气、风险</w:t>
            </w:r>
          </w:p>
        </w:tc>
      </w:tr>
      <w:tr w14:paraId="2DB6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5A1CF615">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72BDEF4A">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1143</w:t>
            </w:r>
          </w:p>
        </w:tc>
        <w:tc>
          <w:tcPr>
            <w:tcW w:w="573" w:type="pct"/>
            <w:shd w:val="clear" w:color="auto" w:fill="auto"/>
            <w:vAlign w:val="center"/>
          </w:tcPr>
          <w:p w14:paraId="29876EA0">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-1427</w:t>
            </w:r>
          </w:p>
        </w:tc>
        <w:tc>
          <w:tcPr>
            <w:tcW w:w="948" w:type="pct"/>
            <w:gridSpan w:val="2"/>
            <w:shd w:val="clear" w:color="auto" w:fill="FFFFFF"/>
            <w:vAlign w:val="center"/>
          </w:tcPr>
          <w:p w14:paraId="120E8E31">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金碧嘉园</w:t>
            </w:r>
          </w:p>
        </w:tc>
        <w:tc>
          <w:tcPr>
            <w:tcW w:w="712" w:type="pct"/>
            <w:shd w:val="clear" w:color="auto" w:fill="FFFFFF"/>
            <w:vAlign w:val="center"/>
          </w:tcPr>
          <w:p w14:paraId="65FF28F2">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居民区</w:t>
            </w:r>
          </w:p>
        </w:tc>
        <w:tc>
          <w:tcPr>
            <w:tcW w:w="426" w:type="pct"/>
            <w:shd w:val="clear" w:color="auto" w:fill="FFFFFF"/>
            <w:vAlign w:val="center"/>
          </w:tcPr>
          <w:p w14:paraId="49CC6E7E">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东南</w:t>
            </w:r>
          </w:p>
        </w:tc>
        <w:tc>
          <w:tcPr>
            <w:tcW w:w="461" w:type="pct"/>
            <w:shd w:val="clear" w:color="auto" w:fill="FFFFFF"/>
            <w:vAlign w:val="center"/>
          </w:tcPr>
          <w:p w14:paraId="242E49F8">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3000</w:t>
            </w:r>
          </w:p>
        </w:tc>
        <w:tc>
          <w:tcPr>
            <w:tcW w:w="426" w:type="pct"/>
            <w:shd w:val="clear" w:color="auto" w:fill="FFFFFF"/>
            <w:vAlign w:val="center"/>
          </w:tcPr>
          <w:p w14:paraId="4A7549E8">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1950</w:t>
            </w:r>
          </w:p>
        </w:tc>
        <w:tc>
          <w:tcPr>
            <w:tcW w:w="575" w:type="pct"/>
            <w:tcBorders>
              <w:right w:val="nil"/>
            </w:tcBorders>
            <w:shd w:val="clear" w:color="auto" w:fill="FFFFFF"/>
            <w:vAlign w:val="center"/>
          </w:tcPr>
          <w:p w14:paraId="59816BE7">
            <w:pPr>
              <w:pStyle w:val="59"/>
              <w:bidi w:val="0"/>
              <w:rPr>
                <w:rFonts w:hint="eastAsia"/>
                <w:b w:val="0"/>
                <w:color w:val="000000"/>
              </w:rPr>
            </w:pPr>
            <w:r>
              <w:rPr>
                <w:rFonts w:hint="eastAsia"/>
                <w:b w:val="0"/>
                <w:color w:val="000000"/>
                <w:lang w:val="en-US" w:eastAsia="zh-CN"/>
              </w:rPr>
              <w:t>大气、风险</w:t>
            </w:r>
          </w:p>
        </w:tc>
      </w:tr>
      <w:tr w14:paraId="4E58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4E429AAA">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3F4B1CD6">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-52</w:t>
            </w:r>
          </w:p>
        </w:tc>
        <w:tc>
          <w:tcPr>
            <w:tcW w:w="573" w:type="pct"/>
            <w:shd w:val="clear" w:color="auto" w:fill="auto"/>
            <w:vAlign w:val="center"/>
          </w:tcPr>
          <w:p w14:paraId="520DB5A5">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-1851</w:t>
            </w:r>
          </w:p>
        </w:tc>
        <w:tc>
          <w:tcPr>
            <w:tcW w:w="948" w:type="pct"/>
            <w:gridSpan w:val="2"/>
            <w:shd w:val="clear" w:color="auto" w:fill="FFFFFF"/>
            <w:vAlign w:val="center"/>
          </w:tcPr>
          <w:p w14:paraId="79DE1DB3">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玉桥村</w:t>
            </w:r>
          </w:p>
        </w:tc>
        <w:tc>
          <w:tcPr>
            <w:tcW w:w="712" w:type="pct"/>
            <w:shd w:val="clear" w:color="auto" w:fill="FFFFFF"/>
            <w:vAlign w:val="center"/>
          </w:tcPr>
          <w:p w14:paraId="782EC2C7">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行政村</w:t>
            </w:r>
          </w:p>
        </w:tc>
        <w:tc>
          <w:tcPr>
            <w:tcW w:w="426" w:type="pct"/>
            <w:shd w:val="clear" w:color="auto" w:fill="FFFFFF"/>
            <w:vAlign w:val="center"/>
          </w:tcPr>
          <w:p w14:paraId="2715EB7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南</w:t>
            </w:r>
          </w:p>
        </w:tc>
        <w:tc>
          <w:tcPr>
            <w:tcW w:w="461" w:type="pct"/>
            <w:shd w:val="clear" w:color="auto" w:fill="FFFFFF"/>
            <w:vAlign w:val="center"/>
          </w:tcPr>
          <w:p w14:paraId="31F8A597">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1800</w:t>
            </w:r>
          </w:p>
        </w:tc>
        <w:tc>
          <w:tcPr>
            <w:tcW w:w="426" w:type="pct"/>
            <w:shd w:val="clear" w:color="auto" w:fill="FFFFFF"/>
            <w:vAlign w:val="center"/>
          </w:tcPr>
          <w:p w14:paraId="3D6F29EB">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2007</w:t>
            </w:r>
          </w:p>
        </w:tc>
        <w:tc>
          <w:tcPr>
            <w:tcW w:w="575" w:type="pct"/>
            <w:tcBorders>
              <w:right w:val="nil"/>
            </w:tcBorders>
            <w:shd w:val="clear" w:color="auto" w:fill="FFFFFF"/>
            <w:vAlign w:val="center"/>
          </w:tcPr>
          <w:p w14:paraId="0E2762F8">
            <w:pPr>
              <w:pStyle w:val="59"/>
              <w:bidi w:val="0"/>
              <w:rPr>
                <w:rFonts w:hint="default"/>
                <w:b w:val="0"/>
                <w:color w:val="000000"/>
                <w:lang w:val="en-US" w:eastAsia="zh-CN"/>
              </w:rPr>
            </w:pPr>
            <w:r>
              <w:rPr>
                <w:rFonts w:hint="eastAsia"/>
                <w:b w:val="0"/>
                <w:color w:val="000000"/>
                <w:lang w:val="en-US" w:eastAsia="zh-CN"/>
              </w:rPr>
              <w:t>大气、风险</w:t>
            </w:r>
          </w:p>
        </w:tc>
      </w:tr>
      <w:tr w14:paraId="0E9B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7E398B08">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29B937F4">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-670</w:t>
            </w:r>
          </w:p>
        </w:tc>
        <w:tc>
          <w:tcPr>
            <w:tcW w:w="573" w:type="pct"/>
            <w:shd w:val="clear" w:color="auto" w:fill="auto"/>
            <w:vAlign w:val="center"/>
          </w:tcPr>
          <w:p w14:paraId="345B8510">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-1825</w:t>
            </w:r>
          </w:p>
        </w:tc>
        <w:tc>
          <w:tcPr>
            <w:tcW w:w="948" w:type="pct"/>
            <w:gridSpan w:val="2"/>
            <w:shd w:val="clear" w:color="auto" w:fill="FFFFFF"/>
            <w:vAlign w:val="center"/>
          </w:tcPr>
          <w:p w14:paraId="56C9D0A1">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玉桥小学</w:t>
            </w:r>
          </w:p>
        </w:tc>
        <w:tc>
          <w:tcPr>
            <w:tcW w:w="712" w:type="pct"/>
            <w:shd w:val="clear" w:color="auto" w:fill="FFFFFF"/>
            <w:vAlign w:val="center"/>
          </w:tcPr>
          <w:p w14:paraId="0263603D">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学校</w:t>
            </w:r>
          </w:p>
        </w:tc>
        <w:tc>
          <w:tcPr>
            <w:tcW w:w="426" w:type="pct"/>
            <w:shd w:val="clear" w:color="auto" w:fill="FFFFFF"/>
            <w:vAlign w:val="center"/>
          </w:tcPr>
          <w:p w14:paraId="6618528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南</w:t>
            </w:r>
          </w:p>
        </w:tc>
        <w:tc>
          <w:tcPr>
            <w:tcW w:w="461" w:type="pct"/>
            <w:shd w:val="clear" w:color="auto" w:fill="FFFFFF"/>
            <w:vAlign w:val="center"/>
          </w:tcPr>
          <w:p w14:paraId="50E17C1A">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1200</w:t>
            </w:r>
          </w:p>
        </w:tc>
        <w:tc>
          <w:tcPr>
            <w:tcW w:w="426" w:type="pct"/>
            <w:shd w:val="clear" w:color="auto" w:fill="FFFFFF"/>
            <w:vAlign w:val="center"/>
          </w:tcPr>
          <w:p w14:paraId="53858E3C">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2000</w:t>
            </w:r>
          </w:p>
        </w:tc>
        <w:tc>
          <w:tcPr>
            <w:tcW w:w="575" w:type="pct"/>
            <w:tcBorders>
              <w:right w:val="nil"/>
            </w:tcBorders>
            <w:shd w:val="clear" w:color="auto" w:fill="FFFFFF"/>
            <w:vAlign w:val="center"/>
          </w:tcPr>
          <w:p w14:paraId="0C679F0E">
            <w:pPr>
              <w:pStyle w:val="59"/>
              <w:bidi w:val="0"/>
              <w:rPr>
                <w:rFonts w:hint="eastAsia"/>
                <w:b w:val="0"/>
                <w:color w:val="000000"/>
                <w:lang w:val="en-US" w:eastAsia="zh-CN"/>
              </w:rPr>
            </w:pPr>
            <w:r>
              <w:rPr>
                <w:rFonts w:hint="eastAsia"/>
                <w:b w:val="0"/>
                <w:color w:val="000000"/>
                <w:lang w:val="en-US" w:eastAsia="zh-CN"/>
              </w:rPr>
              <w:t>大气、风险</w:t>
            </w:r>
          </w:p>
        </w:tc>
      </w:tr>
      <w:tr w14:paraId="73DD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170FDC60">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7287A15F">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2482</w:t>
            </w:r>
          </w:p>
        </w:tc>
        <w:tc>
          <w:tcPr>
            <w:tcW w:w="573" w:type="pct"/>
            <w:shd w:val="clear" w:color="auto" w:fill="auto"/>
            <w:vAlign w:val="center"/>
          </w:tcPr>
          <w:p w14:paraId="1BF27486">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-1011</w:t>
            </w:r>
          </w:p>
        </w:tc>
        <w:tc>
          <w:tcPr>
            <w:tcW w:w="948" w:type="pct"/>
            <w:gridSpan w:val="2"/>
            <w:shd w:val="clear" w:color="auto" w:fill="FFFFFF"/>
            <w:vAlign w:val="center"/>
          </w:tcPr>
          <w:p w14:paraId="0968EBE7">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default"/>
                <w:b w:val="0"/>
                <w:color w:val="000000"/>
              </w:rPr>
              <w:t>中东西村</w:t>
            </w:r>
          </w:p>
        </w:tc>
        <w:tc>
          <w:tcPr>
            <w:tcW w:w="712" w:type="pct"/>
            <w:shd w:val="clear" w:color="auto" w:fill="FFFFFF"/>
            <w:vAlign w:val="center"/>
          </w:tcPr>
          <w:p w14:paraId="08FC2A35">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037C901F">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东</w:t>
            </w:r>
          </w:p>
        </w:tc>
        <w:tc>
          <w:tcPr>
            <w:tcW w:w="461" w:type="pct"/>
            <w:shd w:val="clear" w:color="auto" w:fill="FFFFFF"/>
            <w:vAlign w:val="center"/>
          </w:tcPr>
          <w:p w14:paraId="34FAF48F">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5150</w:t>
            </w:r>
          </w:p>
        </w:tc>
        <w:tc>
          <w:tcPr>
            <w:tcW w:w="426" w:type="pct"/>
            <w:shd w:val="clear" w:color="auto" w:fill="FFFFFF"/>
            <w:vAlign w:val="center"/>
          </w:tcPr>
          <w:p w14:paraId="5E1D3E69">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2077</w:t>
            </w:r>
          </w:p>
        </w:tc>
        <w:tc>
          <w:tcPr>
            <w:tcW w:w="575" w:type="pct"/>
            <w:tcBorders>
              <w:right w:val="nil"/>
            </w:tcBorders>
            <w:shd w:val="clear" w:color="auto" w:fill="FFFFFF"/>
            <w:vAlign w:val="center"/>
          </w:tcPr>
          <w:p w14:paraId="5210ADB5">
            <w:pPr>
              <w:pStyle w:val="59"/>
              <w:bidi w:val="0"/>
              <w:rPr>
                <w:rFonts w:hint="eastAsia"/>
                <w:b w:val="0"/>
                <w:color w:val="000000"/>
              </w:rPr>
            </w:pPr>
            <w:r>
              <w:rPr>
                <w:rFonts w:hint="eastAsia"/>
                <w:b w:val="0"/>
                <w:color w:val="000000"/>
                <w:lang w:val="en-US" w:eastAsia="zh-CN"/>
              </w:rPr>
              <w:t>大气、风险</w:t>
            </w:r>
          </w:p>
        </w:tc>
      </w:tr>
      <w:tr w14:paraId="5715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6BA7C6AC">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6A01177C">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618</w:t>
            </w:r>
          </w:p>
        </w:tc>
        <w:tc>
          <w:tcPr>
            <w:tcW w:w="573" w:type="pct"/>
            <w:shd w:val="clear" w:color="auto" w:fill="auto"/>
            <w:vAlign w:val="center"/>
          </w:tcPr>
          <w:p w14:paraId="636E6CCA">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-1995</w:t>
            </w:r>
          </w:p>
        </w:tc>
        <w:tc>
          <w:tcPr>
            <w:tcW w:w="948" w:type="pct"/>
            <w:gridSpan w:val="2"/>
            <w:shd w:val="clear" w:color="auto" w:fill="FFFFFF"/>
            <w:vAlign w:val="center"/>
          </w:tcPr>
          <w:p w14:paraId="27864FE6">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仓边村</w:t>
            </w:r>
          </w:p>
        </w:tc>
        <w:tc>
          <w:tcPr>
            <w:tcW w:w="712" w:type="pct"/>
            <w:shd w:val="clear" w:color="auto" w:fill="FFFFFF"/>
            <w:vAlign w:val="center"/>
          </w:tcPr>
          <w:p w14:paraId="70882AE7">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6E3590F1">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南</w:t>
            </w:r>
          </w:p>
        </w:tc>
        <w:tc>
          <w:tcPr>
            <w:tcW w:w="461" w:type="pct"/>
            <w:shd w:val="clear" w:color="auto" w:fill="FFFFFF"/>
            <w:vAlign w:val="center"/>
          </w:tcPr>
          <w:p w14:paraId="07337490">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863</w:t>
            </w:r>
          </w:p>
        </w:tc>
        <w:tc>
          <w:tcPr>
            <w:tcW w:w="426" w:type="pct"/>
            <w:shd w:val="clear" w:color="auto" w:fill="FFFFFF"/>
            <w:vAlign w:val="center"/>
          </w:tcPr>
          <w:p w14:paraId="1C983C00">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2150</w:t>
            </w:r>
          </w:p>
        </w:tc>
        <w:tc>
          <w:tcPr>
            <w:tcW w:w="575" w:type="pct"/>
            <w:tcBorders>
              <w:right w:val="nil"/>
            </w:tcBorders>
            <w:shd w:val="clear" w:color="auto" w:fill="FFFFFF"/>
            <w:vAlign w:val="center"/>
          </w:tcPr>
          <w:p w14:paraId="427508F7">
            <w:pPr>
              <w:pStyle w:val="59"/>
              <w:bidi w:val="0"/>
              <w:rPr>
                <w:rFonts w:hint="default"/>
                <w:b w:val="0"/>
                <w:color w:val="000000"/>
                <w:lang w:val="en-US" w:eastAsia="zh-CN"/>
              </w:rPr>
            </w:pPr>
            <w:r>
              <w:rPr>
                <w:rFonts w:hint="eastAsia"/>
                <w:b w:val="0"/>
                <w:color w:val="000000"/>
                <w:lang w:val="en-US" w:eastAsia="zh-CN"/>
              </w:rPr>
              <w:t>大气、风险</w:t>
            </w:r>
          </w:p>
        </w:tc>
      </w:tr>
      <w:tr w14:paraId="5519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6A194901">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5209B6F7">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1592</w:t>
            </w:r>
          </w:p>
        </w:tc>
        <w:tc>
          <w:tcPr>
            <w:tcW w:w="573" w:type="pct"/>
            <w:shd w:val="clear" w:color="auto" w:fill="auto"/>
            <w:vAlign w:val="center"/>
          </w:tcPr>
          <w:p w14:paraId="3ADBBABB">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-1189</w:t>
            </w:r>
          </w:p>
        </w:tc>
        <w:tc>
          <w:tcPr>
            <w:tcW w:w="948" w:type="pct"/>
            <w:gridSpan w:val="2"/>
            <w:shd w:val="clear" w:color="auto" w:fill="FFFFFF"/>
            <w:vAlign w:val="center"/>
          </w:tcPr>
          <w:p w14:paraId="1645A843">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default"/>
                <w:b w:val="0"/>
                <w:color w:val="000000"/>
              </w:rPr>
              <w:t>新业社区</w:t>
            </w:r>
          </w:p>
        </w:tc>
        <w:tc>
          <w:tcPr>
            <w:tcW w:w="712" w:type="pct"/>
            <w:shd w:val="clear" w:color="auto" w:fill="FFFFFF"/>
            <w:vAlign w:val="center"/>
          </w:tcPr>
          <w:p w14:paraId="550A780D">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77CCC8A3">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东</w:t>
            </w:r>
          </w:p>
        </w:tc>
        <w:tc>
          <w:tcPr>
            <w:tcW w:w="461" w:type="pct"/>
            <w:shd w:val="clear" w:color="auto" w:fill="FFFFFF"/>
            <w:vAlign w:val="center"/>
          </w:tcPr>
          <w:p w14:paraId="6F0353CE">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10265</w:t>
            </w:r>
          </w:p>
        </w:tc>
        <w:tc>
          <w:tcPr>
            <w:tcW w:w="426" w:type="pct"/>
            <w:shd w:val="clear" w:color="auto" w:fill="FFFFFF"/>
            <w:vAlign w:val="center"/>
          </w:tcPr>
          <w:p w14:paraId="1E3325E7">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2175</w:t>
            </w:r>
          </w:p>
        </w:tc>
        <w:tc>
          <w:tcPr>
            <w:tcW w:w="575" w:type="pct"/>
            <w:tcBorders>
              <w:right w:val="nil"/>
            </w:tcBorders>
            <w:shd w:val="clear" w:color="auto" w:fill="FFFFFF"/>
            <w:vAlign w:val="center"/>
          </w:tcPr>
          <w:p w14:paraId="3E09C7FA">
            <w:pPr>
              <w:pStyle w:val="59"/>
              <w:bidi w:val="0"/>
              <w:rPr>
                <w:rFonts w:hint="eastAsia"/>
                <w:b w:val="0"/>
                <w:color w:val="000000"/>
              </w:rPr>
            </w:pPr>
            <w:r>
              <w:rPr>
                <w:rFonts w:hint="eastAsia"/>
                <w:b w:val="0"/>
                <w:color w:val="000000"/>
                <w:lang w:val="en-US" w:eastAsia="zh-CN"/>
              </w:rPr>
              <w:t>大气、风险</w:t>
            </w:r>
          </w:p>
        </w:tc>
      </w:tr>
      <w:tr w14:paraId="192B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749137D3">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63EEB135">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1321</w:t>
            </w:r>
          </w:p>
        </w:tc>
        <w:tc>
          <w:tcPr>
            <w:tcW w:w="573" w:type="pct"/>
            <w:shd w:val="clear" w:color="auto" w:fill="auto"/>
            <w:vAlign w:val="center"/>
          </w:tcPr>
          <w:p w14:paraId="6E00998D">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-1698</w:t>
            </w:r>
          </w:p>
        </w:tc>
        <w:tc>
          <w:tcPr>
            <w:tcW w:w="948" w:type="pct"/>
            <w:gridSpan w:val="2"/>
            <w:shd w:val="clear" w:color="auto" w:fill="FFFFFF"/>
            <w:vAlign w:val="center"/>
          </w:tcPr>
          <w:p w14:paraId="578761CA">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恒晖花园</w:t>
            </w:r>
          </w:p>
        </w:tc>
        <w:tc>
          <w:tcPr>
            <w:tcW w:w="712" w:type="pct"/>
            <w:shd w:val="clear" w:color="auto" w:fill="FFFFFF"/>
            <w:vAlign w:val="center"/>
          </w:tcPr>
          <w:p w14:paraId="2B91BD7C">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居民区</w:t>
            </w:r>
          </w:p>
        </w:tc>
        <w:tc>
          <w:tcPr>
            <w:tcW w:w="426" w:type="pct"/>
            <w:shd w:val="clear" w:color="auto" w:fill="FFFFFF"/>
            <w:vAlign w:val="center"/>
          </w:tcPr>
          <w:p w14:paraId="79CCAE57">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rPr>
              <w:t>东南</w:t>
            </w:r>
          </w:p>
        </w:tc>
        <w:tc>
          <w:tcPr>
            <w:tcW w:w="461" w:type="pct"/>
            <w:shd w:val="clear" w:color="auto" w:fill="FFFFFF"/>
            <w:vAlign w:val="center"/>
          </w:tcPr>
          <w:p w14:paraId="6B59F009">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1500</w:t>
            </w:r>
          </w:p>
        </w:tc>
        <w:tc>
          <w:tcPr>
            <w:tcW w:w="426" w:type="pct"/>
            <w:shd w:val="clear" w:color="auto" w:fill="FFFFFF"/>
            <w:vAlign w:val="center"/>
          </w:tcPr>
          <w:p w14:paraId="15B30367">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2230</w:t>
            </w:r>
          </w:p>
        </w:tc>
        <w:tc>
          <w:tcPr>
            <w:tcW w:w="575" w:type="pct"/>
            <w:tcBorders>
              <w:right w:val="nil"/>
            </w:tcBorders>
            <w:shd w:val="clear" w:color="auto" w:fill="FFFFFF"/>
            <w:vAlign w:val="center"/>
          </w:tcPr>
          <w:p w14:paraId="4614BF95">
            <w:pPr>
              <w:pStyle w:val="59"/>
              <w:bidi w:val="0"/>
              <w:rPr>
                <w:rFonts w:hint="eastAsia"/>
                <w:b w:val="0"/>
                <w:color w:val="000000"/>
              </w:rPr>
            </w:pPr>
            <w:r>
              <w:rPr>
                <w:rFonts w:hint="eastAsia"/>
                <w:b w:val="0"/>
                <w:color w:val="000000"/>
                <w:lang w:val="en-US" w:eastAsia="zh-CN"/>
              </w:rPr>
              <w:t>大气、风险</w:t>
            </w:r>
          </w:p>
        </w:tc>
      </w:tr>
      <w:tr w14:paraId="402B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048FA0A4">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0027A2C4">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-35</w:t>
            </w:r>
          </w:p>
        </w:tc>
        <w:tc>
          <w:tcPr>
            <w:tcW w:w="573" w:type="pct"/>
            <w:shd w:val="clear" w:color="auto" w:fill="auto"/>
            <w:vAlign w:val="center"/>
          </w:tcPr>
          <w:p w14:paraId="29F95FD6">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-2368</w:t>
            </w:r>
          </w:p>
        </w:tc>
        <w:tc>
          <w:tcPr>
            <w:tcW w:w="948" w:type="pct"/>
            <w:gridSpan w:val="2"/>
            <w:shd w:val="clear" w:color="auto" w:fill="FFFFFF"/>
            <w:vAlign w:val="center"/>
          </w:tcPr>
          <w:p w14:paraId="467F8E5C">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莺朗村</w:t>
            </w:r>
          </w:p>
        </w:tc>
        <w:tc>
          <w:tcPr>
            <w:tcW w:w="712" w:type="pct"/>
            <w:shd w:val="clear" w:color="auto" w:fill="FFFFFF"/>
            <w:vAlign w:val="center"/>
          </w:tcPr>
          <w:p w14:paraId="1BB42EF8">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4615195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南</w:t>
            </w:r>
          </w:p>
        </w:tc>
        <w:tc>
          <w:tcPr>
            <w:tcW w:w="461" w:type="pct"/>
            <w:shd w:val="clear" w:color="auto" w:fill="FFFFFF"/>
            <w:vAlign w:val="center"/>
          </w:tcPr>
          <w:p w14:paraId="35E867A0">
            <w:pPr>
              <w:pStyle w:val="59"/>
              <w:keepNext w:val="0"/>
              <w:keepLines w:val="0"/>
              <w:suppressLineNumbers w:val="0"/>
              <w:bidi w:val="0"/>
              <w:spacing w:before="0" w:beforeAutospacing="0" w:after="0" w:afterAutospacing="0"/>
              <w:ind w:left="0" w:right="0"/>
              <w:rPr>
                <w:rFonts w:hint="eastAsia"/>
                <w:b w:val="0"/>
                <w:color w:val="000000"/>
              </w:rPr>
            </w:pPr>
            <w:r>
              <w:rPr>
                <w:rFonts w:hint="eastAsia"/>
                <w:b w:val="0"/>
                <w:color w:val="000000"/>
                <w:lang w:val="en-US" w:eastAsia="zh-CN"/>
              </w:rPr>
              <w:t>770</w:t>
            </w:r>
          </w:p>
        </w:tc>
        <w:tc>
          <w:tcPr>
            <w:tcW w:w="426" w:type="pct"/>
            <w:shd w:val="clear" w:color="auto" w:fill="FFFFFF"/>
            <w:vAlign w:val="center"/>
          </w:tcPr>
          <w:p w14:paraId="09FD03B7">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2450</w:t>
            </w:r>
          </w:p>
        </w:tc>
        <w:tc>
          <w:tcPr>
            <w:tcW w:w="575" w:type="pct"/>
            <w:tcBorders>
              <w:right w:val="nil"/>
            </w:tcBorders>
            <w:shd w:val="clear" w:color="auto" w:fill="FFFFFF"/>
            <w:vAlign w:val="center"/>
          </w:tcPr>
          <w:p w14:paraId="5D41358D">
            <w:pPr>
              <w:pStyle w:val="59"/>
              <w:bidi w:val="0"/>
              <w:rPr>
                <w:rFonts w:hint="default"/>
                <w:b w:val="0"/>
                <w:color w:val="000000"/>
                <w:lang w:val="en-US" w:eastAsia="zh-CN"/>
              </w:rPr>
            </w:pPr>
            <w:r>
              <w:rPr>
                <w:rFonts w:hint="eastAsia"/>
                <w:b w:val="0"/>
                <w:color w:val="000000"/>
                <w:lang w:val="en-US" w:eastAsia="zh-CN"/>
              </w:rPr>
              <w:t>大气、风险</w:t>
            </w:r>
          </w:p>
        </w:tc>
      </w:tr>
      <w:tr w14:paraId="1022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6E9E54D7">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0B4EF41B">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2626</w:t>
            </w:r>
          </w:p>
        </w:tc>
        <w:tc>
          <w:tcPr>
            <w:tcW w:w="573" w:type="pct"/>
            <w:shd w:val="clear" w:color="auto" w:fill="auto"/>
            <w:vAlign w:val="center"/>
          </w:tcPr>
          <w:p w14:paraId="7D53B1A6">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-1003</w:t>
            </w:r>
          </w:p>
        </w:tc>
        <w:tc>
          <w:tcPr>
            <w:tcW w:w="948" w:type="pct"/>
            <w:gridSpan w:val="2"/>
            <w:shd w:val="clear" w:color="auto" w:fill="FFFFFF"/>
            <w:vAlign w:val="center"/>
          </w:tcPr>
          <w:p w14:paraId="14A26412">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嘉悦名都</w:t>
            </w:r>
          </w:p>
        </w:tc>
        <w:tc>
          <w:tcPr>
            <w:tcW w:w="712" w:type="pct"/>
            <w:shd w:val="clear" w:color="auto" w:fill="FFFFFF"/>
            <w:vAlign w:val="center"/>
          </w:tcPr>
          <w:p w14:paraId="52721F34">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居民区</w:t>
            </w:r>
          </w:p>
        </w:tc>
        <w:tc>
          <w:tcPr>
            <w:tcW w:w="426" w:type="pct"/>
            <w:shd w:val="clear" w:color="auto" w:fill="FFFFFF"/>
            <w:vAlign w:val="center"/>
          </w:tcPr>
          <w:p w14:paraId="1FD08D24">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东</w:t>
            </w:r>
          </w:p>
        </w:tc>
        <w:tc>
          <w:tcPr>
            <w:tcW w:w="461" w:type="pct"/>
            <w:shd w:val="clear" w:color="auto" w:fill="FFFFFF"/>
            <w:vAlign w:val="center"/>
          </w:tcPr>
          <w:p w14:paraId="3168737B">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3000</w:t>
            </w:r>
          </w:p>
        </w:tc>
        <w:tc>
          <w:tcPr>
            <w:tcW w:w="426" w:type="pct"/>
            <w:shd w:val="clear" w:color="auto" w:fill="FFFFFF"/>
            <w:vAlign w:val="center"/>
          </w:tcPr>
          <w:p w14:paraId="14F6C9C5">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2580</w:t>
            </w:r>
          </w:p>
        </w:tc>
        <w:tc>
          <w:tcPr>
            <w:tcW w:w="575" w:type="pct"/>
            <w:tcBorders>
              <w:right w:val="nil"/>
            </w:tcBorders>
            <w:shd w:val="clear" w:color="auto" w:fill="FFFFFF"/>
            <w:vAlign w:val="center"/>
          </w:tcPr>
          <w:p w14:paraId="24A6F0D5">
            <w:pPr>
              <w:pStyle w:val="59"/>
              <w:bidi w:val="0"/>
              <w:rPr>
                <w:rFonts w:hint="eastAsia"/>
                <w:b w:val="0"/>
                <w:color w:val="000000"/>
              </w:rPr>
            </w:pPr>
            <w:r>
              <w:rPr>
                <w:rFonts w:hint="eastAsia"/>
                <w:b w:val="0"/>
                <w:color w:val="000000"/>
                <w:lang w:val="en-US" w:eastAsia="zh-CN"/>
              </w:rPr>
              <w:t>大气、风险</w:t>
            </w:r>
          </w:p>
        </w:tc>
      </w:tr>
      <w:tr w14:paraId="69CD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3D38E171">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06012C4A">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2643</w:t>
            </w:r>
          </w:p>
        </w:tc>
        <w:tc>
          <w:tcPr>
            <w:tcW w:w="573" w:type="pct"/>
            <w:shd w:val="clear" w:color="auto" w:fill="auto"/>
            <w:vAlign w:val="center"/>
          </w:tcPr>
          <w:p w14:paraId="7AD7B00B">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-1240</w:t>
            </w:r>
          </w:p>
        </w:tc>
        <w:tc>
          <w:tcPr>
            <w:tcW w:w="948" w:type="pct"/>
            <w:gridSpan w:val="2"/>
            <w:shd w:val="clear" w:color="auto" w:fill="FFFFFF"/>
            <w:vAlign w:val="center"/>
          </w:tcPr>
          <w:p w14:paraId="41DF4067">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default"/>
                <w:b w:val="0"/>
                <w:color w:val="000000"/>
              </w:rPr>
              <w:t>东升社区</w:t>
            </w:r>
          </w:p>
        </w:tc>
        <w:tc>
          <w:tcPr>
            <w:tcW w:w="712" w:type="pct"/>
            <w:shd w:val="clear" w:color="auto" w:fill="FFFFFF"/>
            <w:vAlign w:val="center"/>
          </w:tcPr>
          <w:p w14:paraId="0C6FF75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居民区</w:t>
            </w:r>
          </w:p>
        </w:tc>
        <w:tc>
          <w:tcPr>
            <w:tcW w:w="426" w:type="pct"/>
            <w:shd w:val="clear" w:color="auto" w:fill="FFFFFF"/>
            <w:vAlign w:val="center"/>
          </w:tcPr>
          <w:p w14:paraId="0F19493D">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东南</w:t>
            </w:r>
          </w:p>
        </w:tc>
        <w:tc>
          <w:tcPr>
            <w:tcW w:w="461" w:type="pct"/>
            <w:shd w:val="clear" w:color="auto" w:fill="FFFFFF"/>
            <w:vAlign w:val="center"/>
          </w:tcPr>
          <w:p w14:paraId="63F1206D">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15256</w:t>
            </w:r>
          </w:p>
        </w:tc>
        <w:tc>
          <w:tcPr>
            <w:tcW w:w="426" w:type="pct"/>
            <w:shd w:val="clear" w:color="auto" w:fill="FFFFFF"/>
            <w:vAlign w:val="center"/>
          </w:tcPr>
          <w:p w14:paraId="4FAB2645">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2778</w:t>
            </w:r>
          </w:p>
        </w:tc>
        <w:tc>
          <w:tcPr>
            <w:tcW w:w="575" w:type="pct"/>
            <w:tcBorders>
              <w:right w:val="nil"/>
            </w:tcBorders>
            <w:shd w:val="clear" w:color="auto" w:fill="FFFFFF"/>
            <w:vAlign w:val="center"/>
          </w:tcPr>
          <w:p w14:paraId="3AA08641">
            <w:pPr>
              <w:pStyle w:val="59"/>
              <w:bidi w:val="0"/>
              <w:rPr>
                <w:rFonts w:hint="eastAsia"/>
                <w:b w:val="0"/>
                <w:color w:val="000000"/>
              </w:rPr>
            </w:pPr>
            <w:r>
              <w:rPr>
                <w:rFonts w:hint="eastAsia"/>
                <w:b w:val="0"/>
                <w:color w:val="000000"/>
                <w:lang w:val="en-US" w:eastAsia="zh-CN"/>
              </w:rPr>
              <w:t>大气、风险</w:t>
            </w:r>
          </w:p>
        </w:tc>
      </w:tr>
      <w:tr w14:paraId="5BA3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3FF4B6C6">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70ECF4FB">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1881</w:t>
            </w:r>
          </w:p>
        </w:tc>
        <w:tc>
          <w:tcPr>
            <w:tcW w:w="573" w:type="pct"/>
            <w:shd w:val="clear" w:color="auto" w:fill="auto"/>
            <w:vAlign w:val="center"/>
          </w:tcPr>
          <w:p w14:paraId="55DB648C">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rPr>
              <w:t>-2241</w:t>
            </w:r>
          </w:p>
        </w:tc>
        <w:tc>
          <w:tcPr>
            <w:tcW w:w="948" w:type="pct"/>
            <w:gridSpan w:val="2"/>
            <w:shd w:val="clear" w:color="auto" w:fill="FFFFFF"/>
            <w:vAlign w:val="center"/>
          </w:tcPr>
          <w:p w14:paraId="7F3A839C">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义学社区</w:t>
            </w:r>
          </w:p>
        </w:tc>
        <w:tc>
          <w:tcPr>
            <w:tcW w:w="712" w:type="pct"/>
            <w:shd w:val="clear" w:color="auto" w:fill="FFFFFF"/>
            <w:vAlign w:val="center"/>
          </w:tcPr>
          <w:p w14:paraId="3FB9E08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居民区</w:t>
            </w:r>
          </w:p>
        </w:tc>
        <w:tc>
          <w:tcPr>
            <w:tcW w:w="426" w:type="pct"/>
            <w:shd w:val="clear" w:color="auto" w:fill="FFFFFF"/>
            <w:vAlign w:val="center"/>
          </w:tcPr>
          <w:p w14:paraId="5FA774B8">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东南</w:t>
            </w:r>
          </w:p>
        </w:tc>
        <w:tc>
          <w:tcPr>
            <w:tcW w:w="461" w:type="pct"/>
            <w:shd w:val="clear" w:color="auto" w:fill="FFFFFF"/>
            <w:vAlign w:val="center"/>
          </w:tcPr>
          <w:p w14:paraId="5FA5108D">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12208</w:t>
            </w:r>
          </w:p>
        </w:tc>
        <w:tc>
          <w:tcPr>
            <w:tcW w:w="426" w:type="pct"/>
            <w:shd w:val="clear" w:color="auto" w:fill="FFFFFF"/>
            <w:vAlign w:val="center"/>
          </w:tcPr>
          <w:p w14:paraId="5A2740B1">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3000</w:t>
            </w:r>
          </w:p>
        </w:tc>
        <w:tc>
          <w:tcPr>
            <w:tcW w:w="575" w:type="pct"/>
            <w:tcBorders>
              <w:right w:val="nil"/>
            </w:tcBorders>
            <w:shd w:val="clear" w:color="auto" w:fill="FFFFFF"/>
            <w:vAlign w:val="center"/>
          </w:tcPr>
          <w:p w14:paraId="60E88D6E">
            <w:pPr>
              <w:pStyle w:val="59"/>
              <w:bidi w:val="0"/>
              <w:rPr>
                <w:rFonts w:hint="eastAsia"/>
                <w:b w:val="0"/>
                <w:color w:val="000000"/>
              </w:rPr>
            </w:pPr>
            <w:r>
              <w:rPr>
                <w:rFonts w:hint="eastAsia"/>
                <w:b w:val="0"/>
                <w:color w:val="000000"/>
                <w:lang w:val="en-US" w:eastAsia="zh-CN"/>
              </w:rPr>
              <w:t>大气、风险</w:t>
            </w:r>
          </w:p>
        </w:tc>
      </w:tr>
      <w:tr w14:paraId="561A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0C64A428">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32BDF787">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330</w:t>
            </w:r>
          </w:p>
        </w:tc>
        <w:tc>
          <w:tcPr>
            <w:tcW w:w="573" w:type="pct"/>
            <w:shd w:val="clear" w:color="auto" w:fill="auto"/>
            <w:vAlign w:val="center"/>
          </w:tcPr>
          <w:p w14:paraId="5B92A540">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rPr>
              <w:t>-2876</w:t>
            </w:r>
          </w:p>
        </w:tc>
        <w:tc>
          <w:tcPr>
            <w:tcW w:w="948" w:type="pct"/>
            <w:gridSpan w:val="2"/>
            <w:shd w:val="clear" w:color="auto" w:fill="FFFFFF"/>
            <w:vAlign w:val="center"/>
          </w:tcPr>
          <w:p w14:paraId="5D74DB70">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default"/>
                <w:b w:val="0"/>
                <w:color w:val="000000"/>
              </w:rPr>
              <w:t>镇南村</w:t>
            </w:r>
          </w:p>
        </w:tc>
        <w:tc>
          <w:tcPr>
            <w:tcW w:w="712" w:type="pct"/>
            <w:shd w:val="clear" w:color="auto" w:fill="FFFFFF"/>
            <w:vAlign w:val="center"/>
          </w:tcPr>
          <w:p w14:paraId="6544C63C">
            <w:pPr>
              <w:pStyle w:val="59"/>
              <w:keepNext w:val="0"/>
              <w:keepLines w:val="0"/>
              <w:suppressLineNumbers w:val="0"/>
              <w:bidi w:val="0"/>
              <w:spacing w:before="0" w:beforeAutospacing="0" w:after="0" w:afterAutospacing="0"/>
              <w:ind w:left="0" w:right="0"/>
              <w:rPr>
                <w:rFonts w:hint="eastAsia"/>
                <w:b w:val="0"/>
                <w:color w:val="000000"/>
                <w:lang w:val="en-US" w:eastAsia="zh-CN"/>
              </w:rPr>
            </w:pPr>
            <w:r>
              <w:rPr>
                <w:rFonts w:hint="eastAsia"/>
                <w:b w:val="0"/>
                <w:color w:val="000000"/>
                <w:lang w:val="en-US" w:eastAsia="zh-CN"/>
              </w:rPr>
              <w:t>行政村</w:t>
            </w:r>
          </w:p>
        </w:tc>
        <w:tc>
          <w:tcPr>
            <w:tcW w:w="426" w:type="pct"/>
            <w:shd w:val="clear" w:color="auto" w:fill="FFFFFF"/>
            <w:vAlign w:val="center"/>
          </w:tcPr>
          <w:p w14:paraId="42E8DB4F">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东南</w:t>
            </w:r>
          </w:p>
        </w:tc>
        <w:tc>
          <w:tcPr>
            <w:tcW w:w="461" w:type="pct"/>
            <w:shd w:val="clear" w:color="auto" w:fill="FFFFFF"/>
            <w:vAlign w:val="center"/>
          </w:tcPr>
          <w:p w14:paraId="21BA5F4A">
            <w:pPr>
              <w:pStyle w:val="59"/>
              <w:keepNext w:val="0"/>
              <w:keepLines w:val="0"/>
              <w:suppressLineNumbers w:val="0"/>
              <w:bidi w:val="0"/>
              <w:spacing w:before="0" w:beforeAutospacing="0" w:after="0" w:afterAutospacing="0"/>
              <w:ind w:left="0" w:right="0"/>
              <w:rPr>
                <w:rFonts w:hint="default" w:eastAsia="宋体"/>
                <w:b w:val="0"/>
                <w:color w:val="000000"/>
                <w:lang w:val="en-US" w:eastAsia="zh-CN"/>
              </w:rPr>
            </w:pPr>
            <w:r>
              <w:rPr>
                <w:rFonts w:hint="eastAsia"/>
                <w:b w:val="0"/>
                <w:color w:val="000000"/>
                <w:lang w:val="en-US" w:eastAsia="zh-CN"/>
              </w:rPr>
              <w:t>2400</w:t>
            </w:r>
          </w:p>
        </w:tc>
        <w:tc>
          <w:tcPr>
            <w:tcW w:w="426" w:type="pct"/>
            <w:shd w:val="clear" w:color="auto" w:fill="FFFFFF"/>
            <w:vAlign w:val="center"/>
          </w:tcPr>
          <w:p w14:paraId="389B1543">
            <w:pPr>
              <w:pStyle w:val="59"/>
              <w:keepNext w:val="0"/>
              <w:keepLines w:val="0"/>
              <w:suppressLineNumbers w:val="0"/>
              <w:bidi w:val="0"/>
              <w:spacing w:before="0" w:beforeAutospacing="0" w:after="0" w:afterAutospacing="0"/>
              <w:ind w:left="0" w:right="0"/>
              <w:rPr>
                <w:rFonts w:hint="default"/>
                <w:b w:val="0"/>
                <w:color w:val="000000"/>
                <w:lang w:val="en-US" w:eastAsia="zh-CN"/>
              </w:rPr>
            </w:pPr>
            <w:r>
              <w:rPr>
                <w:rFonts w:hint="eastAsia"/>
                <w:b w:val="0"/>
                <w:color w:val="000000"/>
                <w:lang w:val="en-US" w:eastAsia="zh-CN"/>
              </w:rPr>
              <w:t>3000</w:t>
            </w:r>
          </w:p>
        </w:tc>
        <w:tc>
          <w:tcPr>
            <w:tcW w:w="575" w:type="pct"/>
            <w:tcBorders>
              <w:right w:val="nil"/>
            </w:tcBorders>
            <w:shd w:val="clear" w:color="auto" w:fill="FFFFFF"/>
            <w:vAlign w:val="center"/>
          </w:tcPr>
          <w:p w14:paraId="0F81D689">
            <w:pPr>
              <w:pStyle w:val="59"/>
              <w:bidi w:val="0"/>
              <w:rPr>
                <w:rFonts w:hint="eastAsia"/>
                <w:b w:val="0"/>
                <w:color w:val="000000"/>
                <w:lang w:val="en-US" w:eastAsia="zh-CN"/>
              </w:rPr>
            </w:pPr>
            <w:r>
              <w:rPr>
                <w:rFonts w:hint="eastAsia"/>
                <w:b w:val="0"/>
                <w:color w:val="000000"/>
                <w:lang w:val="en-US" w:eastAsia="zh-CN"/>
              </w:rPr>
              <w:t>大气、风险</w:t>
            </w:r>
          </w:p>
        </w:tc>
      </w:tr>
      <w:tr w14:paraId="2F5A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409D5D37">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48C4758D">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2830</w:t>
            </w:r>
          </w:p>
        </w:tc>
        <w:tc>
          <w:tcPr>
            <w:tcW w:w="573" w:type="pct"/>
            <w:shd w:val="clear" w:color="auto" w:fill="auto"/>
            <w:vAlign w:val="center"/>
          </w:tcPr>
          <w:p w14:paraId="5276D943">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-1088</w:t>
            </w:r>
          </w:p>
        </w:tc>
        <w:tc>
          <w:tcPr>
            <w:tcW w:w="948" w:type="pct"/>
            <w:gridSpan w:val="2"/>
            <w:shd w:val="clear" w:color="auto" w:fill="FFFFFF"/>
            <w:vAlign w:val="center"/>
          </w:tcPr>
          <w:p w14:paraId="737F13D6">
            <w:pPr>
              <w:pStyle w:val="59"/>
              <w:keepNext w:val="0"/>
              <w:keepLines w:val="0"/>
              <w:suppressLineNumbers w:val="0"/>
              <w:bidi w:val="0"/>
              <w:spacing w:before="0" w:beforeAutospacing="0" w:after="0" w:afterAutospacing="0"/>
              <w:ind w:left="0" w:right="0"/>
              <w:rPr>
                <w:rFonts w:hint="eastAsia"/>
                <w:b w:val="0"/>
                <w:color w:val="auto"/>
                <w:lang w:val="en-US" w:eastAsia="zh-CN"/>
              </w:rPr>
            </w:pPr>
            <w:r>
              <w:rPr>
                <w:rFonts w:hint="eastAsia"/>
                <w:b w:val="0"/>
                <w:color w:val="auto"/>
                <w:lang w:val="en-US" w:eastAsia="zh-CN"/>
              </w:rPr>
              <w:t>尚城雅苑</w:t>
            </w:r>
          </w:p>
        </w:tc>
        <w:tc>
          <w:tcPr>
            <w:tcW w:w="712" w:type="pct"/>
            <w:shd w:val="clear" w:color="auto" w:fill="FFFFFF"/>
            <w:vAlign w:val="center"/>
          </w:tcPr>
          <w:p w14:paraId="7848BAAC">
            <w:pPr>
              <w:pStyle w:val="59"/>
              <w:keepNext w:val="0"/>
              <w:keepLines w:val="0"/>
              <w:suppressLineNumbers w:val="0"/>
              <w:bidi w:val="0"/>
              <w:spacing w:before="0" w:beforeAutospacing="0" w:after="0" w:afterAutospacing="0"/>
              <w:ind w:left="0" w:right="0"/>
              <w:rPr>
                <w:rFonts w:hint="eastAsia"/>
                <w:b w:val="0"/>
                <w:color w:val="auto"/>
                <w:lang w:val="en-US" w:eastAsia="zh-CN"/>
              </w:rPr>
            </w:pPr>
            <w:r>
              <w:rPr>
                <w:rFonts w:hint="eastAsia"/>
                <w:b w:val="0"/>
                <w:color w:val="auto"/>
                <w:lang w:val="en-US" w:eastAsia="zh-CN"/>
              </w:rPr>
              <w:t>居民区</w:t>
            </w:r>
          </w:p>
        </w:tc>
        <w:tc>
          <w:tcPr>
            <w:tcW w:w="426" w:type="pct"/>
            <w:shd w:val="clear" w:color="auto" w:fill="FFFFFF"/>
            <w:vAlign w:val="center"/>
          </w:tcPr>
          <w:p w14:paraId="3A3160DC">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东</w:t>
            </w:r>
          </w:p>
        </w:tc>
        <w:tc>
          <w:tcPr>
            <w:tcW w:w="461" w:type="pct"/>
            <w:shd w:val="clear" w:color="auto" w:fill="FFFFFF"/>
            <w:vAlign w:val="center"/>
          </w:tcPr>
          <w:p w14:paraId="4B248D75">
            <w:pPr>
              <w:pStyle w:val="59"/>
              <w:keepNext w:val="0"/>
              <w:keepLines w:val="0"/>
              <w:suppressLineNumbers w:val="0"/>
              <w:bidi w:val="0"/>
              <w:spacing w:before="0" w:beforeAutospacing="0" w:after="0" w:afterAutospacing="0"/>
              <w:ind w:left="0" w:right="0"/>
              <w:rPr>
                <w:rFonts w:hint="default" w:eastAsia="宋体"/>
                <w:b w:val="0"/>
                <w:color w:val="auto"/>
                <w:lang w:val="en-US" w:eastAsia="zh-CN"/>
              </w:rPr>
            </w:pPr>
            <w:r>
              <w:rPr>
                <w:rFonts w:hint="eastAsia"/>
                <w:b w:val="0"/>
                <w:color w:val="auto"/>
                <w:lang w:val="en-US" w:eastAsia="zh-CN"/>
              </w:rPr>
              <w:t>1500</w:t>
            </w:r>
          </w:p>
        </w:tc>
        <w:tc>
          <w:tcPr>
            <w:tcW w:w="426" w:type="pct"/>
            <w:shd w:val="clear" w:color="auto" w:fill="FFFFFF"/>
            <w:vAlign w:val="center"/>
          </w:tcPr>
          <w:p w14:paraId="35FEAF32">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2840</w:t>
            </w:r>
          </w:p>
        </w:tc>
        <w:tc>
          <w:tcPr>
            <w:tcW w:w="575" w:type="pct"/>
            <w:tcBorders>
              <w:right w:val="nil"/>
            </w:tcBorders>
            <w:shd w:val="clear" w:color="auto" w:fill="FFFFFF"/>
            <w:vAlign w:val="center"/>
          </w:tcPr>
          <w:p w14:paraId="12621BFA">
            <w:pPr>
              <w:pStyle w:val="59"/>
              <w:bidi w:val="0"/>
              <w:rPr>
                <w:rFonts w:hint="default"/>
                <w:b w:val="0"/>
                <w:color w:val="auto"/>
              </w:rPr>
            </w:pPr>
            <w:r>
              <w:rPr>
                <w:rFonts w:hint="eastAsia"/>
                <w:b w:val="0"/>
                <w:color w:val="auto"/>
                <w:lang w:val="en-US" w:eastAsia="zh-CN"/>
              </w:rPr>
              <w:t>大气、风险</w:t>
            </w:r>
          </w:p>
        </w:tc>
      </w:tr>
      <w:tr w14:paraId="1370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72ED8090">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5A791421">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-2170</w:t>
            </w:r>
          </w:p>
        </w:tc>
        <w:tc>
          <w:tcPr>
            <w:tcW w:w="573" w:type="pct"/>
            <w:shd w:val="clear" w:color="auto" w:fill="auto"/>
            <w:vAlign w:val="center"/>
          </w:tcPr>
          <w:p w14:paraId="581778AD">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-2419</w:t>
            </w:r>
          </w:p>
        </w:tc>
        <w:tc>
          <w:tcPr>
            <w:tcW w:w="948" w:type="pct"/>
            <w:gridSpan w:val="2"/>
            <w:shd w:val="clear" w:color="auto" w:fill="FFFFFF"/>
            <w:vAlign w:val="center"/>
          </w:tcPr>
          <w:p w14:paraId="59751383">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青文村</w:t>
            </w:r>
          </w:p>
        </w:tc>
        <w:tc>
          <w:tcPr>
            <w:tcW w:w="712" w:type="pct"/>
            <w:shd w:val="clear" w:color="auto" w:fill="FFFFFF"/>
            <w:vAlign w:val="center"/>
          </w:tcPr>
          <w:p w14:paraId="5A737267">
            <w:pPr>
              <w:pStyle w:val="59"/>
              <w:keepNext w:val="0"/>
              <w:keepLines w:val="0"/>
              <w:suppressLineNumbers w:val="0"/>
              <w:bidi w:val="0"/>
              <w:spacing w:before="0" w:beforeAutospacing="0" w:after="0" w:afterAutospacing="0"/>
              <w:ind w:left="0" w:right="0"/>
              <w:rPr>
                <w:rFonts w:hint="eastAsia"/>
                <w:b w:val="0"/>
                <w:color w:val="auto"/>
                <w:lang w:val="en-US" w:eastAsia="zh-CN"/>
              </w:rPr>
            </w:pPr>
            <w:r>
              <w:rPr>
                <w:rFonts w:hint="eastAsia"/>
                <w:b w:val="0"/>
                <w:color w:val="auto"/>
                <w:lang w:val="en-US" w:eastAsia="zh-CN"/>
              </w:rPr>
              <w:t>行政村</w:t>
            </w:r>
          </w:p>
        </w:tc>
        <w:tc>
          <w:tcPr>
            <w:tcW w:w="426" w:type="pct"/>
            <w:shd w:val="clear" w:color="auto" w:fill="FFFFFF"/>
            <w:vAlign w:val="center"/>
          </w:tcPr>
          <w:p w14:paraId="55EF7D2F">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西南</w:t>
            </w:r>
          </w:p>
        </w:tc>
        <w:tc>
          <w:tcPr>
            <w:tcW w:w="461" w:type="pct"/>
            <w:shd w:val="clear" w:color="auto" w:fill="FFFFFF"/>
            <w:vAlign w:val="center"/>
          </w:tcPr>
          <w:p w14:paraId="1908FEB3">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2308</w:t>
            </w:r>
          </w:p>
        </w:tc>
        <w:tc>
          <w:tcPr>
            <w:tcW w:w="426" w:type="pct"/>
            <w:shd w:val="clear" w:color="auto" w:fill="FFFFFF"/>
            <w:vAlign w:val="center"/>
          </w:tcPr>
          <w:p w14:paraId="778FCE0B">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3295</w:t>
            </w:r>
          </w:p>
        </w:tc>
        <w:tc>
          <w:tcPr>
            <w:tcW w:w="575" w:type="pct"/>
            <w:tcBorders>
              <w:right w:val="nil"/>
            </w:tcBorders>
            <w:shd w:val="clear" w:color="auto" w:fill="FFFFFF"/>
            <w:vAlign w:val="center"/>
          </w:tcPr>
          <w:p w14:paraId="6C2FA6DE">
            <w:pPr>
              <w:pStyle w:val="59"/>
              <w:bidi w:val="0"/>
              <w:rPr>
                <w:rFonts w:hint="eastAsia"/>
                <w:b w:val="0"/>
                <w:color w:val="auto"/>
                <w:lang w:val="en-US" w:eastAsia="zh-CN"/>
              </w:rPr>
            </w:pPr>
            <w:r>
              <w:rPr>
                <w:rFonts w:hint="eastAsia"/>
                <w:b w:val="0"/>
                <w:color w:val="auto"/>
                <w:lang w:val="en-US" w:eastAsia="zh-CN"/>
              </w:rPr>
              <w:t>大气、风险</w:t>
            </w:r>
          </w:p>
        </w:tc>
      </w:tr>
      <w:tr w14:paraId="015B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tcBorders>
            <w:shd w:val="clear" w:color="auto" w:fill="FFFFFF"/>
            <w:vAlign w:val="center"/>
          </w:tcPr>
          <w:p w14:paraId="1ED73D5F">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shd w:val="clear" w:color="auto" w:fill="auto"/>
            <w:vAlign w:val="center"/>
          </w:tcPr>
          <w:p w14:paraId="2A7E9248">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2457</w:t>
            </w:r>
          </w:p>
        </w:tc>
        <w:tc>
          <w:tcPr>
            <w:tcW w:w="573" w:type="pct"/>
            <w:shd w:val="clear" w:color="auto" w:fill="auto"/>
            <w:vAlign w:val="center"/>
          </w:tcPr>
          <w:p w14:paraId="559DD59A">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-1003</w:t>
            </w:r>
          </w:p>
        </w:tc>
        <w:tc>
          <w:tcPr>
            <w:tcW w:w="948" w:type="pct"/>
            <w:gridSpan w:val="2"/>
            <w:shd w:val="clear" w:color="auto" w:fill="FFFFFF"/>
            <w:vAlign w:val="center"/>
          </w:tcPr>
          <w:p w14:paraId="03BBBA03">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华景轩</w:t>
            </w:r>
          </w:p>
        </w:tc>
        <w:tc>
          <w:tcPr>
            <w:tcW w:w="712" w:type="pct"/>
            <w:shd w:val="clear" w:color="auto" w:fill="FFFFFF"/>
            <w:vAlign w:val="center"/>
          </w:tcPr>
          <w:p w14:paraId="01377DBB">
            <w:pPr>
              <w:pStyle w:val="59"/>
              <w:keepNext w:val="0"/>
              <w:keepLines w:val="0"/>
              <w:suppressLineNumbers w:val="0"/>
              <w:bidi w:val="0"/>
              <w:spacing w:before="0" w:beforeAutospacing="0" w:after="0" w:afterAutospacing="0"/>
              <w:ind w:left="0" w:right="0"/>
              <w:rPr>
                <w:rFonts w:hint="eastAsia"/>
                <w:b w:val="0"/>
                <w:color w:val="auto"/>
                <w:lang w:val="en-US" w:eastAsia="zh-CN"/>
              </w:rPr>
            </w:pPr>
            <w:r>
              <w:rPr>
                <w:rFonts w:hint="eastAsia"/>
                <w:b w:val="0"/>
                <w:color w:val="auto"/>
                <w:lang w:val="en-US" w:eastAsia="zh-CN"/>
              </w:rPr>
              <w:t>居民区</w:t>
            </w:r>
          </w:p>
        </w:tc>
        <w:tc>
          <w:tcPr>
            <w:tcW w:w="426" w:type="pct"/>
            <w:shd w:val="clear" w:color="auto" w:fill="FFFFFF"/>
            <w:vAlign w:val="center"/>
          </w:tcPr>
          <w:p w14:paraId="3D990E8F">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东</w:t>
            </w:r>
          </w:p>
        </w:tc>
        <w:tc>
          <w:tcPr>
            <w:tcW w:w="461" w:type="pct"/>
            <w:shd w:val="clear" w:color="auto" w:fill="FFFFFF"/>
            <w:vAlign w:val="center"/>
          </w:tcPr>
          <w:p w14:paraId="22FF573E">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1500</w:t>
            </w:r>
          </w:p>
        </w:tc>
        <w:tc>
          <w:tcPr>
            <w:tcW w:w="426" w:type="pct"/>
            <w:shd w:val="clear" w:color="auto" w:fill="FFFFFF"/>
            <w:vAlign w:val="center"/>
          </w:tcPr>
          <w:p w14:paraId="26DF7EA9">
            <w:pPr>
              <w:pStyle w:val="59"/>
              <w:keepNext w:val="0"/>
              <w:keepLines w:val="0"/>
              <w:suppressLineNumbers w:val="0"/>
              <w:bidi w:val="0"/>
              <w:spacing w:before="0" w:beforeAutospacing="0" w:after="0" w:afterAutospacing="0"/>
              <w:ind w:left="0" w:right="0"/>
              <w:rPr>
                <w:rFonts w:hint="default"/>
                <w:b w:val="0"/>
                <w:color w:val="auto"/>
                <w:lang w:val="en-US" w:eastAsia="zh-CN"/>
              </w:rPr>
            </w:pPr>
            <w:r>
              <w:rPr>
                <w:rFonts w:hint="eastAsia"/>
                <w:b w:val="0"/>
                <w:color w:val="auto"/>
                <w:lang w:val="en-US" w:eastAsia="zh-CN"/>
              </w:rPr>
              <w:t>2550</w:t>
            </w:r>
          </w:p>
        </w:tc>
        <w:tc>
          <w:tcPr>
            <w:tcW w:w="575" w:type="pct"/>
            <w:tcBorders>
              <w:right w:val="nil"/>
            </w:tcBorders>
            <w:shd w:val="clear" w:color="auto" w:fill="FFFFFF"/>
            <w:vAlign w:val="center"/>
          </w:tcPr>
          <w:p w14:paraId="66114FAC">
            <w:pPr>
              <w:pStyle w:val="59"/>
              <w:bidi w:val="0"/>
              <w:rPr>
                <w:rFonts w:hint="eastAsia"/>
                <w:b w:val="0"/>
                <w:color w:val="auto"/>
                <w:lang w:val="en-US" w:eastAsia="zh-CN"/>
              </w:rPr>
            </w:pPr>
            <w:r>
              <w:rPr>
                <w:rFonts w:hint="eastAsia"/>
                <w:b w:val="0"/>
                <w:color w:val="auto"/>
                <w:lang w:val="en-US" w:eastAsia="zh-CN"/>
              </w:rPr>
              <w:t>大气、风险</w:t>
            </w:r>
          </w:p>
        </w:tc>
      </w:tr>
      <w:tr w14:paraId="5B4C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left w:val="nil"/>
              <w:bottom w:val="single" w:color="auto" w:sz="4" w:space="0"/>
            </w:tcBorders>
            <w:shd w:val="clear" w:color="auto" w:fill="FFFFFF"/>
            <w:vAlign w:val="center"/>
          </w:tcPr>
          <w:p w14:paraId="2691FB50">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tcBorders>
              <w:bottom w:val="single" w:color="auto" w:sz="4" w:space="0"/>
            </w:tcBorders>
            <w:shd w:val="clear" w:color="auto" w:fill="FFFFFF"/>
            <w:vAlign w:val="center"/>
          </w:tcPr>
          <w:p w14:paraId="0170CB3A">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573" w:type="pct"/>
            <w:tcBorders>
              <w:bottom w:val="single" w:color="auto" w:sz="4" w:space="0"/>
            </w:tcBorders>
            <w:shd w:val="clear" w:color="auto" w:fill="FFFFFF"/>
            <w:vAlign w:val="center"/>
          </w:tcPr>
          <w:p w14:paraId="5D7981A5">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948" w:type="pct"/>
            <w:gridSpan w:val="2"/>
            <w:shd w:val="clear" w:color="auto" w:fill="FFFFFF"/>
            <w:vAlign w:val="center"/>
          </w:tcPr>
          <w:p w14:paraId="505419B2">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龙口河</w:t>
            </w:r>
          </w:p>
        </w:tc>
        <w:tc>
          <w:tcPr>
            <w:tcW w:w="712" w:type="pct"/>
            <w:shd w:val="clear" w:color="auto" w:fill="FFFFFF"/>
            <w:vAlign w:val="center"/>
          </w:tcPr>
          <w:p w14:paraId="737C7C70">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河流</w:t>
            </w:r>
          </w:p>
        </w:tc>
        <w:tc>
          <w:tcPr>
            <w:tcW w:w="426" w:type="pct"/>
            <w:shd w:val="clear" w:color="auto" w:fill="FFFFFF"/>
            <w:vAlign w:val="center"/>
          </w:tcPr>
          <w:p w14:paraId="2310116A">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西南</w:t>
            </w:r>
          </w:p>
        </w:tc>
        <w:tc>
          <w:tcPr>
            <w:tcW w:w="461" w:type="pct"/>
            <w:shd w:val="clear" w:color="auto" w:fill="FFFFFF"/>
            <w:vAlign w:val="center"/>
          </w:tcPr>
          <w:p w14:paraId="735FF693">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w:t>
            </w:r>
          </w:p>
        </w:tc>
        <w:tc>
          <w:tcPr>
            <w:tcW w:w="426" w:type="pct"/>
            <w:shd w:val="clear" w:color="auto" w:fill="FFFFFF"/>
            <w:vAlign w:val="center"/>
          </w:tcPr>
          <w:p w14:paraId="7E5C2093">
            <w:pPr>
              <w:pStyle w:val="59"/>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auto"/>
                <w:kern w:val="2"/>
                <w:sz w:val="21"/>
                <w:szCs w:val="24"/>
                <w:lang w:val="en-US" w:eastAsia="zh-CN" w:bidi="ar-SA"/>
              </w:rPr>
            </w:pPr>
            <w:r>
              <w:rPr>
                <w:rFonts w:hint="eastAsia" w:eastAsia="宋体"/>
                <w:b w:val="0"/>
                <w:color w:val="auto"/>
                <w:lang w:val="en-US" w:eastAsia="zh-CN"/>
              </w:rPr>
              <w:t>1330</w:t>
            </w:r>
          </w:p>
        </w:tc>
        <w:tc>
          <w:tcPr>
            <w:tcW w:w="575" w:type="pct"/>
            <w:tcBorders>
              <w:right w:val="nil"/>
            </w:tcBorders>
            <w:shd w:val="clear" w:color="auto" w:fill="FFFFFF"/>
            <w:vAlign w:val="center"/>
          </w:tcPr>
          <w:p w14:paraId="24D52826">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highlight w:val="none"/>
                <w:lang w:val="en-US" w:eastAsia="zh-CN"/>
              </w:rPr>
              <w:t>地表水</w:t>
            </w:r>
          </w:p>
        </w:tc>
      </w:tr>
      <w:tr w14:paraId="121F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top w:val="single" w:color="auto" w:sz="4" w:space="0"/>
              <w:left w:val="nil"/>
              <w:bottom w:val="single" w:color="auto" w:sz="4" w:space="0"/>
            </w:tcBorders>
            <w:shd w:val="clear" w:color="auto" w:fill="FFFFFF"/>
            <w:vAlign w:val="center"/>
          </w:tcPr>
          <w:p w14:paraId="370D2138">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tcBorders>
              <w:top w:val="single" w:color="auto" w:sz="4" w:space="0"/>
              <w:bottom w:val="single" w:color="auto" w:sz="4" w:space="0"/>
            </w:tcBorders>
            <w:shd w:val="clear" w:color="auto" w:fill="FFFFFF"/>
            <w:vAlign w:val="center"/>
          </w:tcPr>
          <w:p w14:paraId="20E9676F">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573" w:type="pct"/>
            <w:tcBorders>
              <w:top w:val="single" w:color="auto" w:sz="4" w:space="0"/>
              <w:bottom w:val="single" w:color="auto" w:sz="4" w:space="0"/>
            </w:tcBorders>
            <w:shd w:val="clear" w:color="auto" w:fill="FFFFFF"/>
            <w:vAlign w:val="center"/>
          </w:tcPr>
          <w:p w14:paraId="2D9CCBAF">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948" w:type="pct"/>
            <w:gridSpan w:val="2"/>
            <w:shd w:val="clear" w:color="auto" w:fill="FFFFFF"/>
            <w:vAlign w:val="center"/>
          </w:tcPr>
          <w:p w14:paraId="6B1117A8">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沙坪河</w:t>
            </w:r>
          </w:p>
        </w:tc>
        <w:tc>
          <w:tcPr>
            <w:tcW w:w="712" w:type="pct"/>
            <w:shd w:val="clear" w:color="auto" w:fill="FFFFFF"/>
            <w:vAlign w:val="center"/>
          </w:tcPr>
          <w:p w14:paraId="03582CFA">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河流</w:t>
            </w:r>
          </w:p>
        </w:tc>
        <w:tc>
          <w:tcPr>
            <w:tcW w:w="426" w:type="pct"/>
            <w:shd w:val="clear" w:color="auto" w:fill="FFFFFF"/>
            <w:vAlign w:val="center"/>
          </w:tcPr>
          <w:p w14:paraId="0080C6C8">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南</w:t>
            </w:r>
          </w:p>
        </w:tc>
        <w:tc>
          <w:tcPr>
            <w:tcW w:w="461" w:type="pct"/>
            <w:shd w:val="clear" w:color="auto" w:fill="FFFFFF"/>
            <w:vAlign w:val="center"/>
          </w:tcPr>
          <w:p w14:paraId="743E8660">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w:t>
            </w:r>
          </w:p>
        </w:tc>
        <w:tc>
          <w:tcPr>
            <w:tcW w:w="426" w:type="pct"/>
            <w:shd w:val="clear" w:color="auto" w:fill="FFFFFF"/>
            <w:vAlign w:val="center"/>
          </w:tcPr>
          <w:p w14:paraId="5663C1D5">
            <w:pPr>
              <w:pStyle w:val="59"/>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auto"/>
                <w:kern w:val="2"/>
                <w:sz w:val="21"/>
                <w:szCs w:val="24"/>
                <w:lang w:val="en-US" w:eastAsia="zh-CN" w:bidi="ar-SA"/>
              </w:rPr>
            </w:pPr>
            <w:r>
              <w:rPr>
                <w:rFonts w:hint="eastAsia"/>
                <w:b w:val="0"/>
                <w:color w:val="auto"/>
                <w:lang w:val="en-US" w:eastAsia="zh-CN"/>
              </w:rPr>
              <w:t>1200</w:t>
            </w:r>
          </w:p>
        </w:tc>
        <w:tc>
          <w:tcPr>
            <w:tcW w:w="575" w:type="pct"/>
            <w:tcBorders>
              <w:right w:val="nil"/>
            </w:tcBorders>
            <w:shd w:val="clear" w:color="auto" w:fill="FFFFFF"/>
            <w:vAlign w:val="center"/>
          </w:tcPr>
          <w:p w14:paraId="47E4E7CD">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highlight w:val="none"/>
                <w:lang w:val="en-US" w:eastAsia="zh-CN"/>
              </w:rPr>
              <w:t>地表水</w:t>
            </w:r>
          </w:p>
        </w:tc>
      </w:tr>
      <w:tr w14:paraId="0EB6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top w:val="single" w:color="auto" w:sz="4" w:space="0"/>
              <w:left w:val="nil"/>
              <w:bottom w:val="single" w:color="auto" w:sz="4" w:space="0"/>
            </w:tcBorders>
            <w:shd w:val="clear" w:color="auto" w:fill="FFFFFF"/>
            <w:vAlign w:val="center"/>
          </w:tcPr>
          <w:p w14:paraId="0B2D76D9">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tcBorders>
              <w:top w:val="single" w:color="auto" w:sz="4" w:space="0"/>
              <w:bottom w:val="single" w:color="auto" w:sz="4" w:space="0"/>
            </w:tcBorders>
            <w:shd w:val="clear" w:color="auto" w:fill="FFFFFF"/>
            <w:vAlign w:val="center"/>
          </w:tcPr>
          <w:p w14:paraId="53145279">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573" w:type="pct"/>
            <w:tcBorders>
              <w:top w:val="single" w:color="auto" w:sz="4" w:space="0"/>
              <w:bottom w:val="single" w:color="auto" w:sz="4" w:space="0"/>
            </w:tcBorders>
            <w:shd w:val="clear" w:color="auto" w:fill="FFFFFF"/>
            <w:vAlign w:val="center"/>
          </w:tcPr>
          <w:p w14:paraId="2D20D9AF">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948" w:type="pct"/>
            <w:gridSpan w:val="2"/>
            <w:shd w:val="clear" w:color="auto" w:fill="FFFFFF"/>
            <w:vAlign w:val="center"/>
          </w:tcPr>
          <w:p w14:paraId="05D6E1E7">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桃源河</w:t>
            </w:r>
          </w:p>
        </w:tc>
        <w:tc>
          <w:tcPr>
            <w:tcW w:w="712" w:type="pct"/>
            <w:shd w:val="clear" w:color="auto" w:fill="FFFFFF"/>
            <w:vAlign w:val="center"/>
          </w:tcPr>
          <w:p w14:paraId="5546420E">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河流</w:t>
            </w:r>
          </w:p>
        </w:tc>
        <w:tc>
          <w:tcPr>
            <w:tcW w:w="426" w:type="pct"/>
            <w:shd w:val="clear" w:color="auto" w:fill="FFFFFF"/>
            <w:vAlign w:val="center"/>
          </w:tcPr>
          <w:p w14:paraId="36FFBEE7">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东南</w:t>
            </w:r>
          </w:p>
        </w:tc>
        <w:tc>
          <w:tcPr>
            <w:tcW w:w="461" w:type="pct"/>
            <w:shd w:val="clear" w:color="auto" w:fill="FFFFFF"/>
            <w:vAlign w:val="center"/>
          </w:tcPr>
          <w:p w14:paraId="782D3D4E">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w:t>
            </w:r>
          </w:p>
        </w:tc>
        <w:tc>
          <w:tcPr>
            <w:tcW w:w="426" w:type="pct"/>
            <w:shd w:val="clear" w:color="auto" w:fill="FFFFFF"/>
            <w:vAlign w:val="center"/>
          </w:tcPr>
          <w:p w14:paraId="64B12905">
            <w:pPr>
              <w:pStyle w:val="59"/>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auto"/>
                <w:kern w:val="2"/>
                <w:sz w:val="21"/>
                <w:szCs w:val="24"/>
                <w:lang w:val="en-US" w:eastAsia="zh-CN" w:bidi="ar-SA"/>
              </w:rPr>
            </w:pPr>
            <w:r>
              <w:rPr>
                <w:rFonts w:hint="eastAsia" w:eastAsia="宋体"/>
                <w:b w:val="0"/>
                <w:color w:val="auto"/>
                <w:lang w:val="en-US" w:eastAsia="zh-CN"/>
              </w:rPr>
              <w:t>1628</w:t>
            </w:r>
          </w:p>
        </w:tc>
        <w:tc>
          <w:tcPr>
            <w:tcW w:w="575" w:type="pct"/>
            <w:tcBorders>
              <w:right w:val="nil"/>
            </w:tcBorders>
            <w:shd w:val="clear" w:color="auto" w:fill="FFFFFF"/>
            <w:vAlign w:val="center"/>
          </w:tcPr>
          <w:p w14:paraId="665B6319">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highlight w:val="none"/>
                <w:lang w:val="en-US" w:eastAsia="zh-CN"/>
              </w:rPr>
              <w:t>地表水</w:t>
            </w:r>
          </w:p>
        </w:tc>
      </w:tr>
      <w:tr w14:paraId="2DF5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 w:type="pct"/>
            <w:tcBorders>
              <w:top w:val="single" w:color="auto" w:sz="4" w:space="0"/>
              <w:left w:val="nil"/>
              <w:bottom w:val="single" w:color="000000" w:sz="12" w:space="0"/>
            </w:tcBorders>
            <w:shd w:val="clear" w:color="auto" w:fill="FFFFFF"/>
            <w:vAlign w:val="center"/>
          </w:tcPr>
          <w:p w14:paraId="2D019C30">
            <w:pPr>
              <w:pStyle w:val="59"/>
              <w:keepNext w:val="0"/>
              <w:keepLines w:val="0"/>
              <w:numPr>
                <w:ilvl w:val="0"/>
                <w:numId w:val="13"/>
              </w:numPr>
              <w:suppressLineNumbers w:val="0"/>
              <w:bidi w:val="0"/>
              <w:spacing w:before="0" w:beforeAutospacing="0" w:after="0" w:afterAutospacing="0"/>
              <w:ind w:left="425" w:leftChars="0" w:right="0" w:hanging="425" w:firstLineChars="0"/>
              <w:rPr>
                <w:rFonts w:hint="default"/>
                <w:b w:val="0"/>
                <w:color w:val="000000"/>
              </w:rPr>
            </w:pPr>
          </w:p>
        </w:tc>
        <w:tc>
          <w:tcPr>
            <w:tcW w:w="612" w:type="pct"/>
            <w:tcBorders>
              <w:top w:val="single" w:color="auto" w:sz="4" w:space="0"/>
              <w:bottom w:val="single" w:color="000000" w:sz="12" w:space="0"/>
            </w:tcBorders>
            <w:shd w:val="clear" w:color="auto" w:fill="FFFFFF"/>
            <w:vAlign w:val="center"/>
          </w:tcPr>
          <w:p w14:paraId="412778C3">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573" w:type="pct"/>
            <w:tcBorders>
              <w:top w:val="single" w:color="auto" w:sz="4" w:space="0"/>
              <w:bottom w:val="single" w:color="000000" w:sz="12" w:space="0"/>
            </w:tcBorders>
            <w:shd w:val="clear" w:color="auto" w:fill="FFFFFF"/>
            <w:vAlign w:val="center"/>
          </w:tcPr>
          <w:p w14:paraId="2F2C564B">
            <w:pPr>
              <w:pStyle w:val="69"/>
              <w:ind w:firstLine="0" w:firstLineChars="0"/>
              <w:rPr>
                <w:rFonts w:hint="eastAsia" w:ascii="Times New Roman" w:hAnsi="Times New Roman" w:eastAsia="宋体" w:cs="Times New Roman"/>
                <w:b w:val="0"/>
                <w:color w:val="auto"/>
                <w:kern w:val="2"/>
                <w:sz w:val="21"/>
                <w:szCs w:val="21"/>
                <w:lang w:val="en-US" w:eastAsia="zh-CN" w:bidi="ar-SA"/>
              </w:rPr>
            </w:pPr>
            <w:r>
              <w:rPr>
                <w:rFonts w:hint="eastAsia"/>
                <w:b w:val="0"/>
                <w:color w:val="auto"/>
                <w:lang w:val="en-US" w:eastAsia="zh-CN"/>
              </w:rPr>
              <w:t>/</w:t>
            </w:r>
          </w:p>
        </w:tc>
        <w:tc>
          <w:tcPr>
            <w:tcW w:w="948" w:type="pct"/>
            <w:gridSpan w:val="2"/>
            <w:tcBorders>
              <w:bottom w:val="single" w:color="000000" w:sz="12" w:space="0"/>
            </w:tcBorders>
            <w:shd w:val="clear" w:color="auto" w:fill="FFFFFF"/>
            <w:vAlign w:val="center"/>
          </w:tcPr>
          <w:p w14:paraId="6315FF3D">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升平水</w:t>
            </w:r>
          </w:p>
        </w:tc>
        <w:tc>
          <w:tcPr>
            <w:tcW w:w="712" w:type="pct"/>
            <w:tcBorders>
              <w:bottom w:val="single" w:color="000000" w:sz="12" w:space="0"/>
            </w:tcBorders>
            <w:shd w:val="clear" w:color="auto" w:fill="FFFFFF"/>
            <w:vAlign w:val="center"/>
          </w:tcPr>
          <w:p w14:paraId="7FAB939A">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河流</w:t>
            </w:r>
          </w:p>
        </w:tc>
        <w:tc>
          <w:tcPr>
            <w:tcW w:w="426" w:type="pct"/>
            <w:tcBorders>
              <w:bottom w:val="single" w:color="000000" w:sz="12" w:space="0"/>
            </w:tcBorders>
            <w:shd w:val="clear" w:color="auto" w:fill="FFFFFF"/>
            <w:vAlign w:val="center"/>
          </w:tcPr>
          <w:p w14:paraId="1E580ECC">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北</w:t>
            </w:r>
          </w:p>
        </w:tc>
        <w:tc>
          <w:tcPr>
            <w:tcW w:w="461" w:type="pct"/>
            <w:tcBorders>
              <w:bottom w:val="single" w:color="000000" w:sz="12" w:space="0"/>
            </w:tcBorders>
            <w:shd w:val="clear" w:color="auto" w:fill="FFFFFF"/>
            <w:vAlign w:val="center"/>
          </w:tcPr>
          <w:p w14:paraId="54AAAD83">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rPr>
              <w:t>/</w:t>
            </w:r>
          </w:p>
        </w:tc>
        <w:tc>
          <w:tcPr>
            <w:tcW w:w="426" w:type="pct"/>
            <w:tcBorders>
              <w:bottom w:val="single" w:color="000000" w:sz="12" w:space="0"/>
            </w:tcBorders>
            <w:shd w:val="clear" w:color="auto" w:fill="FFFFFF"/>
            <w:vAlign w:val="center"/>
          </w:tcPr>
          <w:p w14:paraId="0C0E6BA9">
            <w:pPr>
              <w:pStyle w:val="59"/>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b w:val="0"/>
                <w:color w:val="auto"/>
                <w:kern w:val="2"/>
                <w:sz w:val="21"/>
                <w:szCs w:val="24"/>
                <w:lang w:val="en-US" w:eastAsia="zh-CN" w:bidi="ar-SA"/>
              </w:rPr>
            </w:pPr>
            <w:r>
              <w:rPr>
                <w:rFonts w:hint="eastAsia" w:eastAsia="宋体"/>
                <w:b w:val="0"/>
                <w:color w:val="auto"/>
                <w:lang w:val="en-US" w:eastAsia="zh-CN"/>
              </w:rPr>
              <w:t>2230</w:t>
            </w:r>
          </w:p>
        </w:tc>
        <w:tc>
          <w:tcPr>
            <w:tcW w:w="575" w:type="pct"/>
            <w:tcBorders>
              <w:bottom w:val="single" w:color="000000" w:sz="12" w:space="0"/>
              <w:right w:val="nil"/>
            </w:tcBorders>
            <w:shd w:val="clear" w:color="auto" w:fill="FFFFFF"/>
            <w:vAlign w:val="center"/>
          </w:tcPr>
          <w:p w14:paraId="2278490F">
            <w:pPr>
              <w:pStyle w:val="59"/>
              <w:keepNext w:val="0"/>
              <w:keepLines w:val="0"/>
              <w:suppressLineNumbers w:val="0"/>
              <w:bidi w:val="0"/>
              <w:spacing w:before="0" w:beforeAutospacing="0" w:after="0" w:afterAutospacing="0"/>
              <w:ind w:left="0" w:right="0"/>
              <w:rPr>
                <w:rFonts w:hint="default"/>
                <w:b w:val="0"/>
                <w:color w:val="auto"/>
              </w:rPr>
            </w:pPr>
            <w:r>
              <w:rPr>
                <w:rFonts w:hint="eastAsia"/>
                <w:b w:val="0"/>
                <w:color w:val="auto"/>
                <w:highlight w:val="none"/>
                <w:lang w:val="en-US" w:eastAsia="zh-CN"/>
              </w:rPr>
              <w:t>地表水</w:t>
            </w:r>
          </w:p>
        </w:tc>
      </w:tr>
    </w:tbl>
    <w:p w14:paraId="76F7F883">
      <w:pPr>
        <w:ind w:firstLine="480"/>
        <w:rPr>
          <w:rFonts w:hint="eastAsia"/>
          <w:color w:val="auto"/>
          <w:lang w:val="en-US" w:eastAsia="zh-CN"/>
        </w:rPr>
        <w:sectPr>
          <w:pgSz w:w="11906" w:h="16838"/>
          <w:pgMar w:top="1417" w:right="1417" w:bottom="1417" w:left="1417" w:header="850" w:footer="992" w:gutter="0"/>
          <w:pgNumType w:fmt="decimal"/>
          <w:cols w:space="720" w:num="1"/>
          <w:docGrid w:linePitch="336" w:charSpace="0"/>
        </w:sectPr>
      </w:pPr>
      <w:r>
        <w:rPr>
          <w:rFonts w:hint="eastAsia"/>
          <w:color w:val="auto"/>
          <w:lang w:val="en-US" w:eastAsia="zh-CN"/>
        </w:rPr>
        <w:t>*</w:t>
      </w:r>
      <w:r>
        <w:rPr>
          <w:rFonts w:hint="eastAsia"/>
          <w:color w:val="auto"/>
        </w:rPr>
        <w:t>以</w:t>
      </w:r>
      <w:r>
        <w:rPr>
          <w:rFonts w:hint="eastAsia"/>
          <w:color w:val="auto"/>
          <w:lang w:val="en-US" w:eastAsia="zh-CN"/>
        </w:rPr>
        <w:t>DA001排气筒</w:t>
      </w:r>
      <w:r>
        <w:rPr>
          <w:rFonts w:hint="eastAsia"/>
          <w:color w:val="auto"/>
        </w:rPr>
        <w:t>为原点，东西方向为X轴，南北方向为Y轴</w:t>
      </w:r>
      <w:r>
        <w:rPr>
          <w:rFonts w:hint="eastAsia"/>
          <w:color w:val="auto"/>
          <w:lang w:val="en-US" w:eastAsia="zh-CN"/>
        </w:rPr>
        <w:t>建立坐标系。</w:t>
      </w:r>
    </w:p>
    <w:p w14:paraId="361222DC">
      <w:pPr>
        <w:pStyle w:val="62"/>
        <w:numPr>
          <w:ilvl w:val="0"/>
          <w:numId w:val="0"/>
        </w:numPr>
        <w:bidi w:val="0"/>
        <w:ind w:leftChars="0"/>
      </w:pPr>
      <w:r>
        <w:rPr>
          <w:sz w:val="24"/>
        </w:rPr>
        <mc:AlternateContent>
          <mc:Choice Requires="wps">
            <w:drawing>
              <wp:anchor distT="0" distB="0" distL="114300" distR="114300" simplePos="0" relativeHeight="251697152" behindDoc="0" locked="0" layoutInCell="1" allowOverlap="1">
                <wp:simplePos x="0" y="0"/>
                <wp:positionH relativeFrom="column">
                  <wp:posOffset>2407285</wp:posOffset>
                </wp:positionH>
                <wp:positionV relativeFrom="paragraph">
                  <wp:posOffset>511175</wp:posOffset>
                </wp:positionV>
                <wp:extent cx="4442460" cy="4304030"/>
                <wp:effectExtent l="10795" t="10795" r="13970" b="19050"/>
                <wp:wrapNone/>
                <wp:docPr id="243" name="文本框 243"/>
                <wp:cNvGraphicFramePr/>
                <a:graphic xmlns:a="http://schemas.openxmlformats.org/drawingml/2006/main">
                  <a:graphicData uri="http://schemas.microsoft.com/office/word/2010/wordprocessingShape">
                    <wps:wsp>
                      <wps:cNvSpPr txBox="1"/>
                      <wps:spPr>
                        <a:xfrm>
                          <a:off x="3277870" y="1515745"/>
                          <a:ext cx="4442460" cy="4304030"/>
                        </a:xfrm>
                        <a:prstGeom prst="rect">
                          <a:avLst/>
                        </a:prstGeom>
                        <a:noFill/>
                        <a:ln w="22225">
                          <a:solidFill>
                            <a:srgbClr val="FFFF00"/>
                          </a:solidFill>
                          <a:prstDash val="dash"/>
                        </a:ln>
                      </wps:spPr>
                      <wps:style>
                        <a:lnRef idx="0">
                          <a:schemeClr val="accent1"/>
                        </a:lnRef>
                        <a:fillRef idx="0">
                          <a:schemeClr val="accent1"/>
                        </a:fillRef>
                        <a:effectRef idx="0">
                          <a:schemeClr val="accent1"/>
                        </a:effectRef>
                        <a:fontRef idx="minor">
                          <a:schemeClr val="dk1"/>
                        </a:fontRef>
                      </wps:style>
                      <wps:txbx>
                        <w:txbxContent>
                          <w:p w14:paraId="75781DE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55pt;margin-top:40.25pt;height:338.9pt;width:349.8pt;z-index:251697152;mso-width-relative:page;mso-height-relative:page;" filled="f" stroked="t" coordsize="21600,21600" o:gfxdata="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ppHvaAAAACwEAAA8AAAAAAAAAAQAgAAAAIgAAAGRycy9kb3ducmV2Lnht&#10;bFBLAQIUABQAAAAIAIdO4kADZ8FtaQIAALkEAAAOAAAAAAAAAAEAIAAAACkBAABkcnMvZTJvRG9j&#10;LnhtbFBLBQYAAAAABgAGAFkBAAAEBgAAAAA=&#10;">
                <v:fill on="f" focussize="0,0"/>
                <v:stroke weight="1.75pt" color="#FFFF00 [3204]" joinstyle="round" dashstyle="dash"/>
                <v:imagedata o:title=""/>
                <o:lock v:ext="edit" aspectratio="f"/>
                <v:textbox>
                  <w:txbxContent>
                    <w:p w14:paraId="75781DEF"/>
                  </w:txbxContent>
                </v:textbox>
              </v:shape>
            </w:pict>
          </mc:Fallback>
        </mc:AlternateContent>
      </w:r>
      <w:r>
        <w:drawing>
          <wp:inline distT="0" distB="0" distL="114300" distR="114300">
            <wp:extent cx="7966075" cy="5364480"/>
            <wp:effectExtent l="0" t="0" r="6350" b="7620"/>
            <wp:docPr id="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pic:cNvPicPr>
                      <a:picLocks noChangeAspect="1"/>
                    </pic:cNvPicPr>
                  </pic:nvPicPr>
                  <pic:blipFill>
                    <a:blip r:embed="rId29"/>
                    <a:stretch>
                      <a:fillRect/>
                    </a:stretch>
                  </pic:blipFill>
                  <pic:spPr>
                    <a:xfrm>
                      <a:off x="0" y="0"/>
                      <a:ext cx="7966075" cy="5364480"/>
                    </a:xfrm>
                    <a:prstGeom prst="rect">
                      <a:avLst/>
                    </a:prstGeom>
                    <a:noFill/>
                    <a:ln>
                      <a:noFill/>
                    </a:ln>
                  </pic:spPr>
                </pic:pic>
              </a:graphicData>
            </a:graphic>
          </wp:inline>
        </w:drawing>
      </w:r>
    </w:p>
    <w:p w14:paraId="02A033A6">
      <w:pPr>
        <w:pStyle w:val="62"/>
        <w:numPr>
          <w:ilvl w:val="0"/>
          <w:numId w:val="0"/>
        </w:numPr>
        <w:bidi w:val="0"/>
        <w:ind w:leftChars="0"/>
        <w:rPr>
          <w:rFonts w:hint="default" w:eastAsia="宋体"/>
          <w:lang w:val="en-US" w:eastAsia="zh-CN"/>
        </w:rPr>
        <w:sectPr>
          <w:pgSz w:w="16838" w:h="11906" w:orient="landscape"/>
          <w:pgMar w:top="1417" w:right="1417" w:bottom="1417" w:left="1417" w:header="850" w:footer="992" w:gutter="0"/>
          <w:pgNumType w:fmt="decimal"/>
          <w:cols w:space="720" w:num="1"/>
          <w:docGrid w:linePitch="336" w:charSpace="0"/>
        </w:sectPr>
      </w:pPr>
      <w:r>
        <w:rPr>
          <w:rFonts w:hint="eastAsia"/>
          <w:lang w:val="en-US" w:eastAsia="zh-CN"/>
        </w:rPr>
        <w:t>图1.2-1  敏感点分布图</w:t>
      </w:r>
    </w:p>
    <w:p w14:paraId="5ACEF0B5">
      <w:pPr>
        <w:pStyle w:val="67"/>
        <w:numPr>
          <w:ilvl w:val="1"/>
          <w:numId w:val="8"/>
        </w:numPr>
        <w:bidi w:val="0"/>
        <w:ind w:left="567" w:leftChars="0" w:hanging="567" w:firstLineChars="0"/>
        <w:rPr>
          <w:rFonts w:hint="eastAsia" w:ascii="Times New Roman" w:hAnsi="Times New Roman" w:eastAsia="宋体" w:cs="Times New Roman"/>
          <w:color w:val="auto"/>
        </w:rPr>
      </w:pPr>
      <w:bookmarkStart w:id="32" w:name="_Toc28063"/>
      <w:r>
        <w:rPr>
          <w:rFonts w:hint="eastAsia" w:ascii="Times New Roman" w:hAnsi="Times New Roman" w:eastAsia="宋体" w:cs="Times New Roman"/>
          <w:color w:val="auto"/>
        </w:rPr>
        <w:t>环境功能区划</w:t>
      </w:r>
      <w:bookmarkEnd w:id="32"/>
    </w:p>
    <w:p w14:paraId="6585E95D">
      <w:pPr>
        <w:pStyle w:val="64"/>
        <w:numPr>
          <w:ilvl w:val="2"/>
          <w:numId w:val="8"/>
        </w:numPr>
        <w:spacing w:before="120" w:after="120"/>
        <w:ind w:left="709" w:leftChars="0" w:hanging="709" w:firstLineChars="0"/>
        <w:rPr>
          <w:color w:val="auto"/>
        </w:rPr>
      </w:pPr>
      <w:r>
        <w:rPr>
          <w:color w:val="auto"/>
        </w:rPr>
        <w:t>水环境功能区</w:t>
      </w:r>
      <w:r>
        <w:rPr>
          <w:rFonts w:hint="eastAsia"/>
          <w:color w:val="auto"/>
        </w:rPr>
        <w:t>划</w:t>
      </w:r>
    </w:p>
    <w:p w14:paraId="6A4DBE3A">
      <w:pPr>
        <w:bidi w:val="0"/>
        <w:rPr>
          <w:rFonts w:hint="eastAsia" w:ascii="Times New Roman" w:hAnsi="Times New Roman" w:cs="Times New Roman"/>
        </w:rPr>
      </w:pPr>
      <w:r>
        <w:rPr>
          <w:rFonts w:hint="eastAsia" w:ascii="Times New Roman" w:hAnsi="Times New Roman" w:cs="Times New Roman"/>
        </w:rPr>
        <w:t>项目</w:t>
      </w:r>
      <w:r>
        <w:rPr>
          <w:rFonts w:hint="eastAsia" w:ascii="Times New Roman" w:hAnsi="Times New Roman" w:cs="Times New Roman"/>
          <w:lang w:val="en-US" w:eastAsia="zh-CN"/>
        </w:rPr>
        <w:t>纳污水体</w:t>
      </w:r>
      <w:r>
        <w:rPr>
          <w:rFonts w:hint="eastAsia" w:ascii="Times New Roman" w:hAnsi="Times New Roman" w:cs="Times New Roman"/>
        </w:rPr>
        <w:t>为沙坪河</w:t>
      </w:r>
      <w:r>
        <w:rPr>
          <w:rFonts w:hint="eastAsia" w:ascii="Times New Roman" w:hAnsi="Times New Roman" w:cs="Times New Roman"/>
          <w:lang w:eastAsia="zh-CN"/>
        </w:rPr>
        <w:t>，</w:t>
      </w:r>
      <w:r>
        <w:rPr>
          <w:rFonts w:ascii="Times New Roman" w:hAnsi="Times New Roman" w:cs="Times New Roman"/>
        </w:rPr>
        <w:t>根据《广东省地表水环境功能区划》（粤环</w:t>
      </w:r>
      <w:r>
        <w:rPr>
          <w:rFonts w:hint="eastAsia" w:ascii="Times New Roman" w:hAnsi="Times New Roman" w:cs="Times New Roman"/>
          <w:lang w:eastAsia="zh-CN"/>
        </w:rPr>
        <w:t>〔2011〕14号</w:t>
      </w:r>
      <w:r>
        <w:rPr>
          <w:rFonts w:ascii="Times New Roman" w:hAnsi="Times New Roman" w:cs="Times New Roman"/>
        </w:rPr>
        <w:t>），</w:t>
      </w:r>
      <w:r>
        <w:rPr>
          <w:rFonts w:hint="eastAsia" w:ascii="Times New Roman" w:hAnsi="Times New Roman" w:cs="Times New Roman"/>
        </w:rPr>
        <w:t>沙坪</w:t>
      </w:r>
      <w:r>
        <w:rPr>
          <w:rFonts w:ascii="Times New Roman" w:hAnsi="Times New Roman" w:cs="Times New Roman"/>
        </w:rPr>
        <w:t>河功能为工业、农业用水，水质执行《地表水环境质量标准》(GB3838-2002)中的</w:t>
      </w:r>
      <w:r>
        <w:rPr>
          <w:rFonts w:ascii="Times New Roman" w:hAnsi="Times New Roman" w:cs="Times New Roman"/>
        </w:rPr>
        <w:fldChar w:fldCharType="begin"/>
      </w:r>
      <w:r>
        <w:rPr>
          <w:rFonts w:ascii="Times New Roman" w:hAnsi="Times New Roman" w:cs="Times New Roman"/>
        </w:rPr>
        <w:instrText xml:space="preserve"> = 3 \* ROMAN \* MERGEFORMAT </w:instrText>
      </w:r>
      <w:r>
        <w:rPr>
          <w:rFonts w:ascii="Times New Roman" w:hAnsi="Times New Roman" w:cs="Times New Roman"/>
        </w:rPr>
        <w:fldChar w:fldCharType="separate"/>
      </w:r>
      <w:r>
        <w:rPr>
          <w:rFonts w:ascii="Times New Roman" w:hAnsi="Times New Roman" w:cs="Times New Roman"/>
        </w:rPr>
        <w:t>III</w:t>
      </w:r>
      <w:r>
        <w:rPr>
          <w:rFonts w:ascii="Times New Roman" w:hAnsi="Times New Roman" w:cs="Times New Roman"/>
        </w:rPr>
        <w:fldChar w:fldCharType="end"/>
      </w:r>
      <w:r>
        <w:rPr>
          <w:rFonts w:ascii="Times New Roman" w:hAnsi="Times New Roman" w:cs="Times New Roman"/>
        </w:rPr>
        <w:t>类标准</w:t>
      </w:r>
      <w:r>
        <w:rPr>
          <w:rFonts w:hint="eastAsia" w:ascii="Times New Roman" w:hAnsi="Times New Roman" w:cs="Times New Roman"/>
        </w:rPr>
        <w:t>。</w:t>
      </w:r>
    </w:p>
    <w:p w14:paraId="28C2B940">
      <w:pPr>
        <w:bidi w:val="0"/>
        <w:rPr>
          <w:rFonts w:hint="eastAsia" w:ascii="Times New Roman" w:hAnsi="Times New Roman" w:cs="Times New Roman"/>
        </w:rPr>
      </w:pPr>
      <w:r>
        <w:rPr>
          <w:rFonts w:hint="eastAsia"/>
          <w:lang w:val="en-US" w:eastAsia="zh-CN"/>
        </w:rPr>
        <w:t>周边水体</w:t>
      </w:r>
      <w:r>
        <w:t>包括升平水、沙坪河、西江。</w:t>
      </w:r>
    </w:p>
    <w:p w14:paraId="63DB8B5E">
      <w:pPr>
        <w:pStyle w:val="85"/>
        <w:numPr>
          <w:ilvl w:val="0"/>
          <w:numId w:val="14"/>
        </w:numPr>
        <w:bidi w:val="0"/>
        <w:ind w:left="0" w:leftChars="0" w:firstLine="0" w:firstLineChars="0"/>
      </w:pPr>
      <w:r>
        <w:t>本项目周边水域水环境功能区划分</w:t>
      </w:r>
    </w:p>
    <w:p w14:paraId="7CEFFD41">
      <w:pPr>
        <w:spacing w:line="39" w:lineRule="exact"/>
      </w:pPr>
    </w:p>
    <w:tbl>
      <w:tblPr>
        <w:tblStyle w:val="105"/>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99"/>
        <w:gridCol w:w="840"/>
        <w:gridCol w:w="1025"/>
        <w:gridCol w:w="1171"/>
        <w:gridCol w:w="2054"/>
        <w:gridCol w:w="1338"/>
        <w:gridCol w:w="1120"/>
        <w:gridCol w:w="1120"/>
      </w:tblGrid>
      <w:tr w14:paraId="57CD0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20" w:type="pct"/>
            <w:tcBorders>
              <w:top w:val="single" w:color="000000" w:sz="12" w:space="0"/>
              <w:left w:val="nil"/>
              <w:bottom w:val="single" w:color="auto" w:sz="4" w:space="0"/>
              <w:right w:val="single" w:color="auto" w:sz="4" w:space="0"/>
              <w:tl2br w:val="nil"/>
            </w:tcBorders>
            <w:shd w:val="clear" w:color="auto" w:fill="FFFFFF"/>
            <w:vAlign w:val="center"/>
          </w:tcPr>
          <w:p w14:paraId="01D13F49">
            <w:pPr>
              <w:pStyle w:val="59"/>
              <w:bidi w:val="0"/>
            </w:pPr>
            <w:r>
              <w:t>序号</w:t>
            </w:r>
          </w:p>
        </w:tc>
        <w:tc>
          <w:tcPr>
            <w:tcW w:w="463" w:type="pct"/>
            <w:tcBorders>
              <w:top w:val="single" w:color="000000" w:sz="12" w:space="0"/>
              <w:left w:val="single" w:color="auto" w:sz="4" w:space="0"/>
              <w:bottom w:val="single" w:color="auto" w:sz="4" w:space="0"/>
              <w:right w:val="single" w:color="auto" w:sz="4" w:space="0"/>
            </w:tcBorders>
            <w:shd w:val="clear" w:color="auto" w:fill="FFFFFF"/>
            <w:vAlign w:val="center"/>
          </w:tcPr>
          <w:p w14:paraId="5C5AA26D">
            <w:pPr>
              <w:pStyle w:val="59"/>
              <w:bidi w:val="0"/>
            </w:pPr>
            <w:r>
              <w:rPr>
                <w:rFonts w:hint="eastAsia"/>
                <w:lang w:val="en-US" w:eastAsia="zh-CN"/>
              </w:rPr>
              <w:t>功能现状</w:t>
            </w:r>
          </w:p>
        </w:tc>
        <w:tc>
          <w:tcPr>
            <w:tcW w:w="565" w:type="pct"/>
            <w:tcBorders>
              <w:top w:val="single" w:color="000000" w:sz="12" w:space="0"/>
              <w:left w:val="single" w:color="auto" w:sz="4" w:space="0"/>
              <w:bottom w:val="single" w:color="auto" w:sz="4" w:space="0"/>
              <w:right w:val="single" w:color="auto" w:sz="4" w:space="0"/>
            </w:tcBorders>
            <w:shd w:val="clear" w:color="auto" w:fill="FFFFFF"/>
            <w:vAlign w:val="center"/>
          </w:tcPr>
          <w:p w14:paraId="235ED802">
            <w:pPr>
              <w:pStyle w:val="59"/>
              <w:bidi w:val="0"/>
            </w:pPr>
            <w:r>
              <w:rPr>
                <w:rFonts w:hint="eastAsia"/>
                <w:lang w:val="en-US" w:eastAsia="zh-CN"/>
              </w:rPr>
              <w:t>水系</w:t>
            </w:r>
          </w:p>
        </w:tc>
        <w:tc>
          <w:tcPr>
            <w:tcW w:w="645" w:type="pct"/>
            <w:tcBorders>
              <w:top w:val="single" w:color="000000" w:sz="12" w:space="0"/>
              <w:left w:val="single" w:color="auto" w:sz="4" w:space="0"/>
              <w:bottom w:val="single" w:color="auto" w:sz="4" w:space="0"/>
              <w:right w:val="single" w:color="auto" w:sz="4" w:space="0"/>
            </w:tcBorders>
            <w:shd w:val="clear" w:color="auto" w:fill="FFFFFF"/>
            <w:vAlign w:val="center"/>
          </w:tcPr>
          <w:p w14:paraId="1FF203C6">
            <w:pPr>
              <w:pStyle w:val="59"/>
              <w:bidi w:val="0"/>
            </w:pPr>
            <w:r>
              <w:rPr>
                <w:rFonts w:hint="eastAsia"/>
                <w:lang w:val="en-US" w:eastAsia="zh-CN"/>
              </w:rPr>
              <w:t>河流</w:t>
            </w:r>
          </w:p>
        </w:tc>
        <w:tc>
          <w:tcPr>
            <w:tcW w:w="1132" w:type="pct"/>
            <w:tcBorders>
              <w:top w:val="single" w:color="000000" w:sz="12" w:space="0"/>
              <w:left w:val="single" w:color="auto" w:sz="4" w:space="0"/>
              <w:bottom w:val="single" w:color="auto" w:sz="4" w:space="0"/>
              <w:right w:val="single" w:color="auto" w:sz="4" w:space="0"/>
            </w:tcBorders>
            <w:shd w:val="clear" w:color="auto" w:fill="FFFFFF"/>
            <w:vAlign w:val="center"/>
          </w:tcPr>
          <w:p w14:paraId="07E773FC">
            <w:pPr>
              <w:pStyle w:val="59"/>
              <w:bidi w:val="0"/>
            </w:pPr>
            <w:r>
              <w:rPr>
                <w:rFonts w:hint="eastAsia"/>
                <w:lang w:val="en-US" w:eastAsia="zh-CN"/>
              </w:rPr>
              <w:t>起点</w:t>
            </w:r>
          </w:p>
        </w:tc>
        <w:tc>
          <w:tcPr>
            <w:tcW w:w="737" w:type="pct"/>
            <w:tcBorders>
              <w:top w:val="single" w:color="000000" w:sz="12" w:space="0"/>
              <w:left w:val="single" w:color="auto" w:sz="4" w:space="0"/>
              <w:bottom w:val="single" w:color="auto" w:sz="4" w:space="0"/>
              <w:right w:val="nil"/>
            </w:tcBorders>
            <w:shd w:val="clear" w:color="auto" w:fill="FFFFFF"/>
            <w:vAlign w:val="center"/>
          </w:tcPr>
          <w:p w14:paraId="5B19CA7B">
            <w:pPr>
              <w:pStyle w:val="59"/>
              <w:bidi w:val="0"/>
            </w:pPr>
            <w:r>
              <w:rPr>
                <w:rFonts w:hint="eastAsia"/>
                <w:lang w:val="en-US" w:eastAsia="zh-CN"/>
              </w:rPr>
              <w:t>终点</w:t>
            </w:r>
          </w:p>
        </w:tc>
        <w:tc>
          <w:tcPr>
            <w:tcW w:w="617" w:type="pct"/>
            <w:tcBorders>
              <w:top w:val="single" w:color="000000" w:sz="12" w:space="0"/>
              <w:left w:val="single" w:color="auto" w:sz="4" w:space="0"/>
              <w:bottom w:val="single" w:color="auto" w:sz="4" w:space="0"/>
              <w:right w:val="nil"/>
            </w:tcBorders>
            <w:shd w:val="clear" w:color="auto" w:fill="FFFFFF"/>
            <w:vAlign w:val="center"/>
          </w:tcPr>
          <w:p w14:paraId="06D84FAC">
            <w:pPr>
              <w:pStyle w:val="59"/>
              <w:bidi w:val="0"/>
              <w:rPr>
                <w:rFonts w:hint="eastAsia"/>
                <w:lang w:val="en-US" w:eastAsia="zh-CN"/>
              </w:rPr>
            </w:pPr>
            <w:r>
              <w:rPr>
                <w:rFonts w:hint="eastAsia"/>
                <w:lang w:val="en-US" w:eastAsia="zh-CN"/>
              </w:rPr>
              <w:t>长度(km)</w:t>
            </w:r>
          </w:p>
        </w:tc>
        <w:tc>
          <w:tcPr>
            <w:tcW w:w="617" w:type="pct"/>
            <w:tcBorders>
              <w:top w:val="single" w:color="000000" w:sz="12" w:space="0"/>
              <w:left w:val="single" w:color="auto" w:sz="4" w:space="0"/>
              <w:bottom w:val="single" w:color="auto" w:sz="4" w:space="0"/>
              <w:right w:val="nil"/>
            </w:tcBorders>
            <w:shd w:val="clear" w:color="auto" w:fill="FFFFFF"/>
            <w:vAlign w:val="center"/>
          </w:tcPr>
          <w:p w14:paraId="46D1199B">
            <w:pPr>
              <w:pStyle w:val="59"/>
              <w:bidi w:val="0"/>
              <w:rPr>
                <w:rFonts w:hint="eastAsia"/>
                <w:lang w:val="en-US" w:eastAsia="zh-CN"/>
              </w:rPr>
            </w:pPr>
            <w:r>
              <w:rPr>
                <w:rFonts w:hint="eastAsia"/>
                <w:lang w:val="en-US" w:eastAsia="zh-CN"/>
              </w:rPr>
              <w:t>水质目标</w:t>
            </w:r>
          </w:p>
        </w:tc>
      </w:tr>
      <w:tr w14:paraId="5BA3A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20" w:type="pct"/>
            <w:tcBorders>
              <w:top w:val="single" w:color="auto" w:sz="4" w:space="0"/>
              <w:left w:val="nil"/>
              <w:bottom w:val="single" w:color="auto" w:sz="4" w:space="0"/>
              <w:right w:val="single" w:color="auto" w:sz="4" w:space="0"/>
            </w:tcBorders>
            <w:shd w:val="clear" w:color="auto" w:fill="FFFFFF"/>
            <w:vAlign w:val="center"/>
          </w:tcPr>
          <w:p w14:paraId="12A30598">
            <w:pPr>
              <w:pStyle w:val="59"/>
              <w:numPr>
                <w:ilvl w:val="0"/>
                <w:numId w:val="15"/>
              </w:numPr>
              <w:bidi w:val="0"/>
              <w:ind w:left="425" w:leftChars="0" w:hanging="425" w:firstLineChars="0"/>
            </w:pPr>
          </w:p>
        </w:tc>
        <w:tc>
          <w:tcPr>
            <w:tcW w:w="463" w:type="pct"/>
            <w:tcBorders>
              <w:top w:val="single" w:color="auto" w:sz="4" w:space="0"/>
              <w:left w:val="single" w:color="auto" w:sz="4" w:space="0"/>
              <w:bottom w:val="single" w:color="auto" w:sz="4" w:space="0"/>
              <w:right w:val="single" w:color="auto" w:sz="4" w:space="0"/>
            </w:tcBorders>
            <w:shd w:val="clear" w:color="auto" w:fill="FFFFFF"/>
            <w:vAlign w:val="center"/>
          </w:tcPr>
          <w:p w14:paraId="6FDC6754">
            <w:pPr>
              <w:pStyle w:val="59"/>
              <w:bidi w:val="0"/>
              <w:rPr>
                <w:rFonts w:hint="eastAsia"/>
                <w:lang w:val="en-US" w:eastAsia="zh-CN"/>
              </w:rPr>
            </w:pPr>
            <w:r>
              <w:rPr>
                <w:rFonts w:hint="eastAsia"/>
                <w:lang w:val="en-US" w:eastAsia="zh-CN"/>
              </w:rPr>
              <w:t>工农</w:t>
            </w:r>
          </w:p>
        </w:tc>
        <w:tc>
          <w:tcPr>
            <w:tcW w:w="565" w:type="pct"/>
            <w:tcBorders>
              <w:top w:val="single" w:color="auto" w:sz="4" w:space="0"/>
              <w:left w:val="single" w:color="auto" w:sz="4" w:space="0"/>
              <w:bottom w:val="single" w:color="auto" w:sz="4" w:space="0"/>
              <w:right w:val="single" w:color="auto" w:sz="4" w:space="0"/>
            </w:tcBorders>
            <w:shd w:val="clear" w:color="auto" w:fill="FFFFFF"/>
            <w:vAlign w:val="center"/>
          </w:tcPr>
          <w:p w14:paraId="0B0E6EC5">
            <w:pPr>
              <w:pStyle w:val="59"/>
              <w:bidi w:val="0"/>
              <w:rPr>
                <w:rFonts w:hint="eastAsia"/>
                <w:lang w:val="en-US" w:eastAsia="zh-CN"/>
              </w:rPr>
            </w:pPr>
            <w:r>
              <w:rPr>
                <w:rFonts w:hint="eastAsia"/>
                <w:lang w:val="en-US" w:eastAsia="zh-CN"/>
              </w:rPr>
              <w:t>西江</w:t>
            </w:r>
          </w:p>
        </w:tc>
        <w:tc>
          <w:tcPr>
            <w:tcW w:w="645" w:type="pct"/>
            <w:tcBorders>
              <w:top w:val="single" w:color="auto" w:sz="4" w:space="0"/>
              <w:left w:val="single" w:color="auto" w:sz="4" w:space="0"/>
              <w:bottom w:val="single" w:color="auto" w:sz="4" w:space="0"/>
              <w:right w:val="single" w:color="auto" w:sz="4" w:space="0"/>
            </w:tcBorders>
            <w:shd w:val="clear" w:color="auto" w:fill="FFFFFF"/>
            <w:vAlign w:val="center"/>
          </w:tcPr>
          <w:p w14:paraId="6BD1DB39">
            <w:pPr>
              <w:pStyle w:val="59"/>
              <w:bidi w:val="0"/>
              <w:rPr>
                <w:rFonts w:hint="eastAsia"/>
                <w:lang w:val="en-US" w:eastAsia="zh-CN"/>
              </w:rPr>
            </w:pPr>
            <w:r>
              <w:rPr>
                <w:rFonts w:hint="eastAsia"/>
                <w:lang w:val="en-US" w:eastAsia="zh-CN"/>
              </w:rPr>
              <w:t>沙坪河</w:t>
            </w:r>
          </w:p>
        </w:tc>
        <w:tc>
          <w:tcPr>
            <w:tcW w:w="1132" w:type="pct"/>
            <w:tcBorders>
              <w:top w:val="single" w:color="auto" w:sz="4" w:space="0"/>
              <w:left w:val="single" w:color="auto" w:sz="4" w:space="0"/>
              <w:bottom w:val="single" w:color="auto" w:sz="4" w:space="0"/>
              <w:right w:val="single" w:color="auto" w:sz="4" w:space="0"/>
            </w:tcBorders>
            <w:shd w:val="clear" w:color="auto" w:fill="FFFFFF"/>
            <w:vAlign w:val="center"/>
          </w:tcPr>
          <w:p w14:paraId="7455FBFE">
            <w:pPr>
              <w:pStyle w:val="59"/>
              <w:bidi w:val="0"/>
              <w:rPr>
                <w:rFonts w:hint="eastAsia"/>
                <w:lang w:val="en-US" w:eastAsia="zh-CN"/>
              </w:rPr>
            </w:pPr>
            <w:r>
              <w:rPr>
                <w:rFonts w:hint="eastAsia"/>
                <w:lang w:val="en-US" w:eastAsia="zh-CN"/>
              </w:rPr>
              <w:t>高明皂幕山</w:t>
            </w:r>
          </w:p>
        </w:tc>
        <w:tc>
          <w:tcPr>
            <w:tcW w:w="737" w:type="pct"/>
            <w:tcBorders>
              <w:top w:val="single" w:color="auto" w:sz="4" w:space="0"/>
              <w:left w:val="single" w:color="auto" w:sz="4" w:space="0"/>
              <w:bottom w:val="single" w:color="auto" w:sz="4" w:space="0"/>
              <w:right w:val="nil"/>
            </w:tcBorders>
            <w:shd w:val="clear" w:color="auto" w:fill="FFFFFF"/>
            <w:vAlign w:val="center"/>
          </w:tcPr>
          <w:p w14:paraId="5FD3A681">
            <w:pPr>
              <w:pStyle w:val="59"/>
              <w:bidi w:val="0"/>
              <w:rPr>
                <w:rFonts w:hint="eastAsia"/>
                <w:lang w:val="en-US" w:eastAsia="zh-CN"/>
              </w:rPr>
            </w:pPr>
            <w:r>
              <w:rPr>
                <w:rFonts w:hint="eastAsia"/>
                <w:lang w:val="en-US" w:eastAsia="zh-CN"/>
              </w:rPr>
              <w:t>鹤山玉桥</w:t>
            </w:r>
          </w:p>
        </w:tc>
        <w:tc>
          <w:tcPr>
            <w:tcW w:w="617" w:type="pct"/>
            <w:tcBorders>
              <w:top w:val="single" w:color="auto" w:sz="4" w:space="0"/>
              <w:left w:val="single" w:color="auto" w:sz="4" w:space="0"/>
              <w:bottom w:val="single" w:color="auto" w:sz="4" w:space="0"/>
              <w:right w:val="nil"/>
            </w:tcBorders>
            <w:shd w:val="clear" w:color="auto" w:fill="FFFFFF"/>
            <w:vAlign w:val="center"/>
          </w:tcPr>
          <w:p w14:paraId="1DFFCA24">
            <w:pPr>
              <w:pStyle w:val="59"/>
              <w:bidi w:val="0"/>
              <w:rPr>
                <w:rFonts w:hint="default"/>
                <w:lang w:val="en-US" w:eastAsia="zh-CN"/>
              </w:rPr>
            </w:pPr>
            <w:r>
              <w:rPr>
                <w:rFonts w:hint="default"/>
                <w:lang w:val="en-US" w:eastAsia="zh-CN"/>
              </w:rPr>
              <w:t>23</w:t>
            </w:r>
          </w:p>
        </w:tc>
        <w:tc>
          <w:tcPr>
            <w:tcW w:w="617" w:type="pct"/>
            <w:tcBorders>
              <w:top w:val="single" w:color="auto" w:sz="4" w:space="0"/>
              <w:left w:val="single" w:color="auto" w:sz="4" w:space="0"/>
              <w:bottom w:val="single" w:color="auto" w:sz="4" w:space="0"/>
              <w:right w:val="nil"/>
            </w:tcBorders>
            <w:shd w:val="clear" w:color="auto" w:fill="FFFFFF"/>
            <w:vAlign w:val="center"/>
          </w:tcPr>
          <w:p w14:paraId="6A49E6AD">
            <w:pPr>
              <w:pStyle w:val="59"/>
              <w:bidi w:val="0"/>
              <w:rPr>
                <w:rFonts w:hint="default"/>
                <w:lang w:val="en-US" w:eastAsia="zh-CN"/>
              </w:rPr>
            </w:pPr>
            <w:r>
              <w:rPr>
                <w:rFonts w:hint="default"/>
                <w:lang w:val="en-US" w:eastAsia="zh-CN"/>
              </w:rPr>
              <w:t>Ⅱ</w:t>
            </w:r>
          </w:p>
        </w:tc>
      </w:tr>
      <w:tr w14:paraId="4384E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20" w:type="pct"/>
            <w:tcBorders>
              <w:top w:val="single" w:color="auto" w:sz="4" w:space="0"/>
              <w:left w:val="nil"/>
              <w:bottom w:val="single" w:color="auto" w:sz="4" w:space="0"/>
              <w:right w:val="single" w:color="auto" w:sz="4" w:space="0"/>
            </w:tcBorders>
            <w:shd w:val="clear" w:color="auto" w:fill="FFFFFF"/>
            <w:vAlign w:val="center"/>
          </w:tcPr>
          <w:p w14:paraId="07B9BEFD">
            <w:pPr>
              <w:pStyle w:val="59"/>
              <w:numPr>
                <w:ilvl w:val="0"/>
                <w:numId w:val="15"/>
              </w:numPr>
              <w:bidi w:val="0"/>
              <w:ind w:left="425" w:leftChars="0" w:hanging="425" w:firstLineChars="0"/>
            </w:pPr>
          </w:p>
        </w:tc>
        <w:tc>
          <w:tcPr>
            <w:tcW w:w="463" w:type="pct"/>
            <w:tcBorders>
              <w:top w:val="single" w:color="auto" w:sz="4" w:space="0"/>
              <w:left w:val="single" w:color="auto" w:sz="4" w:space="0"/>
              <w:bottom w:val="single" w:color="auto" w:sz="4" w:space="0"/>
              <w:right w:val="single" w:color="auto" w:sz="4" w:space="0"/>
            </w:tcBorders>
            <w:shd w:val="clear" w:color="auto" w:fill="FFFFFF"/>
            <w:vAlign w:val="center"/>
          </w:tcPr>
          <w:p w14:paraId="0C188BDE">
            <w:pPr>
              <w:pStyle w:val="59"/>
              <w:bidi w:val="0"/>
              <w:rPr>
                <w:rFonts w:hint="eastAsia"/>
                <w:lang w:val="en-US" w:eastAsia="zh-CN"/>
              </w:rPr>
            </w:pPr>
            <w:r>
              <w:rPr>
                <w:rFonts w:hint="eastAsia"/>
                <w:lang w:val="en-US" w:eastAsia="zh-CN"/>
              </w:rPr>
              <w:t>工农</w:t>
            </w:r>
          </w:p>
        </w:tc>
        <w:tc>
          <w:tcPr>
            <w:tcW w:w="565" w:type="pct"/>
            <w:tcBorders>
              <w:top w:val="single" w:color="auto" w:sz="4" w:space="0"/>
              <w:left w:val="single" w:color="auto" w:sz="4" w:space="0"/>
              <w:bottom w:val="single" w:color="auto" w:sz="4" w:space="0"/>
              <w:right w:val="single" w:color="auto" w:sz="4" w:space="0"/>
            </w:tcBorders>
            <w:shd w:val="clear" w:color="auto" w:fill="FFFFFF"/>
            <w:vAlign w:val="center"/>
          </w:tcPr>
          <w:p w14:paraId="4CD62F4B">
            <w:pPr>
              <w:pStyle w:val="59"/>
              <w:bidi w:val="0"/>
              <w:rPr>
                <w:rFonts w:hint="eastAsia"/>
                <w:lang w:val="en-US" w:eastAsia="zh-CN"/>
              </w:rPr>
            </w:pPr>
            <w:r>
              <w:rPr>
                <w:rFonts w:hint="eastAsia"/>
                <w:lang w:val="en-US" w:eastAsia="zh-CN"/>
              </w:rPr>
              <w:t>西江</w:t>
            </w:r>
          </w:p>
        </w:tc>
        <w:tc>
          <w:tcPr>
            <w:tcW w:w="645" w:type="pct"/>
            <w:tcBorders>
              <w:top w:val="single" w:color="auto" w:sz="4" w:space="0"/>
              <w:left w:val="single" w:color="auto" w:sz="4" w:space="0"/>
              <w:bottom w:val="single" w:color="auto" w:sz="4" w:space="0"/>
              <w:right w:val="single" w:color="auto" w:sz="4" w:space="0"/>
            </w:tcBorders>
            <w:shd w:val="clear" w:color="auto" w:fill="FFFFFF"/>
            <w:vAlign w:val="center"/>
          </w:tcPr>
          <w:p w14:paraId="74485A8F">
            <w:pPr>
              <w:pStyle w:val="59"/>
              <w:bidi w:val="0"/>
              <w:rPr>
                <w:rFonts w:hint="eastAsia"/>
                <w:lang w:val="en-US" w:eastAsia="zh-CN"/>
              </w:rPr>
            </w:pPr>
            <w:r>
              <w:rPr>
                <w:rFonts w:hint="eastAsia"/>
                <w:lang w:val="en-US" w:eastAsia="zh-CN"/>
              </w:rPr>
              <w:t>沙坪河</w:t>
            </w:r>
          </w:p>
        </w:tc>
        <w:tc>
          <w:tcPr>
            <w:tcW w:w="1132" w:type="pct"/>
            <w:tcBorders>
              <w:top w:val="single" w:color="auto" w:sz="4" w:space="0"/>
              <w:left w:val="single" w:color="auto" w:sz="4" w:space="0"/>
              <w:bottom w:val="single" w:color="auto" w:sz="4" w:space="0"/>
              <w:right w:val="single" w:color="auto" w:sz="4" w:space="0"/>
            </w:tcBorders>
            <w:shd w:val="clear" w:color="auto" w:fill="FFFFFF"/>
            <w:vAlign w:val="center"/>
          </w:tcPr>
          <w:p w14:paraId="1AA7672E">
            <w:pPr>
              <w:pStyle w:val="59"/>
              <w:bidi w:val="0"/>
              <w:rPr>
                <w:rFonts w:hint="eastAsia"/>
                <w:lang w:val="en-US" w:eastAsia="zh-CN"/>
              </w:rPr>
            </w:pPr>
            <w:r>
              <w:rPr>
                <w:rFonts w:hint="eastAsia"/>
                <w:lang w:val="en-US" w:eastAsia="zh-CN"/>
              </w:rPr>
              <w:t>鹤山玉桥</w:t>
            </w:r>
          </w:p>
        </w:tc>
        <w:tc>
          <w:tcPr>
            <w:tcW w:w="737" w:type="pct"/>
            <w:tcBorders>
              <w:top w:val="single" w:color="auto" w:sz="4" w:space="0"/>
              <w:left w:val="single" w:color="auto" w:sz="4" w:space="0"/>
              <w:bottom w:val="single" w:color="auto" w:sz="4" w:space="0"/>
              <w:right w:val="nil"/>
            </w:tcBorders>
            <w:shd w:val="clear" w:color="auto" w:fill="FFFFFF"/>
            <w:vAlign w:val="center"/>
          </w:tcPr>
          <w:p w14:paraId="4A82F68C">
            <w:pPr>
              <w:pStyle w:val="59"/>
              <w:bidi w:val="0"/>
              <w:rPr>
                <w:rFonts w:hint="eastAsia"/>
                <w:lang w:val="en-US" w:eastAsia="zh-CN"/>
              </w:rPr>
            </w:pPr>
            <w:r>
              <w:rPr>
                <w:rFonts w:hint="eastAsia"/>
                <w:lang w:val="en-US" w:eastAsia="zh-CN"/>
              </w:rPr>
              <w:t>鹤山黄宝坑</w:t>
            </w:r>
          </w:p>
        </w:tc>
        <w:tc>
          <w:tcPr>
            <w:tcW w:w="617" w:type="pct"/>
            <w:tcBorders>
              <w:top w:val="single" w:color="auto" w:sz="4" w:space="0"/>
              <w:left w:val="single" w:color="auto" w:sz="4" w:space="0"/>
              <w:bottom w:val="single" w:color="auto" w:sz="4" w:space="0"/>
              <w:right w:val="nil"/>
            </w:tcBorders>
            <w:shd w:val="clear" w:color="auto" w:fill="FFFFFF"/>
            <w:vAlign w:val="center"/>
          </w:tcPr>
          <w:p w14:paraId="6608C7E6">
            <w:pPr>
              <w:pStyle w:val="59"/>
              <w:bidi w:val="0"/>
              <w:rPr>
                <w:rFonts w:hint="default"/>
                <w:lang w:val="en-US" w:eastAsia="zh-CN"/>
              </w:rPr>
            </w:pPr>
            <w:r>
              <w:rPr>
                <w:rFonts w:hint="default"/>
                <w:lang w:val="en-US" w:eastAsia="zh-CN"/>
              </w:rPr>
              <w:t>16</w:t>
            </w:r>
          </w:p>
        </w:tc>
        <w:tc>
          <w:tcPr>
            <w:tcW w:w="617" w:type="pct"/>
            <w:tcBorders>
              <w:top w:val="single" w:color="auto" w:sz="4" w:space="0"/>
              <w:left w:val="single" w:color="auto" w:sz="4" w:space="0"/>
              <w:bottom w:val="single" w:color="auto" w:sz="4" w:space="0"/>
              <w:right w:val="nil"/>
            </w:tcBorders>
            <w:shd w:val="clear" w:color="auto" w:fill="FFFFFF"/>
            <w:vAlign w:val="center"/>
          </w:tcPr>
          <w:p w14:paraId="198504D4">
            <w:pPr>
              <w:pStyle w:val="59"/>
              <w:bidi w:val="0"/>
              <w:rPr>
                <w:rFonts w:hint="default"/>
                <w:lang w:val="en-US" w:eastAsia="zh-CN"/>
              </w:rPr>
            </w:pPr>
            <w:r>
              <w:rPr>
                <w:rFonts w:hint="default"/>
                <w:lang w:val="en-US" w:eastAsia="zh-CN"/>
              </w:rPr>
              <w:t>Ⅲ</w:t>
            </w:r>
          </w:p>
        </w:tc>
      </w:tr>
      <w:tr w14:paraId="7793F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20" w:type="pct"/>
            <w:tcBorders>
              <w:top w:val="single" w:color="auto" w:sz="4" w:space="0"/>
              <w:left w:val="nil"/>
              <w:bottom w:val="single" w:color="auto" w:sz="4" w:space="0"/>
              <w:right w:val="single" w:color="auto" w:sz="4" w:space="0"/>
            </w:tcBorders>
            <w:shd w:val="clear" w:color="auto" w:fill="FFFFFF"/>
            <w:vAlign w:val="center"/>
          </w:tcPr>
          <w:p w14:paraId="293E97D4">
            <w:pPr>
              <w:pStyle w:val="59"/>
              <w:numPr>
                <w:ilvl w:val="0"/>
                <w:numId w:val="15"/>
              </w:numPr>
              <w:bidi w:val="0"/>
              <w:ind w:left="425" w:leftChars="0" w:hanging="425" w:firstLineChars="0"/>
            </w:pPr>
          </w:p>
        </w:tc>
        <w:tc>
          <w:tcPr>
            <w:tcW w:w="463" w:type="pct"/>
            <w:tcBorders>
              <w:top w:val="single" w:color="auto" w:sz="4" w:space="0"/>
              <w:left w:val="single" w:color="auto" w:sz="4" w:space="0"/>
              <w:bottom w:val="single" w:color="auto" w:sz="4" w:space="0"/>
              <w:right w:val="single" w:color="auto" w:sz="4" w:space="0"/>
            </w:tcBorders>
            <w:shd w:val="clear" w:color="auto" w:fill="FFFFFF"/>
            <w:vAlign w:val="center"/>
          </w:tcPr>
          <w:p w14:paraId="1E7BDAFA">
            <w:pPr>
              <w:pStyle w:val="59"/>
              <w:bidi w:val="0"/>
              <w:rPr>
                <w:rFonts w:hint="eastAsia"/>
                <w:lang w:val="en-US" w:eastAsia="zh-CN"/>
              </w:rPr>
            </w:pPr>
            <w:r>
              <w:rPr>
                <w:rFonts w:hint="eastAsia"/>
                <w:lang w:val="en-US" w:eastAsia="zh-CN"/>
              </w:rPr>
              <w:t>饮工农</w:t>
            </w:r>
          </w:p>
        </w:tc>
        <w:tc>
          <w:tcPr>
            <w:tcW w:w="565" w:type="pct"/>
            <w:tcBorders>
              <w:top w:val="single" w:color="auto" w:sz="4" w:space="0"/>
              <w:left w:val="single" w:color="auto" w:sz="4" w:space="0"/>
              <w:bottom w:val="single" w:color="auto" w:sz="4" w:space="0"/>
              <w:right w:val="single" w:color="auto" w:sz="4" w:space="0"/>
            </w:tcBorders>
            <w:shd w:val="clear" w:color="auto" w:fill="FFFFFF"/>
            <w:vAlign w:val="center"/>
          </w:tcPr>
          <w:p w14:paraId="08E3908B">
            <w:pPr>
              <w:pStyle w:val="59"/>
              <w:bidi w:val="0"/>
              <w:rPr>
                <w:rFonts w:hint="eastAsia"/>
                <w:lang w:val="en-US" w:eastAsia="zh-CN"/>
              </w:rPr>
            </w:pPr>
            <w:r>
              <w:rPr>
                <w:rFonts w:hint="eastAsia"/>
                <w:lang w:val="en-US" w:eastAsia="zh-CN"/>
              </w:rPr>
              <w:t>西江</w:t>
            </w:r>
          </w:p>
        </w:tc>
        <w:tc>
          <w:tcPr>
            <w:tcW w:w="645" w:type="pct"/>
            <w:tcBorders>
              <w:top w:val="single" w:color="auto" w:sz="4" w:space="0"/>
              <w:left w:val="single" w:color="auto" w:sz="4" w:space="0"/>
              <w:bottom w:val="single" w:color="auto" w:sz="4" w:space="0"/>
              <w:right w:val="single" w:color="auto" w:sz="4" w:space="0"/>
            </w:tcBorders>
            <w:shd w:val="clear" w:color="auto" w:fill="FFFFFF"/>
            <w:vAlign w:val="center"/>
          </w:tcPr>
          <w:p w14:paraId="06266BAB">
            <w:pPr>
              <w:pStyle w:val="59"/>
              <w:bidi w:val="0"/>
              <w:rPr>
                <w:rFonts w:hint="eastAsia"/>
                <w:lang w:val="en-US" w:eastAsia="zh-CN"/>
              </w:rPr>
            </w:pPr>
            <w:r>
              <w:rPr>
                <w:rFonts w:hint="eastAsia"/>
                <w:lang w:val="en-US" w:eastAsia="zh-CN"/>
              </w:rPr>
              <w:t>桃源水</w:t>
            </w:r>
          </w:p>
        </w:tc>
        <w:tc>
          <w:tcPr>
            <w:tcW w:w="1132" w:type="pct"/>
            <w:tcBorders>
              <w:top w:val="single" w:color="auto" w:sz="4" w:space="0"/>
              <w:left w:val="single" w:color="auto" w:sz="4" w:space="0"/>
              <w:bottom w:val="single" w:color="auto" w:sz="4" w:space="0"/>
              <w:right w:val="single" w:color="auto" w:sz="4" w:space="0"/>
            </w:tcBorders>
            <w:shd w:val="clear" w:color="auto" w:fill="FFFFFF"/>
            <w:vAlign w:val="center"/>
          </w:tcPr>
          <w:p w14:paraId="74044A29">
            <w:pPr>
              <w:pStyle w:val="59"/>
              <w:bidi w:val="0"/>
              <w:rPr>
                <w:rFonts w:hint="eastAsia"/>
                <w:lang w:val="en-US" w:eastAsia="zh-CN"/>
              </w:rPr>
            </w:pPr>
            <w:r>
              <w:rPr>
                <w:rFonts w:hint="eastAsia"/>
                <w:lang w:val="en-US" w:eastAsia="zh-CN"/>
              </w:rPr>
              <w:t>鹿洞山纸鹞头</w:t>
            </w:r>
          </w:p>
        </w:tc>
        <w:tc>
          <w:tcPr>
            <w:tcW w:w="737" w:type="pct"/>
            <w:tcBorders>
              <w:top w:val="single" w:color="auto" w:sz="4" w:space="0"/>
              <w:left w:val="single" w:color="auto" w:sz="4" w:space="0"/>
              <w:bottom w:val="single" w:color="auto" w:sz="4" w:space="0"/>
              <w:right w:val="nil"/>
            </w:tcBorders>
            <w:shd w:val="clear" w:color="auto" w:fill="FFFFFF"/>
            <w:vAlign w:val="center"/>
          </w:tcPr>
          <w:p w14:paraId="1E9617DF">
            <w:pPr>
              <w:pStyle w:val="59"/>
              <w:bidi w:val="0"/>
              <w:rPr>
                <w:rFonts w:hint="eastAsia"/>
                <w:lang w:val="en-US" w:eastAsia="zh-CN"/>
              </w:rPr>
            </w:pPr>
            <w:r>
              <w:rPr>
                <w:rFonts w:hint="eastAsia"/>
                <w:lang w:val="en-US" w:eastAsia="zh-CN"/>
              </w:rPr>
              <w:t>玉桥</w:t>
            </w:r>
          </w:p>
        </w:tc>
        <w:tc>
          <w:tcPr>
            <w:tcW w:w="617" w:type="pct"/>
            <w:tcBorders>
              <w:top w:val="single" w:color="auto" w:sz="4" w:space="0"/>
              <w:left w:val="single" w:color="auto" w:sz="4" w:space="0"/>
              <w:bottom w:val="single" w:color="auto" w:sz="4" w:space="0"/>
              <w:right w:val="nil"/>
            </w:tcBorders>
            <w:shd w:val="clear" w:color="auto" w:fill="FFFFFF"/>
            <w:vAlign w:val="center"/>
          </w:tcPr>
          <w:p w14:paraId="6C8AF337">
            <w:pPr>
              <w:pStyle w:val="59"/>
              <w:bidi w:val="0"/>
              <w:rPr>
                <w:rFonts w:hint="default"/>
                <w:lang w:val="en-US" w:eastAsia="zh-CN"/>
              </w:rPr>
            </w:pPr>
            <w:r>
              <w:rPr>
                <w:rFonts w:hint="default"/>
                <w:lang w:val="en-US" w:eastAsia="zh-CN"/>
              </w:rPr>
              <w:t>18</w:t>
            </w:r>
          </w:p>
        </w:tc>
        <w:tc>
          <w:tcPr>
            <w:tcW w:w="617" w:type="pct"/>
            <w:tcBorders>
              <w:top w:val="single" w:color="auto" w:sz="4" w:space="0"/>
              <w:left w:val="single" w:color="auto" w:sz="4" w:space="0"/>
              <w:bottom w:val="single" w:color="auto" w:sz="4" w:space="0"/>
              <w:right w:val="nil"/>
            </w:tcBorders>
            <w:shd w:val="clear" w:color="auto" w:fill="FFFFFF"/>
            <w:vAlign w:val="center"/>
          </w:tcPr>
          <w:p w14:paraId="7F4DC01E">
            <w:pPr>
              <w:pStyle w:val="59"/>
              <w:bidi w:val="0"/>
              <w:rPr>
                <w:rFonts w:hint="default"/>
                <w:lang w:val="en-US" w:eastAsia="zh-CN"/>
              </w:rPr>
            </w:pPr>
            <w:r>
              <w:rPr>
                <w:rFonts w:hint="default"/>
                <w:lang w:val="en-US" w:eastAsia="zh-CN"/>
              </w:rPr>
              <w:t>Ⅱ</w:t>
            </w:r>
          </w:p>
        </w:tc>
      </w:tr>
      <w:tr w14:paraId="52292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20" w:type="pct"/>
            <w:tcBorders>
              <w:top w:val="single" w:color="auto" w:sz="4" w:space="0"/>
              <w:left w:val="nil"/>
              <w:bottom w:val="single" w:color="000000" w:sz="12" w:space="0"/>
              <w:right w:val="single" w:color="auto" w:sz="4" w:space="0"/>
            </w:tcBorders>
            <w:shd w:val="clear" w:color="auto" w:fill="FFFFFF"/>
            <w:vAlign w:val="center"/>
          </w:tcPr>
          <w:p w14:paraId="64C588FE">
            <w:pPr>
              <w:pStyle w:val="59"/>
              <w:numPr>
                <w:ilvl w:val="0"/>
                <w:numId w:val="15"/>
              </w:numPr>
              <w:bidi w:val="0"/>
              <w:ind w:left="425" w:leftChars="0" w:hanging="425" w:firstLineChars="0"/>
            </w:pPr>
          </w:p>
        </w:tc>
        <w:tc>
          <w:tcPr>
            <w:tcW w:w="463" w:type="pct"/>
            <w:tcBorders>
              <w:top w:val="single" w:color="auto" w:sz="4" w:space="0"/>
              <w:left w:val="single" w:color="auto" w:sz="4" w:space="0"/>
              <w:bottom w:val="single" w:color="000000" w:sz="12" w:space="0"/>
              <w:right w:val="single" w:color="auto" w:sz="4" w:space="0"/>
            </w:tcBorders>
            <w:shd w:val="clear" w:color="auto" w:fill="FFFFFF"/>
            <w:vAlign w:val="center"/>
          </w:tcPr>
          <w:p w14:paraId="23E3E3B5">
            <w:pPr>
              <w:pStyle w:val="59"/>
              <w:bidi w:val="0"/>
              <w:rPr>
                <w:rFonts w:hint="eastAsia"/>
                <w:lang w:val="en-US" w:eastAsia="zh-CN"/>
              </w:rPr>
            </w:pPr>
            <w:r>
              <w:rPr>
                <w:rFonts w:hint="eastAsia"/>
                <w:lang w:val="en-US" w:eastAsia="zh-CN"/>
              </w:rPr>
              <w:t>饮工农</w:t>
            </w:r>
          </w:p>
        </w:tc>
        <w:tc>
          <w:tcPr>
            <w:tcW w:w="565" w:type="pct"/>
            <w:tcBorders>
              <w:top w:val="single" w:color="auto" w:sz="4" w:space="0"/>
              <w:left w:val="single" w:color="auto" w:sz="4" w:space="0"/>
              <w:bottom w:val="single" w:color="000000" w:sz="12" w:space="0"/>
              <w:right w:val="single" w:color="auto" w:sz="4" w:space="0"/>
            </w:tcBorders>
            <w:shd w:val="clear" w:color="auto" w:fill="FFFFFF"/>
            <w:vAlign w:val="center"/>
          </w:tcPr>
          <w:p w14:paraId="2F6D3836">
            <w:pPr>
              <w:pStyle w:val="59"/>
              <w:bidi w:val="0"/>
              <w:rPr>
                <w:rFonts w:hint="eastAsia"/>
                <w:lang w:val="en-US" w:eastAsia="zh-CN"/>
              </w:rPr>
            </w:pPr>
            <w:r>
              <w:rPr>
                <w:rFonts w:hint="eastAsia"/>
                <w:lang w:val="en-US" w:eastAsia="zh-CN"/>
              </w:rPr>
              <w:t>西江</w:t>
            </w:r>
          </w:p>
        </w:tc>
        <w:tc>
          <w:tcPr>
            <w:tcW w:w="645" w:type="pct"/>
            <w:tcBorders>
              <w:top w:val="single" w:color="auto" w:sz="4" w:space="0"/>
              <w:left w:val="single" w:color="auto" w:sz="4" w:space="0"/>
              <w:bottom w:val="single" w:color="000000" w:sz="12" w:space="0"/>
              <w:right w:val="single" w:color="auto" w:sz="4" w:space="0"/>
            </w:tcBorders>
            <w:shd w:val="clear" w:color="auto" w:fill="FFFFFF"/>
            <w:vAlign w:val="center"/>
          </w:tcPr>
          <w:p w14:paraId="43487611">
            <w:pPr>
              <w:pStyle w:val="59"/>
              <w:bidi w:val="0"/>
              <w:rPr>
                <w:rFonts w:hint="eastAsia"/>
                <w:lang w:val="en-US" w:eastAsia="zh-CN"/>
              </w:rPr>
            </w:pPr>
            <w:r>
              <w:rPr>
                <w:rFonts w:hint="eastAsia"/>
                <w:lang w:val="en-US" w:eastAsia="zh-CN"/>
              </w:rPr>
              <w:t>升平水</w:t>
            </w:r>
          </w:p>
        </w:tc>
        <w:tc>
          <w:tcPr>
            <w:tcW w:w="1132" w:type="pct"/>
            <w:tcBorders>
              <w:top w:val="single" w:color="auto" w:sz="4" w:space="0"/>
              <w:left w:val="single" w:color="auto" w:sz="4" w:space="0"/>
              <w:bottom w:val="single" w:color="000000" w:sz="12" w:space="0"/>
              <w:right w:val="single" w:color="auto" w:sz="4" w:space="0"/>
            </w:tcBorders>
            <w:shd w:val="clear" w:color="auto" w:fill="FFFFFF"/>
            <w:vAlign w:val="center"/>
          </w:tcPr>
          <w:p w14:paraId="0C307EA1">
            <w:pPr>
              <w:pStyle w:val="59"/>
              <w:bidi w:val="0"/>
              <w:rPr>
                <w:rFonts w:hint="eastAsia"/>
                <w:lang w:val="en-US" w:eastAsia="zh-CN"/>
              </w:rPr>
            </w:pPr>
            <w:r>
              <w:rPr>
                <w:rFonts w:hint="eastAsia"/>
                <w:lang w:val="en-US" w:eastAsia="zh-CN"/>
              </w:rPr>
              <w:t>皂幕山</w:t>
            </w:r>
          </w:p>
        </w:tc>
        <w:tc>
          <w:tcPr>
            <w:tcW w:w="737" w:type="pct"/>
            <w:tcBorders>
              <w:top w:val="single" w:color="auto" w:sz="4" w:space="0"/>
              <w:left w:val="single" w:color="auto" w:sz="4" w:space="0"/>
              <w:bottom w:val="single" w:color="000000" w:sz="12" w:space="0"/>
              <w:right w:val="nil"/>
            </w:tcBorders>
            <w:shd w:val="clear" w:color="auto" w:fill="FFFFFF"/>
            <w:vAlign w:val="center"/>
          </w:tcPr>
          <w:p w14:paraId="44BD6BF3">
            <w:pPr>
              <w:pStyle w:val="59"/>
              <w:bidi w:val="0"/>
              <w:rPr>
                <w:rFonts w:hint="eastAsia"/>
                <w:lang w:val="en-US" w:eastAsia="zh-CN"/>
              </w:rPr>
            </w:pPr>
            <w:r>
              <w:rPr>
                <w:rFonts w:hint="eastAsia"/>
                <w:lang w:val="en-US" w:eastAsia="zh-CN"/>
              </w:rPr>
              <w:t>黄沙滩</w:t>
            </w:r>
          </w:p>
        </w:tc>
        <w:tc>
          <w:tcPr>
            <w:tcW w:w="617" w:type="pct"/>
            <w:tcBorders>
              <w:top w:val="single" w:color="auto" w:sz="4" w:space="0"/>
              <w:left w:val="single" w:color="auto" w:sz="4" w:space="0"/>
              <w:bottom w:val="single" w:color="000000" w:sz="12" w:space="0"/>
              <w:right w:val="nil"/>
            </w:tcBorders>
            <w:shd w:val="clear" w:color="auto" w:fill="FFFFFF"/>
            <w:vAlign w:val="center"/>
          </w:tcPr>
          <w:p w14:paraId="5B025D40">
            <w:pPr>
              <w:pStyle w:val="59"/>
              <w:bidi w:val="0"/>
              <w:rPr>
                <w:rFonts w:hint="default"/>
                <w:lang w:val="en-US" w:eastAsia="zh-CN"/>
              </w:rPr>
            </w:pPr>
            <w:r>
              <w:rPr>
                <w:rFonts w:hint="default"/>
                <w:lang w:val="en-US" w:eastAsia="zh-CN"/>
              </w:rPr>
              <w:t>25</w:t>
            </w:r>
          </w:p>
        </w:tc>
        <w:tc>
          <w:tcPr>
            <w:tcW w:w="617" w:type="pct"/>
            <w:tcBorders>
              <w:top w:val="single" w:color="auto" w:sz="4" w:space="0"/>
              <w:left w:val="single" w:color="auto" w:sz="4" w:space="0"/>
              <w:bottom w:val="single" w:color="000000" w:sz="12" w:space="0"/>
              <w:right w:val="nil"/>
            </w:tcBorders>
            <w:shd w:val="clear" w:color="auto" w:fill="FFFFFF"/>
            <w:vAlign w:val="center"/>
          </w:tcPr>
          <w:p w14:paraId="0CA90E77">
            <w:pPr>
              <w:pStyle w:val="59"/>
              <w:bidi w:val="0"/>
              <w:rPr>
                <w:rFonts w:hint="default"/>
                <w:lang w:val="en-US" w:eastAsia="zh-CN"/>
              </w:rPr>
            </w:pPr>
            <w:r>
              <w:rPr>
                <w:rFonts w:hint="default"/>
                <w:lang w:val="en-US" w:eastAsia="zh-CN"/>
              </w:rPr>
              <w:t>Ⅱ</w:t>
            </w:r>
          </w:p>
        </w:tc>
      </w:tr>
    </w:tbl>
    <w:p w14:paraId="4CB0FA05">
      <w:pPr>
        <w:keepNext w:val="0"/>
        <w:keepLines w:val="0"/>
        <w:pageBreakBefore w:val="0"/>
        <w:widowControl w:val="0"/>
        <w:kinsoku/>
        <w:wordWrap/>
        <w:overflowPunct/>
        <w:topLinePunct w:val="0"/>
        <w:autoSpaceDE/>
        <w:autoSpaceDN/>
        <w:bidi w:val="0"/>
        <w:adjustRightInd/>
        <w:snapToGrid/>
        <w:spacing w:before="169" w:beforeLines="50"/>
        <w:ind w:firstLine="480"/>
        <w:textAlignment w:val="auto"/>
        <w:rPr>
          <w:color w:val="auto"/>
        </w:rPr>
      </w:pPr>
      <w:r>
        <w:rPr>
          <w:rFonts w:hint="eastAsia"/>
          <w:color w:val="auto"/>
        </w:rPr>
        <w:t>根据《广东省人民政府关于印发部分乡镇集中式饮用水源保护区划分方案的通知》（粤府函〔2015〕17号）、《广东省人民政府关于调整江门市部分饮用水水源保护区的批复》（粤府函〔2019〕273号），项目所在地</w:t>
      </w:r>
      <w:r>
        <w:rPr>
          <w:color w:val="auto"/>
        </w:rPr>
        <w:t>不在上述的水源地保护区及水产种质资源保护区范围内</w:t>
      </w:r>
      <w:r>
        <w:rPr>
          <w:rFonts w:hint="eastAsia"/>
          <w:color w:val="auto"/>
        </w:rPr>
        <w:t>。</w:t>
      </w:r>
      <w:r>
        <w:rPr>
          <w:color w:val="auto"/>
        </w:rPr>
        <w:t>水源地保护区及水产种质资源保护区范围</w:t>
      </w:r>
      <w:r>
        <w:rPr>
          <w:rFonts w:hint="eastAsia"/>
          <w:color w:val="auto"/>
        </w:rPr>
        <w:t>具体见表</w:t>
      </w:r>
      <w:r>
        <w:rPr>
          <w:rFonts w:hint="eastAsia"/>
          <w:color w:val="auto"/>
          <w:lang w:val="en-US" w:eastAsia="zh-CN"/>
        </w:rPr>
        <w:t>1.3-2</w:t>
      </w:r>
      <w:r>
        <w:rPr>
          <w:rFonts w:hint="eastAsia"/>
          <w:color w:val="auto"/>
        </w:rPr>
        <w:t>。</w:t>
      </w:r>
    </w:p>
    <w:p w14:paraId="79D05840">
      <w:pPr>
        <w:pStyle w:val="85"/>
        <w:numPr>
          <w:ilvl w:val="0"/>
          <w:numId w:val="14"/>
        </w:numPr>
        <w:bidi w:val="0"/>
        <w:ind w:left="0" w:leftChars="0" w:firstLine="0" w:firstLineChars="0"/>
        <w:rPr>
          <w:rFonts w:ascii="Times New Roman" w:hAnsi="Times New Roman" w:eastAsia="宋体" w:cs="Times New Roman"/>
        </w:rPr>
      </w:pPr>
      <w:r>
        <w:rPr>
          <w:rFonts w:hint="eastAsia" w:ascii="Times New Roman" w:hAnsi="Times New Roman" w:eastAsia="宋体" w:cs="Times New Roman"/>
        </w:rPr>
        <w:t>项目周边饮用水水源保护区</w:t>
      </w:r>
    </w:p>
    <w:tbl>
      <w:tblPr>
        <w:tblStyle w:val="38"/>
        <w:tblW w:w="9174"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6"/>
        <w:gridCol w:w="771"/>
        <w:gridCol w:w="566"/>
        <w:gridCol w:w="850"/>
        <w:gridCol w:w="2695"/>
        <w:gridCol w:w="2781"/>
        <w:gridCol w:w="755"/>
      </w:tblGrid>
      <w:tr w14:paraId="0E3709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56" w:type="dxa"/>
            <w:vAlign w:val="center"/>
          </w:tcPr>
          <w:p w14:paraId="6BD7283C">
            <w:pPr>
              <w:pStyle w:val="69"/>
              <w:bidi w:val="0"/>
            </w:pPr>
            <w:r>
              <w:rPr>
                <w:rFonts w:hint="eastAsia"/>
              </w:rPr>
              <w:t>保护区所在地</w:t>
            </w:r>
          </w:p>
        </w:tc>
        <w:tc>
          <w:tcPr>
            <w:tcW w:w="771" w:type="dxa"/>
            <w:vAlign w:val="center"/>
          </w:tcPr>
          <w:p w14:paraId="176D578E">
            <w:pPr>
              <w:pStyle w:val="69"/>
              <w:bidi w:val="0"/>
            </w:pPr>
            <w:r>
              <w:rPr>
                <w:rFonts w:hint="eastAsia"/>
              </w:rPr>
              <w:t>保护区水体</w:t>
            </w:r>
          </w:p>
        </w:tc>
        <w:tc>
          <w:tcPr>
            <w:tcW w:w="566" w:type="dxa"/>
            <w:vAlign w:val="center"/>
          </w:tcPr>
          <w:p w14:paraId="04B4A73F">
            <w:pPr>
              <w:pStyle w:val="69"/>
              <w:bidi w:val="0"/>
            </w:pPr>
            <w:r>
              <w:rPr>
                <w:rFonts w:hint="eastAsia"/>
              </w:rPr>
              <w:t>级别</w:t>
            </w:r>
          </w:p>
        </w:tc>
        <w:tc>
          <w:tcPr>
            <w:tcW w:w="850" w:type="dxa"/>
            <w:vAlign w:val="center"/>
          </w:tcPr>
          <w:p w14:paraId="3FC8A8D5">
            <w:pPr>
              <w:pStyle w:val="69"/>
              <w:bidi w:val="0"/>
            </w:pPr>
            <w:r>
              <w:rPr>
                <w:rFonts w:hint="eastAsia"/>
              </w:rPr>
              <w:t>水质保护目标</w:t>
            </w:r>
          </w:p>
        </w:tc>
        <w:tc>
          <w:tcPr>
            <w:tcW w:w="2695" w:type="dxa"/>
            <w:vAlign w:val="center"/>
          </w:tcPr>
          <w:p w14:paraId="4ED5BADC">
            <w:pPr>
              <w:pStyle w:val="69"/>
              <w:bidi w:val="0"/>
            </w:pPr>
            <w:r>
              <w:rPr>
                <w:rFonts w:hint="eastAsia"/>
              </w:rPr>
              <w:t>水域保护防卫</w:t>
            </w:r>
          </w:p>
        </w:tc>
        <w:tc>
          <w:tcPr>
            <w:tcW w:w="2781" w:type="dxa"/>
            <w:vAlign w:val="center"/>
          </w:tcPr>
          <w:p w14:paraId="3FC8507D">
            <w:pPr>
              <w:pStyle w:val="69"/>
              <w:bidi w:val="0"/>
            </w:pPr>
            <w:r>
              <w:rPr>
                <w:rFonts w:hint="eastAsia"/>
              </w:rPr>
              <w:t>陆域保护范围</w:t>
            </w:r>
          </w:p>
        </w:tc>
        <w:tc>
          <w:tcPr>
            <w:tcW w:w="755" w:type="dxa"/>
            <w:vAlign w:val="center"/>
          </w:tcPr>
          <w:p w14:paraId="06A50AEA">
            <w:pPr>
              <w:pStyle w:val="69"/>
              <w:bidi w:val="0"/>
            </w:pPr>
            <w:r>
              <w:rPr>
                <w:rFonts w:hint="eastAsia"/>
              </w:rPr>
              <w:t>相对项目距离</w:t>
            </w:r>
          </w:p>
        </w:tc>
      </w:tr>
      <w:tr w14:paraId="360B2F8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restart"/>
            <w:vAlign w:val="center"/>
          </w:tcPr>
          <w:p w14:paraId="634D3315">
            <w:pPr>
              <w:pStyle w:val="69"/>
              <w:bidi w:val="0"/>
            </w:pPr>
            <w:r>
              <w:rPr>
                <w:rFonts w:hint="eastAsia"/>
              </w:rPr>
              <w:t>云乡镇</w:t>
            </w:r>
          </w:p>
        </w:tc>
        <w:tc>
          <w:tcPr>
            <w:tcW w:w="771" w:type="dxa"/>
            <w:vMerge w:val="restart"/>
            <w:vAlign w:val="center"/>
          </w:tcPr>
          <w:p w14:paraId="45F54187">
            <w:pPr>
              <w:pStyle w:val="69"/>
              <w:bidi w:val="0"/>
            </w:pPr>
            <w:r>
              <w:rPr>
                <w:rFonts w:hint="eastAsia"/>
              </w:rPr>
              <w:t>云乡水库</w:t>
            </w:r>
          </w:p>
        </w:tc>
        <w:tc>
          <w:tcPr>
            <w:tcW w:w="566" w:type="dxa"/>
            <w:vAlign w:val="center"/>
          </w:tcPr>
          <w:p w14:paraId="37FEE07A">
            <w:pPr>
              <w:pStyle w:val="69"/>
              <w:bidi w:val="0"/>
            </w:pPr>
            <w:r>
              <w:rPr>
                <w:rFonts w:hint="eastAsia"/>
              </w:rPr>
              <w:t>一级</w:t>
            </w:r>
          </w:p>
        </w:tc>
        <w:tc>
          <w:tcPr>
            <w:tcW w:w="850" w:type="dxa"/>
            <w:vAlign w:val="center"/>
          </w:tcPr>
          <w:p w14:paraId="51A758DE">
            <w:pPr>
              <w:pStyle w:val="69"/>
              <w:bidi w:val="0"/>
            </w:pPr>
            <w:r>
              <w:t>Ⅱ类</w:t>
            </w:r>
          </w:p>
        </w:tc>
        <w:tc>
          <w:tcPr>
            <w:tcW w:w="2695" w:type="dxa"/>
            <w:vAlign w:val="center"/>
          </w:tcPr>
          <w:p w14:paraId="2D17C80D">
            <w:pPr>
              <w:pStyle w:val="69"/>
              <w:bidi w:val="0"/>
            </w:pPr>
            <w:r>
              <w:t>水库正常水位线(高程91.76米)以下的全部水域范围</w:t>
            </w:r>
          </w:p>
        </w:tc>
        <w:tc>
          <w:tcPr>
            <w:tcW w:w="2781" w:type="dxa"/>
            <w:vAlign w:val="center"/>
          </w:tcPr>
          <w:p w14:paraId="0C9D0AAE">
            <w:pPr>
              <w:pStyle w:val="69"/>
              <w:bidi w:val="0"/>
            </w:pPr>
            <w:r>
              <w:t>水库相应一级保护区水域向陆域纵深200米范围内陆域，但不超过流域分水岭范围</w:t>
            </w:r>
          </w:p>
        </w:tc>
        <w:tc>
          <w:tcPr>
            <w:tcW w:w="755" w:type="dxa"/>
            <w:vMerge w:val="restart"/>
            <w:vAlign w:val="center"/>
          </w:tcPr>
          <w:p w14:paraId="0A0FC87F">
            <w:pPr>
              <w:pStyle w:val="69"/>
              <w:bidi w:val="0"/>
              <w:rPr>
                <w:rFonts w:hint="default" w:eastAsia="宋体"/>
                <w:lang w:val="en-US" w:eastAsia="zh-CN"/>
              </w:rPr>
            </w:pPr>
            <w:r>
              <w:rPr>
                <w:rFonts w:hint="eastAsia"/>
                <w:lang w:val="en-US" w:eastAsia="zh-CN"/>
              </w:rPr>
              <w:t>31km</w:t>
            </w:r>
          </w:p>
        </w:tc>
      </w:tr>
      <w:tr w14:paraId="1ED92B7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6B6F0607">
            <w:pPr>
              <w:pStyle w:val="69"/>
              <w:bidi w:val="0"/>
            </w:pPr>
          </w:p>
        </w:tc>
        <w:tc>
          <w:tcPr>
            <w:tcW w:w="771" w:type="dxa"/>
            <w:vMerge w:val="continue"/>
            <w:vAlign w:val="center"/>
          </w:tcPr>
          <w:p w14:paraId="0DFD31DB">
            <w:pPr>
              <w:pStyle w:val="69"/>
              <w:bidi w:val="0"/>
            </w:pPr>
          </w:p>
        </w:tc>
        <w:tc>
          <w:tcPr>
            <w:tcW w:w="566" w:type="dxa"/>
            <w:vAlign w:val="center"/>
          </w:tcPr>
          <w:p w14:paraId="12507BB5">
            <w:pPr>
              <w:pStyle w:val="69"/>
              <w:bidi w:val="0"/>
            </w:pPr>
            <w:r>
              <w:rPr>
                <w:rFonts w:hint="eastAsia"/>
              </w:rPr>
              <w:t>二级</w:t>
            </w:r>
          </w:p>
        </w:tc>
        <w:tc>
          <w:tcPr>
            <w:tcW w:w="850" w:type="dxa"/>
            <w:vAlign w:val="center"/>
          </w:tcPr>
          <w:p w14:paraId="1744A8D8">
            <w:pPr>
              <w:pStyle w:val="69"/>
              <w:bidi w:val="0"/>
            </w:pPr>
            <w:r>
              <w:t>Ⅲ类</w:t>
            </w:r>
          </w:p>
        </w:tc>
        <w:tc>
          <w:tcPr>
            <w:tcW w:w="2695" w:type="dxa"/>
            <w:vAlign w:val="center"/>
          </w:tcPr>
          <w:p w14:paraId="49FFD863">
            <w:pPr>
              <w:pStyle w:val="69"/>
              <w:bidi w:val="0"/>
            </w:pPr>
            <w:r>
              <w:t>水库一级保护区外的全部水域，包括各入库支流</w:t>
            </w:r>
          </w:p>
        </w:tc>
        <w:tc>
          <w:tcPr>
            <w:tcW w:w="2781" w:type="dxa"/>
            <w:vAlign w:val="center"/>
          </w:tcPr>
          <w:p w14:paraId="0E8E0CE6">
            <w:pPr>
              <w:pStyle w:val="69"/>
              <w:bidi w:val="0"/>
            </w:pPr>
            <w:r>
              <w:t>水库除一级保护区外的所有相应集水区</w:t>
            </w:r>
          </w:p>
        </w:tc>
        <w:tc>
          <w:tcPr>
            <w:tcW w:w="755" w:type="dxa"/>
            <w:vMerge w:val="continue"/>
            <w:vAlign w:val="center"/>
          </w:tcPr>
          <w:p w14:paraId="310AF114">
            <w:pPr>
              <w:pStyle w:val="69"/>
              <w:bidi w:val="0"/>
            </w:pPr>
          </w:p>
        </w:tc>
      </w:tr>
      <w:tr w14:paraId="2FC8C71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756" w:type="dxa"/>
            <w:vMerge w:val="restart"/>
            <w:vAlign w:val="center"/>
          </w:tcPr>
          <w:p w14:paraId="7A189501">
            <w:pPr>
              <w:pStyle w:val="69"/>
              <w:bidi w:val="0"/>
            </w:pPr>
            <w:r>
              <w:rPr>
                <w:rFonts w:hint="eastAsia"/>
              </w:rPr>
              <w:t>共和镇</w:t>
            </w:r>
          </w:p>
        </w:tc>
        <w:tc>
          <w:tcPr>
            <w:tcW w:w="771" w:type="dxa"/>
            <w:vMerge w:val="restart"/>
            <w:vAlign w:val="center"/>
          </w:tcPr>
          <w:p w14:paraId="7E2988D1">
            <w:pPr>
              <w:pStyle w:val="69"/>
              <w:bidi w:val="0"/>
            </w:pPr>
            <w:r>
              <w:t>兰石水库</w:t>
            </w:r>
          </w:p>
        </w:tc>
        <w:tc>
          <w:tcPr>
            <w:tcW w:w="566" w:type="dxa"/>
            <w:vAlign w:val="center"/>
          </w:tcPr>
          <w:p w14:paraId="514148AE">
            <w:pPr>
              <w:pStyle w:val="69"/>
              <w:bidi w:val="0"/>
            </w:pPr>
            <w:r>
              <w:t>一级</w:t>
            </w:r>
          </w:p>
        </w:tc>
        <w:tc>
          <w:tcPr>
            <w:tcW w:w="850" w:type="dxa"/>
            <w:vAlign w:val="center"/>
          </w:tcPr>
          <w:p w14:paraId="034549F2">
            <w:pPr>
              <w:pStyle w:val="69"/>
              <w:bidi w:val="0"/>
            </w:pPr>
            <w:r>
              <w:t>Ⅱ类</w:t>
            </w:r>
          </w:p>
        </w:tc>
        <w:tc>
          <w:tcPr>
            <w:tcW w:w="2695" w:type="dxa"/>
            <w:vAlign w:val="center"/>
          </w:tcPr>
          <w:p w14:paraId="2B37B801">
            <w:pPr>
              <w:pStyle w:val="69"/>
              <w:bidi w:val="0"/>
            </w:pPr>
            <w:r>
              <w:t>水库正常水位线(高程20.36米)以下的全部水域范围</w:t>
            </w:r>
          </w:p>
        </w:tc>
        <w:tc>
          <w:tcPr>
            <w:tcW w:w="2781" w:type="dxa"/>
            <w:vAlign w:val="center"/>
          </w:tcPr>
          <w:p w14:paraId="4A65366D">
            <w:pPr>
              <w:pStyle w:val="69"/>
              <w:bidi w:val="0"/>
            </w:pPr>
            <w:r>
              <w:t>水库相应一级保护区水域向陆域纵深200米范围内陆域，但不超过流域分水岭范围</w:t>
            </w:r>
          </w:p>
        </w:tc>
        <w:tc>
          <w:tcPr>
            <w:tcW w:w="755" w:type="dxa"/>
            <w:vMerge w:val="restart"/>
            <w:vAlign w:val="center"/>
          </w:tcPr>
          <w:p w14:paraId="0C126BF0">
            <w:pPr>
              <w:pStyle w:val="69"/>
              <w:bidi w:val="0"/>
              <w:rPr>
                <w:rFonts w:hint="default" w:eastAsia="宋体"/>
                <w:lang w:val="en-US" w:eastAsia="zh-CN"/>
              </w:rPr>
            </w:pPr>
            <w:r>
              <w:rPr>
                <w:rFonts w:hint="eastAsia"/>
                <w:lang w:val="en-US" w:eastAsia="zh-CN"/>
              </w:rPr>
              <w:t>22.8km</w:t>
            </w:r>
          </w:p>
        </w:tc>
      </w:tr>
      <w:tr w14:paraId="205335D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51ED4AAE">
            <w:pPr>
              <w:pStyle w:val="69"/>
              <w:bidi w:val="0"/>
            </w:pPr>
          </w:p>
        </w:tc>
        <w:tc>
          <w:tcPr>
            <w:tcW w:w="771" w:type="dxa"/>
            <w:vMerge w:val="continue"/>
            <w:vAlign w:val="center"/>
          </w:tcPr>
          <w:p w14:paraId="773A6236">
            <w:pPr>
              <w:pStyle w:val="69"/>
              <w:bidi w:val="0"/>
            </w:pPr>
          </w:p>
        </w:tc>
        <w:tc>
          <w:tcPr>
            <w:tcW w:w="566" w:type="dxa"/>
            <w:vAlign w:val="center"/>
          </w:tcPr>
          <w:p w14:paraId="4E9E6CDF">
            <w:pPr>
              <w:pStyle w:val="69"/>
              <w:bidi w:val="0"/>
            </w:pPr>
            <w:r>
              <w:t>二级</w:t>
            </w:r>
          </w:p>
        </w:tc>
        <w:tc>
          <w:tcPr>
            <w:tcW w:w="850" w:type="dxa"/>
            <w:vAlign w:val="center"/>
          </w:tcPr>
          <w:p w14:paraId="52F82021">
            <w:pPr>
              <w:pStyle w:val="69"/>
              <w:bidi w:val="0"/>
            </w:pPr>
            <w:r>
              <w:t>—</w:t>
            </w:r>
          </w:p>
        </w:tc>
        <w:tc>
          <w:tcPr>
            <w:tcW w:w="2695" w:type="dxa"/>
            <w:vAlign w:val="center"/>
          </w:tcPr>
          <w:p w14:paraId="0C5BE7D7">
            <w:pPr>
              <w:pStyle w:val="69"/>
              <w:bidi w:val="0"/>
            </w:pPr>
            <w:r>
              <w:t>—</w:t>
            </w:r>
          </w:p>
        </w:tc>
        <w:tc>
          <w:tcPr>
            <w:tcW w:w="2781" w:type="dxa"/>
            <w:vAlign w:val="center"/>
          </w:tcPr>
          <w:p w14:paraId="50C8EDF9">
            <w:pPr>
              <w:pStyle w:val="69"/>
              <w:bidi w:val="0"/>
            </w:pPr>
            <w:r>
              <w:t>水库除一级水源保护区外的所有相应集水区</w:t>
            </w:r>
          </w:p>
        </w:tc>
        <w:tc>
          <w:tcPr>
            <w:tcW w:w="755" w:type="dxa"/>
            <w:vMerge w:val="continue"/>
            <w:vAlign w:val="center"/>
          </w:tcPr>
          <w:p w14:paraId="221F5771">
            <w:pPr>
              <w:pStyle w:val="69"/>
              <w:bidi w:val="0"/>
            </w:pPr>
          </w:p>
        </w:tc>
      </w:tr>
      <w:tr w14:paraId="6E0DF9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restart"/>
            <w:vAlign w:val="center"/>
          </w:tcPr>
          <w:p w14:paraId="2FD51387">
            <w:pPr>
              <w:pStyle w:val="69"/>
              <w:bidi w:val="0"/>
            </w:pPr>
            <w:r>
              <w:rPr>
                <w:rFonts w:hint="eastAsia"/>
              </w:rPr>
              <w:t>宅梧镇</w:t>
            </w:r>
          </w:p>
        </w:tc>
        <w:tc>
          <w:tcPr>
            <w:tcW w:w="771" w:type="dxa"/>
            <w:vMerge w:val="restart"/>
            <w:vAlign w:val="center"/>
          </w:tcPr>
          <w:p w14:paraId="601B00E1">
            <w:pPr>
              <w:pStyle w:val="69"/>
              <w:bidi w:val="0"/>
            </w:pPr>
            <w:r>
              <w:t>虹岭水库</w:t>
            </w:r>
          </w:p>
        </w:tc>
        <w:tc>
          <w:tcPr>
            <w:tcW w:w="566" w:type="dxa"/>
            <w:vAlign w:val="center"/>
          </w:tcPr>
          <w:p w14:paraId="71167558">
            <w:pPr>
              <w:pStyle w:val="69"/>
              <w:bidi w:val="0"/>
            </w:pPr>
            <w:r>
              <w:t>一级</w:t>
            </w:r>
          </w:p>
        </w:tc>
        <w:tc>
          <w:tcPr>
            <w:tcW w:w="850" w:type="dxa"/>
            <w:vAlign w:val="center"/>
          </w:tcPr>
          <w:p w14:paraId="44769D6B">
            <w:pPr>
              <w:pStyle w:val="69"/>
              <w:bidi w:val="0"/>
            </w:pPr>
            <w:r>
              <w:t>Ⅱ类</w:t>
            </w:r>
          </w:p>
        </w:tc>
        <w:tc>
          <w:tcPr>
            <w:tcW w:w="2695" w:type="dxa"/>
            <w:vAlign w:val="center"/>
          </w:tcPr>
          <w:p w14:paraId="4D147CF2">
            <w:pPr>
              <w:pStyle w:val="69"/>
              <w:bidi w:val="0"/>
            </w:pPr>
            <w:r>
              <w:t>水库正常水位线(高程107.28米)以下的全部水域范围</w:t>
            </w:r>
          </w:p>
        </w:tc>
        <w:tc>
          <w:tcPr>
            <w:tcW w:w="2781" w:type="dxa"/>
            <w:vAlign w:val="center"/>
          </w:tcPr>
          <w:p w14:paraId="6901F823">
            <w:pPr>
              <w:pStyle w:val="69"/>
              <w:bidi w:val="0"/>
            </w:pPr>
            <w:r>
              <w:t>水库相应一级保护区水域向陆域纵深200米范围内陆域，但不超过流域分水岭范围</w:t>
            </w:r>
          </w:p>
        </w:tc>
        <w:tc>
          <w:tcPr>
            <w:tcW w:w="755" w:type="dxa"/>
            <w:vMerge w:val="restart"/>
            <w:vAlign w:val="center"/>
          </w:tcPr>
          <w:p w14:paraId="52EB8BD0">
            <w:pPr>
              <w:pStyle w:val="69"/>
              <w:bidi w:val="0"/>
              <w:rPr>
                <w:rFonts w:hint="default" w:eastAsia="宋体"/>
                <w:lang w:val="en-US" w:eastAsia="zh-CN"/>
              </w:rPr>
            </w:pPr>
            <w:r>
              <w:rPr>
                <w:rFonts w:hint="eastAsia"/>
                <w:lang w:val="en-US" w:eastAsia="zh-CN"/>
              </w:rPr>
              <w:t>29km</w:t>
            </w:r>
          </w:p>
        </w:tc>
      </w:tr>
      <w:tr w14:paraId="25695D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440FF1A5">
            <w:pPr>
              <w:pStyle w:val="69"/>
              <w:bidi w:val="0"/>
            </w:pPr>
          </w:p>
        </w:tc>
        <w:tc>
          <w:tcPr>
            <w:tcW w:w="771" w:type="dxa"/>
            <w:vMerge w:val="continue"/>
            <w:vAlign w:val="center"/>
          </w:tcPr>
          <w:p w14:paraId="3CBBFA04">
            <w:pPr>
              <w:pStyle w:val="69"/>
              <w:bidi w:val="0"/>
            </w:pPr>
          </w:p>
        </w:tc>
        <w:tc>
          <w:tcPr>
            <w:tcW w:w="566" w:type="dxa"/>
            <w:vAlign w:val="center"/>
          </w:tcPr>
          <w:p w14:paraId="55ADE506">
            <w:pPr>
              <w:pStyle w:val="69"/>
              <w:bidi w:val="0"/>
            </w:pPr>
            <w:r>
              <w:t>二级</w:t>
            </w:r>
          </w:p>
        </w:tc>
        <w:tc>
          <w:tcPr>
            <w:tcW w:w="850" w:type="dxa"/>
            <w:vAlign w:val="center"/>
          </w:tcPr>
          <w:p w14:paraId="0953C1B0">
            <w:pPr>
              <w:pStyle w:val="69"/>
              <w:bidi w:val="0"/>
            </w:pPr>
            <w:r>
              <w:t>Ⅲ类</w:t>
            </w:r>
          </w:p>
        </w:tc>
        <w:tc>
          <w:tcPr>
            <w:tcW w:w="2695" w:type="dxa"/>
            <w:vAlign w:val="center"/>
          </w:tcPr>
          <w:p w14:paraId="10EED6CB">
            <w:pPr>
              <w:pStyle w:val="69"/>
              <w:bidi w:val="0"/>
            </w:pPr>
            <w:r>
              <w:t>水库一级保护区外的全部水域，包括各入库支流</w:t>
            </w:r>
          </w:p>
        </w:tc>
        <w:tc>
          <w:tcPr>
            <w:tcW w:w="2781" w:type="dxa"/>
            <w:vAlign w:val="center"/>
          </w:tcPr>
          <w:p w14:paraId="250E19E9">
            <w:pPr>
              <w:pStyle w:val="69"/>
              <w:bidi w:val="0"/>
            </w:pPr>
            <w:r>
              <w:t>水库除一级水源保护区外的所有相应集水区</w:t>
            </w:r>
          </w:p>
        </w:tc>
        <w:tc>
          <w:tcPr>
            <w:tcW w:w="755" w:type="dxa"/>
            <w:vMerge w:val="continue"/>
            <w:vAlign w:val="center"/>
          </w:tcPr>
          <w:p w14:paraId="2E3F49F6">
            <w:pPr>
              <w:pStyle w:val="69"/>
              <w:bidi w:val="0"/>
            </w:pPr>
          </w:p>
        </w:tc>
      </w:tr>
      <w:tr w14:paraId="675304D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restart"/>
            <w:vAlign w:val="center"/>
          </w:tcPr>
          <w:p w14:paraId="496E4934">
            <w:pPr>
              <w:pStyle w:val="69"/>
              <w:bidi w:val="0"/>
            </w:pPr>
            <w:r>
              <w:rPr>
                <w:rFonts w:hint="eastAsia"/>
              </w:rPr>
              <w:t>双合镇</w:t>
            </w:r>
          </w:p>
        </w:tc>
        <w:tc>
          <w:tcPr>
            <w:tcW w:w="771" w:type="dxa"/>
            <w:vMerge w:val="restart"/>
            <w:vAlign w:val="center"/>
          </w:tcPr>
          <w:p w14:paraId="386235F3">
            <w:pPr>
              <w:pStyle w:val="69"/>
              <w:bidi w:val="0"/>
            </w:pPr>
            <w:r>
              <w:t>荔枝坑水库</w:t>
            </w:r>
          </w:p>
        </w:tc>
        <w:tc>
          <w:tcPr>
            <w:tcW w:w="566" w:type="dxa"/>
            <w:vAlign w:val="center"/>
          </w:tcPr>
          <w:p w14:paraId="3F783DF8">
            <w:pPr>
              <w:pStyle w:val="69"/>
              <w:bidi w:val="0"/>
            </w:pPr>
            <w:r>
              <w:t>一级</w:t>
            </w:r>
          </w:p>
        </w:tc>
        <w:tc>
          <w:tcPr>
            <w:tcW w:w="850" w:type="dxa"/>
            <w:vAlign w:val="center"/>
          </w:tcPr>
          <w:p w14:paraId="6F713F25">
            <w:pPr>
              <w:pStyle w:val="69"/>
              <w:bidi w:val="0"/>
            </w:pPr>
            <w:r>
              <w:t>Ⅱ类</w:t>
            </w:r>
          </w:p>
        </w:tc>
        <w:tc>
          <w:tcPr>
            <w:tcW w:w="2695" w:type="dxa"/>
            <w:vAlign w:val="center"/>
          </w:tcPr>
          <w:p w14:paraId="083FB73E">
            <w:pPr>
              <w:pStyle w:val="69"/>
              <w:bidi w:val="0"/>
            </w:pPr>
            <w:r>
              <w:t>水库正常水位线(高程48.06米)以下的全部水域范围</w:t>
            </w:r>
          </w:p>
        </w:tc>
        <w:tc>
          <w:tcPr>
            <w:tcW w:w="2781" w:type="dxa"/>
            <w:vAlign w:val="center"/>
          </w:tcPr>
          <w:p w14:paraId="7E0BA48B">
            <w:pPr>
              <w:pStyle w:val="69"/>
              <w:bidi w:val="0"/>
            </w:pPr>
            <w:r>
              <w:t>水库相应一级保护区水域向陆域纵深200米范围内陆域，但不超过流域分水岭范围</w:t>
            </w:r>
          </w:p>
        </w:tc>
        <w:tc>
          <w:tcPr>
            <w:tcW w:w="755" w:type="dxa"/>
            <w:vMerge w:val="restart"/>
            <w:vAlign w:val="center"/>
          </w:tcPr>
          <w:p w14:paraId="47A55F3E">
            <w:pPr>
              <w:pStyle w:val="69"/>
              <w:bidi w:val="0"/>
              <w:rPr>
                <w:rFonts w:hint="default" w:eastAsia="宋体"/>
                <w:lang w:val="en-US" w:eastAsia="zh-CN"/>
              </w:rPr>
            </w:pPr>
            <w:r>
              <w:rPr>
                <w:rFonts w:hint="eastAsia"/>
                <w:lang w:val="en-US" w:eastAsia="zh-CN"/>
              </w:rPr>
              <w:t>46km</w:t>
            </w:r>
          </w:p>
        </w:tc>
      </w:tr>
      <w:tr w14:paraId="57E7EB2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0FA80038">
            <w:pPr>
              <w:pStyle w:val="69"/>
              <w:bidi w:val="0"/>
            </w:pPr>
          </w:p>
        </w:tc>
        <w:tc>
          <w:tcPr>
            <w:tcW w:w="771" w:type="dxa"/>
            <w:vMerge w:val="continue"/>
            <w:vAlign w:val="center"/>
          </w:tcPr>
          <w:p w14:paraId="669E05F2">
            <w:pPr>
              <w:pStyle w:val="69"/>
              <w:bidi w:val="0"/>
            </w:pPr>
          </w:p>
        </w:tc>
        <w:tc>
          <w:tcPr>
            <w:tcW w:w="566" w:type="dxa"/>
            <w:vAlign w:val="center"/>
          </w:tcPr>
          <w:p w14:paraId="5C8FCB44">
            <w:pPr>
              <w:pStyle w:val="69"/>
              <w:bidi w:val="0"/>
            </w:pPr>
            <w:r>
              <w:t>二级</w:t>
            </w:r>
          </w:p>
        </w:tc>
        <w:tc>
          <w:tcPr>
            <w:tcW w:w="850" w:type="dxa"/>
            <w:vAlign w:val="center"/>
          </w:tcPr>
          <w:p w14:paraId="317B4B69">
            <w:pPr>
              <w:pStyle w:val="69"/>
              <w:bidi w:val="0"/>
            </w:pPr>
            <w:r>
              <w:t>—</w:t>
            </w:r>
          </w:p>
        </w:tc>
        <w:tc>
          <w:tcPr>
            <w:tcW w:w="2695" w:type="dxa"/>
            <w:vAlign w:val="center"/>
          </w:tcPr>
          <w:p w14:paraId="7B7E0B5F">
            <w:pPr>
              <w:pStyle w:val="69"/>
              <w:bidi w:val="0"/>
            </w:pPr>
            <w:r>
              <w:t>—</w:t>
            </w:r>
          </w:p>
        </w:tc>
        <w:tc>
          <w:tcPr>
            <w:tcW w:w="2781" w:type="dxa"/>
            <w:vAlign w:val="center"/>
          </w:tcPr>
          <w:p w14:paraId="620C1E30">
            <w:pPr>
              <w:pStyle w:val="69"/>
              <w:bidi w:val="0"/>
            </w:pPr>
            <w:r>
              <w:t>水库除一级水源保护区外的所有相应集水区</w:t>
            </w:r>
          </w:p>
        </w:tc>
        <w:tc>
          <w:tcPr>
            <w:tcW w:w="755" w:type="dxa"/>
            <w:vMerge w:val="continue"/>
            <w:vAlign w:val="center"/>
          </w:tcPr>
          <w:p w14:paraId="2B2867AB">
            <w:pPr>
              <w:pStyle w:val="69"/>
              <w:bidi w:val="0"/>
            </w:pPr>
          </w:p>
        </w:tc>
      </w:tr>
      <w:tr w14:paraId="0A42F60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restart"/>
            <w:vAlign w:val="center"/>
          </w:tcPr>
          <w:p w14:paraId="15031B36">
            <w:pPr>
              <w:pStyle w:val="69"/>
              <w:bidi w:val="0"/>
            </w:pPr>
            <w:r>
              <w:rPr>
                <w:rFonts w:hint="eastAsia"/>
              </w:rPr>
              <w:t>龙口镇</w:t>
            </w:r>
          </w:p>
        </w:tc>
        <w:tc>
          <w:tcPr>
            <w:tcW w:w="771" w:type="dxa"/>
            <w:vMerge w:val="restart"/>
            <w:vAlign w:val="center"/>
          </w:tcPr>
          <w:p w14:paraId="7E72C5B5">
            <w:pPr>
              <w:pStyle w:val="69"/>
              <w:bidi w:val="0"/>
            </w:pPr>
            <w:r>
              <w:t>四堡水库</w:t>
            </w:r>
          </w:p>
        </w:tc>
        <w:tc>
          <w:tcPr>
            <w:tcW w:w="566" w:type="dxa"/>
            <w:vAlign w:val="center"/>
          </w:tcPr>
          <w:p w14:paraId="27EDAA68">
            <w:pPr>
              <w:pStyle w:val="69"/>
              <w:bidi w:val="0"/>
            </w:pPr>
            <w:r>
              <w:t>一级</w:t>
            </w:r>
          </w:p>
        </w:tc>
        <w:tc>
          <w:tcPr>
            <w:tcW w:w="850" w:type="dxa"/>
            <w:vAlign w:val="center"/>
          </w:tcPr>
          <w:p w14:paraId="2D61A640">
            <w:pPr>
              <w:pStyle w:val="69"/>
              <w:bidi w:val="0"/>
            </w:pPr>
            <w:r>
              <w:t>Ⅱ类</w:t>
            </w:r>
          </w:p>
        </w:tc>
        <w:tc>
          <w:tcPr>
            <w:tcW w:w="2695" w:type="dxa"/>
            <w:vAlign w:val="center"/>
          </w:tcPr>
          <w:p w14:paraId="3E6663FC">
            <w:pPr>
              <w:pStyle w:val="69"/>
              <w:bidi w:val="0"/>
            </w:pPr>
            <w:r>
              <w:t>水库正常水位线(高程69.8米)以下的全部水域范围</w:t>
            </w:r>
          </w:p>
        </w:tc>
        <w:tc>
          <w:tcPr>
            <w:tcW w:w="2781" w:type="dxa"/>
            <w:vAlign w:val="center"/>
          </w:tcPr>
          <w:p w14:paraId="342CC7E9">
            <w:pPr>
              <w:pStyle w:val="69"/>
              <w:bidi w:val="0"/>
            </w:pPr>
            <w:r>
              <w:t>水库相应一级保护区水域向陆纵深200米范围内陆域，但不超过流域分水岭范围</w:t>
            </w:r>
          </w:p>
        </w:tc>
        <w:tc>
          <w:tcPr>
            <w:tcW w:w="755" w:type="dxa"/>
            <w:vMerge w:val="restart"/>
            <w:vAlign w:val="center"/>
          </w:tcPr>
          <w:p w14:paraId="12C3643B">
            <w:pPr>
              <w:pStyle w:val="69"/>
              <w:bidi w:val="0"/>
              <w:rPr>
                <w:rFonts w:hint="default" w:eastAsia="宋体"/>
                <w:lang w:val="en-US" w:eastAsia="zh-CN"/>
              </w:rPr>
            </w:pPr>
            <w:r>
              <w:rPr>
                <w:rFonts w:hint="eastAsia"/>
                <w:lang w:val="en-US" w:eastAsia="zh-CN"/>
              </w:rPr>
              <w:t>11.5km</w:t>
            </w:r>
          </w:p>
        </w:tc>
      </w:tr>
      <w:tr w14:paraId="0C0612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1EEB956A">
            <w:pPr>
              <w:pStyle w:val="69"/>
              <w:bidi w:val="0"/>
            </w:pPr>
          </w:p>
        </w:tc>
        <w:tc>
          <w:tcPr>
            <w:tcW w:w="771" w:type="dxa"/>
            <w:vMerge w:val="continue"/>
            <w:vAlign w:val="center"/>
          </w:tcPr>
          <w:p w14:paraId="084647FA">
            <w:pPr>
              <w:pStyle w:val="69"/>
              <w:bidi w:val="0"/>
            </w:pPr>
          </w:p>
        </w:tc>
        <w:tc>
          <w:tcPr>
            <w:tcW w:w="566" w:type="dxa"/>
            <w:vAlign w:val="center"/>
          </w:tcPr>
          <w:p w14:paraId="4512C9D6">
            <w:pPr>
              <w:pStyle w:val="69"/>
              <w:bidi w:val="0"/>
            </w:pPr>
            <w:r>
              <w:t>二级</w:t>
            </w:r>
          </w:p>
        </w:tc>
        <w:tc>
          <w:tcPr>
            <w:tcW w:w="850" w:type="dxa"/>
            <w:vAlign w:val="center"/>
          </w:tcPr>
          <w:p w14:paraId="05C72226">
            <w:pPr>
              <w:pStyle w:val="69"/>
              <w:bidi w:val="0"/>
            </w:pPr>
            <w:r>
              <w:t>Ⅲ类</w:t>
            </w:r>
          </w:p>
        </w:tc>
        <w:tc>
          <w:tcPr>
            <w:tcW w:w="2695" w:type="dxa"/>
            <w:vAlign w:val="center"/>
          </w:tcPr>
          <w:p w14:paraId="713BB925">
            <w:pPr>
              <w:pStyle w:val="69"/>
              <w:bidi w:val="0"/>
            </w:pPr>
            <w:r>
              <w:rPr>
                <w:rFonts w:hint="eastAsia"/>
              </w:rPr>
              <w:t>水</w:t>
            </w:r>
            <w:r>
              <w:t>库一级保护区外的全部水域，包括各入库支流。</w:t>
            </w:r>
          </w:p>
        </w:tc>
        <w:tc>
          <w:tcPr>
            <w:tcW w:w="2781" w:type="dxa"/>
            <w:vAlign w:val="center"/>
          </w:tcPr>
          <w:p w14:paraId="135F43FC">
            <w:pPr>
              <w:pStyle w:val="69"/>
              <w:bidi w:val="0"/>
            </w:pPr>
            <w:r>
              <w:t>水库除一级水源保护区外的所有相应集水区</w:t>
            </w:r>
          </w:p>
        </w:tc>
        <w:tc>
          <w:tcPr>
            <w:tcW w:w="755" w:type="dxa"/>
            <w:vMerge w:val="continue"/>
            <w:vAlign w:val="center"/>
          </w:tcPr>
          <w:p w14:paraId="01D180BB">
            <w:pPr>
              <w:pStyle w:val="69"/>
              <w:bidi w:val="0"/>
            </w:pPr>
          </w:p>
        </w:tc>
      </w:tr>
      <w:tr w14:paraId="1499944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restart"/>
            <w:vAlign w:val="center"/>
          </w:tcPr>
          <w:p w14:paraId="6BFF6635">
            <w:pPr>
              <w:pStyle w:val="69"/>
              <w:bidi w:val="0"/>
            </w:pPr>
            <w:r>
              <w:t>江门鹤山市和佛山南海区</w:t>
            </w:r>
          </w:p>
          <w:p w14:paraId="72417F4D">
            <w:pPr>
              <w:pStyle w:val="69"/>
              <w:bidi w:val="0"/>
            </w:pPr>
          </w:p>
        </w:tc>
        <w:tc>
          <w:tcPr>
            <w:tcW w:w="771" w:type="dxa"/>
            <w:vMerge w:val="restart"/>
            <w:vAlign w:val="center"/>
          </w:tcPr>
          <w:p w14:paraId="6B77B60F">
            <w:pPr>
              <w:pStyle w:val="69"/>
              <w:bidi w:val="0"/>
            </w:pPr>
            <w:r>
              <w:t>鹤山市西江东坡饮用水水源保护区</w:t>
            </w:r>
          </w:p>
          <w:p w14:paraId="7789276B">
            <w:pPr>
              <w:pStyle w:val="69"/>
              <w:bidi w:val="0"/>
            </w:pPr>
          </w:p>
        </w:tc>
        <w:tc>
          <w:tcPr>
            <w:tcW w:w="566" w:type="dxa"/>
            <w:vAlign w:val="center"/>
          </w:tcPr>
          <w:p w14:paraId="62A914D6">
            <w:pPr>
              <w:pStyle w:val="69"/>
              <w:bidi w:val="0"/>
            </w:pPr>
            <w:r>
              <w:t>一级</w:t>
            </w:r>
            <w:r>
              <w:rPr>
                <w:rFonts w:hint="eastAsia"/>
              </w:rPr>
              <w:t>保护区</w:t>
            </w:r>
          </w:p>
        </w:tc>
        <w:tc>
          <w:tcPr>
            <w:tcW w:w="850" w:type="dxa"/>
            <w:vAlign w:val="center"/>
          </w:tcPr>
          <w:p w14:paraId="47C656FF">
            <w:pPr>
              <w:pStyle w:val="69"/>
              <w:bidi w:val="0"/>
            </w:pPr>
            <w:r>
              <w:t>Ⅱ类</w:t>
            </w:r>
          </w:p>
        </w:tc>
        <w:tc>
          <w:tcPr>
            <w:tcW w:w="2695" w:type="dxa"/>
            <w:vAlign w:val="center"/>
          </w:tcPr>
          <w:p w14:paraId="422DC587">
            <w:pPr>
              <w:pStyle w:val="69"/>
              <w:bidi w:val="0"/>
            </w:pPr>
            <w:r>
              <w:t>西江鹤山市供水总公司第二水厂取水口上游3000米至下游1400米的水域，其中与海寿岛之间的水域宽度为多年平均水位对应的高程线下的水域，除航道外的整个河道范围；其他的水域宽度则为取水口侧多年平均水位对应高程线至河道中泓线除航道外之间的范围。</w:t>
            </w:r>
          </w:p>
        </w:tc>
        <w:tc>
          <w:tcPr>
            <w:tcW w:w="2781" w:type="dxa"/>
            <w:vAlign w:val="center"/>
          </w:tcPr>
          <w:p w14:paraId="7F07962C">
            <w:pPr>
              <w:pStyle w:val="69"/>
              <w:bidi w:val="0"/>
            </w:pPr>
            <w:r>
              <w:t>相应一级保护区水域向陆至防洪堤顶临水侧的陆域。</w:t>
            </w:r>
          </w:p>
        </w:tc>
        <w:tc>
          <w:tcPr>
            <w:tcW w:w="755" w:type="dxa"/>
            <w:vMerge w:val="restart"/>
            <w:vAlign w:val="center"/>
          </w:tcPr>
          <w:p w14:paraId="5021B45A">
            <w:pPr>
              <w:pStyle w:val="69"/>
              <w:bidi w:val="0"/>
              <w:rPr>
                <w:rFonts w:hint="default" w:eastAsia="宋体"/>
                <w:lang w:val="en-US" w:eastAsia="zh-CN"/>
              </w:rPr>
            </w:pPr>
            <w:r>
              <w:rPr>
                <w:rFonts w:hint="eastAsia"/>
                <w:lang w:val="en-US" w:eastAsia="zh-CN"/>
              </w:rPr>
              <w:t>3.6km</w:t>
            </w:r>
          </w:p>
        </w:tc>
      </w:tr>
      <w:tr w14:paraId="5A0028F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658441C7">
            <w:pPr>
              <w:pStyle w:val="69"/>
              <w:bidi w:val="0"/>
            </w:pPr>
          </w:p>
        </w:tc>
        <w:tc>
          <w:tcPr>
            <w:tcW w:w="771" w:type="dxa"/>
            <w:vMerge w:val="continue"/>
            <w:vAlign w:val="center"/>
          </w:tcPr>
          <w:p w14:paraId="22B758B3">
            <w:pPr>
              <w:pStyle w:val="69"/>
              <w:bidi w:val="0"/>
            </w:pPr>
          </w:p>
        </w:tc>
        <w:tc>
          <w:tcPr>
            <w:tcW w:w="566" w:type="dxa"/>
            <w:vAlign w:val="center"/>
          </w:tcPr>
          <w:p w14:paraId="30DB5BC2">
            <w:pPr>
              <w:pStyle w:val="69"/>
              <w:bidi w:val="0"/>
            </w:pPr>
            <w:r>
              <w:t>二级</w:t>
            </w:r>
            <w:r>
              <w:rPr>
                <w:rFonts w:hint="eastAsia"/>
              </w:rPr>
              <w:t>保护区</w:t>
            </w:r>
          </w:p>
        </w:tc>
        <w:tc>
          <w:tcPr>
            <w:tcW w:w="850" w:type="dxa"/>
            <w:vAlign w:val="center"/>
          </w:tcPr>
          <w:p w14:paraId="108FF91D">
            <w:pPr>
              <w:pStyle w:val="69"/>
              <w:bidi w:val="0"/>
            </w:pPr>
            <w:r>
              <w:t>Ⅱ类</w:t>
            </w:r>
          </w:p>
        </w:tc>
        <w:tc>
          <w:tcPr>
            <w:tcW w:w="2695" w:type="dxa"/>
            <w:vAlign w:val="center"/>
          </w:tcPr>
          <w:p w14:paraId="1CBA39AF">
            <w:pPr>
              <w:pStyle w:val="69"/>
              <w:bidi w:val="0"/>
            </w:pPr>
            <w:r>
              <w:t>西江鹤山市供水总公司第二水厂取水口上游3000米起上溯3000米，下游1400米起下溯1000米河段的水域。水域宽度为取水口侧多年平均水位对应高程线至河道中泓线除航道外之间的范围。</w:t>
            </w:r>
          </w:p>
        </w:tc>
        <w:tc>
          <w:tcPr>
            <w:tcW w:w="2781" w:type="dxa"/>
            <w:vAlign w:val="center"/>
          </w:tcPr>
          <w:p w14:paraId="30ABA5AC">
            <w:pPr>
              <w:pStyle w:val="69"/>
              <w:bidi w:val="0"/>
            </w:pPr>
            <w:r>
              <w:t>相应二级保护区水域向陆至防洪堤顶临水侧的陆域。</w:t>
            </w:r>
          </w:p>
        </w:tc>
        <w:tc>
          <w:tcPr>
            <w:tcW w:w="755" w:type="dxa"/>
            <w:vMerge w:val="continue"/>
            <w:vAlign w:val="center"/>
          </w:tcPr>
          <w:p w14:paraId="3FEED763">
            <w:pPr>
              <w:pStyle w:val="69"/>
              <w:bidi w:val="0"/>
            </w:pPr>
          </w:p>
        </w:tc>
      </w:tr>
      <w:tr w14:paraId="66AA8AD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53060918">
            <w:pPr>
              <w:pStyle w:val="69"/>
              <w:bidi w:val="0"/>
            </w:pPr>
          </w:p>
        </w:tc>
        <w:tc>
          <w:tcPr>
            <w:tcW w:w="771" w:type="dxa"/>
            <w:vMerge w:val="continue"/>
            <w:vAlign w:val="center"/>
          </w:tcPr>
          <w:p w14:paraId="258FE114">
            <w:pPr>
              <w:pStyle w:val="69"/>
              <w:bidi w:val="0"/>
            </w:pPr>
          </w:p>
        </w:tc>
        <w:tc>
          <w:tcPr>
            <w:tcW w:w="566" w:type="dxa"/>
            <w:vAlign w:val="center"/>
          </w:tcPr>
          <w:p w14:paraId="4279D12F">
            <w:pPr>
              <w:pStyle w:val="69"/>
              <w:bidi w:val="0"/>
            </w:pPr>
            <w:r>
              <w:t>准保护区</w:t>
            </w:r>
          </w:p>
        </w:tc>
        <w:tc>
          <w:tcPr>
            <w:tcW w:w="850" w:type="dxa"/>
            <w:vAlign w:val="center"/>
          </w:tcPr>
          <w:p w14:paraId="4DC3F703">
            <w:pPr>
              <w:pStyle w:val="69"/>
              <w:bidi w:val="0"/>
            </w:pPr>
            <w:r>
              <w:t>Ⅱ类</w:t>
            </w:r>
          </w:p>
        </w:tc>
        <w:tc>
          <w:tcPr>
            <w:tcW w:w="2695" w:type="dxa"/>
            <w:vAlign w:val="center"/>
          </w:tcPr>
          <w:p w14:paraId="6CB10D10">
            <w:pPr>
              <w:pStyle w:val="69"/>
              <w:bidi w:val="0"/>
            </w:pPr>
            <w:r>
              <w:t>西江鹤山市供水总公司第二水厂取水口上游6000米起上溯至江门市界，其水域宽度为取水口侧多年平均水位对应高程线至河道中泓线除航道外之间的范围；以及海寿岛和海心沙两岛之间的水域。</w:t>
            </w:r>
          </w:p>
        </w:tc>
        <w:tc>
          <w:tcPr>
            <w:tcW w:w="2781" w:type="dxa"/>
            <w:vAlign w:val="center"/>
          </w:tcPr>
          <w:p w14:paraId="66B05825">
            <w:pPr>
              <w:pStyle w:val="69"/>
              <w:bidi w:val="0"/>
            </w:pPr>
            <w:r>
              <w:t>西江河中的海寿岛和海心沙两岛除一级保护区外的其</w:t>
            </w:r>
            <w:r>
              <w:rPr>
                <w:rFonts w:hint="eastAsia"/>
              </w:rPr>
              <w:t>他</w:t>
            </w:r>
            <w:r>
              <w:t>陆域。</w:t>
            </w:r>
          </w:p>
        </w:tc>
        <w:tc>
          <w:tcPr>
            <w:tcW w:w="755" w:type="dxa"/>
            <w:vMerge w:val="continue"/>
            <w:vAlign w:val="center"/>
          </w:tcPr>
          <w:p w14:paraId="4B0CD153">
            <w:pPr>
              <w:pStyle w:val="69"/>
              <w:bidi w:val="0"/>
            </w:pPr>
          </w:p>
        </w:tc>
      </w:tr>
      <w:tr w14:paraId="70DE7D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restart"/>
            <w:vAlign w:val="center"/>
          </w:tcPr>
          <w:p w14:paraId="44ADCA61">
            <w:pPr>
              <w:pStyle w:val="69"/>
              <w:bidi w:val="0"/>
            </w:pPr>
            <w:r>
              <w:t>江门鹤山市和佛山</w:t>
            </w:r>
            <w:r>
              <w:rPr>
                <w:rFonts w:hint="eastAsia"/>
                <w:lang w:val="en-US" w:eastAsia="zh-CN"/>
              </w:rPr>
              <w:t>顺德</w:t>
            </w:r>
            <w:r>
              <w:t>区</w:t>
            </w:r>
          </w:p>
          <w:p w14:paraId="253B7A82">
            <w:pPr>
              <w:pStyle w:val="69"/>
              <w:bidi w:val="0"/>
            </w:pPr>
          </w:p>
        </w:tc>
        <w:tc>
          <w:tcPr>
            <w:tcW w:w="771" w:type="dxa"/>
            <w:vMerge w:val="restart"/>
            <w:vAlign w:val="center"/>
          </w:tcPr>
          <w:p w14:paraId="2794F5E1">
            <w:pPr>
              <w:pStyle w:val="69"/>
              <w:bidi w:val="0"/>
              <w:rPr>
                <w:rFonts w:hint="eastAsia"/>
                <w:lang w:val="en-US" w:eastAsia="zh-CN"/>
              </w:rPr>
            </w:pPr>
            <w:r>
              <w:rPr>
                <w:rFonts w:hint="eastAsia"/>
              </w:rPr>
              <w:t>西江鲤鱼洲饮用水水源保护区</w:t>
            </w:r>
          </w:p>
        </w:tc>
        <w:tc>
          <w:tcPr>
            <w:tcW w:w="566" w:type="dxa"/>
            <w:shd w:val="clear" w:color="auto" w:fill="auto"/>
            <w:vAlign w:val="center"/>
          </w:tcPr>
          <w:p w14:paraId="1B2ED6B0">
            <w:pPr>
              <w:pStyle w:val="69"/>
              <w:bidi w:val="0"/>
              <w:rPr>
                <w:lang w:val="en-US" w:eastAsia="zh-CN"/>
              </w:rPr>
            </w:pPr>
            <w:r>
              <w:rPr>
                <w:lang w:val="en-US" w:eastAsia="zh-CN"/>
              </w:rPr>
              <w:t>一级保护区</w:t>
            </w:r>
          </w:p>
        </w:tc>
        <w:tc>
          <w:tcPr>
            <w:tcW w:w="850" w:type="dxa"/>
            <w:shd w:val="clear" w:color="auto" w:fill="auto"/>
            <w:vAlign w:val="center"/>
          </w:tcPr>
          <w:p w14:paraId="70EC7BB6">
            <w:pPr>
              <w:pStyle w:val="69"/>
              <w:bidi w:val="0"/>
              <w:rPr>
                <w:lang w:val="en-US" w:eastAsia="zh-CN"/>
              </w:rPr>
            </w:pPr>
          </w:p>
        </w:tc>
        <w:tc>
          <w:tcPr>
            <w:tcW w:w="2695" w:type="dxa"/>
            <w:shd w:val="clear" w:color="auto" w:fill="auto"/>
            <w:vAlign w:val="center"/>
          </w:tcPr>
          <w:p w14:paraId="590E8B5E">
            <w:pPr>
              <w:pStyle w:val="69"/>
              <w:bidi w:val="0"/>
              <w:rPr>
                <w:lang w:val="en-US" w:eastAsia="zh-CN"/>
              </w:rPr>
            </w:pPr>
            <w:r>
              <w:rPr>
                <w:lang w:val="en-US" w:eastAsia="zh-CN"/>
              </w:rPr>
              <w:t>以取水口为中心向上、下游延伸1000米，向两岸延伸至多年日平均水位0.93m</w:t>
            </w:r>
            <w:r>
              <w:rPr>
                <w:rFonts w:hint="eastAsia"/>
                <w:lang w:val="en-US" w:eastAsia="zh-CN"/>
              </w:rPr>
              <w:t>（</w:t>
            </w:r>
            <w:r>
              <w:rPr>
                <w:lang w:val="en-US" w:eastAsia="zh-CN"/>
              </w:rPr>
              <w:t>珠基），除航道外的全部水域范围</w:t>
            </w:r>
          </w:p>
        </w:tc>
        <w:tc>
          <w:tcPr>
            <w:tcW w:w="2781" w:type="dxa"/>
            <w:shd w:val="clear" w:color="auto" w:fill="auto"/>
            <w:vAlign w:val="center"/>
          </w:tcPr>
          <w:p w14:paraId="2259E4DF">
            <w:pPr>
              <w:pStyle w:val="69"/>
              <w:bidi w:val="0"/>
              <w:rPr>
                <w:lang w:val="en-US" w:eastAsia="zh-CN"/>
              </w:rPr>
            </w:pPr>
            <w:r>
              <w:rPr>
                <w:lang w:val="en-US" w:eastAsia="zh-CN"/>
              </w:rPr>
              <w:t>一级保护区水域边界左</w:t>
            </w:r>
            <w:r>
              <w:rPr>
                <w:rFonts w:hint="eastAsia"/>
                <w:lang w:val="en-US" w:eastAsia="zh-CN"/>
              </w:rPr>
              <w:t>岸、右岸均向外</w:t>
            </w:r>
            <w:r>
              <w:rPr>
                <w:lang w:val="en-US" w:eastAsia="zh-CN"/>
              </w:rPr>
              <w:t>延伸至防洪堤</w:t>
            </w:r>
            <w:r>
              <w:rPr>
                <w:rFonts w:hint="eastAsia"/>
                <w:lang w:val="en-US" w:eastAsia="zh-CN"/>
              </w:rPr>
              <w:t>迎水坡坡顶内</w:t>
            </w:r>
            <w:r>
              <w:rPr>
                <w:lang w:val="en-US" w:eastAsia="zh-CN"/>
              </w:rPr>
              <w:t>的陆域范围</w:t>
            </w:r>
          </w:p>
        </w:tc>
        <w:tc>
          <w:tcPr>
            <w:tcW w:w="755" w:type="dxa"/>
            <w:vAlign w:val="center"/>
          </w:tcPr>
          <w:p w14:paraId="5B0B422C">
            <w:pPr>
              <w:pStyle w:val="69"/>
              <w:bidi w:val="0"/>
              <w:rPr>
                <w:rFonts w:hint="default" w:eastAsia="宋体"/>
                <w:lang w:val="en-US" w:eastAsia="zh-CN"/>
              </w:rPr>
            </w:pPr>
            <w:r>
              <w:rPr>
                <w:rFonts w:hint="eastAsia"/>
                <w:lang w:val="en-US" w:eastAsia="zh-CN"/>
              </w:rPr>
              <w:t>11.5km</w:t>
            </w:r>
          </w:p>
        </w:tc>
      </w:tr>
      <w:tr w14:paraId="5500C9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7A5028B9">
            <w:pPr>
              <w:pStyle w:val="69"/>
              <w:bidi w:val="0"/>
            </w:pPr>
          </w:p>
        </w:tc>
        <w:tc>
          <w:tcPr>
            <w:tcW w:w="771" w:type="dxa"/>
            <w:vMerge w:val="continue"/>
            <w:vAlign w:val="center"/>
          </w:tcPr>
          <w:p w14:paraId="55D85A1E">
            <w:pPr>
              <w:pStyle w:val="69"/>
              <w:bidi w:val="0"/>
              <w:rPr>
                <w:rFonts w:hint="eastAsia"/>
                <w:lang w:val="en-US" w:eastAsia="zh-CN"/>
              </w:rPr>
            </w:pPr>
          </w:p>
        </w:tc>
        <w:tc>
          <w:tcPr>
            <w:tcW w:w="566" w:type="dxa"/>
            <w:shd w:val="clear" w:color="auto" w:fill="auto"/>
            <w:vAlign w:val="center"/>
          </w:tcPr>
          <w:p w14:paraId="0114F0A3">
            <w:pPr>
              <w:pStyle w:val="69"/>
              <w:bidi w:val="0"/>
              <w:rPr>
                <w:lang w:val="en-US" w:eastAsia="zh-CN"/>
              </w:rPr>
            </w:pPr>
            <w:r>
              <w:rPr>
                <w:lang w:val="en-US" w:eastAsia="zh-CN"/>
              </w:rPr>
              <w:t>二级保护区</w:t>
            </w:r>
          </w:p>
        </w:tc>
        <w:tc>
          <w:tcPr>
            <w:tcW w:w="850" w:type="dxa"/>
            <w:shd w:val="clear" w:color="auto" w:fill="auto"/>
            <w:vAlign w:val="center"/>
          </w:tcPr>
          <w:p w14:paraId="0B6182A8">
            <w:pPr>
              <w:pStyle w:val="69"/>
              <w:bidi w:val="0"/>
              <w:rPr>
                <w:lang w:val="en-US" w:eastAsia="zh-CN"/>
              </w:rPr>
            </w:pPr>
          </w:p>
        </w:tc>
        <w:tc>
          <w:tcPr>
            <w:tcW w:w="2695" w:type="dxa"/>
            <w:shd w:val="clear" w:color="auto" w:fill="auto"/>
            <w:vAlign w:val="center"/>
          </w:tcPr>
          <w:p w14:paraId="5819AC06">
            <w:pPr>
              <w:pStyle w:val="69"/>
              <w:bidi w:val="0"/>
              <w:rPr>
                <w:lang w:val="en-US" w:eastAsia="zh-CN"/>
              </w:rPr>
            </w:pPr>
            <w:r>
              <w:rPr>
                <w:lang w:val="en-US" w:eastAsia="zh-CN"/>
              </w:rPr>
              <w:t>一级保护区边界向上、下游延伸2000米，向两岸延伸至多年日平均水位0.93m</w:t>
            </w:r>
            <w:r>
              <w:rPr>
                <w:rFonts w:hint="eastAsia"/>
                <w:lang w:val="en-US" w:eastAsia="zh-CN"/>
              </w:rPr>
              <w:t>（</w:t>
            </w:r>
            <w:r>
              <w:rPr>
                <w:lang w:val="en-US" w:eastAsia="zh-CN"/>
              </w:rPr>
              <w:t>珠基），除航道外的全部水域范围</w:t>
            </w:r>
            <w:r>
              <w:rPr>
                <w:rFonts w:hint="eastAsia"/>
                <w:lang w:val="en-US" w:eastAsia="zh-CN"/>
              </w:rPr>
              <w:t>，英雄闸向上游延伸 1000米的河道水域。</w:t>
            </w:r>
          </w:p>
        </w:tc>
        <w:tc>
          <w:tcPr>
            <w:tcW w:w="2781" w:type="dxa"/>
            <w:shd w:val="clear" w:color="auto" w:fill="auto"/>
            <w:vAlign w:val="center"/>
          </w:tcPr>
          <w:p w14:paraId="4E34CA55">
            <w:pPr>
              <w:pStyle w:val="69"/>
              <w:bidi w:val="0"/>
              <w:rPr>
                <w:lang w:val="en-US" w:eastAsia="zh-CN"/>
              </w:rPr>
            </w:pPr>
            <w:r>
              <w:rPr>
                <w:rFonts w:hint="eastAsia"/>
                <w:lang w:val="en-US" w:eastAsia="zh-CN"/>
              </w:rPr>
              <w:t>二级保护区水域边界左岸、右岸均向外延伸至防洪堤背水坡坡脚以及一级保护区陆域边界向外延伸至防洪堤背水坡坡脚内的陆域范围；英雄河向两岸纵深各延伸10 米的陆域范围，有明显地标建筑物的以建筑物为界划分。</w:t>
            </w:r>
          </w:p>
        </w:tc>
        <w:tc>
          <w:tcPr>
            <w:tcW w:w="755" w:type="dxa"/>
            <w:vAlign w:val="center"/>
          </w:tcPr>
          <w:p w14:paraId="47B680A9">
            <w:pPr>
              <w:pStyle w:val="69"/>
              <w:bidi w:val="0"/>
              <w:rPr>
                <w:rFonts w:hint="default" w:eastAsia="宋体"/>
                <w:lang w:val="en-US" w:eastAsia="zh-CN"/>
              </w:rPr>
            </w:pPr>
            <w:r>
              <w:rPr>
                <w:rFonts w:hint="eastAsia"/>
                <w:lang w:val="en-US" w:eastAsia="zh-CN"/>
              </w:rPr>
              <w:t>10.5km</w:t>
            </w:r>
          </w:p>
        </w:tc>
      </w:tr>
      <w:tr w14:paraId="2445821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0E93FEA2">
            <w:pPr>
              <w:pStyle w:val="69"/>
              <w:bidi w:val="0"/>
            </w:pPr>
          </w:p>
        </w:tc>
        <w:tc>
          <w:tcPr>
            <w:tcW w:w="771" w:type="dxa"/>
            <w:vMerge w:val="continue"/>
            <w:vAlign w:val="center"/>
          </w:tcPr>
          <w:p w14:paraId="44F3C2AC">
            <w:pPr>
              <w:pStyle w:val="69"/>
              <w:bidi w:val="0"/>
            </w:pPr>
          </w:p>
        </w:tc>
        <w:tc>
          <w:tcPr>
            <w:tcW w:w="566" w:type="dxa"/>
            <w:shd w:val="clear" w:color="auto" w:fill="auto"/>
            <w:vAlign w:val="center"/>
          </w:tcPr>
          <w:p w14:paraId="11BBC4B3">
            <w:pPr>
              <w:pStyle w:val="69"/>
              <w:bidi w:val="0"/>
              <w:rPr>
                <w:lang w:val="en-US" w:eastAsia="zh-CN"/>
              </w:rPr>
            </w:pPr>
            <w:r>
              <w:rPr>
                <w:lang w:val="en-US" w:eastAsia="zh-CN"/>
              </w:rPr>
              <w:t>准保护区</w:t>
            </w:r>
          </w:p>
        </w:tc>
        <w:tc>
          <w:tcPr>
            <w:tcW w:w="850" w:type="dxa"/>
            <w:shd w:val="clear" w:color="auto" w:fill="auto"/>
            <w:vAlign w:val="center"/>
          </w:tcPr>
          <w:p w14:paraId="56EE7657">
            <w:pPr>
              <w:pStyle w:val="69"/>
              <w:bidi w:val="0"/>
              <w:rPr>
                <w:lang w:val="en-US" w:eastAsia="zh-CN"/>
              </w:rPr>
            </w:pPr>
          </w:p>
        </w:tc>
        <w:tc>
          <w:tcPr>
            <w:tcW w:w="2695" w:type="dxa"/>
            <w:shd w:val="clear" w:color="auto" w:fill="auto"/>
            <w:vAlign w:val="center"/>
          </w:tcPr>
          <w:p w14:paraId="4FD9129F">
            <w:pPr>
              <w:pStyle w:val="69"/>
              <w:bidi w:val="0"/>
              <w:rPr>
                <w:lang w:val="en-US" w:eastAsia="zh-CN"/>
              </w:rPr>
            </w:pPr>
            <w:r>
              <w:rPr>
                <w:rFonts w:hint="eastAsia"/>
                <w:lang w:val="en-US" w:eastAsia="zh-CN"/>
              </w:rPr>
              <w:t>二级保护区边界向上游延伸 3000 米、下游延伸 2000 米，向两岸延伸至多年日平均水位 0.93m（珠基），除航道外的全部水域范围；沙口闸向南北主涌上游延伸 2200 米的水域；二级保护区涉及的英雄河上游边界向上游延伸 1000 米的河道水域。</w:t>
            </w:r>
          </w:p>
        </w:tc>
        <w:tc>
          <w:tcPr>
            <w:tcW w:w="2781" w:type="dxa"/>
            <w:shd w:val="clear" w:color="auto" w:fill="auto"/>
            <w:vAlign w:val="center"/>
          </w:tcPr>
          <w:p w14:paraId="67B5B5AC">
            <w:pPr>
              <w:pStyle w:val="69"/>
              <w:bidi w:val="0"/>
              <w:rPr>
                <w:lang w:val="en-US" w:eastAsia="zh-CN"/>
              </w:rPr>
            </w:pPr>
            <w:r>
              <w:rPr>
                <w:rFonts w:hint="eastAsia"/>
                <w:lang w:val="en-US" w:eastAsia="zh-CN"/>
              </w:rPr>
              <w:t>西江干流准保护区水域边界左岸、右岸均向外延伸至防洪堤背水坡坡脚内的陆域范围；南北主涌向两岸延伸至沿河道路外沿的陆域范围；二级保护区涉及的英雄河陆域向两岸纵深各延伸 40 米、准保护区涉及的英雄河水域向两岸纵深各延伸 50米的陆域范围，有明显地标建筑物的以建筑物为界划分。</w:t>
            </w:r>
          </w:p>
        </w:tc>
        <w:tc>
          <w:tcPr>
            <w:tcW w:w="755" w:type="dxa"/>
            <w:vAlign w:val="center"/>
          </w:tcPr>
          <w:p w14:paraId="7B74A2E0">
            <w:pPr>
              <w:pStyle w:val="69"/>
              <w:bidi w:val="0"/>
              <w:rPr>
                <w:rFonts w:hint="default" w:eastAsia="宋体"/>
                <w:lang w:val="en-US" w:eastAsia="zh-CN"/>
              </w:rPr>
            </w:pPr>
            <w:r>
              <w:rPr>
                <w:rFonts w:hint="eastAsia"/>
                <w:lang w:val="en-US" w:eastAsia="zh-CN"/>
              </w:rPr>
              <w:t>9.5km</w:t>
            </w:r>
          </w:p>
        </w:tc>
      </w:tr>
      <w:tr w14:paraId="33AE83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restart"/>
            <w:vAlign w:val="center"/>
          </w:tcPr>
          <w:p w14:paraId="2EDC9670">
            <w:pPr>
              <w:pStyle w:val="69"/>
              <w:bidi w:val="0"/>
            </w:pPr>
            <w:r>
              <w:rPr>
                <w:rFonts w:hint="eastAsia"/>
              </w:rPr>
              <w:t>新会区</w:t>
            </w:r>
          </w:p>
        </w:tc>
        <w:tc>
          <w:tcPr>
            <w:tcW w:w="771" w:type="dxa"/>
            <w:vMerge w:val="restart"/>
            <w:vAlign w:val="center"/>
          </w:tcPr>
          <w:p w14:paraId="12F6DE29">
            <w:pPr>
              <w:pStyle w:val="69"/>
              <w:bidi w:val="0"/>
            </w:pPr>
            <w:r>
              <w:t>新会潭江段饮用水水源保护区</w:t>
            </w:r>
          </w:p>
        </w:tc>
        <w:tc>
          <w:tcPr>
            <w:tcW w:w="566" w:type="dxa"/>
            <w:vAlign w:val="center"/>
          </w:tcPr>
          <w:p w14:paraId="6E3533D0">
            <w:pPr>
              <w:pStyle w:val="69"/>
              <w:bidi w:val="0"/>
            </w:pPr>
            <w:r>
              <w:t>一级</w:t>
            </w:r>
          </w:p>
        </w:tc>
        <w:tc>
          <w:tcPr>
            <w:tcW w:w="850" w:type="dxa"/>
            <w:vAlign w:val="center"/>
          </w:tcPr>
          <w:p w14:paraId="07F2C127">
            <w:pPr>
              <w:pStyle w:val="69"/>
              <w:bidi w:val="0"/>
            </w:pPr>
            <w:r>
              <w:rPr>
                <w:rFonts w:hint="eastAsia"/>
              </w:rPr>
              <w:t>Ⅱ</w:t>
            </w:r>
            <w:r>
              <w:t>类</w:t>
            </w:r>
          </w:p>
        </w:tc>
        <w:tc>
          <w:tcPr>
            <w:tcW w:w="2695" w:type="dxa"/>
            <w:vAlign w:val="center"/>
          </w:tcPr>
          <w:p w14:paraId="042B72B6">
            <w:pPr>
              <w:pStyle w:val="69"/>
              <w:bidi w:val="0"/>
            </w:pPr>
            <w:r>
              <w:t>潭江新会区鸣乔吸水点上下游1000米行洪控制线（30年一遇）以下除航道外的整个河道范围</w:t>
            </w:r>
            <w:r>
              <w:rPr>
                <w:rFonts w:hint="eastAsia"/>
              </w:rPr>
              <w:t>。</w:t>
            </w:r>
          </w:p>
        </w:tc>
        <w:tc>
          <w:tcPr>
            <w:tcW w:w="2781" w:type="dxa"/>
            <w:vAlign w:val="center"/>
          </w:tcPr>
          <w:p w14:paraId="37543224">
            <w:pPr>
              <w:pStyle w:val="69"/>
              <w:bidi w:val="0"/>
            </w:pPr>
            <w:r>
              <w:t>相应一级保护区水域两岸河堤临水侧向陆纵深200米的陆域。</w:t>
            </w:r>
          </w:p>
        </w:tc>
        <w:tc>
          <w:tcPr>
            <w:tcW w:w="755" w:type="dxa"/>
            <w:vMerge w:val="restart"/>
            <w:vAlign w:val="center"/>
          </w:tcPr>
          <w:p w14:paraId="5AF89276">
            <w:pPr>
              <w:pStyle w:val="69"/>
              <w:bidi w:val="0"/>
              <w:rPr>
                <w:rFonts w:hint="default" w:eastAsia="宋体"/>
                <w:lang w:val="en-US" w:eastAsia="zh-CN"/>
              </w:rPr>
            </w:pPr>
            <w:r>
              <w:rPr>
                <w:rFonts w:hint="eastAsia"/>
                <w:lang w:val="en-US" w:eastAsia="zh-CN"/>
              </w:rPr>
              <w:t>35.5km</w:t>
            </w:r>
          </w:p>
        </w:tc>
      </w:tr>
      <w:tr w14:paraId="7474BD1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6" w:type="dxa"/>
            <w:vMerge w:val="continue"/>
            <w:vAlign w:val="center"/>
          </w:tcPr>
          <w:p w14:paraId="418D82FE">
            <w:pPr>
              <w:pStyle w:val="69"/>
              <w:bidi w:val="0"/>
            </w:pPr>
          </w:p>
        </w:tc>
        <w:tc>
          <w:tcPr>
            <w:tcW w:w="771" w:type="dxa"/>
            <w:vMerge w:val="continue"/>
            <w:vAlign w:val="center"/>
          </w:tcPr>
          <w:p w14:paraId="45ADC10F">
            <w:pPr>
              <w:pStyle w:val="69"/>
              <w:bidi w:val="0"/>
            </w:pPr>
          </w:p>
        </w:tc>
        <w:tc>
          <w:tcPr>
            <w:tcW w:w="566" w:type="dxa"/>
            <w:vAlign w:val="center"/>
          </w:tcPr>
          <w:p w14:paraId="49EBB3DA">
            <w:pPr>
              <w:pStyle w:val="69"/>
              <w:bidi w:val="0"/>
            </w:pPr>
            <w:r>
              <w:t>二级</w:t>
            </w:r>
          </w:p>
        </w:tc>
        <w:tc>
          <w:tcPr>
            <w:tcW w:w="850" w:type="dxa"/>
            <w:vAlign w:val="center"/>
          </w:tcPr>
          <w:p w14:paraId="5C9D7999">
            <w:pPr>
              <w:pStyle w:val="69"/>
              <w:bidi w:val="0"/>
            </w:pPr>
            <w:r>
              <w:rPr>
                <w:rFonts w:hint="eastAsia"/>
              </w:rPr>
              <w:t>Ⅱ</w:t>
            </w:r>
            <w:r>
              <w:t>类</w:t>
            </w:r>
          </w:p>
        </w:tc>
        <w:tc>
          <w:tcPr>
            <w:tcW w:w="2695" w:type="dxa"/>
            <w:vAlign w:val="center"/>
          </w:tcPr>
          <w:p w14:paraId="11F6E761">
            <w:pPr>
              <w:pStyle w:val="69"/>
              <w:bidi w:val="0"/>
            </w:pPr>
            <w:r>
              <w:t>潭江开平、台山、新会三地交接段面起至鸣乔吸水点下游3500</w:t>
            </w:r>
            <w:r>
              <w:rPr>
                <w:rFonts w:hint="eastAsia"/>
              </w:rPr>
              <w:t>米</w:t>
            </w:r>
            <w:r>
              <w:t>处除一级保护区和航道外的整个河道范围。</w:t>
            </w:r>
          </w:p>
        </w:tc>
        <w:tc>
          <w:tcPr>
            <w:tcW w:w="2781" w:type="dxa"/>
            <w:vAlign w:val="center"/>
          </w:tcPr>
          <w:p w14:paraId="2FC5E03E">
            <w:pPr>
              <w:pStyle w:val="69"/>
              <w:bidi w:val="0"/>
            </w:pPr>
            <w:r>
              <w:t>相应二级保护区水域两岸河堤临水侧向陆纵深100米的陆域</w:t>
            </w:r>
            <w:r>
              <w:rPr>
                <w:rFonts w:hint="eastAsia"/>
              </w:rPr>
              <w:t>。</w:t>
            </w:r>
          </w:p>
        </w:tc>
        <w:tc>
          <w:tcPr>
            <w:tcW w:w="755" w:type="dxa"/>
            <w:vMerge w:val="continue"/>
            <w:vAlign w:val="center"/>
          </w:tcPr>
          <w:p w14:paraId="3E522BD5">
            <w:pPr>
              <w:pStyle w:val="69"/>
              <w:bidi w:val="0"/>
            </w:pPr>
          </w:p>
        </w:tc>
      </w:tr>
    </w:tbl>
    <w:p w14:paraId="12C790E9">
      <w:pPr>
        <w:ind w:firstLine="480"/>
        <w:rPr>
          <w:color w:val="auto"/>
        </w:rPr>
      </w:pPr>
    </w:p>
    <w:p w14:paraId="6F4B0F11">
      <w:pPr>
        <w:pStyle w:val="64"/>
        <w:numPr>
          <w:ilvl w:val="2"/>
          <w:numId w:val="8"/>
        </w:numPr>
        <w:spacing w:before="120" w:after="120"/>
        <w:ind w:left="709" w:leftChars="0" w:hanging="709" w:firstLineChars="0"/>
        <w:rPr>
          <w:color w:val="auto"/>
        </w:rPr>
      </w:pPr>
      <w:r>
        <w:rPr>
          <w:rFonts w:hint="eastAsia"/>
          <w:color w:val="auto"/>
        </w:rPr>
        <w:t>大气环境功能区划</w:t>
      </w:r>
    </w:p>
    <w:p w14:paraId="2E96F617">
      <w:pPr>
        <w:ind w:firstLine="480"/>
        <w:rPr>
          <w:color w:val="auto"/>
        </w:rPr>
      </w:pPr>
      <w:r>
        <w:rPr>
          <w:rFonts w:hint="eastAsia" w:ascii="Times New Roman" w:hAnsi="Times New Roman" w:cs="Times New Roman"/>
        </w:rPr>
        <w:t>根据《江门市环境空气质量功能区划调整方案（2024年修订）》，项目所在地</w:t>
      </w:r>
      <w:r>
        <w:rPr>
          <w:rFonts w:ascii="Times New Roman" w:hAnsi="Times New Roman" w:cs="Times New Roman"/>
        </w:rPr>
        <w:t>属环境空气质量二类区，执行《环境空气质量标准》（GB3095-2012）二级标准</w:t>
      </w:r>
      <w:r>
        <w:rPr>
          <w:rFonts w:hint="eastAsia" w:ascii="Times New Roman" w:hAnsi="Times New Roman" w:cs="Times New Roman"/>
        </w:rPr>
        <w:t>及修改单。</w:t>
      </w:r>
    </w:p>
    <w:p w14:paraId="0A281364">
      <w:pPr>
        <w:pStyle w:val="64"/>
        <w:numPr>
          <w:ilvl w:val="2"/>
          <w:numId w:val="8"/>
        </w:numPr>
        <w:spacing w:before="120" w:after="120"/>
        <w:ind w:left="709" w:leftChars="0" w:hanging="709" w:firstLineChars="0"/>
        <w:rPr>
          <w:color w:val="auto"/>
        </w:rPr>
      </w:pPr>
      <w:r>
        <w:rPr>
          <w:rFonts w:hint="eastAsia"/>
          <w:color w:val="auto"/>
        </w:rPr>
        <w:t>声环境功能区划</w:t>
      </w:r>
    </w:p>
    <w:p w14:paraId="5C324A81">
      <w:pPr>
        <w:bidi w:val="0"/>
        <w:rPr>
          <w:rFonts w:hint="eastAsia"/>
          <w:color w:val="auto"/>
        </w:rPr>
      </w:pPr>
      <w:r>
        <w:rPr>
          <w:rFonts w:hint="eastAsia" w:ascii="Times New Roman" w:hAnsi="Times New Roman" w:cs="Times New Roman"/>
          <w:color w:val="auto"/>
        </w:rPr>
        <w:t>根据《江门市声环境功能区划》（江环〔2019〕378号）以及关于修改《江门市声环境功能区划》及延长文件有效期的通知（江环〔2025〕13号），项目所在地属3类区，执行《声环境质量标准》（GB3096-2008）3类标准</w:t>
      </w:r>
      <w:r>
        <w:rPr>
          <w:rFonts w:hint="eastAsia" w:ascii="Times New Roman" w:hAnsi="Times New Roman" w:cs="Times New Roman"/>
        </w:rPr>
        <w:t>。</w:t>
      </w:r>
    </w:p>
    <w:p w14:paraId="1D8FD151">
      <w:pPr>
        <w:pStyle w:val="64"/>
        <w:numPr>
          <w:ilvl w:val="2"/>
          <w:numId w:val="8"/>
        </w:numPr>
        <w:spacing w:before="120" w:after="120"/>
        <w:ind w:left="709" w:leftChars="0" w:hanging="709" w:firstLineChars="0"/>
        <w:rPr>
          <w:color w:val="auto"/>
        </w:rPr>
      </w:pPr>
      <w:r>
        <w:rPr>
          <w:rFonts w:hint="eastAsia"/>
          <w:color w:val="auto"/>
        </w:rPr>
        <w:t>生态环境功能区划</w:t>
      </w:r>
    </w:p>
    <w:p w14:paraId="256EBAF2">
      <w:pPr>
        <w:ind w:firstLine="480"/>
        <w:rPr>
          <w:color w:val="auto"/>
        </w:rPr>
      </w:pPr>
      <w:r>
        <w:rPr>
          <w:color w:val="auto"/>
        </w:rPr>
        <w:t>项目所在地在用地性质上属于工业用地，</w:t>
      </w:r>
      <w:r>
        <w:rPr>
          <w:rFonts w:hint="eastAsia"/>
          <w:color w:val="auto"/>
          <w:lang w:val="en-US" w:eastAsia="zh-CN"/>
        </w:rPr>
        <w:t>地上已建设建筑物</w:t>
      </w:r>
      <w:r>
        <w:rPr>
          <w:color w:val="auto"/>
        </w:rPr>
        <w:t>。</w:t>
      </w:r>
    </w:p>
    <w:p w14:paraId="270E165E">
      <w:pPr>
        <w:ind w:firstLine="480"/>
        <w:rPr>
          <w:color w:val="auto"/>
        </w:rPr>
      </w:pPr>
      <w:r>
        <w:rPr>
          <w:rFonts w:hint="eastAsia"/>
          <w:color w:val="auto"/>
        </w:rPr>
        <w:t>根据《广东省人民政府关于印发广东省“三线一单”生态环境分区管控方案的通知》（粤府〔2020〕71号），项目所在地属于重点管控单元，位置关系见图1.3-5。</w:t>
      </w:r>
    </w:p>
    <w:p w14:paraId="7BD1D325">
      <w:pPr>
        <w:pStyle w:val="64"/>
        <w:numPr>
          <w:ilvl w:val="2"/>
          <w:numId w:val="8"/>
        </w:numPr>
        <w:spacing w:before="120" w:after="120"/>
        <w:ind w:left="709" w:leftChars="0" w:hanging="709" w:firstLineChars="0"/>
        <w:rPr>
          <w:color w:val="auto"/>
        </w:rPr>
      </w:pPr>
      <w:r>
        <w:rPr>
          <w:rFonts w:hint="eastAsia"/>
          <w:color w:val="auto"/>
        </w:rPr>
        <w:t>地下水环境功能区划</w:t>
      </w:r>
    </w:p>
    <w:p w14:paraId="799B50AF">
      <w:pPr>
        <w:ind w:firstLine="480"/>
        <w:rPr>
          <w:color w:val="auto"/>
          <w:kern w:val="0"/>
        </w:rPr>
      </w:pPr>
      <w:r>
        <w:rPr>
          <w:color w:val="auto"/>
        </w:rPr>
        <w:t>根据《关于同意广东省地下水功能区划的复函》（粤办函【2009】459号）</w:t>
      </w:r>
      <w:r>
        <w:rPr>
          <w:rFonts w:hint="eastAsia"/>
          <w:color w:val="auto"/>
        </w:rPr>
        <w:t>和《江门市生态建设规划》—江门市浅层地下水功能区划图（见图1.3-4）</w:t>
      </w:r>
      <w:r>
        <w:rPr>
          <w:color w:val="auto"/>
        </w:rPr>
        <w:t>，本项目位于</w:t>
      </w:r>
      <w:r>
        <w:rPr>
          <w:rFonts w:hint="eastAsia"/>
          <w:color w:val="auto"/>
        </w:rPr>
        <w:t>珠江三角洲江门鹤山地下水水源涵养区H074407002T01</w:t>
      </w:r>
      <w:r>
        <w:rPr>
          <w:color w:val="auto"/>
        </w:rPr>
        <w:t>，</w:t>
      </w:r>
      <w:r>
        <w:rPr>
          <w:rFonts w:hint="eastAsia"/>
          <w:color w:val="auto"/>
          <w:kern w:val="0"/>
        </w:rPr>
        <w:t>目标如下：</w:t>
      </w:r>
    </w:p>
    <w:p w14:paraId="6AAE3C30">
      <w:pPr>
        <w:ind w:firstLine="480"/>
        <w:rPr>
          <w:color w:val="auto"/>
          <w:kern w:val="0"/>
        </w:rPr>
      </w:pPr>
      <w:r>
        <w:rPr>
          <w:rFonts w:hint="eastAsia"/>
          <w:color w:val="auto"/>
          <w:kern w:val="0"/>
        </w:rPr>
        <w:t>(1)水质目标：</w:t>
      </w:r>
      <w:r>
        <w:rPr>
          <w:rFonts w:hint="eastAsia"/>
          <w:color w:val="auto"/>
        </w:rPr>
        <w:t>《地下水质量标准》（GB/T 14848-2017）</w:t>
      </w:r>
      <w:r>
        <w:rPr>
          <w:color w:val="auto"/>
        </w:rPr>
        <w:t>中</w:t>
      </w:r>
      <w:r>
        <w:rPr>
          <w:rFonts w:hint="eastAsia"/>
          <w:color w:val="auto"/>
        </w:rPr>
        <w:t>III</w:t>
      </w:r>
      <w:r>
        <w:rPr>
          <w:color w:val="auto"/>
        </w:rPr>
        <w:t>类水质标准</w:t>
      </w:r>
      <w:r>
        <w:rPr>
          <w:rFonts w:hint="eastAsia"/>
          <w:color w:val="auto"/>
        </w:rPr>
        <w:t>。</w:t>
      </w:r>
    </w:p>
    <w:p w14:paraId="163AB80B">
      <w:pPr>
        <w:ind w:firstLine="480"/>
        <w:rPr>
          <w:color w:val="auto"/>
          <w:kern w:val="0"/>
        </w:rPr>
      </w:pPr>
      <w:r>
        <w:rPr>
          <w:rFonts w:hint="eastAsia"/>
          <w:color w:val="auto"/>
          <w:kern w:val="0"/>
        </w:rPr>
        <w:t>(2)水量目标：限制地下水开采，始终保持泉水出露区一定的喷涌流量或维持河流的生态基流。</w:t>
      </w:r>
    </w:p>
    <w:p w14:paraId="03720FDA">
      <w:pPr>
        <w:bidi w:val="0"/>
        <w:rPr>
          <w:rFonts w:hint="eastAsia"/>
          <w:color w:val="auto"/>
        </w:rPr>
      </w:pPr>
      <w:r>
        <w:rPr>
          <w:rFonts w:hint="eastAsia"/>
          <w:color w:val="auto"/>
        </w:rPr>
        <w:t>(3)水位目标：在开发利用期间，维持较高的地下水水位，保持泉水出露区一定的喷涌流量或河流的生态基流。</w:t>
      </w:r>
      <w:bookmarkStart w:id="33" w:name="_Toc16994"/>
      <w:bookmarkStart w:id="34" w:name="_Toc26553"/>
    </w:p>
    <w:p w14:paraId="21085B51">
      <w:pPr>
        <w:pStyle w:val="85"/>
        <w:numPr>
          <w:ilvl w:val="0"/>
          <w:numId w:val="14"/>
        </w:numPr>
        <w:bidi w:val="0"/>
        <w:ind w:left="0" w:leftChars="0" w:firstLine="0" w:firstLineChars="0"/>
        <w:rPr>
          <w:rFonts w:ascii="Times New Roman" w:hAnsi="Times New Roman" w:eastAsia="宋体" w:cs="Times New Roman"/>
        </w:rPr>
      </w:pPr>
      <w:r>
        <w:rPr>
          <w:rFonts w:ascii="Times New Roman" w:hAnsi="Times New Roman" w:eastAsia="宋体" w:cs="Times New Roman"/>
        </w:rPr>
        <w:t>项目所在区域地下水功能区划情况表</w:t>
      </w:r>
    </w:p>
    <w:p w14:paraId="2A6FE18A">
      <w:pPr>
        <w:spacing w:line="31" w:lineRule="exact"/>
      </w:pPr>
    </w:p>
    <w:tbl>
      <w:tblPr>
        <w:tblStyle w:val="105"/>
        <w:tblW w:w="4998" w:type="pct"/>
        <w:tblInd w:w="0" w:type="dxa"/>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Layout w:type="autofit"/>
        <w:tblCellMar>
          <w:top w:w="0" w:type="dxa"/>
          <w:left w:w="0" w:type="dxa"/>
          <w:bottom w:w="0" w:type="dxa"/>
          <w:right w:w="0" w:type="dxa"/>
        </w:tblCellMar>
      </w:tblPr>
      <w:tblGrid>
        <w:gridCol w:w="806"/>
        <w:gridCol w:w="1154"/>
        <w:gridCol w:w="1143"/>
        <w:gridCol w:w="1691"/>
        <w:gridCol w:w="833"/>
        <w:gridCol w:w="695"/>
        <w:gridCol w:w="844"/>
        <w:gridCol w:w="847"/>
        <w:gridCol w:w="1055"/>
      </w:tblGrid>
      <w:tr w14:paraId="420453BF">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464" w:hRule="atLeast"/>
        </w:trPr>
        <w:tc>
          <w:tcPr>
            <w:tcW w:w="444" w:type="pct"/>
            <w:vMerge w:val="restart"/>
            <w:tcBorders>
              <w:top w:val="single" w:color="000000" w:sz="12" w:space="0"/>
              <w:left w:val="nil"/>
              <w:tl2br w:val="nil"/>
            </w:tcBorders>
            <w:shd w:val="clear" w:color="auto" w:fill="FFFFFF"/>
            <w:vAlign w:val="center"/>
          </w:tcPr>
          <w:p w14:paraId="6A9B21C4">
            <w:pPr>
              <w:pStyle w:val="59"/>
              <w:bidi w:val="0"/>
              <w:jc w:val="center"/>
              <w:rPr>
                <w:b w:val="0"/>
                <w:color w:val="000000"/>
              </w:rPr>
            </w:pPr>
            <w:r>
              <w:rPr>
                <w:b w:val="0"/>
                <w:color w:val="000000"/>
              </w:rPr>
              <w:t>地级行 政区</w:t>
            </w:r>
          </w:p>
        </w:tc>
        <w:tc>
          <w:tcPr>
            <w:tcW w:w="636" w:type="pct"/>
            <w:vMerge w:val="restart"/>
            <w:tcBorders>
              <w:top w:val="single" w:color="000000" w:sz="12" w:space="0"/>
            </w:tcBorders>
            <w:shd w:val="clear" w:color="auto" w:fill="FFFFFF"/>
            <w:vAlign w:val="center"/>
          </w:tcPr>
          <w:p w14:paraId="0D1B5A78">
            <w:pPr>
              <w:pStyle w:val="59"/>
              <w:bidi w:val="0"/>
              <w:jc w:val="center"/>
              <w:rPr>
                <w:b w:val="0"/>
                <w:color w:val="000000"/>
              </w:rPr>
            </w:pPr>
            <w:r>
              <w:rPr>
                <w:b w:val="0"/>
                <w:color w:val="000000"/>
              </w:rPr>
              <w:t>地下水一 级功能区</w:t>
            </w:r>
          </w:p>
        </w:tc>
        <w:tc>
          <w:tcPr>
            <w:tcW w:w="1562" w:type="pct"/>
            <w:gridSpan w:val="2"/>
            <w:tcBorders>
              <w:top w:val="single" w:color="000000" w:sz="12" w:space="0"/>
            </w:tcBorders>
            <w:shd w:val="clear" w:color="auto" w:fill="FFFFFF"/>
            <w:vAlign w:val="center"/>
          </w:tcPr>
          <w:p w14:paraId="78C2E645">
            <w:pPr>
              <w:pStyle w:val="59"/>
              <w:bidi w:val="0"/>
              <w:jc w:val="center"/>
              <w:rPr>
                <w:b w:val="0"/>
                <w:color w:val="000000"/>
              </w:rPr>
            </w:pPr>
            <w:r>
              <w:rPr>
                <w:b w:val="0"/>
                <w:color w:val="000000"/>
              </w:rPr>
              <w:t>地下水二级功能区</w:t>
            </w:r>
          </w:p>
        </w:tc>
        <w:tc>
          <w:tcPr>
            <w:tcW w:w="459" w:type="pct"/>
            <w:vMerge w:val="restart"/>
            <w:tcBorders>
              <w:top w:val="single" w:color="000000" w:sz="12" w:space="0"/>
            </w:tcBorders>
            <w:shd w:val="clear" w:color="auto" w:fill="FFFFFF"/>
            <w:vAlign w:val="center"/>
          </w:tcPr>
          <w:p w14:paraId="5226DD5E">
            <w:pPr>
              <w:pStyle w:val="59"/>
              <w:bidi w:val="0"/>
              <w:jc w:val="center"/>
              <w:rPr>
                <w:b w:val="0"/>
                <w:color w:val="000000"/>
              </w:rPr>
            </w:pPr>
            <w:r>
              <w:rPr>
                <w:b w:val="0"/>
                <w:color w:val="000000"/>
              </w:rPr>
              <w:t>所在水 资源二</w:t>
            </w:r>
          </w:p>
          <w:p w14:paraId="584A9652">
            <w:pPr>
              <w:pStyle w:val="59"/>
              <w:bidi w:val="0"/>
              <w:jc w:val="center"/>
              <w:rPr>
                <w:b w:val="0"/>
                <w:color w:val="000000"/>
              </w:rPr>
            </w:pPr>
            <w:r>
              <w:rPr>
                <w:b w:val="0"/>
                <w:color w:val="000000"/>
              </w:rPr>
              <w:t>级分区</w:t>
            </w:r>
          </w:p>
        </w:tc>
        <w:tc>
          <w:tcPr>
            <w:tcW w:w="383" w:type="pct"/>
            <w:vMerge w:val="restart"/>
            <w:tcBorders>
              <w:top w:val="single" w:color="000000" w:sz="12" w:space="0"/>
            </w:tcBorders>
            <w:shd w:val="clear" w:color="auto" w:fill="FFFFFF"/>
            <w:vAlign w:val="center"/>
          </w:tcPr>
          <w:p w14:paraId="6A99B81E">
            <w:pPr>
              <w:pStyle w:val="59"/>
              <w:bidi w:val="0"/>
              <w:jc w:val="center"/>
              <w:rPr>
                <w:b w:val="0"/>
                <w:color w:val="000000"/>
              </w:rPr>
            </w:pPr>
            <w:r>
              <w:rPr>
                <w:b w:val="0"/>
                <w:color w:val="000000"/>
              </w:rPr>
              <w:t>地貌 类型</w:t>
            </w:r>
          </w:p>
        </w:tc>
        <w:tc>
          <w:tcPr>
            <w:tcW w:w="465" w:type="pct"/>
            <w:vMerge w:val="restart"/>
            <w:tcBorders>
              <w:top w:val="single" w:color="000000" w:sz="12" w:space="0"/>
            </w:tcBorders>
            <w:shd w:val="clear" w:color="auto" w:fill="FFFFFF"/>
            <w:vAlign w:val="center"/>
          </w:tcPr>
          <w:p w14:paraId="29C53C05">
            <w:pPr>
              <w:pStyle w:val="59"/>
              <w:bidi w:val="0"/>
              <w:jc w:val="center"/>
              <w:rPr>
                <w:b w:val="0"/>
                <w:color w:val="000000"/>
              </w:rPr>
            </w:pPr>
            <w:r>
              <w:rPr>
                <w:b w:val="0"/>
                <w:color w:val="000000"/>
              </w:rPr>
              <w:t>地下水 类型</w:t>
            </w:r>
          </w:p>
        </w:tc>
        <w:tc>
          <w:tcPr>
            <w:tcW w:w="465" w:type="pct"/>
            <w:vMerge w:val="restart"/>
            <w:tcBorders>
              <w:top w:val="single" w:color="000000" w:sz="12" w:space="0"/>
            </w:tcBorders>
            <w:shd w:val="clear" w:color="auto" w:fill="FFFFFF"/>
            <w:vAlign w:val="center"/>
          </w:tcPr>
          <w:p w14:paraId="68D3F38A">
            <w:pPr>
              <w:pStyle w:val="59"/>
              <w:bidi w:val="0"/>
              <w:jc w:val="center"/>
              <w:rPr>
                <w:b w:val="0"/>
                <w:color w:val="000000"/>
              </w:rPr>
            </w:pPr>
            <w:r>
              <w:rPr>
                <w:b w:val="0"/>
                <w:color w:val="000000"/>
              </w:rPr>
              <w:t>面积</w:t>
            </w:r>
          </w:p>
          <w:p w14:paraId="2F2B01D6">
            <w:pPr>
              <w:pStyle w:val="59"/>
              <w:bidi w:val="0"/>
              <w:jc w:val="center"/>
              <w:rPr>
                <w:b w:val="0"/>
                <w:color w:val="000000"/>
              </w:rPr>
            </w:pPr>
            <w:r>
              <w:rPr>
                <w:b w:val="0"/>
                <w:color w:val="000000"/>
              </w:rPr>
              <w:t>(km²)</w:t>
            </w:r>
          </w:p>
        </w:tc>
        <w:tc>
          <w:tcPr>
            <w:tcW w:w="581" w:type="pct"/>
            <w:vMerge w:val="restart"/>
            <w:tcBorders>
              <w:top w:val="single" w:color="000000" w:sz="12" w:space="0"/>
              <w:right w:val="nil"/>
            </w:tcBorders>
            <w:shd w:val="clear" w:color="auto" w:fill="FFFFFF"/>
            <w:vAlign w:val="center"/>
          </w:tcPr>
          <w:p w14:paraId="111C7039">
            <w:pPr>
              <w:pStyle w:val="59"/>
              <w:bidi w:val="0"/>
              <w:jc w:val="center"/>
              <w:rPr>
                <w:b w:val="0"/>
                <w:color w:val="000000"/>
              </w:rPr>
            </w:pPr>
            <w:r>
              <w:rPr>
                <w:b w:val="0"/>
                <w:color w:val="000000"/>
              </w:rPr>
              <w:t>矿化度</w:t>
            </w:r>
          </w:p>
          <w:p w14:paraId="779EF6FA">
            <w:pPr>
              <w:pStyle w:val="59"/>
              <w:bidi w:val="0"/>
              <w:jc w:val="center"/>
              <w:rPr>
                <w:b w:val="0"/>
                <w:color w:val="000000"/>
              </w:rPr>
            </w:pPr>
            <w:r>
              <w:rPr>
                <w:b w:val="0"/>
                <w:color w:val="000000"/>
              </w:rPr>
              <w:t>(g/L)</w:t>
            </w:r>
          </w:p>
        </w:tc>
      </w:tr>
      <w:tr w14:paraId="19C4A97E">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449" w:hRule="atLeast"/>
        </w:trPr>
        <w:tc>
          <w:tcPr>
            <w:tcW w:w="444" w:type="pct"/>
            <w:vMerge w:val="continue"/>
            <w:tcBorders>
              <w:left w:val="nil"/>
            </w:tcBorders>
            <w:shd w:val="clear" w:color="auto" w:fill="FFFFFF"/>
            <w:vAlign w:val="center"/>
          </w:tcPr>
          <w:p w14:paraId="34AEBDB3">
            <w:pPr>
              <w:pStyle w:val="59"/>
              <w:bidi w:val="0"/>
              <w:jc w:val="center"/>
              <w:rPr>
                <w:b w:val="0"/>
                <w:color w:val="000000"/>
              </w:rPr>
            </w:pPr>
          </w:p>
        </w:tc>
        <w:tc>
          <w:tcPr>
            <w:tcW w:w="636" w:type="pct"/>
            <w:vMerge w:val="continue"/>
            <w:shd w:val="clear" w:color="auto" w:fill="FFFFFF"/>
            <w:vAlign w:val="center"/>
          </w:tcPr>
          <w:p w14:paraId="77F09821">
            <w:pPr>
              <w:pStyle w:val="59"/>
              <w:bidi w:val="0"/>
              <w:jc w:val="center"/>
              <w:rPr>
                <w:b w:val="0"/>
                <w:color w:val="000000"/>
              </w:rPr>
            </w:pPr>
          </w:p>
        </w:tc>
        <w:tc>
          <w:tcPr>
            <w:tcW w:w="630" w:type="pct"/>
            <w:shd w:val="clear" w:color="auto" w:fill="FFFFFF"/>
            <w:vAlign w:val="center"/>
          </w:tcPr>
          <w:p w14:paraId="0768CCF5">
            <w:pPr>
              <w:pStyle w:val="59"/>
              <w:bidi w:val="0"/>
              <w:jc w:val="center"/>
              <w:rPr>
                <w:b w:val="0"/>
                <w:color w:val="000000"/>
              </w:rPr>
            </w:pPr>
            <w:r>
              <w:rPr>
                <w:b w:val="0"/>
                <w:color w:val="000000"/>
              </w:rPr>
              <w:t>名称</w:t>
            </w:r>
          </w:p>
        </w:tc>
        <w:tc>
          <w:tcPr>
            <w:tcW w:w="931" w:type="pct"/>
            <w:shd w:val="clear" w:color="auto" w:fill="FFFFFF"/>
            <w:vAlign w:val="center"/>
          </w:tcPr>
          <w:p w14:paraId="558B4F80">
            <w:pPr>
              <w:pStyle w:val="59"/>
              <w:bidi w:val="0"/>
              <w:jc w:val="center"/>
              <w:rPr>
                <w:b w:val="0"/>
                <w:color w:val="000000"/>
              </w:rPr>
            </w:pPr>
            <w:r>
              <w:rPr>
                <w:b w:val="0"/>
                <w:color w:val="000000"/>
              </w:rPr>
              <w:t>代码</w:t>
            </w:r>
          </w:p>
        </w:tc>
        <w:tc>
          <w:tcPr>
            <w:tcW w:w="459" w:type="pct"/>
            <w:vMerge w:val="continue"/>
            <w:shd w:val="clear" w:color="auto" w:fill="FFFFFF"/>
            <w:vAlign w:val="center"/>
          </w:tcPr>
          <w:p w14:paraId="09919130">
            <w:pPr>
              <w:pStyle w:val="59"/>
              <w:bidi w:val="0"/>
              <w:jc w:val="center"/>
              <w:rPr>
                <w:b w:val="0"/>
                <w:color w:val="000000"/>
              </w:rPr>
            </w:pPr>
          </w:p>
        </w:tc>
        <w:tc>
          <w:tcPr>
            <w:tcW w:w="383" w:type="pct"/>
            <w:vMerge w:val="continue"/>
            <w:shd w:val="clear" w:color="auto" w:fill="FFFFFF"/>
            <w:vAlign w:val="center"/>
          </w:tcPr>
          <w:p w14:paraId="0D19192D">
            <w:pPr>
              <w:pStyle w:val="59"/>
              <w:bidi w:val="0"/>
              <w:jc w:val="center"/>
              <w:rPr>
                <w:b w:val="0"/>
                <w:color w:val="000000"/>
              </w:rPr>
            </w:pPr>
          </w:p>
        </w:tc>
        <w:tc>
          <w:tcPr>
            <w:tcW w:w="465" w:type="pct"/>
            <w:vMerge w:val="continue"/>
            <w:shd w:val="clear" w:color="auto" w:fill="FFFFFF"/>
            <w:vAlign w:val="center"/>
          </w:tcPr>
          <w:p w14:paraId="57E78054">
            <w:pPr>
              <w:pStyle w:val="59"/>
              <w:bidi w:val="0"/>
              <w:jc w:val="center"/>
              <w:rPr>
                <w:b w:val="0"/>
                <w:color w:val="000000"/>
              </w:rPr>
            </w:pPr>
          </w:p>
        </w:tc>
        <w:tc>
          <w:tcPr>
            <w:tcW w:w="465" w:type="pct"/>
            <w:vMerge w:val="continue"/>
            <w:shd w:val="clear" w:color="auto" w:fill="FFFFFF"/>
            <w:vAlign w:val="center"/>
          </w:tcPr>
          <w:p w14:paraId="42DD5E94">
            <w:pPr>
              <w:pStyle w:val="59"/>
              <w:bidi w:val="0"/>
              <w:jc w:val="center"/>
              <w:rPr>
                <w:b w:val="0"/>
                <w:color w:val="000000"/>
              </w:rPr>
            </w:pPr>
          </w:p>
        </w:tc>
        <w:tc>
          <w:tcPr>
            <w:tcW w:w="581" w:type="pct"/>
            <w:vMerge w:val="continue"/>
            <w:tcBorders>
              <w:right w:val="nil"/>
            </w:tcBorders>
            <w:shd w:val="clear" w:color="auto" w:fill="FFFFFF"/>
            <w:vAlign w:val="center"/>
          </w:tcPr>
          <w:p w14:paraId="45996567">
            <w:pPr>
              <w:pStyle w:val="59"/>
              <w:bidi w:val="0"/>
              <w:jc w:val="center"/>
              <w:rPr>
                <w:b w:val="0"/>
                <w:color w:val="000000"/>
              </w:rPr>
            </w:pPr>
          </w:p>
        </w:tc>
      </w:tr>
      <w:tr w14:paraId="4CE0F650">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1377" w:hRule="atLeast"/>
        </w:trPr>
        <w:tc>
          <w:tcPr>
            <w:tcW w:w="444" w:type="pct"/>
            <w:tcBorders>
              <w:left w:val="nil"/>
            </w:tcBorders>
            <w:shd w:val="clear" w:color="auto" w:fill="FFFFFF"/>
            <w:vAlign w:val="center"/>
          </w:tcPr>
          <w:p w14:paraId="3E10FCEF">
            <w:pPr>
              <w:pStyle w:val="59"/>
              <w:bidi w:val="0"/>
              <w:jc w:val="center"/>
              <w:rPr>
                <w:b w:val="0"/>
                <w:color w:val="000000"/>
              </w:rPr>
            </w:pPr>
            <w:r>
              <w:rPr>
                <w:b w:val="0"/>
                <w:color w:val="000000"/>
              </w:rPr>
              <w:t>江门</w:t>
            </w:r>
          </w:p>
        </w:tc>
        <w:tc>
          <w:tcPr>
            <w:tcW w:w="636" w:type="pct"/>
            <w:shd w:val="clear" w:color="auto" w:fill="FFFFFF"/>
            <w:vAlign w:val="center"/>
          </w:tcPr>
          <w:p w14:paraId="7CF52B9F">
            <w:pPr>
              <w:pStyle w:val="59"/>
              <w:bidi w:val="0"/>
              <w:jc w:val="center"/>
              <w:rPr>
                <w:b w:val="0"/>
                <w:color w:val="000000"/>
              </w:rPr>
            </w:pPr>
            <w:r>
              <w:rPr>
                <w:b w:val="0"/>
                <w:color w:val="000000"/>
              </w:rPr>
              <w:t>保护区</w:t>
            </w:r>
          </w:p>
        </w:tc>
        <w:tc>
          <w:tcPr>
            <w:tcW w:w="630" w:type="pct"/>
            <w:shd w:val="clear" w:color="auto" w:fill="FFFFFF"/>
            <w:vAlign w:val="center"/>
          </w:tcPr>
          <w:p w14:paraId="7810F9E4">
            <w:pPr>
              <w:pStyle w:val="59"/>
              <w:bidi w:val="0"/>
              <w:jc w:val="center"/>
              <w:rPr>
                <w:b w:val="0"/>
                <w:color w:val="000000"/>
              </w:rPr>
            </w:pPr>
            <w:r>
              <w:rPr>
                <w:b w:val="0"/>
                <w:color w:val="000000"/>
              </w:rPr>
              <w:t>珠江三角</w:t>
            </w:r>
          </w:p>
          <w:p w14:paraId="132F4AC5">
            <w:pPr>
              <w:pStyle w:val="59"/>
              <w:bidi w:val="0"/>
              <w:jc w:val="center"/>
              <w:rPr>
                <w:b w:val="0"/>
                <w:color w:val="000000"/>
              </w:rPr>
            </w:pPr>
            <w:r>
              <w:rPr>
                <w:b w:val="0"/>
                <w:color w:val="000000"/>
              </w:rPr>
              <w:t>洲江门鹤</w:t>
            </w:r>
          </w:p>
          <w:p w14:paraId="58D3A6F0">
            <w:pPr>
              <w:pStyle w:val="59"/>
              <w:bidi w:val="0"/>
              <w:jc w:val="center"/>
              <w:rPr>
                <w:b w:val="0"/>
                <w:color w:val="000000"/>
              </w:rPr>
            </w:pPr>
            <w:r>
              <w:rPr>
                <w:b w:val="0"/>
                <w:color w:val="000000"/>
              </w:rPr>
              <w:t>山地下水</w:t>
            </w:r>
          </w:p>
          <w:p w14:paraId="5F195D6C">
            <w:pPr>
              <w:pStyle w:val="59"/>
              <w:bidi w:val="0"/>
              <w:jc w:val="center"/>
              <w:rPr>
                <w:b w:val="0"/>
                <w:color w:val="000000"/>
              </w:rPr>
            </w:pPr>
            <w:r>
              <w:rPr>
                <w:b w:val="0"/>
                <w:color w:val="000000"/>
              </w:rPr>
              <w:t>水源涵养 区</w:t>
            </w:r>
          </w:p>
        </w:tc>
        <w:tc>
          <w:tcPr>
            <w:tcW w:w="931" w:type="pct"/>
            <w:shd w:val="clear" w:color="auto" w:fill="FFFFFF"/>
            <w:vAlign w:val="center"/>
          </w:tcPr>
          <w:p w14:paraId="18C43E4E">
            <w:pPr>
              <w:pStyle w:val="59"/>
              <w:bidi w:val="0"/>
              <w:jc w:val="center"/>
              <w:rPr>
                <w:b w:val="0"/>
                <w:color w:val="000000"/>
              </w:rPr>
            </w:pPr>
            <w:r>
              <w:rPr>
                <w:b w:val="0"/>
                <w:color w:val="000000"/>
              </w:rPr>
              <w:t>H074407002T01</w:t>
            </w:r>
          </w:p>
        </w:tc>
        <w:tc>
          <w:tcPr>
            <w:tcW w:w="459" w:type="pct"/>
            <w:shd w:val="clear" w:color="auto" w:fill="FFFFFF"/>
            <w:vAlign w:val="center"/>
          </w:tcPr>
          <w:p w14:paraId="164824F6">
            <w:pPr>
              <w:pStyle w:val="59"/>
              <w:bidi w:val="0"/>
              <w:jc w:val="center"/>
              <w:rPr>
                <w:b w:val="0"/>
                <w:color w:val="000000"/>
              </w:rPr>
            </w:pPr>
            <w:r>
              <w:rPr>
                <w:b w:val="0"/>
                <w:color w:val="000000"/>
              </w:rPr>
              <w:t>珠江三 角洲</w:t>
            </w:r>
          </w:p>
        </w:tc>
        <w:tc>
          <w:tcPr>
            <w:tcW w:w="383" w:type="pct"/>
            <w:shd w:val="clear" w:color="auto" w:fill="FFFFFF"/>
            <w:vAlign w:val="center"/>
          </w:tcPr>
          <w:p w14:paraId="7B9365C0">
            <w:pPr>
              <w:pStyle w:val="59"/>
              <w:bidi w:val="0"/>
              <w:jc w:val="center"/>
              <w:rPr>
                <w:b w:val="0"/>
                <w:color w:val="000000"/>
              </w:rPr>
            </w:pPr>
            <w:r>
              <w:rPr>
                <w:b w:val="0"/>
                <w:color w:val="000000"/>
              </w:rPr>
              <w:t>山丘 区</w:t>
            </w:r>
          </w:p>
        </w:tc>
        <w:tc>
          <w:tcPr>
            <w:tcW w:w="465" w:type="pct"/>
            <w:shd w:val="clear" w:color="auto" w:fill="FFFFFF"/>
            <w:vAlign w:val="center"/>
          </w:tcPr>
          <w:p w14:paraId="032ACD92">
            <w:pPr>
              <w:pStyle w:val="59"/>
              <w:bidi w:val="0"/>
              <w:jc w:val="center"/>
              <w:rPr>
                <w:b w:val="0"/>
                <w:color w:val="000000"/>
              </w:rPr>
            </w:pPr>
            <w:r>
              <w:rPr>
                <w:b w:val="0"/>
                <w:color w:val="000000"/>
              </w:rPr>
              <w:t>裂隙水</w:t>
            </w:r>
          </w:p>
        </w:tc>
        <w:tc>
          <w:tcPr>
            <w:tcW w:w="465" w:type="pct"/>
            <w:shd w:val="clear" w:color="auto" w:fill="FFFFFF"/>
            <w:vAlign w:val="center"/>
          </w:tcPr>
          <w:p w14:paraId="56290E7C">
            <w:pPr>
              <w:pStyle w:val="59"/>
              <w:bidi w:val="0"/>
              <w:jc w:val="center"/>
              <w:rPr>
                <w:b w:val="0"/>
                <w:color w:val="000000"/>
              </w:rPr>
            </w:pPr>
            <w:r>
              <w:rPr>
                <w:b w:val="0"/>
                <w:color w:val="000000"/>
              </w:rPr>
              <w:t>1350.68</w:t>
            </w:r>
          </w:p>
        </w:tc>
        <w:tc>
          <w:tcPr>
            <w:tcW w:w="581" w:type="pct"/>
            <w:tcBorders>
              <w:right w:val="nil"/>
            </w:tcBorders>
            <w:shd w:val="clear" w:color="auto" w:fill="FFFFFF"/>
            <w:vAlign w:val="center"/>
          </w:tcPr>
          <w:p w14:paraId="249124DF">
            <w:pPr>
              <w:pStyle w:val="59"/>
              <w:bidi w:val="0"/>
              <w:jc w:val="center"/>
              <w:rPr>
                <w:b w:val="0"/>
                <w:color w:val="000000"/>
              </w:rPr>
            </w:pPr>
            <w:r>
              <w:rPr>
                <w:b w:val="0"/>
                <w:color w:val="000000"/>
              </w:rPr>
              <w:t>0.03-0.1</w:t>
            </w:r>
          </w:p>
        </w:tc>
      </w:tr>
      <w:tr w14:paraId="6FAAA24F">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259" w:hRule="atLeast"/>
        </w:trPr>
        <w:tc>
          <w:tcPr>
            <w:tcW w:w="444" w:type="pct"/>
            <w:vMerge w:val="restart"/>
            <w:tcBorders>
              <w:left w:val="nil"/>
            </w:tcBorders>
            <w:shd w:val="clear" w:color="auto" w:fill="FFFFFF"/>
            <w:vAlign w:val="center"/>
          </w:tcPr>
          <w:p w14:paraId="57A1BB57">
            <w:pPr>
              <w:pStyle w:val="59"/>
              <w:bidi w:val="0"/>
              <w:jc w:val="center"/>
              <w:rPr>
                <w:b w:val="0"/>
                <w:color w:val="000000"/>
              </w:rPr>
            </w:pPr>
            <w:r>
              <w:rPr>
                <w:b w:val="0"/>
                <w:color w:val="000000"/>
              </w:rPr>
              <w:t>现状水 质类别</w:t>
            </w:r>
          </w:p>
        </w:tc>
        <w:tc>
          <w:tcPr>
            <w:tcW w:w="636" w:type="pct"/>
            <w:vMerge w:val="restart"/>
            <w:shd w:val="clear" w:color="auto" w:fill="FFFFFF"/>
            <w:vAlign w:val="center"/>
          </w:tcPr>
          <w:p w14:paraId="5B103969">
            <w:pPr>
              <w:pStyle w:val="59"/>
              <w:bidi w:val="0"/>
              <w:jc w:val="center"/>
              <w:rPr>
                <w:b w:val="0"/>
                <w:color w:val="000000"/>
              </w:rPr>
            </w:pPr>
            <w:r>
              <w:rPr>
                <w:b w:val="0"/>
                <w:color w:val="000000"/>
              </w:rPr>
              <w:t>年均总补 给量模数</w:t>
            </w:r>
          </w:p>
          <w:p w14:paraId="5E1D01BB">
            <w:pPr>
              <w:pStyle w:val="59"/>
              <w:bidi w:val="0"/>
              <w:jc w:val="center"/>
              <w:rPr>
                <w:b w:val="0"/>
                <w:color w:val="000000"/>
              </w:rPr>
            </w:pPr>
            <w:r>
              <w:rPr>
                <w:b w:val="0"/>
                <w:color w:val="000000"/>
              </w:rPr>
              <w:t>(万</w:t>
            </w:r>
          </w:p>
          <w:p w14:paraId="39DF5DE9">
            <w:pPr>
              <w:pStyle w:val="59"/>
              <w:bidi w:val="0"/>
              <w:jc w:val="center"/>
              <w:rPr>
                <w:b w:val="0"/>
                <w:color w:val="000000"/>
              </w:rPr>
            </w:pPr>
            <w:r>
              <w:rPr>
                <w:b w:val="0"/>
                <w:color w:val="000000"/>
              </w:rPr>
              <w:t>m³/a.km²)</w:t>
            </w:r>
          </w:p>
        </w:tc>
        <w:tc>
          <w:tcPr>
            <w:tcW w:w="630" w:type="pct"/>
            <w:vMerge w:val="restart"/>
            <w:shd w:val="clear" w:color="auto" w:fill="FFFFFF"/>
            <w:vAlign w:val="center"/>
          </w:tcPr>
          <w:p w14:paraId="25A8118C">
            <w:pPr>
              <w:pStyle w:val="59"/>
              <w:bidi w:val="0"/>
              <w:jc w:val="center"/>
              <w:rPr>
                <w:b w:val="0"/>
                <w:color w:val="000000"/>
              </w:rPr>
            </w:pPr>
            <w:r>
              <w:rPr>
                <w:b w:val="0"/>
                <w:color w:val="000000"/>
              </w:rPr>
              <w:t>年均可开 采量模数</w:t>
            </w:r>
          </w:p>
          <w:p w14:paraId="154AA0AA">
            <w:pPr>
              <w:pStyle w:val="59"/>
              <w:bidi w:val="0"/>
              <w:jc w:val="center"/>
              <w:rPr>
                <w:b w:val="0"/>
                <w:color w:val="000000"/>
              </w:rPr>
            </w:pPr>
            <w:r>
              <w:rPr>
                <w:b w:val="0"/>
                <w:color w:val="000000"/>
              </w:rPr>
              <w:t>( 万</w:t>
            </w:r>
          </w:p>
          <w:p w14:paraId="2F840EE3">
            <w:pPr>
              <w:pStyle w:val="59"/>
              <w:bidi w:val="0"/>
              <w:jc w:val="center"/>
              <w:rPr>
                <w:b w:val="0"/>
                <w:color w:val="000000"/>
              </w:rPr>
            </w:pPr>
            <w:r>
              <w:rPr>
                <w:b w:val="0"/>
                <w:color w:val="000000"/>
              </w:rPr>
              <w:t>m³/a.km²)</w:t>
            </w:r>
          </w:p>
        </w:tc>
        <w:tc>
          <w:tcPr>
            <w:tcW w:w="931" w:type="pct"/>
            <w:vMerge w:val="restart"/>
            <w:shd w:val="clear" w:color="auto" w:fill="FFFFFF"/>
            <w:vAlign w:val="center"/>
          </w:tcPr>
          <w:p w14:paraId="003F91C6">
            <w:pPr>
              <w:pStyle w:val="59"/>
              <w:bidi w:val="0"/>
              <w:jc w:val="center"/>
              <w:rPr>
                <w:b w:val="0"/>
                <w:color w:val="000000"/>
              </w:rPr>
            </w:pPr>
            <w:r>
              <w:rPr>
                <w:b w:val="0"/>
                <w:color w:val="000000"/>
              </w:rPr>
              <w:t>现状年实际开采</w:t>
            </w:r>
          </w:p>
          <w:p w14:paraId="266B5543">
            <w:pPr>
              <w:pStyle w:val="59"/>
              <w:bidi w:val="0"/>
              <w:jc w:val="center"/>
              <w:rPr>
                <w:b w:val="0"/>
                <w:color w:val="000000"/>
              </w:rPr>
            </w:pPr>
            <w:r>
              <w:rPr>
                <w:b w:val="0"/>
                <w:color w:val="000000"/>
              </w:rPr>
              <w:t>量模数(万</w:t>
            </w:r>
          </w:p>
          <w:p w14:paraId="6F2E3D73">
            <w:pPr>
              <w:pStyle w:val="59"/>
              <w:bidi w:val="0"/>
              <w:jc w:val="center"/>
              <w:rPr>
                <w:b w:val="0"/>
                <w:color w:val="000000"/>
              </w:rPr>
            </w:pPr>
            <w:r>
              <w:rPr>
                <w:b w:val="0"/>
                <w:color w:val="000000"/>
              </w:rPr>
              <w:t>m³/a.km²)</w:t>
            </w:r>
          </w:p>
        </w:tc>
        <w:tc>
          <w:tcPr>
            <w:tcW w:w="1774" w:type="pct"/>
            <w:gridSpan w:val="4"/>
            <w:shd w:val="clear" w:color="auto" w:fill="FFFFFF"/>
            <w:vAlign w:val="center"/>
          </w:tcPr>
          <w:p w14:paraId="5C9974CC">
            <w:pPr>
              <w:pStyle w:val="59"/>
              <w:bidi w:val="0"/>
              <w:jc w:val="center"/>
              <w:rPr>
                <w:b w:val="0"/>
                <w:color w:val="000000"/>
              </w:rPr>
            </w:pPr>
            <w:r>
              <w:rPr>
                <w:b w:val="0"/>
                <w:color w:val="000000"/>
              </w:rPr>
              <w:t>地下水功能区保护目标</w:t>
            </w:r>
          </w:p>
        </w:tc>
        <w:tc>
          <w:tcPr>
            <w:tcW w:w="581" w:type="pct"/>
            <w:vMerge w:val="restart"/>
            <w:tcBorders>
              <w:right w:val="nil"/>
            </w:tcBorders>
            <w:shd w:val="clear" w:color="auto" w:fill="FFFFFF"/>
            <w:vAlign w:val="center"/>
          </w:tcPr>
          <w:p w14:paraId="2205013C">
            <w:pPr>
              <w:pStyle w:val="59"/>
              <w:bidi w:val="0"/>
              <w:jc w:val="center"/>
              <w:rPr>
                <w:b w:val="0"/>
                <w:color w:val="000000"/>
              </w:rPr>
            </w:pPr>
            <w:r>
              <w:rPr>
                <w:b w:val="0"/>
                <w:color w:val="000000"/>
              </w:rPr>
              <w:t>备注</w:t>
            </w:r>
          </w:p>
        </w:tc>
      </w:tr>
      <w:tr w14:paraId="38BD6BAC">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978" w:hRule="atLeast"/>
        </w:trPr>
        <w:tc>
          <w:tcPr>
            <w:tcW w:w="444" w:type="pct"/>
            <w:vMerge w:val="continue"/>
            <w:tcBorders>
              <w:left w:val="nil"/>
            </w:tcBorders>
            <w:shd w:val="clear" w:color="auto" w:fill="FFFFFF"/>
            <w:vAlign w:val="center"/>
          </w:tcPr>
          <w:p w14:paraId="2565A024">
            <w:pPr>
              <w:pStyle w:val="59"/>
              <w:bidi w:val="0"/>
              <w:jc w:val="center"/>
              <w:rPr>
                <w:b w:val="0"/>
                <w:color w:val="000000"/>
              </w:rPr>
            </w:pPr>
          </w:p>
        </w:tc>
        <w:tc>
          <w:tcPr>
            <w:tcW w:w="636" w:type="pct"/>
            <w:vMerge w:val="continue"/>
            <w:shd w:val="clear" w:color="auto" w:fill="FFFFFF"/>
            <w:vAlign w:val="center"/>
          </w:tcPr>
          <w:p w14:paraId="20680B78">
            <w:pPr>
              <w:pStyle w:val="59"/>
              <w:bidi w:val="0"/>
              <w:jc w:val="center"/>
              <w:rPr>
                <w:b w:val="0"/>
                <w:color w:val="000000"/>
              </w:rPr>
            </w:pPr>
          </w:p>
        </w:tc>
        <w:tc>
          <w:tcPr>
            <w:tcW w:w="630" w:type="pct"/>
            <w:vMerge w:val="continue"/>
            <w:shd w:val="clear" w:color="auto" w:fill="FFFFFF"/>
            <w:vAlign w:val="center"/>
          </w:tcPr>
          <w:p w14:paraId="759D96F5">
            <w:pPr>
              <w:pStyle w:val="59"/>
              <w:bidi w:val="0"/>
              <w:jc w:val="center"/>
              <w:rPr>
                <w:b w:val="0"/>
                <w:color w:val="000000"/>
              </w:rPr>
            </w:pPr>
          </w:p>
        </w:tc>
        <w:tc>
          <w:tcPr>
            <w:tcW w:w="931" w:type="pct"/>
            <w:vMerge w:val="continue"/>
            <w:shd w:val="clear" w:color="auto" w:fill="FFFFFF"/>
            <w:vAlign w:val="center"/>
          </w:tcPr>
          <w:p w14:paraId="17A737EC">
            <w:pPr>
              <w:pStyle w:val="59"/>
              <w:bidi w:val="0"/>
              <w:jc w:val="center"/>
              <w:rPr>
                <w:b w:val="0"/>
                <w:color w:val="000000"/>
              </w:rPr>
            </w:pPr>
          </w:p>
        </w:tc>
        <w:tc>
          <w:tcPr>
            <w:tcW w:w="459" w:type="pct"/>
            <w:shd w:val="clear" w:color="auto" w:fill="FFFFFF"/>
            <w:vAlign w:val="center"/>
          </w:tcPr>
          <w:p w14:paraId="62A6844C">
            <w:pPr>
              <w:pStyle w:val="59"/>
              <w:bidi w:val="0"/>
              <w:jc w:val="center"/>
              <w:rPr>
                <w:b w:val="0"/>
                <w:color w:val="000000"/>
              </w:rPr>
            </w:pPr>
            <w:r>
              <w:rPr>
                <w:b w:val="0"/>
                <w:color w:val="000000"/>
              </w:rPr>
              <w:t>水量(万 m³)</w:t>
            </w:r>
          </w:p>
        </w:tc>
        <w:tc>
          <w:tcPr>
            <w:tcW w:w="383" w:type="pct"/>
            <w:shd w:val="clear" w:color="auto" w:fill="FFFFFF"/>
            <w:vAlign w:val="center"/>
          </w:tcPr>
          <w:p w14:paraId="45E046B5">
            <w:pPr>
              <w:pStyle w:val="59"/>
              <w:bidi w:val="0"/>
              <w:jc w:val="center"/>
              <w:rPr>
                <w:b w:val="0"/>
                <w:color w:val="000000"/>
              </w:rPr>
            </w:pPr>
            <w:r>
              <w:rPr>
                <w:b w:val="0"/>
                <w:color w:val="000000"/>
              </w:rPr>
              <w:t>水质</w:t>
            </w:r>
          </w:p>
          <w:p w14:paraId="64C72946">
            <w:pPr>
              <w:pStyle w:val="59"/>
              <w:bidi w:val="0"/>
              <w:jc w:val="center"/>
              <w:rPr>
                <w:b w:val="0"/>
                <w:color w:val="000000"/>
              </w:rPr>
            </w:pPr>
            <w:r>
              <w:rPr>
                <w:b w:val="0"/>
                <w:color w:val="000000"/>
              </w:rPr>
              <w:t>类别</w:t>
            </w:r>
          </w:p>
        </w:tc>
        <w:tc>
          <w:tcPr>
            <w:tcW w:w="931" w:type="pct"/>
            <w:gridSpan w:val="2"/>
            <w:shd w:val="clear" w:color="auto" w:fill="FFFFFF"/>
            <w:vAlign w:val="center"/>
          </w:tcPr>
          <w:p w14:paraId="0079BAA5">
            <w:pPr>
              <w:pStyle w:val="59"/>
              <w:bidi w:val="0"/>
              <w:jc w:val="center"/>
              <w:rPr>
                <w:b w:val="0"/>
                <w:color w:val="000000"/>
              </w:rPr>
            </w:pPr>
            <w:r>
              <w:rPr>
                <w:b w:val="0"/>
                <w:color w:val="000000"/>
              </w:rPr>
              <w:t>水位</w:t>
            </w:r>
          </w:p>
        </w:tc>
        <w:tc>
          <w:tcPr>
            <w:tcW w:w="581" w:type="pct"/>
            <w:vMerge w:val="continue"/>
            <w:tcBorders>
              <w:right w:val="nil"/>
            </w:tcBorders>
            <w:shd w:val="clear" w:color="auto" w:fill="FFFFFF"/>
            <w:vAlign w:val="center"/>
          </w:tcPr>
          <w:p w14:paraId="5C776165">
            <w:pPr>
              <w:pStyle w:val="59"/>
              <w:bidi w:val="0"/>
              <w:jc w:val="center"/>
              <w:rPr>
                <w:b w:val="0"/>
                <w:color w:val="000000"/>
              </w:rPr>
            </w:pPr>
          </w:p>
        </w:tc>
      </w:tr>
      <w:tr w14:paraId="79AFC612">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0" w:type="dxa"/>
            <w:bottom w:w="0" w:type="dxa"/>
            <w:right w:w="0" w:type="dxa"/>
          </w:tblCellMar>
        </w:tblPrEx>
        <w:trPr>
          <w:trHeight w:val="1192" w:hRule="atLeast"/>
        </w:trPr>
        <w:tc>
          <w:tcPr>
            <w:tcW w:w="444" w:type="pct"/>
            <w:tcBorders>
              <w:left w:val="nil"/>
              <w:bottom w:val="single" w:color="000000" w:sz="12" w:space="0"/>
            </w:tcBorders>
            <w:shd w:val="clear" w:color="auto" w:fill="FFFFFF"/>
            <w:vAlign w:val="center"/>
          </w:tcPr>
          <w:p w14:paraId="63B69C6E">
            <w:pPr>
              <w:pStyle w:val="59"/>
              <w:bidi w:val="0"/>
              <w:jc w:val="center"/>
              <w:rPr>
                <w:b w:val="0"/>
                <w:color w:val="000000"/>
              </w:rPr>
            </w:pPr>
            <w:r>
              <w:rPr>
                <w:b w:val="0"/>
                <w:color w:val="000000"/>
              </w:rPr>
              <w:t>I-IV</w:t>
            </w:r>
          </w:p>
        </w:tc>
        <w:tc>
          <w:tcPr>
            <w:tcW w:w="636" w:type="pct"/>
            <w:tcBorders>
              <w:bottom w:val="single" w:color="000000" w:sz="12" w:space="0"/>
            </w:tcBorders>
            <w:shd w:val="clear" w:color="auto" w:fill="FFFFFF"/>
            <w:vAlign w:val="center"/>
          </w:tcPr>
          <w:p w14:paraId="0C61A0A5">
            <w:pPr>
              <w:pStyle w:val="59"/>
              <w:bidi w:val="0"/>
              <w:jc w:val="center"/>
              <w:rPr>
                <w:b w:val="0"/>
                <w:color w:val="000000"/>
              </w:rPr>
            </w:pPr>
            <w:r>
              <w:rPr>
                <w:b w:val="0"/>
                <w:color w:val="000000"/>
              </w:rPr>
              <w:t>22.26</w:t>
            </w:r>
          </w:p>
        </w:tc>
        <w:tc>
          <w:tcPr>
            <w:tcW w:w="630" w:type="pct"/>
            <w:tcBorders>
              <w:bottom w:val="single" w:color="000000" w:sz="12" w:space="0"/>
            </w:tcBorders>
            <w:shd w:val="clear" w:color="auto" w:fill="FFFFFF"/>
            <w:vAlign w:val="center"/>
          </w:tcPr>
          <w:p w14:paraId="1252D25B">
            <w:pPr>
              <w:pStyle w:val="59"/>
              <w:bidi w:val="0"/>
              <w:jc w:val="center"/>
              <w:rPr>
                <w:b w:val="0"/>
                <w:color w:val="000000"/>
              </w:rPr>
            </w:pPr>
            <w:r>
              <w:rPr>
                <w:b w:val="0"/>
                <w:color w:val="000000"/>
              </w:rPr>
              <w:t>19.39</w:t>
            </w:r>
          </w:p>
        </w:tc>
        <w:tc>
          <w:tcPr>
            <w:tcW w:w="931" w:type="pct"/>
            <w:tcBorders>
              <w:bottom w:val="single" w:color="000000" w:sz="12" w:space="0"/>
            </w:tcBorders>
            <w:shd w:val="clear" w:color="auto" w:fill="FFFFFF"/>
            <w:vAlign w:val="center"/>
          </w:tcPr>
          <w:p w14:paraId="6AED4DD7">
            <w:pPr>
              <w:pStyle w:val="59"/>
              <w:bidi w:val="0"/>
              <w:jc w:val="center"/>
              <w:rPr>
                <w:b w:val="0"/>
                <w:color w:val="000000"/>
              </w:rPr>
            </w:pPr>
            <w:r>
              <w:rPr>
                <w:b w:val="0"/>
                <w:color w:val="000000"/>
              </w:rPr>
              <w:t>/</w:t>
            </w:r>
          </w:p>
        </w:tc>
        <w:tc>
          <w:tcPr>
            <w:tcW w:w="459" w:type="pct"/>
            <w:tcBorders>
              <w:bottom w:val="single" w:color="000000" w:sz="12" w:space="0"/>
            </w:tcBorders>
            <w:shd w:val="clear" w:color="auto" w:fill="FFFFFF"/>
            <w:vAlign w:val="center"/>
          </w:tcPr>
          <w:p w14:paraId="06704A87">
            <w:pPr>
              <w:pStyle w:val="59"/>
              <w:bidi w:val="0"/>
              <w:jc w:val="center"/>
              <w:rPr>
                <w:b w:val="0"/>
                <w:color w:val="000000"/>
              </w:rPr>
            </w:pPr>
            <w:r>
              <w:rPr>
                <w:b w:val="0"/>
                <w:color w:val="000000"/>
              </w:rPr>
              <w:t>1</w:t>
            </w:r>
          </w:p>
        </w:tc>
        <w:tc>
          <w:tcPr>
            <w:tcW w:w="383" w:type="pct"/>
            <w:tcBorders>
              <w:bottom w:val="single" w:color="000000" w:sz="12" w:space="0"/>
            </w:tcBorders>
            <w:shd w:val="clear" w:color="auto" w:fill="FFFFFF"/>
            <w:vAlign w:val="center"/>
          </w:tcPr>
          <w:p w14:paraId="238B1E1E">
            <w:pPr>
              <w:pStyle w:val="59"/>
              <w:bidi w:val="0"/>
              <w:jc w:val="center"/>
              <w:rPr>
                <w:b w:val="0"/>
                <w:color w:val="000000"/>
              </w:rPr>
            </w:pPr>
            <w:r>
              <w:rPr>
                <w:b w:val="0"/>
                <w:color w:val="000000"/>
              </w:rPr>
              <w:t>Ⅲ</w:t>
            </w:r>
          </w:p>
        </w:tc>
        <w:tc>
          <w:tcPr>
            <w:tcW w:w="931" w:type="pct"/>
            <w:gridSpan w:val="2"/>
            <w:tcBorders>
              <w:bottom w:val="single" w:color="000000" w:sz="12" w:space="0"/>
            </w:tcBorders>
            <w:shd w:val="clear" w:color="auto" w:fill="FFFFFF"/>
            <w:vAlign w:val="center"/>
          </w:tcPr>
          <w:p w14:paraId="26339850">
            <w:pPr>
              <w:pStyle w:val="59"/>
              <w:bidi w:val="0"/>
              <w:jc w:val="center"/>
              <w:rPr>
                <w:b w:val="0"/>
                <w:color w:val="000000"/>
              </w:rPr>
            </w:pPr>
            <w:r>
              <w:rPr>
                <w:b w:val="0"/>
                <w:color w:val="000000"/>
              </w:rPr>
              <w:t>维持较高的地下 水水位</w:t>
            </w:r>
          </w:p>
        </w:tc>
        <w:tc>
          <w:tcPr>
            <w:tcW w:w="581" w:type="pct"/>
            <w:tcBorders>
              <w:bottom w:val="single" w:color="000000" w:sz="12" w:space="0"/>
              <w:right w:val="nil"/>
            </w:tcBorders>
            <w:shd w:val="clear" w:color="auto" w:fill="FFFFFF"/>
            <w:vAlign w:val="center"/>
          </w:tcPr>
          <w:p w14:paraId="793F502F">
            <w:pPr>
              <w:pStyle w:val="59"/>
              <w:bidi w:val="0"/>
              <w:jc w:val="center"/>
              <w:rPr>
                <w:b w:val="0"/>
                <w:color w:val="000000"/>
              </w:rPr>
            </w:pPr>
            <w:r>
              <w:rPr>
                <w:b w:val="0"/>
                <w:color w:val="000000"/>
              </w:rPr>
              <w:t>个别地段</w:t>
            </w:r>
          </w:p>
          <w:p w14:paraId="0336E05D">
            <w:pPr>
              <w:pStyle w:val="59"/>
              <w:bidi w:val="0"/>
              <w:jc w:val="center"/>
              <w:rPr>
                <w:b w:val="0"/>
                <w:color w:val="000000"/>
              </w:rPr>
            </w:pPr>
            <w:r>
              <w:rPr>
                <w:b w:val="0"/>
                <w:color w:val="000000"/>
              </w:rPr>
              <w:t>pH、</w:t>
            </w:r>
          </w:p>
          <w:p w14:paraId="570A525D">
            <w:pPr>
              <w:pStyle w:val="59"/>
              <w:bidi w:val="0"/>
              <w:jc w:val="center"/>
              <w:rPr>
                <w:b w:val="0"/>
                <w:color w:val="000000"/>
              </w:rPr>
            </w:pPr>
            <w:r>
              <w:rPr>
                <w:b w:val="0"/>
                <w:color w:val="000000"/>
              </w:rPr>
              <w:t>Fe、Mn</w:t>
            </w:r>
          </w:p>
          <w:p w14:paraId="399476DB">
            <w:pPr>
              <w:pStyle w:val="59"/>
              <w:bidi w:val="0"/>
              <w:jc w:val="center"/>
              <w:rPr>
                <w:b w:val="0"/>
                <w:color w:val="000000"/>
              </w:rPr>
            </w:pPr>
            <w:r>
              <w:rPr>
                <w:b w:val="0"/>
                <w:color w:val="000000"/>
              </w:rPr>
              <w:t>超标</w:t>
            </w:r>
          </w:p>
        </w:tc>
      </w:tr>
    </w:tbl>
    <w:p w14:paraId="3461151C">
      <w:pPr>
        <w:pStyle w:val="64"/>
        <w:numPr>
          <w:ilvl w:val="2"/>
          <w:numId w:val="8"/>
        </w:numPr>
        <w:bidi w:val="0"/>
        <w:ind w:left="709" w:leftChars="0" w:hanging="709" w:firstLineChars="0"/>
        <w:rPr>
          <w:rFonts w:hint="default"/>
          <w:color w:val="auto"/>
        </w:rPr>
      </w:pPr>
      <w:r>
        <w:rPr>
          <w:rFonts w:hint="default"/>
          <w:color w:val="auto"/>
        </w:rPr>
        <w:t>土壤环境功能规划</w:t>
      </w:r>
      <w:bookmarkEnd w:id="33"/>
      <w:bookmarkEnd w:id="34"/>
    </w:p>
    <w:p w14:paraId="195AE029">
      <w:pPr>
        <w:autoSpaceDE/>
        <w:autoSpaceDN/>
        <w:adjustRightInd/>
        <w:spacing w:line="360" w:lineRule="auto"/>
        <w:ind w:firstLine="480" w:firstLineChars="200"/>
        <w:jc w:val="both"/>
        <w:rPr>
          <w:rFonts w:hint="default" w:ascii="Times New Roman" w:hAnsi="Times New Roman" w:cs="Times New Roman"/>
          <w:color w:val="auto"/>
          <w:szCs w:val="24"/>
          <w:highlight w:val="none"/>
        </w:rPr>
      </w:pPr>
      <w:r>
        <w:rPr>
          <w:rFonts w:hint="eastAsia" w:ascii="Times New Roman" w:hAnsi="Times New Roman" w:cs="Times New Roman"/>
          <w:bCs/>
          <w:color w:val="auto"/>
          <w:kern w:val="2"/>
          <w:szCs w:val="24"/>
          <w:highlight w:val="none"/>
          <w:lang w:val="en-US" w:eastAsia="zh-CN"/>
        </w:rPr>
        <w:t>本项目所在地</w:t>
      </w:r>
      <w:r>
        <w:rPr>
          <w:rFonts w:hint="default" w:ascii="Times New Roman" w:hAnsi="Times New Roman" w:cs="Times New Roman"/>
          <w:bCs/>
          <w:color w:val="auto"/>
          <w:kern w:val="2"/>
          <w:szCs w:val="24"/>
          <w:highlight w:val="none"/>
        </w:rPr>
        <w:t>为工业用地，</w:t>
      </w:r>
      <w:r>
        <w:rPr>
          <w:rFonts w:hint="default" w:ascii="Times New Roman" w:hAnsi="Times New Roman" w:cs="Times New Roman"/>
          <w:color w:val="auto"/>
          <w:szCs w:val="24"/>
          <w:highlight w:val="none"/>
        </w:rPr>
        <w:t>土壤质量标准执行《土壤环境质量 建设用地土壤污染风险管控标准（试行）》（GB 36600-2018）的表1建设用地土壤污染风险筛选值和管制值（基本项目）—筛选值第二类用地标准。</w:t>
      </w:r>
    </w:p>
    <w:p w14:paraId="0299CF4D">
      <w:pPr>
        <w:ind w:firstLine="480"/>
        <w:rPr>
          <w:color w:val="auto"/>
          <w:kern w:val="0"/>
        </w:rPr>
        <w:sectPr>
          <w:pgSz w:w="11906" w:h="16838"/>
          <w:pgMar w:top="1417" w:right="1417" w:bottom="1417" w:left="1417" w:header="850" w:footer="992" w:gutter="0"/>
          <w:pgNumType w:fmt="decimal"/>
          <w:cols w:space="720" w:num="1"/>
          <w:docGrid w:linePitch="336" w:charSpace="0"/>
        </w:sectPr>
      </w:pPr>
      <w:r>
        <w:rPr>
          <w:rFonts w:hint="default" w:ascii="Times New Roman" w:hAnsi="Times New Roman" w:cs="Times New Roman"/>
          <w:color w:val="auto"/>
          <w:szCs w:val="24"/>
          <w:highlight w:val="none"/>
        </w:rPr>
        <w:t>评价范围内敏感点包括</w:t>
      </w:r>
      <w:r>
        <w:rPr>
          <w:rFonts w:hint="eastAsia" w:cs="Times New Roman"/>
          <w:color w:val="auto"/>
          <w:szCs w:val="24"/>
          <w:highlight w:val="none"/>
          <w:lang w:val="en-US" w:eastAsia="zh-CN"/>
        </w:rPr>
        <w:t>北</w:t>
      </w:r>
      <w:r>
        <w:rPr>
          <w:rFonts w:hint="default" w:ascii="Times New Roman" w:hAnsi="Times New Roman" w:cs="Times New Roman"/>
          <w:color w:val="auto"/>
          <w:szCs w:val="24"/>
          <w:highlight w:val="none"/>
        </w:rPr>
        <w:t>侧</w:t>
      </w:r>
      <w:r>
        <w:rPr>
          <w:rFonts w:hint="eastAsia" w:cs="Times New Roman"/>
          <w:color w:val="auto"/>
          <w:szCs w:val="24"/>
          <w:highlight w:val="none"/>
          <w:lang w:val="en-US" w:eastAsia="zh-CN"/>
        </w:rPr>
        <w:t>135</w:t>
      </w:r>
      <w:r>
        <w:rPr>
          <w:rFonts w:hint="default" w:ascii="Times New Roman" w:hAnsi="Times New Roman" w:cs="Times New Roman"/>
          <w:color w:val="auto"/>
          <w:szCs w:val="24"/>
          <w:highlight w:val="none"/>
        </w:rPr>
        <w:t>m的</w:t>
      </w:r>
      <w:r>
        <w:rPr>
          <w:rFonts w:hint="eastAsia"/>
          <w:color w:val="auto"/>
          <w:lang w:val="en-US" w:eastAsia="zh-CN"/>
        </w:rPr>
        <w:t>新岗村</w:t>
      </w:r>
      <w:r>
        <w:rPr>
          <w:rFonts w:hint="default" w:ascii="Times New Roman" w:hAnsi="Times New Roman" w:cs="Times New Roman"/>
          <w:color w:val="auto"/>
          <w:szCs w:val="24"/>
          <w:highlight w:val="none"/>
        </w:rPr>
        <w:t>等</w:t>
      </w:r>
      <w:r>
        <w:rPr>
          <w:rFonts w:hint="eastAsia"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评价范围内村庄敏感点执行《土壤环境质量 建设用地土壤污染风险管控标准（试行）》（GB 36600-2018）筛选值第一类用地标准。评价范围内耕地</w:t>
      </w:r>
      <w:r>
        <w:rPr>
          <w:rFonts w:hint="eastAsia"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农用地执行《土壤环境质量 农用地土壤污染风险管控标准（试行）》（GB15618-2018）表1农用地土壤污染物风险筛选值。</w:t>
      </w:r>
    </w:p>
    <w:p w14:paraId="045124E6">
      <w:pPr>
        <w:pStyle w:val="62"/>
        <w:rPr>
          <w:rFonts w:hint="eastAsia" w:eastAsia="宋体"/>
          <w:lang w:eastAsia="zh-CN"/>
        </w:rPr>
      </w:pPr>
      <w:r>
        <w:rPr>
          <w:rFonts w:hint="eastAsia" w:eastAsia="宋体"/>
          <w:lang w:eastAsia="zh-CN"/>
        </w:rPr>
        <w:drawing>
          <wp:anchor distT="0" distB="0" distL="114300" distR="114300" simplePos="0" relativeHeight="251714560" behindDoc="0" locked="0" layoutInCell="1" allowOverlap="1">
            <wp:simplePos x="0" y="0"/>
            <wp:positionH relativeFrom="column">
              <wp:posOffset>7708265</wp:posOffset>
            </wp:positionH>
            <wp:positionV relativeFrom="paragraph">
              <wp:posOffset>14605</wp:posOffset>
            </wp:positionV>
            <wp:extent cx="1176655" cy="1106805"/>
            <wp:effectExtent l="0" t="0" r="4445" b="7620"/>
            <wp:wrapNone/>
            <wp:docPr id="324" name="图片 324" descr="2024年鹤山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descr="2024年鹤山风玫瑰图"/>
                    <pic:cNvPicPr>
                      <a:picLocks noChangeAspect="1"/>
                    </pic:cNvPicPr>
                  </pic:nvPicPr>
                  <pic:blipFill>
                    <a:blip r:embed="rId24"/>
                    <a:stretch>
                      <a:fillRect/>
                    </a:stretch>
                  </pic:blipFill>
                  <pic:spPr>
                    <a:xfrm>
                      <a:off x="0" y="0"/>
                      <a:ext cx="1176655" cy="1106805"/>
                    </a:xfrm>
                    <a:prstGeom prst="rect">
                      <a:avLst/>
                    </a:prstGeom>
                  </pic:spPr>
                </pic:pic>
              </a:graphicData>
            </a:graphic>
          </wp:anchor>
        </w:drawing>
      </w:r>
      <w:r>
        <w:rPr>
          <w:color w:val="auto"/>
        </w:rPr>
        <w:pict>
          <v:shape id="_x0000_s2050" o:spid="_x0000_s2050" o:spt="136" type="#_x0000_t136" style="position:absolute;left:0pt;margin-left:449.55pt;margin-top:165.45pt;height:9.7pt;width:54.15pt;z-index:251680768;mso-width-relative:page;mso-height-relative:page;" fillcolor="#FFFFFF" filled="t" stroked="t" coordsize="21600,21600" adj="10800">
            <v:path/>
            <v:fill on="t" color2="#FFFFFF" focussize="0,0"/>
            <v:stroke color="#FFFFFF"/>
            <v:imagedata o:title=""/>
            <o:lock v:ext="edit" aspectratio="f"/>
            <v:textpath on="t" fitshape="t" fitpath="t" trim="t" xscale="f" string="西江（Ⅱ类）" style="font-family:宋体;font-size:10pt;v-rotate-letters:f;v-same-letter-heights:f;v-text-align:center;"/>
          </v:shape>
        </w:pict>
      </w:r>
      <w:r>
        <w:rPr>
          <w:color w:val="auto"/>
        </w:rPr>
        <w:pict>
          <v:shape id="_x0000_s2051" o:spid="_x0000_s2051" o:spt="136" type="#_x0000_t136" style="position:absolute;left:0pt;margin-left:22.15pt;margin-top:299.15pt;height:10.05pt;width:65.25pt;z-index:251679744;mso-width-relative:page;mso-height-relative:page;" fillcolor="#FFFFFF" filled="t" stroked="t" coordsize="21600,21600" adj="10800">
            <v:path/>
            <v:fill on="t" color2="#FFFFFF" focussize="0,0"/>
            <v:stroke color="#FFFFFF"/>
            <v:imagedata o:title=""/>
            <o:lock v:ext="edit" aspectratio="f"/>
            <v:textpath on="t" fitshape="t" fitpath="t" trim="t" xscale="f" string="龙口河（Ⅱ类）" style="font-family:宋体;font-size:10pt;v-rotate-letters:f;v-same-letter-heights:f;v-text-align:center;"/>
          </v:shape>
        </w:pict>
      </w:r>
      <w:r>
        <w:rPr>
          <w:color w:val="auto"/>
        </w:rPr>
        <w:pict>
          <v:shape id="_x0000_s2052" o:spid="_x0000_s2052" o:spt="136" type="#_x0000_t136" style="position:absolute;left:0pt;margin-left:92.2pt;margin-top:153.75pt;height:10.05pt;width:64.45pt;z-index:251678720;mso-width-relative:page;mso-height-relative:page;" fillcolor="#FFFFFF" filled="t" stroked="t" coordsize="21600,21600" adj="10800">
            <v:path/>
            <v:fill on="t" color2="#FFFFFF" focussize="0,0"/>
            <v:stroke color="#FFFFFF"/>
            <v:imagedata o:title=""/>
            <o:lock v:ext="edit" aspectratio="f"/>
            <v:textpath on="t" fitshape="t" fitpath="t" trim="t" xscale="f" string="升平水（Ⅱ类）" style="font-family:宋体;font-size:10pt;v-rotate-letters:f;v-same-letter-heights:f;v-text-align:center;"/>
          </v:shape>
        </w:pict>
      </w:r>
      <w:r>
        <w:rPr>
          <w:color w:val="auto"/>
        </w:rPr>
        <w:pict>
          <v:shape id="_x0000_s2053" o:spid="_x0000_s2053" o:spt="136" type="#_x0000_t136" style="position:absolute;left:0pt;margin-left:301.45pt;margin-top:228.4pt;height:9.7pt;width:75pt;z-index:251677696;mso-width-relative:page;mso-height-relative:page;" fillcolor="#FFFFFF" filled="t" stroked="t" coordsize="21600,21600" adj="10800">
            <v:path/>
            <v:fill on="t" color2="#FFFFFF" focussize="0,0"/>
            <v:stroke color="#FFFFFF"/>
            <v:imagedata o:title=""/>
            <o:lock v:ext="edit" aspectratio="f"/>
            <v:textpath on="t" fitshape="t" fitpath="t" trim="t" xscale="f" string="沙坪河（Ⅲ类）" style="font-family:宋体;font-size:10pt;v-rotate-letters:f;v-same-letter-heights:f;v-text-align:center;"/>
          </v:shape>
        </w:pict>
      </w:r>
      <w:r>
        <w:drawing>
          <wp:inline distT="0" distB="0" distL="114300" distR="114300">
            <wp:extent cx="8885555" cy="5183505"/>
            <wp:effectExtent l="0" t="0" r="1270" b="7620"/>
            <wp:docPr id="10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9"/>
                    <pic:cNvPicPr>
                      <a:picLocks noChangeAspect="1"/>
                    </pic:cNvPicPr>
                  </pic:nvPicPr>
                  <pic:blipFill>
                    <a:blip r:embed="rId30"/>
                    <a:stretch>
                      <a:fillRect/>
                    </a:stretch>
                  </pic:blipFill>
                  <pic:spPr>
                    <a:xfrm>
                      <a:off x="0" y="0"/>
                      <a:ext cx="8885555" cy="5183505"/>
                    </a:xfrm>
                    <a:prstGeom prst="rect">
                      <a:avLst/>
                    </a:prstGeom>
                    <a:noFill/>
                    <a:ln>
                      <a:noFill/>
                    </a:ln>
                  </pic:spPr>
                </pic:pic>
              </a:graphicData>
            </a:graphic>
          </wp:inline>
        </w:drawing>
      </w:r>
    </w:p>
    <w:p w14:paraId="0D9A3257">
      <w:pPr>
        <w:pStyle w:val="62"/>
        <w:numPr>
          <w:ilvl w:val="0"/>
          <w:numId w:val="16"/>
        </w:numPr>
        <w:bidi w:val="0"/>
        <w:ind w:left="0" w:leftChars="0" w:firstLine="0" w:firstLineChars="0"/>
        <w:rPr>
          <w:color w:val="auto"/>
        </w:rPr>
        <w:sectPr>
          <w:pgSz w:w="16838" w:h="11906" w:orient="landscape"/>
          <w:pgMar w:top="1417" w:right="1417" w:bottom="1417" w:left="1417" w:header="850" w:footer="992" w:gutter="0"/>
          <w:pgNumType w:fmt="decimal"/>
          <w:cols w:space="720" w:num="1"/>
          <w:docGrid w:linePitch="336" w:charSpace="0"/>
        </w:sectPr>
      </w:pPr>
      <w:r>
        <w:rPr>
          <w:color w:val="auto"/>
        </w:rPr>
        <mc:AlternateContent>
          <mc:Choice Requires="wps">
            <w:drawing>
              <wp:anchor distT="0" distB="0" distL="114300" distR="114300" simplePos="0" relativeHeight="251661312" behindDoc="0" locked="0" layoutInCell="1" allowOverlap="1">
                <wp:simplePos x="0" y="0"/>
                <wp:positionH relativeFrom="column">
                  <wp:posOffset>4045585</wp:posOffset>
                </wp:positionH>
                <wp:positionV relativeFrom="paragraph">
                  <wp:posOffset>1381760</wp:posOffset>
                </wp:positionV>
                <wp:extent cx="189230" cy="180975"/>
                <wp:effectExtent l="4445" t="4445" r="6350" b="5080"/>
                <wp:wrapNone/>
                <wp:docPr id="6" name="直线 1052"/>
                <wp:cNvGraphicFramePr/>
                <a:graphic xmlns:a="http://schemas.openxmlformats.org/drawingml/2006/main">
                  <a:graphicData uri="http://schemas.microsoft.com/office/word/2010/wordprocessingShape">
                    <wps:wsp>
                      <wps:cNvCnPr/>
                      <wps:spPr>
                        <a:xfrm>
                          <a:off x="0" y="0"/>
                          <a:ext cx="189230" cy="180975"/>
                        </a:xfrm>
                        <a:prstGeom prst="line">
                          <a:avLst/>
                        </a:prstGeom>
                        <a:ln w="12700" cap="flat" cmpd="sng">
                          <a:solidFill>
                            <a:srgbClr val="000000"/>
                          </a:solidFill>
                          <a:prstDash val="solid"/>
                          <a:headEnd type="none" w="med" len="med"/>
                          <a:tailEnd type="stealth" w="lg" len="lg"/>
                        </a:ln>
                      </wps:spPr>
                      <wps:bodyPr/>
                    </wps:wsp>
                  </a:graphicData>
                </a:graphic>
              </wp:anchor>
            </w:drawing>
          </mc:Choice>
          <mc:Fallback>
            <w:pict>
              <v:line id="直线 1052" o:spid="_x0000_s1026" o:spt="20" style="position:absolute;left:0pt;margin-left:318.55pt;margin-top:108.8pt;height:14.25pt;width:14.9pt;z-index:251661312;mso-width-relative:page;mso-height-relative:page;" filled="f" stroked="t" coordsize="21600,21600" o:gfxdata="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PdnpnaAAAACwEAAA8AAAAAAAAAAQAgAAAAIgAAAGRycy9kb3ducmV2LnhtbFBLAQIUABQA&#10;AAAIAIdO4kDkGFYo7gEAANgDAAAOAAAAAAAAAAEAIAAAACkBAABkcnMvZTJvRG9jLnhtbFBLBQYA&#10;AAAABgAGAFkBAACJBQAAAAA=&#10;">
                <v:fill on="f" focussize="0,0"/>
                <v:stroke weight="1pt" color="#000000" joinstyle="round" endarrow="classic" endarrowwidth="wide" endarrowlength="long"/>
                <v:imagedata o:title=""/>
                <o:lock v:ext="edit" aspectratio="f"/>
              </v:line>
            </w:pict>
          </mc:Fallback>
        </mc:AlternateContent>
      </w:r>
      <w:r>
        <w:rPr>
          <w:color w:val="auto"/>
        </w:rPr>
        <mc:AlternateContent>
          <mc:Choice Requires="wps">
            <w:drawing>
              <wp:anchor distT="0" distB="0" distL="114300" distR="114300" simplePos="0" relativeHeight="251665408" behindDoc="0" locked="0" layoutInCell="1" allowOverlap="1">
                <wp:simplePos x="0" y="0"/>
                <wp:positionH relativeFrom="column">
                  <wp:posOffset>4754245</wp:posOffset>
                </wp:positionH>
                <wp:positionV relativeFrom="paragraph">
                  <wp:posOffset>2524125</wp:posOffset>
                </wp:positionV>
                <wp:extent cx="95250" cy="95250"/>
                <wp:effectExtent l="6350" t="6350" r="12700" b="12700"/>
                <wp:wrapNone/>
                <wp:docPr id="12" name="自选图形 148"/>
                <wp:cNvGraphicFramePr/>
                <a:graphic xmlns:a="http://schemas.openxmlformats.org/drawingml/2006/main">
                  <a:graphicData uri="http://schemas.microsoft.com/office/word/2010/wordprocessingShape">
                    <wps:wsp>
                      <wps:cNvSpPr/>
                      <wps:spPr>
                        <a:xfrm>
                          <a:off x="0" y="0"/>
                          <a:ext cx="95250" cy="95250"/>
                        </a:xfrm>
                        <a:prstGeom prst="flowChartOr">
                          <a:avLst/>
                        </a:prstGeom>
                        <a:noFill/>
                        <a:ln w="12700" cap="flat" cmpd="sng">
                          <a:solidFill>
                            <a:srgbClr val="00B0F0"/>
                          </a:solidFill>
                          <a:prstDash val="solid"/>
                          <a:headEnd type="none" w="med" len="med"/>
                          <a:tailEnd type="none" w="med" len="med"/>
                        </a:ln>
                      </wps:spPr>
                      <wps:bodyPr upright="1"/>
                    </wps:wsp>
                  </a:graphicData>
                </a:graphic>
              </wp:anchor>
            </w:drawing>
          </mc:Choice>
          <mc:Fallback>
            <w:pict>
              <v:shape id="自选图形 148" o:spid="_x0000_s1026" o:spt="124" type="#_x0000_t124" style="position:absolute;left:0pt;margin-left:374.35pt;margin-top:198.75pt;height:7.5pt;width:7.5pt;z-index:251665408;mso-width-relative:page;mso-height-relative:page;" filled="f" stroked="t" coordsize="21600,21600" o:gfxdata="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sBVatkAAAALAQAADwAAAAAAAAABACAAAAAiAAAAZHJzL2Rv&#10;d25yZXYueG1sUEsBAhQAFAAAAAgAh07iQMz7+pYAAgAA+QMAAA4AAAAAAAAAAQAgAAAAKAEAAGRy&#10;cy9lMm9Eb2MueG1sUEsFBgAAAAAGAAYAWQEAAJoFAAAAAA==&#10;">
                <v:fill on="f" focussize="0,0"/>
                <v:stroke weight="1pt" color="#00B0F0" joinstyle="round"/>
                <v:imagedata o:title=""/>
                <o:lock v:ext="edit" aspectratio="f"/>
              </v:shape>
            </w:pict>
          </mc:Fallback>
        </mc:AlternateContent>
      </w:r>
      <w:r>
        <w:rPr>
          <w:color w:val="auto"/>
        </w:rPr>
        <mc:AlternateContent>
          <mc:Choice Requires="wps">
            <w:drawing>
              <wp:anchor distT="0" distB="0" distL="114300" distR="114300" simplePos="0" relativeHeight="251660288" behindDoc="0" locked="0" layoutInCell="1" allowOverlap="1">
                <wp:simplePos x="0" y="0"/>
                <wp:positionH relativeFrom="column">
                  <wp:posOffset>7112000</wp:posOffset>
                </wp:positionH>
                <wp:positionV relativeFrom="paragraph">
                  <wp:posOffset>1639570</wp:posOffset>
                </wp:positionV>
                <wp:extent cx="208915" cy="285115"/>
                <wp:effectExtent l="5080" t="3810" r="5080" b="6350"/>
                <wp:wrapNone/>
                <wp:docPr id="4" name="直线 1053"/>
                <wp:cNvGraphicFramePr/>
                <a:graphic xmlns:a="http://schemas.openxmlformats.org/drawingml/2006/main">
                  <a:graphicData uri="http://schemas.microsoft.com/office/word/2010/wordprocessingShape">
                    <wps:wsp>
                      <wps:cNvCnPr/>
                      <wps:spPr>
                        <a:xfrm>
                          <a:off x="0" y="0"/>
                          <a:ext cx="208915" cy="285115"/>
                        </a:xfrm>
                        <a:prstGeom prst="line">
                          <a:avLst/>
                        </a:prstGeom>
                        <a:ln w="12700" cap="flat" cmpd="sng">
                          <a:solidFill>
                            <a:srgbClr val="000000"/>
                          </a:solidFill>
                          <a:prstDash val="solid"/>
                          <a:headEnd type="none" w="med" len="med"/>
                          <a:tailEnd type="stealth" w="lg" len="lg"/>
                        </a:ln>
                      </wps:spPr>
                      <wps:bodyPr/>
                    </wps:wsp>
                  </a:graphicData>
                </a:graphic>
              </wp:anchor>
            </w:drawing>
          </mc:Choice>
          <mc:Fallback>
            <w:pict>
              <v:line id="直线 1053" o:spid="_x0000_s1026" o:spt="20" style="position:absolute;left:0pt;margin-left:560pt;margin-top:129.1pt;height:22.45pt;width:16.45pt;z-index:251660288;mso-width-relative:page;mso-height-relative:page;" filled="f" stroked="t" coordsize="21600,21600" o:gfxdata="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qdXsHaAAAADQEAAA8AAAAAAAAAAQAgAAAAIgAAAGRycy9kb3ducmV2LnhtbFBLAQIUABQA&#10;AAAIAIdO4kChRPxp7gEAANgDAAAOAAAAAAAAAAEAIAAAACkBAABkcnMvZTJvRG9jLnhtbFBLBQYA&#10;AAAABgAGAFkBAACJBQAAAAA=&#10;">
                <v:fill on="f" focussize="0,0"/>
                <v:stroke weight="1pt" color="#000000" joinstyle="round" endarrow="classic" endarrowwidth="wide" endarrowlength="long"/>
                <v:imagedata o:title=""/>
                <o:lock v:ext="edit" aspectratio="f"/>
              </v:line>
            </w:pict>
          </mc:Fallback>
        </mc:AlternateContent>
      </w:r>
      <w:r>
        <w:rPr>
          <w:color w:val="auto"/>
        </w:rPr>
        <w:t>本项目所在区域</w:t>
      </w:r>
      <w:r>
        <w:rPr>
          <w:rFonts w:hint="eastAsia"/>
          <w:color w:val="auto"/>
        </w:rPr>
        <w:t>水系</w:t>
      </w:r>
      <w:r>
        <w:rPr>
          <w:color w:val="auto"/>
        </w:rPr>
        <w:t>图</w:t>
      </w:r>
    </w:p>
    <w:p w14:paraId="529801C7">
      <w:pPr>
        <w:pStyle w:val="62"/>
        <w:rPr>
          <w:color w:val="auto"/>
        </w:rPr>
      </w:pPr>
      <w:r>
        <w:rPr>
          <w:rFonts w:ascii="Times New Roman" w:hAnsi="Times New Roman" w:cs="Times New Roman"/>
        </w:rPr>
        <mc:AlternateContent>
          <mc:Choice Requires="wpg">
            <w:drawing>
              <wp:anchor distT="0" distB="0" distL="114300" distR="114300" simplePos="0" relativeHeight="251681792" behindDoc="0" locked="0" layoutInCell="1" allowOverlap="1">
                <wp:simplePos x="0" y="0"/>
                <wp:positionH relativeFrom="column">
                  <wp:posOffset>3459480</wp:posOffset>
                </wp:positionH>
                <wp:positionV relativeFrom="paragraph">
                  <wp:posOffset>1330960</wp:posOffset>
                </wp:positionV>
                <wp:extent cx="946150" cy="958850"/>
                <wp:effectExtent l="7620" t="26670" r="27305" b="14605"/>
                <wp:wrapNone/>
                <wp:docPr id="112" name="组合 112"/>
                <wp:cNvGraphicFramePr/>
                <a:graphic xmlns:a="http://schemas.openxmlformats.org/drawingml/2006/main">
                  <a:graphicData uri="http://schemas.microsoft.com/office/word/2010/wordprocessingGroup">
                    <wpg:wgp>
                      <wpg:cNvGrpSpPr/>
                      <wpg:grpSpPr>
                        <a:xfrm>
                          <a:off x="0" y="0"/>
                          <a:ext cx="946150" cy="958850"/>
                          <a:chOff x="12726" y="929834"/>
                          <a:chExt cx="1490" cy="1510"/>
                        </a:xfrm>
                      </wpg:grpSpPr>
                      <wps:wsp>
                        <wps:cNvPr id="104" name="任意多边形 104"/>
                        <wps:cNvSpPr/>
                        <wps:spPr>
                          <a:xfrm>
                            <a:off x="14036" y="929834"/>
                            <a:ext cx="180" cy="180"/>
                          </a:xfrm>
                          <a:custGeom>
                            <a:avLst/>
                            <a:gdLst>
                              <a:gd name="txL" fmla="*/ 0 w 114300"/>
                              <a:gd name="txT" fmla="*/ 0 h 114300"/>
                              <a:gd name="txR" fmla="*/ 114300 w 114300"/>
                              <a:gd name="txB" fmla="*/ 114300 h 114300"/>
                            </a:gdLst>
                            <a:ahLst/>
                            <a:cxnLst>
                              <a:cxn ang="16187392">
                                <a:pos x="57150" y="0"/>
                              </a:cxn>
                              <a:cxn ang="10747904">
                                <a:pos x="0" y="43658"/>
                              </a:cxn>
                              <a:cxn ang="5373952">
                                <a:pos x="21829" y="114299"/>
                              </a:cxn>
                              <a:cxn ang="5373952">
                                <a:pos x="92470" y="114299"/>
                              </a:cxn>
                              <a:cxn ang="0">
                                <a:pos x="114299" y="43658"/>
                              </a:cxn>
                            </a:cxnLst>
                            <a:rect l="txL" t="txT" r="txR" b="txB"/>
                            <a:pathLst>
                              <a:path w="114300" h="114300">
                                <a:moveTo>
                                  <a:pt x="0" y="43658"/>
                                </a:moveTo>
                                <a:lnTo>
                                  <a:pt x="43658" y="43658"/>
                                </a:lnTo>
                                <a:lnTo>
                                  <a:pt x="57150" y="0"/>
                                </a:lnTo>
                                <a:lnTo>
                                  <a:pt x="70641" y="43658"/>
                                </a:lnTo>
                                <a:lnTo>
                                  <a:pt x="114299" y="43658"/>
                                </a:lnTo>
                                <a:lnTo>
                                  <a:pt x="78978" y="70640"/>
                                </a:lnTo>
                                <a:lnTo>
                                  <a:pt x="92470" y="114299"/>
                                </a:lnTo>
                                <a:lnTo>
                                  <a:pt x="57150" y="87316"/>
                                </a:lnTo>
                                <a:lnTo>
                                  <a:pt x="21829" y="114299"/>
                                </a:lnTo>
                                <a:lnTo>
                                  <a:pt x="35321" y="70640"/>
                                </a:lnTo>
                                <a:close/>
                              </a:path>
                            </a:pathLst>
                          </a:custGeom>
                          <a:solidFill>
                            <a:srgbClr val="FF0000"/>
                          </a:solidFill>
                          <a:ln w="15875" cap="flat" cmpd="sng">
                            <a:solidFill>
                              <a:srgbClr val="000000"/>
                            </a:solidFill>
                            <a:prstDash val="solid"/>
                            <a:miter/>
                            <a:headEnd type="none" w="med" len="med"/>
                            <a:tailEnd type="none" w="med" len="med"/>
                          </a:ln>
                        </wps:spPr>
                        <wps:txbx>
                          <w:txbxContent>
                            <w:p w14:paraId="59F80525">
                              <w:pPr>
                                <w:ind w:firstLine="480"/>
                                <w:jc w:val="center"/>
                              </w:pPr>
                            </w:p>
                          </w:txbxContent>
                        </wps:txbx>
                        <wps:bodyPr upright="1"/>
                      </wps:wsp>
                      <wps:wsp>
                        <wps:cNvPr id="111" name="矩形标注 111"/>
                        <wps:cNvSpPr/>
                        <wps:spPr>
                          <a:xfrm>
                            <a:off x="12726" y="930820"/>
                            <a:ext cx="1350" cy="525"/>
                          </a:xfrm>
                          <a:prstGeom prst="wedgeRectCallout">
                            <a:avLst>
                              <a:gd name="adj1" fmla="val 49556"/>
                              <a:gd name="adj2" fmla="val -196282"/>
                            </a:avLst>
                          </a:prstGeom>
                          <a:solidFill>
                            <a:srgbClr val="FFFFFF"/>
                          </a:solidFill>
                          <a:ln w="15875" cap="flat" cmpd="sng">
                            <a:solidFill>
                              <a:srgbClr val="000000"/>
                            </a:solidFill>
                            <a:prstDash val="solid"/>
                            <a:miter/>
                            <a:headEnd type="none" w="med" len="med"/>
                            <a:tailEnd type="none" w="med" len="med"/>
                          </a:ln>
                        </wps:spPr>
                        <wps:txbx>
                          <w:txbxContent>
                            <w:p w14:paraId="71B4AD01">
                              <w:pPr>
                                <w:pStyle w:val="62"/>
                              </w:pPr>
                              <w:r>
                                <w:rPr>
                                  <w:rFonts w:hint="eastAsia"/>
                                </w:rPr>
                                <w:t>建设项目</w:t>
                              </w:r>
                            </w:p>
                          </w:txbxContent>
                        </wps:txbx>
                        <wps:bodyPr lIns="0" tIns="0" rIns="0" bIns="0" upright="0"/>
                      </wps:wsp>
                    </wpg:wgp>
                  </a:graphicData>
                </a:graphic>
              </wp:anchor>
            </w:drawing>
          </mc:Choice>
          <mc:Fallback>
            <w:pict>
              <v:group id="_x0000_s1026" o:spid="_x0000_s1026" o:spt="203" style="position:absolute;left:0pt;margin-left:272.4pt;margin-top:104.8pt;height:75.5pt;width:74.5pt;z-index:251681792;mso-width-relative:page;mso-height-relative:page;" coordorigin="12726,929834" coordsize="1490,1510" o:gfxdata="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">
                <o:lock v:ext="edit" aspectratio="f"/>
                <v:shape id="_x0000_s1026" o:spid="_x0000_s1026" o:spt="100" style="position:absolute;left:14036;top:929834;height:180;width:180;" fillcolor="#FF0000" filled="t" stroked="t" coordsize="114300,114300" o:gfxdata="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ZS/PrsAAADc&#10;AAAADwAAAAAAAAABACAAAAAiAAAAZHJzL2Rvd25yZXYueG1sUEsBAhQAFAAAAAgAh07iQDMvBZ47&#10;AAAAOQAAABAAAAAAAAAAAQAgAAAACgEAAGRycy9zaGFwZXhtbC54bWxQSwUGAAAAAAYABgBbAQAA&#10;tAMAAAAA&#10;" path="m0,43658l43658,43658,57150,0,70641,43658,114299,43658,78978,70640,92470,114299,57150,87316,21829,114299,35321,70640xe">
                  <v:path textboxrect="0,0,114300,114300" o:connectlocs="57150,0;0,43658;21829,114299;92470,114299;114299,43658" o:connectangles="247,164,82,82,0"/>
                  <v:fill on="t" focussize="0,0"/>
                  <v:stroke weight="1.25pt" color="#000000" joinstyle="miter"/>
                  <v:imagedata o:title=""/>
                  <o:lock v:ext="edit" aspectratio="f"/>
                  <v:textbox>
                    <w:txbxContent>
                      <w:p w14:paraId="59F80525">
                        <w:pPr>
                          <w:ind w:firstLine="480"/>
                          <w:jc w:val="center"/>
                        </w:pPr>
                      </w:p>
                    </w:txbxContent>
                  </v:textbox>
                </v:shape>
                <v:shape id="_x0000_s1026" o:spid="_x0000_s1026" o:spt="61" type="#_x0000_t61" style="position:absolute;left:12726;top:930820;height:525;width:1350;" fillcolor="#FFFFFF" filled="t" stroked="t" coordsize="21600,21600" o:gfxdata="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9vHm8AAAA&#10;3AAAAA8AAAAAAAAAAQAgAAAAIgAAAGRycy9kb3ducmV2LnhtbFBLAQIUABQAAAAIAIdO4kAzLwWe&#10;OwAAADkAAAAQAAAAAAAAAAEAIAAAAAsBAABkcnMvc2hhcGV4bWwueG1sUEsFBgAAAAAGAAYAWwEA&#10;ALUDAAAAAA==&#10;" adj="21504,-31597">
                  <v:fill on="t" focussize="0,0"/>
                  <v:stroke weight="1.25pt" color="#000000" joinstyle="miter"/>
                  <v:imagedata o:title=""/>
                  <o:lock v:ext="edit" aspectratio="f"/>
                  <v:textbox inset="0mm,0mm,0mm,0mm">
                    <w:txbxContent>
                      <w:p w14:paraId="71B4AD01">
                        <w:pPr>
                          <w:pStyle w:val="62"/>
                        </w:pPr>
                        <w:r>
                          <w:rPr>
                            <w:rFonts w:hint="eastAsia"/>
                          </w:rPr>
                          <w:t>建设项目</w:t>
                        </w:r>
                      </w:p>
                    </w:txbxContent>
                  </v:textbox>
                </v:shape>
              </v:group>
            </w:pict>
          </mc:Fallback>
        </mc:AlternateContent>
      </w:r>
      <w:r>
        <w:rPr>
          <w:rFonts w:hint="eastAsia" w:ascii="Times New Roman" w:hAnsi="Times New Roman" w:cs="Times New Roman"/>
        </w:rPr>
        <w:drawing>
          <wp:inline distT="0" distB="0" distL="114300" distR="114300">
            <wp:extent cx="5949315" cy="8376285"/>
            <wp:effectExtent l="0" t="0" r="3810" b="5715"/>
            <wp:docPr id="120" name="图片 40" descr="831d6393998c215910d0840e56f6d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0" descr="831d6393998c215910d0840e56f6df9"/>
                    <pic:cNvPicPr>
                      <a:picLocks noChangeAspect="1"/>
                    </pic:cNvPicPr>
                  </pic:nvPicPr>
                  <pic:blipFill>
                    <a:blip r:embed="rId31"/>
                    <a:srcRect l="6171" t="7635" r="6790" b="5707"/>
                    <a:stretch>
                      <a:fillRect/>
                    </a:stretch>
                  </pic:blipFill>
                  <pic:spPr>
                    <a:xfrm>
                      <a:off x="0" y="0"/>
                      <a:ext cx="5949315" cy="8376285"/>
                    </a:xfrm>
                    <a:prstGeom prst="rect">
                      <a:avLst/>
                    </a:prstGeom>
                    <a:noFill/>
                    <a:ln>
                      <a:noFill/>
                    </a:ln>
                  </pic:spPr>
                </pic:pic>
              </a:graphicData>
            </a:graphic>
          </wp:inline>
        </w:drawing>
      </w:r>
    </w:p>
    <w:p w14:paraId="2B419AF3">
      <w:pPr>
        <w:pStyle w:val="62"/>
        <w:numPr>
          <w:ilvl w:val="0"/>
          <w:numId w:val="16"/>
        </w:numPr>
        <w:bidi w:val="0"/>
        <w:ind w:left="0" w:leftChars="0" w:firstLine="0" w:firstLineChars="0"/>
        <w:rPr>
          <w:rFonts w:ascii="Times New Roman" w:hAnsi="Times New Roman" w:eastAsia="宋体" w:cs="Times New Roman"/>
          <w:color w:val="auto"/>
        </w:rPr>
        <w:sectPr>
          <w:pgSz w:w="11906" w:h="16838"/>
          <w:pgMar w:top="1417" w:right="1417" w:bottom="1417" w:left="1417" w:header="850" w:footer="992" w:gutter="0"/>
          <w:pgNumType w:fmt="decimal"/>
          <w:cols w:space="720" w:num="1"/>
          <w:docGrid w:linePitch="336" w:charSpace="0"/>
        </w:sectPr>
      </w:pPr>
      <w:r>
        <w:rPr>
          <w:rFonts w:hint="eastAsia" w:ascii="Times New Roman" w:hAnsi="Times New Roman" w:eastAsia="宋体" w:cs="Times New Roman"/>
          <w:color w:val="auto"/>
        </w:rPr>
        <w:t>江门市环境空气质量功能区划图</w:t>
      </w:r>
    </w:p>
    <w:p w14:paraId="0565B76C">
      <w:pPr>
        <w:pStyle w:val="62"/>
        <w:rPr>
          <w:color w:val="auto"/>
        </w:rPr>
      </w:pPr>
      <w:r>
        <w:rPr>
          <w:color w:val="auto"/>
        </w:rPr>
        <mc:AlternateContent>
          <mc:Choice Requires="wps">
            <w:drawing>
              <wp:anchor distT="0" distB="0" distL="114300" distR="114300" simplePos="0" relativeHeight="251668480" behindDoc="0" locked="0" layoutInCell="1" allowOverlap="1">
                <wp:simplePos x="0" y="0"/>
                <wp:positionH relativeFrom="column">
                  <wp:posOffset>4335145</wp:posOffset>
                </wp:positionH>
                <wp:positionV relativeFrom="paragraph">
                  <wp:posOffset>2080260</wp:posOffset>
                </wp:positionV>
                <wp:extent cx="228600" cy="181610"/>
                <wp:effectExtent l="8255" t="7620" r="10795" b="10795"/>
                <wp:wrapNone/>
                <wp:docPr id="94" name="矩形 1059"/>
                <wp:cNvGraphicFramePr/>
                <a:graphic xmlns:a="http://schemas.openxmlformats.org/drawingml/2006/main">
                  <a:graphicData uri="http://schemas.microsoft.com/office/word/2010/wordprocessingShape">
                    <wps:wsp>
                      <wps:cNvSpPr/>
                      <wps:spPr>
                        <a:xfrm>
                          <a:off x="0" y="0"/>
                          <a:ext cx="228600" cy="181610"/>
                        </a:xfrm>
                        <a:prstGeom prst="rect">
                          <a:avLst/>
                        </a:prstGeom>
                        <a:noFill/>
                        <a:ln w="15875" cap="flat" cmpd="sng">
                          <a:solidFill>
                            <a:srgbClr val="000001"/>
                          </a:solidFill>
                          <a:prstDash val="solid"/>
                          <a:miter/>
                          <a:headEnd type="none" w="med" len="med"/>
                          <a:tailEnd type="none" w="med" len="med"/>
                        </a:ln>
                      </wps:spPr>
                      <wps:txbx>
                        <w:txbxContent>
                          <w:p w14:paraId="57B43AE6">
                            <w:pPr>
                              <w:ind w:firstLine="480"/>
                            </w:pPr>
                          </w:p>
                        </w:txbxContent>
                      </wps:txbx>
                      <wps:bodyPr upright="1"/>
                    </wps:wsp>
                  </a:graphicData>
                </a:graphic>
              </wp:anchor>
            </w:drawing>
          </mc:Choice>
          <mc:Fallback>
            <w:pict>
              <v:rect id="矩形 1059" o:spid="_x0000_s1026" o:spt="1" style="position:absolute;left:0pt;margin-left:341.35pt;margin-top:163.8pt;height:14.3pt;width:18pt;z-index:251668480;mso-width-relative:page;mso-height-relative:page;" filled="f" stroked="t" coordsize="21600,21600" o:gfxdata="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E1eajZAAAACwEAAA8AAAAAAAAAAQAgAAAAIgAAAGRycy9k&#10;b3ducmV2LnhtbFBLAQIUABQAAAAIAIdO4kBc1iM4AQIAAAQEAAAOAAAAAAAAAAEAIAAAACgBAABk&#10;cnMvZTJvRG9jLnhtbFBLBQYAAAAABgAGAFkBAACbBQAAAAA=&#10;">
                <v:fill on="f" focussize="0,0"/>
                <v:stroke weight="1.25pt" color="#000001" joinstyle="miter"/>
                <v:imagedata o:title=""/>
                <o:lock v:ext="edit" aspectratio="f"/>
                <v:textbox>
                  <w:txbxContent>
                    <w:p w14:paraId="57B43AE6">
                      <w:pPr>
                        <w:ind w:firstLine="480"/>
                      </w:pPr>
                    </w:p>
                  </w:txbxContent>
                </v:textbox>
              </v:rect>
            </w:pict>
          </mc:Fallback>
        </mc:AlternateContent>
      </w:r>
      <w:r>
        <w:rPr>
          <w:rFonts w:ascii="Times New Roman" w:hAnsi="Times New Roman" w:cs="Times New Roman"/>
        </w:rPr>
        <mc:AlternateContent>
          <mc:Choice Requires="wpg">
            <w:drawing>
              <wp:anchor distT="0" distB="0" distL="114300" distR="114300" simplePos="0" relativeHeight="251683840" behindDoc="0" locked="0" layoutInCell="1" allowOverlap="1">
                <wp:simplePos x="0" y="0"/>
                <wp:positionH relativeFrom="column">
                  <wp:posOffset>826135</wp:posOffset>
                </wp:positionH>
                <wp:positionV relativeFrom="paragraph">
                  <wp:posOffset>6069965</wp:posOffset>
                </wp:positionV>
                <wp:extent cx="946150" cy="958850"/>
                <wp:effectExtent l="7620" t="26670" r="27305" b="14605"/>
                <wp:wrapNone/>
                <wp:docPr id="132" name="组合 132"/>
                <wp:cNvGraphicFramePr/>
                <a:graphic xmlns:a="http://schemas.openxmlformats.org/drawingml/2006/main">
                  <a:graphicData uri="http://schemas.microsoft.com/office/word/2010/wordprocessingGroup">
                    <wpg:wgp>
                      <wpg:cNvGrpSpPr/>
                      <wpg:grpSpPr>
                        <a:xfrm>
                          <a:off x="0" y="0"/>
                          <a:ext cx="946150" cy="958850"/>
                          <a:chOff x="12726" y="929834"/>
                          <a:chExt cx="1490" cy="1510"/>
                        </a:xfrm>
                      </wpg:grpSpPr>
                      <wps:wsp>
                        <wps:cNvPr id="133" name="任意多边形 104"/>
                        <wps:cNvSpPr/>
                        <wps:spPr>
                          <a:xfrm>
                            <a:off x="14036" y="929834"/>
                            <a:ext cx="180" cy="180"/>
                          </a:xfrm>
                          <a:custGeom>
                            <a:avLst/>
                            <a:gdLst>
                              <a:gd name="txL" fmla="*/ 0 w 114300"/>
                              <a:gd name="txT" fmla="*/ 0 h 114300"/>
                              <a:gd name="txR" fmla="*/ 114300 w 114300"/>
                              <a:gd name="txB" fmla="*/ 114300 h 114300"/>
                            </a:gdLst>
                            <a:ahLst/>
                            <a:cxnLst>
                              <a:cxn ang="16187392">
                                <a:pos x="57150" y="0"/>
                              </a:cxn>
                              <a:cxn ang="10747904">
                                <a:pos x="0" y="43658"/>
                              </a:cxn>
                              <a:cxn ang="5373952">
                                <a:pos x="21829" y="114299"/>
                              </a:cxn>
                              <a:cxn ang="5373952">
                                <a:pos x="92470" y="114299"/>
                              </a:cxn>
                              <a:cxn ang="0">
                                <a:pos x="114299" y="43658"/>
                              </a:cxn>
                            </a:cxnLst>
                            <a:rect l="txL" t="txT" r="txR" b="txB"/>
                            <a:pathLst>
                              <a:path w="114300" h="114300">
                                <a:moveTo>
                                  <a:pt x="0" y="43658"/>
                                </a:moveTo>
                                <a:lnTo>
                                  <a:pt x="43658" y="43658"/>
                                </a:lnTo>
                                <a:lnTo>
                                  <a:pt x="57150" y="0"/>
                                </a:lnTo>
                                <a:lnTo>
                                  <a:pt x="70641" y="43658"/>
                                </a:lnTo>
                                <a:lnTo>
                                  <a:pt x="114299" y="43658"/>
                                </a:lnTo>
                                <a:lnTo>
                                  <a:pt x="78978" y="70640"/>
                                </a:lnTo>
                                <a:lnTo>
                                  <a:pt x="92470" y="114299"/>
                                </a:lnTo>
                                <a:lnTo>
                                  <a:pt x="57150" y="87316"/>
                                </a:lnTo>
                                <a:lnTo>
                                  <a:pt x="21829" y="114299"/>
                                </a:lnTo>
                                <a:lnTo>
                                  <a:pt x="35321" y="70640"/>
                                </a:lnTo>
                                <a:close/>
                              </a:path>
                            </a:pathLst>
                          </a:custGeom>
                          <a:solidFill>
                            <a:srgbClr val="FF0000"/>
                          </a:solidFill>
                          <a:ln w="15875" cap="flat" cmpd="sng">
                            <a:solidFill>
                              <a:srgbClr val="000000"/>
                            </a:solidFill>
                            <a:prstDash val="solid"/>
                            <a:miter/>
                            <a:headEnd type="none" w="med" len="med"/>
                            <a:tailEnd type="none" w="med" len="med"/>
                          </a:ln>
                        </wps:spPr>
                        <wps:txbx>
                          <w:txbxContent>
                            <w:p w14:paraId="49D9EDB7">
                              <w:pPr>
                                <w:ind w:firstLine="480"/>
                                <w:jc w:val="center"/>
                              </w:pPr>
                            </w:p>
                          </w:txbxContent>
                        </wps:txbx>
                        <wps:bodyPr upright="1"/>
                      </wps:wsp>
                      <wps:wsp>
                        <wps:cNvPr id="138" name="矩形标注 111"/>
                        <wps:cNvSpPr/>
                        <wps:spPr>
                          <a:xfrm>
                            <a:off x="12726" y="930820"/>
                            <a:ext cx="1350" cy="525"/>
                          </a:xfrm>
                          <a:prstGeom prst="wedgeRectCallout">
                            <a:avLst>
                              <a:gd name="adj1" fmla="val 49556"/>
                              <a:gd name="adj2" fmla="val -196282"/>
                            </a:avLst>
                          </a:prstGeom>
                          <a:solidFill>
                            <a:srgbClr val="FFFFFF"/>
                          </a:solidFill>
                          <a:ln w="15875" cap="flat" cmpd="sng">
                            <a:solidFill>
                              <a:srgbClr val="000000"/>
                            </a:solidFill>
                            <a:prstDash val="solid"/>
                            <a:miter/>
                            <a:headEnd type="none" w="med" len="med"/>
                            <a:tailEnd type="none" w="med" len="med"/>
                          </a:ln>
                        </wps:spPr>
                        <wps:txbx>
                          <w:txbxContent>
                            <w:p w14:paraId="3CA1D957">
                              <w:pPr>
                                <w:pStyle w:val="62"/>
                              </w:pPr>
                              <w:r>
                                <w:rPr>
                                  <w:rFonts w:hint="eastAsia"/>
                                </w:rPr>
                                <w:t>建设项目</w:t>
                              </w:r>
                            </w:p>
                          </w:txbxContent>
                        </wps:txbx>
                        <wps:bodyPr lIns="0" tIns="0" rIns="0" bIns="0" upright="0"/>
                      </wps:wsp>
                    </wpg:wgp>
                  </a:graphicData>
                </a:graphic>
              </wp:anchor>
            </w:drawing>
          </mc:Choice>
          <mc:Fallback>
            <w:pict>
              <v:group id="_x0000_s1026" o:spid="_x0000_s1026" o:spt="203" style="position:absolute;left:0pt;margin-left:65.05pt;margin-top:477.95pt;height:75.5pt;width:74.5pt;z-index:251683840;mso-width-relative:page;mso-height-relative:page;" coordorigin="12726,929834" coordsize="1490,1510" o:gfxdata="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">
                <o:lock v:ext="edit" aspectratio="f"/>
                <v:shape id="任意多边形 104" o:spid="_x0000_s1026" o:spt="100" style="position:absolute;left:14036;top:929834;height:180;width:180;" fillcolor="#FF0000" filled="t" stroked="t" coordsize="114300,114300" o:gfxdata="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R7fe8AAAA&#10;3AAAAA8AAAAAAAAAAQAgAAAAIgAAAGRycy9kb3ducmV2LnhtbFBLAQIUABQAAAAIAIdO4kAzLwWe&#10;OwAAADkAAAAQAAAAAAAAAAEAIAAAAAsBAABkcnMvc2hhcGV4bWwueG1sUEsFBgAAAAAGAAYAWwEA&#10;ALUDAAAAAA==&#10;" path="m0,43658l43658,43658,57150,0,70641,43658,114299,43658,78978,70640,92470,114299,57150,87316,21829,114299,35321,70640xe">
                  <v:path textboxrect="0,0,114300,114300" o:connectlocs="57150,0;0,43658;21829,114299;92470,114299;114299,43658" o:connectangles="247,164,82,82,0"/>
                  <v:fill on="t" focussize="0,0"/>
                  <v:stroke weight="1.25pt" color="#000000" joinstyle="miter"/>
                  <v:imagedata o:title=""/>
                  <o:lock v:ext="edit" aspectratio="f"/>
                  <v:textbox>
                    <w:txbxContent>
                      <w:p w14:paraId="49D9EDB7">
                        <w:pPr>
                          <w:ind w:firstLine="480"/>
                          <w:jc w:val="center"/>
                        </w:pPr>
                      </w:p>
                    </w:txbxContent>
                  </v:textbox>
                </v:shape>
                <v:shape id="矩形标注 111" o:spid="_x0000_s1026" o:spt="61" type="#_x0000_t61" style="position:absolute;left:12726;top:930820;height:525;width:1350;" fillcolor="#FFFFFF" filled="t" stroked="t" coordsize="21600,21600" o:gfxdata="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ySYS/&#10;AAAA3AAAAA8AAAAAAAAAAQAgAAAAIgAAAGRycy9kb3ducmV2LnhtbFBLAQIUABQAAAAIAIdO4kAz&#10;LwWeOwAAADkAAAAQAAAAAAAAAAEAIAAAAA4BAABkcnMvc2hhcGV4bWwueG1sUEsFBgAAAAAGAAYA&#10;WwEAALgDAAAAAA==&#10;" adj="21504,-31597">
                  <v:fill on="t" focussize="0,0"/>
                  <v:stroke weight="1.25pt" color="#000000" joinstyle="miter"/>
                  <v:imagedata o:title=""/>
                  <o:lock v:ext="edit" aspectratio="f"/>
                  <v:textbox inset="0mm,0mm,0mm,0mm">
                    <w:txbxContent>
                      <w:p w14:paraId="3CA1D957">
                        <w:pPr>
                          <w:pStyle w:val="62"/>
                        </w:pPr>
                        <w:r>
                          <w:rPr>
                            <w:rFonts w:hint="eastAsia"/>
                          </w:rPr>
                          <w:t>建设项目</w:t>
                        </w:r>
                      </w:p>
                    </w:txbxContent>
                  </v:textbox>
                </v:shape>
              </v:group>
            </w:pict>
          </mc:Fallback>
        </mc:AlternateContent>
      </w:r>
      <w:r>
        <w:rPr>
          <w:color w:val="auto"/>
        </w:rPr>
        <w:drawing>
          <wp:anchor distT="0" distB="0" distL="114300" distR="114300" simplePos="0" relativeHeight="251682816" behindDoc="0" locked="0" layoutInCell="1" allowOverlap="1">
            <wp:simplePos x="0" y="0"/>
            <wp:positionH relativeFrom="column">
              <wp:posOffset>35560</wp:posOffset>
            </wp:positionH>
            <wp:positionV relativeFrom="paragraph">
              <wp:posOffset>5054600</wp:posOffset>
            </wp:positionV>
            <wp:extent cx="2881630" cy="2224405"/>
            <wp:effectExtent l="9525" t="9525" r="13970" b="13970"/>
            <wp:wrapNone/>
            <wp:docPr id="1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
                    <pic:cNvPicPr>
                      <a:picLocks noChangeAspect="1"/>
                    </pic:cNvPicPr>
                  </pic:nvPicPr>
                  <pic:blipFill>
                    <a:blip r:embed="rId32"/>
                    <a:srcRect l="75059" t="25189" r="20531" b="72403"/>
                    <a:stretch>
                      <a:fillRect/>
                    </a:stretch>
                  </pic:blipFill>
                  <pic:spPr>
                    <a:xfrm>
                      <a:off x="0" y="0"/>
                      <a:ext cx="2881630" cy="2224405"/>
                    </a:xfrm>
                    <a:prstGeom prst="rect">
                      <a:avLst/>
                    </a:prstGeom>
                    <a:noFill/>
                    <a:ln w="9525" cap="flat" cmpd="sng">
                      <a:solidFill>
                        <a:srgbClr val="000000"/>
                      </a:solidFill>
                      <a:prstDash val="solid"/>
                      <a:miter/>
                      <a:headEnd type="none" w="med" len="med"/>
                      <a:tailEnd type="none" w="med" len="med"/>
                    </a:ln>
                  </pic:spPr>
                </pic:pic>
              </a:graphicData>
            </a:graphic>
          </wp:anchor>
        </w:drawing>
      </w:r>
      <w:r>
        <w:rPr>
          <w:color w:val="auto"/>
        </w:rP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2085340</wp:posOffset>
                </wp:positionV>
                <wp:extent cx="4243705" cy="2968625"/>
                <wp:effectExtent l="3810" t="5080" r="10160" b="7620"/>
                <wp:wrapNone/>
                <wp:docPr id="7" name="直线 1058"/>
                <wp:cNvGraphicFramePr/>
                <a:graphic xmlns:a="http://schemas.openxmlformats.org/drawingml/2006/main">
                  <a:graphicData uri="http://schemas.microsoft.com/office/word/2010/wordprocessingShape">
                    <wps:wsp>
                      <wps:cNvCnPr/>
                      <wps:spPr>
                        <a:xfrm flipH="1">
                          <a:off x="0" y="0"/>
                          <a:ext cx="4243705" cy="2968625"/>
                        </a:xfrm>
                        <a:prstGeom prst="line">
                          <a:avLst/>
                        </a:prstGeom>
                        <a:ln w="12700" cap="flat" cmpd="sng">
                          <a:solidFill>
                            <a:srgbClr val="000000"/>
                          </a:solidFill>
                          <a:prstDash val="dash"/>
                          <a:headEnd type="none" w="med" len="med"/>
                          <a:tailEnd type="none" w="med" len="med"/>
                        </a:ln>
                      </wps:spPr>
                      <wps:bodyPr/>
                    </wps:wsp>
                  </a:graphicData>
                </a:graphic>
              </wp:anchor>
            </w:drawing>
          </mc:Choice>
          <mc:Fallback>
            <w:pict>
              <v:line id="直线 1058" o:spid="_x0000_s1026" o:spt="20" style="position:absolute;left:0pt;flip:x;margin-left:6.55pt;margin-top:164.2pt;height:233.75pt;width:334.15pt;z-index:251662336;mso-width-relative:page;mso-height-relative:page;" filled="f" stroked="t" coordsize="21600,21600" o:gfxdata="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NgfKtgAAAAKAQAADwAAAAAAAAABACAAAAAiAAAAZHJzL2Rvd25yZXYueG1sUEsBAhQAFAAA&#10;AAgAh07iQLnxAljvAQAA4gMAAA4AAAAAAAAAAQAgAAAAJwEAAGRycy9lMm9Eb2MueG1sUEsFBgAA&#10;AAAGAAYAWQEAAIgFAAAAAA==&#10;">
                <v:fill on="f" focussize="0,0"/>
                <v:stroke weight="1pt" color="#000000" joinstyle="round" dashstyle="dash"/>
                <v:imagedata o:title=""/>
                <o:lock v:ext="edit" aspectratio="f"/>
              </v:line>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2922270</wp:posOffset>
                </wp:positionH>
                <wp:positionV relativeFrom="paragraph">
                  <wp:posOffset>2251710</wp:posOffset>
                </wp:positionV>
                <wp:extent cx="1642745" cy="5006340"/>
                <wp:effectExtent l="6350" t="1905" r="8255" b="1905"/>
                <wp:wrapNone/>
                <wp:docPr id="8" name="直线 1057"/>
                <wp:cNvGraphicFramePr/>
                <a:graphic xmlns:a="http://schemas.openxmlformats.org/drawingml/2006/main">
                  <a:graphicData uri="http://schemas.microsoft.com/office/word/2010/wordprocessingShape">
                    <wps:wsp>
                      <wps:cNvCnPr/>
                      <wps:spPr>
                        <a:xfrm flipH="1">
                          <a:off x="0" y="0"/>
                          <a:ext cx="1642745" cy="5006340"/>
                        </a:xfrm>
                        <a:prstGeom prst="line">
                          <a:avLst/>
                        </a:prstGeom>
                        <a:ln w="12700" cap="flat" cmpd="sng">
                          <a:solidFill>
                            <a:srgbClr val="000000"/>
                          </a:solidFill>
                          <a:prstDash val="dash"/>
                          <a:headEnd type="none" w="med" len="med"/>
                          <a:tailEnd type="none" w="med" len="med"/>
                        </a:ln>
                      </wps:spPr>
                      <wps:bodyPr/>
                    </wps:wsp>
                  </a:graphicData>
                </a:graphic>
              </wp:anchor>
            </w:drawing>
          </mc:Choice>
          <mc:Fallback>
            <w:pict>
              <v:line id="直线 1057" o:spid="_x0000_s1026" o:spt="20" style="position:absolute;left:0pt;flip:x;margin-left:230.1pt;margin-top:177.3pt;height:394.2pt;width:129.35pt;z-index:251663360;mso-width-relative:page;mso-height-relative:page;" filled="f" stroked="t" coordsize="21600,21600" o:gfxdata="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411KtkAAAAMAQAADwAAAAAAAAABACAAAAAiAAAAZHJzL2Rvd25yZXYueG1sUEsBAhQA&#10;FAAAAAgAh07iQILaSlrxAQAA4gMAAA4AAAAAAAAAAQAgAAAAKAEAAGRycy9lMm9Eb2MueG1sUEsF&#10;BgAAAAAGAAYAWQEAAIsFAAAAAA==&#10;">
                <v:fill on="f" focussize="0,0"/>
                <v:stroke weight="1pt" color="#000000" joinstyle="round" dashstyle="dash"/>
                <v:imagedata o:title=""/>
                <o:lock v:ext="edit" aspectratio="f"/>
              </v:line>
            </w:pict>
          </mc:Fallback>
        </mc:AlternateContent>
      </w:r>
      <w:r>
        <w:rPr>
          <w:color w:val="auto"/>
        </w:rPr>
        <w:drawing>
          <wp:inline distT="0" distB="0" distL="114300" distR="114300">
            <wp:extent cx="5774690" cy="8164830"/>
            <wp:effectExtent l="9525" t="9525" r="16510" b="17145"/>
            <wp:docPr id="1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
                    <pic:cNvPicPr>
                      <a:picLocks noChangeAspect="1"/>
                    </pic:cNvPicPr>
                  </pic:nvPicPr>
                  <pic:blipFill>
                    <a:blip r:embed="rId32"/>
                    <a:stretch>
                      <a:fillRect/>
                    </a:stretch>
                  </pic:blipFill>
                  <pic:spPr>
                    <a:xfrm>
                      <a:off x="0" y="0"/>
                      <a:ext cx="5774690" cy="816483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02A0CDA1">
      <w:pPr>
        <w:pStyle w:val="62"/>
        <w:numPr>
          <w:ilvl w:val="0"/>
          <w:numId w:val="16"/>
        </w:numPr>
        <w:bidi w:val="0"/>
        <w:ind w:left="0" w:leftChars="0" w:firstLine="0" w:firstLineChars="0"/>
        <w:rPr>
          <w:rFonts w:ascii="Times New Roman" w:hAnsi="Times New Roman" w:eastAsia="宋体" w:cs="Times New Roman"/>
          <w:color w:val="auto"/>
        </w:rPr>
      </w:pPr>
      <w:r>
        <w:rPr>
          <w:rFonts w:hint="eastAsia" w:ascii="Times New Roman" w:hAnsi="Times New Roman" w:eastAsia="宋体" w:cs="Times New Roman"/>
          <w:color w:val="auto"/>
        </w:rPr>
        <w:t>鹤山市声功能区划</w:t>
      </w:r>
    </w:p>
    <w:p w14:paraId="4F25CAF7">
      <w:pPr>
        <w:pStyle w:val="62"/>
        <w:numPr>
          <w:ilvl w:val="0"/>
          <w:numId w:val="16"/>
        </w:numPr>
        <w:bidi w:val="0"/>
        <w:ind w:left="0" w:leftChars="0" w:firstLine="0" w:firstLineChars="0"/>
        <w:rPr>
          <w:rFonts w:ascii="Times New Roman" w:hAnsi="Times New Roman" w:eastAsia="宋体" w:cs="Times New Roman"/>
          <w:color w:val="auto"/>
        </w:rPr>
        <w:sectPr>
          <w:pgSz w:w="11849" w:h="16781"/>
          <w:pgMar w:top="1417" w:right="1417" w:bottom="1417" w:left="1417" w:header="992" w:footer="992" w:gutter="0"/>
          <w:pgNumType w:fmt="decimal"/>
          <w:cols w:space="720" w:num="1"/>
          <w:docGrid w:type="lines" w:linePitch="332" w:charSpace="0"/>
        </w:sectPr>
      </w:pPr>
    </w:p>
    <w:p w14:paraId="1F3C8622">
      <w:pPr>
        <w:pStyle w:val="62"/>
        <w:rPr>
          <w:color w:val="auto"/>
        </w:rPr>
      </w:pPr>
      <w:r>
        <w:rPr>
          <w:color w:val="auto"/>
        </w:rPr>
        <mc:AlternateContent>
          <mc:Choice Requires="wps">
            <w:drawing>
              <wp:anchor distT="0" distB="0" distL="114300" distR="114300" simplePos="0" relativeHeight="251669504" behindDoc="0" locked="0" layoutInCell="1" allowOverlap="1">
                <wp:simplePos x="0" y="0"/>
                <wp:positionH relativeFrom="column">
                  <wp:posOffset>4653915</wp:posOffset>
                </wp:positionH>
                <wp:positionV relativeFrom="paragraph">
                  <wp:posOffset>982980</wp:posOffset>
                </wp:positionV>
                <wp:extent cx="828675" cy="381000"/>
                <wp:effectExtent l="9525" t="636905" r="9525" b="10795"/>
                <wp:wrapNone/>
                <wp:docPr id="95" name="自选图形 87"/>
                <wp:cNvGraphicFramePr/>
                <a:graphic xmlns:a="http://schemas.openxmlformats.org/drawingml/2006/main">
                  <a:graphicData uri="http://schemas.microsoft.com/office/word/2010/wordprocessingShape">
                    <wps:wsp>
                      <wps:cNvSpPr>
                        <a:spLocks noChangeArrowheads="1"/>
                      </wps:cNvSpPr>
                      <wps:spPr bwMode="auto">
                        <a:xfrm>
                          <a:off x="0" y="0"/>
                          <a:ext cx="828675" cy="381000"/>
                        </a:xfrm>
                        <a:prstGeom prst="wedgeRectCallout">
                          <a:avLst>
                            <a:gd name="adj1" fmla="val 40190"/>
                            <a:gd name="adj2" fmla="val -202495"/>
                          </a:avLst>
                        </a:prstGeom>
                        <a:noFill/>
                        <a:ln w="19050">
                          <a:solidFill>
                            <a:srgbClr val="000001"/>
                          </a:solidFill>
                          <a:miter lim="800000"/>
                          <a:headEnd type="triangle" w="lg" len="lg"/>
                          <a:tailEnd type="triangle" w="lg" len="lg"/>
                        </a:ln>
                        <a:effectLst/>
                      </wps:spPr>
                      <wps:txbx>
                        <w:txbxContent>
                          <w:p w14:paraId="6DE9E9B1">
                            <w:pPr>
                              <w:ind w:firstLine="0" w:firstLineChars="0"/>
                            </w:pPr>
                            <w:r>
                              <w:rPr>
                                <w:rFonts w:hint="eastAsia"/>
                              </w:rPr>
                              <w:t>建设项目</w:t>
                            </w:r>
                          </w:p>
                        </w:txbxContent>
                      </wps:txbx>
                      <wps:bodyPr rot="0" vert="horz" wrap="square" lIns="91440" tIns="45720" rIns="91440" bIns="45720" anchor="t" anchorCtr="0" upright="1">
                        <a:noAutofit/>
                      </wps:bodyPr>
                    </wps:wsp>
                  </a:graphicData>
                </a:graphic>
              </wp:anchor>
            </w:drawing>
          </mc:Choice>
          <mc:Fallback>
            <w:pict>
              <v:shape id="自选图形 87" o:spid="_x0000_s1026" o:spt="61" type="#_x0000_t61" style="position:absolute;left:0pt;margin-left:366.45pt;margin-top:77.4pt;height:30pt;width:65.25pt;z-index:251669504;mso-width-relative:page;mso-height-relative:page;" filled="f" stroked="t" coordsize="21600,21600" o:gfxdata="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D7JgKzZAAAACwEAAA8AAAAAAAAAAQAgAAAAIgAAAGRycy9kb3ducmV2LnhtbFBLAQIUABQAAAAI&#10;AIdO4kDB/3ualwIAAB4FAAAOAAAAAAAAAAEAIAAAACgBAABkcnMvZTJvRG9jLnhtbFBLBQYAAAAA&#10;BgAGAFkBAAAxBgAAAAA=&#10;" adj="19481,-32939">
                <v:fill on="f" focussize="0,0"/>
                <v:stroke weight="1.5pt" color="#000001" miterlimit="8" joinstyle="miter" startarrow="block" startarrowwidth="wide" startarrowlength="long" endarrow="block" endarrowwidth="wide" endarrowlength="long"/>
                <v:imagedata o:title=""/>
                <o:lock v:ext="edit" aspectratio="f"/>
                <v:textbox>
                  <w:txbxContent>
                    <w:p w14:paraId="6DE9E9B1">
                      <w:pPr>
                        <w:ind w:firstLine="0" w:firstLineChars="0"/>
                      </w:pPr>
                      <w:r>
                        <w:rPr>
                          <w:rFonts w:hint="eastAsia"/>
                        </w:rPr>
                        <w:t>建设项目</w:t>
                      </w:r>
                    </w:p>
                  </w:txbxContent>
                </v:textbox>
              </v:shape>
            </w:pict>
          </mc:Fallback>
        </mc:AlternateContent>
      </w:r>
      <w:r>
        <w:rPr>
          <w:color w:val="auto"/>
        </w:rPr>
        <mc:AlternateContent>
          <mc:Choice Requires="wps">
            <w:drawing>
              <wp:anchor distT="0" distB="0" distL="114300" distR="114300" simplePos="0" relativeHeight="251664384" behindDoc="0" locked="0" layoutInCell="1" allowOverlap="1">
                <wp:simplePos x="0" y="0"/>
                <wp:positionH relativeFrom="column">
                  <wp:posOffset>5350510</wp:posOffset>
                </wp:positionH>
                <wp:positionV relativeFrom="paragraph">
                  <wp:posOffset>312420</wp:posOffset>
                </wp:positionV>
                <wp:extent cx="114300" cy="114300"/>
                <wp:effectExtent l="23495" t="26670" r="24130" b="30480"/>
                <wp:wrapNone/>
                <wp:docPr id="9" name="自选图形 67"/>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star5">
                          <a:avLst/>
                        </a:prstGeom>
                        <a:solidFill>
                          <a:srgbClr val="FF0000"/>
                        </a:solidFill>
                        <a:ln w="1587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shape id="自选图形 67" o:spid="_x0000_s1026" style="position:absolute;left:0pt;margin-left:421.3pt;margin-top:24.6pt;height:9pt;width:9pt;z-index:251664384;mso-width-relative:page;mso-height-relative:page;" fillcolor="#FF0000" filled="t" stroked="t" coordsize="114300,114300" o:gfxdata="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Mq7rbXAAAACQEAAA8AAAAAAAAAAQAgAAAAIgAA&#10;AGRycy9kb3ducmV2LnhtbFBLAQIUABQAAAAIAIdO4kCQk5WmQgIAAIUEAAAOAAAAAAAAAAEAIAAA&#10;ACYBAABkcnMvZTJvRG9jLnhtbFBLBQYAAAAABgAGAFkBAADaBQAAAAA=&#10;" path="m0,43658l43658,43658,57150,0,70641,43658,114299,43658,78978,70640,92470,114299,57150,87316,21829,114299,35321,70640xe">
                <v:path o:connectlocs="57150,0;0,43658;21829,114299;92470,114299;114299,43658" o:connectangles="247,164,82,82,0"/>
                <v:fill on="t" focussize="0,0"/>
                <v:stroke weight="1.25pt" color="#000000" miterlimit="8" joinstyle="miter"/>
                <v:imagedata o:title=""/>
                <o:lock v:ext="edit" aspectratio="f"/>
              </v:shape>
            </w:pict>
          </mc:Fallback>
        </mc:AlternateContent>
      </w:r>
      <w:r>
        <w:rPr>
          <w:rFonts w:hint="eastAsia"/>
          <w:color w:val="auto"/>
        </w:rPr>
        <w:drawing>
          <wp:inline distT="0" distB="0" distL="114300" distR="114300">
            <wp:extent cx="6899910" cy="5257800"/>
            <wp:effectExtent l="9525" t="9525" r="15240" b="9525"/>
            <wp:docPr id="135" name="图片 14" descr="江门市地下水功能区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4" descr="江门市地下水功能区划图"/>
                    <pic:cNvPicPr>
                      <a:picLocks noChangeAspect="1"/>
                    </pic:cNvPicPr>
                  </pic:nvPicPr>
                  <pic:blipFill>
                    <a:blip r:embed="rId33"/>
                    <a:stretch>
                      <a:fillRect/>
                    </a:stretch>
                  </pic:blipFill>
                  <pic:spPr>
                    <a:xfrm>
                      <a:off x="0" y="0"/>
                      <a:ext cx="6899910" cy="525780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54A994BB">
      <w:pPr>
        <w:pStyle w:val="62"/>
        <w:numPr>
          <w:ilvl w:val="0"/>
          <w:numId w:val="16"/>
        </w:numPr>
        <w:bidi w:val="0"/>
        <w:ind w:left="0" w:leftChars="0" w:firstLine="0" w:firstLineChars="0"/>
        <w:rPr>
          <w:rFonts w:ascii="Times New Roman" w:hAnsi="Times New Roman" w:eastAsia="宋体" w:cs="Times New Roman"/>
          <w:color w:val="auto"/>
        </w:rPr>
        <w:sectPr>
          <w:pgSz w:w="16838" w:h="11906" w:orient="landscape"/>
          <w:pgMar w:top="1417" w:right="1417" w:bottom="1417" w:left="1417" w:header="992" w:footer="992" w:gutter="0"/>
          <w:pgNumType w:fmt="decimal"/>
          <w:cols w:space="720" w:num="1"/>
          <w:docGrid w:type="lines" w:linePitch="336" w:charSpace="0"/>
        </w:sectPr>
      </w:pPr>
      <w:r>
        <w:rPr>
          <w:rFonts w:hint="eastAsia" w:ascii="Times New Roman" w:hAnsi="Times New Roman" w:eastAsia="宋体" w:cs="Times New Roman"/>
          <w:color w:val="auto"/>
        </w:rPr>
        <w:t>江门市</w:t>
      </w:r>
      <w:r>
        <w:rPr>
          <w:rFonts w:ascii="Times New Roman" w:hAnsi="Times New Roman" w:eastAsia="宋体" w:cs="Times New Roman"/>
          <w:color w:val="auto"/>
        </w:rPr>
        <w:t>地下水功能区划图</w:t>
      </w:r>
    </w:p>
    <w:p w14:paraId="38284E9B">
      <w:pPr>
        <w:pStyle w:val="62"/>
        <w:numPr>
          <w:ilvl w:val="0"/>
          <w:numId w:val="0"/>
        </w:numPr>
        <w:tabs>
          <w:tab w:val="left" w:pos="0"/>
        </w:tabs>
        <w:bidi w:val="0"/>
        <w:rPr>
          <w:rFonts w:hint="eastAsia"/>
        </w:rPr>
      </w:pPr>
      <w:r>
        <w:rPr>
          <w:rFonts w:ascii="Times New Roman" w:hAnsi="Times New Roman" w:cs="Times New Roman"/>
        </w:rPr>
        <w:pict>
          <v:shape id="_x0000_s2054" o:spid="_x0000_s2054" o:spt="136" type="#_x0000_t136" style="position:absolute;left:0pt;margin-left:378.45pt;margin-top:169pt;height:9.85pt;width:42.3pt;z-index:251684864;mso-width-relative:page;mso-height-relative:page;" stroked="t" coordsize="21600,21600">
            <v:path/>
            <v:fill focussize="0,0"/>
            <v:stroke color="#FFFFFF"/>
            <v:imagedata o:title=""/>
            <o:lock v:ext="edit"/>
            <v:textpath on="t" fitshape="t" fitpath="t" trim="t" xscale="f" string="建设项目" style="font-family:宋体;font-size:10pt;v-text-align:center;"/>
          </v:shape>
        </w:pict>
      </w:r>
      <w:r>
        <w:drawing>
          <wp:inline distT="0" distB="0" distL="114300" distR="114300">
            <wp:extent cx="8881745" cy="4415790"/>
            <wp:effectExtent l="0" t="0" r="5080" b="3810"/>
            <wp:docPr id="14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41"/>
                    <pic:cNvPicPr>
                      <a:picLocks noChangeAspect="1"/>
                    </pic:cNvPicPr>
                  </pic:nvPicPr>
                  <pic:blipFill>
                    <a:blip r:embed="rId34"/>
                    <a:stretch>
                      <a:fillRect/>
                    </a:stretch>
                  </pic:blipFill>
                  <pic:spPr>
                    <a:xfrm>
                      <a:off x="0" y="0"/>
                      <a:ext cx="8881745" cy="4415790"/>
                    </a:xfrm>
                    <a:prstGeom prst="rect">
                      <a:avLst/>
                    </a:prstGeom>
                    <a:noFill/>
                    <a:ln>
                      <a:noFill/>
                    </a:ln>
                  </pic:spPr>
                </pic:pic>
              </a:graphicData>
            </a:graphic>
          </wp:inline>
        </w:drawing>
      </w:r>
    </w:p>
    <w:p w14:paraId="1E7CD5A1">
      <w:pPr>
        <w:pStyle w:val="62"/>
        <w:numPr>
          <w:ilvl w:val="0"/>
          <w:numId w:val="16"/>
        </w:numPr>
        <w:bidi w:val="0"/>
        <w:rPr>
          <w:rFonts w:hint="eastAsia"/>
        </w:rPr>
      </w:pPr>
      <w:r>
        <w:rPr>
          <w:rFonts w:hint="eastAsia"/>
        </w:rPr>
        <w:t>广东省环境管控单元图（陆域环境管控单元）</w:t>
      </w:r>
    </w:p>
    <w:p w14:paraId="3EAEF239">
      <w:pPr>
        <w:pStyle w:val="62"/>
        <w:rPr>
          <w:rStyle w:val="46"/>
          <w:rFonts w:hint="eastAsia" w:ascii="Times New Roman" w:hAnsi="Times New Roman" w:cs="Times New Roman"/>
          <w:b w:val="0"/>
          <w:kern w:val="2"/>
          <w:szCs w:val="24"/>
        </w:rPr>
      </w:pPr>
      <w:r>
        <w:rPr>
          <w:rFonts w:ascii="Times New Roman" w:hAnsi="Times New Roman" w:cs="Times New Roman"/>
        </w:rPr>
        <w:pict>
          <v:shape id="_x0000_s2055" o:spid="_x0000_s2055" o:spt="136" type="#_x0000_t136" style="position:absolute;left:0pt;margin-left:378.45pt;margin-top:169pt;height:9.85pt;width:42.3pt;z-index:251685888;mso-width-relative:page;mso-height-relative:page;" stroked="t" coordsize="21600,21600">
            <v:path/>
            <v:fill focussize="0,0"/>
            <v:stroke color="#FFFFFF"/>
            <v:imagedata o:title=""/>
            <o:lock v:ext="edit"/>
            <v:textpath on="t" fitshape="t" fitpath="t" trim="t" xscale="f" string="建设项目" style="font-family:宋体;font-size:10pt;v-text-align:center;"/>
          </v:shape>
        </w:pict>
      </w:r>
      <w:r>
        <w:drawing>
          <wp:inline distT="0" distB="0" distL="114300" distR="114300">
            <wp:extent cx="8889365" cy="4427855"/>
            <wp:effectExtent l="0" t="0" r="6985" b="1270"/>
            <wp:docPr id="1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2"/>
                    <pic:cNvPicPr>
                      <a:picLocks noChangeAspect="1"/>
                    </pic:cNvPicPr>
                  </pic:nvPicPr>
                  <pic:blipFill>
                    <a:blip r:embed="rId35"/>
                    <a:stretch>
                      <a:fillRect/>
                    </a:stretch>
                  </pic:blipFill>
                  <pic:spPr>
                    <a:xfrm>
                      <a:off x="0" y="0"/>
                      <a:ext cx="8889365" cy="4427855"/>
                    </a:xfrm>
                    <a:prstGeom prst="rect">
                      <a:avLst/>
                    </a:prstGeom>
                    <a:noFill/>
                    <a:ln>
                      <a:noFill/>
                    </a:ln>
                  </pic:spPr>
                </pic:pic>
              </a:graphicData>
            </a:graphic>
          </wp:inline>
        </w:drawing>
      </w:r>
    </w:p>
    <w:p w14:paraId="30CF1DC9">
      <w:pPr>
        <w:pStyle w:val="62"/>
        <w:numPr>
          <w:ilvl w:val="0"/>
          <w:numId w:val="16"/>
        </w:numPr>
        <w:bidi w:val="0"/>
        <w:rPr>
          <w:rFonts w:hint="eastAsia"/>
        </w:rPr>
      </w:pPr>
      <w:r>
        <w:rPr>
          <w:rFonts w:hint="eastAsia"/>
        </w:rPr>
        <w:t>广东省环境管控单元图（生态空间一般管控区）</w:t>
      </w:r>
    </w:p>
    <w:p w14:paraId="2F18747A">
      <w:pPr>
        <w:pStyle w:val="62"/>
        <w:rPr>
          <w:rStyle w:val="46"/>
          <w:rFonts w:hint="eastAsia" w:ascii="Times New Roman" w:hAnsi="Times New Roman" w:cs="Times New Roman"/>
          <w:b w:val="0"/>
          <w:kern w:val="2"/>
          <w:szCs w:val="24"/>
        </w:rPr>
      </w:pPr>
      <w:r>
        <w:rPr>
          <w:rFonts w:ascii="Times New Roman" w:hAnsi="Times New Roman" w:cs="Times New Roman"/>
        </w:rPr>
        <w:pict>
          <v:shape id="_x0000_s2056" o:spid="_x0000_s2056" o:spt="136" type="#_x0000_t136" style="position:absolute;left:0pt;margin-left:378.45pt;margin-top:169pt;height:9.85pt;width:42.3pt;z-index:251686912;mso-width-relative:page;mso-height-relative:page;" stroked="t" coordsize="21600,21600">
            <v:path/>
            <v:fill focussize="0,0"/>
            <v:stroke color="#FFFFFF"/>
            <v:imagedata o:title=""/>
            <o:lock v:ext="edit"/>
            <v:textpath on="t" fitshape="t" fitpath="t" trim="t" xscale="f" string="建设项目" style="font-family:宋体;font-size:10pt;v-text-align:center;"/>
          </v:shape>
        </w:pict>
      </w:r>
      <w:r>
        <w:drawing>
          <wp:inline distT="0" distB="0" distL="114300" distR="114300">
            <wp:extent cx="8891270" cy="4402455"/>
            <wp:effectExtent l="0" t="0" r="5080" b="7620"/>
            <wp:docPr id="16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43"/>
                    <pic:cNvPicPr>
                      <a:picLocks noChangeAspect="1"/>
                    </pic:cNvPicPr>
                  </pic:nvPicPr>
                  <pic:blipFill>
                    <a:blip r:embed="rId36"/>
                    <a:stretch>
                      <a:fillRect/>
                    </a:stretch>
                  </pic:blipFill>
                  <pic:spPr>
                    <a:xfrm>
                      <a:off x="0" y="0"/>
                      <a:ext cx="8891270" cy="4402455"/>
                    </a:xfrm>
                    <a:prstGeom prst="rect">
                      <a:avLst/>
                    </a:prstGeom>
                    <a:noFill/>
                    <a:ln>
                      <a:noFill/>
                    </a:ln>
                  </pic:spPr>
                </pic:pic>
              </a:graphicData>
            </a:graphic>
          </wp:inline>
        </w:drawing>
      </w:r>
    </w:p>
    <w:p w14:paraId="66ECE326">
      <w:pPr>
        <w:pStyle w:val="62"/>
        <w:numPr>
          <w:ilvl w:val="0"/>
          <w:numId w:val="16"/>
        </w:numPr>
        <w:bidi w:val="0"/>
        <w:ind w:left="0" w:leftChars="0" w:firstLine="0" w:firstLineChars="0"/>
        <w:rPr>
          <w:rFonts w:hint="eastAsia" w:ascii="Times New Roman" w:hAnsi="Times New Roman" w:cs="Times New Roman"/>
        </w:rPr>
      </w:pPr>
      <w:r>
        <w:rPr>
          <w:rFonts w:hint="eastAsia" w:ascii="Times New Roman" w:hAnsi="Times New Roman" w:cs="Times New Roman"/>
        </w:rPr>
        <w:t>广东省环境管控单元图（水环境工业污染重点管控）</w:t>
      </w:r>
    </w:p>
    <w:p w14:paraId="7CA0C3B2">
      <w:pPr>
        <w:pStyle w:val="62"/>
        <w:rPr>
          <w:rFonts w:hint="eastAsia" w:ascii="Times New Roman" w:hAnsi="Times New Roman" w:cs="Times New Roman"/>
        </w:rPr>
      </w:pPr>
      <w:r>
        <w:rPr>
          <w:rFonts w:ascii="Times New Roman" w:hAnsi="Times New Roman" w:cs="Times New Roman"/>
        </w:rPr>
        <w:pict>
          <v:shape id="_x0000_s2057" o:spid="_x0000_s2057" o:spt="136" type="#_x0000_t136" style="position:absolute;left:0pt;margin-left:420.1pt;margin-top:215.85pt;height:9.85pt;width:42.3pt;z-index:251687936;mso-width-relative:page;mso-height-relative:page;" stroked="t" coordsize="21600,21600">
            <v:path/>
            <v:fill focussize="0,0"/>
            <v:stroke color="#FFFFFF"/>
            <v:imagedata o:title=""/>
            <o:lock v:ext="edit"/>
            <v:textpath on="t" fitshape="t" fitpath="t" trim="t" xscale="f" string="建设项目" style="font-family:宋体;font-size:10pt;v-text-align:center;"/>
          </v:shape>
        </w:pict>
      </w:r>
      <w:r>
        <w:drawing>
          <wp:inline distT="0" distB="0" distL="114300" distR="114300">
            <wp:extent cx="8882380" cy="4380230"/>
            <wp:effectExtent l="0" t="0" r="4445" b="1270"/>
            <wp:docPr id="17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4"/>
                    <pic:cNvPicPr>
                      <a:picLocks noChangeAspect="1"/>
                    </pic:cNvPicPr>
                  </pic:nvPicPr>
                  <pic:blipFill>
                    <a:blip r:embed="rId37"/>
                    <a:stretch>
                      <a:fillRect/>
                    </a:stretch>
                  </pic:blipFill>
                  <pic:spPr>
                    <a:xfrm>
                      <a:off x="0" y="0"/>
                      <a:ext cx="8882380" cy="4380230"/>
                    </a:xfrm>
                    <a:prstGeom prst="rect">
                      <a:avLst/>
                    </a:prstGeom>
                    <a:noFill/>
                    <a:ln>
                      <a:noFill/>
                    </a:ln>
                  </pic:spPr>
                </pic:pic>
              </a:graphicData>
            </a:graphic>
          </wp:inline>
        </w:drawing>
      </w:r>
    </w:p>
    <w:p w14:paraId="2EFA10D9">
      <w:pPr>
        <w:pStyle w:val="62"/>
        <w:numPr>
          <w:ilvl w:val="0"/>
          <w:numId w:val="16"/>
        </w:numPr>
        <w:bidi w:val="0"/>
        <w:ind w:left="0" w:leftChars="0" w:firstLine="0" w:firstLineChars="0"/>
        <w:rPr>
          <w:rFonts w:hint="eastAsia" w:ascii="Times New Roman" w:hAnsi="Times New Roman" w:cs="Times New Roman"/>
        </w:rPr>
      </w:pPr>
      <w:r>
        <w:rPr>
          <w:rFonts w:hint="eastAsia" w:ascii="Times New Roman" w:hAnsi="Times New Roman" w:cs="Times New Roman"/>
        </w:rPr>
        <w:t>广东省环境管控单元图（大气环境布局敏感重点管控区）</w:t>
      </w:r>
    </w:p>
    <w:p w14:paraId="7DD43F9D">
      <w:pPr>
        <w:pStyle w:val="62"/>
        <w:rPr>
          <w:rStyle w:val="46"/>
          <w:rFonts w:hint="eastAsia" w:ascii="Times New Roman" w:hAnsi="Times New Roman" w:cs="Times New Roman"/>
          <w:b w:val="0"/>
          <w:kern w:val="2"/>
          <w:szCs w:val="24"/>
        </w:rPr>
        <w:sectPr>
          <w:pgSz w:w="16838" w:h="11906" w:orient="landscape"/>
          <w:pgMar w:top="1417" w:right="1417" w:bottom="1417" w:left="1417" w:header="850" w:footer="992" w:gutter="0"/>
          <w:pgNumType w:fmt="decimal"/>
          <w:cols w:space="720" w:num="1"/>
          <w:docGrid w:linePitch="336" w:charSpace="0"/>
        </w:sectPr>
      </w:pPr>
    </w:p>
    <w:p w14:paraId="7260B829">
      <w:pPr>
        <w:pStyle w:val="67"/>
        <w:numPr>
          <w:ilvl w:val="1"/>
          <w:numId w:val="8"/>
        </w:numPr>
        <w:bidi w:val="0"/>
        <w:ind w:left="567" w:leftChars="0" w:hanging="567" w:firstLineChars="0"/>
        <w:rPr>
          <w:rFonts w:hint="eastAsia" w:ascii="Times New Roman" w:hAnsi="Times New Roman" w:eastAsia="宋体" w:cs="Times New Roman"/>
          <w:color w:val="auto"/>
        </w:rPr>
      </w:pPr>
      <w:bookmarkStart w:id="35" w:name="_Toc27992"/>
      <w:r>
        <w:rPr>
          <w:rFonts w:hint="eastAsia" w:ascii="Times New Roman" w:hAnsi="Times New Roman" w:eastAsia="宋体" w:cs="Times New Roman"/>
          <w:color w:val="auto"/>
        </w:rPr>
        <w:t>评价因子与评价标准</w:t>
      </w:r>
      <w:bookmarkEnd w:id="31"/>
      <w:bookmarkEnd w:id="35"/>
    </w:p>
    <w:p w14:paraId="7FE58A94">
      <w:pPr>
        <w:pStyle w:val="64"/>
        <w:numPr>
          <w:ilvl w:val="2"/>
          <w:numId w:val="8"/>
        </w:numPr>
        <w:spacing w:before="166" w:after="166"/>
        <w:ind w:left="709" w:leftChars="0" w:hanging="709" w:firstLineChars="0"/>
        <w:rPr>
          <w:color w:val="auto"/>
        </w:rPr>
      </w:pPr>
      <w:r>
        <w:rPr>
          <w:rFonts w:hint="eastAsia"/>
          <w:color w:val="auto"/>
        </w:rPr>
        <w:t>环境质量标准</w:t>
      </w:r>
    </w:p>
    <w:p w14:paraId="72332E58">
      <w:pPr>
        <w:ind w:firstLine="480"/>
        <w:rPr>
          <w:color w:val="auto"/>
        </w:rPr>
      </w:pPr>
      <w:r>
        <w:rPr>
          <w:rFonts w:hint="eastAsia"/>
          <w:color w:val="auto"/>
        </w:rPr>
        <w:t>（1）</w:t>
      </w:r>
      <w:r>
        <w:rPr>
          <w:color w:val="auto"/>
        </w:rPr>
        <w:t>地表水环境</w:t>
      </w:r>
      <w:r>
        <w:rPr>
          <w:rFonts w:hint="eastAsia"/>
          <w:color w:val="auto"/>
        </w:rPr>
        <w:t>质量</w:t>
      </w:r>
      <w:r>
        <w:rPr>
          <w:color w:val="auto"/>
        </w:rPr>
        <w:t>标准</w:t>
      </w:r>
    </w:p>
    <w:p w14:paraId="611E8CF9">
      <w:pPr>
        <w:ind w:firstLine="480"/>
        <w:rPr>
          <w:color w:val="auto"/>
        </w:rPr>
      </w:pPr>
      <w:r>
        <w:rPr>
          <w:rFonts w:hint="eastAsia"/>
          <w:color w:val="auto"/>
        </w:rPr>
        <w:t>建设项目受纳</w:t>
      </w:r>
      <w:r>
        <w:rPr>
          <w:color w:val="auto"/>
        </w:rPr>
        <w:t>水体</w:t>
      </w:r>
      <w:r>
        <w:rPr>
          <w:rFonts w:hint="eastAsia"/>
          <w:color w:val="auto"/>
          <w:lang w:eastAsia="zh-CN"/>
        </w:rPr>
        <w:t>沙坪河</w:t>
      </w:r>
      <w:r>
        <w:rPr>
          <w:color w:val="auto"/>
        </w:rPr>
        <w:t>水环境质量执行《地表水环境质量标准》（GB3838-2002）</w:t>
      </w:r>
      <w:r>
        <w:rPr>
          <w:rFonts w:hint="eastAsia" w:ascii="宋体" w:hAnsi="宋体"/>
          <w:color w:val="auto"/>
        </w:rPr>
        <w:t>Ⅲ</w:t>
      </w:r>
      <w:r>
        <w:rPr>
          <w:color w:val="auto"/>
        </w:rPr>
        <w:t>类标准，各水质指标具体限值见表</w:t>
      </w:r>
      <w:r>
        <w:rPr>
          <w:rFonts w:hint="eastAsia"/>
          <w:color w:val="auto"/>
        </w:rPr>
        <w:t>1.4</w:t>
      </w:r>
      <w:r>
        <w:rPr>
          <w:color w:val="auto"/>
        </w:rPr>
        <w:t>-1。</w:t>
      </w:r>
    </w:p>
    <w:p w14:paraId="4D516E56">
      <w:pPr>
        <w:numPr>
          <w:ilvl w:val="0"/>
          <w:numId w:val="17"/>
        </w:numPr>
        <w:ind w:left="0" w:leftChars="0" w:firstLine="0" w:firstLineChars="0"/>
        <w:jc w:val="center"/>
        <w:rPr>
          <w:b/>
          <w:color w:val="auto"/>
        </w:rPr>
      </w:pPr>
      <w:r>
        <w:rPr>
          <w:b/>
          <w:color w:val="auto"/>
        </w:rPr>
        <w:t>地表水环境质量评价执行标准   单位：mg/L  pH、粪大肠菌群除外</w:t>
      </w:r>
    </w:p>
    <w:tbl>
      <w:tblPr>
        <w:tblStyle w:val="38"/>
        <w:tblW w:w="9225"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5"/>
        <w:gridCol w:w="3355"/>
        <w:gridCol w:w="3355"/>
      </w:tblGrid>
      <w:tr w14:paraId="64E8D85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427863A1">
            <w:pPr>
              <w:pStyle w:val="59"/>
              <w:rPr>
                <w:color w:val="auto"/>
              </w:rPr>
            </w:pPr>
            <w:r>
              <w:rPr>
                <w:color w:val="auto"/>
              </w:rPr>
              <w:t>编号</w:t>
            </w:r>
          </w:p>
        </w:tc>
        <w:tc>
          <w:tcPr>
            <w:tcW w:w="3355" w:type="dxa"/>
            <w:vAlign w:val="center"/>
          </w:tcPr>
          <w:p w14:paraId="09F13EA9">
            <w:pPr>
              <w:pStyle w:val="59"/>
              <w:rPr>
                <w:color w:val="auto"/>
              </w:rPr>
            </w:pPr>
            <w:r>
              <w:rPr>
                <w:color w:val="auto"/>
              </w:rPr>
              <w:t>项目</w:t>
            </w:r>
          </w:p>
        </w:tc>
        <w:tc>
          <w:tcPr>
            <w:tcW w:w="3355" w:type="dxa"/>
            <w:vAlign w:val="center"/>
          </w:tcPr>
          <w:p w14:paraId="062804BE">
            <w:pPr>
              <w:pStyle w:val="59"/>
              <w:rPr>
                <w:color w:val="auto"/>
              </w:rPr>
            </w:pPr>
            <w:r>
              <w:rPr>
                <w:rFonts w:hint="eastAsia"/>
                <w:color w:val="auto"/>
              </w:rPr>
              <w:t>Ⅲ</w:t>
            </w:r>
            <w:r>
              <w:rPr>
                <w:color w:val="auto"/>
              </w:rPr>
              <w:t>标准值</w:t>
            </w:r>
          </w:p>
        </w:tc>
      </w:tr>
      <w:tr w14:paraId="700568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3B06ECFD">
            <w:pPr>
              <w:pStyle w:val="59"/>
              <w:rPr>
                <w:color w:val="auto"/>
              </w:rPr>
            </w:pPr>
            <w:r>
              <w:rPr>
                <w:color w:val="auto"/>
              </w:rPr>
              <w:t>1</w:t>
            </w:r>
          </w:p>
        </w:tc>
        <w:tc>
          <w:tcPr>
            <w:tcW w:w="3355" w:type="dxa"/>
            <w:vAlign w:val="center"/>
          </w:tcPr>
          <w:p w14:paraId="51A7EE28">
            <w:pPr>
              <w:pStyle w:val="59"/>
              <w:rPr>
                <w:color w:val="auto"/>
              </w:rPr>
            </w:pPr>
            <w:r>
              <w:rPr>
                <w:color w:val="auto"/>
              </w:rPr>
              <w:t>水温</w:t>
            </w:r>
          </w:p>
        </w:tc>
        <w:tc>
          <w:tcPr>
            <w:tcW w:w="3355" w:type="dxa"/>
            <w:vAlign w:val="center"/>
          </w:tcPr>
          <w:p w14:paraId="78E857F9">
            <w:pPr>
              <w:pStyle w:val="59"/>
              <w:rPr>
                <w:color w:val="auto"/>
              </w:rPr>
            </w:pPr>
            <w:r>
              <w:rPr>
                <w:color w:val="auto"/>
              </w:rPr>
              <w:t>周平均最大温升≤1℃</w:t>
            </w:r>
          </w:p>
          <w:p w14:paraId="5157180D">
            <w:pPr>
              <w:pStyle w:val="59"/>
              <w:rPr>
                <w:color w:val="auto"/>
              </w:rPr>
            </w:pPr>
            <w:r>
              <w:rPr>
                <w:color w:val="auto"/>
              </w:rPr>
              <w:t>周平均最大温降≤2℃</w:t>
            </w:r>
          </w:p>
        </w:tc>
      </w:tr>
      <w:tr w14:paraId="610EEBF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54D285AB">
            <w:pPr>
              <w:pStyle w:val="59"/>
              <w:rPr>
                <w:color w:val="auto"/>
              </w:rPr>
            </w:pPr>
            <w:r>
              <w:rPr>
                <w:color w:val="auto"/>
              </w:rPr>
              <w:t>2</w:t>
            </w:r>
          </w:p>
        </w:tc>
        <w:tc>
          <w:tcPr>
            <w:tcW w:w="3355" w:type="dxa"/>
            <w:vAlign w:val="center"/>
          </w:tcPr>
          <w:p w14:paraId="7507206E">
            <w:pPr>
              <w:pStyle w:val="59"/>
              <w:rPr>
                <w:color w:val="auto"/>
              </w:rPr>
            </w:pPr>
            <w:r>
              <w:rPr>
                <w:color w:val="auto"/>
              </w:rPr>
              <w:t>pH</w:t>
            </w:r>
          </w:p>
        </w:tc>
        <w:tc>
          <w:tcPr>
            <w:tcW w:w="3355" w:type="dxa"/>
            <w:vAlign w:val="center"/>
          </w:tcPr>
          <w:p w14:paraId="368A69E6">
            <w:pPr>
              <w:pStyle w:val="59"/>
              <w:rPr>
                <w:color w:val="auto"/>
              </w:rPr>
            </w:pPr>
            <w:r>
              <w:rPr>
                <w:color w:val="auto"/>
              </w:rPr>
              <w:t>6～9</w:t>
            </w:r>
            <w:r>
              <w:rPr>
                <w:rFonts w:hint="eastAsia"/>
                <w:color w:val="auto"/>
              </w:rPr>
              <w:t>（无量纲）</w:t>
            </w:r>
          </w:p>
        </w:tc>
      </w:tr>
      <w:tr w14:paraId="6983515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02ECBA43">
            <w:pPr>
              <w:pStyle w:val="59"/>
              <w:rPr>
                <w:color w:val="auto"/>
              </w:rPr>
            </w:pPr>
            <w:r>
              <w:rPr>
                <w:color w:val="auto"/>
              </w:rPr>
              <w:t>3</w:t>
            </w:r>
          </w:p>
        </w:tc>
        <w:tc>
          <w:tcPr>
            <w:tcW w:w="3355" w:type="dxa"/>
            <w:vAlign w:val="center"/>
          </w:tcPr>
          <w:p w14:paraId="2E557162">
            <w:pPr>
              <w:pStyle w:val="59"/>
              <w:rPr>
                <w:color w:val="auto"/>
              </w:rPr>
            </w:pPr>
            <w:r>
              <w:rPr>
                <w:color w:val="auto"/>
              </w:rPr>
              <w:t>CODcr</w:t>
            </w:r>
          </w:p>
        </w:tc>
        <w:tc>
          <w:tcPr>
            <w:tcW w:w="3355" w:type="dxa"/>
            <w:vAlign w:val="center"/>
          </w:tcPr>
          <w:p w14:paraId="17E40E3F">
            <w:pPr>
              <w:pStyle w:val="59"/>
              <w:rPr>
                <w:color w:val="auto"/>
              </w:rPr>
            </w:pPr>
            <w:r>
              <w:rPr>
                <w:color w:val="auto"/>
              </w:rPr>
              <w:t>≤20</w:t>
            </w:r>
          </w:p>
        </w:tc>
      </w:tr>
      <w:tr w14:paraId="61508EA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5D0D203C">
            <w:pPr>
              <w:pStyle w:val="59"/>
              <w:rPr>
                <w:color w:val="auto"/>
              </w:rPr>
            </w:pPr>
            <w:r>
              <w:rPr>
                <w:color w:val="auto"/>
              </w:rPr>
              <w:t>4</w:t>
            </w:r>
          </w:p>
        </w:tc>
        <w:tc>
          <w:tcPr>
            <w:tcW w:w="3355" w:type="dxa"/>
            <w:vAlign w:val="center"/>
          </w:tcPr>
          <w:p w14:paraId="1C896E45">
            <w:pPr>
              <w:pStyle w:val="59"/>
              <w:rPr>
                <w:color w:val="auto"/>
              </w:rPr>
            </w:pPr>
            <w:r>
              <w:rPr>
                <w:color w:val="auto"/>
              </w:rPr>
              <w:t>BOD</w:t>
            </w:r>
            <w:r>
              <w:rPr>
                <w:color w:val="auto"/>
                <w:vertAlign w:val="subscript"/>
              </w:rPr>
              <w:t>5</w:t>
            </w:r>
          </w:p>
        </w:tc>
        <w:tc>
          <w:tcPr>
            <w:tcW w:w="3355" w:type="dxa"/>
            <w:vAlign w:val="center"/>
          </w:tcPr>
          <w:p w14:paraId="35DC2B1D">
            <w:pPr>
              <w:pStyle w:val="59"/>
              <w:rPr>
                <w:color w:val="auto"/>
              </w:rPr>
            </w:pPr>
            <w:r>
              <w:rPr>
                <w:color w:val="auto"/>
              </w:rPr>
              <w:t>≤4</w:t>
            </w:r>
          </w:p>
        </w:tc>
      </w:tr>
      <w:tr w14:paraId="1C60295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2B53B750">
            <w:pPr>
              <w:pStyle w:val="59"/>
              <w:rPr>
                <w:color w:val="auto"/>
              </w:rPr>
            </w:pPr>
            <w:r>
              <w:rPr>
                <w:color w:val="auto"/>
              </w:rPr>
              <w:t>5</w:t>
            </w:r>
          </w:p>
        </w:tc>
        <w:tc>
          <w:tcPr>
            <w:tcW w:w="3355" w:type="dxa"/>
            <w:vAlign w:val="center"/>
          </w:tcPr>
          <w:p w14:paraId="5829368F">
            <w:pPr>
              <w:pStyle w:val="59"/>
              <w:rPr>
                <w:color w:val="auto"/>
              </w:rPr>
            </w:pPr>
            <w:r>
              <w:rPr>
                <w:color w:val="auto"/>
              </w:rPr>
              <w:t>DO</w:t>
            </w:r>
          </w:p>
        </w:tc>
        <w:tc>
          <w:tcPr>
            <w:tcW w:w="3355" w:type="dxa"/>
            <w:vAlign w:val="center"/>
          </w:tcPr>
          <w:p w14:paraId="55198E56">
            <w:pPr>
              <w:pStyle w:val="59"/>
              <w:rPr>
                <w:color w:val="auto"/>
              </w:rPr>
            </w:pPr>
            <w:r>
              <w:rPr>
                <w:color w:val="auto"/>
              </w:rPr>
              <w:t>≥5</w:t>
            </w:r>
          </w:p>
        </w:tc>
      </w:tr>
      <w:tr w14:paraId="56A7A32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2753946C">
            <w:pPr>
              <w:pStyle w:val="59"/>
              <w:rPr>
                <w:color w:val="auto"/>
              </w:rPr>
            </w:pPr>
            <w:r>
              <w:rPr>
                <w:color w:val="auto"/>
              </w:rPr>
              <w:t>6</w:t>
            </w:r>
          </w:p>
        </w:tc>
        <w:tc>
          <w:tcPr>
            <w:tcW w:w="3355" w:type="dxa"/>
            <w:vAlign w:val="center"/>
          </w:tcPr>
          <w:p w14:paraId="0E77C8FA">
            <w:pPr>
              <w:pStyle w:val="59"/>
              <w:rPr>
                <w:color w:val="auto"/>
              </w:rPr>
            </w:pPr>
            <w:r>
              <w:rPr>
                <w:color w:val="auto"/>
              </w:rPr>
              <w:t>氨氮</w:t>
            </w:r>
          </w:p>
        </w:tc>
        <w:tc>
          <w:tcPr>
            <w:tcW w:w="3355" w:type="dxa"/>
            <w:vAlign w:val="center"/>
          </w:tcPr>
          <w:p w14:paraId="5D197CEB">
            <w:pPr>
              <w:pStyle w:val="59"/>
              <w:rPr>
                <w:color w:val="auto"/>
              </w:rPr>
            </w:pPr>
            <w:r>
              <w:rPr>
                <w:color w:val="auto"/>
              </w:rPr>
              <w:t>≤1.0</w:t>
            </w:r>
          </w:p>
        </w:tc>
      </w:tr>
      <w:tr w14:paraId="302F36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324D1A19">
            <w:pPr>
              <w:pStyle w:val="59"/>
              <w:rPr>
                <w:color w:val="auto"/>
              </w:rPr>
            </w:pPr>
            <w:r>
              <w:rPr>
                <w:color w:val="auto"/>
              </w:rPr>
              <w:t>7</w:t>
            </w:r>
          </w:p>
        </w:tc>
        <w:tc>
          <w:tcPr>
            <w:tcW w:w="3355" w:type="dxa"/>
            <w:vAlign w:val="center"/>
          </w:tcPr>
          <w:p w14:paraId="14C0B442">
            <w:pPr>
              <w:pStyle w:val="59"/>
              <w:rPr>
                <w:color w:val="auto"/>
              </w:rPr>
            </w:pPr>
            <w:r>
              <w:rPr>
                <w:color w:val="auto"/>
              </w:rPr>
              <w:t>总磷</w:t>
            </w:r>
          </w:p>
        </w:tc>
        <w:tc>
          <w:tcPr>
            <w:tcW w:w="3355" w:type="dxa"/>
            <w:vAlign w:val="center"/>
          </w:tcPr>
          <w:p w14:paraId="64F4E6EB">
            <w:pPr>
              <w:pStyle w:val="59"/>
              <w:rPr>
                <w:color w:val="auto"/>
              </w:rPr>
            </w:pPr>
            <w:r>
              <w:rPr>
                <w:color w:val="auto"/>
              </w:rPr>
              <w:t>≤0.2</w:t>
            </w:r>
          </w:p>
        </w:tc>
      </w:tr>
      <w:tr w14:paraId="4F9EEC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7B0BA956">
            <w:pPr>
              <w:pStyle w:val="59"/>
              <w:rPr>
                <w:color w:val="auto"/>
              </w:rPr>
            </w:pPr>
            <w:r>
              <w:rPr>
                <w:color w:val="auto"/>
              </w:rPr>
              <w:t>8</w:t>
            </w:r>
          </w:p>
        </w:tc>
        <w:tc>
          <w:tcPr>
            <w:tcW w:w="3355" w:type="dxa"/>
            <w:vAlign w:val="center"/>
          </w:tcPr>
          <w:p w14:paraId="62D28926">
            <w:pPr>
              <w:pStyle w:val="59"/>
              <w:rPr>
                <w:color w:val="auto"/>
              </w:rPr>
            </w:pPr>
            <w:r>
              <w:rPr>
                <w:color w:val="auto"/>
              </w:rPr>
              <w:t>石油类</w:t>
            </w:r>
          </w:p>
        </w:tc>
        <w:tc>
          <w:tcPr>
            <w:tcW w:w="3355" w:type="dxa"/>
            <w:vAlign w:val="center"/>
          </w:tcPr>
          <w:p w14:paraId="52675D92">
            <w:pPr>
              <w:pStyle w:val="59"/>
              <w:rPr>
                <w:color w:val="auto"/>
              </w:rPr>
            </w:pPr>
            <w:r>
              <w:rPr>
                <w:color w:val="auto"/>
              </w:rPr>
              <w:t>≤0.05</w:t>
            </w:r>
          </w:p>
        </w:tc>
      </w:tr>
      <w:tr w14:paraId="67ADF9B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5C9F4E1F">
            <w:pPr>
              <w:pStyle w:val="59"/>
              <w:rPr>
                <w:color w:val="auto"/>
              </w:rPr>
            </w:pPr>
            <w:r>
              <w:rPr>
                <w:color w:val="auto"/>
              </w:rPr>
              <w:t>9</w:t>
            </w:r>
          </w:p>
        </w:tc>
        <w:tc>
          <w:tcPr>
            <w:tcW w:w="3355" w:type="dxa"/>
            <w:vAlign w:val="center"/>
          </w:tcPr>
          <w:p w14:paraId="2C301BFB">
            <w:pPr>
              <w:pStyle w:val="59"/>
              <w:rPr>
                <w:color w:val="auto"/>
              </w:rPr>
            </w:pPr>
            <w:r>
              <w:rPr>
                <w:color w:val="auto"/>
              </w:rPr>
              <w:t>挥发酚</w:t>
            </w:r>
          </w:p>
        </w:tc>
        <w:tc>
          <w:tcPr>
            <w:tcW w:w="3355" w:type="dxa"/>
            <w:vAlign w:val="center"/>
          </w:tcPr>
          <w:p w14:paraId="22AAD8ED">
            <w:pPr>
              <w:pStyle w:val="59"/>
              <w:rPr>
                <w:color w:val="auto"/>
              </w:rPr>
            </w:pPr>
            <w:r>
              <w:rPr>
                <w:color w:val="auto"/>
              </w:rPr>
              <w:t>≤0.005</w:t>
            </w:r>
          </w:p>
        </w:tc>
      </w:tr>
      <w:tr w14:paraId="49E6128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16C25317">
            <w:pPr>
              <w:pStyle w:val="59"/>
              <w:rPr>
                <w:color w:val="auto"/>
              </w:rPr>
            </w:pPr>
            <w:r>
              <w:rPr>
                <w:color w:val="auto"/>
              </w:rPr>
              <w:t>10</w:t>
            </w:r>
          </w:p>
        </w:tc>
        <w:tc>
          <w:tcPr>
            <w:tcW w:w="3355" w:type="dxa"/>
            <w:vAlign w:val="center"/>
          </w:tcPr>
          <w:p w14:paraId="24386FB8">
            <w:pPr>
              <w:pStyle w:val="59"/>
              <w:rPr>
                <w:color w:val="auto"/>
              </w:rPr>
            </w:pPr>
            <w:r>
              <w:rPr>
                <w:color w:val="auto"/>
              </w:rPr>
              <w:t>LAS</w:t>
            </w:r>
          </w:p>
        </w:tc>
        <w:tc>
          <w:tcPr>
            <w:tcW w:w="3355" w:type="dxa"/>
            <w:vAlign w:val="center"/>
          </w:tcPr>
          <w:p w14:paraId="5DF36388">
            <w:pPr>
              <w:pStyle w:val="59"/>
              <w:rPr>
                <w:color w:val="auto"/>
              </w:rPr>
            </w:pPr>
            <w:r>
              <w:rPr>
                <w:color w:val="auto"/>
              </w:rPr>
              <w:t>≤0.2</w:t>
            </w:r>
          </w:p>
        </w:tc>
      </w:tr>
      <w:tr w14:paraId="2C81C4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43763E5A">
            <w:pPr>
              <w:pStyle w:val="59"/>
              <w:rPr>
                <w:color w:val="auto"/>
              </w:rPr>
            </w:pPr>
            <w:r>
              <w:rPr>
                <w:color w:val="auto"/>
              </w:rPr>
              <w:t>11</w:t>
            </w:r>
          </w:p>
        </w:tc>
        <w:tc>
          <w:tcPr>
            <w:tcW w:w="3355" w:type="dxa"/>
            <w:vAlign w:val="center"/>
          </w:tcPr>
          <w:p w14:paraId="33312582">
            <w:pPr>
              <w:pStyle w:val="59"/>
              <w:rPr>
                <w:color w:val="auto"/>
              </w:rPr>
            </w:pPr>
            <w:r>
              <w:rPr>
                <w:color w:val="auto"/>
              </w:rPr>
              <w:t>铜</w:t>
            </w:r>
          </w:p>
        </w:tc>
        <w:tc>
          <w:tcPr>
            <w:tcW w:w="3355" w:type="dxa"/>
            <w:vAlign w:val="center"/>
          </w:tcPr>
          <w:p w14:paraId="427172EA">
            <w:pPr>
              <w:pStyle w:val="59"/>
              <w:rPr>
                <w:color w:val="auto"/>
              </w:rPr>
            </w:pPr>
            <w:r>
              <w:rPr>
                <w:color w:val="auto"/>
              </w:rPr>
              <w:t>≤1.0</w:t>
            </w:r>
          </w:p>
        </w:tc>
      </w:tr>
      <w:tr w14:paraId="2F5CF38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2724E9F7">
            <w:pPr>
              <w:pStyle w:val="59"/>
              <w:rPr>
                <w:color w:val="auto"/>
              </w:rPr>
            </w:pPr>
            <w:r>
              <w:rPr>
                <w:color w:val="auto"/>
              </w:rPr>
              <w:t>12</w:t>
            </w:r>
          </w:p>
        </w:tc>
        <w:tc>
          <w:tcPr>
            <w:tcW w:w="3355" w:type="dxa"/>
            <w:vAlign w:val="center"/>
          </w:tcPr>
          <w:p w14:paraId="59AF4A1B">
            <w:pPr>
              <w:pStyle w:val="59"/>
              <w:rPr>
                <w:color w:val="auto"/>
              </w:rPr>
            </w:pPr>
            <w:r>
              <w:rPr>
                <w:color w:val="auto"/>
              </w:rPr>
              <w:t>锌</w:t>
            </w:r>
          </w:p>
        </w:tc>
        <w:tc>
          <w:tcPr>
            <w:tcW w:w="3355" w:type="dxa"/>
            <w:vAlign w:val="center"/>
          </w:tcPr>
          <w:p w14:paraId="10000E23">
            <w:pPr>
              <w:pStyle w:val="59"/>
              <w:rPr>
                <w:color w:val="auto"/>
              </w:rPr>
            </w:pPr>
            <w:r>
              <w:rPr>
                <w:color w:val="auto"/>
              </w:rPr>
              <w:t>≤1.0</w:t>
            </w:r>
          </w:p>
        </w:tc>
      </w:tr>
      <w:tr w14:paraId="788DB11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3A06ACD7">
            <w:pPr>
              <w:pStyle w:val="59"/>
              <w:rPr>
                <w:color w:val="auto"/>
              </w:rPr>
            </w:pPr>
            <w:r>
              <w:rPr>
                <w:color w:val="auto"/>
              </w:rPr>
              <w:t>13</w:t>
            </w:r>
          </w:p>
        </w:tc>
        <w:tc>
          <w:tcPr>
            <w:tcW w:w="3355" w:type="dxa"/>
            <w:vAlign w:val="center"/>
          </w:tcPr>
          <w:p w14:paraId="1963E281">
            <w:pPr>
              <w:pStyle w:val="59"/>
              <w:rPr>
                <w:color w:val="auto"/>
              </w:rPr>
            </w:pPr>
            <w:r>
              <w:rPr>
                <w:color w:val="auto"/>
              </w:rPr>
              <w:t>砷</w:t>
            </w:r>
          </w:p>
        </w:tc>
        <w:tc>
          <w:tcPr>
            <w:tcW w:w="3355" w:type="dxa"/>
            <w:vAlign w:val="center"/>
          </w:tcPr>
          <w:p w14:paraId="56CB98D5">
            <w:pPr>
              <w:pStyle w:val="59"/>
              <w:rPr>
                <w:color w:val="auto"/>
              </w:rPr>
            </w:pPr>
            <w:r>
              <w:rPr>
                <w:color w:val="auto"/>
              </w:rPr>
              <w:t>≤0.05</w:t>
            </w:r>
          </w:p>
        </w:tc>
      </w:tr>
      <w:tr w14:paraId="6A66D0E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72E1DC59">
            <w:pPr>
              <w:pStyle w:val="59"/>
              <w:rPr>
                <w:color w:val="auto"/>
              </w:rPr>
            </w:pPr>
            <w:r>
              <w:rPr>
                <w:color w:val="auto"/>
              </w:rPr>
              <w:t>14</w:t>
            </w:r>
          </w:p>
        </w:tc>
        <w:tc>
          <w:tcPr>
            <w:tcW w:w="3355" w:type="dxa"/>
            <w:vAlign w:val="center"/>
          </w:tcPr>
          <w:p w14:paraId="7A56188B">
            <w:pPr>
              <w:pStyle w:val="59"/>
              <w:rPr>
                <w:color w:val="auto"/>
              </w:rPr>
            </w:pPr>
            <w:r>
              <w:rPr>
                <w:color w:val="auto"/>
              </w:rPr>
              <w:t>汞</w:t>
            </w:r>
          </w:p>
        </w:tc>
        <w:tc>
          <w:tcPr>
            <w:tcW w:w="3355" w:type="dxa"/>
            <w:vAlign w:val="center"/>
          </w:tcPr>
          <w:p w14:paraId="78A4052F">
            <w:pPr>
              <w:pStyle w:val="59"/>
              <w:rPr>
                <w:color w:val="auto"/>
              </w:rPr>
            </w:pPr>
            <w:r>
              <w:rPr>
                <w:color w:val="auto"/>
              </w:rPr>
              <w:t>≤0.0001</w:t>
            </w:r>
          </w:p>
        </w:tc>
      </w:tr>
      <w:tr w14:paraId="0A95DD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5E5A8FE4">
            <w:pPr>
              <w:pStyle w:val="59"/>
              <w:rPr>
                <w:color w:val="auto"/>
              </w:rPr>
            </w:pPr>
            <w:r>
              <w:rPr>
                <w:color w:val="auto"/>
              </w:rPr>
              <w:t>15</w:t>
            </w:r>
          </w:p>
        </w:tc>
        <w:tc>
          <w:tcPr>
            <w:tcW w:w="3355" w:type="dxa"/>
            <w:vAlign w:val="center"/>
          </w:tcPr>
          <w:p w14:paraId="3ADA8F30">
            <w:pPr>
              <w:pStyle w:val="59"/>
              <w:rPr>
                <w:color w:val="auto"/>
              </w:rPr>
            </w:pPr>
            <w:r>
              <w:rPr>
                <w:color w:val="auto"/>
              </w:rPr>
              <w:t>镉</w:t>
            </w:r>
          </w:p>
        </w:tc>
        <w:tc>
          <w:tcPr>
            <w:tcW w:w="3355" w:type="dxa"/>
            <w:vAlign w:val="center"/>
          </w:tcPr>
          <w:p w14:paraId="66831FD6">
            <w:pPr>
              <w:pStyle w:val="59"/>
              <w:rPr>
                <w:color w:val="auto"/>
              </w:rPr>
            </w:pPr>
            <w:r>
              <w:rPr>
                <w:color w:val="auto"/>
              </w:rPr>
              <w:t>≤0.005</w:t>
            </w:r>
          </w:p>
        </w:tc>
      </w:tr>
      <w:tr w14:paraId="72DEC54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25C6F129">
            <w:pPr>
              <w:pStyle w:val="59"/>
              <w:rPr>
                <w:color w:val="auto"/>
              </w:rPr>
            </w:pPr>
            <w:r>
              <w:rPr>
                <w:color w:val="auto"/>
              </w:rPr>
              <w:t>16</w:t>
            </w:r>
          </w:p>
        </w:tc>
        <w:tc>
          <w:tcPr>
            <w:tcW w:w="3355" w:type="dxa"/>
            <w:vAlign w:val="center"/>
          </w:tcPr>
          <w:p w14:paraId="22F47E57">
            <w:pPr>
              <w:pStyle w:val="59"/>
              <w:rPr>
                <w:color w:val="auto"/>
              </w:rPr>
            </w:pPr>
            <w:r>
              <w:rPr>
                <w:color w:val="auto"/>
              </w:rPr>
              <w:t>六价铬</w:t>
            </w:r>
          </w:p>
        </w:tc>
        <w:tc>
          <w:tcPr>
            <w:tcW w:w="3355" w:type="dxa"/>
            <w:vAlign w:val="center"/>
          </w:tcPr>
          <w:p w14:paraId="6F350426">
            <w:pPr>
              <w:pStyle w:val="59"/>
              <w:rPr>
                <w:color w:val="auto"/>
              </w:rPr>
            </w:pPr>
            <w:r>
              <w:rPr>
                <w:color w:val="auto"/>
              </w:rPr>
              <w:t>≤0.05</w:t>
            </w:r>
          </w:p>
        </w:tc>
      </w:tr>
      <w:tr w14:paraId="186F548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0249F6A0">
            <w:pPr>
              <w:pStyle w:val="59"/>
              <w:rPr>
                <w:color w:val="auto"/>
              </w:rPr>
            </w:pPr>
            <w:r>
              <w:rPr>
                <w:color w:val="auto"/>
              </w:rPr>
              <w:t>17</w:t>
            </w:r>
          </w:p>
        </w:tc>
        <w:tc>
          <w:tcPr>
            <w:tcW w:w="3355" w:type="dxa"/>
            <w:vAlign w:val="center"/>
          </w:tcPr>
          <w:p w14:paraId="29102E3B">
            <w:pPr>
              <w:pStyle w:val="59"/>
              <w:rPr>
                <w:color w:val="auto"/>
              </w:rPr>
            </w:pPr>
            <w:r>
              <w:rPr>
                <w:color w:val="auto"/>
              </w:rPr>
              <w:t>铅</w:t>
            </w:r>
          </w:p>
        </w:tc>
        <w:tc>
          <w:tcPr>
            <w:tcW w:w="3355" w:type="dxa"/>
            <w:vAlign w:val="center"/>
          </w:tcPr>
          <w:p w14:paraId="0DDA5225">
            <w:pPr>
              <w:pStyle w:val="59"/>
              <w:rPr>
                <w:color w:val="auto"/>
              </w:rPr>
            </w:pPr>
            <w:r>
              <w:rPr>
                <w:color w:val="auto"/>
              </w:rPr>
              <w:t>≤0.05</w:t>
            </w:r>
          </w:p>
        </w:tc>
      </w:tr>
      <w:tr w14:paraId="5BCB4FE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15" w:type="dxa"/>
            <w:vAlign w:val="center"/>
          </w:tcPr>
          <w:p w14:paraId="6A1ECED3">
            <w:pPr>
              <w:pStyle w:val="59"/>
              <w:rPr>
                <w:color w:val="auto"/>
              </w:rPr>
            </w:pPr>
            <w:r>
              <w:rPr>
                <w:color w:val="auto"/>
              </w:rPr>
              <w:t>18</w:t>
            </w:r>
          </w:p>
        </w:tc>
        <w:tc>
          <w:tcPr>
            <w:tcW w:w="3355" w:type="dxa"/>
            <w:vAlign w:val="center"/>
          </w:tcPr>
          <w:p w14:paraId="69A8E71A">
            <w:pPr>
              <w:pStyle w:val="59"/>
              <w:rPr>
                <w:color w:val="auto"/>
              </w:rPr>
            </w:pPr>
            <w:r>
              <w:rPr>
                <w:color w:val="auto"/>
              </w:rPr>
              <w:t>粪大肠菌群</w:t>
            </w:r>
          </w:p>
        </w:tc>
        <w:tc>
          <w:tcPr>
            <w:tcW w:w="3355" w:type="dxa"/>
            <w:vAlign w:val="center"/>
          </w:tcPr>
          <w:p w14:paraId="086F708E">
            <w:pPr>
              <w:pStyle w:val="59"/>
              <w:rPr>
                <w:color w:val="auto"/>
              </w:rPr>
            </w:pPr>
            <w:r>
              <w:rPr>
                <w:color w:val="auto"/>
              </w:rPr>
              <w:t>≤10000(个/L)</w:t>
            </w:r>
          </w:p>
        </w:tc>
      </w:tr>
    </w:tbl>
    <w:p w14:paraId="4B6DF866">
      <w:pPr>
        <w:tabs>
          <w:tab w:val="left" w:pos="480"/>
        </w:tabs>
        <w:spacing w:before="166" w:beforeLines="50"/>
        <w:ind w:firstLine="480"/>
        <w:rPr>
          <w:color w:val="auto"/>
        </w:rPr>
      </w:pPr>
      <w:r>
        <w:rPr>
          <w:rFonts w:hint="eastAsia"/>
          <w:color w:val="auto"/>
        </w:rPr>
        <w:t>（2）</w:t>
      </w:r>
      <w:r>
        <w:rPr>
          <w:color w:val="auto"/>
        </w:rPr>
        <w:t>环境空气环境</w:t>
      </w:r>
      <w:r>
        <w:rPr>
          <w:rFonts w:hint="eastAsia"/>
          <w:color w:val="auto"/>
        </w:rPr>
        <w:t>质量</w:t>
      </w:r>
      <w:r>
        <w:rPr>
          <w:color w:val="auto"/>
        </w:rPr>
        <w:t>标准</w:t>
      </w:r>
    </w:p>
    <w:p w14:paraId="32BFCE75">
      <w:pPr>
        <w:ind w:firstLine="480"/>
        <w:rPr>
          <w:rFonts w:hint="eastAsia"/>
          <w:color w:val="auto"/>
          <w:sz w:val="24"/>
          <w:szCs w:val="24"/>
        </w:rPr>
      </w:pPr>
      <w:r>
        <w:rPr>
          <w:rFonts w:hint="eastAsia"/>
          <w:color w:val="auto"/>
          <w:sz w:val="24"/>
          <w:szCs w:val="24"/>
        </w:rPr>
        <w:t>环境空气质量标准：自</w:t>
      </w:r>
      <w:r>
        <w:rPr>
          <w:rFonts w:hint="eastAsia"/>
          <w:color w:val="auto"/>
          <w:sz w:val="24"/>
          <w:szCs w:val="24"/>
          <w:lang w:val="en-US" w:eastAsia="zh-CN"/>
        </w:rPr>
        <w:t>2026年3月1日</w:t>
      </w:r>
      <w:r>
        <w:rPr>
          <w:rFonts w:hint="eastAsia"/>
          <w:color w:val="auto"/>
          <w:sz w:val="24"/>
          <w:szCs w:val="24"/>
        </w:rPr>
        <w:t>起至2030年12月31日止，环境空气污染物基本项目（NOx、</w:t>
      </w:r>
      <w:r>
        <w:rPr>
          <w:color w:val="auto"/>
          <w:sz w:val="24"/>
          <w:szCs w:val="24"/>
        </w:rPr>
        <w:t>SO</w:t>
      </w:r>
      <w:r>
        <w:rPr>
          <w:color w:val="auto"/>
          <w:sz w:val="24"/>
          <w:szCs w:val="24"/>
          <w:vertAlign w:val="subscript"/>
        </w:rPr>
        <w:t>2</w:t>
      </w:r>
      <w:r>
        <w:rPr>
          <w:rFonts w:hint="eastAsia"/>
          <w:color w:val="auto"/>
          <w:sz w:val="24"/>
          <w:szCs w:val="24"/>
        </w:rPr>
        <w:t>、</w:t>
      </w:r>
      <w:r>
        <w:rPr>
          <w:color w:val="auto"/>
          <w:sz w:val="24"/>
          <w:szCs w:val="24"/>
        </w:rPr>
        <w:t>NO</w:t>
      </w:r>
      <w:r>
        <w:rPr>
          <w:color w:val="auto"/>
          <w:sz w:val="24"/>
          <w:szCs w:val="24"/>
          <w:vertAlign w:val="subscript"/>
        </w:rPr>
        <w:t>2</w:t>
      </w:r>
      <w:r>
        <w:rPr>
          <w:rFonts w:hint="eastAsia"/>
          <w:color w:val="auto"/>
          <w:sz w:val="24"/>
          <w:szCs w:val="24"/>
        </w:rPr>
        <w:t>、</w:t>
      </w:r>
      <w:r>
        <w:rPr>
          <w:color w:val="auto"/>
          <w:sz w:val="24"/>
          <w:szCs w:val="24"/>
        </w:rPr>
        <w:t>PM</w:t>
      </w:r>
      <w:r>
        <w:rPr>
          <w:color w:val="auto"/>
          <w:sz w:val="24"/>
          <w:szCs w:val="24"/>
          <w:vertAlign w:val="subscript"/>
        </w:rPr>
        <w:t>10</w:t>
      </w:r>
      <w:r>
        <w:rPr>
          <w:rFonts w:hint="eastAsia"/>
          <w:color w:val="auto"/>
          <w:sz w:val="24"/>
          <w:szCs w:val="24"/>
        </w:rPr>
        <w:t>、</w:t>
      </w:r>
      <w:r>
        <w:rPr>
          <w:color w:val="auto"/>
          <w:sz w:val="24"/>
          <w:szCs w:val="24"/>
        </w:rPr>
        <w:t>CO</w:t>
      </w:r>
      <w:r>
        <w:rPr>
          <w:rFonts w:hint="eastAsia"/>
          <w:color w:val="auto"/>
          <w:sz w:val="24"/>
          <w:szCs w:val="24"/>
        </w:rPr>
        <w:t>、</w:t>
      </w:r>
      <w:r>
        <w:rPr>
          <w:color w:val="auto"/>
          <w:sz w:val="24"/>
          <w:szCs w:val="24"/>
        </w:rPr>
        <w:t>PM</w:t>
      </w:r>
      <w:r>
        <w:rPr>
          <w:color w:val="auto"/>
          <w:sz w:val="24"/>
          <w:szCs w:val="24"/>
          <w:vertAlign w:val="subscript"/>
        </w:rPr>
        <w:t>2.5</w:t>
      </w:r>
      <w:r>
        <w:rPr>
          <w:rFonts w:hint="eastAsia"/>
          <w:color w:val="auto"/>
          <w:sz w:val="24"/>
          <w:szCs w:val="24"/>
        </w:rPr>
        <w:t>、臭氧）</w:t>
      </w:r>
      <w:r>
        <w:rPr>
          <w:rFonts w:hint="eastAsia"/>
          <w:color w:val="auto"/>
          <w:sz w:val="24"/>
          <w:szCs w:val="24"/>
          <w:lang w:eastAsia="zh-CN"/>
        </w:rPr>
        <w:t>、</w:t>
      </w:r>
      <w:r>
        <w:rPr>
          <w:rFonts w:hint="eastAsia"/>
          <w:color w:val="auto"/>
          <w:sz w:val="24"/>
          <w:szCs w:val="24"/>
          <w:lang w:val="en-US" w:eastAsia="zh-CN"/>
        </w:rPr>
        <w:t>NOx（以NO</w:t>
      </w:r>
      <w:r>
        <w:rPr>
          <w:rFonts w:hint="eastAsia"/>
          <w:color w:val="auto"/>
          <w:sz w:val="24"/>
          <w:szCs w:val="24"/>
          <w:vertAlign w:val="subscript"/>
          <w:lang w:val="en-US" w:eastAsia="zh-CN"/>
        </w:rPr>
        <w:t>2</w:t>
      </w:r>
      <w:r>
        <w:rPr>
          <w:rFonts w:hint="eastAsia"/>
          <w:color w:val="auto"/>
          <w:sz w:val="24"/>
          <w:szCs w:val="24"/>
          <w:lang w:val="en-US" w:eastAsia="zh-CN"/>
        </w:rPr>
        <w:t>计）</w:t>
      </w:r>
      <w:r>
        <w:rPr>
          <w:rFonts w:hint="eastAsia"/>
          <w:color w:val="auto"/>
          <w:sz w:val="24"/>
          <w:szCs w:val="24"/>
        </w:rPr>
        <w:t>实施</w:t>
      </w:r>
      <w:r>
        <w:rPr>
          <w:rFonts w:ascii="Times New Roman" w:hAnsi="Times New Roman" w:eastAsia="宋体" w:cs="Times New Roman"/>
          <w:b/>
          <w:color w:val="auto"/>
          <w:sz w:val="24"/>
          <w:szCs w:val="24"/>
        </w:rPr>
        <w:t>《环境空气质量标准》（GB3095-20</w:t>
      </w:r>
      <w:r>
        <w:rPr>
          <w:rFonts w:hint="eastAsia" w:ascii="Times New Roman" w:hAnsi="Times New Roman" w:eastAsia="宋体" w:cs="Times New Roman"/>
          <w:b/>
          <w:color w:val="auto"/>
          <w:sz w:val="24"/>
          <w:szCs w:val="24"/>
          <w:lang w:val="en-US" w:eastAsia="zh-CN"/>
        </w:rPr>
        <w:t>26</w:t>
      </w:r>
      <w:r>
        <w:rPr>
          <w:rFonts w:ascii="Times New Roman" w:hAnsi="Times New Roman" w:eastAsia="宋体" w:cs="Times New Roman"/>
          <w:b/>
          <w:color w:val="auto"/>
          <w:sz w:val="24"/>
          <w:szCs w:val="24"/>
        </w:rPr>
        <w:t>）</w:t>
      </w:r>
      <w:r>
        <w:rPr>
          <w:rFonts w:hint="eastAsia"/>
          <w:color w:val="auto"/>
          <w:sz w:val="24"/>
          <w:szCs w:val="24"/>
        </w:rPr>
        <w:t>过渡阶段</w:t>
      </w:r>
      <w:r>
        <w:rPr>
          <w:rFonts w:hint="eastAsia"/>
          <w:color w:val="auto"/>
          <w:sz w:val="24"/>
          <w:szCs w:val="24"/>
          <w:lang w:val="en-US" w:eastAsia="zh-CN"/>
        </w:rPr>
        <w:t>二级</w:t>
      </w:r>
      <w:r>
        <w:rPr>
          <w:rFonts w:hint="eastAsia"/>
          <w:color w:val="auto"/>
          <w:sz w:val="24"/>
          <w:szCs w:val="24"/>
        </w:rPr>
        <w:t>浓度限值</w:t>
      </w:r>
      <w:r>
        <w:rPr>
          <w:rFonts w:hint="eastAsia"/>
          <w:color w:val="auto"/>
          <w:sz w:val="24"/>
          <w:szCs w:val="24"/>
          <w:lang w:eastAsia="zh-CN"/>
        </w:rPr>
        <w:t>，</w:t>
      </w:r>
      <w:r>
        <w:rPr>
          <w:rFonts w:hint="eastAsia"/>
          <w:color w:val="auto"/>
          <w:sz w:val="24"/>
          <w:szCs w:val="24"/>
        </w:rPr>
        <w:t>自2031年1月1日起，实施</w:t>
      </w:r>
      <w:r>
        <w:rPr>
          <w:rFonts w:hint="eastAsia"/>
          <w:color w:val="auto"/>
          <w:sz w:val="24"/>
          <w:szCs w:val="24"/>
          <w:lang w:val="en-US" w:eastAsia="zh-CN"/>
        </w:rPr>
        <w:t>二级</w:t>
      </w:r>
      <w:r>
        <w:rPr>
          <w:rFonts w:hint="eastAsia"/>
          <w:color w:val="auto"/>
          <w:sz w:val="24"/>
          <w:szCs w:val="24"/>
        </w:rPr>
        <w:t>浓度限值。</w:t>
      </w:r>
    </w:p>
    <w:p w14:paraId="60B93197">
      <w:pPr>
        <w:numPr>
          <w:ilvl w:val="0"/>
          <w:numId w:val="17"/>
        </w:numPr>
        <w:ind w:left="0" w:leftChars="0" w:firstLine="0" w:firstLineChars="0"/>
        <w:jc w:val="center"/>
        <w:rPr>
          <w:rFonts w:ascii="Times New Roman" w:hAnsi="Times New Roman" w:eastAsia="宋体" w:cs="Times New Roman"/>
          <w:b/>
          <w:color w:val="auto"/>
        </w:rPr>
      </w:pPr>
      <w:r>
        <w:rPr>
          <w:rFonts w:ascii="Times New Roman" w:hAnsi="Times New Roman" w:eastAsia="宋体" w:cs="Times New Roman"/>
          <w:b/>
          <w:color w:val="auto"/>
        </w:rPr>
        <w:t>《环境空气质量标准》（GB3095-20</w:t>
      </w:r>
      <w:r>
        <w:rPr>
          <w:rFonts w:hint="eastAsia" w:ascii="Times New Roman" w:hAnsi="Times New Roman" w:eastAsia="宋体" w:cs="Times New Roman"/>
          <w:b/>
          <w:color w:val="auto"/>
          <w:lang w:val="en-US" w:eastAsia="zh-CN"/>
        </w:rPr>
        <w:t>26</w:t>
      </w:r>
      <w:r>
        <w:rPr>
          <w:rFonts w:ascii="Times New Roman" w:hAnsi="Times New Roman" w:eastAsia="宋体" w:cs="Times New Roman"/>
          <w:b/>
          <w:color w:val="auto"/>
        </w:rPr>
        <w:t>）</w:t>
      </w:r>
    </w:p>
    <w:p w14:paraId="40EE41A8">
      <w:pPr>
        <w:pStyle w:val="62"/>
        <w:bidi w:val="0"/>
      </w:pPr>
      <w:r>
        <w:drawing>
          <wp:inline distT="0" distB="0" distL="114300" distR="114300">
            <wp:extent cx="5720715" cy="2813050"/>
            <wp:effectExtent l="0" t="0" r="3810" b="6350"/>
            <wp:docPr id="18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46"/>
                    <pic:cNvPicPr>
                      <a:picLocks noChangeAspect="1"/>
                    </pic:cNvPicPr>
                  </pic:nvPicPr>
                  <pic:blipFill>
                    <a:blip r:embed="rId38"/>
                    <a:stretch>
                      <a:fillRect/>
                    </a:stretch>
                  </pic:blipFill>
                  <pic:spPr>
                    <a:xfrm>
                      <a:off x="0" y="0"/>
                      <a:ext cx="5720715" cy="2813050"/>
                    </a:xfrm>
                    <a:prstGeom prst="rect">
                      <a:avLst/>
                    </a:prstGeom>
                    <a:noFill/>
                    <a:ln>
                      <a:noFill/>
                    </a:ln>
                  </pic:spPr>
                </pic:pic>
              </a:graphicData>
            </a:graphic>
          </wp:inline>
        </w:drawing>
      </w:r>
    </w:p>
    <w:p w14:paraId="4F91E4BF">
      <w:pPr>
        <w:bidi w:val="0"/>
        <w:rPr>
          <w:rFonts w:hint="eastAsia" w:eastAsia="宋体"/>
          <w:lang w:val="en-US" w:eastAsia="zh-CN"/>
        </w:rPr>
      </w:pPr>
      <w:r>
        <w:rPr>
          <w:rFonts w:hint="eastAsia"/>
        </w:rPr>
        <w:t>TVOC</w:t>
      </w:r>
      <w:r>
        <w:rPr>
          <w:rFonts w:hint="eastAsia"/>
          <w:lang w:eastAsia="zh-CN"/>
        </w:rPr>
        <w:t>、</w:t>
      </w:r>
      <w:r>
        <w:rPr>
          <w:rFonts w:hint="eastAsia"/>
          <w:lang w:val="en-US" w:eastAsia="zh-CN"/>
        </w:rPr>
        <w:t>甲苯、氯化氢</w:t>
      </w:r>
      <w:r>
        <w:rPr>
          <w:rFonts w:hint="eastAsia"/>
        </w:rPr>
        <w:t>执行《环境影响评价技术导则－大气环境》（HJ 2.2-2018）附录D，NMHC执行</w:t>
      </w:r>
      <w:r>
        <w:t>《大气污染物综合排放标准详解》</w:t>
      </w:r>
      <w:r>
        <w:rPr>
          <w:rFonts w:hint="eastAsia"/>
        </w:rPr>
        <w:t>一次值，臭气浓度执行《恶臭污染物排放标准》（GB14554-93）表1二级新扩改建恶臭污染物厂界标准值</w:t>
      </w:r>
      <w:r>
        <w:rPr>
          <w:rFonts w:hint="eastAsia"/>
          <w:lang w:eastAsia="zh-CN"/>
        </w:rPr>
        <w:t>，</w:t>
      </w:r>
      <w:r>
        <w:rPr>
          <w:rFonts w:hint="eastAsia"/>
          <w:lang w:val="en-US" w:eastAsia="zh-CN"/>
        </w:rPr>
        <w:t>苯参照执行</w:t>
      </w:r>
      <w:r>
        <w:rPr>
          <w:rFonts w:hint="eastAsia"/>
          <w:lang w:eastAsia="zh-CN"/>
        </w:rPr>
        <w:t>《</w:t>
      </w:r>
      <w:r>
        <w:rPr>
          <w:rFonts w:hint="eastAsia"/>
        </w:rPr>
        <w:t>室内空气质量标准</w:t>
      </w:r>
      <w:r>
        <w:rPr>
          <w:rFonts w:hint="eastAsia"/>
          <w:lang w:eastAsia="zh-CN"/>
        </w:rPr>
        <w:t>》（</w:t>
      </w:r>
      <w:r>
        <w:rPr>
          <w:rFonts w:hint="eastAsia"/>
        </w:rPr>
        <w:t>GB/T 18883-2022</w:t>
      </w:r>
      <w:r>
        <w:rPr>
          <w:rFonts w:hint="eastAsia"/>
          <w:lang w:eastAsia="zh-CN"/>
        </w:rPr>
        <w:t>），</w:t>
      </w:r>
      <w:r>
        <w:rPr>
          <w:rFonts w:hint="eastAsia"/>
          <w:lang w:val="en-US" w:eastAsia="zh-CN"/>
        </w:rPr>
        <w:t>氯乙烯未有</w:t>
      </w:r>
      <w:r>
        <w:t>环境空气质量标准</w:t>
      </w:r>
      <w:r>
        <w:rPr>
          <w:rFonts w:hint="eastAsia"/>
          <w:lang w:eastAsia="zh-CN"/>
        </w:rPr>
        <w:t>。</w:t>
      </w:r>
    </w:p>
    <w:p w14:paraId="460EB413">
      <w:pPr>
        <w:numPr>
          <w:ilvl w:val="0"/>
          <w:numId w:val="17"/>
        </w:numPr>
        <w:ind w:left="0" w:leftChars="0" w:firstLine="0" w:firstLineChars="0"/>
        <w:jc w:val="center"/>
        <w:rPr>
          <w:rFonts w:ascii="Times New Roman" w:hAnsi="Times New Roman" w:eastAsia="宋体" w:cs="Times New Roman"/>
          <w:b/>
          <w:color w:val="auto"/>
        </w:rPr>
      </w:pPr>
      <w:r>
        <w:rPr>
          <w:rFonts w:hint="eastAsia" w:ascii="Times New Roman" w:hAnsi="Times New Roman" w:eastAsia="宋体" w:cs="Times New Roman"/>
          <w:b/>
          <w:color w:val="auto"/>
          <w:lang w:val="en-US" w:eastAsia="zh-CN"/>
        </w:rPr>
        <w:t>其他空气标准</w:t>
      </w:r>
    </w:p>
    <w:tbl>
      <w:tblPr>
        <w:tblStyle w:val="38"/>
        <w:tblW w:w="9231" w:type="dxa"/>
        <w:jc w:val="center"/>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4"/>
        <w:gridCol w:w="2482"/>
        <w:gridCol w:w="2105"/>
        <w:gridCol w:w="2450"/>
      </w:tblGrid>
      <w:tr w14:paraId="5A667B9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94" w:type="dxa"/>
            <w:tcBorders>
              <w:top w:val="single" w:color="auto" w:sz="12" w:space="0"/>
              <w:left w:val="nil"/>
            </w:tcBorders>
            <w:vAlign w:val="center"/>
          </w:tcPr>
          <w:p w14:paraId="5FB4C8D8">
            <w:pPr>
              <w:tabs>
                <w:tab w:val="left" w:pos="480"/>
              </w:tabs>
              <w:spacing w:line="240" w:lineRule="auto"/>
              <w:ind w:firstLine="0" w:firstLineChars="0"/>
              <w:jc w:val="center"/>
              <w:rPr>
                <w:bCs/>
                <w:color w:val="auto"/>
                <w:sz w:val="21"/>
              </w:rPr>
            </w:pPr>
            <w:r>
              <w:rPr>
                <w:bCs/>
                <w:color w:val="auto"/>
                <w:sz w:val="21"/>
              </w:rPr>
              <w:t>污染物名称</w:t>
            </w:r>
          </w:p>
        </w:tc>
        <w:tc>
          <w:tcPr>
            <w:tcW w:w="2482" w:type="dxa"/>
            <w:tcBorders>
              <w:top w:val="single" w:color="auto" w:sz="12" w:space="0"/>
            </w:tcBorders>
            <w:vAlign w:val="center"/>
          </w:tcPr>
          <w:p w14:paraId="02C6382D">
            <w:pPr>
              <w:tabs>
                <w:tab w:val="left" w:pos="480"/>
              </w:tabs>
              <w:spacing w:line="240" w:lineRule="auto"/>
              <w:ind w:firstLine="0" w:firstLineChars="0"/>
              <w:jc w:val="center"/>
              <w:rPr>
                <w:bCs/>
                <w:color w:val="auto"/>
                <w:sz w:val="21"/>
              </w:rPr>
            </w:pPr>
            <w:r>
              <w:rPr>
                <w:bCs/>
                <w:color w:val="auto"/>
                <w:sz w:val="21"/>
              </w:rPr>
              <w:t>浓度限值</w:t>
            </w:r>
          </w:p>
        </w:tc>
        <w:tc>
          <w:tcPr>
            <w:tcW w:w="2105" w:type="dxa"/>
            <w:tcBorders>
              <w:top w:val="single" w:color="auto" w:sz="12" w:space="0"/>
            </w:tcBorders>
            <w:vAlign w:val="center"/>
          </w:tcPr>
          <w:p w14:paraId="0910F76C">
            <w:pPr>
              <w:tabs>
                <w:tab w:val="left" w:pos="480"/>
              </w:tabs>
              <w:spacing w:line="240" w:lineRule="auto"/>
              <w:ind w:firstLine="0" w:firstLineChars="0"/>
              <w:jc w:val="center"/>
              <w:rPr>
                <w:bCs/>
                <w:color w:val="auto"/>
                <w:sz w:val="21"/>
              </w:rPr>
            </w:pPr>
            <w:r>
              <w:rPr>
                <w:bCs/>
                <w:color w:val="auto"/>
                <w:sz w:val="21"/>
              </w:rPr>
              <w:t>取值时间</w:t>
            </w:r>
          </w:p>
        </w:tc>
        <w:tc>
          <w:tcPr>
            <w:tcW w:w="2450" w:type="dxa"/>
            <w:tcBorders>
              <w:top w:val="single" w:color="auto" w:sz="12" w:space="0"/>
              <w:right w:val="nil"/>
            </w:tcBorders>
            <w:vAlign w:val="center"/>
          </w:tcPr>
          <w:p w14:paraId="6690898B">
            <w:pPr>
              <w:tabs>
                <w:tab w:val="left" w:pos="480"/>
              </w:tabs>
              <w:spacing w:line="240" w:lineRule="auto"/>
              <w:ind w:firstLine="0" w:firstLineChars="0"/>
              <w:jc w:val="center"/>
              <w:rPr>
                <w:bCs/>
                <w:color w:val="auto"/>
                <w:sz w:val="21"/>
              </w:rPr>
            </w:pPr>
            <w:r>
              <w:rPr>
                <w:bCs/>
                <w:color w:val="auto"/>
                <w:sz w:val="21"/>
              </w:rPr>
              <w:t>标准来源</w:t>
            </w:r>
          </w:p>
        </w:tc>
      </w:tr>
      <w:tr w14:paraId="3DEAFB77">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restart"/>
            <w:tcBorders>
              <w:left w:val="nil"/>
            </w:tcBorders>
            <w:vAlign w:val="center"/>
          </w:tcPr>
          <w:p w14:paraId="52FAE1BC">
            <w:pPr>
              <w:tabs>
                <w:tab w:val="left" w:pos="480"/>
              </w:tabs>
              <w:spacing w:line="240" w:lineRule="auto"/>
              <w:ind w:firstLine="0" w:firstLineChars="0"/>
              <w:jc w:val="center"/>
              <w:rPr>
                <w:color w:val="auto"/>
                <w:sz w:val="21"/>
              </w:rPr>
            </w:pPr>
            <w:r>
              <w:rPr>
                <w:color w:val="auto"/>
                <w:sz w:val="21"/>
              </w:rPr>
              <w:t>TSP</w:t>
            </w:r>
          </w:p>
        </w:tc>
        <w:tc>
          <w:tcPr>
            <w:tcW w:w="2482" w:type="dxa"/>
            <w:vAlign w:val="center"/>
          </w:tcPr>
          <w:p w14:paraId="4E629A8B">
            <w:pPr>
              <w:tabs>
                <w:tab w:val="left" w:pos="480"/>
              </w:tabs>
              <w:spacing w:line="240" w:lineRule="auto"/>
              <w:ind w:firstLine="0" w:firstLineChars="0"/>
              <w:jc w:val="center"/>
              <w:rPr>
                <w:color w:val="auto"/>
                <w:sz w:val="21"/>
              </w:rPr>
            </w:pPr>
            <w:r>
              <w:rPr>
                <w:color w:val="auto"/>
                <w:sz w:val="21"/>
              </w:rPr>
              <w:t xml:space="preserve">200 </w:t>
            </w:r>
            <w:r>
              <w:rPr>
                <w:bCs/>
                <w:color w:val="auto"/>
                <w:sz w:val="21"/>
              </w:rPr>
              <w:t>μg/m</w:t>
            </w:r>
            <w:r>
              <w:rPr>
                <w:bCs/>
                <w:color w:val="auto"/>
                <w:sz w:val="21"/>
                <w:vertAlign w:val="superscript"/>
              </w:rPr>
              <w:t>3</w:t>
            </w:r>
          </w:p>
        </w:tc>
        <w:tc>
          <w:tcPr>
            <w:tcW w:w="2105" w:type="dxa"/>
            <w:vAlign w:val="center"/>
          </w:tcPr>
          <w:p w14:paraId="69E7C4CE">
            <w:pPr>
              <w:tabs>
                <w:tab w:val="left" w:pos="480"/>
              </w:tabs>
              <w:spacing w:line="240" w:lineRule="auto"/>
              <w:ind w:firstLine="0" w:firstLineChars="0"/>
              <w:jc w:val="center"/>
              <w:rPr>
                <w:color w:val="auto"/>
                <w:sz w:val="21"/>
              </w:rPr>
            </w:pPr>
            <w:r>
              <w:rPr>
                <w:color w:val="auto"/>
                <w:sz w:val="21"/>
              </w:rPr>
              <w:t>年平均</w:t>
            </w:r>
          </w:p>
        </w:tc>
        <w:tc>
          <w:tcPr>
            <w:tcW w:w="2450" w:type="dxa"/>
            <w:vMerge w:val="restart"/>
            <w:tcBorders>
              <w:right w:val="nil"/>
            </w:tcBorders>
            <w:vAlign w:val="center"/>
          </w:tcPr>
          <w:p w14:paraId="6D48C181">
            <w:pPr>
              <w:pStyle w:val="59"/>
              <w:bidi w:val="0"/>
              <w:rPr>
                <w:rFonts w:hint="eastAsia" w:eastAsia="宋体"/>
                <w:lang w:val="en-US" w:eastAsia="zh-CN"/>
              </w:rPr>
            </w:pPr>
            <w:r>
              <w:t>《环境空气质量标准》（GB3095-20</w:t>
            </w:r>
            <w:r>
              <w:rPr>
                <w:rFonts w:hint="eastAsia"/>
                <w:lang w:val="en-US" w:eastAsia="zh-CN"/>
              </w:rPr>
              <w:t>26</w:t>
            </w:r>
            <w:r>
              <w:t>）</w:t>
            </w:r>
            <w:r>
              <w:rPr>
                <w:rFonts w:hint="eastAsia"/>
                <w:lang w:val="en-US" w:eastAsia="zh-CN"/>
              </w:rPr>
              <w:t>二级</w:t>
            </w:r>
          </w:p>
        </w:tc>
      </w:tr>
      <w:tr w14:paraId="45171F41">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continue"/>
            <w:tcBorders>
              <w:left w:val="nil"/>
            </w:tcBorders>
            <w:vAlign w:val="center"/>
          </w:tcPr>
          <w:p w14:paraId="1074DD31">
            <w:pPr>
              <w:tabs>
                <w:tab w:val="left" w:pos="480"/>
              </w:tabs>
              <w:spacing w:line="240" w:lineRule="auto"/>
              <w:ind w:firstLine="0" w:firstLineChars="0"/>
              <w:jc w:val="center"/>
              <w:rPr>
                <w:color w:val="auto"/>
                <w:sz w:val="21"/>
              </w:rPr>
            </w:pPr>
          </w:p>
        </w:tc>
        <w:tc>
          <w:tcPr>
            <w:tcW w:w="2482" w:type="dxa"/>
            <w:vAlign w:val="center"/>
          </w:tcPr>
          <w:p w14:paraId="702897D2">
            <w:pPr>
              <w:tabs>
                <w:tab w:val="left" w:pos="480"/>
              </w:tabs>
              <w:spacing w:line="240" w:lineRule="auto"/>
              <w:ind w:firstLine="0" w:firstLineChars="0"/>
              <w:jc w:val="center"/>
              <w:rPr>
                <w:color w:val="auto"/>
                <w:sz w:val="21"/>
              </w:rPr>
            </w:pPr>
            <w:r>
              <w:rPr>
                <w:color w:val="auto"/>
                <w:sz w:val="21"/>
              </w:rPr>
              <w:t xml:space="preserve">300 </w:t>
            </w:r>
            <w:r>
              <w:rPr>
                <w:bCs/>
                <w:color w:val="auto"/>
                <w:sz w:val="21"/>
              </w:rPr>
              <w:t>μg/m</w:t>
            </w:r>
            <w:r>
              <w:rPr>
                <w:bCs/>
                <w:color w:val="auto"/>
                <w:sz w:val="21"/>
                <w:vertAlign w:val="superscript"/>
              </w:rPr>
              <w:t>3</w:t>
            </w:r>
          </w:p>
        </w:tc>
        <w:tc>
          <w:tcPr>
            <w:tcW w:w="2105" w:type="dxa"/>
            <w:vAlign w:val="center"/>
          </w:tcPr>
          <w:p w14:paraId="50DBEBED">
            <w:pPr>
              <w:tabs>
                <w:tab w:val="left" w:pos="480"/>
              </w:tabs>
              <w:spacing w:line="240" w:lineRule="auto"/>
              <w:ind w:firstLine="0" w:firstLineChars="0"/>
              <w:jc w:val="center"/>
              <w:rPr>
                <w:color w:val="auto"/>
                <w:sz w:val="21"/>
              </w:rPr>
            </w:pPr>
            <w:r>
              <w:rPr>
                <w:rFonts w:hint="eastAsia"/>
                <w:color w:val="auto"/>
                <w:sz w:val="21"/>
                <w:lang w:val="en-US" w:eastAsia="zh-CN"/>
              </w:rPr>
              <w:t>日</w:t>
            </w:r>
            <w:r>
              <w:rPr>
                <w:color w:val="auto"/>
                <w:sz w:val="21"/>
              </w:rPr>
              <w:t>平均</w:t>
            </w:r>
          </w:p>
        </w:tc>
        <w:tc>
          <w:tcPr>
            <w:tcW w:w="2450" w:type="dxa"/>
            <w:vMerge w:val="continue"/>
            <w:tcBorders>
              <w:right w:val="nil"/>
            </w:tcBorders>
            <w:vAlign w:val="center"/>
          </w:tcPr>
          <w:p w14:paraId="4D221D96">
            <w:pPr>
              <w:pStyle w:val="59"/>
              <w:bidi w:val="0"/>
            </w:pPr>
          </w:p>
        </w:tc>
      </w:tr>
      <w:tr w14:paraId="3B93459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restart"/>
            <w:tcBorders>
              <w:left w:val="nil"/>
            </w:tcBorders>
            <w:vAlign w:val="center"/>
          </w:tcPr>
          <w:p w14:paraId="78D18111">
            <w:pPr>
              <w:tabs>
                <w:tab w:val="left" w:pos="480"/>
              </w:tabs>
              <w:spacing w:line="240" w:lineRule="auto"/>
              <w:ind w:firstLine="0" w:firstLineChars="0"/>
              <w:jc w:val="center"/>
              <w:rPr>
                <w:rFonts w:hint="default" w:eastAsia="宋体"/>
                <w:color w:val="auto"/>
                <w:sz w:val="21"/>
                <w:lang w:val="en-US" w:eastAsia="zh-CN"/>
              </w:rPr>
            </w:pPr>
            <w:r>
              <w:rPr>
                <w:rFonts w:hint="eastAsia"/>
                <w:color w:val="auto"/>
                <w:sz w:val="21"/>
                <w:lang w:val="en-US" w:eastAsia="zh-CN"/>
              </w:rPr>
              <w:t>NOx（以NO</w:t>
            </w:r>
            <w:r>
              <w:rPr>
                <w:rFonts w:hint="eastAsia"/>
                <w:color w:val="auto"/>
                <w:sz w:val="21"/>
                <w:vertAlign w:val="subscript"/>
                <w:lang w:val="en-US" w:eastAsia="zh-CN"/>
              </w:rPr>
              <w:t>2</w:t>
            </w:r>
            <w:r>
              <w:rPr>
                <w:rFonts w:hint="eastAsia"/>
                <w:color w:val="auto"/>
                <w:sz w:val="21"/>
                <w:lang w:val="en-US" w:eastAsia="zh-CN"/>
              </w:rPr>
              <w:t>计）</w:t>
            </w:r>
          </w:p>
        </w:tc>
        <w:tc>
          <w:tcPr>
            <w:tcW w:w="2482" w:type="dxa"/>
            <w:vAlign w:val="center"/>
          </w:tcPr>
          <w:p w14:paraId="0D28D755">
            <w:pPr>
              <w:tabs>
                <w:tab w:val="left" w:pos="480"/>
              </w:tabs>
              <w:spacing w:line="240" w:lineRule="auto"/>
              <w:ind w:firstLine="0" w:firstLineChars="0"/>
              <w:jc w:val="center"/>
              <w:rPr>
                <w:rFonts w:hint="default" w:eastAsia="宋体"/>
                <w:color w:val="auto"/>
                <w:sz w:val="21"/>
                <w:lang w:val="en-US" w:eastAsia="zh-CN"/>
              </w:rPr>
            </w:pPr>
            <w:r>
              <w:rPr>
                <w:rFonts w:hint="eastAsia"/>
                <w:color w:val="auto"/>
                <w:sz w:val="21"/>
                <w:lang w:val="en-US" w:eastAsia="zh-CN"/>
              </w:rPr>
              <w:t>40</w:t>
            </w:r>
            <w:r>
              <w:rPr>
                <w:bCs/>
                <w:color w:val="auto"/>
                <w:sz w:val="21"/>
              </w:rPr>
              <w:t>μg/m</w:t>
            </w:r>
            <w:r>
              <w:rPr>
                <w:bCs/>
                <w:color w:val="auto"/>
                <w:sz w:val="21"/>
                <w:vertAlign w:val="superscript"/>
              </w:rPr>
              <w:t>3</w:t>
            </w:r>
          </w:p>
        </w:tc>
        <w:tc>
          <w:tcPr>
            <w:tcW w:w="2105" w:type="dxa"/>
            <w:shd w:val="clear" w:color="auto" w:fill="auto"/>
            <w:vAlign w:val="center"/>
          </w:tcPr>
          <w:p w14:paraId="31B6CD5E">
            <w:pPr>
              <w:tabs>
                <w:tab w:val="left" w:pos="480"/>
              </w:tabs>
              <w:spacing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color w:val="auto"/>
                <w:sz w:val="21"/>
              </w:rPr>
              <w:t>年平均</w:t>
            </w:r>
            <w:r>
              <w:rPr>
                <w:rFonts w:hint="eastAsia"/>
                <w:color w:val="auto"/>
                <w:sz w:val="21"/>
                <w:vertAlign w:val="superscript"/>
                <w:lang w:val="en-US" w:eastAsia="zh-CN"/>
              </w:rPr>
              <w:t>a</w:t>
            </w:r>
          </w:p>
        </w:tc>
        <w:tc>
          <w:tcPr>
            <w:tcW w:w="2450" w:type="dxa"/>
            <w:vMerge w:val="continue"/>
            <w:tcBorders>
              <w:right w:val="nil"/>
            </w:tcBorders>
            <w:vAlign w:val="center"/>
          </w:tcPr>
          <w:p w14:paraId="40626FEC">
            <w:pPr>
              <w:pStyle w:val="59"/>
              <w:bidi w:val="0"/>
            </w:pPr>
          </w:p>
        </w:tc>
      </w:tr>
      <w:tr w14:paraId="619D72C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continue"/>
            <w:tcBorders>
              <w:left w:val="nil"/>
            </w:tcBorders>
            <w:vAlign w:val="center"/>
          </w:tcPr>
          <w:p w14:paraId="572FA3CE">
            <w:pPr>
              <w:tabs>
                <w:tab w:val="left" w:pos="480"/>
              </w:tabs>
              <w:spacing w:line="240" w:lineRule="auto"/>
              <w:ind w:firstLine="0" w:firstLineChars="0"/>
              <w:jc w:val="center"/>
              <w:rPr>
                <w:rFonts w:hint="eastAsia"/>
                <w:color w:val="auto"/>
                <w:sz w:val="21"/>
                <w:lang w:val="en-US" w:eastAsia="zh-CN"/>
              </w:rPr>
            </w:pPr>
          </w:p>
        </w:tc>
        <w:tc>
          <w:tcPr>
            <w:tcW w:w="2482" w:type="dxa"/>
            <w:vAlign w:val="center"/>
          </w:tcPr>
          <w:p w14:paraId="39B8AAB8">
            <w:pPr>
              <w:tabs>
                <w:tab w:val="left" w:pos="480"/>
              </w:tabs>
              <w:spacing w:line="240" w:lineRule="auto"/>
              <w:ind w:firstLine="0" w:firstLineChars="0"/>
              <w:jc w:val="center"/>
              <w:rPr>
                <w:rFonts w:hint="default" w:eastAsia="宋体"/>
                <w:color w:val="auto"/>
                <w:sz w:val="21"/>
                <w:lang w:val="en-US" w:eastAsia="zh-CN"/>
              </w:rPr>
            </w:pPr>
            <w:r>
              <w:rPr>
                <w:rFonts w:hint="eastAsia"/>
                <w:color w:val="auto"/>
                <w:sz w:val="21"/>
                <w:lang w:val="en-US" w:eastAsia="zh-CN"/>
              </w:rPr>
              <w:t>70</w:t>
            </w:r>
            <w:r>
              <w:rPr>
                <w:bCs/>
                <w:color w:val="auto"/>
                <w:sz w:val="21"/>
              </w:rPr>
              <w:t>μg/m</w:t>
            </w:r>
            <w:r>
              <w:rPr>
                <w:bCs/>
                <w:color w:val="auto"/>
                <w:sz w:val="21"/>
                <w:vertAlign w:val="superscript"/>
              </w:rPr>
              <w:t>3</w:t>
            </w:r>
          </w:p>
        </w:tc>
        <w:tc>
          <w:tcPr>
            <w:tcW w:w="2105" w:type="dxa"/>
            <w:shd w:val="clear" w:color="auto" w:fill="auto"/>
            <w:vAlign w:val="center"/>
          </w:tcPr>
          <w:p w14:paraId="391F840C">
            <w:pPr>
              <w:tabs>
                <w:tab w:val="left" w:pos="480"/>
              </w:tabs>
              <w:spacing w:line="240" w:lineRule="auto"/>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lang w:val="en-US" w:eastAsia="zh-CN"/>
              </w:rPr>
              <w:t>日</w:t>
            </w:r>
            <w:r>
              <w:rPr>
                <w:color w:val="auto"/>
                <w:sz w:val="21"/>
              </w:rPr>
              <w:t>平均</w:t>
            </w:r>
            <w:r>
              <w:rPr>
                <w:rFonts w:hint="eastAsia"/>
                <w:color w:val="auto"/>
                <w:sz w:val="21"/>
                <w:vertAlign w:val="superscript"/>
                <w:lang w:val="en-US" w:eastAsia="zh-CN"/>
              </w:rPr>
              <w:t>b</w:t>
            </w:r>
          </w:p>
        </w:tc>
        <w:tc>
          <w:tcPr>
            <w:tcW w:w="2450" w:type="dxa"/>
            <w:vMerge w:val="continue"/>
            <w:tcBorders>
              <w:right w:val="nil"/>
            </w:tcBorders>
            <w:vAlign w:val="center"/>
          </w:tcPr>
          <w:p w14:paraId="25C8705B">
            <w:pPr>
              <w:pStyle w:val="59"/>
              <w:bidi w:val="0"/>
            </w:pPr>
          </w:p>
        </w:tc>
      </w:tr>
      <w:tr w14:paraId="3E8E690D">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continue"/>
            <w:tcBorders>
              <w:left w:val="nil"/>
            </w:tcBorders>
            <w:vAlign w:val="center"/>
          </w:tcPr>
          <w:p w14:paraId="70AC2A77">
            <w:pPr>
              <w:tabs>
                <w:tab w:val="left" w:pos="480"/>
              </w:tabs>
              <w:spacing w:line="240" w:lineRule="auto"/>
              <w:ind w:firstLine="0" w:firstLineChars="0"/>
              <w:jc w:val="center"/>
              <w:rPr>
                <w:rFonts w:hint="eastAsia"/>
                <w:color w:val="auto"/>
                <w:sz w:val="21"/>
                <w:lang w:val="en-US" w:eastAsia="zh-CN"/>
              </w:rPr>
            </w:pPr>
          </w:p>
        </w:tc>
        <w:tc>
          <w:tcPr>
            <w:tcW w:w="2482" w:type="dxa"/>
            <w:vAlign w:val="center"/>
          </w:tcPr>
          <w:p w14:paraId="47FA8202">
            <w:pPr>
              <w:tabs>
                <w:tab w:val="left" w:pos="480"/>
              </w:tabs>
              <w:spacing w:line="240" w:lineRule="auto"/>
              <w:ind w:firstLine="0" w:firstLineChars="0"/>
              <w:jc w:val="center"/>
              <w:rPr>
                <w:rFonts w:hint="default" w:eastAsia="宋体"/>
                <w:color w:val="auto"/>
                <w:sz w:val="21"/>
                <w:lang w:val="en-US" w:eastAsia="zh-CN"/>
              </w:rPr>
            </w:pPr>
            <w:r>
              <w:rPr>
                <w:rFonts w:hint="eastAsia"/>
                <w:color w:val="auto"/>
                <w:sz w:val="21"/>
                <w:lang w:val="en-US" w:eastAsia="zh-CN"/>
              </w:rPr>
              <w:t>250</w:t>
            </w:r>
            <w:r>
              <w:rPr>
                <w:bCs/>
                <w:color w:val="auto"/>
                <w:sz w:val="21"/>
              </w:rPr>
              <w:t>μg/m</w:t>
            </w:r>
            <w:r>
              <w:rPr>
                <w:bCs/>
                <w:color w:val="auto"/>
                <w:sz w:val="21"/>
                <w:vertAlign w:val="superscript"/>
              </w:rPr>
              <w:t>3</w:t>
            </w:r>
          </w:p>
        </w:tc>
        <w:tc>
          <w:tcPr>
            <w:tcW w:w="2105" w:type="dxa"/>
            <w:vAlign w:val="center"/>
          </w:tcPr>
          <w:p w14:paraId="6B07D46E">
            <w:pPr>
              <w:tabs>
                <w:tab w:val="left" w:pos="480"/>
              </w:tabs>
              <w:spacing w:line="240" w:lineRule="auto"/>
              <w:ind w:firstLine="0" w:firstLineChars="0"/>
              <w:jc w:val="center"/>
              <w:rPr>
                <w:rFonts w:hint="default" w:eastAsia="宋体"/>
                <w:color w:val="auto"/>
                <w:sz w:val="21"/>
                <w:lang w:val="en-US" w:eastAsia="zh-CN"/>
              </w:rPr>
            </w:pPr>
            <w:r>
              <w:rPr>
                <w:rFonts w:hint="eastAsia"/>
                <w:color w:val="auto"/>
                <w:sz w:val="21"/>
                <w:lang w:val="en-US" w:eastAsia="zh-CN"/>
              </w:rPr>
              <w:t>1小时平均</w:t>
            </w:r>
          </w:p>
        </w:tc>
        <w:tc>
          <w:tcPr>
            <w:tcW w:w="2450" w:type="dxa"/>
            <w:vMerge w:val="continue"/>
            <w:tcBorders>
              <w:right w:val="nil"/>
            </w:tcBorders>
            <w:vAlign w:val="center"/>
          </w:tcPr>
          <w:p w14:paraId="229C6E6B">
            <w:pPr>
              <w:pStyle w:val="59"/>
              <w:bidi w:val="0"/>
            </w:pPr>
          </w:p>
        </w:tc>
      </w:tr>
      <w:tr w14:paraId="20F8AA3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left w:val="nil"/>
            </w:tcBorders>
            <w:vAlign w:val="center"/>
          </w:tcPr>
          <w:p w14:paraId="393ED401">
            <w:pPr>
              <w:tabs>
                <w:tab w:val="left" w:pos="480"/>
              </w:tabs>
              <w:spacing w:line="240" w:lineRule="auto"/>
              <w:ind w:firstLine="0" w:firstLineChars="0"/>
              <w:jc w:val="center"/>
              <w:rPr>
                <w:color w:val="auto"/>
                <w:sz w:val="21"/>
              </w:rPr>
            </w:pPr>
            <w:r>
              <w:rPr>
                <w:rFonts w:hint="eastAsia"/>
                <w:color w:val="auto"/>
                <w:sz w:val="21"/>
              </w:rPr>
              <w:t>TVOC</w:t>
            </w:r>
          </w:p>
        </w:tc>
        <w:tc>
          <w:tcPr>
            <w:tcW w:w="2482" w:type="dxa"/>
            <w:vAlign w:val="center"/>
          </w:tcPr>
          <w:p w14:paraId="07CBECF7">
            <w:pPr>
              <w:tabs>
                <w:tab w:val="left" w:pos="480"/>
              </w:tabs>
              <w:spacing w:line="240" w:lineRule="auto"/>
              <w:ind w:firstLine="0" w:firstLineChars="0"/>
              <w:jc w:val="center"/>
              <w:rPr>
                <w:color w:val="auto"/>
                <w:sz w:val="21"/>
              </w:rPr>
            </w:pPr>
            <w:r>
              <w:rPr>
                <w:rFonts w:hint="eastAsia"/>
                <w:color w:val="auto"/>
                <w:sz w:val="21"/>
              </w:rPr>
              <w:t>6</w:t>
            </w:r>
            <w:r>
              <w:rPr>
                <w:color w:val="auto"/>
                <w:sz w:val="21"/>
              </w:rPr>
              <w:t xml:space="preserve">00 </w:t>
            </w:r>
            <w:r>
              <w:rPr>
                <w:bCs/>
                <w:color w:val="auto"/>
                <w:sz w:val="21"/>
              </w:rPr>
              <w:t>μg/m</w:t>
            </w:r>
            <w:r>
              <w:rPr>
                <w:bCs/>
                <w:color w:val="auto"/>
                <w:sz w:val="21"/>
                <w:vertAlign w:val="superscript"/>
              </w:rPr>
              <w:t>3</w:t>
            </w:r>
          </w:p>
        </w:tc>
        <w:tc>
          <w:tcPr>
            <w:tcW w:w="2105" w:type="dxa"/>
            <w:vAlign w:val="center"/>
          </w:tcPr>
          <w:p w14:paraId="1208543D">
            <w:pPr>
              <w:pStyle w:val="59"/>
              <w:rPr>
                <w:color w:val="auto"/>
              </w:rPr>
            </w:pPr>
            <w:r>
              <w:rPr>
                <w:rFonts w:hint="eastAsia"/>
                <w:color w:val="auto"/>
              </w:rPr>
              <w:t>8h均值</w:t>
            </w:r>
          </w:p>
        </w:tc>
        <w:tc>
          <w:tcPr>
            <w:tcW w:w="2450" w:type="dxa"/>
            <w:vMerge w:val="restart"/>
            <w:tcBorders>
              <w:right w:val="nil"/>
            </w:tcBorders>
            <w:vAlign w:val="center"/>
          </w:tcPr>
          <w:p w14:paraId="05F78B3D">
            <w:pPr>
              <w:pStyle w:val="59"/>
              <w:bidi w:val="0"/>
            </w:pPr>
            <w:r>
              <w:rPr>
                <w:rFonts w:hint="eastAsia"/>
              </w:rPr>
              <w:t>《环境影响评价技术导则－大气环境》（HJ 2.2-2018）附录D</w:t>
            </w:r>
          </w:p>
        </w:tc>
      </w:tr>
      <w:tr w14:paraId="1373A28B">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left w:val="nil"/>
            </w:tcBorders>
            <w:vAlign w:val="center"/>
          </w:tcPr>
          <w:p w14:paraId="7A9BE0CF">
            <w:pPr>
              <w:tabs>
                <w:tab w:val="left" w:pos="480"/>
              </w:tabs>
              <w:spacing w:line="240" w:lineRule="auto"/>
              <w:ind w:firstLine="0" w:firstLineChars="0"/>
              <w:jc w:val="center"/>
              <w:rPr>
                <w:rFonts w:hint="eastAsia" w:eastAsia="宋体"/>
                <w:color w:val="auto"/>
                <w:sz w:val="21"/>
                <w:lang w:val="en-US" w:eastAsia="zh-CN"/>
              </w:rPr>
            </w:pPr>
            <w:r>
              <w:rPr>
                <w:rFonts w:hint="eastAsia"/>
                <w:color w:val="auto"/>
                <w:sz w:val="21"/>
                <w:lang w:val="en-US" w:eastAsia="zh-CN"/>
              </w:rPr>
              <w:t>甲苯</w:t>
            </w:r>
          </w:p>
        </w:tc>
        <w:tc>
          <w:tcPr>
            <w:tcW w:w="2482" w:type="dxa"/>
            <w:vAlign w:val="center"/>
          </w:tcPr>
          <w:p w14:paraId="7DDA48E3">
            <w:pPr>
              <w:tabs>
                <w:tab w:val="left" w:pos="480"/>
              </w:tabs>
              <w:spacing w:line="240" w:lineRule="auto"/>
              <w:ind w:firstLine="0" w:firstLineChars="0"/>
              <w:jc w:val="center"/>
              <w:rPr>
                <w:rFonts w:hint="default" w:eastAsia="宋体"/>
                <w:color w:val="auto"/>
                <w:sz w:val="21"/>
                <w:lang w:val="en-US" w:eastAsia="zh-CN"/>
              </w:rPr>
            </w:pPr>
            <w:r>
              <w:rPr>
                <w:rFonts w:hint="eastAsia"/>
                <w:color w:val="auto"/>
                <w:sz w:val="21"/>
                <w:lang w:val="en-US" w:eastAsia="zh-CN"/>
              </w:rPr>
              <w:t>200</w:t>
            </w:r>
            <w:r>
              <w:rPr>
                <w:bCs/>
                <w:color w:val="auto"/>
                <w:sz w:val="21"/>
              </w:rPr>
              <w:t>μg/m</w:t>
            </w:r>
            <w:r>
              <w:rPr>
                <w:bCs/>
                <w:color w:val="auto"/>
                <w:sz w:val="21"/>
                <w:vertAlign w:val="superscript"/>
              </w:rPr>
              <w:t>3</w:t>
            </w:r>
          </w:p>
        </w:tc>
        <w:tc>
          <w:tcPr>
            <w:tcW w:w="2105" w:type="dxa"/>
            <w:vAlign w:val="center"/>
          </w:tcPr>
          <w:p w14:paraId="75226F9D">
            <w:pPr>
              <w:pStyle w:val="59"/>
              <w:rPr>
                <w:rFonts w:hint="default" w:eastAsia="宋体"/>
                <w:color w:val="auto"/>
                <w:lang w:val="en-US" w:eastAsia="zh-CN"/>
              </w:rPr>
            </w:pPr>
            <w:r>
              <w:rPr>
                <w:rFonts w:hint="eastAsia"/>
                <w:color w:val="auto"/>
                <w:lang w:val="en-US" w:eastAsia="zh-CN"/>
              </w:rPr>
              <w:t>1h平均</w:t>
            </w:r>
          </w:p>
        </w:tc>
        <w:tc>
          <w:tcPr>
            <w:tcW w:w="2450" w:type="dxa"/>
            <w:vMerge w:val="continue"/>
            <w:tcBorders>
              <w:right w:val="nil"/>
            </w:tcBorders>
            <w:vAlign w:val="center"/>
          </w:tcPr>
          <w:p w14:paraId="62ECCBDC">
            <w:pPr>
              <w:pStyle w:val="59"/>
              <w:bidi w:val="0"/>
              <w:rPr>
                <w:rFonts w:hint="eastAsia"/>
              </w:rPr>
            </w:pPr>
          </w:p>
        </w:tc>
      </w:tr>
      <w:tr w14:paraId="12A6FC26">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restart"/>
            <w:tcBorders>
              <w:left w:val="nil"/>
            </w:tcBorders>
            <w:vAlign w:val="center"/>
          </w:tcPr>
          <w:p w14:paraId="6B3CD1B7">
            <w:pPr>
              <w:tabs>
                <w:tab w:val="left" w:pos="480"/>
              </w:tabs>
              <w:spacing w:line="240" w:lineRule="auto"/>
              <w:ind w:firstLine="0" w:firstLineChars="0"/>
              <w:jc w:val="center"/>
              <w:rPr>
                <w:rFonts w:hint="default"/>
                <w:color w:val="auto"/>
                <w:sz w:val="21"/>
                <w:lang w:val="en-US" w:eastAsia="zh-CN"/>
              </w:rPr>
            </w:pPr>
            <w:r>
              <w:rPr>
                <w:rFonts w:hint="eastAsia"/>
                <w:color w:val="auto"/>
                <w:sz w:val="21"/>
                <w:lang w:val="en-US" w:eastAsia="zh-CN"/>
              </w:rPr>
              <w:t>氯化氢</w:t>
            </w:r>
          </w:p>
        </w:tc>
        <w:tc>
          <w:tcPr>
            <w:tcW w:w="2482" w:type="dxa"/>
            <w:vAlign w:val="center"/>
          </w:tcPr>
          <w:p w14:paraId="4518862F">
            <w:pPr>
              <w:tabs>
                <w:tab w:val="left" w:pos="480"/>
              </w:tabs>
              <w:spacing w:line="240" w:lineRule="auto"/>
              <w:ind w:firstLine="0" w:firstLineChars="0"/>
              <w:jc w:val="center"/>
              <w:rPr>
                <w:rFonts w:hint="default"/>
                <w:color w:val="auto"/>
                <w:sz w:val="21"/>
                <w:lang w:val="en-US" w:eastAsia="zh-CN"/>
              </w:rPr>
            </w:pPr>
            <w:r>
              <w:rPr>
                <w:rFonts w:hint="eastAsia"/>
                <w:color w:val="auto"/>
                <w:sz w:val="21"/>
                <w:lang w:val="en-US" w:eastAsia="zh-CN"/>
              </w:rPr>
              <w:t>50</w:t>
            </w:r>
            <w:r>
              <w:rPr>
                <w:bCs/>
                <w:color w:val="auto"/>
                <w:sz w:val="21"/>
              </w:rPr>
              <w:t>μg/m</w:t>
            </w:r>
            <w:r>
              <w:rPr>
                <w:bCs/>
                <w:color w:val="auto"/>
                <w:sz w:val="21"/>
                <w:vertAlign w:val="superscript"/>
              </w:rPr>
              <w:t>3</w:t>
            </w:r>
          </w:p>
        </w:tc>
        <w:tc>
          <w:tcPr>
            <w:tcW w:w="2105" w:type="dxa"/>
            <w:vAlign w:val="center"/>
          </w:tcPr>
          <w:p w14:paraId="4AC2BD34">
            <w:pPr>
              <w:pStyle w:val="59"/>
              <w:rPr>
                <w:rFonts w:hint="eastAsia"/>
                <w:color w:val="auto"/>
                <w:lang w:val="en-US" w:eastAsia="zh-CN"/>
              </w:rPr>
            </w:pPr>
            <w:r>
              <w:rPr>
                <w:rFonts w:hint="eastAsia"/>
                <w:color w:val="auto"/>
                <w:lang w:val="en-US" w:eastAsia="zh-CN"/>
              </w:rPr>
              <w:t>1h平均</w:t>
            </w:r>
          </w:p>
        </w:tc>
        <w:tc>
          <w:tcPr>
            <w:tcW w:w="2450" w:type="dxa"/>
            <w:vMerge w:val="continue"/>
            <w:tcBorders>
              <w:right w:val="nil"/>
            </w:tcBorders>
            <w:vAlign w:val="center"/>
          </w:tcPr>
          <w:p w14:paraId="34279A08">
            <w:pPr>
              <w:pStyle w:val="59"/>
              <w:bidi w:val="0"/>
              <w:rPr>
                <w:rFonts w:hint="eastAsia"/>
              </w:rPr>
            </w:pPr>
          </w:p>
        </w:tc>
      </w:tr>
      <w:tr w14:paraId="0C8AF7BE">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vMerge w:val="continue"/>
            <w:tcBorders>
              <w:left w:val="nil"/>
            </w:tcBorders>
            <w:vAlign w:val="center"/>
          </w:tcPr>
          <w:p w14:paraId="07E80B78">
            <w:pPr>
              <w:tabs>
                <w:tab w:val="left" w:pos="480"/>
              </w:tabs>
              <w:spacing w:line="240" w:lineRule="auto"/>
              <w:ind w:firstLine="0" w:firstLineChars="0"/>
              <w:jc w:val="center"/>
              <w:rPr>
                <w:rFonts w:hint="eastAsia"/>
                <w:color w:val="auto"/>
                <w:sz w:val="21"/>
                <w:lang w:val="en-US" w:eastAsia="zh-CN"/>
              </w:rPr>
            </w:pPr>
          </w:p>
        </w:tc>
        <w:tc>
          <w:tcPr>
            <w:tcW w:w="2482" w:type="dxa"/>
            <w:vAlign w:val="center"/>
          </w:tcPr>
          <w:p w14:paraId="3BDAE95C">
            <w:pPr>
              <w:tabs>
                <w:tab w:val="left" w:pos="480"/>
              </w:tabs>
              <w:spacing w:line="240" w:lineRule="auto"/>
              <w:ind w:firstLine="0" w:firstLineChars="0"/>
              <w:jc w:val="center"/>
              <w:rPr>
                <w:rFonts w:hint="default"/>
                <w:color w:val="auto"/>
                <w:sz w:val="21"/>
                <w:lang w:val="en-US" w:eastAsia="zh-CN"/>
              </w:rPr>
            </w:pPr>
            <w:r>
              <w:rPr>
                <w:rFonts w:hint="eastAsia"/>
                <w:color w:val="auto"/>
                <w:sz w:val="21"/>
                <w:lang w:val="en-US" w:eastAsia="zh-CN"/>
              </w:rPr>
              <w:t>15</w:t>
            </w:r>
            <w:r>
              <w:rPr>
                <w:bCs/>
                <w:color w:val="auto"/>
                <w:sz w:val="21"/>
              </w:rPr>
              <w:t>μg/m</w:t>
            </w:r>
            <w:r>
              <w:rPr>
                <w:bCs/>
                <w:color w:val="auto"/>
                <w:sz w:val="21"/>
                <w:vertAlign w:val="superscript"/>
              </w:rPr>
              <w:t>3</w:t>
            </w:r>
          </w:p>
        </w:tc>
        <w:tc>
          <w:tcPr>
            <w:tcW w:w="2105" w:type="dxa"/>
            <w:vAlign w:val="center"/>
          </w:tcPr>
          <w:p w14:paraId="5862B5EA">
            <w:pPr>
              <w:pStyle w:val="59"/>
              <w:rPr>
                <w:rFonts w:hint="eastAsia"/>
                <w:color w:val="auto"/>
                <w:lang w:val="en-US" w:eastAsia="zh-CN"/>
              </w:rPr>
            </w:pPr>
            <w:r>
              <w:rPr>
                <w:rFonts w:hint="eastAsia"/>
                <w:color w:val="auto"/>
                <w:sz w:val="21"/>
                <w:lang w:val="en-US" w:eastAsia="zh-CN"/>
              </w:rPr>
              <w:t>日</w:t>
            </w:r>
            <w:r>
              <w:rPr>
                <w:color w:val="auto"/>
                <w:sz w:val="21"/>
              </w:rPr>
              <w:t>平均</w:t>
            </w:r>
          </w:p>
        </w:tc>
        <w:tc>
          <w:tcPr>
            <w:tcW w:w="2450" w:type="dxa"/>
            <w:vMerge w:val="continue"/>
            <w:tcBorders>
              <w:right w:val="nil"/>
            </w:tcBorders>
            <w:vAlign w:val="center"/>
          </w:tcPr>
          <w:p w14:paraId="389F9DFD">
            <w:pPr>
              <w:pStyle w:val="59"/>
              <w:bidi w:val="0"/>
              <w:rPr>
                <w:rFonts w:hint="eastAsia"/>
              </w:rPr>
            </w:pPr>
          </w:p>
        </w:tc>
      </w:tr>
      <w:tr w14:paraId="0C93AEF3">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left w:val="nil"/>
            </w:tcBorders>
            <w:vAlign w:val="center"/>
          </w:tcPr>
          <w:p w14:paraId="4E26C26B">
            <w:pPr>
              <w:tabs>
                <w:tab w:val="left" w:pos="480"/>
              </w:tabs>
              <w:spacing w:line="240" w:lineRule="auto"/>
              <w:ind w:firstLine="0" w:firstLineChars="0"/>
              <w:jc w:val="center"/>
              <w:rPr>
                <w:color w:val="auto"/>
                <w:sz w:val="21"/>
              </w:rPr>
            </w:pPr>
            <w:r>
              <w:rPr>
                <w:rFonts w:hint="eastAsia"/>
                <w:color w:val="auto"/>
                <w:sz w:val="21"/>
              </w:rPr>
              <w:t>NMHC</w:t>
            </w:r>
          </w:p>
        </w:tc>
        <w:tc>
          <w:tcPr>
            <w:tcW w:w="2482" w:type="dxa"/>
            <w:vAlign w:val="center"/>
          </w:tcPr>
          <w:p w14:paraId="0B9CE40B">
            <w:pPr>
              <w:tabs>
                <w:tab w:val="left" w:pos="480"/>
              </w:tabs>
              <w:spacing w:line="240" w:lineRule="auto"/>
              <w:ind w:firstLine="0" w:firstLineChars="0"/>
              <w:jc w:val="center"/>
              <w:rPr>
                <w:color w:val="auto"/>
                <w:sz w:val="21"/>
              </w:rPr>
            </w:pPr>
            <w:r>
              <w:rPr>
                <w:rFonts w:hint="eastAsia"/>
                <w:color w:val="auto"/>
                <w:sz w:val="21"/>
              </w:rPr>
              <w:t>2.0mg</w:t>
            </w:r>
            <w:r>
              <w:rPr>
                <w:bCs/>
                <w:color w:val="auto"/>
                <w:sz w:val="21"/>
              </w:rPr>
              <w:t>/m</w:t>
            </w:r>
            <w:r>
              <w:rPr>
                <w:bCs/>
                <w:color w:val="auto"/>
                <w:sz w:val="21"/>
                <w:vertAlign w:val="superscript"/>
              </w:rPr>
              <w:t>3</w:t>
            </w:r>
          </w:p>
        </w:tc>
        <w:tc>
          <w:tcPr>
            <w:tcW w:w="2105" w:type="dxa"/>
            <w:vAlign w:val="center"/>
          </w:tcPr>
          <w:p w14:paraId="32B45AFF">
            <w:pPr>
              <w:pStyle w:val="59"/>
              <w:rPr>
                <w:color w:val="auto"/>
              </w:rPr>
            </w:pPr>
            <w:r>
              <w:rPr>
                <w:rFonts w:hint="eastAsia"/>
                <w:color w:val="auto"/>
              </w:rPr>
              <w:t>一次值</w:t>
            </w:r>
          </w:p>
        </w:tc>
        <w:tc>
          <w:tcPr>
            <w:tcW w:w="2450" w:type="dxa"/>
            <w:tcBorders>
              <w:right w:val="nil"/>
            </w:tcBorders>
            <w:vAlign w:val="center"/>
          </w:tcPr>
          <w:p w14:paraId="45835E51">
            <w:pPr>
              <w:pStyle w:val="59"/>
              <w:bidi w:val="0"/>
            </w:pPr>
            <w:r>
              <w:t>《大气污染物综合排放标准详解》</w:t>
            </w:r>
          </w:p>
        </w:tc>
      </w:tr>
      <w:tr w14:paraId="524E1397">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left w:val="nil"/>
            </w:tcBorders>
            <w:vAlign w:val="center"/>
          </w:tcPr>
          <w:p w14:paraId="5AF00487">
            <w:pPr>
              <w:tabs>
                <w:tab w:val="left" w:pos="480"/>
              </w:tabs>
              <w:spacing w:line="240" w:lineRule="auto"/>
              <w:ind w:firstLine="0" w:firstLineChars="0"/>
              <w:jc w:val="center"/>
              <w:rPr>
                <w:rFonts w:hint="eastAsia" w:eastAsia="宋体"/>
                <w:color w:val="auto"/>
                <w:sz w:val="21"/>
                <w:lang w:val="en-US" w:eastAsia="zh-CN"/>
              </w:rPr>
            </w:pPr>
            <w:r>
              <w:rPr>
                <w:rFonts w:hint="eastAsia"/>
                <w:color w:val="auto"/>
                <w:sz w:val="21"/>
                <w:lang w:val="en-US" w:eastAsia="zh-CN"/>
              </w:rPr>
              <w:t>苯</w:t>
            </w:r>
          </w:p>
        </w:tc>
        <w:tc>
          <w:tcPr>
            <w:tcW w:w="2482" w:type="dxa"/>
            <w:vAlign w:val="center"/>
          </w:tcPr>
          <w:p w14:paraId="10C78017">
            <w:pPr>
              <w:tabs>
                <w:tab w:val="left" w:pos="480"/>
              </w:tabs>
              <w:spacing w:line="240" w:lineRule="auto"/>
              <w:ind w:firstLine="0" w:firstLineChars="0"/>
              <w:jc w:val="center"/>
              <w:rPr>
                <w:rFonts w:hint="default" w:eastAsia="宋体"/>
                <w:color w:val="auto"/>
                <w:sz w:val="21"/>
                <w:lang w:val="en-US" w:eastAsia="zh-CN"/>
              </w:rPr>
            </w:pPr>
            <w:r>
              <w:rPr>
                <w:rFonts w:hint="eastAsia"/>
                <w:color w:val="auto"/>
                <w:sz w:val="21"/>
                <w:lang w:val="en-US" w:eastAsia="zh-CN"/>
              </w:rPr>
              <w:t>0.03m</w:t>
            </w:r>
            <w:r>
              <w:rPr>
                <w:rFonts w:hint="eastAsia"/>
                <w:color w:val="auto"/>
                <w:sz w:val="21"/>
              </w:rPr>
              <w:t>g</w:t>
            </w:r>
            <w:r>
              <w:rPr>
                <w:bCs/>
                <w:color w:val="auto"/>
                <w:sz w:val="21"/>
              </w:rPr>
              <w:t>/m</w:t>
            </w:r>
            <w:r>
              <w:rPr>
                <w:bCs/>
                <w:color w:val="auto"/>
                <w:sz w:val="21"/>
                <w:vertAlign w:val="superscript"/>
              </w:rPr>
              <w:t>3</w:t>
            </w:r>
          </w:p>
        </w:tc>
        <w:tc>
          <w:tcPr>
            <w:tcW w:w="2105" w:type="dxa"/>
            <w:vAlign w:val="center"/>
          </w:tcPr>
          <w:p w14:paraId="2EA66B60">
            <w:pPr>
              <w:pStyle w:val="59"/>
              <w:rPr>
                <w:rFonts w:hint="eastAsia"/>
                <w:color w:val="auto"/>
              </w:rPr>
            </w:pPr>
            <w:r>
              <w:rPr>
                <w:rFonts w:hint="eastAsia"/>
                <w:color w:val="auto"/>
                <w:lang w:val="en-US" w:eastAsia="zh-CN"/>
              </w:rPr>
              <w:t>1h平均</w:t>
            </w:r>
          </w:p>
        </w:tc>
        <w:tc>
          <w:tcPr>
            <w:tcW w:w="2450" w:type="dxa"/>
            <w:tcBorders>
              <w:right w:val="nil"/>
            </w:tcBorders>
            <w:vAlign w:val="center"/>
          </w:tcPr>
          <w:p w14:paraId="24768340">
            <w:pPr>
              <w:pStyle w:val="59"/>
              <w:bidi w:val="0"/>
              <w:rPr>
                <w:rFonts w:hint="eastAsia" w:eastAsia="宋体"/>
                <w:lang w:eastAsia="zh-CN"/>
              </w:rPr>
            </w:pPr>
            <w:r>
              <w:rPr>
                <w:rFonts w:hint="eastAsia"/>
                <w:lang w:eastAsia="zh-CN"/>
              </w:rPr>
              <w:t>《</w:t>
            </w:r>
            <w:r>
              <w:rPr>
                <w:rFonts w:hint="eastAsia"/>
              </w:rPr>
              <w:t>室内空气质量标准</w:t>
            </w:r>
            <w:r>
              <w:rPr>
                <w:rFonts w:hint="eastAsia"/>
                <w:lang w:eastAsia="zh-CN"/>
              </w:rPr>
              <w:t>》（</w:t>
            </w:r>
            <w:r>
              <w:rPr>
                <w:rFonts w:hint="eastAsia"/>
              </w:rPr>
              <w:t>GB/T 18883-2022</w:t>
            </w:r>
            <w:r>
              <w:rPr>
                <w:rFonts w:hint="eastAsia"/>
                <w:lang w:eastAsia="zh-CN"/>
              </w:rPr>
              <w:t>）</w:t>
            </w:r>
          </w:p>
        </w:tc>
      </w:tr>
      <w:tr w14:paraId="360D95A4">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4" w:type="dxa"/>
            <w:tcBorders>
              <w:left w:val="nil"/>
            </w:tcBorders>
            <w:vAlign w:val="center"/>
          </w:tcPr>
          <w:p w14:paraId="29843DB4">
            <w:pPr>
              <w:tabs>
                <w:tab w:val="left" w:pos="480"/>
              </w:tabs>
              <w:spacing w:line="240" w:lineRule="auto"/>
              <w:ind w:firstLine="0" w:firstLineChars="0"/>
              <w:jc w:val="center"/>
              <w:rPr>
                <w:color w:val="auto"/>
                <w:sz w:val="21"/>
              </w:rPr>
            </w:pPr>
            <w:r>
              <w:rPr>
                <w:rFonts w:hint="eastAsia"/>
                <w:color w:val="auto"/>
                <w:sz w:val="21"/>
              </w:rPr>
              <w:t>臭气浓度</w:t>
            </w:r>
          </w:p>
        </w:tc>
        <w:tc>
          <w:tcPr>
            <w:tcW w:w="2482" w:type="dxa"/>
            <w:vAlign w:val="center"/>
          </w:tcPr>
          <w:p w14:paraId="4B922823">
            <w:pPr>
              <w:tabs>
                <w:tab w:val="left" w:pos="480"/>
              </w:tabs>
              <w:spacing w:line="240" w:lineRule="auto"/>
              <w:ind w:firstLine="0" w:firstLineChars="0"/>
              <w:jc w:val="center"/>
              <w:rPr>
                <w:color w:val="auto"/>
                <w:sz w:val="21"/>
              </w:rPr>
            </w:pPr>
            <w:r>
              <w:rPr>
                <w:rFonts w:hint="eastAsia"/>
                <w:color w:val="auto"/>
                <w:sz w:val="21"/>
              </w:rPr>
              <w:t>20（无量纲）</w:t>
            </w:r>
          </w:p>
        </w:tc>
        <w:tc>
          <w:tcPr>
            <w:tcW w:w="2105" w:type="dxa"/>
            <w:vAlign w:val="center"/>
          </w:tcPr>
          <w:p w14:paraId="58DD02B5">
            <w:pPr>
              <w:pStyle w:val="59"/>
              <w:rPr>
                <w:color w:val="auto"/>
              </w:rPr>
            </w:pPr>
            <w:r>
              <w:rPr>
                <w:color w:val="auto"/>
              </w:rPr>
              <w:t>1小时平均</w:t>
            </w:r>
          </w:p>
        </w:tc>
        <w:tc>
          <w:tcPr>
            <w:tcW w:w="2450" w:type="dxa"/>
            <w:tcBorders>
              <w:right w:val="nil"/>
            </w:tcBorders>
            <w:vAlign w:val="center"/>
          </w:tcPr>
          <w:p w14:paraId="01C2F7CF">
            <w:pPr>
              <w:pStyle w:val="69"/>
              <w:rPr>
                <w:color w:val="auto"/>
              </w:rPr>
            </w:pPr>
            <w:r>
              <w:rPr>
                <w:rFonts w:hint="eastAsia"/>
                <w:color w:val="auto"/>
              </w:rPr>
              <w:t>《恶臭污染物排放标准》（GB14554-93）表1二级新扩改建恶臭污染物厂界标准值</w:t>
            </w:r>
          </w:p>
        </w:tc>
      </w:tr>
      <w:tr w14:paraId="6255C385">
        <w:tblPrEx>
          <w:tblBorders>
            <w:top w:val="single" w:color="auto" w:sz="4"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1" w:type="dxa"/>
            <w:gridSpan w:val="4"/>
            <w:tcBorders>
              <w:left w:val="nil"/>
              <w:right w:val="nil"/>
            </w:tcBorders>
            <w:vAlign w:val="center"/>
          </w:tcPr>
          <w:p w14:paraId="46960B61">
            <w:pPr>
              <w:pStyle w:val="69"/>
              <w:bidi w:val="0"/>
              <w:jc w:val="left"/>
              <w:rPr>
                <w:rFonts w:hint="eastAsia"/>
              </w:rPr>
            </w:pPr>
            <w:r>
              <w:rPr>
                <w:rFonts w:hint="eastAsia"/>
                <w:color w:val="auto"/>
                <w:sz w:val="21"/>
                <w:lang w:val="en-US" w:eastAsia="zh-CN"/>
              </w:rPr>
              <w:t>a</w:t>
            </w:r>
            <w:r>
              <w:rPr>
                <w:rFonts w:hint="eastAsia"/>
              </w:rPr>
              <w:t>自</w:t>
            </w:r>
            <w:r>
              <w:t>GB3095-20</w:t>
            </w:r>
            <w:r>
              <w:rPr>
                <w:rFonts w:hint="eastAsia"/>
                <w:lang w:val="en-US" w:eastAsia="zh-CN"/>
              </w:rPr>
              <w:t>26</w:t>
            </w:r>
            <w:r>
              <w:rPr>
                <w:rFonts w:hint="eastAsia"/>
              </w:rPr>
              <w:t>标准实施之日起至2030年12月31日止，</w:t>
            </w:r>
            <w:r>
              <w:rPr>
                <w:rFonts w:hint="eastAsia"/>
                <w:color w:val="auto"/>
                <w:sz w:val="21"/>
                <w:lang w:val="en-US" w:eastAsia="zh-CN"/>
              </w:rPr>
              <w:t>NOx</w:t>
            </w:r>
            <w:r>
              <w:rPr>
                <w:rFonts w:hint="eastAsia"/>
              </w:rPr>
              <w:t>过渡阶段浓度限值为50</w:t>
            </w:r>
            <w:r>
              <w:rPr>
                <w:bCs/>
                <w:color w:val="auto"/>
                <w:sz w:val="21"/>
              </w:rPr>
              <w:t>μg/m</w:t>
            </w:r>
            <w:r>
              <w:rPr>
                <w:bCs/>
                <w:color w:val="auto"/>
                <w:sz w:val="21"/>
                <w:vertAlign w:val="superscript"/>
              </w:rPr>
              <w:t>3</w:t>
            </w:r>
            <w:r>
              <w:rPr>
                <w:rFonts w:hint="eastAsia"/>
              </w:rPr>
              <w:t>。</w:t>
            </w:r>
          </w:p>
          <w:p w14:paraId="7737CADE">
            <w:pPr>
              <w:pStyle w:val="69"/>
              <w:bidi w:val="0"/>
              <w:jc w:val="left"/>
              <w:rPr>
                <w:rFonts w:hint="eastAsia"/>
                <w:color w:val="auto"/>
              </w:rPr>
            </w:pPr>
            <w:r>
              <w:rPr>
                <w:rFonts w:hint="eastAsia"/>
                <w:lang w:val="en-US" w:eastAsia="zh-CN"/>
              </w:rPr>
              <w:t>b</w:t>
            </w:r>
            <w:r>
              <w:rPr>
                <w:rFonts w:hint="eastAsia"/>
              </w:rPr>
              <w:t>自</w:t>
            </w:r>
            <w:r>
              <w:t>GB3095-20</w:t>
            </w:r>
            <w:r>
              <w:rPr>
                <w:rFonts w:hint="eastAsia"/>
                <w:lang w:val="en-US" w:eastAsia="zh-CN"/>
              </w:rPr>
              <w:t>26</w:t>
            </w:r>
            <w:r>
              <w:rPr>
                <w:rFonts w:hint="eastAsia"/>
              </w:rPr>
              <w:t>标准实施之日起至2030年12月31日止</w:t>
            </w:r>
            <w:r>
              <w:rPr>
                <w:rFonts w:hint="eastAsia"/>
                <w:lang w:eastAsia="zh-CN"/>
              </w:rPr>
              <w:t>，</w:t>
            </w:r>
            <w:r>
              <w:rPr>
                <w:rFonts w:hint="eastAsia"/>
                <w:color w:val="auto"/>
                <w:sz w:val="21"/>
                <w:lang w:val="en-US" w:eastAsia="zh-CN"/>
              </w:rPr>
              <w:t>NOx</w:t>
            </w:r>
            <w:r>
              <w:rPr>
                <w:rFonts w:hint="eastAsia"/>
              </w:rPr>
              <w:t>过渡阶段浓度限值为100</w:t>
            </w:r>
            <w:r>
              <w:rPr>
                <w:bCs/>
                <w:color w:val="auto"/>
                <w:sz w:val="21"/>
              </w:rPr>
              <w:t>μg/m</w:t>
            </w:r>
            <w:r>
              <w:rPr>
                <w:bCs/>
                <w:color w:val="auto"/>
                <w:sz w:val="21"/>
                <w:vertAlign w:val="superscript"/>
              </w:rPr>
              <w:t>3</w:t>
            </w:r>
            <w:r>
              <w:rPr>
                <w:rFonts w:hint="eastAsia"/>
              </w:rPr>
              <w:t>.</w:t>
            </w:r>
          </w:p>
        </w:tc>
      </w:tr>
    </w:tbl>
    <w:p w14:paraId="00C38666">
      <w:pPr>
        <w:spacing w:before="166" w:beforeLines="50"/>
        <w:ind w:firstLine="480"/>
        <w:rPr>
          <w:color w:val="auto"/>
        </w:rPr>
      </w:pPr>
      <w:r>
        <w:rPr>
          <w:rFonts w:hint="eastAsia"/>
          <w:color w:val="auto"/>
        </w:rPr>
        <w:t>（3）</w:t>
      </w:r>
      <w:r>
        <w:rPr>
          <w:color w:val="auto"/>
        </w:rPr>
        <w:t>声环境环境</w:t>
      </w:r>
      <w:r>
        <w:rPr>
          <w:rFonts w:hint="eastAsia"/>
          <w:color w:val="auto"/>
        </w:rPr>
        <w:t>质量</w:t>
      </w:r>
      <w:r>
        <w:rPr>
          <w:color w:val="auto"/>
        </w:rPr>
        <w:t>标准</w:t>
      </w:r>
    </w:p>
    <w:p w14:paraId="044CE961">
      <w:pPr>
        <w:tabs>
          <w:tab w:val="left" w:pos="480"/>
        </w:tabs>
        <w:ind w:firstLine="480"/>
        <w:rPr>
          <w:rFonts w:hint="eastAsia"/>
          <w:color w:val="auto"/>
        </w:rPr>
      </w:pPr>
      <w:r>
        <w:rPr>
          <w:rFonts w:hint="eastAsia"/>
          <w:color w:val="auto"/>
          <w:lang w:val="en-US" w:eastAsia="zh-CN"/>
        </w:rPr>
        <w:t>执行</w:t>
      </w:r>
      <w:r>
        <w:rPr>
          <w:color w:val="auto"/>
        </w:rPr>
        <w:t>《声环境质量标准》（GB3096-2008）</w:t>
      </w:r>
      <w:r>
        <w:rPr>
          <w:rFonts w:hint="eastAsia"/>
          <w:color w:val="auto"/>
        </w:rPr>
        <w:t>3类标准。</w:t>
      </w:r>
    </w:p>
    <w:p w14:paraId="09575F8E">
      <w:pPr>
        <w:numPr>
          <w:ilvl w:val="0"/>
          <w:numId w:val="17"/>
        </w:numPr>
        <w:ind w:left="0" w:leftChars="0" w:firstLine="0" w:firstLineChars="0"/>
        <w:jc w:val="center"/>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《声环境质量标准》（GB3096-2008）  单位：dB（A）</w:t>
      </w:r>
    </w:p>
    <w:tbl>
      <w:tblPr>
        <w:tblStyle w:val="38"/>
        <w:tblW w:w="9286" w:type="dxa"/>
        <w:jc w:val="center"/>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497"/>
        <w:gridCol w:w="1452"/>
        <w:gridCol w:w="1725"/>
        <w:gridCol w:w="4612"/>
      </w:tblGrid>
      <w:tr w14:paraId="186387E0">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blHeader/>
          <w:jc w:val="center"/>
        </w:trPr>
        <w:tc>
          <w:tcPr>
            <w:tcW w:w="1497" w:type="dxa"/>
            <w:tcBorders>
              <w:top w:val="single" w:color="000000" w:sz="12" w:space="0"/>
              <w:bottom w:val="single" w:color="auto" w:sz="4" w:space="0"/>
              <w:right w:val="single" w:color="auto" w:sz="4" w:space="0"/>
              <w:tl2br w:val="nil"/>
            </w:tcBorders>
            <w:shd w:val="clear" w:color="auto" w:fill="FFFFFF"/>
            <w:vAlign w:val="center"/>
          </w:tcPr>
          <w:p w14:paraId="34F9EACD">
            <w:pPr>
              <w:pStyle w:val="59"/>
              <w:rPr>
                <w:b w:val="0"/>
                <w:color w:val="000000"/>
                <w:kern w:val="2"/>
                <w:szCs w:val="21"/>
              </w:rPr>
            </w:pPr>
            <w:r>
              <w:rPr>
                <w:b w:val="0"/>
                <w:color w:val="000000"/>
                <w:kern w:val="2"/>
                <w:szCs w:val="21"/>
              </w:rPr>
              <w:t>类别</w:t>
            </w:r>
          </w:p>
        </w:tc>
        <w:tc>
          <w:tcPr>
            <w:tcW w:w="1452" w:type="dxa"/>
            <w:tcBorders>
              <w:top w:val="single" w:color="000000" w:sz="12" w:space="0"/>
              <w:left w:val="single" w:color="auto" w:sz="4" w:space="0"/>
              <w:bottom w:val="single" w:color="auto" w:sz="4" w:space="0"/>
              <w:right w:val="single" w:color="auto" w:sz="4" w:space="0"/>
            </w:tcBorders>
            <w:shd w:val="clear" w:color="auto" w:fill="FFFFFF"/>
            <w:vAlign w:val="center"/>
          </w:tcPr>
          <w:p w14:paraId="7664F8C5">
            <w:pPr>
              <w:pStyle w:val="59"/>
              <w:rPr>
                <w:b w:val="0"/>
                <w:color w:val="000000"/>
                <w:kern w:val="2"/>
                <w:szCs w:val="21"/>
              </w:rPr>
            </w:pPr>
            <w:r>
              <w:rPr>
                <w:b w:val="0"/>
                <w:color w:val="000000"/>
                <w:kern w:val="2"/>
                <w:szCs w:val="21"/>
              </w:rPr>
              <w:t>昼间</w:t>
            </w:r>
          </w:p>
        </w:tc>
        <w:tc>
          <w:tcPr>
            <w:tcW w:w="1725" w:type="dxa"/>
            <w:tcBorders>
              <w:top w:val="single" w:color="000000" w:sz="12" w:space="0"/>
              <w:left w:val="single" w:color="auto" w:sz="4" w:space="0"/>
              <w:bottom w:val="single" w:color="auto" w:sz="4" w:space="0"/>
              <w:right w:val="single" w:color="auto" w:sz="4" w:space="0"/>
            </w:tcBorders>
            <w:shd w:val="clear" w:color="auto" w:fill="FFFFFF"/>
            <w:vAlign w:val="center"/>
          </w:tcPr>
          <w:p w14:paraId="607C7D90">
            <w:pPr>
              <w:pStyle w:val="59"/>
              <w:rPr>
                <w:b w:val="0"/>
                <w:color w:val="000000"/>
                <w:kern w:val="2"/>
                <w:szCs w:val="21"/>
              </w:rPr>
            </w:pPr>
            <w:r>
              <w:rPr>
                <w:b w:val="0"/>
                <w:color w:val="000000"/>
                <w:kern w:val="2"/>
                <w:szCs w:val="21"/>
              </w:rPr>
              <w:t>夜间</w:t>
            </w:r>
          </w:p>
        </w:tc>
        <w:tc>
          <w:tcPr>
            <w:tcW w:w="4612" w:type="dxa"/>
            <w:tcBorders>
              <w:top w:val="single" w:color="000000" w:sz="12" w:space="0"/>
              <w:left w:val="single" w:color="auto" w:sz="4" w:space="0"/>
              <w:bottom w:val="single" w:color="auto" w:sz="4" w:space="0"/>
            </w:tcBorders>
            <w:shd w:val="clear" w:color="auto" w:fill="FFFFFF"/>
            <w:vAlign w:val="center"/>
          </w:tcPr>
          <w:p w14:paraId="20F92532">
            <w:pPr>
              <w:pStyle w:val="59"/>
              <w:rPr>
                <w:b w:val="0"/>
                <w:color w:val="000000"/>
                <w:kern w:val="2"/>
                <w:szCs w:val="21"/>
              </w:rPr>
            </w:pPr>
            <w:r>
              <w:rPr>
                <w:b w:val="0"/>
                <w:color w:val="000000"/>
                <w:kern w:val="2"/>
                <w:szCs w:val="21"/>
              </w:rPr>
              <w:t>适用区域</w:t>
            </w:r>
          </w:p>
        </w:tc>
      </w:tr>
      <w:tr w14:paraId="500D7F8D">
        <w:tblPrEx>
          <w:tblBorders>
            <w:top w:val="single" w:color="auto" w:sz="18" w:space="0"/>
            <w:left w:val="none" w:color="auto" w:sz="0" w:space="0"/>
            <w:bottom w:val="single" w:color="auto" w:sz="18"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97" w:type="dxa"/>
            <w:tcBorders>
              <w:top w:val="single" w:color="auto" w:sz="4" w:space="0"/>
              <w:bottom w:val="single" w:color="000000" w:sz="12" w:space="0"/>
              <w:right w:val="single" w:color="auto" w:sz="4" w:space="0"/>
            </w:tcBorders>
            <w:shd w:val="clear" w:color="auto" w:fill="FFFFFF"/>
            <w:vAlign w:val="center"/>
          </w:tcPr>
          <w:p w14:paraId="686966FF">
            <w:pPr>
              <w:pStyle w:val="59"/>
              <w:rPr>
                <w:b w:val="0"/>
                <w:color w:val="000000"/>
                <w:kern w:val="2"/>
                <w:szCs w:val="21"/>
              </w:rPr>
            </w:pPr>
            <w:r>
              <w:rPr>
                <w:rFonts w:hint="eastAsia"/>
                <w:b w:val="0"/>
                <w:color w:val="000000"/>
                <w:kern w:val="2"/>
                <w:szCs w:val="21"/>
              </w:rPr>
              <w:t>3</w:t>
            </w:r>
            <w:r>
              <w:rPr>
                <w:b w:val="0"/>
                <w:color w:val="000000"/>
                <w:kern w:val="2"/>
                <w:szCs w:val="21"/>
              </w:rPr>
              <w:t>类</w:t>
            </w:r>
          </w:p>
        </w:tc>
        <w:tc>
          <w:tcPr>
            <w:tcW w:w="1452" w:type="dxa"/>
            <w:tcBorders>
              <w:top w:val="single" w:color="auto" w:sz="4" w:space="0"/>
              <w:left w:val="single" w:color="auto" w:sz="4" w:space="0"/>
              <w:bottom w:val="single" w:color="000000" w:sz="12" w:space="0"/>
              <w:right w:val="single" w:color="auto" w:sz="4" w:space="0"/>
            </w:tcBorders>
            <w:shd w:val="clear" w:color="auto" w:fill="FFFFFF"/>
            <w:vAlign w:val="center"/>
          </w:tcPr>
          <w:p w14:paraId="3CD09DFA">
            <w:pPr>
              <w:pStyle w:val="59"/>
              <w:rPr>
                <w:b w:val="0"/>
                <w:color w:val="000000"/>
                <w:kern w:val="2"/>
                <w:szCs w:val="21"/>
              </w:rPr>
            </w:pPr>
            <w:r>
              <w:rPr>
                <w:rFonts w:hint="eastAsia"/>
                <w:b w:val="0"/>
                <w:color w:val="000000"/>
                <w:kern w:val="2"/>
                <w:szCs w:val="21"/>
              </w:rPr>
              <w:t>65</w:t>
            </w:r>
          </w:p>
        </w:tc>
        <w:tc>
          <w:tcPr>
            <w:tcW w:w="1725" w:type="dxa"/>
            <w:tcBorders>
              <w:top w:val="single" w:color="auto" w:sz="4" w:space="0"/>
              <w:left w:val="single" w:color="auto" w:sz="4" w:space="0"/>
              <w:bottom w:val="single" w:color="000000" w:sz="12" w:space="0"/>
              <w:right w:val="single" w:color="auto" w:sz="4" w:space="0"/>
            </w:tcBorders>
            <w:shd w:val="clear" w:color="auto" w:fill="FFFFFF"/>
            <w:vAlign w:val="center"/>
          </w:tcPr>
          <w:p w14:paraId="491D58F5">
            <w:pPr>
              <w:pStyle w:val="59"/>
              <w:rPr>
                <w:b w:val="0"/>
                <w:color w:val="000000"/>
                <w:kern w:val="2"/>
                <w:szCs w:val="21"/>
              </w:rPr>
            </w:pPr>
            <w:r>
              <w:rPr>
                <w:rFonts w:hint="eastAsia"/>
                <w:b w:val="0"/>
                <w:color w:val="000000"/>
                <w:kern w:val="2"/>
                <w:szCs w:val="21"/>
              </w:rPr>
              <w:t>55</w:t>
            </w:r>
          </w:p>
        </w:tc>
        <w:tc>
          <w:tcPr>
            <w:tcW w:w="4612" w:type="dxa"/>
            <w:tcBorders>
              <w:top w:val="single" w:color="auto" w:sz="4" w:space="0"/>
              <w:left w:val="single" w:color="auto" w:sz="4" w:space="0"/>
              <w:bottom w:val="single" w:color="000000" w:sz="12" w:space="0"/>
            </w:tcBorders>
            <w:shd w:val="clear" w:color="auto" w:fill="FFFFFF"/>
            <w:vAlign w:val="center"/>
          </w:tcPr>
          <w:p w14:paraId="4B1A1381">
            <w:pPr>
              <w:pStyle w:val="59"/>
              <w:rPr>
                <w:b w:val="0"/>
                <w:color w:val="000000"/>
                <w:kern w:val="2"/>
                <w:szCs w:val="21"/>
              </w:rPr>
            </w:pPr>
            <w:r>
              <w:rPr>
                <w:rFonts w:hint="eastAsia"/>
                <w:b w:val="0"/>
                <w:color w:val="000000"/>
                <w:kern w:val="2"/>
                <w:szCs w:val="21"/>
              </w:rPr>
              <w:t>已形成的工业集中地带</w:t>
            </w:r>
          </w:p>
        </w:tc>
      </w:tr>
    </w:tbl>
    <w:p w14:paraId="65D33C1E">
      <w:pPr>
        <w:tabs>
          <w:tab w:val="left" w:pos="480"/>
        </w:tabs>
        <w:spacing w:before="166" w:beforeLines="50"/>
        <w:ind w:firstLine="480"/>
        <w:rPr>
          <w:color w:val="auto"/>
        </w:rPr>
      </w:pPr>
      <w:r>
        <w:rPr>
          <w:rFonts w:hint="eastAsia"/>
          <w:color w:val="auto"/>
        </w:rPr>
        <w:t>（4）</w:t>
      </w:r>
      <w:r>
        <w:rPr>
          <w:color w:val="auto"/>
        </w:rPr>
        <w:t>地下水环境</w:t>
      </w:r>
      <w:r>
        <w:rPr>
          <w:rFonts w:hint="eastAsia"/>
          <w:color w:val="auto"/>
        </w:rPr>
        <w:t>质量</w:t>
      </w:r>
      <w:r>
        <w:rPr>
          <w:color w:val="auto"/>
        </w:rPr>
        <w:t>标准</w:t>
      </w:r>
    </w:p>
    <w:p w14:paraId="32AD6F6F">
      <w:pPr>
        <w:tabs>
          <w:tab w:val="left" w:pos="480"/>
        </w:tabs>
        <w:ind w:firstLine="480"/>
        <w:rPr>
          <w:color w:val="auto"/>
        </w:rPr>
      </w:pPr>
      <w:r>
        <w:rPr>
          <w:color w:val="auto"/>
        </w:rPr>
        <w:t>根据《关于同意广东省地下水功能区划的复函》（粤办函【2009】459号），本项目</w:t>
      </w:r>
      <w:r>
        <w:rPr>
          <w:color w:val="auto"/>
          <w:kern w:val="0"/>
          <w:szCs w:val="24"/>
        </w:rPr>
        <w:t>位于</w:t>
      </w:r>
      <w:r>
        <w:rPr>
          <w:rFonts w:hint="eastAsia"/>
          <w:color w:val="auto"/>
          <w:kern w:val="0"/>
          <w:szCs w:val="24"/>
        </w:rPr>
        <w:t>珠江三角洲江门鹤山地下水水源涵养区</w:t>
      </w:r>
      <w:r>
        <w:rPr>
          <w:color w:val="auto"/>
          <w:kern w:val="0"/>
          <w:szCs w:val="24"/>
        </w:rPr>
        <w:t>，地貌类型属于山丘区，地下水类型属于裂隙水，</w:t>
      </w:r>
      <w:r>
        <w:rPr>
          <w:rFonts w:hint="eastAsia"/>
          <w:color w:val="auto"/>
          <w:kern w:val="0"/>
          <w:szCs w:val="24"/>
        </w:rPr>
        <w:t>水质类别为Ⅲ</w:t>
      </w:r>
      <w:r>
        <w:rPr>
          <w:color w:val="auto"/>
          <w:kern w:val="0"/>
          <w:szCs w:val="24"/>
        </w:rPr>
        <w:t>类</w:t>
      </w:r>
      <w:r>
        <w:rPr>
          <w:rFonts w:hint="eastAsia"/>
          <w:color w:val="auto"/>
          <w:kern w:val="0"/>
          <w:szCs w:val="24"/>
        </w:rPr>
        <w:t>，</w:t>
      </w:r>
      <w:r>
        <w:rPr>
          <w:color w:val="auto"/>
          <w:kern w:val="0"/>
          <w:szCs w:val="24"/>
        </w:rPr>
        <w:t>执行</w:t>
      </w:r>
      <w:r>
        <w:rPr>
          <w:rFonts w:hint="eastAsia"/>
          <w:color w:val="auto"/>
          <w:kern w:val="0"/>
          <w:szCs w:val="24"/>
        </w:rPr>
        <w:t>《地下水质量标准》</w:t>
      </w:r>
      <w:r>
        <w:rPr>
          <w:color w:val="auto"/>
          <w:kern w:val="0"/>
          <w:szCs w:val="24"/>
        </w:rPr>
        <w:t>（</w:t>
      </w:r>
      <w:r>
        <w:rPr>
          <w:rFonts w:hint="eastAsia"/>
          <w:color w:val="auto"/>
          <w:kern w:val="0"/>
          <w:szCs w:val="24"/>
        </w:rPr>
        <w:t>GB/T14848-2017</w:t>
      </w:r>
      <w:r>
        <w:rPr>
          <w:color w:val="auto"/>
          <w:kern w:val="0"/>
          <w:szCs w:val="24"/>
        </w:rPr>
        <w:t>）</w:t>
      </w:r>
      <w:r>
        <w:rPr>
          <w:rFonts w:hint="eastAsia"/>
          <w:color w:val="auto"/>
          <w:kern w:val="0"/>
          <w:szCs w:val="24"/>
        </w:rPr>
        <w:t>Ⅲ</w:t>
      </w:r>
      <w:r>
        <w:rPr>
          <w:color w:val="auto"/>
          <w:kern w:val="0"/>
          <w:szCs w:val="24"/>
        </w:rPr>
        <w:t>类标准。</w:t>
      </w:r>
    </w:p>
    <w:p w14:paraId="3065E989">
      <w:pPr>
        <w:numPr>
          <w:ilvl w:val="0"/>
          <w:numId w:val="17"/>
        </w:numPr>
        <w:ind w:left="0" w:leftChars="0" w:firstLine="0" w:firstLineChars="0"/>
        <w:jc w:val="center"/>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地下水质量标准限值（摘录）  单位：mg/L（pH除外）</w:t>
      </w:r>
    </w:p>
    <w:tbl>
      <w:tblPr>
        <w:tblStyle w:val="38"/>
        <w:tblW w:w="906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21"/>
        <w:gridCol w:w="2069"/>
        <w:gridCol w:w="843"/>
        <w:gridCol w:w="988"/>
        <w:gridCol w:w="576"/>
        <w:gridCol w:w="2269"/>
        <w:gridCol w:w="681"/>
        <w:gridCol w:w="1014"/>
      </w:tblGrid>
      <w:tr w14:paraId="0B5B2A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621" w:type="dxa"/>
            <w:shd w:val="clear" w:color="000000" w:fill="FFFFFF"/>
            <w:vAlign w:val="center"/>
          </w:tcPr>
          <w:p w14:paraId="192C7414">
            <w:pPr>
              <w:pStyle w:val="69"/>
              <w:rPr>
                <w:color w:val="auto"/>
              </w:rPr>
            </w:pPr>
            <w:r>
              <w:rPr>
                <w:rFonts w:hint="eastAsia"/>
                <w:color w:val="auto"/>
              </w:rPr>
              <w:t>序号</w:t>
            </w:r>
          </w:p>
        </w:tc>
        <w:tc>
          <w:tcPr>
            <w:tcW w:w="2069" w:type="dxa"/>
            <w:shd w:val="clear" w:color="000000" w:fill="FFFFFF"/>
            <w:vAlign w:val="center"/>
          </w:tcPr>
          <w:p w14:paraId="33FDEBD3">
            <w:pPr>
              <w:pStyle w:val="69"/>
              <w:rPr>
                <w:color w:val="auto"/>
              </w:rPr>
            </w:pPr>
            <w:r>
              <w:rPr>
                <w:rFonts w:hint="eastAsia"/>
                <w:color w:val="auto"/>
              </w:rPr>
              <w:t>项目</w:t>
            </w:r>
          </w:p>
        </w:tc>
        <w:tc>
          <w:tcPr>
            <w:tcW w:w="843" w:type="dxa"/>
            <w:shd w:val="clear" w:color="000000" w:fill="FFFFFF"/>
            <w:vAlign w:val="center"/>
          </w:tcPr>
          <w:p w14:paraId="6D533566">
            <w:pPr>
              <w:pStyle w:val="69"/>
              <w:rPr>
                <w:color w:val="auto"/>
              </w:rPr>
            </w:pPr>
            <w:r>
              <w:rPr>
                <w:rFonts w:hint="eastAsia"/>
                <w:color w:val="auto"/>
              </w:rPr>
              <w:t>标准值</w:t>
            </w:r>
          </w:p>
        </w:tc>
        <w:tc>
          <w:tcPr>
            <w:tcW w:w="988" w:type="dxa"/>
            <w:shd w:val="clear" w:color="000000" w:fill="FFFFFF"/>
            <w:vAlign w:val="center"/>
          </w:tcPr>
          <w:p w14:paraId="450D7067">
            <w:pPr>
              <w:pStyle w:val="69"/>
              <w:rPr>
                <w:color w:val="auto"/>
              </w:rPr>
            </w:pPr>
            <w:r>
              <w:rPr>
                <w:rFonts w:hint="eastAsia"/>
                <w:color w:val="auto"/>
              </w:rPr>
              <w:t>单位</w:t>
            </w:r>
          </w:p>
        </w:tc>
        <w:tc>
          <w:tcPr>
            <w:tcW w:w="576" w:type="dxa"/>
            <w:shd w:val="clear" w:color="000000" w:fill="FFFFFF"/>
            <w:vAlign w:val="center"/>
          </w:tcPr>
          <w:p w14:paraId="3561667C">
            <w:pPr>
              <w:pStyle w:val="69"/>
              <w:rPr>
                <w:color w:val="auto"/>
              </w:rPr>
            </w:pPr>
            <w:r>
              <w:rPr>
                <w:rFonts w:hint="eastAsia"/>
                <w:color w:val="auto"/>
              </w:rPr>
              <w:t>序号</w:t>
            </w:r>
          </w:p>
        </w:tc>
        <w:tc>
          <w:tcPr>
            <w:tcW w:w="2269" w:type="dxa"/>
            <w:shd w:val="clear" w:color="000000" w:fill="FFFFFF"/>
            <w:vAlign w:val="center"/>
          </w:tcPr>
          <w:p w14:paraId="50911B4B">
            <w:pPr>
              <w:pStyle w:val="69"/>
              <w:rPr>
                <w:color w:val="auto"/>
              </w:rPr>
            </w:pPr>
            <w:r>
              <w:rPr>
                <w:rFonts w:hint="eastAsia"/>
                <w:color w:val="auto"/>
              </w:rPr>
              <w:t>项目</w:t>
            </w:r>
          </w:p>
        </w:tc>
        <w:tc>
          <w:tcPr>
            <w:tcW w:w="681" w:type="dxa"/>
            <w:shd w:val="clear" w:color="000000" w:fill="FFFFFF"/>
            <w:vAlign w:val="center"/>
          </w:tcPr>
          <w:p w14:paraId="6CA3C538">
            <w:pPr>
              <w:pStyle w:val="69"/>
              <w:rPr>
                <w:color w:val="auto"/>
              </w:rPr>
            </w:pPr>
            <w:r>
              <w:rPr>
                <w:rFonts w:hint="eastAsia"/>
                <w:color w:val="auto"/>
              </w:rPr>
              <w:t>标准值</w:t>
            </w:r>
          </w:p>
        </w:tc>
        <w:tc>
          <w:tcPr>
            <w:tcW w:w="1014" w:type="dxa"/>
            <w:shd w:val="clear" w:color="000000" w:fill="FFFFFF"/>
            <w:vAlign w:val="center"/>
          </w:tcPr>
          <w:p w14:paraId="5F554CD1">
            <w:pPr>
              <w:pStyle w:val="69"/>
              <w:rPr>
                <w:color w:val="auto"/>
              </w:rPr>
            </w:pPr>
            <w:r>
              <w:rPr>
                <w:rFonts w:hint="eastAsia"/>
                <w:color w:val="auto"/>
              </w:rPr>
              <w:t>单位</w:t>
            </w:r>
          </w:p>
        </w:tc>
      </w:tr>
      <w:tr w14:paraId="691D24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521" w:type="dxa"/>
            <w:gridSpan w:val="4"/>
            <w:noWrap/>
            <w:vAlign w:val="center"/>
          </w:tcPr>
          <w:p w14:paraId="34158703">
            <w:pPr>
              <w:pStyle w:val="69"/>
              <w:rPr>
                <w:color w:val="auto"/>
              </w:rPr>
            </w:pPr>
            <w:r>
              <w:rPr>
                <w:rFonts w:hint="eastAsia"/>
                <w:color w:val="auto"/>
              </w:rPr>
              <w:t>感官性状及一般化学指标</w:t>
            </w:r>
          </w:p>
        </w:tc>
        <w:tc>
          <w:tcPr>
            <w:tcW w:w="4540" w:type="dxa"/>
            <w:gridSpan w:val="4"/>
            <w:vAlign w:val="center"/>
          </w:tcPr>
          <w:p w14:paraId="638D9D5C">
            <w:pPr>
              <w:pStyle w:val="69"/>
              <w:rPr>
                <w:color w:val="auto"/>
              </w:rPr>
            </w:pPr>
            <w:r>
              <w:rPr>
                <w:rFonts w:hint="eastAsia"/>
                <w:color w:val="auto"/>
              </w:rPr>
              <w:t>微生物指标</w:t>
            </w:r>
          </w:p>
        </w:tc>
      </w:tr>
      <w:tr w14:paraId="28A353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739E932D">
            <w:pPr>
              <w:pStyle w:val="69"/>
              <w:rPr>
                <w:color w:val="auto"/>
              </w:rPr>
            </w:pPr>
            <w:r>
              <w:rPr>
                <w:color w:val="auto"/>
              </w:rPr>
              <w:t>1</w:t>
            </w:r>
          </w:p>
        </w:tc>
        <w:tc>
          <w:tcPr>
            <w:tcW w:w="2069" w:type="dxa"/>
            <w:noWrap/>
            <w:vAlign w:val="center"/>
          </w:tcPr>
          <w:p w14:paraId="5AD27303">
            <w:pPr>
              <w:pStyle w:val="69"/>
              <w:rPr>
                <w:color w:val="auto"/>
              </w:rPr>
            </w:pPr>
            <w:r>
              <w:rPr>
                <w:rFonts w:hint="eastAsia"/>
                <w:color w:val="auto"/>
              </w:rPr>
              <w:t>色≤</w:t>
            </w:r>
          </w:p>
        </w:tc>
        <w:tc>
          <w:tcPr>
            <w:tcW w:w="843" w:type="dxa"/>
            <w:noWrap/>
            <w:vAlign w:val="center"/>
          </w:tcPr>
          <w:p w14:paraId="53C9E5CE">
            <w:pPr>
              <w:pStyle w:val="69"/>
              <w:rPr>
                <w:color w:val="auto"/>
              </w:rPr>
            </w:pPr>
            <w:r>
              <w:rPr>
                <w:rFonts w:hint="eastAsia"/>
                <w:color w:val="auto"/>
              </w:rPr>
              <w:t>15</w:t>
            </w:r>
          </w:p>
        </w:tc>
        <w:tc>
          <w:tcPr>
            <w:tcW w:w="988" w:type="dxa"/>
            <w:noWrap/>
            <w:vAlign w:val="center"/>
          </w:tcPr>
          <w:p w14:paraId="61D496FC">
            <w:pPr>
              <w:pStyle w:val="69"/>
              <w:rPr>
                <w:color w:val="auto"/>
              </w:rPr>
            </w:pPr>
            <w:r>
              <w:rPr>
                <w:rFonts w:hint="eastAsia"/>
                <w:color w:val="auto"/>
              </w:rPr>
              <w:t>铂钴色</w:t>
            </w:r>
          </w:p>
          <w:p w14:paraId="53AB5B82">
            <w:pPr>
              <w:pStyle w:val="69"/>
              <w:rPr>
                <w:color w:val="auto"/>
              </w:rPr>
            </w:pPr>
            <w:r>
              <w:rPr>
                <w:rFonts w:hint="eastAsia"/>
                <w:color w:val="auto"/>
              </w:rPr>
              <w:t>度单位</w:t>
            </w:r>
          </w:p>
        </w:tc>
        <w:tc>
          <w:tcPr>
            <w:tcW w:w="576" w:type="dxa"/>
            <w:vAlign w:val="center"/>
          </w:tcPr>
          <w:p w14:paraId="740EA6D9">
            <w:pPr>
              <w:pStyle w:val="69"/>
              <w:rPr>
                <w:color w:val="auto"/>
              </w:rPr>
            </w:pPr>
            <w:r>
              <w:rPr>
                <w:color w:val="auto"/>
              </w:rPr>
              <w:t>21</w:t>
            </w:r>
          </w:p>
        </w:tc>
        <w:tc>
          <w:tcPr>
            <w:tcW w:w="2269" w:type="dxa"/>
            <w:vAlign w:val="center"/>
          </w:tcPr>
          <w:p w14:paraId="188227B8">
            <w:pPr>
              <w:pStyle w:val="69"/>
              <w:rPr>
                <w:color w:val="auto"/>
              </w:rPr>
            </w:pPr>
            <w:r>
              <w:rPr>
                <w:rFonts w:hint="eastAsia"/>
                <w:color w:val="auto"/>
              </w:rPr>
              <w:t>总大肠菌群≤</w:t>
            </w:r>
          </w:p>
        </w:tc>
        <w:tc>
          <w:tcPr>
            <w:tcW w:w="681" w:type="dxa"/>
            <w:vAlign w:val="center"/>
          </w:tcPr>
          <w:p w14:paraId="5EE484C3">
            <w:pPr>
              <w:pStyle w:val="69"/>
              <w:rPr>
                <w:color w:val="auto"/>
              </w:rPr>
            </w:pPr>
            <w:r>
              <w:rPr>
                <w:color w:val="auto"/>
              </w:rPr>
              <w:t>3</w:t>
            </w:r>
          </w:p>
        </w:tc>
        <w:tc>
          <w:tcPr>
            <w:tcW w:w="1014" w:type="dxa"/>
            <w:noWrap/>
            <w:vAlign w:val="center"/>
          </w:tcPr>
          <w:p w14:paraId="08FE92CA">
            <w:pPr>
              <w:pStyle w:val="69"/>
              <w:rPr>
                <w:color w:val="auto"/>
              </w:rPr>
            </w:pPr>
            <w:r>
              <w:rPr>
                <w:rFonts w:hint="eastAsia"/>
                <w:color w:val="auto"/>
              </w:rPr>
              <w:t>CFU/100ml</w:t>
            </w:r>
          </w:p>
        </w:tc>
      </w:tr>
      <w:tr w14:paraId="6F7D40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21" w:type="dxa"/>
            <w:vAlign w:val="center"/>
          </w:tcPr>
          <w:p w14:paraId="3FE32CAC">
            <w:pPr>
              <w:pStyle w:val="69"/>
              <w:rPr>
                <w:color w:val="auto"/>
              </w:rPr>
            </w:pPr>
            <w:r>
              <w:rPr>
                <w:color w:val="auto"/>
              </w:rPr>
              <w:t>2</w:t>
            </w:r>
          </w:p>
        </w:tc>
        <w:tc>
          <w:tcPr>
            <w:tcW w:w="2069" w:type="dxa"/>
            <w:noWrap/>
            <w:vAlign w:val="center"/>
          </w:tcPr>
          <w:p w14:paraId="13F0CA97">
            <w:pPr>
              <w:pStyle w:val="69"/>
              <w:rPr>
                <w:color w:val="auto"/>
              </w:rPr>
            </w:pPr>
            <w:r>
              <w:rPr>
                <w:rFonts w:hint="eastAsia"/>
                <w:color w:val="auto"/>
              </w:rPr>
              <w:t>嗅和味</w:t>
            </w:r>
          </w:p>
        </w:tc>
        <w:tc>
          <w:tcPr>
            <w:tcW w:w="843" w:type="dxa"/>
            <w:noWrap/>
            <w:vAlign w:val="center"/>
          </w:tcPr>
          <w:p w14:paraId="46091C26">
            <w:pPr>
              <w:pStyle w:val="69"/>
              <w:rPr>
                <w:color w:val="auto"/>
              </w:rPr>
            </w:pPr>
            <w:r>
              <w:rPr>
                <w:rFonts w:hint="eastAsia"/>
                <w:color w:val="auto"/>
              </w:rPr>
              <w:t>无</w:t>
            </w:r>
          </w:p>
        </w:tc>
        <w:tc>
          <w:tcPr>
            <w:tcW w:w="988" w:type="dxa"/>
            <w:noWrap/>
            <w:vAlign w:val="center"/>
          </w:tcPr>
          <w:p w14:paraId="69427B70">
            <w:pPr>
              <w:pStyle w:val="69"/>
              <w:rPr>
                <w:color w:val="auto"/>
              </w:rPr>
            </w:pPr>
            <w:r>
              <w:rPr>
                <w:rFonts w:hint="eastAsia"/>
                <w:color w:val="auto"/>
              </w:rPr>
              <w:t>--</w:t>
            </w:r>
          </w:p>
        </w:tc>
        <w:tc>
          <w:tcPr>
            <w:tcW w:w="576" w:type="dxa"/>
            <w:vAlign w:val="center"/>
          </w:tcPr>
          <w:p w14:paraId="0709E897">
            <w:pPr>
              <w:pStyle w:val="69"/>
              <w:rPr>
                <w:color w:val="auto"/>
              </w:rPr>
            </w:pPr>
            <w:r>
              <w:rPr>
                <w:color w:val="auto"/>
              </w:rPr>
              <w:t>22</w:t>
            </w:r>
          </w:p>
        </w:tc>
        <w:tc>
          <w:tcPr>
            <w:tcW w:w="2269" w:type="dxa"/>
            <w:vAlign w:val="center"/>
          </w:tcPr>
          <w:p w14:paraId="3373993A">
            <w:pPr>
              <w:pStyle w:val="69"/>
              <w:rPr>
                <w:color w:val="auto"/>
              </w:rPr>
            </w:pPr>
            <w:r>
              <w:rPr>
                <w:rFonts w:hint="eastAsia"/>
                <w:color w:val="auto"/>
              </w:rPr>
              <w:t>菌落总数≤</w:t>
            </w:r>
          </w:p>
        </w:tc>
        <w:tc>
          <w:tcPr>
            <w:tcW w:w="681" w:type="dxa"/>
            <w:vAlign w:val="center"/>
          </w:tcPr>
          <w:p w14:paraId="510CFCC7">
            <w:pPr>
              <w:pStyle w:val="69"/>
              <w:rPr>
                <w:color w:val="auto"/>
              </w:rPr>
            </w:pPr>
            <w:r>
              <w:rPr>
                <w:color w:val="auto"/>
              </w:rPr>
              <w:t>100</w:t>
            </w:r>
          </w:p>
        </w:tc>
        <w:tc>
          <w:tcPr>
            <w:tcW w:w="1014" w:type="dxa"/>
            <w:noWrap/>
            <w:vAlign w:val="center"/>
          </w:tcPr>
          <w:p w14:paraId="713638E1">
            <w:pPr>
              <w:pStyle w:val="69"/>
              <w:rPr>
                <w:color w:val="auto"/>
              </w:rPr>
            </w:pPr>
            <w:r>
              <w:rPr>
                <w:rFonts w:hint="eastAsia"/>
                <w:color w:val="auto"/>
              </w:rPr>
              <w:t>CFU/ml</w:t>
            </w:r>
          </w:p>
        </w:tc>
      </w:tr>
      <w:tr w14:paraId="5D7241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0F390F45">
            <w:pPr>
              <w:pStyle w:val="69"/>
              <w:rPr>
                <w:color w:val="auto"/>
              </w:rPr>
            </w:pPr>
            <w:r>
              <w:rPr>
                <w:color w:val="auto"/>
              </w:rPr>
              <w:t>3</w:t>
            </w:r>
          </w:p>
        </w:tc>
        <w:tc>
          <w:tcPr>
            <w:tcW w:w="2069" w:type="dxa"/>
            <w:vAlign w:val="center"/>
          </w:tcPr>
          <w:p w14:paraId="062420BE">
            <w:pPr>
              <w:pStyle w:val="69"/>
              <w:rPr>
                <w:color w:val="auto"/>
              </w:rPr>
            </w:pPr>
            <w:r>
              <w:rPr>
                <w:rFonts w:hint="eastAsia"/>
                <w:color w:val="auto"/>
              </w:rPr>
              <w:t>浑浊度≤</w:t>
            </w:r>
          </w:p>
        </w:tc>
        <w:tc>
          <w:tcPr>
            <w:tcW w:w="843" w:type="dxa"/>
            <w:vAlign w:val="center"/>
          </w:tcPr>
          <w:p w14:paraId="3F9F4A0C">
            <w:pPr>
              <w:pStyle w:val="69"/>
              <w:rPr>
                <w:color w:val="auto"/>
              </w:rPr>
            </w:pPr>
            <w:r>
              <w:rPr>
                <w:color w:val="auto"/>
              </w:rPr>
              <w:t>3</w:t>
            </w:r>
          </w:p>
        </w:tc>
        <w:tc>
          <w:tcPr>
            <w:tcW w:w="988" w:type="dxa"/>
            <w:vAlign w:val="center"/>
          </w:tcPr>
          <w:p w14:paraId="1A6A7879">
            <w:pPr>
              <w:pStyle w:val="69"/>
              <w:rPr>
                <w:color w:val="auto"/>
              </w:rPr>
            </w:pPr>
            <w:r>
              <w:rPr>
                <w:color w:val="auto"/>
              </w:rPr>
              <w:t>NTU</w:t>
            </w:r>
          </w:p>
        </w:tc>
        <w:tc>
          <w:tcPr>
            <w:tcW w:w="4540" w:type="dxa"/>
            <w:gridSpan w:val="4"/>
            <w:vAlign w:val="center"/>
          </w:tcPr>
          <w:p w14:paraId="27F3770C">
            <w:pPr>
              <w:pStyle w:val="69"/>
              <w:rPr>
                <w:color w:val="auto"/>
              </w:rPr>
            </w:pPr>
            <w:r>
              <w:rPr>
                <w:rFonts w:hint="eastAsia"/>
                <w:color w:val="auto"/>
              </w:rPr>
              <w:t>毒理学指标</w:t>
            </w:r>
          </w:p>
        </w:tc>
      </w:tr>
      <w:tr w14:paraId="639BF4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39A15311">
            <w:pPr>
              <w:pStyle w:val="69"/>
              <w:rPr>
                <w:color w:val="auto"/>
              </w:rPr>
            </w:pPr>
            <w:r>
              <w:rPr>
                <w:color w:val="auto"/>
              </w:rPr>
              <w:t>4</w:t>
            </w:r>
          </w:p>
        </w:tc>
        <w:tc>
          <w:tcPr>
            <w:tcW w:w="2069" w:type="dxa"/>
            <w:noWrap/>
            <w:vAlign w:val="center"/>
          </w:tcPr>
          <w:p w14:paraId="150BF934">
            <w:pPr>
              <w:pStyle w:val="69"/>
              <w:rPr>
                <w:color w:val="auto"/>
              </w:rPr>
            </w:pPr>
            <w:r>
              <w:rPr>
                <w:rFonts w:hint="eastAsia"/>
                <w:color w:val="auto"/>
              </w:rPr>
              <w:t>肉眼可见物</w:t>
            </w:r>
          </w:p>
        </w:tc>
        <w:tc>
          <w:tcPr>
            <w:tcW w:w="843" w:type="dxa"/>
            <w:noWrap/>
            <w:vAlign w:val="center"/>
          </w:tcPr>
          <w:p w14:paraId="73367AA8">
            <w:pPr>
              <w:pStyle w:val="69"/>
              <w:rPr>
                <w:color w:val="auto"/>
              </w:rPr>
            </w:pPr>
            <w:r>
              <w:rPr>
                <w:rFonts w:hint="eastAsia"/>
                <w:color w:val="auto"/>
              </w:rPr>
              <w:t>无</w:t>
            </w:r>
          </w:p>
        </w:tc>
        <w:tc>
          <w:tcPr>
            <w:tcW w:w="988" w:type="dxa"/>
            <w:noWrap/>
            <w:vAlign w:val="center"/>
          </w:tcPr>
          <w:p w14:paraId="1EF69518">
            <w:pPr>
              <w:pStyle w:val="69"/>
              <w:rPr>
                <w:color w:val="auto"/>
              </w:rPr>
            </w:pPr>
            <w:r>
              <w:rPr>
                <w:rFonts w:hint="eastAsia"/>
                <w:color w:val="auto"/>
              </w:rPr>
              <w:t>-</w:t>
            </w:r>
            <w:r>
              <w:rPr>
                <w:color w:val="auto"/>
              </w:rPr>
              <w:t>-</w:t>
            </w:r>
          </w:p>
        </w:tc>
        <w:tc>
          <w:tcPr>
            <w:tcW w:w="576" w:type="dxa"/>
            <w:vAlign w:val="center"/>
          </w:tcPr>
          <w:p w14:paraId="0F1C374B">
            <w:pPr>
              <w:pStyle w:val="69"/>
              <w:rPr>
                <w:color w:val="auto"/>
              </w:rPr>
            </w:pPr>
            <w:r>
              <w:rPr>
                <w:color w:val="auto"/>
              </w:rPr>
              <w:t>23</w:t>
            </w:r>
          </w:p>
        </w:tc>
        <w:tc>
          <w:tcPr>
            <w:tcW w:w="2269" w:type="dxa"/>
            <w:vAlign w:val="center"/>
          </w:tcPr>
          <w:p w14:paraId="60F1FFAA">
            <w:pPr>
              <w:pStyle w:val="69"/>
              <w:rPr>
                <w:color w:val="auto"/>
              </w:rPr>
            </w:pPr>
            <w:r>
              <w:rPr>
                <w:rFonts w:hint="eastAsia"/>
                <w:color w:val="auto"/>
              </w:rPr>
              <w:t>亚硝酸盐≤</w:t>
            </w:r>
          </w:p>
        </w:tc>
        <w:tc>
          <w:tcPr>
            <w:tcW w:w="681" w:type="dxa"/>
            <w:vAlign w:val="center"/>
          </w:tcPr>
          <w:p w14:paraId="78F334FC">
            <w:pPr>
              <w:pStyle w:val="69"/>
              <w:rPr>
                <w:color w:val="auto"/>
              </w:rPr>
            </w:pPr>
            <w:r>
              <w:rPr>
                <w:color w:val="auto"/>
              </w:rPr>
              <w:t>1</w:t>
            </w:r>
          </w:p>
        </w:tc>
        <w:tc>
          <w:tcPr>
            <w:tcW w:w="1014" w:type="dxa"/>
            <w:noWrap/>
            <w:vAlign w:val="center"/>
          </w:tcPr>
          <w:p w14:paraId="2FA6B295">
            <w:pPr>
              <w:pStyle w:val="69"/>
              <w:rPr>
                <w:color w:val="auto"/>
              </w:rPr>
            </w:pPr>
            <w:r>
              <w:rPr>
                <w:color w:val="auto"/>
              </w:rPr>
              <w:t>mg/L</w:t>
            </w:r>
          </w:p>
        </w:tc>
      </w:tr>
      <w:tr w14:paraId="573733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7A38A99B">
            <w:pPr>
              <w:pStyle w:val="69"/>
              <w:rPr>
                <w:color w:val="auto"/>
              </w:rPr>
            </w:pPr>
            <w:r>
              <w:rPr>
                <w:color w:val="auto"/>
              </w:rPr>
              <w:t>5</w:t>
            </w:r>
          </w:p>
        </w:tc>
        <w:tc>
          <w:tcPr>
            <w:tcW w:w="2069" w:type="dxa"/>
            <w:vAlign w:val="center"/>
          </w:tcPr>
          <w:p w14:paraId="37AE3026">
            <w:pPr>
              <w:pStyle w:val="69"/>
              <w:rPr>
                <w:color w:val="auto"/>
              </w:rPr>
            </w:pPr>
            <w:r>
              <w:rPr>
                <w:color w:val="auto"/>
              </w:rPr>
              <w:t>pH</w:t>
            </w:r>
          </w:p>
        </w:tc>
        <w:tc>
          <w:tcPr>
            <w:tcW w:w="843" w:type="dxa"/>
            <w:vAlign w:val="center"/>
          </w:tcPr>
          <w:p w14:paraId="1921C96F">
            <w:pPr>
              <w:pStyle w:val="69"/>
              <w:rPr>
                <w:color w:val="auto"/>
              </w:rPr>
            </w:pPr>
            <w:r>
              <w:rPr>
                <w:color w:val="auto"/>
              </w:rPr>
              <w:t>6.5</w:t>
            </w:r>
            <w:r>
              <w:rPr>
                <w:rFonts w:hint="eastAsia"/>
                <w:color w:val="auto"/>
              </w:rPr>
              <w:t>～</w:t>
            </w:r>
            <w:r>
              <w:rPr>
                <w:color w:val="auto"/>
              </w:rPr>
              <w:t>8.5</w:t>
            </w:r>
          </w:p>
        </w:tc>
        <w:tc>
          <w:tcPr>
            <w:tcW w:w="988" w:type="dxa"/>
            <w:vAlign w:val="center"/>
          </w:tcPr>
          <w:p w14:paraId="1AC0E478">
            <w:pPr>
              <w:pStyle w:val="69"/>
              <w:rPr>
                <w:color w:val="auto"/>
              </w:rPr>
            </w:pPr>
            <w:r>
              <w:rPr>
                <w:rFonts w:hint="eastAsia"/>
                <w:color w:val="auto"/>
              </w:rPr>
              <w:t>无量纲</w:t>
            </w:r>
          </w:p>
        </w:tc>
        <w:tc>
          <w:tcPr>
            <w:tcW w:w="576" w:type="dxa"/>
            <w:vAlign w:val="center"/>
          </w:tcPr>
          <w:p w14:paraId="2F541354">
            <w:pPr>
              <w:pStyle w:val="69"/>
              <w:rPr>
                <w:color w:val="auto"/>
              </w:rPr>
            </w:pPr>
            <w:r>
              <w:rPr>
                <w:color w:val="auto"/>
              </w:rPr>
              <w:t>24</w:t>
            </w:r>
          </w:p>
        </w:tc>
        <w:tc>
          <w:tcPr>
            <w:tcW w:w="2269" w:type="dxa"/>
            <w:vAlign w:val="center"/>
          </w:tcPr>
          <w:p w14:paraId="20574428">
            <w:pPr>
              <w:pStyle w:val="69"/>
              <w:rPr>
                <w:color w:val="auto"/>
              </w:rPr>
            </w:pPr>
            <w:r>
              <w:rPr>
                <w:rFonts w:hint="eastAsia"/>
                <w:color w:val="auto"/>
              </w:rPr>
              <w:t>硝酸盐（以N计）≤</w:t>
            </w:r>
          </w:p>
        </w:tc>
        <w:tc>
          <w:tcPr>
            <w:tcW w:w="681" w:type="dxa"/>
            <w:vAlign w:val="center"/>
          </w:tcPr>
          <w:p w14:paraId="54C36991">
            <w:pPr>
              <w:pStyle w:val="69"/>
              <w:rPr>
                <w:color w:val="auto"/>
              </w:rPr>
            </w:pPr>
            <w:r>
              <w:rPr>
                <w:color w:val="auto"/>
              </w:rPr>
              <w:t>20</w:t>
            </w:r>
          </w:p>
        </w:tc>
        <w:tc>
          <w:tcPr>
            <w:tcW w:w="1014" w:type="dxa"/>
            <w:vAlign w:val="center"/>
          </w:tcPr>
          <w:p w14:paraId="24D855A1">
            <w:pPr>
              <w:pStyle w:val="69"/>
              <w:rPr>
                <w:color w:val="auto"/>
              </w:rPr>
            </w:pPr>
            <w:r>
              <w:rPr>
                <w:color w:val="auto"/>
              </w:rPr>
              <w:t>mg/L</w:t>
            </w:r>
          </w:p>
        </w:tc>
      </w:tr>
      <w:tr w14:paraId="71350E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0A4A60F7">
            <w:pPr>
              <w:pStyle w:val="69"/>
              <w:rPr>
                <w:color w:val="auto"/>
              </w:rPr>
            </w:pPr>
            <w:r>
              <w:rPr>
                <w:color w:val="auto"/>
              </w:rPr>
              <w:t>6</w:t>
            </w:r>
          </w:p>
        </w:tc>
        <w:tc>
          <w:tcPr>
            <w:tcW w:w="2069" w:type="dxa"/>
            <w:vAlign w:val="center"/>
          </w:tcPr>
          <w:p w14:paraId="09BA2FBC">
            <w:pPr>
              <w:pStyle w:val="69"/>
              <w:rPr>
                <w:color w:val="auto"/>
              </w:rPr>
            </w:pPr>
            <w:r>
              <w:rPr>
                <w:rFonts w:hint="eastAsia"/>
                <w:color w:val="auto"/>
              </w:rPr>
              <w:t>总硬度≤</w:t>
            </w:r>
          </w:p>
        </w:tc>
        <w:tc>
          <w:tcPr>
            <w:tcW w:w="843" w:type="dxa"/>
            <w:vAlign w:val="center"/>
          </w:tcPr>
          <w:p w14:paraId="3D721542">
            <w:pPr>
              <w:pStyle w:val="69"/>
              <w:rPr>
                <w:color w:val="auto"/>
              </w:rPr>
            </w:pPr>
            <w:r>
              <w:rPr>
                <w:color w:val="auto"/>
              </w:rPr>
              <w:t>450</w:t>
            </w:r>
          </w:p>
        </w:tc>
        <w:tc>
          <w:tcPr>
            <w:tcW w:w="988" w:type="dxa"/>
            <w:vAlign w:val="center"/>
          </w:tcPr>
          <w:p w14:paraId="16FFF879">
            <w:pPr>
              <w:pStyle w:val="69"/>
              <w:rPr>
                <w:color w:val="auto"/>
              </w:rPr>
            </w:pPr>
            <w:r>
              <w:rPr>
                <w:color w:val="auto"/>
              </w:rPr>
              <w:t>mg/L</w:t>
            </w:r>
          </w:p>
        </w:tc>
        <w:tc>
          <w:tcPr>
            <w:tcW w:w="576" w:type="dxa"/>
            <w:vAlign w:val="center"/>
          </w:tcPr>
          <w:p w14:paraId="7B1FBB12">
            <w:pPr>
              <w:pStyle w:val="69"/>
              <w:rPr>
                <w:color w:val="auto"/>
              </w:rPr>
            </w:pPr>
            <w:r>
              <w:rPr>
                <w:color w:val="auto"/>
              </w:rPr>
              <w:t>25</w:t>
            </w:r>
          </w:p>
        </w:tc>
        <w:tc>
          <w:tcPr>
            <w:tcW w:w="2269" w:type="dxa"/>
            <w:vAlign w:val="center"/>
          </w:tcPr>
          <w:p w14:paraId="064C7C36">
            <w:pPr>
              <w:pStyle w:val="69"/>
              <w:rPr>
                <w:color w:val="auto"/>
              </w:rPr>
            </w:pPr>
            <w:r>
              <w:rPr>
                <w:rFonts w:hint="eastAsia"/>
                <w:color w:val="auto"/>
              </w:rPr>
              <w:t>氰化物≤</w:t>
            </w:r>
          </w:p>
        </w:tc>
        <w:tc>
          <w:tcPr>
            <w:tcW w:w="681" w:type="dxa"/>
            <w:vAlign w:val="center"/>
          </w:tcPr>
          <w:p w14:paraId="5F7F7BCD">
            <w:pPr>
              <w:pStyle w:val="69"/>
              <w:rPr>
                <w:color w:val="auto"/>
              </w:rPr>
            </w:pPr>
            <w:r>
              <w:rPr>
                <w:color w:val="auto"/>
              </w:rPr>
              <w:t>0.05</w:t>
            </w:r>
          </w:p>
        </w:tc>
        <w:tc>
          <w:tcPr>
            <w:tcW w:w="1014" w:type="dxa"/>
            <w:vAlign w:val="center"/>
          </w:tcPr>
          <w:p w14:paraId="59E88FCD">
            <w:pPr>
              <w:pStyle w:val="69"/>
              <w:rPr>
                <w:color w:val="auto"/>
              </w:rPr>
            </w:pPr>
            <w:r>
              <w:rPr>
                <w:color w:val="auto"/>
              </w:rPr>
              <w:t>mg/L</w:t>
            </w:r>
          </w:p>
        </w:tc>
      </w:tr>
      <w:tr w14:paraId="0FECB8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11A2EDDE">
            <w:pPr>
              <w:pStyle w:val="69"/>
              <w:rPr>
                <w:color w:val="auto"/>
              </w:rPr>
            </w:pPr>
            <w:r>
              <w:rPr>
                <w:color w:val="auto"/>
              </w:rPr>
              <w:t>7</w:t>
            </w:r>
          </w:p>
        </w:tc>
        <w:tc>
          <w:tcPr>
            <w:tcW w:w="2069" w:type="dxa"/>
            <w:vAlign w:val="center"/>
          </w:tcPr>
          <w:p w14:paraId="0776E93F">
            <w:pPr>
              <w:pStyle w:val="69"/>
              <w:rPr>
                <w:color w:val="auto"/>
              </w:rPr>
            </w:pPr>
            <w:r>
              <w:rPr>
                <w:rFonts w:hint="eastAsia"/>
                <w:color w:val="auto"/>
              </w:rPr>
              <w:t>溶解性总固体≤</w:t>
            </w:r>
          </w:p>
        </w:tc>
        <w:tc>
          <w:tcPr>
            <w:tcW w:w="843" w:type="dxa"/>
            <w:vAlign w:val="center"/>
          </w:tcPr>
          <w:p w14:paraId="2CB61C6E">
            <w:pPr>
              <w:pStyle w:val="69"/>
              <w:rPr>
                <w:color w:val="auto"/>
              </w:rPr>
            </w:pPr>
            <w:r>
              <w:rPr>
                <w:color w:val="auto"/>
              </w:rPr>
              <w:t>1000</w:t>
            </w:r>
          </w:p>
        </w:tc>
        <w:tc>
          <w:tcPr>
            <w:tcW w:w="988" w:type="dxa"/>
            <w:vAlign w:val="center"/>
          </w:tcPr>
          <w:p w14:paraId="635206D9">
            <w:pPr>
              <w:pStyle w:val="69"/>
              <w:rPr>
                <w:color w:val="auto"/>
              </w:rPr>
            </w:pPr>
            <w:r>
              <w:rPr>
                <w:color w:val="auto"/>
              </w:rPr>
              <w:t>mg/L</w:t>
            </w:r>
          </w:p>
        </w:tc>
        <w:tc>
          <w:tcPr>
            <w:tcW w:w="576" w:type="dxa"/>
            <w:vAlign w:val="center"/>
          </w:tcPr>
          <w:p w14:paraId="10479EE1">
            <w:pPr>
              <w:pStyle w:val="69"/>
              <w:rPr>
                <w:color w:val="auto"/>
              </w:rPr>
            </w:pPr>
            <w:r>
              <w:rPr>
                <w:color w:val="auto"/>
              </w:rPr>
              <w:t>26</w:t>
            </w:r>
          </w:p>
        </w:tc>
        <w:tc>
          <w:tcPr>
            <w:tcW w:w="2269" w:type="dxa"/>
            <w:vAlign w:val="center"/>
          </w:tcPr>
          <w:p w14:paraId="6CBF9941">
            <w:pPr>
              <w:pStyle w:val="69"/>
              <w:rPr>
                <w:color w:val="auto"/>
              </w:rPr>
            </w:pPr>
            <w:r>
              <w:rPr>
                <w:rFonts w:hint="eastAsia"/>
                <w:color w:val="auto"/>
              </w:rPr>
              <w:t>氟化物≤</w:t>
            </w:r>
          </w:p>
        </w:tc>
        <w:tc>
          <w:tcPr>
            <w:tcW w:w="681" w:type="dxa"/>
            <w:vAlign w:val="center"/>
          </w:tcPr>
          <w:p w14:paraId="19F83649">
            <w:pPr>
              <w:pStyle w:val="69"/>
              <w:rPr>
                <w:color w:val="auto"/>
              </w:rPr>
            </w:pPr>
            <w:r>
              <w:rPr>
                <w:color w:val="auto"/>
              </w:rPr>
              <w:t>1</w:t>
            </w:r>
          </w:p>
        </w:tc>
        <w:tc>
          <w:tcPr>
            <w:tcW w:w="1014" w:type="dxa"/>
            <w:vAlign w:val="center"/>
          </w:tcPr>
          <w:p w14:paraId="40C0CCE4">
            <w:pPr>
              <w:pStyle w:val="69"/>
              <w:rPr>
                <w:color w:val="auto"/>
              </w:rPr>
            </w:pPr>
            <w:r>
              <w:rPr>
                <w:color w:val="auto"/>
              </w:rPr>
              <w:t>mg/L</w:t>
            </w:r>
          </w:p>
        </w:tc>
      </w:tr>
      <w:tr w14:paraId="5D2A1F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3D3CE89D">
            <w:pPr>
              <w:pStyle w:val="69"/>
              <w:rPr>
                <w:color w:val="auto"/>
              </w:rPr>
            </w:pPr>
            <w:r>
              <w:rPr>
                <w:color w:val="auto"/>
              </w:rPr>
              <w:t>8</w:t>
            </w:r>
          </w:p>
        </w:tc>
        <w:tc>
          <w:tcPr>
            <w:tcW w:w="2069" w:type="dxa"/>
            <w:vAlign w:val="center"/>
          </w:tcPr>
          <w:p w14:paraId="100F7E29">
            <w:pPr>
              <w:pStyle w:val="69"/>
              <w:rPr>
                <w:color w:val="auto"/>
              </w:rPr>
            </w:pPr>
            <w:r>
              <w:rPr>
                <w:rFonts w:hint="eastAsia"/>
                <w:color w:val="auto"/>
              </w:rPr>
              <w:t>硫酸盐≤</w:t>
            </w:r>
          </w:p>
        </w:tc>
        <w:tc>
          <w:tcPr>
            <w:tcW w:w="843" w:type="dxa"/>
            <w:vAlign w:val="center"/>
          </w:tcPr>
          <w:p w14:paraId="01B3F55E">
            <w:pPr>
              <w:pStyle w:val="69"/>
              <w:rPr>
                <w:color w:val="auto"/>
              </w:rPr>
            </w:pPr>
            <w:r>
              <w:rPr>
                <w:color w:val="auto"/>
              </w:rPr>
              <w:t>250</w:t>
            </w:r>
          </w:p>
        </w:tc>
        <w:tc>
          <w:tcPr>
            <w:tcW w:w="988" w:type="dxa"/>
            <w:vAlign w:val="center"/>
          </w:tcPr>
          <w:p w14:paraId="1BD7B457">
            <w:pPr>
              <w:pStyle w:val="69"/>
              <w:rPr>
                <w:color w:val="auto"/>
              </w:rPr>
            </w:pPr>
            <w:r>
              <w:rPr>
                <w:color w:val="auto"/>
              </w:rPr>
              <w:t>mg/L</w:t>
            </w:r>
          </w:p>
        </w:tc>
        <w:tc>
          <w:tcPr>
            <w:tcW w:w="576" w:type="dxa"/>
            <w:vAlign w:val="center"/>
          </w:tcPr>
          <w:p w14:paraId="4523DDF8">
            <w:pPr>
              <w:pStyle w:val="69"/>
              <w:rPr>
                <w:color w:val="auto"/>
              </w:rPr>
            </w:pPr>
            <w:r>
              <w:rPr>
                <w:color w:val="auto"/>
              </w:rPr>
              <w:t>27</w:t>
            </w:r>
          </w:p>
        </w:tc>
        <w:tc>
          <w:tcPr>
            <w:tcW w:w="2269" w:type="dxa"/>
            <w:vAlign w:val="center"/>
          </w:tcPr>
          <w:p w14:paraId="0EF50F3D">
            <w:pPr>
              <w:pStyle w:val="69"/>
              <w:rPr>
                <w:color w:val="auto"/>
              </w:rPr>
            </w:pPr>
            <w:r>
              <w:rPr>
                <w:rFonts w:hint="eastAsia"/>
                <w:color w:val="auto"/>
              </w:rPr>
              <w:t>碘化物≤</w:t>
            </w:r>
          </w:p>
        </w:tc>
        <w:tc>
          <w:tcPr>
            <w:tcW w:w="681" w:type="dxa"/>
            <w:vAlign w:val="center"/>
          </w:tcPr>
          <w:p w14:paraId="3CF69267">
            <w:pPr>
              <w:pStyle w:val="69"/>
              <w:rPr>
                <w:color w:val="auto"/>
              </w:rPr>
            </w:pPr>
            <w:r>
              <w:rPr>
                <w:color w:val="auto"/>
              </w:rPr>
              <w:t>0.08</w:t>
            </w:r>
          </w:p>
        </w:tc>
        <w:tc>
          <w:tcPr>
            <w:tcW w:w="1014" w:type="dxa"/>
            <w:vAlign w:val="center"/>
          </w:tcPr>
          <w:p w14:paraId="0837134B">
            <w:pPr>
              <w:pStyle w:val="69"/>
              <w:rPr>
                <w:color w:val="auto"/>
              </w:rPr>
            </w:pPr>
            <w:r>
              <w:rPr>
                <w:color w:val="auto"/>
              </w:rPr>
              <w:t>mg/L</w:t>
            </w:r>
          </w:p>
        </w:tc>
      </w:tr>
      <w:tr w14:paraId="247F98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47F35B7F">
            <w:pPr>
              <w:pStyle w:val="69"/>
              <w:rPr>
                <w:color w:val="auto"/>
              </w:rPr>
            </w:pPr>
            <w:r>
              <w:rPr>
                <w:color w:val="auto"/>
              </w:rPr>
              <w:t>9</w:t>
            </w:r>
          </w:p>
        </w:tc>
        <w:tc>
          <w:tcPr>
            <w:tcW w:w="2069" w:type="dxa"/>
            <w:vAlign w:val="center"/>
          </w:tcPr>
          <w:p w14:paraId="3ADB4A48">
            <w:pPr>
              <w:pStyle w:val="69"/>
              <w:rPr>
                <w:color w:val="auto"/>
              </w:rPr>
            </w:pPr>
            <w:r>
              <w:rPr>
                <w:rFonts w:hint="eastAsia"/>
                <w:color w:val="auto"/>
              </w:rPr>
              <w:t>氯化物≤</w:t>
            </w:r>
          </w:p>
        </w:tc>
        <w:tc>
          <w:tcPr>
            <w:tcW w:w="843" w:type="dxa"/>
            <w:vAlign w:val="center"/>
          </w:tcPr>
          <w:p w14:paraId="6BD5CB14">
            <w:pPr>
              <w:pStyle w:val="69"/>
              <w:rPr>
                <w:color w:val="auto"/>
              </w:rPr>
            </w:pPr>
            <w:r>
              <w:rPr>
                <w:color w:val="auto"/>
              </w:rPr>
              <w:t>250</w:t>
            </w:r>
          </w:p>
        </w:tc>
        <w:tc>
          <w:tcPr>
            <w:tcW w:w="988" w:type="dxa"/>
            <w:vAlign w:val="center"/>
          </w:tcPr>
          <w:p w14:paraId="56A6EA0D">
            <w:pPr>
              <w:pStyle w:val="69"/>
              <w:rPr>
                <w:color w:val="auto"/>
              </w:rPr>
            </w:pPr>
            <w:r>
              <w:rPr>
                <w:color w:val="auto"/>
              </w:rPr>
              <w:t>mg/L</w:t>
            </w:r>
          </w:p>
        </w:tc>
        <w:tc>
          <w:tcPr>
            <w:tcW w:w="576" w:type="dxa"/>
            <w:vAlign w:val="center"/>
          </w:tcPr>
          <w:p w14:paraId="3C870CE0">
            <w:pPr>
              <w:pStyle w:val="69"/>
              <w:rPr>
                <w:color w:val="auto"/>
              </w:rPr>
            </w:pPr>
            <w:r>
              <w:rPr>
                <w:color w:val="auto"/>
              </w:rPr>
              <w:t>28</w:t>
            </w:r>
          </w:p>
        </w:tc>
        <w:tc>
          <w:tcPr>
            <w:tcW w:w="2269" w:type="dxa"/>
            <w:vAlign w:val="center"/>
          </w:tcPr>
          <w:p w14:paraId="0A016669">
            <w:pPr>
              <w:pStyle w:val="69"/>
              <w:rPr>
                <w:color w:val="auto"/>
              </w:rPr>
            </w:pPr>
            <w:r>
              <w:rPr>
                <w:rFonts w:hint="eastAsia"/>
                <w:color w:val="auto"/>
              </w:rPr>
              <w:t>汞≤</w:t>
            </w:r>
          </w:p>
        </w:tc>
        <w:tc>
          <w:tcPr>
            <w:tcW w:w="681" w:type="dxa"/>
            <w:vAlign w:val="center"/>
          </w:tcPr>
          <w:p w14:paraId="46618F96">
            <w:pPr>
              <w:pStyle w:val="69"/>
              <w:rPr>
                <w:color w:val="auto"/>
              </w:rPr>
            </w:pPr>
            <w:r>
              <w:rPr>
                <w:color w:val="auto"/>
              </w:rPr>
              <w:t>0.001</w:t>
            </w:r>
          </w:p>
        </w:tc>
        <w:tc>
          <w:tcPr>
            <w:tcW w:w="1014" w:type="dxa"/>
            <w:vAlign w:val="center"/>
          </w:tcPr>
          <w:p w14:paraId="17BADFA4">
            <w:pPr>
              <w:pStyle w:val="69"/>
              <w:rPr>
                <w:color w:val="auto"/>
              </w:rPr>
            </w:pPr>
            <w:r>
              <w:rPr>
                <w:color w:val="auto"/>
              </w:rPr>
              <w:t>mg/L</w:t>
            </w:r>
          </w:p>
        </w:tc>
      </w:tr>
      <w:tr w14:paraId="6DBFF8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2B3DA9F1">
            <w:pPr>
              <w:pStyle w:val="69"/>
              <w:rPr>
                <w:color w:val="auto"/>
              </w:rPr>
            </w:pPr>
            <w:r>
              <w:rPr>
                <w:color w:val="auto"/>
              </w:rPr>
              <w:t>10</w:t>
            </w:r>
          </w:p>
        </w:tc>
        <w:tc>
          <w:tcPr>
            <w:tcW w:w="2069" w:type="dxa"/>
            <w:vAlign w:val="center"/>
          </w:tcPr>
          <w:p w14:paraId="198A7B3A">
            <w:pPr>
              <w:pStyle w:val="69"/>
              <w:rPr>
                <w:color w:val="auto"/>
              </w:rPr>
            </w:pPr>
            <w:r>
              <w:rPr>
                <w:rFonts w:hint="eastAsia"/>
                <w:color w:val="auto"/>
              </w:rPr>
              <w:t>铁≤</w:t>
            </w:r>
          </w:p>
        </w:tc>
        <w:tc>
          <w:tcPr>
            <w:tcW w:w="843" w:type="dxa"/>
            <w:vAlign w:val="center"/>
          </w:tcPr>
          <w:p w14:paraId="3AD48639">
            <w:pPr>
              <w:pStyle w:val="69"/>
              <w:rPr>
                <w:color w:val="auto"/>
              </w:rPr>
            </w:pPr>
            <w:r>
              <w:rPr>
                <w:color w:val="auto"/>
              </w:rPr>
              <w:t>0.3</w:t>
            </w:r>
          </w:p>
        </w:tc>
        <w:tc>
          <w:tcPr>
            <w:tcW w:w="988" w:type="dxa"/>
            <w:vAlign w:val="center"/>
          </w:tcPr>
          <w:p w14:paraId="7C16710B">
            <w:pPr>
              <w:pStyle w:val="69"/>
              <w:rPr>
                <w:color w:val="auto"/>
              </w:rPr>
            </w:pPr>
            <w:r>
              <w:rPr>
                <w:color w:val="auto"/>
              </w:rPr>
              <w:t>mg/L</w:t>
            </w:r>
          </w:p>
        </w:tc>
        <w:tc>
          <w:tcPr>
            <w:tcW w:w="576" w:type="dxa"/>
            <w:vAlign w:val="center"/>
          </w:tcPr>
          <w:p w14:paraId="450EECFC">
            <w:pPr>
              <w:pStyle w:val="69"/>
              <w:rPr>
                <w:color w:val="auto"/>
              </w:rPr>
            </w:pPr>
            <w:r>
              <w:rPr>
                <w:color w:val="auto"/>
              </w:rPr>
              <w:t>29</w:t>
            </w:r>
          </w:p>
        </w:tc>
        <w:tc>
          <w:tcPr>
            <w:tcW w:w="2269" w:type="dxa"/>
            <w:vAlign w:val="center"/>
          </w:tcPr>
          <w:p w14:paraId="744643A9">
            <w:pPr>
              <w:pStyle w:val="69"/>
              <w:rPr>
                <w:color w:val="auto"/>
              </w:rPr>
            </w:pPr>
            <w:r>
              <w:rPr>
                <w:rFonts w:hint="eastAsia"/>
                <w:color w:val="auto"/>
              </w:rPr>
              <w:t>砷≤</w:t>
            </w:r>
          </w:p>
        </w:tc>
        <w:tc>
          <w:tcPr>
            <w:tcW w:w="681" w:type="dxa"/>
            <w:vAlign w:val="center"/>
          </w:tcPr>
          <w:p w14:paraId="3F896F33">
            <w:pPr>
              <w:pStyle w:val="69"/>
              <w:rPr>
                <w:color w:val="auto"/>
              </w:rPr>
            </w:pPr>
            <w:r>
              <w:rPr>
                <w:color w:val="auto"/>
              </w:rPr>
              <w:t>0.01</w:t>
            </w:r>
          </w:p>
        </w:tc>
        <w:tc>
          <w:tcPr>
            <w:tcW w:w="1014" w:type="dxa"/>
            <w:vAlign w:val="center"/>
          </w:tcPr>
          <w:p w14:paraId="3F895FAF">
            <w:pPr>
              <w:pStyle w:val="69"/>
              <w:rPr>
                <w:color w:val="auto"/>
              </w:rPr>
            </w:pPr>
            <w:r>
              <w:rPr>
                <w:color w:val="auto"/>
              </w:rPr>
              <w:t>mg/L</w:t>
            </w:r>
          </w:p>
        </w:tc>
      </w:tr>
      <w:tr w14:paraId="6A84B7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26AC1839">
            <w:pPr>
              <w:pStyle w:val="69"/>
              <w:rPr>
                <w:color w:val="auto"/>
              </w:rPr>
            </w:pPr>
            <w:r>
              <w:rPr>
                <w:color w:val="auto"/>
              </w:rPr>
              <w:t>11</w:t>
            </w:r>
          </w:p>
        </w:tc>
        <w:tc>
          <w:tcPr>
            <w:tcW w:w="2069" w:type="dxa"/>
            <w:vAlign w:val="center"/>
          </w:tcPr>
          <w:p w14:paraId="6D8CFCD5">
            <w:pPr>
              <w:pStyle w:val="69"/>
              <w:rPr>
                <w:color w:val="auto"/>
              </w:rPr>
            </w:pPr>
            <w:r>
              <w:rPr>
                <w:rFonts w:hint="eastAsia"/>
                <w:color w:val="auto"/>
              </w:rPr>
              <w:t>锰≤</w:t>
            </w:r>
          </w:p>
        </w:tc>
        <w:tc>
          <w:tcPr>
            <w:tcW w:w="843" w:type="dxa"/>
            <w:vAlign w:val="center"/>
          </w:tcPr>
          <w:p w14:paraId="0C525D54">
            <w:pPr>
              <w:pStyle w:val="69"/>
              <w:rPr>
                <w:color w:val="auto"/>
              </w:rPr>
            </w:pPr>
            <w:r>
              <w:rPr>
                <w:color w:val="auto"/>
              </w:rPr>
              <w:t>0.1</w:t>
            </w:r>
          </w:p>
        </w:tc>
        <w:tc>
          <w:tcPr>
            <w:tcW w:w="988" w:type="dxa"/>
            <w:vAlign w:val="center"/>
          </w:tcPr>
          <w:p w14:paraId="162AB886">
            <w:pPr>
              <w:pStyle w:val="69"/>
              <w:rPr>
                <w:color w:val="auto"/>
              </w:rPr>
            </w:pPr>
            <w:r>
              <w:rPr>
                <w:color w:val="auto"/>
              </w:rPr>
              <w:t>mg/L</w:t>
            </w:r>
          </w:p>
        </w:tc>
        <w:tc>
          <w:tcPr>
            <w:tcW w:w="576" w:type="dxa"/>
            <w:vAlign w:val="center"/>
          </w:tcPr>
          <w:p w14:paraId="6CD05CBA">
            <w:pPr>
              <w:pStyle w:val="69"/>
              <w:rPr>
                <w:color w:val="auto"/>
              </w:rPr>
            </w:pPr>
            <w:r>
              <w:rPr>
                <w:color w:val="auto"/>
              </w:rPr>
              <w:t>30</w:t>
            </w:r>
          </w:p>
        </w:tc>
        <w:tc>
          <w:tcPr>
            <w:tcW w:w="2269" w:type="dxa"/>
            <w:vAlign w:val="center"/>
          </w:tcPr>
          <w:p w14:paraId="00A9A55A">
            <w:pPr>
              <w:pStyle w:val="69"/>
              <w:rPr>
                <w:color w:val="auto"/>
              </w:rPr>
            </w:pPr>
            <w:r>
              <w:rPr>
                <w:rFonts w:hint="eastAsia"/>
                <w:color w:val="auto"/>
              </w:rPr>
              <w:t>硒≤</w:t>
            </w:r>
          </w:p>
        </w:tc>
        <w:tc>
          <w:tcPr>
            <w:tcW w:w="681" w:type="dxa"/>
            <w:vAlign w:val="center"/>
          </w:tcPr>
          <w:p w14:paraId="43FC6189">
            <w:pPr>
              <w:pStyle w:val="69"/>
              <w:rPr>
                <w:color w:val="auto"/>
              </w:rPr>
            </w:pPr>
            <w:r>
              <w:rPr>
                <w:color w:val="auto"/>
              </w:rPr>
              <w:t>0.01</w:t>
            </w:r>
          </w:p>
        </w:tc>
        <w:tc>
          <w:tcPr>
            <w:tcW w:w="1014" w:type="dxa"/>
            <w:vAlign w:val="center"/>
          </w:tcPr>
          <w:p w14:paraId="43C5C165">
            <w:pPr>
              <w:pStyle w:val="69"/>
              <w:rPr>
                <w:color w:val="auto"/>
              </w:rPr>
            </w:pPr>
            <w:r>
              <w:rPr>
                <w:color w:val="auto"/>
              </w:rPr>
              <w:t>mg/L</w:t>
            </w:r>
          </w:p>
        </w:tc>
      </w:tr>
      <w:tr w14:paraId="3E7ADF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7AF3D036">
            <w:pPr>
              <w:pStyle w:val="69"/>
              <w:rPr>
                <w:color w:val="auto"/>
              </w:rPr>
            </w:pPr>
            <w:r>
              <w:rPr>
                <w:color w:val="auto"/>
              </w:rPr>
              <w:t>12</w:t>
            </w:r>
          </w:p>
        </w:tc>
        <w:tc>
          <w:tcPr>
            <w:tcW w:w="2069" w:type="dxa"/>
            <w:vAlign w:val="center"/>
          </w:tcPr>
          <w:p w14:paraId="3842ADDB">
            <w:pPr>
              <w:pStyle w:val="69"/>
              <w:rPr>
                <w:color w:val="auto"/>
              </w:rPr>
            </w:pPr>
            <w:r>
              <w:rPr>
                <w:rFonts w:hint="eastAsia"/>
                <w:color w:val="auto"/>
              </w:rPr>
              <w:t>铜≤</w:t>
            </w:r>
          </w:p>
        </w:tc>
        <w:tc>
          <w:tcPr>
            <w:tcW w:w="843" w:type="dxa"/>
            <w:vAlign w:val="center"/>
          </w:tcPr>
          <w:p w14:paraId="59BB243C">
            <w:pPr>
              <w:pStyle w:val="69"/>
              <w:rPr>
                <w:color w:val="auto"/>
              </w:rPr>
            </w:pPr>
            <w:r>
              <w:rPr>
                <w:color w:val="auto"/>
              </w:rPr>
              <w:t>1</w:t>
            </w:r>
          </w:p>
        </w:tc>
        <w:tc>
          <w:tcPr>
            <w:tcW w:w="988" w:type="dxa"/>
            <w:vAlign w:val="center"/>
          </w:tcPr>
          <w:p w14:paraId="2E0D70EF">
            <w:pPr>
              <w:pStyle w:val="69"/>
              <w:rPr>
                <w:color w:val="auto"/>
              </w:rPr>
            </w:pPr>
            <w:r>
              <w:rPr>
                <w:color w:val="auto"/>
              </w:rPr>
              <w:t>mg/L</w:t>
            </w:r>
          </w:p>
        </w:tc>
        <w:tc>
          <w:tcPr>
            <w:tcW w:w="576" w:type="dxa"/>
            <w:vAlign w:val="center"/>
          </w:tcPr>
          <w:p w14:paraId="2DDF9EFD">
            <w:pPr>
              <w:pStyle w:val="69"/>
              <w:rPr>
                <w:color w:val="auto"/>
              </w:rPr>
            </w:pPr>
            <w:r>
              <w:rPr>
                <w:color w:val="auto"/>
              </w:rPr>
              <w:t>31</w:t>
            </w:r>
          </w:p>
        </w:tc>
        <w:tc>
          <w:tcPr>
            <w:tcW w:w="2269" w:type="dxa"/>
            <w:vAlign w:val="center"/>
          </w:tcPr>
          <w:p w14:paraId="0D4894E3">
            <w:pPr>
              <w:pStyle w:val="69"/>
              <w:rPr>
                <w:color w:val="auto"/>
              </w:rPr>
            </w:pPr>
            <w:r>
              <w:rPr>
                <w:rFonts w:hint="eastAsia"/>
                <w:color w:val="auto"/>
              </w:rPr>
              <w:t>镉≤</w:t>
            </w:r>
          </w:p>
        </w:tc>
        <w:tc>
          <w:tcPr>
            <w:tcW w:w="681" w:type="dxa"/>
            <w:vAlign w:val="center"/>
          </w:tcPr>
          <w:p w14:paraId="31C4850B">
            <w:pPr>
              <w:pStyle w:val="69"/>
              <w:rPr>
                <w:color w:val="auto"/>
              </w:rPr>
            </w:pPr>
            <w:r>
              <w:rPr>
                <w:color w:val="auto"/>
              </w:rPr>
              <w:t>0.005</w:t>
            </w:r>
          </w:p>
        </w:tc>
        <w:tc>
          <w:tcPr>
            <w:tcW w:w="1014" w:type="dxa"/>
            <w:vAlign w:val="center"/>
          </w:tcPr>
          <w:p w14:paraId="6ECD08AE">
            <w:pPr>
              <w:pStyle w:val="69"/>
              <w:rPr>
                <w:color w:val="auto"/>
              </w:rPr>
            </w:pPr>
            <w:r>
              <w:rPr>
                <w:color w:val="auto"/>
              </w:rPr>
              <w:t>mg/L</w:t>
            </w:r>
          </w:p>
        </w:tc>
      </w:tr>
      <w:tr w14:paraId="1AE0C8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4493189F">
            <w:pPr>
              <w:pStyle w:val="69"/>
              <w:rPr>
                <w:color w:val="auto"/>
              </w:rPr>
            </w:pPr>
            <w:r>
              <w:rPr>
                <w:color w:val="auto"/>
              </w:rPr>
              <w:t>13</w:t>
            </w:r>
          </w:p>
        </w:tc>
        <w:tc>
          <w:tcPr>
            <w:tcW w:w="2069" w:type="dxa"/>
            <w:vAlign w:val="center"/>
          </w:tcPr>
          <w:p w14:paraId="48C7CA17">
            <w:pPr>
              <w:pStyle w:val="69"/>
              <w:rPr>
                <w:color w:val="auto"/>
              </w:rPr>
            </w:pPr>
            <w:r>
              <w:rPr>
                <w:rFonts w:hint="eastAsia"/>
                <w:color w:val="auto"/>
              </w:rPr>
              <w:t>锌≤</w:t>
            </w:r>
          </w:p>
        </w:tc>
        <w:tc>
          <w:tcPr>
            <w:tcW w:w="843" w:type="dxa"/>
            <w:vAlign w:val="center"/>
          </w:tcPr>
          <w:p w14:paraId="2BEE4A5C">
            <w:pPr>
              <w:pStyle w:val="69"/>
              <w:rPr>
                <w:color w:val="auto"/>
              </w:rPr>
            </w:pPr>
            <w:r>
              <w:rPr>
                <w:color w:val="auto"/>
              </w:rPr>
              <w:t>1</w:t>
            </w:r>
          </w:p>
        </w:tc>
        <w:tc>
          <w:tcPr>
            <w:tcW w:w="988" w:type="dxa"/>
            <w:vAlign w:val="center"/>
          </w:tcPr>
          <w:p w14:paraId="162F09D3">
            <w:pPr>
              <w:pStyle w:val="69"/>
              <w:rPr>
                <w:color w:val="auto"/>
              </w:rPr>
            </w:pPr>
            <w:r>
              <w:rPr>
                <w:color w:val="auto"/>
              </w:rPr>
              <w:t>mg/L</w:t>
            </w:r>
          </w:p>
        </w:tc>
        <w:tc>
          <w:tcPr>
            <w:tcW w:w="576" w:type="dxa"/>
            <w:vAlign w:val="center"/>
          </w:tcPr>
          <w:p w14:paraId="496540B7">
            <w:pPr>
              <w:pStyle w:val="69"/>
              <w:rPr>
                <w:color w:val="auto"/>
              </w:rPr>
            </w:pPr>
            <w:r>
              <w:rPr>
                <w:color w:val="auto"/>
              </w:rPr>
              <w:t>32</w:t>
            </w:r>
          </w:p>
        </w:tc>
        <w:tc>
          <w:tcPr>
            <w:tcW w:w="2269" w:type="dxa"/>
            <w:vAlign w:val="center"/>
          </w:tcPr>
          <w:p w14:paraId="3B2B107E">
            <w:pPr>
              <w:pStyle w:val="69"/>
              <w:rPr>
                <w:color w:val="auto"/>
              </w:rPr>
            </w:pPr>
            <w:r>
              <w:rPr>
                <w:rFonts w:hint="eastAsia"/>
                <w:color w:val="auto"/>
              </w:rPr>
              <w:t>铬≤</w:t>
            </w:r>
          </w:p>
        </w:tc>
        <w:tc>
          <w:tcPr>
            <w:tcW w:w="681" w:type="dxa"/>
            <w:vAlign w:val="center"/>
          </w:tcPr>
          <w:p w14:paraId="580201AC">
            <w:pPr>
              <w:pStyle w:val="69"/>
              <w:rPr>
                <w:color w:val="auto"/>
              </w:rPr>
            </w:pPr>
            <w:r>
              <w:rPr>
                <w:color w:val="auto"/>
              </w:rPr>
              <w:t>0.05</w:t>
            </w:r>
          </w:p>
        </w:tc>
        <w:tc>
          <w:tcPr>
            <w:tcW w:w="1014" w:type="dxa"/>
            <w:vAlign w:val="center"/>
          </w:tcPr>
          <w:p w14:paraId="4E3552FA">
            <w:pPr>
              <w:pStyle w:val="69"/>
              <w:rPr>
                <w:color w:val="auto"/>
              </w:rPr>
            </w:pPr>
            <w:r>
              <w:rPr>
                <w:color w:val="auto"/>
              </w:rPr>
              <w:t>mg/L</w:t>
            </w:r>
          </w:p>
        </w:tc>
      </w:tr>
      <w:tr w14:paraId="5F9B27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12AF7722">
            <w:pPr>
              <w:pStyle w:val="69"/>
              <w:rPr>
                <w:color w:val="auto"/>
              </w:rPr>
            </w:pPr>
            <w:r>
              <w:rPr>
                <w:color w:val="auto"/>
              </w:rPr>
              <w:t>14</w:t>
            </w:r>
          </w:p>
        </w:tc>
        <w:tc>
          <w:tcPr>
            <w:tcW w:w="2069" w:type="dxa"/>
            <w:vAlign w:val="center"/>
          </w:tcPr>
          <w:p w14:paraId="34DC09E8">
            <w:pPr>
              <w:pStyle w:val="69"/>
              <w:rPr>
                <w:color w:val="auto"/>
              </w:rPr>
            </w:pPr>
            <w:r>
              <w:rPr>
                <w:rFonts w:hint="eastAsia"/>
                <w:color w:val="auto"/>
              </w:rPr>
              <w:t>铝≤</w:t>
            </w:r>
          </w:p>
        </w:tc>
        <w:tc>
          <w:tcPr>
            <w:tcW w:w="843" w:type="dxa"/>
            <w:vAlign w:val="center"/>
          </w:tcPr>
          <w:p w14:paraId="66EC2664">
            <w:pPr>
              <w:pStyle w:val="69"/>
              <w:rPr>
                <w:color w:val="auto"/>
              </w:rPr>
            </w:pPr>
            <w:r>
              <w:rPr>
                <w:color w:val="auto"/>
              </w:rPr>
              <w:t>0.2</w:t>
            </w:r>
          </w:p>
        </w:tc>
        <w:tc>
          <w:tcPr>
            <w:tcW w:w="988" w:type="dxa"/>
            <w:vAlign w:val="center"/>
          </w:tcPr>
          <w:p w14:paraId="72255F30">
            <w:pPr>
              <w:pStyle w:val="69"/>
              <w:rPr>
                <w:color w:val="auto"/>
              </w:rPr>
            </w:pPr>
            <w:r>
              <w:rPr>
                <w:color w:val="auto"/>
              </w:rPr>
              <w:t>mg/L</w:t>
            </w:r>
          </w:p>
        </w:tc>
        <w:tc>
          <w:tcPr>
            <w:tcW w:w="576" w:type="dxa"/>
            <w:vAlign w:val="center"/>
          </w:tcPr>
          <w:p w14:paraId="345A60F5">
            <w:pPr>
              <w:pStyle w:val="69"/>
              <w:rPr>
                <w:color w:val="auto"/>
              </w:rPr>
            </w:pPr>
          </w:p>
        </w:tc>
        <w:tc>
          <w:tcPr>
            <w:tcW w:w="2269" w:type="dxa"/>
            <w:vAlign w:val="center"/>
          </w:tcPr>
          <w:p w14:paraId="5DFC416B">
            <w:pPr>
              <w:pStyle w:val="69"/>
              <w:rPr>
                <w:color w:val="auto"/>
              </w:rPr>
            </w:pPr>
          </w:p>
        </w:tc>
        <w:tc>
          <w:tcPr>
            <w:tcW w:w="681" w:type="dxa"/>
            <w:vAlign w:val="center"/>
          </w:tcPr>
          <w:p w14:paraId="3EBF54A9">
            <w:pPr>
              <w:pStyle w:val="69"/>
              <w:rPr>
                <w:color w:val="auto"/>
              </w:rPr>
            </w:pPr>
          </w:p>
        </w:tc>
        <w:tc>
          <w:tcPr>
            <w:tcW w:w="1014" w:type="dxa"/>
            <w:vAlign w:val="center"/>
          </w:tcPr>
          <w:p w14:paraId="1B2609D9">
            <w:pPr>
              <w:pStyle w:val="69"/>
              <w:rPr>
                <w:color w:val="auto"/>
              </w:rPr>
            </w:pPr>
          </w:p>
        </w:tc>
      </w:tr>
      <w:tr w14:paraId="64DE3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017AAB53">
            <w:pPr>
              <w:pStyle w:val="69"/>
              <w:rPr>
                <w:color w:val="auto"/>
              </w:rPr>
            </w:pPr>
            <w:r>
              <w:rPr>
                <w:color w:val="auto"/>
              </w:rPr>
              <w:t>15</w:t>
            </w:r>
          </w:p>
        </w:tc>
        <w:tc>
          <w:tcPr>
            <w:tcW w:w="2069" w:type="dxa"/>
            <w:vAlign w:val="center"/>
          </w:tcPr>
          <w:p w14:paraId="1BD5E7C6">
            <w:pPr>
              <w:pStyle w:val="69"/>
              <w:rPr>
                <w:color w:val="auto"/>
              </w:rPr>
            </w:pPr>
            <w:r>
              <w:rPr>
                <w:rFonts w:hint="eastAsia"/>
                <w:color w:val="auto"/>
              </w:rPr>
              <w:t>挥发性酚类（以苯酚计）≤</w:t>
            </w:r>
          </w:p>
        </w:tc>
        <w:tc>
          <w:tcPr>
            <w:tcW w:w="843" w:type="dxa"/>
            <w:vAlign w:val="center"/>
          </w:tcPr>
          <w:p w14:paraId="02109801">
            <w:pPr>
              <w:pStyle w:val="69"/>
              <w:rPr>
                <w:color w:val="auto"/>
              </w:rPr>
            </w:pPr>
            <w:r>
              <w:rPr>
                <w:color w:val="auto"/>
              </w:rPr>
              <w:t>0.002</w:t>
            </w:r>
          </w:p>
        </w:tc>
        <w:tc>
          <w:tcPr>
            <w:tcW w:w="988" w:type="dxa"/>
            <w:vAlign w:val="center"/>
          </w:tcPr>
          <w:p w14:paraId="48621FF7">
            <w:pPr>
              <w:pStyle w:val="69"/>
              <w:rPr>
                <w:color w:val="auto"/>
              </w:rPr>
            </w:pPr>
            <w:r>
              <w:rPr>
                <w:color w:val="auto"/>
              </w:rPr>
              <w:t>mg/L</w:t>
            </w:r>
          </w:p>
        </w:tc>
        <w:tc>
          <w:tcPr>
            <w:tcW w:w="576" w:type="dxa"/>
            <w:vAlign w:val="center"/>
          </w:tcPr>
          <w:p w14:paraId="286044F2">
            <w:pPr>
              <w:pStyle w:val="69"/>
              <w:rPr>
                <w:color w:val="auto"/>
              </w:rPr>
            </w:pPr>
            <w:r>
              <w:rPr>
                <w:color w:val="auto"/>
              </w:rPr>
              <w:t>33</w:t>
            </w:r>
          </w:p>
        </w:tc>
        <w:tc>
          <w:tcPr>
            <w:tcW w:w="2269" w:type="dxa"/>
            <w:vAlign w:val="center"/>
          </w:tcPr>
          <w:p w14:paraId="1F9980F4">
            <w:pPr>
              <w:pStyle w:val="69"/>
              <w:rPr>
                <w:color w:val="auto"/>
              </w:rPr>
            </w:pPr>
            <w:r>
              <w:rPr>
                <w:rFonts w:hint="eastAsia"/>
                <w:color w:val="auto"/>
              </w:rPr>
              <w:t>铅≤</w:t>
            </w:r>
          </w:p>
        </w:tc>
        <w:tc>
          <w:tcPr>
            <w:tcW w:w="681" w:type="dxa"/>
            <w:vAlign w:val="center"/>
          </w:tcPr>
          <w:p w14:paraId="0906A69D">
            <w:pPr>
              <w:pStyle w:val="69"/>
              <w:rPr>
                <w:color w:val="auto"/>
              </w:rPr>
            </w:pPr>
            <w:r>
              <w:rPr>
                <w:color w:val="auto"/>
              </w:rPr>
              <w:t>0.01</w:t>
            </w:r>
          </w:p>
        </w:tc>
        <w:tc>
          <w:tcPr>
            <w:tcW w:w="1014" w:type="dxa"/>
            <w:vAlign w:val="center"/>
          </w:tcPr>
          <w:p w14:paraId="788B6AA1">
            <w:pPr>
              <w:pStyle w:val="69"/>
              <w:rPr>
                <w:color w:val="auto"/>
              </w:rPr>
            </w:pPr>
            <w:r>
              <w:rPr>
                <w:color w:val="auto"/>
              </w:rPr>
              <w:t>mg/L</w:t>
            </w:r>
          </w:p>
        </w:tc>
      </w:tr>
      <w:tr w14:paraId="2856C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6CF067A8">
            <w:pPr>
              <w:pStyle w:val="69"/>
              <w:rPr>
                <w:color w:val="auto"/>
              </w:rPr>
            </w:pPr>
            <w:r>
              <w:rPr>
                <w:color w:val="auto"/>
              </w:rPr>
              <w:t>16</w:t>
            </w:r>
          </w:p>
        </w:tc>
        <w:tc>
          <w:tcPr>
            <w:tcW w:w="2069" w:type="dxa"/>
            <w:vAlign w:val="center"/>
          </w:tcPr>
          <w:p w14:paraId="6D5ACBA1">
            <w:pPr>
              <w:pStyle w:val="69"/>
              <w:rPr>
                <w:color w:val="auto"/>
              </w:rPr>
            </w:pPr>
            <w:r>
              <w:rPr>
                <w:rFonts w:hint="eastAsia"/>
                <w:color w:val="auto"/>
              </w:rPr>
              <w:t>阴离子表面活性剂≤</w:t>
            </w:r>
          </w:p>
        </w:tc>
        <w:tc>
          <w:tcPr>
            <w:tcW w:w="843" w:type="dxa"/>
            <w:vAlign w:val="center"/>
          </w:tcPr>
          <w:p w14:paraId="2C05905C">
            <w:pPr>
              <w:pStyle w:val="69"/>
              <w:rPr>
                <w:color w:val="auto"/>
              </w:rPr>
            </w:pPr>
            <w:r>
              <w:rPr>
                <w:color w:val="auto"/>
              </w:rPr>
              <w:t>0.3</w:t>
            </w:r>
          </w:p>
        </w:tc>
        <w:tc>
          <w:tcPr>
            <w:tcW w:w="988" w:type="dxa"/>
            <w:vAlign w:val="center"/>
          </w:tcPr>
          <w:p w14:paraId="68B7C548">
            <w:pPr>
              <w:pStyle w:val="69"/>
              <w:rPr>
                <w:color w:val="auto"/>
              </w:rPr>
            </w:pPr>
            <w:r>
              <w:rPr>
                <w:color w:val="auto"/>
              </w:rPr>
              <w:t>mg/L</w:t>
            </w:r>
          </w:p>
        </w:tc>
        <w:tc>
          <w:tcPr>
            <w:tcW w:w="576" w:type="dxa"/>
            <w:vAlign w:val="center"/>
          </w:tcPr>
          <w:p w14:paraId="56E1E535">
            <w:pPr>
              <w:pStyle w:val="69"/>
              <w:rPr>
                <w:color w:val="auto"/>
              </w:rPr>
            </w:pPr>
            <w:r>
              <w:rPr>
                <w:color w:val="auto"/>
              </w:rPr>
              <w:t>34</w:t>
            </w:r>
          </w:p>
        </w:tc>
        <w:tc>
          <w:tcPr>
            <w:tcW w:w="2269" w:type="dxa"/>
            <w:vAlign w:val="center"/>
          </w:tcPr>
          <w:p w14:paraId="024DD6FB">
            <w:pPr>
              <w:pStyle w:val="69"/>
              <w:rPr>
                <w:color w:val="auto"/>
              </w:rPr>
            </w:pPr>
            <w:r>
              <w:rPr>
                <w:rFonts w:hint="eastAsia"/>
                <w:color w:val="auto"/>
              </w:rPr>
              <w:t>三氯甲烷≤</w:t>
            </w:r>
          </w:p>
        </w:tc>
        <w:tc>
          <w:tcPr>
            <w:tcW w:w="681" w:type="dxa"/>
            <w:vAlign w:val="center"/>
          </w:tcPr>
          <w:p w14:paraId="0671243F">
            <w:pPr>
              <w:pStyle w:val="69"/>
              <w:rPr>
                <w:color w:val="auto"/>
              </w:rPr>
            </w:pPr>
            <w:r>
              <w:rPr>
                <w:color w:val="auto"/>
              </w:rPr>
              <w:t>60</w:t>
            </w:r>
          </w:p>
        </w:tc>
        <w:tc>
          <w:tcPr>
            <w:tcW w:w="1014" w:type="dxa"/>
            <w:vAlign w:val="center"/>
          </w:tcPr>
          <w:p w14:paraId="5B34B4F1">
            <w:pPr>
              <w:pStyle w:val="69"/>
              <w:rPr>
                <w:color w:val="auto"/>
              </w:rPr>
            </w:pPr>
            <w:r>
              <w:rPr>
                <w:rFonts w:hint="eastAsia"/>
                <w:color w:val="auto"/>
              </w:rPr>
              <w:t>μ</w:t>
            </w:r>
            <w:r>
              <w:rPr>
                <w:color w:val="auto"/>
              </w:rPr>
              <w:t>g/L</w:t>
            </w:r>
          </w:p>
        </w:tc>
      </w:tr>
      <w:tr w14:paraId="6E2E87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12C94C5A">
            <w:pPr>
              <w:pStyle w:val="69"/>
              <w:rPr>
                <w:color w:val="auto"/>
              </w:rPr>
            </w:pPr>
            <w:r>
              <w:rPr>
                <w:color w:val="auto"/>
              </w:rPr>
              <w:t>17</w:t>
            </w:r>
          </w:p>
        </w:tc>
        <w:tc>
          <w:tcPr>
            <w:tcW w:w="2069" w:type="dxa"/>
            <w:vAlign w:val="center"/>
          </w:tcPr>
          <w:p w14:paraId="2EA72BC2">
            <w:pPr>
              <w:pStyle w:val="69"/>
              <w:rPr>
                <w:color w:val="auto"/>
              </w:rPr>
            </w:pPr>
            <w:r>
              <w:rPr>
                <w:rFonts w:hint="eastAsia"/>
                <w:color w:val="auto"/>
              </w:rPr>
              <w:t>耗氧量≤</w:t>
            </w:r>
          </w:p>
        </w:tc>
        <w:tc>
          <w:tcPr>
            <w:tcW w:w="843" w:type="dxa"/>
            <w:vAlign w:val="center"/>
          </w:tcPr>
          <w:p w14:paraId="195791E5">
            <w:pPr>
              <w:pStyle w:val="69"/>
              <w:rPr>
                <w:color w:val="auto"/>
              </w:rPr>
            </w:pPr>
            <w:r>
              <w:rPr>
                <w:color w:val="auto"/>
              </w:rPr>
              <w:t>3</w:t>
            </w:r>
          </w:p>
        </w:tc>
        <w:tc>
          <w:tcPr>
            <w:tcW w:w="988" w:type="dxa"/>
            <w:vAlign w:val="center"/>
          </w:tcPr>
          <w:p w14:paraId="70A1DF7B">
            <w:pPr>
              <w:pStyle w:val="69"/>
              <w:rPr>
                <w:color w:val="auto"/>
              </w:rPr>
            </w:pPr>
            <w:r>
              <w:rPr>
                <w:color w:val="auto"/>
              </w:rPr>
              <w:t>mg/L</w:t>
            </w:r>
          </w:p>
        </w:tc>
        <w:tc>
          <w:tcPr>
            <w:tcW w:w="576" w:type="dxa"/>
            <w:vAlign w:val="center"/>
          </w:tcPr>
          <w:p w14:paraId="23AC24C1">
            <w:pPr>
              <w:pStyle w:val="69"/>
              <w:rPr>
                <w:color w:val="auto"/>
              </w:rPr>
            </w:pPr>
            <w:r>
              <w:rPr>
                <w:color w:val="auto"/>
              </w:rPr>
              <w:t>35</w:t>
            </w:r>
          </w:p>
        </w:tc>
        <w:tc>
          <w:tcPr>
            <w:tcW w:w="2269" w:type="dxa"/>
            <w:vAlign w:val="center"/>
          </w:tcPr>
          <w:p w14:paraId="37A18D91">
            <w:pPr>
              <w:pStyle w:val="69"/>
              <w:rPr>
                <w:color w:val="auto"/>
              </w:rPr>
            </w:pPr>
            <w:r>
              <w:rPr>
                <w:rFonts w:hint="eastAsia"/>
                <w:color w:val="auto"/>
              </w:rPr>
              <w:t>四氯化碳≤</w:t>
            </w:r>
          </w:p>
        </w:tc>
        <w:tc>
          <w:tcPr>
            <w:tcW w:w="681" w:type="dxa"/>
            <w:vAlign w:val="center"/>
          </w:tcPr>
          <w:p w14:paraId="3D66EEB0">
            <w:pPr>
              <w:pStyle w:val="69"/>
              <w:rPr>
                <w:color w:val="auto"/>
              </w:rPr>
            </w:pPr>
            <w:r>
              <w:rPr>
                <w:color w:val="auto"/>
              </w:rPr>
              <w:t>2</w:t>
            </w:r>
          </w:p>
        </w:tc>
        <w:tc>
          <w:tcPr>
            <w:tcW w:w="1014" w:type="dxa"/>
            <w:vAlign w:val="center"/>
          </w:tcPr>
          <w:p w14:paraId="53FBEABF">
            <w:pPr>
              <w:pStyle w:val="69"/>
              <w:rPr>
                <w:color w:val="auto"/>
              </w:rPr>
            </w:pPr>
            <w:r>
              <w:rPr>
                <w:rFonts w:hint="eastAsia"/>
                <w:color w:val="auto"/>
              </w:rPr>
              <w:t>μ</w:t>
            </w:r>
            <w:r>
              <w:rPr>
                <w:color w:val="auto"/>
              </w:rPr>
              <w:t>g/L</w:t>
            </w:r>
          </w:p>
        </w:tc>
      </w:tr>
      <w:tr w14:paraId="5733E9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3AF357E0">
            <w:pPr>
              <w:pStyle w:val="69"/>
              <w:rPr>
                <w:color w:val="auto"/>
              </w:rPr>
            </w:pPr>
            <w:r>
              <w:rPr>
                <w:color w:val="auto"/>
              </w:rPr>
              <w:t>18</w:t>
            </w:r>
          </w:p>
        </w:tc>
        <w:tc>
          <w:tcPr>
            <w:tcW w:w="2069" w:type="dxa"/>
            <w:vAlign w:val="center"/>
          </w:tcPr>
          <w:p w14:paraId="040880DA">
            <w:pPr>
              <w:pStyle w:val="69"/>
              <w:rPr>
                <w:color w:val="auto"/>
              </w:rPr>
            </w:pPr>
            <w:r>
              <w:rPr>
                <w:rFonts w:hint="eastAsia"/>
                <w:color w:val="auto"/>
              </w:rPr>
              <w:t>氨氮≤</w:t>
            </w:r>
          </w:p>
        </w:tc>
        <w:tc>
          <w:tcPr>
            <w:tcW w:w="843" w:type="dxa"/>
            <w:vAlign w:val="center"/>
          </w:tcPr>
          <w:p w14:paraId="6387D2C4">
            <w:pPr>
              <w:pStyle w:val="69"/>
              <w:rPr>
                <w:color w:val="auto"/>
              </w:rPr>
            </w:pPr>
            <w:r>
              <w:rPr>
                <w:color w:val="auto"/>
              </w:rPr>
              <w:t>0.5</w:t>
            </w:r>
          </w:p>
        </w:tc>
        <w:tc>
          <w:tcPr>
            <w:tcW w:w="988" w:type="dxa"/>
            <w:vAlign w:val="center"/>
          </w:tcPr>
          <w:p w14:paraId="5FE68465">
            <w:pPr>
              <w:pStyle w:val="69"/>
              <w:rPr>
                <w:color w:val="auto"/>
              </w:rPr>
            </w:pPr>
            <w:r>
              <w:rPr>
                <w:color w:val="auto"/>
              </w:rPr>
              <w:t>mg/L</w:t>
            </w:r>
          </w:p>
        </w:tc>
        <w:tc>
          <w:tcPr>
            <w:tcW w:w="576" w:type="dxa"/>
            <w:vAlign w:val="center"/>
          </w:tcPr>
          <w:p w14:paraId="0BF61AB8">
            <w:pPr>
              <w:pStyle w:val="69"/>
              <w:rPr>
                <w:color w:val="auto"/>
              </w:rPr>
            </w:pPr>
            <w:r>
              <w:rPr>
                <w:color w:val="auto"/>
              </w:rPr>
              <w:t>36</w:t>
            </w:r>
          </w:p>
        </w:tc>
        <w:tc>
          <w:tcPr>
            <w:tcW w:w="2269" w:type="dxa"/>
            <w:vAlign w:val="center"/>
          </w:tcPr>
          <w:p w14:paraId="732225F7">
            <w:pPr>
              <w:pStyle w:val="69"/>
              <w:rPr>
                <w:color w:val="auto"/>
              </w:rPr>
            </w:pPr>
            <w:r>
              <w:rPr>
                <w:rFonts w:hint="eastAsia"/>
                <w:color w:val="auto"/>
              </w:rPr>
              <w:t>苯≤</w:t>
            </w:r>
          </w:p>
        </w:tc>
        <w:tc>
          <w:tcPr>
            <w:tcW w:w="681" w:type="dxa"/>
            <w:vAlign w:val="center"/>
          </w:tcPr>
          <w:p w14:paraId="5078BB9C">
            <w:pPr>
              <w:pStyle w:val="69"/>
              <w:rPr>
                <w:color w:val="auto"/>
              </w:rPr>
            </w:pPr>
            <w:r>
              <w:rPr>
                <w:color w:val="auto"/>
              </w:rPr>
              <w:t>10</w:t>
            </w:r>
          </w:p>
        </w:tc>
        <w:tc>
          <w:tcPr>
            <w:tcW w:w="1014" w:type="dxa"/>
            <w:vAlign w:val="center"/>
          </w:tcPr>
          <w:p w14:paraId="34DADE8A">
            <w:pPr>
              <w:pStyle w:val="69"/>
              <w:rPr>
                <w:color w:val="auto"/>
              </w:rPr>
            </w:pPr>
            <w:r>
              <w:rPr>
                <w:rFonts w:hint="eastAsia"/>
                <w:color w:val="auto"/>
              </w:rPr>
              <w:t>μ</w:t>
            </w:r>
            <w:r>
              <w:rPr>
                <w:color w:val="auto"/>
              </w:rPr>
              <w:t>g/L</w:t>
            </w:r>
          </w:p>
        </w:tc>
      </w:tr>
      <w:tr w14:paraId="474D0E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6BEC5D7F">
            <w:pPr>
              <w:pStyle w:val="69"/>
              <w:rPr>
                <w:color w:val="auto"/>
              </w:rPr>
            </w:pPr>
            <w:r>
              <w:rPr>
                <w:color w:val="auto"/>
              </w:rPr>
              <w:t>19</w:t>
            </w:r>
          </w:p>
        </w:tc>
        <w:tc>
          <w:tcPr>
            <w:tcW w:w="2069" w:type="dxa"/>
            <w:vAlign w:val="center"/>
          </w:tcPr>
          <w:p w14:paraId="6EE81ED9">
            <w:pPr>
              <w:pStyle w:val="69"/>
              <w:rPr>
                <w:color w:val="auto"/>
              </w:rPr>
            </w:pPr>
            <w:r>
              <w:rPr>
                <w:rFonts w:hint="eastAsia"/>
                <w:color w:val="auto"/>
              </w:rPr>
              <w:t>硫化物</w:t>
            </w:r>
          </w:p>
        </w:tc>
        <w:tc>
          <w:tcPr>
            <w:tcW w:w="843" w:type="dxa"/>
            <w:vAlign w:val="center"/>
          </w:tcPr>
          <w:p w14:paraId="13059D7D">
            <w:pPr>
              <w:pStyle w:val="69"/>
              <w:rPr>
                <w:color w:val="auto"/>
              </w:rPr>
            </w:pPr>
            <w:r>
              <w:rPr>
                <w:color w:val="auto"/>
              </w:rPr>
              <w:t>0.02</w:t>
            </w:r>
          </w:p>
        </w:tc>
        <w:tc>
          <w:tcPr>
            <w:tcW w:w="988" w:type="dxa"/>
            <w:vAlign w:val="center"/>
          </w:tcPr>
          <w:p w14:paraId="7EC67C6F">
            <w:pPr>
              <w:pStyle w:val="69"/>
              <w:rPr>
                <w:color w:val="auto"/>
              </w:rPr>
            </w:pPr>
            <w:r>
              <w:rPr>
                <w:color w:val="auto"/>
              </w:rPr>
              <w:t>mg/L</w:t>
            </w:r>
          </w:p>
        </w:tc>
        <w:tc>
          <w:tcPr>
            <w:tcW w:w="576" w:type="dxa"/>
            <w:vAlign w:val="center"/>
          </w:tcPr>
          <w:p w14:paraId="1FFFEE8C">
            <w:pPr>
              <w:pStyle w:val="69"/>
              <w:rPr>
                <w:color w:val="auto"/>
              </w:rPr>
            </w:pPr>
            <w:r>
              <w:rPr>
                <w:color w:val="auto"/>
              </w:rPr>
              <w:t>37</w:t>
            </w:r>
          </w:p>
        </w:tc>
        <w:tc>
          <w:tcPr>
            <w:tcW w:w="2269" w:type="dxa"/>
            <w:vAlign w:val="center"/>
          </w:tcPr>
          <w:p w14:paraId="7FDFD500">
            <w:pPr>
              <w:pStyle w:val="69"/>
              <w:rPr>
                <w:color w:val="auto"/>
              </w:rPr>
            </w:pPr>
            <w:r>
              <w:rPr>
                <w:rFonts w:hint="eastAsia"/>
                <w:color w:val="auto"/>
              </w:rPr>
              <w:t>甲苯</w:t>
            </w:r>
          </w:p>
        </w:tc>
        <w:tc>
          <w:tcPr>
            <w:tcW w:w="681" w:type="dxa"/>
            <w:vAlign w:val="center"/>
          </w:tcPr>
          <w:p w14:paraId="1A4CE57A">
            <w:pPr>
              <w:pStyle w:val="69"/>
              <w:rPr>
                <w:color w:val="auto"/>
              </w:rPr>
            </w:pPr>
            <w:r>
              <w:rPr>
                <w:color w:val="auto"/>
              </w:rPr>
              <w:t>700</w:t>
            </w:r>
          </w:p>
        </w:tc>
        <w:tc>
          <w:tcPr>
            <w:tcW w:w="1014" w:type="dxa"/>
            <w:vAlign w:val="center"/>
          </w:tcPr>
          <w:p w14:paraId="130FC1E8">
            <w:pPr>
              <w:pStyle w:val="69"/>
              <w:rPr>
                <w:color w:val="auto"/>
              </w:rPr>
            </w:pPr>
            <w:r>
              <w:rPr>
                <w:rFonts w:hint="eastAsia"/>
                <w:color w:val="auto"/>
              </w:rPr>
              <w:t>μ</w:t>
            </w:r>
            <w:r>
              <w:rPr>
                <w:color w:val="auto"/>
              </w:rPr>
              <w:t>g/L</w:t>
            </w:r>
          </w:p>
        </w:tc>
      </w:tr>
      <w:tr w14:paraId="6BF32B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03F51CBA">
            <w:pPr>
              <w:pStyle w:val="69"/>
              <w:rPr>
                <w:color w:val="auto"/>
              </w:rPr>
            </w:pPr>
            <w:r>
              <w:rPr>
                <w:color w:val="auto"/>
              </w:rPr>
              <w:t>20</w:t>
            </w:r>
          </w:p>
        </w:tc>
        <w:tc>
          <w:tcPr>
            <w:tcW w:w="2069" w:type="dxa"/>
            <w:vAlign w:val="center"/>
          </w:tcPr>
          <w:p w14:paraId="003D983F">
            <w:pPr>
              <w:pStyle w:val="69"/>
              <w:rPr>
                <w:color w:val="auto"/>
              </w:rPr>
            </w:pPr>
            <w:r>
              <w:rPr>
                <w:rFonts w:hint="eastAsia"/>
                <w:color w:val="auto"/>
              </w:rPr>
              <w:t>钠</w:t>
            </w:r>
          </w:p>
        </w:tc>
        <w:tc>
          <w:tcPr>
            <w:tcW w:w="843" w:type="dxa"/>
            <w:vAlign w:val="center"/>
          </w:tcPr>
          <w:p w14:paraId="535B6925">
            <w:pPr>
              <w:pStyle w:val="69"/>
              <w:rPr>
                <w:color w:val="auto"/>
              </w:rPr>
            </w:pPr>
            <w:r>
              <w:rPr>
                <w:color w:val="auto"/>
              </w:rPr>
              <w:t>200</w:t>
            </w:r>
          </w:p>
        </w:tc>
        <w:tc>
          <w:tcPr>
            <w:tcW w:w="988" w:type="dxa"/>
            <w:vAlign w:val="center"/>
          </w:tcPr>
          <w:p w14:paraId="475279B6">
            <w:pPr>
              <w:pStyle w:val="69"/>
              <w:rPr>
                <w:color w:val="auto"/>
              </w:rPr>
            </w:pPr>
            <w:r>
              <w:rPr>
                <w:color w:val="auto"/>
              </w:rPr>
              <w:t>mg/L</w:t>
            </w:r>
          </w:p>
        </w:tc>
        <w:tc>
          <w:tcPr>
            <w:tcW w:w="4540" w:type="dxa"/>
            <w:gridSpan w:val="4"/>
            <w:vAlign w:val="center"/>
          </w:tcPr>
          <w:p w14:paraId="42EF000F">
            <w:pPr>
              <w:pStyle w:val="69"/>
              <w:rPr>
                <w:color w:val="auto"/>
              </w:rPr>
            </w:pPr>
            <w:r>
              <w:rPr>
                <w:rFonts w:hint="eastAsia"/>
                <w:color w:val="auto"/>
              </w:rPr>
              <w:t>放射性指标</w:t>
            </w:r>
          </w:p>
        </w:tc>
      </w:tr>
      <w:tr w14:paraId="3D567E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1E014E4D">
            <w:pPr>
              <w:pStyle w:val="69"/>
              <w:rPr>
                <w:color w:val="auto"/>
              </w:rPr>
            </w:pPr>
          </w:p>
        </w:tc>
        <w:tc>
          <w:tcPr>
            <w:tcW w:w="2069" w:type="dxa"/>
            <w:vAlign w:val="center"/>
          </w:tcPr>
          <w:p w14:paraId="2A01786D">
            <w:pPr>
              <w:pStyle w:val="69"/>
              <w:rPr>
                <w:color w:val="auto"/>
              </w:rPr>
            </w:pPr>
          </w:p>
        </w:tc>
        <w:tc>
          <w:tcPr>
            <w:tcW w:w="843" w:type="dxa"/>
            <w:vAlign w:val="center"/>
          </w:tcPr>
          <w:p w14:paraId="01CC163C">
            <w:pPr>
              <w:pStyle w:val="69"/>
              <w:rPr>
                <w:color w:val="auto"/>
              </w:rPr>
            </w:pPr>
          </w:p>
        </w:tc>
        <w:tc>
          <w:tcPr>
            <w:tcW w:w="988" w:type="dxa"/>
            <w:vAlign w:val="center"/>
          </w:tcPr>
          <w:p w14:paraId="07B289D4">
            <w:pPr>
              <w:pStyle w:val="69"/>
              <w:rPr>
                <w:color w:val="auto"/>
              </w:rPr>
            </w:pPr>
          </w:p>
        </w:tc>
        <w:tc>
          <w:tcPr>
            <w:tcW w:w="576" w:type="dxa"/>
            <w:noWrap/>
            <w:vAlign w:val="center"/>
          </w:tcPr>
          <w:p w14:paraId="3DBE44CB">
            <w:pPr>
              <w:pStyle w:val="69"/>
              <w:rPr>
                <w:color w:val="auto"/>
              </w:rPr>
            </w:pPr>
            <w:r>
              <w:rPr>
                <w:rFonts w:hint="eastAsia"/>
                <w:color w:val="auto"/>
              </w:rPr>
              <w:t>38</w:t>
            </w:r>
          </w:p>
        </w:tc>
        <w:tc>
          <w:tcPr>
            <w:tcW w:w="2269" w:type="dxa"/>
            <w:noWrap/>
            <w:vAlign w:val="center"/>
          </w:tcPr>
          <w:p w14:paraId="4AE3BC5C">
            <w:pPr>
              <w:pStyle w:val="69"/>
              <w:rPr>
                <w:color w:val="auto"/>
              </w:rPr>
            </w:pPr>
            <w:r>
              <w:rPr>
                <w:rFonts w:hint="eastAsia"/>
                <w:color w:val="auto"/>
              </w:rPr>
              <w:t>总α放射性</w:t>
            </w:r>
          </w:p>
        </w:tc>
        <w:tc>
          <w:tcPr>
            <w:tcW w:w="681" w:type="dxa"/>
            <w:noWrap/>
            <w:vAlign w:val="center"/>
          </w:tcPr>
          <w:p w14:paraId="6359D681">
            <w:pPr>
              <w:pStyle w:val="69"/>
              <w:rPr>
                <w:color w:val="auto"/>
              </w:rPr>
            </w:pPr>
            <w:r>
              <w:rPr>
                <w:rFonts w:hint="eastAsia"/>
                <w:color w:val="auto"/>
              </w:rPr>
              <w:t>0.5</w:t>
            </w:r>
          </w:p>
        </w:tc>
        <w:tc>
          <w:tcPr>
            <w:tcW w:w="1014" w:type="dxa"/>
            <w:vAlign w:val="center"/>
          </w:tcPr>
          <w:p w14:paraId="11617DFF">
            <w:pPr>
              <w:pStyle w:val="69"/>
              <w:rPr>
                <w:color w:val="auto"/>
              </w:rPr>
            </w:pPr>
            <w:r>
              <w:rPr>
                <w:color w:val="auto"/>
              </w:rPr>
              <w:t>Bq/L</w:t>
            </w:r>
          </w:p>
        </w:tc>
      </w:tr>
      <w:tr w14:paraId="4C4E26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21" w:type="dxa"/>
            <w:vAlign w:val="center"/>
          </w:tcPr>
          <w:p w14:paraId="0EB749B6">
            <w:pPr>
              <w:pStyle w:val="69"/>
              <w:rPr>
                <w:color w:val="auto"/>
              </w:rPr>
            </w:pPr>
          </w:p>
        </w:tc>
        <w:tc>
          <w:tcPr>
            <w:tcW w:w="2069" w:type="dxa"/>
            <w:vAlign w:val="center"/>
          </w:tcPr>
          <w:p w14:paraId="6F91E432">
            <w:pPr>
              <w:pStyle w:val="69"/>
              <w:rPr>
                <w:color w:val="auto"/>
              </w:rPr>
            </w:pPr>
          </w:p>
        </w:tc>
        <w:tc>
          <w:tcPr>
            <w:tcW w:w="843" w:type="dxa"/>
            <w:vAlign w:val="center"/>
          </w:tcPr>
          <w:p w14:paraId="706D7078">
            <w:pPr>
              <w:pStyle w:val="69"/>
              <w:rPr>
                <w:color w:val="auto"/>
              </w:rPr>
            </w:pPr>
          </w:p>
        </w:tc>
        <w:tc>
          <w:tcPr>
            <w:tcW w:w="988" w:type="dxa"/>
            <w:vAlign w:val="center"/>
          </w:tcPr>
          <w:p w14:paraId="34F827A4">
            <w:pPr>
              <w:pStyle w:val="69"/>
              <w:rPr>
                <w:color w:val="auto"/>
              </w:rPr>
            </w:pPr>
          </w:p>
        </w:tc>
        <w:tc>
          <w:tcPr>
            <w:tcW w:w="576" w:type="dxa"/>
            <w:vAlign w:val="center"/>
          </w:tcPr>
          <w:p w14:paraId="3C58486E">
            <w:pPr>
              <w:pStyle w:val="69"/>
              <w:rPr>
                <w:color w:val="auto"/>
              </w:rPr>
            </w:pPr>
            <w:r>
              <w:rPr>
                <w:color w:val="auto"/>
              </w:rPr>
              <w:t>39</w:t>
            </w:r>
          </w:p>
        </w:tc>
        <w:tc>
          <w:tcPr>
            <w:tcW w:w="2269" w:type="dxa"/>
            <w:vAlign w:val="center"/>
          </w:tcPr>
          <w:p w14:paraId="38300785">
            <w:pPr>
              <w:pStyle w:val="69"/>
              <w:rPr>
                <w:color w:val="auto"/>
              </w:rPr>
            </w:pPr>
            <w:r>
              <w:rPr>
                <w:rFonts w:hint="eastAsia"/>
                <w:color w:val="auto"/>
              </w:rPr>
              <w:t>总β放射性</w:t>
            </w:r>
          </w:p>
        </w:tc>
        <w:tc>
          <w:tcPr>
            <w:tcW w:w="681" w:type="dxa"/>
            <w:vAlign w:val="center"/>
          </w:tcPr>
          <w:p w14:paraId="2C3FB62C">
            <w:pPr>
              <w:pStyle w:val="69"/>
              <w:rPr>
                <w:color w:val="auto"/>
              </w:rPr>
            </w:pPr>
            <w:r>
              <w:rPr>
                <w:color w:val="auto"/>
              </w:rPr>
              <w:t>1</w:t>
            </w:r>
          </w:p>
        </w:tc>
        <w:tc>
          <w:tcPr>
            <w:tcW w:w="1014" w:type="dxa"/>
            <w:vAlign w:val="center"/>
          </w:tcPr>
          <w:p w14:paraId="11861B50">
            <w:pPr>
              <w:pStyle w:val="69"/>
              <w:rPr>
                <w:color w:val="auto"/>
              </w:rPr>
            </w:pPr>
            <w:r>
              <w:rPr>
                <w:color w:val="auto"/>
              </w:rPr>
              <w:t>Bq/L</w:t>
            </w:r>
          </w:p>
        </w:tc>
      </w:tr>
    </w:tbl>
    <w:p w14:paraId="2281388A">
      <w:pPr>
        <w:ind w:firstLine="480"/>
        <w:rPr>
          <w:color w:val="auto"/>
        </w:rPr>
      </w:pPr>
      <w:r>
        <w:rPr>
          <w:rFonts w:hint="eastAsia"/>
          <w:color w:val="auto"/>
        </w:rPr>
        <w:t>（4）土壤环境质量标准</w:t>
      </w:r>
    </w:p>
    <w:p w14:paraId="2FD49613">
      <w:pPr>
        <w:ind w:firstLine="480"/>
        <w:rPr>
          <w:color w:val="auto"/>
        </w:rPr>
      </w:pPr>
      <w:r>
        <w:rPr>
          <w:rFonts w:hint="eastAsia"/>
          <w:color w:val="auto"/>
        </w:rPr>
        <w:t>执行</w:t>
      </w:r>
      <w:r>
        <w:rPr>
          <w:color w:val="auto"/>
        </w:rPr>
        <w:t>《土壤环境质量建设用地土壤污染风险管控标准（试行）》（GB36600-2018）</w:t>
      </w:r>
      <w:r>
        <w:rPr>
          <w:rFonts w:hint="eastAsia"/>
          <w:bCs/>
          <w:color w:val="auto"/>
        </w:rPr>
        <w:t>中的二类用地的</w:t>
      </w:r>
      <w:r>
        <w:rPr>
          <w:color w:val="auto"/>
        </w:rPr>
        <w:t>筛选值</w:t>
      </w:r>
      <w:r>
        <w:rPr>
          <w:rFonts w:hint="eastAsia"/>
          <w:bCs/>
          <w:color w:val="auto"/>
        </w:rPr>
        <w:t>标准值。</w:t>
      </w:r>
    </w:p>
    <w:p w14:paraId="0F7749F6">
      <w:pPr>
        <w:numPr>
          <w:ilvl w:val="0"/>
          <w:numId w:val="17"/>
        </w:numPr>
        <w:ind w:left="0" w:leftChars="0" w:firstLine="0" w:firstLineChars="0"/>
        <w:jc w:val="center"/>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《土壤环境质量建设用地土壤污染风险管控标准（试行）》（GB36600-2018）</w:t>
      </w:r>
    </w:p>
    <w:p w14:paraId="0AE8EE83">
      <w:pPr>
        <w:numPr>
          <w:ilvl w:val="0"/>
          <w:numId w:val="0"/>
        </w:numPr>
        <w:tabs>
          <w:tab w:val="left" w:pos="0"/>
        </w:tabs>
        <w:ind w:leftChars="0"/>
        <w:jc w:val="right"/>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 xml:space="preserve">    单位mg/kg</w:t>
      </w:r>
    </w:p>
    <w:tbl>
      <w:tblPr>
        <w:tblStyle w:val="38"/>
        <w:tblW w:w="904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25"/>
        <w:gridCol w:w="1882"/>
        <w:gridCol w:w="1430"/>
        <w:gridCol w:w="1485"/>
        <w:gridCol w:w="1430"/>
        <w:gridCol w:w="1489"/>
      </w:tblGrid>
      <w:tr w14:paraId="3756A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325" w:type="dxa"/>
            <w:vMerge w:val="restart"/>
            <w:tcMar>
              <w:top w:w="15" w:type="dxa"/>
              <w:left w:w="15" w:type="dxa"/>
              <w:right w:w="15" w:type="dxa"/>
            </w:tcMar>
            <w:vAlign w:val="center"/>
          </w:tcPr>
          <w:p w14:paraId="7242BAD6">
            <w:pPr>
              <w:pStyle w:val="59"/>
              <w:rPr>
                <w:color w:val="auto"/>
              </w:rPr>
            </w:pPr>
            <w:r>
              <w:rPr>
                <w:color w:val="auto"/>
              </w:rPr>
              <w:t>序号</w:t>
            </w:r>
          </w:p>
        </w:tc>
        <w:tc>
          <w:tcPr>
            <w:tcW w:w="1882" w:type="dxa"/>
            <w:vMerge w:val="restart"/>
            <w:tcMar>
              <w:top w:w="15" w:type="dxa"/>
              <w:left w:w="15" w:type="dxa"/>
              <w:right w:w="15" w:type="dxa"/>
            </w:tcMar>
            <w:vAlign w:val="center"/>
          </w:tcPr>
          <w:p w14:paraId="58DD9124">
            <w:pPr>
              <w:pStyle w:val="59"/>
              <w:rPr>
                <w:color w:val="auto"/>
              </w:rPr>
            </w:pPr>
            <w:r>
              <w:rPr>
                <w:color w:val="auto"/>
              </w:rPr>
              <w:t>污染项目</w:t>
            </w:r>
          </w:p>
        </w:tc>
        <w:tc>
          <w:tcPr>
            <w:tcW w:w="2915" w:type="dxa"/>
            <w:gridSpan w:val="2"/>
            <w:tcMar>
              <w:top w:w="15" w:type="dxa"/>
              <w:left w:w="15" w:type="dxa"/>
              <w:right w:w="15" w:type="dxa"/>
            </w:tcMar>
            <w:vAlign w:val="center"/>
          </w:tcPr>
          <w:p w14:paraId="166A778E">
            <w:pPr>
              <w:pStyle w:val="59"/>
              <w:rPr>
                <w:color w:val="auto"/>
              </w:rPr>
            </w:pPr>
            <w:r>
              <w:rPr>
                <w:color w:val="auto"/>
              </w:rPr>
              <w:t>筛选值</w:t>
            </w:r>
          </w:p>
        </w:tc>
        <w:tc>
          <w:tcPr>
            <w:tcW w:w="2919" w:type="dxa"/>
            <w:gridSpan w:val="2"/>
            <w:tcMar>
              <w:top w:w="15" w:type="dxa"/>
              <w:left w:w="15" w:type="dxa"/>
              <w:right w:w="15" w:type="dxa"/>
            </w:tcMar>
            <w:vAlign w:val="center"/>
          </w:tcPr>
          <w:p w14:paraId="0BD6BA99">
            <w:pPr>
              <w:pStyle w:val="59"/>
              <w:rPr>
                <w:color w:val="auto"/>
              </w:rPr>
            </w:pPr>
            <w:r>
              <w:rPr>
                <w:color w:val="auto"/>
              </w:rPr>
              <w:t>管制值</w:t>
            </w:r>
          </w:p>
        </w:tc>
      </w:tr>
      <w:tr w14:paraId="1E5DB4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325" w:type="dxa"/>
            <w:vMerge w:val="continue"/>
            <w:tcMar>
              <w:top w:w="15" w:type="dxa"/>
              <w:left w:w="15" w:type="dxa"/>
              <w:right w:w="15" w:type="dxa"/>
            </w:tcMar>
            <w:vAlign w:val="center"/>
          </w:tcPr>
          <w:p w14:paraId="0EADF05C">
            <w:pPr>
              <w:pStyle w:val="59"/>
              <w:rPr>
                <w:color w:val="auto"/>
              </w:rPr>
            </w:pPr>
          </w:p>
        </w:tc>
        <w:tc>
          <w:tcPr>
            <w:tcW w:w="1882" w:type="dxa"/>
            <w:vMerge w:val="continue"/>
            <w:tcMar>
              <w:top w:w="15" w:type="dxa"/>
              <w:left w:w="15" w:type="dxa"/>
              <w:right w:w="15" w:type="dxa"/>
            </w:tcMar>
            <w:vAlign w:val="center"/>
          </w:tcPr>
          <w:p w14:paraId="1160F9B4">
            <w:pPr>
              <w:pStyle w:val="59"/>
              <w:rPr>
                <w:color w:val="auto"/>
              </w:rPr>
            </w:pPr>
          </w:p>
        </w:tc>
        <w:tc>
          <w:tcPr>
            <w:tcW w:w="1430" w:type="dxa"/>
            <w:tcMar>
              <w:top w:w="15" w:type="dxa"/>
              <w:left w:w="15" w:type="dxa"/>
              <w:right w:w="15" w:type="dxa"/>
            </w:tcMar>
            <w:vAlign w:val="center"/>
          </w:tcPr>
          <w:p w14:paraId="3D21E2C0">
            <w:pPr>
              <w:pStyle w:val="59"/>
              <w:rPr>
                <w:color w:val="auto"/>
              </w:rPr>
            </w:pPr>
            <w:r>
              <w:rPr>
                <w:color w:val="auto"/>
              </w:rPr>
              <w:t>第一类用地</w:t>
            </w:r>
          </w:p>
        </w:tc>
        <w:tc>
          <w:tcPr>
            <w:tcW w:w="1485" w:type="dxa"/>
            <w:tcMar>
              <w:top w:w="15" w:type="dxa"/>
              <w:left w:w="15" w:type="dxa"/>
              <w:right w:w="15" w:type="dxa"/>
            </w:tcMar>
            <w:vAlign w:val="center"/>
          </w:tcPr>
          <w:p w14:paraId="20CC1517">
            <w:pPr>
              <w:pStyle w:val="59"/>
              <w:rPr>
                <w:color w:val="auto"/>
              </w:rPr>
            </w:pPr>
            <w:r>
              <w:rPr>
                <w:color w:val="auto"/>
              </w:rPr>
              <w:t>第二类用地</w:t>
            </w:r>
          </w:p>
        </w:tc>
        <w:tc>
          <w:tcPr>
            <w:tcW w:w="1430" w:type="dxa"/>
            <w:tcMar>
              <w:top w:w="15" w:type="dxa"/>
              <w:left w:w="15" w:type="dxa"/>
              <w:right w:w="15" w:type="dxa"/>
            </w:tcMar>
            <w:vAlign w:val="center"/>
          </w:tcPr>
          <w:p w14:paraId="5EE02BD2">
            <w:pPr>
              <w:pStyle w:val="59"/>
              <w:rPr>
                <w:color w:val="auto"/>
              </w:rPr>
            </w:pPr>
            <w:r>
              <w:rPr>
                <w:color w:val="auto"/>
              </w:rPr>
              <w:t>第一类用地</w:t>
            </w:r>
          </w:p>
        </w:tc>
        <w:tc>
          <w:tcPr>
            <w:tcW w:w="1489" w:type="dxa"/>
            <w:tcMar>
              <w:top w:w="15" w:type="dxa"/>
              <w:left w:w="15" w:type="dxa"/>
              <w:right w:w="15" w:type="dxa"/>
            </w:tcMar>
            <w:vAlign w:val="center"/>
          </w:tcPr>
          <w:p w14:paraId="549EE675">
            <w:pPr>
              <w:pStyle w:val="59"/>
              <w:rPr>
                <w:color w:val="auto"/>
              </w:rPr>
            </w:pPr>
            <w:r>
              <w:rPr>
                <w:color w:val="auto"/>
              </w:rPr>
              <w:t>第二类用地</w:t>
            </w:r>
          </w:p>
        </w:tc>
      </w:tr>
      <w:tr w14:paraId="0B34E6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041" w:type="dxa"/>
            <w:gridSpan w:val="6"/>
            <w:tcMar>
              <w:top w:w="15" w:type="dxa"/>
              <w:left w:w="15" w:type="dxa"/>
              <w:right w:w="15" w:type="dxa"/>
            </w:tcMar>
            <w:vAlign w:val="center"/>
          </w:tcPr>
          <w:p w14:paraId="2F9A6AEA">
            <w:pPr>
              <w:pStyle w:val="59"/>
              <w:rPr>
                <w:color w:val="auto"/>
              </w:rPr>
            </w:pPr>
            <w:r>
              <w:rPr>
                <w:color w:val="auto"/>
              </w:rPr>
              <w:t>重金属和无机物</w:t>
            </w:r>
          </w:p>
        </w:tc>
      </w:tr>
      <w:tr w14:paraId="47252C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1954C030">
            <w:pPr>
              <w:pStyle w:val="59"/>
              <w:rPr>
                <w:color w:val="auto"/>
              </w:rPr>
            </w:pPr>
            <w:r>
              <w:rPr>
                <w:color w:val="auto"/>
              </w:rPr>
              <w:t>1</w:t>
            </w:r>
          </w:p>
        </w:tc>
        <w:tc>
          <w:tcPr>
            <w:tcW w:w="1882" w:type="dxa"/>
            <w:tcMar>
              <w:top w:w="15" w:type="dxa"/>
              <w:left w:w="15" w:type="dxa"/>
              <w:right w:w="15" w:type="dxa"/>
            </w:tcMar>
            <w:vAlign w:val="center"/>
          </w:tcPr>
          <w:p w14:paraId="0A8667D0">
            <w:pPr>
              <w:pStyle w:val="59"/>
              <w:rPr>
                <w:color w:val="auto"/>
              </w:rPr>
            </w:pPr>
            <w:r>
              <w:rPr>
                <w:color w:val="auto"/>
              </w:rPr>
              <w:t>砷</w:t>
            </w:r>
          </w:p>
        </w:tc>
        <w:tc>
          <w:tcPr>
            <w:tcW w:w="1430" w:type="dxa"/>
            <w:tcMar>
              <w:top w:w="15" w:type="dxa"/>
              <w:left w:w="15" w:type="dxa"/>
              <w:right w:w="15" w:type="dxa"/>
            </w:tcMar>
            <w:vAlign w:val="center"/>
          </w:tcPr>
          <w:p w14:paraId="757F868F">
            <w:pPr>
              <w:pStyle w:val="59"/>
              <w:rPr>
                <w:color w:val="auto"/>
              </w:rPr>
            </w:pPr>
            <w:r>
              <w:rPr>
                <w:color w:val="auto"/>
              </w:rPr>
              <w:t>20</w:t>
            </w:r>
          </w:p>
        </w:tc>
        <w:tc>
          <w:tcPr>
            <w:tcW w:w="1485" w:type="dxa"/>
            <w:tcMar>
              <w:top w:w="15" w:type="dxa"/>
              <w:left w:w="15" w:type="dxa"/>
              <w:right w:w="15" w:type="dxa"/>
            </w:tcMar>
            <w:vAlign w:val="center"/>
          </w:tcPr>
          <w:p w14:paraId="2E1BDE20">
            <w:pPr>
              <w:pStyle w:val="59"/>
              <w:rPr>
                <w:color w:val="auto"/>
              </w:rPr>
            </w:pPr>
            <w:r>
              <w:rPr>
                <w:color w:val="auto"/>
              </w:rPr>
              <w:t>60</w:t>
            </w:r>
          </w:p>
        </w:tc>
        <w:tc>
          <w:tcPr>
            <w:tcW w:w="1430" w:type="dxa"/>
            <w:tcMar>
              <w:top w:w="15" w:type="dxa"/>
              <w:left w:w="15" w:type="dxa"/>
              <w:right w:w="15" w:type="dxa"/>
            </w:tcMar>
            <w:vAlign w:val="center"/>
          </w:tcPr>
          <w:p w14:paraId="10BF6EA5">
            <w:pPr>
              <w:pStyle w:val="59"/>
              <w:rPr>
                <w:color w:val="auto"/>
              </w:rPr>
            </w:pPr>
            <w:r>
              <w:rPr>
                <w:color w:val="auto"/>
              </w:rPr>
              <w:t>120</w:t>
            </w:r>
          </w:p>
        </w:tc>
        <w:tc>
          <w:tcPr>
            <w:tcW w:w="1489" w:type="dxa"/>
            <w:tcMar>
              <w:top w:w="15" w:type="dxa"/>
              <w:left w:w="15" w:type="dxa"/>
              <w:right w:w="15" w:type="dxa"/>
            </w:tcMar>
            <w:vAlign w:val="center"/>
          </w:tcPr>
          <w:p w14:paraId="76ECC2CD">
            <w:pPr>
              <w:pStyle w:val="59"/>
              <w:rPr>
                <w:color w:val="auto"/>
              </w:rPr>
            </w:pPr>
            <w:r>
              <w:rPr>
                <w:color w:val="auto"/>
              </w:rPr>
              <w:t>140</w:t>
            </w:r>
          </w:p>
        </w:tc>
      </w:tr>
      <w:tr w14:paraId="7AD145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C62DF83">
            <w:pPr>
              <w:pStyle w:val="59"/>
              <w:rPr>
                <w:color w:val="auto"/>
              </w:rPr>
            </w:pPr>
            <w:r>
              <w:rPr>
                <w:color w:val="auto"/>
              </w:rPr>
              <w:t>2</w:t>
            </w:r>
          </w:p>
        </w:tc>
        <w:tc>
          <w:tcPr>
            <w:tcW w:w="1882" w:type="dxa"/>
            <w:tcMar>
              <w:top w:w="15" w:type="dxa"/>
              <w:left w:w="15" w:type="dxa"/>
              <w:right w:w="15" w:type="dxa"/>
            </w:tcMar>
            <w:vAlign w:val="center"/>
          </w:tcPr>
          <w:p w14:paraId="7A7FFD55">
            <w:pPr>
              <w:pStyle w:val="59"/>
              <w:rPr>
                <w:color w:val="auto"/>
              </w:rPr>
            </w:pPr>
            <w:r>
              <w:rPr>
                <w:color w:val="auto"/>
              </w:rPr>
              <w:t>镉</w:t>
            </w:r>
          </w:p>
        </w:tc>
        <w:tc>
          <w:tcPr>
            <w:tcW w:w="1430" w:type="dxa"/>
            <w:tcMar>
              <w:top w:w="15" w:type="dxa"/>
              <w:left w:w="15" w:type="dxa"/>
              <w:right w:w="15" w:type="dxa"/>
            </w:tcMar>
            <w:vAlign w:val="center"/>
          </w:tcPr>
          <w:p w14:paraId="424C5456">
            <w:pPr>
              <w:pStyle w:val="59"/>
              <w:rPr>
                <w:color w:val="auto"/>
              </w:rPr>
            </w:pPr>
            <w:r>
              <w:rPr>
                <w:color w:val="auto"/>
              </w:rPr>
              <w:t>20</w:t>
            </w:r>
          </w:p>
        </w:tc>
        <w:tc>
          <w:tcPr>
            <w:tcW w:w="1485" w:type="dxa"/>
            <w:tcMar>
              <w:top w:w="15" w:type="dxa"/>
              <w:left w:w="15" w:type="dxa"/>
              <w:right w:w="15" w:type="dxa"/>
            </w:tcMar>
            <w:vAlign w:val="center"/>
          </w:tcPr>
          <w:p w14:paraId="32F0DA6C">
            <w:pPr>
              <w:pStyle w:val="59"/>
              <w:rPr>
                <w:color w:val="auto"/>
              </w:rPr>
            </w:pPr>
            <w:r>
              <w:rPr>
                <w:color w:val="auto"/>
              </w:rPr>
              <w:t>65</w:t>
            </w:r>
          </w:p>
        </w:tc>
        <w:tc>
          <w:tcPr>
            <w:tcW w:w="1430" w:type="dxa"/>
            <w:tcMar>
              <w:top w:w="15" w:type="dxa"/>
              <w:left w:w="15" w:type="dxa"/>
              <w:right w:w="15" w:type="dxa"/>
            </w:tcMar>
            <w:vAlign w:val="center"/>
          </w:tcPr>
          <w:p w14:paraId="1B819DA8">
            <w:pPr>
              <w:pStyle w:val="59"/>
              <w:rPr>
                <w:color w:val="auto"/>
              </w:rPr>
            </w:pPr>
            <w:r>
              <w:rPr>
                <w:color w:val="auto"/>
              </w:rPr>
              <w:t>47</w:t>
            </w:r>
          </w:p>
        </w:tc>
        <w:tc>
          <w:tcPr>
            <w:tcW w:w="1489" w:type="dxa"/>
            <w:tcMar>
              <w:top w:w="15" w:type="dxa"/>
              <w:left w:w="15" w:type="dxa"/>
              <w:right w:w="15" w:type="dxa"/>
            </w:tcMar>
            <w:vAlign w:val="center"/>
          </w:tcPr>
          <w:p w14:paraId="5C9233DE">
            <w:pPr>
              <w:pStyle w:val="59"/>
              <w:rPr>
                <w:color w:val="auto"/>
              </w:rPr>
            </w:pPr>
            <w:r>
              <w:rPr>
                <w:color w:val="auto"/>
              </w:rPr>
              <w:t>172</w:t>
            </w:r>
          </w:p>
        </w:tc>
      </w:tr>
      <w:tr w14:paraId="74078E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08FDEB85">
            <w:pPr>
              <w:pStyle w:val="59"/>
              <w:rPr>
                <w:color w:val="auto"/>
              </w:rPr>
            </w:pPr>
            <w:r>
              <w:rPr>
                <w:color w:val="auto"/>
              </w:rPr>
              <w:t>3</w:t>
            </w:r>
          </w:p>
        </w:tc>
        <w:tc>
          <w:tcPr>
            <w:tcW w:w="1882" w:type="dxa"/>
            <w:tcMar>
              <w:top w:w="15" w:type="dxa"/>
              <w:left w:w="15" w:type="dxa"/>
              <w:right w:w="15" w:type="dxa"/>
            </w:tcMar>
            <w:vAlign w:val="center"/>
          </w:tcPr>
          <w:p w14:paraId="363910DD">
            <w:pPr>
              <w:pStyle w:val="59"/>
              <w:rPr>
                <w:color w:val="auto"/>
              </w:rPr>
            </w:pPr>
            <w:r>
              <w:rPr>
                <w:color w:val="auto"/>
              </w:rPr>
              <w:t>铬（六价）</w:t>
            </w:r>
          </w:p>
        </w:tc>
        <w:tc>
          <w:tcPr>
            <w:tcW w:w="1430" w:type="dxa"/>
            <w:tcMar>
              <w:top w:w="15" w:type="dxa"/>
              <w:left w:w="15" w:type="dxa"/>
              <w:right w:w="15" w:type="dxa"/>
            </w:tcMar>
            <w:vAlign w:val="center"/>
          </w:tcPr>
          <w:p w14:paraId="766552A0">
            <w:pPr>
              <w:pStyle w:val="59"/>
              <w:rPr>
                <w:color w:val="auto"/>
              </w:rPr>
            </w:pPr>
            <w:r>
              <w:rPr>
                <w:color w:val="auto"/>
              </w:rPr>
              <w:t>3</w:t>
            </w:r>
          </w:p>
        </w:tc>
        <w:tc>
          <w:tcPr>
            <w:tcW w:w="1485" w:type="dxa"/>
            <w:tcMar>
              <w:top w:w="15" w:type="dxa"/>
              <w:left w:w="15" w:type="dxa"/>
              <w:right w:w="15" w:type="dxa"/>
            </w:tcMar>
            <w:vAlign w:val="center"/>
          </w:tcPr>
          <w:p w14:paraId="552CF5F5">
            <w:pPr>
              <w:pStyle w:val="59"/>
              <w:rPr>
                <w:color w:val="auto"/>
              </w:rPr>
            </w:pPr>
            <w:r>
              <w:rPr>
                <w:color w:val="auto"/>
              </w:rPr>
              <w:t>5.7</w:t>
            </w:r>
          </w:p>
        </w:tc>
        <w:tc>
          <w:tcPr>
            <w:tcW w:w="1430" w:type="dxa"/>
            <w:tcMar>
              <w:top w:w="15" w:type="dxa"/>
              <w:left w:w="15" w:type="dxa"/>
              <w:right w:w="15" w:type="dxa"/>
            </w:tcMar>
            <w:vAlign w:val="center"/>
          </w:tcPr>
          <w:p w14:paraId="101365AB">
            <w:pPr>
              <w:pStyle w:val="59"/>
              <w:rPr>
                <w:color w:val="auto"/>
              </w:rPr>
            </w:pPr>
            <w:r>
              <w:rPr>
                <w:color w:val="auto"/>
              </w:rPr>
              <w:t>30</w:t>
            </w:r>
          </w:p>
        </w:tc>
        <w:tc>
          <w:tcPr>
            <w:tcW w:w="1489" w:type="dxa"/>
            <w:tcMar>
              <w:top w:w="15" w:type="dxa"/>
              <w:left w:w="15" w:type="dxa"/>
              <w:right w:w="15" w:type="dxa"/>
            </w:tcMar>
            <w:vAlign w:val="center"/>
          </w:tcPr>
          <w:p w14:paraId="5B60EAB3">
            <w:pPr>
              <w:pStyle w:val="59"/>
              <w:rPr>
                <w:color w:val="auto"/>
              </w:rPr>
            </w:pPr>
            <w:r>
              <w:rPr>
                <w:color w:val="auto"/>
              </w:rPr>
              <w:t>78</w:t>
            </w:r>
          </w:p>
        </w:tc>
      </w:tr>
      <w:tr w14:paraId="417D70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03663FCE">
            <w:pPr>
              <w:pStyle w:val="59"/>
              <w:rPr>
                <w:color w:val="auto"/>
              </w:rPr>
            </w:pPr>
            <w:r>
              <w:rPr>
                <w:color w:val="auto"/>
              </w:rPr>
              <w:t>4</w:t>
            </w:r>
          </w:p>
        </w:tc>
        <w:tc>
          <w:tcPr>
            <w:tcW w:w="1882" w:type="dxa"/>
            <w:tcMar>
              <w:top w:w="15" w:type="dxa"/>
              <w:left w:w="15" w:type="dxa"/>
              <w:right w:w="15" w:type="dxa"/>
            </w:tcMar>
            <w:vAlign w:val="center"/>
          </w:tcPr>
          <w:p w14:paraId="0FDC1AFA">
            <w:pPr>
              <w:pStyle w:val="59"/>
              <w:rPr>
                <w:color w:val="auto"/>
              </w:rPr>
            </w:pPr>
            <w:r>
              <w:rPr>
                <w:color w:val="auto"/>
              </w:rPr>
              <w:t>铜</w:t>
            </w:r>
          </w:p>
        </w:tc>
        <w:tc>
          <w:tcPr>
            <w:tcW w:w="1430" w:type="dxa"/>
            <w:tcMar>
              <w:top w:w="15" w:type="dxa"/>
              <w:left w:w="15" w:type="dxa"/>
              <w:right w:w="15" w:type="dxa"/>
            </w:tcMar>
            <w:vAlign w:val="center"/>
          </w:tcPr>
          <w:p w14:paraId="026627D4">
            <w:pPr>
              <w:pStyle w:val="59"/>
              <w:rPr>
                <w:color w:val="auto"/>
              </w:rPr>
            </w:pPr>
            <w:r>
              <w:rPr>
                <w:color w:val="auto"/>
              </w:rPr>
              <w:t>2000</w:t>
            </w:r>
          </w:p>
        </w:tc>
        <w:tc>
          <w:tcPr>
            <w:tcW w:w="1485" w:type="dxa"/>
            <w:tcMar>
              <w:top w:w="15" w:type="dxa"/>
              <w:left w:w="15" w:type="dxa"/>
              <w:right w:w="15" w:type="dxa"/>
            </w:tcMar>
            <w:vAlign w:val="center"/>
          </w:tcPr>
          <w:p w14:paraId="4263091C">
            <w:pPr>
              <w:pStyle w:val="59"/>
              <w:rPr>
                <w:color w:val="auto"/>
              </w:rPr>
            </w:pPr>
            <w:r>
              <w:rPr>
                <w:color w:val="auto"/>
              </w:rPr>
              <w:t>18000</w:t>
            </w:r>
          </w:p>
        </w:tc>
        <w:tc>
          <w:tcPr>
            <w:tcW w:w="1430" w:type="dxa"/>
            <w:tcMar>
              <w:top w:w="15" w:type="dxa"/>
              <w:left w:w="15" w:type="dxa"/>
              <w:right w:w="15" w:type="dxa"/>
            </w:tcMar>
            <w:vAlign w:val="center"/>
          </w:tcPr>
          <w:p w14:paraId="4C5881EF">
            <w:pPr>
              <w:pStyle w:val="59"/>
              <w:rPr>
                <w:color w:val="auto"/>
              </w:rPr>
            </w:pPr>
            <w:r>
              <w:rPr>
                <w:color w:val="auto"/>
              </w:rPr>
              <w:t>8000</w:t>
            </w:r>
          </w:p>
        </w:tc>
        <w:tc>
          <w:tcPr>
            <w:tcW w:w="1489" w:type="dxa"/>
            <w:tcMar>
              <w:top w:w="15" w:type="dxa"/>
              <w:left w:w="15" w:type="dxa"/>
              <w:right w:w="15" w:type="dxa"/>
            </w:tcMar>
            <w:vAlign w:val="center"/>
          </w:tcPr>
          <w:p w14:paraId="70647BC9">
            <w:pPr>
              <w:pStyle w:val="59"/>
              <w:rPr>
                <w:color w:val="auto"/>
              </w:rPr>
            </w:pPr>
            <w:r>
              <w:rPr>
                <w:color w:val="auto"/>
              </w:rPr>
              <w:t>36000</w:t>
            </w:r>
          </w:p>
        </w:tc>
      </w:tr>
      <w:tr w14:paraId="53A399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28459637">
            <w:pPr>
              <w:pStyle w:val="59"/>
              <w:rPr>
                <w:color w:val="auto"/>
              </w:rPr>
            </w:pPr>
            <w:r>
              <w:rPr>
                <w:color w:val="auto"/>
              </w:rPr>
              <w:t>5</w:t>
            </w:r>
          </w:p>
        </w:tc>
        <w:tc>
          <w:tcPr>
            <w:tcW w:w="1882" w:type="dxa"/>
            <w:tcMar>
              <w:top w:w="15" w:type="dxa"/>
              <w:left w:w="15" w:type="dxa"/>
              <w:right w:w="15" w:type="dxa"/>
            </w:tcMar>
            <w:vAlign w:val="center"/>
          </w:tcPr>
          <w:p w14:paraId="4CE699A9">
            <w:pPr>
              <w:pStyle w:val="59"/>
              <w:rPr>
                <w:color w:val="auto"/>
              </w:rPr>
            </w:pPr>
            <w:r>
              <w:rPr>
                <w:color w:val="auto"/>
              </w:rPr>
              <w:t>铅</w:t>
            </w:r>
          </w:p>
        </w:tc>
        <w:tc>
          <w:tcPr>
            <w:tcW w:w="1430" w:type="dxa"/>
            <w:tcMar>
              <w:top w:w="15" w:type="dxa"/>
              <w:left w:w="15" w:type="dxa"/>
              <w:right w:w="15" w:type="dxa"/>
            </w:tcMar>
            <w:vAlign w:val="center"/>
          </w:tcPr>
          <w:p w14:paraId="52D55096">
            <w:pPr>
              <w:pStyle w:val="59"/>
              <w:rPr>
                <w:color w:val="auto"/>
              </w:rPr>
            </w:pPr>
            <w:r>
              <w:rPr>
                <w:color w:val="auto"/>
              </w:rPr>
              <w:t>400</w:t>
            </w:r>
          </w:p>
        </w:tc>
        <w:tc>
          <w:tcPr>
            <w:tcW w:w="1485" w:type="dxa"/>
            <w:tcMar>
              <w:top w:w="15" w:type="dxa"/>
              <w:left w:w="15" w:type="dxa"/>
              <w:right w:w="15" w:type="dxa"/>
            </w:tcMar>
            <w:vAlign w:val="center"/>
          </w:tcPr>
          <w:p w14:paraId="1B4AFEE9">
            <w:pPr>
              <w:pStyle w:val="59"/>
              <w:rPr>
                <w:color w:val="auto"/>
              </w:rPr>
            </w:pPr>
            <w:r>
              <w:rPr>
                <w:color w:val="auto"/>
              </w:rPr>
              <w:t>800</w:t>
            </w:r>
          </w:p>
        </w:tc>
        <w:tc>
          <w:tcPr>
            <w:tcW w:w="1430" w:type="dxa"/>
            <w:tcMar>
              <w:top w:w="15" w:type="dxa"/>
              <w:left w:w="15" w:type="dxa"/>
              <w:right w:w="15" w:type="dxa"/>
            </w:tcMar>
            <w:vAlign w:val="center"/>
          </w:tcPr>
          <w:p w14:paraId="1266CEF5">
            <w:pPr>
              <w:pStyle w:val="59"/>
              <w:rPr>
                <w:color w:val="auto"/>
              </w:rPr>
            </w:pPr>
            <w:r>
              <w:rPr>
                <w:color w:val="auto"/>
              </w:rPr>
              <w:t>800</w:t>
            </w:r>
          </w:p>
        </w:tc>
        <w:tc>
          <w:tcPr>
            <w:tcW w:w="1489" w:type="dxa"/>
            <w:tcMar>
              <w:top w:w="15" w:type="dxa"/>
              <w:left w:w="15" w:type="dxa"/>
              <w:right w:w="15" w:type="dxa"/>
            </w:tcMar>
            <w:vAlign w:val="center"/>
          </w:tcPr>
          <w:p w14:paraId="41365B88">
            <w:pPr>
              <w:pStyle w:val="59"/>
              <w:rPr>
                <w:color w:val="auto"/>
              </w:rPr>
            </w:pPr>
            <w:r>
              <w:rPr>
                <w:color w:val="auto"/>
              </w:rPr>
              <w:t>2500</w:t>
            </w:r>
          </w:p>
        </w:tc>
      </w:tr>
      <w:tr w14:paraId="44EF68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6F7D6E2">
            <w:pPr>
              <w:pStyle w:val="59"/>
              <w:rPr>
                <w:color w:val="auto"/>
              </w:rPr>
            </w:pPr>
            <w:r>
              <w:rPr>
                <w:color w:val="auto"/>
              </w:rPr>
              <w:t>6</w:t>
            </w:r>
          </w:p>
        </w:tc>
        <w:tc>
          <w:tcPr>
            <w:tcW w:w="1882" w:type="dxa"/>
            <w:tcMar>
              <w:top w:w="15" w:type="dxa"/>
              <w:left w:w="15" w:type="dxa"/>
              <w:right w:w="15" w:type="dxa"/>
            </w:tcMar>
            <w:vAlign w:val="center"/>
          </w:tcPr>
          <w:p w14:paraId="42C1C499">
            <w:pPr>
              <w:pStyle w:val="59"/>
              <w:rPr>
                <w:color w:val="auto"/>
              </w:rPr>
            </w:pPr>
            <w:r>
              <w:rPr>
                <w:color w:val="auto"/>
              </w:rPr>
              <w:t>汞</w:t>
            </w:r>
          </w:p>
        </w:tc>
        <w:tc>
          <w:tcPr>
            <w:tcW w:w="1430" w:type="dxa"/>
            <w:tcMar>
              <w:top w:w="15" w:type="dxa"/>
              <w:left w:w="15" w:type="dxa"/>
              <w:right w:w="15" w:type="dxa"/>
            </w:tcMar>
            <w:vAlign w:val="center"/>
          </w:tcPr>
          <w:p w14:paraId="491C36B5">
            <w:pPr>
              <w:pStyle w:val="59"/>
              <w:rPr>
                <w:color w:val="auto"/>
              </w:rPr>
            </w:pPr>
            <w:r>
              <w:rPr>
                <w:color w:val="auto"/>
              </w:rPr>
              <w:t>8</w:t>
            </w:r>
          </w:p>
        </w:tc>
        <w:tc>
          <w:tcPr>
            <w:tcW w:w="1485" w:type="dxa"/>
            <w:tcMar>
              <w:top w:w="15" w:type="dxa"/>
              <w:left w:w="15" w:type="dxa"/>
              <w:right w:w="15" w:type="dxa"/>
            </w:tcMar>
            <w:vAlign w:val="center"/>
          </w:tcPr>
          <w:p w14:paraId="712DF25E">
            <w:pPr>
              <w:pStyle w:val="59"/>
              <w:rPr>
                <w:color w:val="auto"/>
              </w:rPr>
            </w:pPr>
            <w:r>
              <w:rPr>
                <w:color w:val="auto"/>
              </w:rPr>
              <w:t>38</w:t>
            </w:r>
          </w:p>
        </w:tc>
        <w:tc>
          <w:tcPr>
            <w:tcW w:w="1430" w:type="dxa"/>
            <w:tcMar>
              <w:top w:w="15" w:type="dxa"/>
              <w:left w:w="15" w:type="dxa"/>
              <w:right w:w="15" w:type="dxa"/>
            </w:tcMar>
            <w:vAlign w:val="center"/>
          </w:tcPr>
          <w:p w14:paraId="6F08EAF1">
            <w:pPr>
              <w:pStyle w:val="59"/>
              <w:rPr>
                <w:color w:val="auto"/>
              </w:rPr>
            </w:pPr>
            <w:r>
              <w:rPr>
                <w:color w:val="auto"/>
              </w:rPr>
              <w:t>33</w:t>
            </w:r>
          </w:p>
        </w:tc>
        <w:tc>
          <w:tcPr>
            <w:tcW w:w="1489" w:type="dxa"/>
            <w:tcMar>
              <w:top w:w="15" w:type="dxa"/>
              <w:left w:w="15" w:type="dxa"/>
              <w:right w:w="15" w:type="dxa"/>
            </w:tcMar>
            <w:vAlign w:val="center"/>
          </w:tcPr>
          <w:p w14:paraId="07F500AC">
            <w:pPr>
              <w:pStyle w:val="59"/>
              <w:rPr>
                <w:color w:val="auto"/>
              </w:rPr>
            </w:pPr>
            <w:r>
              <w:rPr>
                <w:color w:val="auto"/>
              </w:rPr>
              <w:t>82</w:t>
            </w:r>
          </w:p>
        </w:tc>
      </w:tr>
      <w:tr w14:paraId="4898A0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84EA21E">
            <w:pPr>
              <w:pStyle w:val="59"/>
              <w:rPr>
                <w:color w:val="auto"/>
              </w:rPr>
            </w:pPr>
            <w:r>
              <w:rPr>
                <w:color w:val="auto"/>
              </w:rPr>
              <w:t>7</w:t>
            </w:r>
          </w:p>
        </w:tc>
        <w:tc>
          <w:tcPr>
            <w:tcW w:w="1882" w:type="dxa"/>
            <w:tcMar>
              <w:top w:w="15" w:type="dxa"/>
              <w:left w:w="15" w:type="dxa"/>
              <w:right w:w="15" w:type="dxa"/>
            </w:tcMar>
            <w:vAlign w:val="center"/>
          </w:tcPr>
          <w:p w14:paraId="2901BC10">
            <w:pPr>
              <w:pStyle w:val="59"/>
              <w:rPr>
                <w:color w:val="auto"/>
              </w:rPr>
            </w:pPr>
            <w:r>
              <w:rPr>
                <w:color w:val="auto"/>
              </w:rPr>
              <w:t>镍</w:t>
            </w:r>
          </w:p>
        </w:tc>
        <w:tc>
          <w:tcPr>
            <w:tcW w:w="1430" w:type="dxa"/>
            <w:tcMar>
              <w:top w:w="15" w:type="dxa"/>
              <w:left w:w="15" w:type="dxa"/>
              <w:right w:w="15" w:type="dxa"/>
            </w:tcMar>
            <w:vAlign w:val="center"/>
          </w:tcPr>
          <w:p w14:paraId="1D4B914A">
            <w:pPr>
              <w:pStyle w:val="59"/>
              <w:rPr>
                <w:color w:val="auto"/>
              </w:rPr>
            </w:pPr>
            <w:r>
              <w:rPr>
                <w:color w:val="auto"/>
              </w:rPr>
              <w:t>150</w:t>
            </w:r>
          </w:p>
        </w:tc>
        <w:tc>
          <w:tcPr>
            <w:tcW w:w="1485" w:type="dxa"/>
            <w:tcMar>
              <w:top w:w="15" w:type="dxa"/>
              <w:left w:w="15" w:type="dxa"/>
              <w:right w:w="15" w:type="dxa"/>
            </w:tcMar>
            <w:vAlign w:val="center"/>
          </w:tcPr>
          <w:p w14:paraId="53EA6A19">
            <w:pPr>
              <w:pStyle w:val="59"/>
              <w:rPr>
                <w:color w:val="auto"/>
              </w:rPr>
            </w:pPr>
            <w:r>
              <w:rPr>
                <w:color w:val="auto"/>
              </w:rPr>
              <w:t>900</w:t>
            </w:r>
          </w:p>
        </w:tc>
        <w:tc>
          <w:tcPr>
            <w:tcW w:w="1430" w:type="dxa"/>
            <w:tcMar>
              <w:top w:w="15" w:type="dxa"/>
              <w:left w:w="15" w:type="dxa"/>
              <w:right w:w="15" w:type="dxa"/>
            </w:tcMar>
            <w:vAlign w:val="center"/>
          </w:tcPr>
          <w:p w14:paraId="374493A4">
            <w:pPr>
              <w:pStyle w:val="59"/>
              <w:rPr>
                <w:color w:val="auto"/>
              </w:rPr>
            </w:pPr>
            <w:r>
              <w:rPr>
                <w:color w:val="auto"/>
              </w:rPr>
              <w:t>600</w:t>
            </w:r>
          </w:p>
        </w:tc>
        <w:tc>
          <w:tcPr>
            <w:tcW w:w="1489" w:type="dxa"/>
            <w:tcMar>
              <w:top w:w="15" w:type="dxa"/>
              <w:left w:w="15" w:type="dxa"/>
              <w:right w:w="15" w:type="dxa"/>
            </w:tcMar>
            <w:vAlign w:val="center"/>
          </w:tcPr>
          <w:p w14:paraId="065EE967">
            <w:pPr>
              <w:pStyle w:val="59"/>
              <w:rPr>
                <w:color w:val="auto"/>
              </w:rPr>
            </w:pPr>
            <w:r>
              <w:rPr>
                <w:color w:val="auto"/>
              </w:rPr>
              <w:t>2000</w:t>
            </w:r>
          </w:p>
        </w:tc>
      </w:tr>
      <w:tr w14:paraId="053EA9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041" w:type="dxa"/>
            <w:gridSpan w:val="6"/>
            <w:tcMar>
              <w:top w:w="15" w:type="dxa"/>
              <w:left w:w="15" w:type="dxa"/>
              <w:right w:w="15" w:type="dxa"/>
            </w:tcMar>
            <w:vAlign w:val="center"/>
          </w:tcPr>
          <w:p w14:paraId="3287A6EF">
            <w:pPr>
              <w:pStyle w:val="59"/>
              <w:rPr>
                <w:color w:val="auto"/>
              </w:rPr>
            </w:pPr>
            <w:r>
              <w:rPr>
                <w:color w:val="auto"/>
              </w:rPr>
              <w:t>挥发性有机物</w:t>
            </w:r>
          </w:p>
        </w:tc>
      </w:tr>
      <w:tr w14:paraId="2A8C06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0EC23402">
            <w:pPr>
              <w:pStyle w:val="59"/>
              <w:rPr>
                <w:color w:val="auto"/>
              </w:rPr>
            </w:pPr>
            <w:r>
              <w:rPr>
                <w:color w:val="auto"/>
              </w:rPr>
              <w:t>8</w:t>
            </w:r>
          </w:p>
        </w:tc>
        <w:tc>
          <w:tcPr>
            <w:tcW w:w="1882" w:type="dxa"/>
            <w:tcMar>
              <w:top w:w="15" w:type="dxa"/>
              <w:left w:w="15" w:type="dxa"/>
              <w:right w:w="15" w:type="dxa"/>
            </w:tcMar>
            <w:vAlign w:val="center"/>
          </w:tcPr>
          <w:p w14:paraId="5A95D4DE">
            <w:pPr>
              <w:pStyle w:val="59"/>
              <w:rPr>
                <w:color w:val="auto"/>
              </w:rPr>
            </w:pPr>
            <w:r>
              <w:rPr>
                <w:color w:val="auto"/>
              </w:rPr>
              <w:t>四氯化碳</w:t>
            </w:r>
          </w:p>
        </w:tc>
        <w:tc>
          <w:tcPr>
            <w:tcW w:w="1430" w:type="dxa"/>
            <w:tcMar>
              <w:top w:w="15" w:type="dxa"/>
              <w:left w:w="15" w:type="dxa"/>
              <w:right w:w="15" w:type="dxa"/>
            </w:tcMar>
            <w:vAlign w:val="center"/>
          </w:tcPr>
          <w:p w14:paraId="1454B7E0">
            <w:pPr>
              <w:pStyle w:val="59"/>
              <w:rPr>
                <w:color w:val="auto"/>
              </w:rPr>
            </w:pPr>
            <w:r>
              <w:rPr>
                <w:color w:val="auto"/>
              </w:rPr>
              <w:t>0.9</w:t>
            </w:r>
          </w:p>
        </w:tc>
        <w:tc>
          <w:tcPr>
            <w:tcW w:w="1485" w:type="dxa"/>
            <w:tcMar>
              <w:top w:w="15" w:type="dxa"/>
              <w:left w:w="15" w:type="dxa"/>
              <w:right w:w="15" w:type="dxa"/>
            </w:tcMar>
            <w:vAlign w:val="center"/>
          </w:tcPr>
          <w:p w14:paraId="29304BC6">
            <w:pPr>
              <w:pStyle w:val="59"/>
              <w:rPr>
                <w:color w:val="auto"/>
              </w:rPr>
            </w:pPr>
            <w:r>
              <w:rPr>
                <w:color w:val="auto"/>
              </w:rPr>
              <w:t>2.8</w:t>
            </w:r>
          </w:p>
        </w:tc>
        <w:tc>
          <w:tcPr>
            <w:tcW w:w="1430" w:type="dxa"/>
            <w:tcMar>
              <w:top w:w="15" w:type="dxa"/>
              <w:left w:w="15" w:type="dxa"/>
              <w:right w:w="15" w:type="dxa"/>
            </w:tcMar>
            <w:vAlign w:val="center"/>
          </w:tcPr>
          <w:p w14:paraId="76066821">
            <w:pPr>
              <w:pStyle w:val="59"/>
              <w:rPr>
                <w:color w:val="auto"/>
              </w:rPr>
            </w:pPr>
            <w:r>
              <w:rPr>
                <w:color w:val="auto"/>
              </w:rPr>
              <w:t>9</w:t>
            </w:r>
          </w:p>
        </w:tc>
        <w:tc>
          <w:tcPr>
            <w:tcW w:w="1489" w:type="dxa"/>
            <w:tcMar>
              <w:top w:w="15" w:type="dxa"/>
              <w:left w:w="15" w:type="dxa"/>
              <w:right w:w="15" w:type="dxa"/>
            </w:tcMar>
            <w:vAlign w:val="center"/>
          </w:tcPr>
          <w:p w14:paraId="6578D14E">
            <w:pPr>
              <w:pStyle w:val="59"/>
              <w:rPr>
                <w:color w:val="auto"/>
              </w:rPr>
            </w:pPr>
            <w:r>
              <w:rPr>
                <w:color w:val="auto"/>
              </w:rPr>
              <w:t>36</w:t>
            </w:r>
          </w:p>
        </w:tc>
      </w:tr>
      <w:tr w14:paraId="43A66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72CF51B">
            <w:pPr>
              <w:pStyle w:val="59"/>
              <w:rPr>
                <w:color w:val="auto"/>
              </w:rPr>
            </w:pPr>
            <w:r>
              <w:rPr>
                <w:color w:val="auto"/>
              </w:rPr>
              <w:t>9</w:t>
            </w:r>
          </w:p>
        </w:tc>
        <w:tc>
          <w:tcPr>
            <w:tcW w:w="1882" w:type="dxa"/>
            <w:tcMar>
              <w:top w:w="15" w:type="dxa"/>
              <w:left w:w="15" w:type="dxa"/>
              <w:right w:w="15" w:type="dxa"/>
            </w:tcMar>
            <w:vAlign w:val="center"/>
          </w:tcPr>
          <w:p w14:paraId="3E62B566">
            <w:pPr>
              <w:pStyle w:val="59"/>
              <w:rPr>
                <w:color w:val="auto"/>
              </w:rPr>
            </w:pPr>
            <w:r>
              <w:rPr>
                <w:color w:val="auto"/>
              </w:rPr>
              <w:t>氯仿</w:t>
            </w:r>
          </w:p>
        </w:tc>
        <w:tc>
          <w:tcPr>
            <w:tcW w:w="1430" w:type="dxa"/>
            <w:tcMar>
              <w:top w:w="15" w:type="dxa"/>
              <w:left w:w="15" w:type="dxa"/>
              <w:right w:w="15" w:type="dxa"/>
            </w:tcMar>
            <w:vAlign w:val="center"/>
          </w:tcPr>
          <w:p w14:paraId="48794E56">
            <w:pPr>
              <w:pStyle w:val="59"/>
              <w:rPr>
                <w:color w:val="auto"/>
              </w:rPr>
            </w:pPr>
            <w:r>
              <w:rPr>
                <w:color w:val="auto"/>
              </w:rPr>
              <w:t>0.3</w:t>
            </w:r>
          </w:p>
        </w:tc>
        <w:tc>
          <w:tcPr>
            <w:tcW w:w="1485" w:type="dxa"/>
            <w:tcMar>
              <w:top w:w="15" w:type="dxa"/>
              <w:left w:w="15" w:type="dxa"/>
              <w:right w:w="15" w:type="dxa"/>
            </w:tcMar>
            <w:vAlign w:val="center"/>
          </w:tcPr>
          <w:p w14:paraId="07005275">
            <w:pPr>
              <w:pStyle w:val="59"/>
              <w:rPr>
                <w:color w:val="auto"/>
              </w:rPr>
            </w:pPr>
            <w:r>
              <w:rPr>
                <w:color w:val="auto"/>
              </w:rPr>
              <w:t>0.9</w:t>
            </w:r>
          </w:p>
        </w:tc>
        <w:tc>
          <w:tcPr>
            <w:tcW w:w="1430" w:type="dxa"/>
            <w:tcMar>
              <w:top w:w="15" w:type="dxa"/>
              <w:left w:w="15" w:type="dxa"/>
              <w:right w:w="15" w:type="dxa"/>
            </w:tcMar>
            <w:vAlign w:val="center"/>
          </w:tcPr>
          <w:p w14:paraId="0A9019AD">
            <w:pPr>
              <w:pStyle w:val="59"/>
              <w:rPr>
                <w:color w:val="auto"/>
              </w:rPr>
            </w:pPr>
            <w:r>
              <w:rPr>
                <w:color w:val="auto"/>
              </w:rPr>
              <w:t>5</w:t>
            </w:r>
          </w:p>
        </w:tc>
        <w:tc>
          <w:tcPr>
            <w:tcW w:w="1489" w:type="dxa"/>
            <w:tcMar>
              <w:top w:w="15" w:type="dxa"/>
              <w:left w:w="15" w:type="dxa"/>
              <w:right w:w="15" w:type="dxa"/>
            </w:tcMar>
            <w:vAlign w:val="center"/>
          </w:tcPr>
          <w:p w14:paraId="2F9C3DF0">
            <w:pPr>
              <w:pStyle w:val="59"/>
              <w:rPr>
                <w:color w:val="auto"/>
              </w:rPr>
            </w:pPr>
            <w:r>
              <w:rPr>
                <w:color w:val="auto"/>
              </w:rPr>
              <w:t>10</w:t>
            </w:r>
          </w:p>
        </w:tc>
      </w:tr>
      <w:tr w14:paraId="5394C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B998DAB">
            <w:pPr>
              <w:pStyle w:val="59"/>
              <w:rPr>
                <w:color w:val="auto"/>
              </w:rPr>
            </w:pPr>
            <w:r>
              <w:rPr>
                <w:color w:val="auto"/>
              </w:rPr>
              <w:t>10</w:t>
            </w:r>
          </w:p>
        </w:tc>
        <w:tc>
          <w:tcPr>
            <w:tcW w:w="1882" w:type="dxa"/>
            <w:tcMar>
              <w:top w:w="15" w:type="dxa"/>
              <w:left w:w="15" w:type="dxa"/>
              <w:right w:w="15" w:type="dxa"/>
            </w:tcMar>
            <w:vAlign w:val="center"/>
          </w:tcPr>
          <w:p w14:paraId="1AFD6B64">
            <w:pPr>
              <w:pStyle w:val="59"/>
              <w:rPr>
                <w:color w:val="auto"/>
              </w:rPr>
            </w:pPr>
            <w:r>
              <w:rPr>
                <w:color w:val="auto"/>
              </w:rPr>
              <w:t>氯甲烷</w:t>
            </w:r>
          </w:p>
        </w:tc>
        <w:tc>
          <w:tcPr>
            <w:tcW w:w="1430" w:type="dxa"/>
            <w:tcMar>
              <w:top w:w="15" w:type="dxa"/>
              <w:left w:w="15" w:type="dxa"/>
              <w:right w:w="15" w:type="dxa"/>
            </w:tcMar>
            <w:vAlign w:val="center"/>
          </w:tcPr>
          <w:p w14:paraId="62AA1789">
            <w:pPr>
              <w:pStyle w:val="59"/>
              <w:rPr>
                <w:color w:val="auto"/>
              </w:rPr>
            </w:pPr>
            <w:r>
              <w:rPr>
                <w:color w:val="auto"/>
              </w:rPr>
              <w:t>12</w:t>
            </w:r>
          </w:p>
        </w:tc>
        <w:tc>
          <w:tcPr>
            <w:tcW w:w="1485" w:type="dxa"/>
            <w:tcMar>
              <w:top w:w="15" w:type="dxa"/>
              <w:left w:w="15" w:type="dxa"/>
              <w:right w:w="15" w:type="dxa"/>
            </w:tcMar>
            <w:vAlign w:val="center"/>
          </w:tcPr>
          <w:p w14:paraId="44E9666B">
            <w:pPr>
              <w:pStyle w:val="59"/>
              <w:rPr>
                <w:color w:val="auto"/>
              </w:rPr>
            </w:pPr>
            <w:r>
              <w:rPr>
                <w:color w:val="auto"/>
              </w:rPr>
              <w:t>37</w:t>
            </w:r>
          </w:p>
        </w:tc>
        <w:tc>
          <w:tcPr>
            <w:tcW w:w="1430" w:type="dxa"/>
            <w:tcMar>
              <w:top w:w="15" w:type="dxa"/>
              <w:left w:w="15" w:type="dxa"/>
              <w:right w:w="15" w:type="dxa"/>
            </w:tcMar>
            <w:vAlign w:val="center"/>
          </w:tcPr>
          <w:p w14:paraId="2BADF362">
            <w:pPr>
              <w:pStyle w:val="59"/>
              <w:rPr>
                <w:color w:val="auto"/>
              </w:rPr>
            </w:pPr>
            <w:r>
              <w:rPr>
                <w:color w:val="auto"/>
              </w:rPr>
              <w:t>21</w:t>
            </w:r>
          </w:p>
        </w:tc>
        <w:tc>
          <w:tcPr>
            <w:tcW w:w="1489" w:type="dxa"/>
            <w:tcMar>
              <w:top w:w="15" w:type="dxa"/>
              <w:left w:w="15" w:type="dxa"/>
              <w:right w:w="15" w:type="dxa"/>
            </w:tcMar>
            <w:vAlign w:val="center"/>
          </w:tcPr>
          <w:p w14:paraId="1D94B85A">
            <w:pPr>
              <w:pStyle w:val="59"/>
              <w:rPr>
                <w:color w:val="auto"/>
              </w:rPr>
            </w:pPr>
            <w:r>
              <w:rPr>
                <w:color w:val="auto"/>
              </w:rPr>
              <w:t>120</w:t>
            </w:r>
          </w:p>
        </w:tc>
      </w:tr>
      <w:tr w14:paraId="46E3CA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1FB4AEB">
            <w:pPr>
              <w:pStyle w:val="59"/>
              <w:rPr>
                <w:color w:val="auto"/>
              </w:rPr>
            </w:pPr>
            <w:r>
              <w:rPr>
                <w:color w:val="auto"/>
              </w:rPr>
              <w:t>11</w:t>
            </w:r>
          </w:p>
        </w:tc>
        <w:tc>
          <w:tcPr>
            <w:tcW w:w="1882" w:type="dxa"/>
            <w:tcMar>
              <w:top w:w="15" w:type="dxa"/>
              <w:left w:w="15" w:type="dxa"/>
              <w:right w:w="15" w:type="dxa"/>
            </w:tcMar>
            <w:vAlign w:val="center"/>
          </w:tcPr>
          <w:p w14:paraId="0863A38F">
            <w:pPr>
              <w:pStyle w:val="59"/>
              <w:rPr>
                <w:color w:val="auto"/>
              </w:rPr>
            </w:pPr>
            <w:r>
              <w:rPr>
                <w:color w:val="auto"/>
              </w:rPr>
              <w:t>1</w:t>
            </w:r>
            <w:r>
              <w:rPr>
                <w:rFonts w:hint="eastAsia"/>
                <w:color w:val="auto"/>
              </w:rPr>
              <w:t>，</w:t>
            </w:r>
            <w:r>
              <w:rPr>
                <w:color w:val="auto"/>
              </w:rPr>
              <w:t>1-二氯乙烷</w:t>
            </w:r>
          </w:p>
        </w:tc>
        <w:tc>
          <w:tcPr>
            <w:tcW w:w="1430" w:type="dxa"/>
            <w:tcMar>
              <w:top w:w="15" w:type="dxa"/>
              <w:left w:w="15" w:type="dxa"/>
              <w:right w:w="15" w:type="dxa"/>
            </w:tcMar>
            <w:vAlign w:val="center"/>
          </w:tcPr>
          <w:p w14:paraId="0BFDC39C">
            <w:pPr>
              <w:pStyle w:val="59"/>
              <w:rPr>
                <w:color w:val="auto"/>
              </w:rPr>
            </w:pPr>
            <w:r>
              <w:rPr>
                <w:color w:val="auto"/>
              </w:rPr>
              <w:t>3</w:t>
            </w:r>
          </w:p>
        </w:tc>
        <w:tc>
          <w:tcPr>
            <w:tcW w:w="1485" w:type="dxa"/>
            <w:tcMar>
              <w:top w:w="15" w:type="dxa"/>
              <w:left w:w="15" w:type="dxa"/>
              <w:right w:w="15" w:type="dxa"/>
            </w:tcMar>
            <w:vAlign w:val="center"/>
          </w:tcPr>
          <w:p w14:paraId="1BFDE876">
            <w:pPr>
              <w:pStyle w:val="59"/>
              <w:rPr>
                <w:color w:val="auto"/>
              </w:rPr>
            </w:pPr>
            <w:r>
              <w:rPr>
                <w:color w:val="auto"/>
              </w:rPr>
              <w:t>9</w:t>
            </w:r>
          </w:p>
        </w:tc>
        <w:tc>
          <w:tcPr>
            <w:tcW w:w="1430" w:type="dxa"/>
            <w:tcMar>
              <w:top w:w="15" w:type="dxa"/>
              <w:left w:w="15" w:type="dxa"/>
              <w:right w:w="15" w:type="dxa"/>
            </w:tcMar>
            <w:vAlign w:val="center"/>
          </w:tcPr>
          <w:p w14:paraId="11E06F2B">
            <w:pPr>
              <w:pStyle w:val="59"/>
              <w:rPr>
                <w:color w:val="auto"/>
              </w:rPr>
            </w:pPr>
            <w:r>
              <w:rPr>
                <w:color w:val="auto"/>
              </w:rPr>
              <w:t>20</w:t>
            </w:r>
          </w:p>
        </w:tc>
        <w:tc>
          <w:tcPr>
            <w:tcW w:w="1489" w:type="dxa"/>
            <w:tcMar>
              <w:top w:w="15" w:type="dxa"/>
              <w:left w:w="15" w:type="dxa"/>
              <w:right w:w="15" w:type="dxa"/>
            </w:tcMar>
            <w:vAlign w:val="center"/>
          </w:tcPr>
          <w:p w14:paraId="06A1E939">
            <w:pPr>
              <w:pStyle w:val="59"/>
              <w:rPr>
                <w:color w:val="auto"/>
              </w:rPr>
            </w:pPr>
            <w:r>
              <w:rPr>
                <w:color w:val="auto"/>
              </w:rPr>
              <w:t>100</w:t>
            </w:r>
          </w:p>
        </w:tc>
      </w:tr>
      <w:tr w14:paraId="120F93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F271319">
            <w:pPr>
              <w:pStyle w:val="59"/>
              <w:rPr>
                <w:color w:val="auto"/>
              </w:rPr>
            </w:pPr>
            <w:r>
              <w:rPr>
                <w:color w:val="auto"/>
              </w:rPr>
              <w:t>12</w:t>
            </w:r>
          </w:p>
        </w:tc>
        <w:tc>
          <w:tcPr>
            <w:tcW w:w="1882" w:type="dxa"/>
            <w:tcMar>
              <w:top w:w="15" w:type="dxa"/>
              <w:left w:w="15" w:type="dxa"/>
              <w:right w:w="15" w:type="dxa"/>
            </w:tcMar>
            <w:vAlign w:val="center"/>
          </w:tcPr>
          <w:p w14:paraId="561C0AD3">
            <w:pPr>
              <w:pStyle w:val="59"/>
              <w:rPr>
                <w:color w:val="auto"/>
              </w:rPr>
            </w:pPr>
            <w:r>
              <w:rPr>
                <w:color w:val="auto"/>
              </w:rPr>
              <w:t>1</w:t>
            </w:r>
            <w:r>
              <w:rPr>
                <w:rFonts w:hint="eastAsia"/>
                <w:color w:val="auto"/>
              </w:rPr>
              <w:t>，</w:t>
            </w:r>
            <w:r>
              <w:rPr>
                <w:color w:val="auto"/>
              </w:rPr>
              <w:t>2-二氯乙烷</w:t>
            </w:r>
          </w:p>
        </w:tc>
        <w:tc>
          <w:tcPr>
            <w:tcW w:w="1430" w:type="dxa"/>
            <w:tcMar>
              <w:top w:w="15" w:type="dxa"/>
              <w:left w:w="15" w:type="dxa"/>
              <w:right w:w="15" w:type="dxa"/>
            </w:tcMar>
            <w:vAlign w:val="center"/>
          </w:tcPr>
          <w:p w14:paraId="0553C9F4">
            <w:pPr>
              <w:pStyle w:val="59"/>
              <w:rPr>
                <w:color w:val="auto"/>
              </w:rPr>
            </w:pPr>
            <w:r>
              <w:rPr>
                <w:color w:val="auto"/>
              </w:rPr>
              <w:t>0.52</w:t>
            </w:r>
          </w:p>
        </w:tc>
        <w:tc>
          <w:tcPr>
            <w:tcW w:w="1485" w:type="dxa"/>
            <w:tcMar>
              <w:top w:w="15" w:type="dxa"/>
              <w:left w:w="15" w:type="dxa"/>
              <w:right w:w="15" w:type="dxa"/>
            </w:tcMar>
            <w:vAlign w:val="center"/>
          </w:tcPr>
          <w:p w14:paraId="60047FB1">
            <w:pPr>
              <w:pStyle w:val="59"/>
              <w:rPr>
                <w:color w:val="auto"/>
              </w:rPr>
            </w:pPr>
            <w:r>
              <w:rPr>
                <w:color w:val="auto"/>
              </w:rPr>
              <w:t>5</w:t>
            </w:r>
          </w:p>
        </w:tc>
        <w:tc>
          <w:tcPr>
            <w:tcW w:w="1430" w:type="dxa"/>
            <w:tcMar>
              <w:top w:w="15" w:type="dxa"/>
              <w:left w:w="15" w:type="dxa"/>
              <w:right w:w="15" w:type="dxa"/>
            </w:tcMar>
            <w:vAlign w:val="center"/>
          </w:tcPr>
          <w:p w14:paraId="19786B3C">
            <w:pPr>
              <w:pStyle w:val="59"/>
              <w:rPr>
                <w:color w:val="auto"/>
              </w:rPr>
            </w:pPr>
            <w:r>
              <w:rPr>
                <w:color w:val="auto"/>
              </w:rPr>
              <w:t>6</w:t>
            </w:r>
          </w:p>
        </w:tc>
        <w:tc>
          <w:tcPr>
            <w:tcW w:w="1489" w:type="dxa"/>
            <w:tcMar>
              <w:top w:w="15" w:type="dxa"/>
              <w:left w:w="15" w:type="dxa"/>
              <w:right w:w="15" w:type="dxa"/>
            </w:tcMar>
            <w:vAlign w:val="center"/>
          </w:tcPr>
          <w:p w14:paraId="71DB6812">
            <w:pPr>
              <w:pStyle w:val="59"/>
              <w:rPr>
                <w:color w:val="auto"/>
              </w:rPr>
            </w:pPr>
            <w:r>
              <w:rPr>
                <w:color w:val="auto"/>
              </w:rPr>
              <w:t>21</w:t>
            </w:r>
          </w:p>
        </w:tc>
      </w:tr>
      <w:tr w14:paraId="765F0E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765D2390">
            <w:pPr>
              <w:pStyle w:val="59"/>
              <w:rPr>
                <w:color w:val="auto"/>
              </w:rPr>
            </w:pPr>
            <w:r>
              <w:rPr>
                <w:color w:val="auto"/>
              </w:rPr>
              <w:t>13</w:t>
            </w:r>
          </w:p>
        </w:tc>
        <w:tc>
          <w:tcPr>
            <w:tcW w:w="1882" w:type="dxa"/>
            <w:tcMar>
              <w:top w:w="15" w:type="dxa"/>
              <w:left w:w="15" w:type="dxa"/>
              <w:right w:w="15" w:type="dxa"/>
            </w:tcMar>
            <w:vAlign w:val="center"/>
          </w:tcPr>
          <w:p w14:paraId="0DCB5D0C">
            <w:pPr>
              <w:pStyle w:val="59"/>
              <w:rPr>
                <w:color w:val="auto"/>
              </w:rPr>
            </w:pPr>
            <w:r>
              <w:rPr>
                <w:color w:val="auto"/>
              </w:rPr>
              <w:t>1</w:t>
            </w:r>
            <w:r>
              <w:rPr>
                <w:rFonts w:hint="eastAsia"/>
                <w:color w:val="auto"/>
              </w:rPr>
              <w:t>，</w:t>
            </w:r>
            <w:r>
              <w:rPr>
                <w:color w:val="auto"/>
              </w:rPr>
              <w:t>1-二氯乙烯</w:t>
            </w:r>
          </w:p>
        </w:tc>
        <w:tc>
          <w:tcPr>
            <w:tcW w:w="1430" w:type="dxa"/>
            <w:tcMar>
              <w:top w:w="15" w:type="dxa"/>
              <w:left w:w="15" w:type="dxa"/>
              <w:right w:w="15" w:type="dxa"/>
            </w:tcMar>
            <w:vAlign w:val="center"/>
          </w:tcPr>
          <w:p w14:paraId="64E5A1B4">
            <w:pPr>
              <w:pStyle w:val="59"/>
              <w:rPr>
                <w:color w:val="auto"/>
              </w:rPr>
            </w:pPr>
            <w:r>
              <w:rPr>
                <w:color w:val="auto"/>
              </w:rPr>
              <w:t>12</w:t>
            </w:r>
          </w:p>
        </w:tc>
        <w:tc>
          <w:tcPr>
            <w:tcW w:w="1485" w:type="dxa"/>
            <w:tcMar>
              <w:top w:w="15" w:type="dxa"/>
              <w:left w:w="15" w:type="dxa"/>
              <w:right w:w="15" w:type="dxa"/>
            </w:tcMar>
            <w:vAlign w:val="center"/>
          </w:tcPr>
          <w:p w14:paraId="59AD3792">
            <w:pPr>
              <w:pStyle w:val="59"/>
              <w:rPr>
                <w:color w:val="auto"/>
              </w:rPr>
            </w:pPr>
            <w:r>
              <w:rPr>
                <w:color w:val="auto"/>
              </w:rPr>
              <w:t>66</w:t>
            </w:r>
          </w:p>
        </w:tc>
        <w:tc>
          <w:tcPr>
            <w:tcW w:w="1430" w:type="dxa"/>
            <w:tcMar>
              <w:top w:w="15" w:type="dxa"/>
              <w:left w:w="15" w:type="dxa"/>
              <w:right w:w="15" w:type="dxa"/>
            </w:tcMar>
            <w:vAlign w:val="center"/>
          </w:tcPr>
          <w:p w14:paraId="4C8E4A3B">
            <w:pPr>
              <w:pStyle w:val="59"/>
              <w:rPr>
                <w:color w:val="auto"/>
              </w:rPr>
            </w:pPr>
            <w:r>
              <w:rPr>
                <w:color w:val="auto"/>
              </w:rPr>
              <w:t>40</w:t>
            </w:r>
          </w:p>
        </w:tc>
        <w:tc>
          <w:tcPr>
            <w:tcW w:w="1489" w:type="dxa"/>
            <w:tcMar>
              <w:top w:w="15" w:type="dxa"/>
              <w:left w:w="15" w:type="dxa"/>
              <w:right w:w="15" w:type="dxa"/>
            </w:tcMar>
            <w:vAlign w:val="center"/>
          </w:tcPr>
          <w:p w14:paraId="45E197B9">
            <w:pPr>
              <w:pStyle w:val="59"/>
              <w:rPr>
                <w:color w:val="auto"/>
              </w:rPr>
            </w:pPr>
            <w:r>
              <w:rPr>
                <w:color w:val="auto"/>
              </w:rPr>
              <w:t>200</w:t>
            </w:r>
          </w:p>
        </w:tc>
      </w:tr>
      <w:tr w14:paraId="2B4E8F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7318E8BF">
            <w:pPr>
              <w:pStyle w:val="59"/>
              <w:rPr>
                <w:color w:val="auto"/>
              </w:rPr>
            </w:pPr>
            <w:r>
              <w:rPr>
                <w:color w:val="auto"/>
              </w:rPr>
              <w:t>14</w:t>
            </w:r>
          </w:p>
        </w:tc>
        <w:tc>
          <w:tcPr>
            <w:tcW w:w="1882" w:type="dxa"/>
            <w:tcMar>
              <w:top w:w="15" w:type="dxa"/>
              <w:left w:w="15" w:type="dxa"/>
              <w:right w:w="15" w:type="dxa"/>
            </w:tcMar>
            <w:vAlign w:val="center"/>
          </w:tcPr>
          <w:p w14:paraId="1894DD8C">
            <w:pPr>
              <w:pStyle w:val="59"/>
              <w:rPr>
                <w:color w:val="auto"/>
              </w:rPr>
            </w:pPr>
            <w:r>
              <w:rPr>
                <w:color w:val="auto"/>
              </w:rPr>
              <w:t>顺-1.2-二氯乙烯</w:t>
            </w:r>
          </w:p>
        </w:tc>
        <w:tc>
          <w:tcPr>
            <w:tcW w:w="1430" w:type="dxa"/>
            <w:tcMar>
              <w:top w:w="15" w:type="dxa"/>
              <w:left w:w="15" w:type="dxa"/>
              <w:right w:w="15" w:type="dxa"/>
            </w:tcMar>
            <w:vAlign w:val="center"/>
          </w:tcPr>
          <w:p w14:paraId="4AB27DBB">
            <w:pPr>
              <w:pStyle w:val="59"/>
              <w:rPr>
                <w:color w:val="auto"/>
              </w:rPr>
            </w:pPr>
            <w:r>
              <w:rPr>
                <w:color w:val="auto"/>
              </w:rPr>
              <w:t>66</w:t>
            </w:r>
          </w:p>
        </w:tc>
        <w:tc>
          <w:tcPr>
            <w:tcW w:w="1485" w:type="dxa"/>
            <w:tcMar>
              <w:top w:w="15" w:type="dxa"/>
              <w:left w:w="15" w:type="dxa"/>
              <w:right w:w="15" w:type="dxa"/>
            </w:tcMar>
            <w:vAlign w:val="center"/>
          </w:tcPr>
          <w:p w14:paraId="58E95C3A">
            <w:pPr>
              <w:pStyle w:val="59"/>
              <w:rPr>
                <w:color w:val="auto"/>
              </w:rPr>
            </w:pPr>
            <w:r>
              <w:rPr>
                <w:color w:val="auto"/>
              </w:rPr>
              <w:t>596</w:t>
            </w:r>
          </w:p>
        </w:tc>
        <w:tc>
          <w:tcPr>
            <w:tcW w:w="1430" w:type="dxa"/>
            <w:tcMar>
              <w:top w:w="15" w:type="dxa"/>
              <w:left w:w="15" w:type="dxa"/>
              <w:right w:w="15" w:type="dxa"/>
            </w:tcMar>
            <w:vAlign w:val="center"/>
          </w:tcPr>
          <w:p w14:paraId="12386A59">
            <w:pPr>
              <w:pStyle w:val="59"/>
              <w:rPr>
                <w:color w:val="auto"/>
              </w:rPr>
            </w:pPr>
            <w:r>
              <w:rPr>
                <w:color w:val="auto"/>
              </w:rPr>
              <w:t>200</w:t>
            </w:r>
          </w:p>
        </w:tc>
        <w:tc>
          <w:tcPr>
            <w:tcW w:w="1489" w:type="dxa"/>
            <w:tcMar>
              <w:top w:w="15" w:type="dxa"/>
              <w:left w:w="15" w:type="dxa"/>
              <w:right w:w="15" w:type="dxa"/>
            </w:tcMar>
            <w:vAlign w:val="center"/>
          </w:tcPr>
          <w:p w14:paraId="0586CBA3">
            <w:pPr>
              <w:pStyle w:val="59"/>
              <w:rPr>
                <w:color w:val="auto"/>
              </w:rPr>
            </w:pPr>
            <w:r>
              <w:rPr>
                <w:color w:val="auto"/>
              </w:rPr>
              <w:t>2000</w:t>
            </w:r>
          </w:p>
        </w:tc>
      </w:tr>
      <w:tr w14:paraId="65F9C4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724853F7">
            <w:pPr>
              <w:pStyle w:val="59"/>
              <w:rPr>
                <w:color w:val="auto"/>
              </w:rPr>
            </w:pPr>
            <w:r>
              <w:rPr>
                <w:color w:val="auto"/>
              </w:rPr>
              <w:t>15</w:t>
            </w:r>
          </w:p>
        </w:tc>
        <w:tc>
          <w:tcPr>
            <w:tcW w:w="1882" w:type="dxa"/>
            <w:tcMar>
              <w:top w:w="15" w:type="dxa"/>
              <w:left w:w="15" w:type="dxa"/>
              <w:right w:w="15" w:type="dxa"/>
            </w:tcMar>
            <w:vAlign w:val="center"/>
          </w:tcPr>
          <w:p w14:paraId="0DEB1B44">
            <w:pPr>
              <w:pStyle w:val="59"/>
              <w:rPr>
                <w:color w:val="auto"/>
              </w:rPr>
            </w:pPr>
            <w:r>
              <w:rPr>
                <w:color w:val="auto"/>
              </w:rPr>
              <w:t>反1</w:t>
            </w:r>
            <w:r>
              <w:rPr>
                <w:rFonts w:hint="eastAsia"/>
                <w:color w:val="auto"/>
              </w:rPr>
              <w:t>，</w:t>
            </w:r>
            <w:r>
              <w:rPr>
                <w:color w:val="auto"/>
              </w:rPr>
              <w:t>2-二氯乙烯</w:t>
            </w:r>
          </w:p>
        </w:tc>
        <w:tc>
          <w:tcPr>
            <w:tcW w:w="1430" w:type="dxa"/>
            <w:tcMar>
              <w:top w:w="15" w:type="dxa"/>
              <w:left w:w="15" w:type="dxa"/>
              <w:right w:w="15" w:type="dxa"/>
            </w:tcMar>
            <w:vAlign w:val="center"/>
          </w:tcPr>
          <w:p w14:paraId="608C280A">
            <w:pPr>
              <w:pStyle w:val="59"/>
              <w:rPr>
                <w:color w:val="auto"/>
              </w:rPr>
            </w:pPr>
            <w:r>
              <w:rPr>
                <w:color w:val="auto"/>
              </w:rPr>
              <w:t>10</w:t>
            </w:r>
          </w:p>
        </w:tc>
        <w:tc>
          <w:tcPr>
            <w:tcW w:w="1485" w:type="dxa"/>
            <w:tcMar>
              <w:top w:w="15" w:type="dxa"/>
              <w:left w:w="15" w:type="dxa"/>
              <w:right w:w="15" w:type="dxa"/>
            </w:tcMar>
            <w:vAlign w:val="center"/>
          </w:tcPr>
          <w:p w14:paraId="6E4B89BB">
            <w:pPr>
              <w:pStyle w:val="59"/>
              <w:rPr>
                <w:color w:val="auto"/>
              </w:rPr>
            </w:pPr>
            <w:r>
              <w:rPr>
                <w:color w:val="auto"/>
              </w:rPr>
              <w:t>54</w:t>
            </w:r>
          </w:p>
        </w:tc>
        <w:tc>
          <w:tcPr>
            <w:tcW w:w="1430" w:type="dxa"/>
            <w:tcMar>
              <w:top w:w="15" w:type="dxa"/>
              <w:left w:w="15" w:type="dxa"/>
              <w:right w:w="15" w:type="dxa"/>
            </w:tcMar>
            <w:vAlign w:val="center"/>
          </w:tcPr>
          <w:p w14:paraId="3DD2F945">
            <w:pPr>
              <w:pStyle w:val="59"/>
              <w:rPr>
                <w:color w:val="auto"/>
              </w:rPr>
            </w:pPr>
            <w:r>
              <w:rPr>
                <w:color w:val="auto"/>
              </w:rPr>
              <w:t>31</w:t>
            </w:r>
          </w:p>
        </w:tc>
        <w:tc>
          <w:tcPr>
            <w:tcW w:w="1489" w:type="dxa"/>
            <w:tcMar>
              <w:top w:w="15" w:type="dxa"/>
              <w:left w:w="15" w:type="dxa"/>
              <w:right w:w="15" w:type="dxa"/>
            </w:tcMar>
            <w:vAlign w:val="center"/>
          </w:tcPr>
          <w:p w14:paraId="27A2507B">
            <w:pPr>
              <w:pStyle w:val="59"/>
              <w:rPr>
                <w:color w:val="auto"/>
              </w:rPr>
            </w:pPr>
            <w:r>
              <w:rPr>
                <w:color w:val="auto"/>
              </w:rPr>
              <w:t>163</w:t>
            </w:r>
          </w:p>
        </w:tc>
      </w:tr>
      <w:tr w14:paraId="75FC66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2427F67C">
            <w:pPr>
              <w:pStyle w:val="59"/>
              <w:rPr>
                <w:color w:val="auto"/>
              </w:rPr>
            </w:pPr>
            <w:r>
              <w:rPr>
                <w:color w:val="auto"/>
              </w:rPr>
              <w:t>16</w:t>
            </w:r>
          </w:p>
        </w:tc>
        <w:tc>
          <w:tcPr>
            <w:tcW w:w="1882" w:type="dxa"/>
            <w:tcMar>
              <w:top w:w="15" w:type="dxa"/>
              <w:left w:w="15" w:type="dxa"/>
              <w:right w:w="15" w:type="dxa"/>
            </w:tcMar>
            <w:vAlign w:val="center"/>
          </w:tcPr>
          <w:p w14:paraId="01988BF7">
            <w:pPr>
              <w:pStyle w:val="59"/>
              <w:rPr>
                <w:color w:val="auto"/>
              </w:rPr>
            </w:pPr>
            <w:r>
              <w:rPr>
                <w:color w:val="auto"/>
              </w:rPr>
              <w:t>二氯甲烷</w:t>
            </w:r>
          </w:p>
        </w:tc>
        <w:tc>
          <w:tcPr>
            <w:tcW w:w="1430" w:type="dxa"/>
            <w:tcMar>
              <w:top w:w="15" w:type="dxa"/>
              <w:left w:w="15" w:type="dxa"/>
              <w:right w:w="15" w:type="dxa"/>
            </w:tcMar>
            <w:vAlign w:val="center"/>
          </w:tcPr>
          <w:p w14:paraId="1AE717E6">
            <w:pPr>
              <w:pStyle w:val="59"/>
              <w:rPr>
                <w:color w:val="auto"/>
              </w:rPr>
            </w:pPr>
            <w:r>
              <w:rPr>
                <w:color w:val="auto"/>
              </w:rPr>
              <w:t>94</w:t>
            </w:r>
          </w:p>
        </w:tc>
        <w:tc>
          <w:tcPr>
            <w:tcW w:w="1485" w:type="dxa"/>
            <w:tcMar>
              <w:top w:w="15" w:type="dxa"/>
              <w:left w:w="15" w:type="dxa"/>
              <w:right w:w="15" w:type="dxa"/>
            </w:tcMar>
            <w:vAlign w:val="center"/>
          </w:tcPr>
          <w:p w14:paraId="76925B8A">
            <w:pPr>
              <w:pStyle w:val="59"/>
              <w:rPr>
                <w:color w:val="auto"/>
              </w:rPr>
            </w:pPr>
            <w:r>
              <w:rPr>
                <w:color w:val="auto"/>
              </w:rPr>
              <w:t>616</w:t>
            </w:r>
          </w:p>
        </w:tc>
        <w:tc>
          <w:tcPr>
            <w:tcW w:w="1430" w:type="dxa"/>
            <w:tcMar>
              <w:top w:w="15" w:type="dxa"/>
              <w:left w:w="15" w:type="dxa"/>
              <w:right w:w="15" w:type="dxa"/>
            </w:tcMar>
            <w:vAlign w:val="center"/>
          </w:tcPr>
          <w:p w14:paraId="125DD56B">
            <w:pPr>
              <w:pStyle w:val="59"/>
              <w:rPr>
                <w:color w:val="auto"/>
              </w:rPr>
            </w:pPr>
            <w:r>
              <w:rPr>
                <w:color w:val="auto"/>
              </w:rPr>
              <w:t>300</w:t>
            </w:r>
          </w:p>
        </w:tc>
        <w:tc>
          <w:tcPr>
            <w:tcW w:w="1489" w:type="dxa"/>
            <w:tcMar>
              <w:top w:w="15" w:type="dxa"/>
              <w:left w:w="15" w:type="dxa"/>
              <w:right w:w="15" w:type="dxa"/>
            </w:tcMar>
            <w:vAlign w:val="center"/>
          </w:tcPr>
          <w:p w14:paraId="1493BC68">
            <w:pPr>
              <w:pStyle w:val="59"/>
              <w:rPr>
                <w:color w:val="auto"/>
              </w:rPr>
            </w:pPr>
            <w:r>
              <w:rPr>
                <w:color w:val="auto"/>
              </w:rPr>
              <w:t>2000</w:t>
            </w:r>
          </w:p>
        </w:tc>
      </w:tr>
      <w:tr w14:paraId="3C3A70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11A5C101">
            <w:pPr>
              <w:pStyle w:val="59"/>
              <w:rPr>
                <w:color w:val="auto"/>
              </w:rPr>
            </w:pPr>
            <w:r>
              <w:rPr>
                <w:color w:val="auto"/>
              </w:rPr>
              <w:t>17</w:t>
            </w:r>
          </w:p>
        </w:tc>
        <w:tc>
          <w:tcPr>
            <w:tcW w:w="1882" w:type="dxa"/>
            <w:tcMar>
              <w:top w:w="15" w:type="dxa"/>
              <w:left w:w="15" w:type="dxa"/>
              <w:right w:w="15" w:type="dxa"/>
            </w:tcMar>
            <w:vAlign w:val="center"/>
          </w:tcPr>
          <w:p w14:paraId="38AD5408">
            <w:pPr>
              <w:pStyle w:val="59"/>
              <w:rPr>
                <w:color w:val="auto"/>
              </w:rPr>
            </w:pPr>
            <w:r>
              <w:rPr>
                <w:color w:val="auto"/>
              </w:rPr>
              <w:t>1</w:t>
            </w:r>
            <w:r>
              <w:rPr>
                <w:rFonts w:hint="eastAsia"/>
                <w:color w:val="auto"/>
              </w:rPr>
              <w:t>，</w:t>
            </w:r>
            <w:r>
              <w:rPr>
                <w:color w:val="auto"/>
              </w:rPr>
              <w:t>2-二氯丙烷</w:t>
            </w:r>
          </w:p>
        </w:tc>
        <w:tc>
          <w:tcPr>
            <w:tcW w:w="1430" w:type="dxa"/>
            <w:tcMar>
              <w:top w:w="15" w:type="dxa"/>
              <w:left w:w="15" w:type="dxa"/>
              <w:right w:w="15" w:type="dxa"/>
            </w:tcMar>
            <w:vAlign w:val="center"/>
          </w:tcPr>
          <w:p w14:paraId="7F9D291D">
            <w:pPr>
              <w:pStyle w:val="59"/>
              <w:rPr>
                <w:color w:val="auto"/>
              </w:rPr>
            </w:pPr>
            <w:r>
              <w:rPr>
                <w:color w:val="auto"/>
              </w:rPr>
              <w:t>1</w:t>
            </w:r>
          </w:p>
        </w:tc>
        <w:tc>
          <w:tcPr>
            <w:tcW w:w="1485" w:type="dxa"/>
            <w:tcMar>
              <w:top w:w="15" w:type="dxa"/>
              <w:left w:w="15" w:type="dxa"/>
              <w:right w:w="15" w:type="dxa"/>
            </w:tcMar>
            <w:vAlign w:val="center"/>
          </w:tcPr>
          <w:p w14:paraId="78DB2C26">
            <w:pPr>
              <w:pStyle w:val="59"/>
              <w:rPr>
                <w:color w:val="auto"/>
              </w:rPr>
            </w:pPr>
            <w:r>
              <w:rPr>
                <w:color w:val="auto"/>
              </w:rPr>
              <w:t>5</w:t>
            </w:r>
          </w:p>
        </w:tc>
        <w:tc>
          <w:tcPr>
            <w:tcW w:w="1430" w:type="dxa"/>
            <w:tcMar>
              <w:top w:w="15" w:type="dxa"/>
              <w:left w:w="15" w:type="dxa"/>
              <w:right w:w="15" w:type="dxa"/>
            </w:tcMar>
            <w:vAlign w:val="center"/>
          </w:tcPr>
          <w:p w14:paraId="57856990">
            <w:pPr>
              <w:pStyle w:val="59"/>
              <w:rPr>
                <w:color w:val="auto"/>
              </w:rPr>
            </w:pPr>
            <w:r>
              <w:rPr>
                <w:color w:val="auto"/>
              </w:rPr>
              <w:t>5</w:t>
            </w:r>
          </w:p>
        </w:tc>
        <w:tc>
          <w:tcPr>
            <w:tcW w:w="1489" w:type="dxa"/>
            <w:tcMar>
              <w:top w:w="15" w:type="dxa"/>
              <w:left w:w="15" w:type="dxa"/>
              <w:right w:w="15" w:type="dxa"/>
            </w:tcMar>
            <w:vAlign w:val="center"/>
          </w:tcPr>
          <w:p w14:paraId="77BB2DFC">
            <w:pPr>
              <w:pStyle w:val="59"/>
              <w:rPr>
                <w:color w:val="auto"/>
              </w:rPr>
            </w:pPr>
            <w:r>
              <w:rPr>
                <w:color w:val="auto"/>
              </w:rPr>
              <w:t>47</w:t>
            </w:r>
          </w:p>
        </w:tc>
      </w:tr>
      <w:tr w14:paraId="4F0868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10D9FD38">
            <w:pPr>
              <w:pStyle w:val="59"/>
              <w:rPr>
                <w:color w:val="auto"/>
              </w:rPr>
            </w:pPr>
            <w:r>
              <w:rPr>
                <w:color w:val="auto"/>
              </w:rPr>
              <w:t>18</w:t>
            </w:r>
          </w:p>
        </w:tc>
        <w:tc>
          <w:tcPr>
            <w:tcW w:w="1882" w:type="dxa"/>
            <w:tcMar>
              <w:top w:w="15" w:type="dxa"/>
              <w:left w:w="15" w:type="dxa"/>
              <w:right w:w="15" w:type="dxa"/>
            </w:tcMar>
            <w:vAlign w:val="center"/>
          </w:tcPr>
          <w:p w14:paraId="519A8975">
            <w:pPr>
              <w:pStyle w:val="59"/>
              <w:rPr>
                <w:color w:val="auto"/>
              </w:rPr>
            </w:pPr>
            <w:r>
              <w:rPr>
                <w:color w:val="auto"/>
              </w:rPr>
              <w:t>1</w:t>
            </w:r>
            <w:r>
              <w:rPr>
                <w:rFonts w:hint="eastAsia"/>
                <w:color w:val="auto"/>
              </w:rPr>
              <w:t>，</w:t>
            </w:r>
            <w:r>
              <w:rPr>
                <w:color w:val="auto"/>
              </w:rPr>
              <w:t>1</w:t>
            </w:r>
            <w:r>
              <w:rPr>
                <w:rFonts w:hint="eastAsia"/>
                <w:color w:val="auto"/>
              </w:rPr>
              <w:t>，</w:t>
            </w:r>
            <w:r>
              <w:rPr>
                <w:color w:val="auto"/>
              </w:rPr>
              <w:t>1</w:t>
            </w:r>
            <w:r>
              <w:rPr>
                <w:rFonts w:hint="eastAsia"/>
                <w:color w:val="auto"/>
              </w:rPr>
              <w:t>，</w:t>
            </w:r>
            <w:r>
              <w:rPr>
                <w:color w:val="auto"/>
              </w:rPr>
              <w:t>2-四氯乙烷</w:t>
            </w:r>
          </w:p>
        </w:tc>
        <w:tc>
          <w:tcPr>
            <w:tcW w:w="1430" w:type="dxa"/>
            <w:tcMar>
              <w:top w:w="15" w:type="dxa"/>
              <w:left w:w="15" w:type="dxa"/>
              <w:right w:w="15" w:type="dxa"/>
            </w:tcMar>
            <w:vAlign w:val="center"/>
          </w:tcPr>
          <w:p w14:paraId="3CC741F5">
            <w:pPr>
              <w:pStyle w:val="59"/>
              <w:rPr>
                <w:color w:val="auto"/>
              </w:rPr>
            </w:pPr>
            <w:r>
              <w:rPr>
                <w:color w:val="auto"/>
              </w:rPr>
              <w:t>2.6</w:t>
            </w:r>
          </w:p>
        </w:tc>
        <w:tc>
          <w:tcPr>
            <w:tcW w:w="1485" w:type="dxa"/>
            <w:tcMar>
              <w:top w:w="15" w:type="dxa"/>
              <w:left w:w="15" w:type="dxa"/>
              <w:right w:w="15" w:type="dxa"/>
            </w:tcMar>
            <w:vAlign w:val="center"/>
          </w:tcPr>
          <w:p w14:paraId="7174017C">
            <w:pPr>
              <w:pStyle w:val="59"/>
              <w:rPr>
                <w:color w:val="auto"/>
              </w:rPr>
            </w:pPr>
            <w:r>
              <w:rPr>
                <w:color w:val="auto"/>
              </w:rPr>
              <w:t>10</w:t>
            </w:r>
          </w:p>
        </w:tc>
        <w:tc>
          <w:tcPr>
            <w:tcW w:w="1430" w:type="dxa"/>
            <w:tcMar>
              <w:top w:w="15" w:type="dxa"/>
              <w:left w:w="15" w:type="dxa"/>
              <w:right w:w="15" w:type="dxa"/>
            </w:tcMar>
            <w:vAlign w:val="center"/>
          </w:tcPr>
          <w:p w14:paraId="72786810">
            <w:pPr>
              <w:pStyle w:val="59"/>
              <w:rPr>
                <w:color w:val="auto"/>
              </w:rPr>
            </w:pPr>
            <w:r>
              <w:rPr>
                <w:color w:val="auto"/>
              </w:rPr>
              <w:t>26</w:t>
            </w:r>
          </w:p>
        </w:tc>
        <w:tc>
          <w:tcPr>
            <w:tcW w:w="1489" w:type="dxa"/>
            <w:tcMar>
              <w:top w:w="15" w:type="dxa"/>
              <w:left w:w="15" w:type="dxa"/>
              <w:right w:w="15" w:type="dxa"/>
            </w:tcMar>
            <w:vAlign w:val="center"/>
          </w:tcPr>
          <w:p w14:paraId="636DDFB1">
            <w:pPr>
              <w:pStyle w:val="59"/>
              <w:rPr>
                <w:color w:val="auto"/>
              </w:rPr>
            </w:pPr>
            <w:r>
              <w:rPr>
                <w:color w:val="auto"/>
              </w:rPr>
              <w:t>100</w:t>
            </w:r>
          </w:p>
        </w:tc>
      </w:tr>
      <w:tr w14:paraId="26F1E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72FB0A24">
            <w:pPr>
              <w:pStyle w:val="59"/>
              <w:rPr>
                <w:color w:val="auto"/>
              </w:rPr>
            </w:pPr>
            <w:r>
              <w:rPr>
                <w:color w:val="auto"/>
              </w:rPr>
              <w:t>19</w:t>
            </w:r>
          </w:p>
        </w:tc>
        <w:tc>
          <w:tcPr>
            <w:tcW w:w="1882" w:type="dxa"/>
            <w:tcMar>
              <w:top w:w="15" w:type="dxa"/>
              <w:left w:w="15" w:type="dxa"/>
              <w:right w:w="15" w:type="dxa"/>
            </w:tcMar>
            <w:vAlign w:val="center"/>
          </w:tcPr>
          <w:p w14:paraId="538521A4">
            <w:pPr>
              <w:pStyle w:val="59"/>
              <w:rPr>
                <w:color w:val="auto"/>
              </w:rPr>
            </w:pPr>
            <w:r>
              <w:rPr>
                <w:color w:val="auto"/>
              </w:rPr>
              <w:t>1</w:t>
            </w:r>
            <w:r>
              <w:rPr>
                <w:rFonts w:hint="eastAsia"/>
                <w:color w:val="auto"/>
              </w:rPr>
              <w:t>，</w:t>
            </w:r>
            <w:r>
              <w:rPr>
                <w:color w:val="auto"/>
              </w:rPr>
              <w:t>1</w:t>
            </w:r>
            <w:r>
              <w:rPr>
                <w:rFonts w:hint="eastAsia"/>
                <w:color w:val="auto"/>
              </w:rPr>
              <w:t>，</w:t>
            </w:r>
            <w:r>
              <w:rPr>
                <w:color w:val="auto"/>
              </w:rPr>
              <w:t>2</w:t>
            </w:r>
            <w:r>
              <w:rPr>
                <w:rFonts w:hint="eastAsia"/>
                <w:color w:val="auto"/>
              </w:rPr>
              <w:t>，</w:t>
            </w:r>
            <w:r>
              <w:rPr>
                <w:color w:val="auto"/>
              </w:rPr>
              <w:t>2-四氯乙烷</w:t>
            </w:r>
          </w:p>
        </w:tc>
        <w:tc>
          <w:tcPr>
            <w:tcW w:w="1430" w:type="dxa"/>
            <w:tcMar>
              <w:top w:w="15" w:type="dxa"/>
              <w:left w:w="15" w:type="dxa"/>
              <w:right w:w="15" w:type="dxa"/>
            </w:tcMar>
            <w:vAlign w:val="center"/>
          </w:tcPr>
          <w:p w14:paraId="036D7F43">
            <w:pPr>
              <w:pStyle w:val="59"/>
              <w:rPr>
                <w:color w:val="auto"/>
              </w:rPr>
            </w:pPr>
            <w:r>
              <w:rPr>
                <w:color w:val="auto"/>
              </w:rPr>
              <w:t>1.6</w:t>
            </w:r>
          </w:p>
        </w:tc>
        <w:tc>
          <w:tcPr>
            <w:tcW w:w="1485" w:type="dxa"/>
            <w:tcMar>
              <w:top w:w="15" w:type="dxa"/>
              <w:left w:w="15" w:type="dxa"/>
              <w:right w:w="15" w:type="dxa"/>
            </w:tcMar>
            <w:vAlign w:val="center"/>
          </w:tcPr>
          <w:p w14:paraId="00DD9BCC">
            <w:pPr>
              <w:pStyle w:val="59"/>
              <w:rPr>
                <w:color w:val="auto"/>
              </w:rPr>
            </w:pPr>
            <w:r>
              <w:rPr>
                <w:color w:val="auto"/>
              </w:rPr>
              <w:t>6.8</w:t>
            </w:r>
          </w:p>
        </w:tc>
        <w:tc>
          <w:tcPr>
            <w:tcW w:w="1430" w:type="dxa"/>
            <w:tcMar>
              <w:top w:w="15" w:type="dxa"/>
              <w:left w:w="15" w:type="dxa"/>
              <w:right w:w="15" w:type="dxa"/>
            </w:tcMar>
            <w:vAlign w:val="center"/>
          </w:tcPr>
          <w:p w14:paraId="2ED9E6C5">
            <w:pPr>
              <w:pStyle w:val="59"/>
              <w:rPr>
                <w:color w:val="auto"/>
              </w:rPr>
            </w:pPr>
            <w:r>
              <w:rPr>
                <w:color w:val="auto"/>
              </w:rPr>
              <w:t>14</w:t>
            </w:r>
          </w:p>
        </w:tc>
        <w:tc>
          <w:tcPr>
            <w:tcW w:w="1489" w:type="dxa"/>
            <w:tcMar>
              <w:top w:w="15" w:type="dxa"/>
              <w:left w:w="15" w:type="dxa"/>
              <w:right w:w="15" w:type="dxa"/>
            </w:tcMar>
            <w:vAlign w:val="center"/>
          </w:tcPr>
          <w:p w14:paraId="6B42A687">
            <w:pPr>
              <w:pStyle w:val="59"/>
              <w:rPr>
                <w:color w:val="auto"/>
              </w:rPr>
            </w:pPr>
            <w:r>
              <w:rPr>
                <w:color w:val="auto"/>
              </w:rPr>
              <w:t>50</w:t>
            </w:r>
          </w:p>
        </w:tc>
      </w:tr>
      <w:tr w14:paraId="66696B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B1B5176">
            <w:pPr>
              <w:pStyle w:val="59"/>
              <w:rPr>
                <w:color w:val="auto"/>
              </w:rPr>
            </w:pPr>
            <w:r>
              <w:rPr>
                <w:color w:val="auto"/>
              </w:rPr>
              <w:t>20</w:t>
            </w:r>
          </w:p>
        </w:tc>
        <w:tc>
          <w:tcPr>
            <w:tcW w:w="1882" w:type="dxa"/>
            <w:tcMar>
              <w:top w:w="15" w:type="dxa"/>
              <w:left w:w="15" w:type="dxa"/>
              <w:right w:w="15" w:type="dxa"/>
            </w:tcMar>
            <w:vAlign w:val="center"/>
          </w:tcPr>
          <w:p w14:paraId="74084941">
            <w:pPr>
              <w:pStyle w:val="59"/>
              <w:rPr>
                <w:color w:val="auto"/>
              </w:rPr>
            </w:pPr>
            <w:r>
              <w:rPr>
                <w:color w:val="auto"/>
              </w:rPr>
              <w:t>四氯乙烯</w:t>
            </w:r>
          </w:p>
        </w:tc>
        <w:tc>
          <w:tcPr>
            <w:tcW w:w="1430" w:type="dxa"/>
            <w:tcMar>
              <w:top w:w="15" w:type="dxa"/>
              <w:left w:w="15" w:type="dxa"/>
              <w:right w:w="15" w:type="dxa"/>
            </w:tcMar>
            <w:vAlign w:val="center"/>
          </w:tcPr>
          <w:p w14:paraId="5386B0C4">
            <w:pPr>
              <w:pStyle w:val="59"/>
              <w:rPr>
                <w:color w:val="auto"/>
              </w:rPr>
            </w:pPr>
            <w:r>
              <w:rPr>
                <w:color w:val="auto"/>
              </w:rPr>
              <w:t>11</w:t>
            </w:r>
          </w:p>
        </w:tc>
        <w:tc>
          <w:tcPr>
            <w:tcW w:w="1485" w:type="dxa"/>
            <w:tcMar>
              <w:top w:w="15" w:type="dxa"/>
              <w:left w:w="15" w:type="dxa"/>
              <w:right w:w="15" w:type="dxa"/>
            </w:tcMar>
            <w:vAlign w:val="center"/>
          </w:tcPr>
          <w:p w14:paraId="3F5ED261">
            <w:pPr>
              <w:pStyle w:val="59"/>
              <w:rPr>
                <w:color w:val="auto"/>
              </w:rPr>
            </w:pPr>
            <w:r>
              <w:rPr>
                <w:color w:val="auto"/>
              </w:rPr>
              <w:t>53</w:t>
            </w:r>
          </w:p>
        </w:tc>
        <w:tc>
          <w:tcPr>
            <w:tcW w:w="1430" w:type="dxa"/>
            <w:tcMar>
              <w:top w:w="15" w:type="dxa"/>
              <w:left w:w="15" w:type="dxa"/>
              <w:right w:w="15" w:type="dxa"/>
            </w:tcMar>
            <w:vAlign w:val="center"/>
          </w:tcPr>
          <w:p w14:paraId="765D8C4A">
            <w:pPr>
              <w:pStyle w:val="59"/>
              <w:rPr>
                <w:color w:val="auto"/>
              </w:rPr>
            </w:pPr>
            <w:r>
              <w:rPr>
                <w:color w:val="auto"/>
              </w:rPr>
              <w:t>34</w:t>
            </w:r>
          </w:p>
        </w:tc>
        <w:tc>
          <w:tcPr>
            <w:tcW w:w="1489" w:type="dxa"/>
            <w:tcMar>
              <w:top w:w="15" w:type="dxa"/>
              <w:left w:w="15" w:type="dxa"/>
              <w:right w:w="15" w:type="dxa"/>
            </w:tcMar>
            <w:vAlign w:val="center"/>
          </w:tcPr>
          <w:p w14:paraId="0ECA5393">
            <w:pPr>
              <w:pStyle w:val="59"/>
              <w:rPr>
                <w:color w:val="auto"/>
              </w:rPr>
            </w:pPr>
            <w:r>
              <w:rPr>
                <w:color w:val="auto"/>
              </w:rPr>
              <w:t>183</w:t>
            </w:r>
          </w:p>
        </w:tc>
      </w:tr>
      <w:tr w14:paraId="095F1E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69A54F40">
            <w:pPr>
              <w:pStyle w:val="59"/>
              <w:rPr>
                <w:color w:val="auto"/>
              </w:rPr>
            </w:pPr>
            <w:r>
              <w:rPr>
                <w:color w:val="auto"/>
              </w:rPr>
              <w:t>21</w:t>
            </w:r>
          </w:p>
        </w:tc>
        <w:tc>
          <w:tcPr>
            <w:tcW w:w="1882" w:type="dxa"/>
            <w:tcMar>
              <w:top w:w="15" w:type="dxa"/>
              <w:left w:w="15" w:type="dxa"/>
              <w:right w:w="15" w:type="dxa"/>
            </w:tcMar>
            <w:vAlign w:val="center"/>
          </w:tcPr>
          <w:p w14:paraId="7CB7AC02">
            <w:pPr>
              <w:pStyle w:val="59"/>
              <w:rPr>
                <w:color w:val="auto"/>
              </w:rPr>
            </w:pPr>
            <w:r>
              <w:rPr>
                <w:color w:val="auto"/>
              </w:rPr>
              <w:t>1</w:t>
            </w:r>
            <w:r>
              <w:rPr>
                <w:rFonts w:hint="eastAsia"/>
                <w:color w:val="auto"/>
              </w:rPr>
              <w:t>，</w:t>
            </w:r>
            <w:r>
              <w:rPr>
                <w:color w:val="auto"/>
              </w:rPr>
              <w:t>1</w:t>
            </w:r>
            <w:r>
              <w:rPr>
                <w:rFonts w:hint="eastAsia"/>
                <w:color w:val="auto"/>
              </w:rPr>
              <w:t>，</w:t>
            </w:r>
            <w:r>
              <w:rPr>
                <w:color w:val="auto"/>
              </w:rPr>
              <w:t>1-三氯乙烷</w:t>
            </w:r>
          </w:p>
        </w:tc>
        <w:tc>
          <w:tcPr>
            <w:tcW w:w="1430" w:type="dxa"/>
            <w:tcMar>
              <w:top w:w="15" w:type="dxa"/>
              <w:left w:w="15" w:type="dxa"/>
              <w:right w:w="15" w:type="dxa"/>
            </w:tcMar>
            <w:vAlign w:val="center"/>
          </w:tcPr>
          <w:p w14:paraId="44373F5E">
            <w:pPr>
              <w:pStyle w:val="59"/>
              <w:rPr>
                <w:color w:val="auto"/>
              </w:rPr>
            </w:pPr>
            <w:r>
              <w:rPr>
                <w:color w:val="auto"/>
              </w:rPr>
              <w:t>701</w:t>
            </w:r>
          </w:p>
        </w:tc>
        <w:tc>
          <w:tcPr>
            <w:tcW w:w="1485" w:type="dxa"/>
            <w:tcMar>
              <w:top w:w="15" w:type="dxa"/>
              <w:left w:w="15" w:type="dxa"/>
              <w:right w:w="15" w:type="dxa"/>
            </w:tcMar>
            <w:vAlign w:val="center"/>
          </w:tcPr>
          <w:p w14:paraId="35D2B06B">
            <w:pPr>
              <w:pStyle w:val="59"/>
              <w:rPr>
                <w:color w:val="auto"/>
              </w:rPr>
            </w:pPr>
            <w:r>
              <w:rPr>
                <w:color w:val="auto"/>
              </w:rPr>
              <w:t>840</w:t>
            </w:r>
          </w:p>
        </w:tc>
        <w:tc>
          <w:tcPr>
            <w:tcW w:w="1430" w:type="dxa"/>
            <w:tcMar>
              <w:top w:w="15" w:type="dxa"/>
              <w:left w:w="15" w:type="dxa"/>
              <w:right w:w="15" w:type="dxa"/>
            </w:tcMar>
            <w:vAlign w:val="center"/>
          </w:tcPr>
          <w:p w14:paraId="58D8BD84">
            <w:pPr>
              <w:pStyle w:val="59"/>
              <w:rPr>
                <w:color w:val="auto"/>
              </w:rPr>
            </w:pPr>
            <w:r>
              <w:rPr>
                <w:color w:val="auto"/>
              </w:rPr>
              <w:t>840</w:t>
            </w:r>
          </w:p>
        </w:tc>
        <w:tc>
          <w:tcPr>
            <w:tcW w:w="1489" w:type="dxa"/>
            <w:tcMar>
              <w:top w:w="15" w:type="dxa"/>
              <w:left w:w="15" w:type="dxa"/>
              <w:right w:w="15" w:type="dxa"/>
            </w:tcMar>
            <w:vAlign w:val="center"/>
          </w:tcPr>
          <w:p w14:paraId="21B97F66">
            <w:pPr>
              <w:pStyle w:val="59"/>
              <w:rPr>
                <w:color w:val="auto"/>
              </w:rPr>
            </w:pPr>
            <w:r>
              <w:rPr>
                <w:color w:val="auto"/>
              </w:rPr>
              <w:t>840</w:t>
            </w:r>
          </w:p>
        </w:tc>
      </w:tr>
      <w:tr w14:paraId="2D88C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5A1C6E1">
            <w:pPr>
              <w:pStyle w:val="59"/>
              <w:rPr>
                <w:color w:val="auto"/>
              </w:rPr>
            </w:pPr>
            <w:r>
              <w:rPr>
                <w:color w:val="auto"/>
              </w:rPr>
              <w:t>22</w:t>
            </w:r>
          </w:p>
        </w:tc>
        <w:tc>
          <w:tcPr>
            <w:tcW w:w="1882" w:type="dxa"/>
            <w:tcMar>
              <w:top w:w="15" w:type="dxa"/>
              <w:left w:w="15" w:type="dxa"/>
              <w:right w:w="15" w:type="dxa"/>
            </w:tcMar>
            <w:vAlign w:val="center"/>
          </w:tcPr>
          <w:p w14:paraId="7FE9AB9C">
            <w:pPr>
              <w:pStyle w:val="59"/>
              <w:rPr>
                <w:color w:val="auto"/>
              </w:rPr>
            </w:pPr>
            <w:r>
              <w:rPr>
                <w:color w:val="auto"/>
              </w:rPr>
              <w:t>1</w:t>
            </w:r>
            <w:r>
              <w:rPr>
                <w:rFonts w:hint="eastAsia"/>
                <w:color w:val="auto"/>
              </w:rPr>
              <w:t>，</w:t>
            </w:r>
            <w:r>
              <w:rPr>
                <w:color w:val="auto"/>
              </w:rPr>
              <w:t>1</w:t>
            </w:r>
            <w:r>
              <w:rPr>
                <w:rFonts w:hint="eastAsia"/>
                <w:color w:val="auto"/>
              </w:rPr>
              <w:t>，</w:t>
            </w:r>
            <w:r>
              <w:rPr>
                <w:color w:val="auto"/>
              </w:rPr>
              <w:t>2-三氯乙烷</w:t>
            </w:r>
          </w:p>
        </w:tc>
        <w:tc>
          <w:tcPr>
            <w:tcW w:w="1430" w:type="dxa"/>
            <w:tcMar>
              <w:top w:w="15" w:type="dxa"/>
              <w:left w:w="15" w:type="dxa"/>
              <w:right w:w="15" w:type="dxa"/>
            </w:tcMar>
            <w:vAlign w:val="center"/>
          </w:tcPr>
          <w:p w14:paraId="592081B7">
            <w:pPr>
              <w:pStyle w:val="59"/>
              <w:rPr>
                <w:color w:val="auto"/>
              </w:rPr>
            </w:pPr>
            <w:r>
              <w:rPr>
                <w:color w:val="auto"/>
              </w:rPr>
              <w:t>0.6</w:t>
            </w:r>
          </w:p>
        </w:tc>
        <w:tc>
          <w:tcPr>
            <w:tcW w:w="1485" w:type="dxa"/>
            <w:tcMar>
              <w:top w:w="15" w:type="dxa"/>
              <w:left w:w="15" w:type="dxa"/>
              <w:right w:w="15" w:type="dxa"/>
            </w:tcMar>
            <w:vAlign w:val="center"/>
          </w:tcPr>
          <w:p w14:paraId="5B2FD9AD">
            <w:pPr>
              <w:pStyle w:val="59"/>
              <w:rPr>
                <w:color w:val="auto"/>
              </w:rPr>
            </w:pPr>
            <w:r>
              <w:rPr>
                <w:color w:val="auto"/>
              </w:rPr>
              <w:t>2.8</w:t>
            </w:r>
          </w:p>
        </w:tc>
        <w:tc>
          <w:tcPr>
            <w:tcW w:w="1430" w:type="dxa"/>
            <w:tcMar>
              <w:top w:w="15" w:type="dxa"/>
              <w:left w:w="15" w:type="dxa"/>
              <w:right w:w="15" w:type="dxa"/>
            </w:tcMar>
            <w:vAlign w:val="center"/>
          </w:tcPr>
          <w:p w14:paraId="64245B14">
            <w:pPr>
              <w:pStyle w:val="59"/>
              <w:rPr>
                <w:color w:val="auto"/>
              </w:rPr>
            </w:pPr>
            <w:r>
              <w:rPr>
                <w:color w:val="auto"/>
              </w:rPr>
              <w:t>5</w:t>
            </w:r>
          </w:p>
        </w:tc>
        <w:tc>
          <w:tcPr>
            <w:tcW w:w="1489" w:type="dxa"/>
            <w:tcMar>
              <w:top w:w="15" w:type="dxa"/>
              <w:left w:w="15" w:type="dxa"/>
              <w:right w:w="15" w:type="dxa"/>
            </w:tcMar>
            <w:vAlign w:val="center"/>
          </w:tcPr>
          <w:p w14:paraId="050D17D4">
            <w:pPr>
              <w:pStyle w:val="59"/>
              <w:rPr>
                <w:color w:val="auto"/>
              </w:rPr>
            </w:pPr>
            <w:r>
              <w:rPr>
                <w:color w:val="auto"/>
              </w:rPr>
              <w:t>15</w:t>
            </w:r>
          </w:p>
        </w:tc>
      </w:tr>
      <w:tr w14:paraId="143BBD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C0475CB">
            <w:pPr>
              <w:pStyle w:val="59"/>
              <w:rPr>
                <w:color w:val="auto"/>
              </w:rPr>
            </w:pPr>
            <w:r>
              <w:rPr>
                <w:color w:val="auto"/>
              </w:rPr>
              <w:t>23</w:t>
            </w:r>
          </w:p>
        </w:tc>
        <w:tc>
          <w:tcPr>
            <w:tcW w:w="1882" w:type="dxa"/>
            <w:tcMar>
              <w:top w:w="15" w:type="dxa"/>
              <w:left w:w="15" w:type="dxa"/>
              <w:right w:w="15" w:type="dxa"/>
            </w:tcMar>
            <w:vAlign w:val="center"/>
          </w:tcPr>
          <w:p w14:paraId="7CE83229">
            <w:pPr>
              <w:pStyle w:val="59"/>
              <w:rPr>
                <w:color w:val="auto"/>
              </w:rPr>
            </w:pPr>
            <w:r>
              <w:rPr>
                <w:color w:val="auto"/>
              </w:rPr>
              <w:t>三氯乙烯</w:t>
            </w:r>
          </w:p>
        </w:tc>
        <w:tc>
          <w:tcPr>
            <w:tcW w:w="1430" w:type="dxa"/>
            <w:tcMar>
              <w:top w:w="15" w:type="dxa"/>
              <w:left w:w="15" w:type="dxa"/>
              <w:right w:w="15" w:type="dxa"/>
            </w:tcMar>
            <w:vAlign w:val="center"/>
          </w:tcPr>
          <w:p w14:paraId="008D5308">
            <w:pPr>
              <w:pStyle w:val="59"/>
              <w:rPr>
                <w:color w:val="auto"/>
              </w:rPr>
            </w:pPr>
            <w:r>
              <w:rPr>
                <w:color w:val="auto"/>
              </w:rPr>
              <w:t>0.7</w:t>
            </w:r>
          </w:p>
        </w:tc>
        <w:tc>
          <w:tcPr>
            <w:tcW w:w="1485" w:type="dxa"/>
            <w:tcMar>
              <w:top w:w="15" w:type="dxa"/>
              <w:left w:w="15" w:type="dxa"/>
              <w:right w:w="15" w:type="dxa"/>
            </w:tcMar>
            <w:vAlign w:val="center"/>
          </w:tcPr>
          <w:p w14:paraId="5045BD4A">
            <w:pPr>
              <w:pStyle w:val="59"/>
              <w:rPr>
                <w:color w:val="auto"/>
              </w:rPr>
            </w:pPr>
            <w:r>
              <w:rPr>
                <w:color w:val="auto"/>
              </w:rPr>
              <w:t>2.8</w:t>
            </w:r>
          </w:p>
        </w:tc>
        <w:tc>
          <w:tcPr>
            <w:tcW w:w="1430" w:type="dxa"/>
            <w:tcMar>
              <w:top w:w="15" w:type="dxa"/>
              <w:left w:w="15" w:type="dxa"/>
              <w:right w:w="15" w:type="dxa"/>
            </w:tcMar>
            <w:vAlign w:val="center"/>
          </w:tcPr>
          <w:p w14:paraId="27921CB5">
            <w:pPr>
              <w:pStyle w:val="59"/>
              <w:rPr>
                <w:color w:val="auto"/>
              </w:rPr>
            </w:pPr>
            <w:r>
              <w:rPr>
                <w:color w:val="auto"/>
              </w:rPr>
              <w:t>7</w:t>
            </w:r>
          </w:p>
        </w:tc>
        <w:tc>
          <w:tcPr>
            <w:tcW w:w="1489" w:type="dxa"/>
            <w:tcMar>
              <w:top w:w="15" w:type="dxa"/>
              <w:left w:w="15" w:type="dxa"/>
              <w:right w:w="15" w:type="dxa"/>
            </w:tcMar>
            <w:vAlign w:val="center"/>
          </w:tcPr>
          <w:p w14:paraId="6CDA898B">
            <w:pPr>
              <w:pStyle w:val="59"/>
              <w:rPr>
                <w:color w:val="auto"/>
              </w:rPr>
            </w:pPr>
            <w:r>
              <w:rPr>
                <w:color w:val="auto"/>
              </w:rPr>
              <w:t>20</w:t>
            </w:r>
          </w:p>
        </w:tc>
      </w:tr>
      <w:tr w14:paraId="33B0B5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F436AE8">
            <w:pPr>
              <w:pStyle w:val="59"/>
              <w:rPr>
                <w:color w:val="auto"/>
              </w:rPr>
            </w:pPr>
            <w:r>
              <w:rPr>
                <w:color w:val="auto"/>
              </w:rPr>
              <w:t>24</w:t>
            </w:r>
          </w:p>
        </w:tc>
        <w:tc>
          <w:tcPr>
            <w:tcW w:w="1882" w:type="dxa"/>
            <w:tcMar>
              <w:top w:w="15" w:type="dxa"/>
              <w:left w:w="15" w:type="dxa"/>
              <w:right w:w="15" w:type="dxa"/>
            </w:tcMar>
            <w:vAlign w:val="center"/>
          </w:tcPr>
          <w:p w14:paraId="3602E2D7">
            <w:pPr>
              <w:pStyle w:val="59"/>
              <w:rPr>
                <w:color w:val="auto"/>
              </w:rPr>
            </w:pPr>
            <w:r>
              <w:rPr>
                <w:color w:val="auto"/>
              </w:rPr>
              <w:t>1</w:t>
            </w:r>
            <w:r>
              <w:rPr>
                <w:rFonts w:hint="eastAsia"/>
                <w:color w:val="auto"/>
              </w:rPr>
              <w:t>，</w:t>
            </w:r>
            <w:r>
              <w:rPr>
                <w:color w:val="auto"/>
              </w:rPr>
              <w:t>2</w:t>
            </w:r>
            <w:r>
              <w:rPr>
                <w:rFonts w:hint="eastAsia"/>
                <w:color w:val="auto"/>
              </w:rPr>
              <w:t>，</w:t>
            </w:r>
            <w:r>
              <w:rPr>
                <w:color w:val="auto"/>
              </w:rPr>
              <w:t>3-三氯丙烷</w:t>
            </w:r>
          </w:p>
        </w:tc>
        <w:tc>
          <w:tcPr>
            <w:tcW w:w="1430" w:type="dxa"/>
            <w:tcMar>
              <w:top w:w="15" w:type="dxa"/>
              <w:left w:w="15" w:type="dxa"/>
              <w:right w:w="15" w:type="dxa"/>
            </w:tcMar>
            <w:vAlign w:val="center"/>
          </w:tcPr>
          <w:p w14:paraId="2B48EC07">
            <w:pPr>
              <w:pStyle w:val="59"/>
              <w:rPr>
                <w:color w:val="auto"/>
              </w:rPr>
            </w:pPr>
            <w:r>
              <w:rPr>
                <w:color w:val="auto"/>
              </w:rPr>
              <w:t>0.05</w:t>
            </w:r>
          </w:p>
        </w:tc>
        <w:tc>
          <w:tcPr>
            <w:tcW w:w="1485" w:type="dxa"/>
            <w:tcMar>
              <w:top w:w="15" w:type="dxa"/>
              <w:left w:w="15" w:type="dxa"/>
              <w:right w:w="15" w:type="dxa"/>
            </w:tcMar>
            <w:vAlign w:val="center"/>
          </w:tcPr>
          <w:p w14:paraId="48A104ED">
            <w:pPr>
              <w:pStyle w:val="59"/>
              <w:rPr>
                <w:color w:val="auto"/>
              </w:rPr>
            </w:pPr>
            <w:r>
              <w:rPr>
                <w:color w:val="auto"/>
              </w:rPr>
              <w:t>0.5</w:t>
            </w:r>
          </w:p>
        </w:tc>
        <w:tc>
          <w:tcPr>
            <w:tcW w:w="1430" w:type="dxa"/>
            <w:tcMar>
              <w:top w:w="15" w:type="dxa"/>
              <w:left w:w="15" w:type="dxa"/>
              <w:right w:w="15" w:type="dxa"/>
            </w:tcMar>
            <w:vAlign w:val="center"/>
          </w:tcPr>
          <w:p w14:paraId="1182C577">
            <w:pPr>
              <w:pStyle w:val="59"/>
              <w:rPr>
                <w:color w:val="auto"/>
              </w:rPr>
            </w:pPr>
            <w:r>
              <w:rPr>
                <w:color w:val="auto"/>
              </w:rPr>
              <w:t>0.5</w:t>
            </w:r>
          </w:p>
        </w:tc>
        <w:tc>
          <w:tcPr>
            <w:tcW w:w="1489" w:type="dxa"/>
            <w:tcMar>
              <w:top w:w="15" w:type="dxa"/>
              <w:left w:w="15" w:type="dxa"/>
              <w:right w:w="15" w:type="dxa"/>
            </w:tcMar>
            <w:vAlign w:val="center"/>
          </w:tcPr>
          <w:p w14:paraId="36A53B18">
            <w:pPr>
              <w:pStyle w:val="59"/>
              <w:rPr>
                <w:color w:val="auto"/>
              </w:rPr>
            </w:pPr>
            <w:r>
              <w:rPr>
                <w:color w:val="auto"/>
              </w:rPr>
              <w:t>5</w:t>
            </w:r>
          </w:p>
        </w:tc>
      </w:tr>
      <w:tr w14:paraId="02677D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06ADBD9B">
            <w:pPr>
              <w:pStyle w:val="59"/>
              <w:rPr>
                <w:color w:val="auto"/>
              </w:rPr>
            </w:pPr>
            <w:r>
              <w:rPr>
                <w:color w:val="auto"/>
              </w:rPr>
              <w:t>25</w:t>
            </w:r>
          </w:p>
        </w:tc>
        <w:tc>
          <w:tcPr>
            <w:tcW w:w="1882" w:type="dxa"/>
            <w:tcMar>
              <w:top w:w="15" w:type="dxa"/>
              <w:left w:w="15" w:type="dxa"/>
              <w:right w:w="15" w:type="dxa"/>
            </w:tcMar>
            <w:vAlign w:val="center"/>
          </w:tcPr>
          <w:p w14:paraId="6F5D588A">
            <w:pPr>
              <w:pStyle w:val="59"/>
              <w:rPr>
                <w:color w:val="auto"/>
              </w:rPr>
            </w:pPr>
            <w:r>
              <w:rPr>
                <w:color w:val="auto"/>
              </w:rPr>
              <w:t>氯乙烯</w:t>
            </w:r>
          </w:p>
        </w:tc>
        <w:tc>
          <w:tcPr>
            <w:tcW w:w="1430" w:type="dxa"/>
            <w:tcMar>
              <w:top w:w="15" w:type="dxa"/>
              <w:left w:w="15" w:type="dxa"/>
              <w:right w:w="15" w:type="dxa"/>
            </w:tcMar>
            <w:vAlign w:val="center"/>
          </w:tcPr>
          <w:p w14:paraId="19065DCA">
            <w:pPr>
              <w:pStyle w:val="59"/>
              <w:rPr>
                <w:color w:val="auto"/>
              </w:rPr>
            </w:pPr>
            <w:r>
              <w:rPr>
                <w:color w:val="auto"/>
              </w:rPr>
              <w:t>0.12</w:t>
            </w:r>
          </w:p>
        </w:tc>
        <w:tc>
          <w:tcPr>
            <w:tcW w:w="1485" w:type="dxa"/>
            <w:tcMar>
              <w:top w:w="15" w:type="dxa"/>
              <w:left w:w="15" w:type="dxa"/>
              <w:right w:w="15" w:type="dxa"/>
            </w:tcMar>
            <w:vAlign w:val="center"/>
          </w:tcPr>
          <w:p w14:paraId="3668C6D0">
            <w:pPr>
              <w:pStyle w:val="59"/>
              <w:rPr>
                <w:color w:val="auto"/>
              </w:rPr>
            </w:pPr>
            <w:r>
              <w:rPr>
                <w:color w:val="auto"/>
              </w:rPr>
              <w:t>0.43</w:t>
            </w:r>
          </w:p>
        </w:tc>
        <w:tc>
          <w:tcPr>
            <w:tcW w:w="1430" w:type="dxa"/>
            <w:tcMar>
              <w:top w:w="15" w:type="dxa"/>
              <w:left w:w="15" w:type="dxa"/>
              <w:right w:w="15" w:type="dxa"/>
            </w:tcMar>
            <w:vAlign w:val="center"/>
          </w:tcPr>
          <w:p w14:paraId="3BD44933">
            <w:pPr>
              <w:pStyle w:val="59"/>
              <w:rPr>
                <w:color w:val="auto"/>
              </w:rPr>
            </w:pPr>
            <w:r>
              <w:rPr>
                <w:color w:val="auto"/>
              </w:rPr>
              <w:t>1.2</w:t>
            </w:r>
          </w:p>
        </w:tc>
        <w:tc>
          <w:tcPr>
            <w:tcW w:w="1489" w:type="dxa"/>
            <w:tcMar>
              <w:top w:w="15" w:type="dxa"/>
              <w:left w:w="15" w:type="dxa"/>
              <w:right w:w="15" w:type="dxa"/>
            </w:tcMar>
            <w:vAlign w:val="center"/>
          </w:tcPr>
          <w:p w14:paraId="7364D490">
            <w:pPr>
              <w:pStyle w:val="59"/>
              <w:rPr>
                <w:color w:val="auto"/>
              </w:rPr>
            </w:pPr>
            <w:r>
              <w:rPr>
                <w:color w:val="auto"/>
              </w:rPr>
              <w:t>4.3</w:t>
            </w:r>
          </w:p>
        </w:tc>
      </w:tr>
      <w:tr w14:paraId="5C10E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9ECFFAB">
            <w:pPr>
              <w:pStyle w:val="59"/>
              <w:rPr>
                <w:color w:val="auto"/>
              </w:rPr>
            </w:pPr>
            <w:r>
              <w:rPr>
                <w:color w:val="auto"/>
              </w:rPr>
              <w:t>26</w:t>
            </w:r>
          </w:p>
        </w:tc>
        <w:tc>
          <w:tcPr>
            <w:tcW w:w="1882" w:type="dxa"/>
            <w:tcMar>
              <w:top w:w="15" w:type="dxa"/>
              <w:left w:w="15" w:type="dxa"/>
              <w:right w:w="15" w:type="dxa"/>
            </w:tcMar>
            <w:vAlign w:val="center"/>
          </w:tcPr>
          <w:p w14:paraId="07B73548">
            <w:pPr>
              <w:pStyle w:val="59"/>
              <w:rPr>
                <w:color w:val="auto"/>
              </w:rPr>
            </w:pPr>
            <w:r>
              <w:rPr>
                <w:color w:val="auto"/>
              </w:rPr>
              <w:t>苯</w:t>
            </w:r>
          </w:p>
        </w:tc>
        <w:tc>
          <w:tcPr>
            <w:tcW w:w="1430" w:type="dxa"/>
            <w:tcMar>
              <w:top w:w="15" w:type="dxa"/>
              <w:left w:w="15" w:type="dxa"/>
              <w:right w:w="15" w:type="dxa"/>
            </w:tcMar>
            <w:vAlign w:val="center"/>
          </w:tcPr>
          <w:p w14:paraId="5D5E7CF7">
            <w:pPr>
              <w:pStyle w:val="59"/>
              <w:rPr>
                <w:color w:val="auto"/>
              </w:rPr>
            </w:pPr>
            <w:r>
              <w:rPr>
                <w:color w:val="auto"/>
              </w:rPr>
              <w:t>1</w:t>
            </w:r>
          </w:p>
        </w:tc>
        <w:tc>
          <w:tcPr>
            <w:tcW w:w="1485" w:type="dxa"/>
            <w:tcMar>
              <w:top w:w="15" w:type="dxa"/>
              <w:left w:w="15" w:type="dxa"/>
              <w:right w:w="15" w:type="dxa"/>
            </w:tcMar>
            <w:vAlign w:val="center"/>
          </w:tcPr>
          <w:p w14:paraId="06467D64">
            <w:pPr>
              <w:pStyle w:val="59"/>
              <w:rPr>
                <w:color w:val="auto"/>
              </w:rPr>
            </w:pPr>
            <w:r>
              <w:rPr>
                <w:color w:val="auto"/>
              </w:rPr>
              <w:t>4</w:t>
            </w:r>
          </w:p>
        </w:tc>
        <w:tc>
          <w:tcPr>
            <w:tcW w:w="1430" w:type="dxa"/>
            <w:tcMar>
              <w:top w:w="15" w:type="dxa"/>
              <w:left w:w="15" w:type="dxa"/>
              <w:right w:w="15" w:type="dxa"/>
            </w:tcMar>
            <w:vAlign w:val="center"/>
          </w:tcPr>
          <w:p w14:paraId="0FD0839D">
            <w:pPr>
              <w:pStyle w:val="59"/>
              <w:rPr>
                <w:color w:val="auto"/>
              </w:rPr>
            </w:pPr>
            <w:r>
              <w:rPr>
                <w:color w:val="auto"/>
              </w:rPr>
              <w:t>10</w:t>
            </w:r>
          </w:p>
        </w:tc>
        <w:tc>
          <w:tcPr>
            <w:tcW w:w="1489" w:type="dxa"/>
            <w:tcMar>
              <w:top w:w="15" w:type="dxa"/>
              <w:left w:w="15" w:type="dxa"/>
              <w:right w:w="15" w:type="dxa"/>
            </w:tcMar>
            <w:vAlign w:val="center"/>
          </w:tcPr>
          <w:p w14:paraId="1C8BC714">
            <w:pPr>
              <w:pStyle w:val="59"/>
              <w:rPr>
                <w:color w:val="auto"/>
              </w:rPr>
            </w:pPr>
            <w:r>
              <w:rPr>
                <w:color w:val="auto"/>
              </w:rPr>
              <w:t>40</w:t>
            </w:r>
          </w:p>
        </w:tc>
      </w:tr>
      <w:tr w14:paraId="27984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84D53C4">
            <w:pPr>
              <w:pStyle w:val="59"/>
              <w:rPr>
                <w:color w:val="auto"/>
              </w:rPr>
            </w:pPr>
            <w:r>
              <w:rPr>
                <w:color w:val="auto"/>
              </w:rPr>
              <w:t>27</w:t>
            </w:r>
          </w:p>
        </w:tc>
        <w:tc>
          <w:tcPr>
            <w:tcW w:w="1882" w:type="dxa"/>
            <w:tcMar>
              <w:top w:w="15" w:type="dxa"/>
              <w:left w:w="15" w:type="dxa"/>
              <w:right w:w="15" w:type="dxa"/>
            </w:tcMar>
            <w:vAlign w:val="center"/>
          </w:tcPr>
          <w:p w14:paraId="483BC50C">
            <w:pPr>
              <w:pStyle w:val="59"/>
              <w:rPr>
                <w:color w:val="auto"/>
              </w:rPr>
            </w:pPr>
            <w:r>
              <w:rPr>
                <w:color w:val="auto"/>
              </w:rPr>
              <w:t>氯苯</w:t>
            </w:r>
          </w:p>
        </w:tc>
        <w:tc>
          <w:tcPr>
            <w:tcW w:w="1430" w:type="dxa"/>
            <w:tcMar>
              <w:top w:w="15" w:type="dxa"/>
              <w:left w:w="15" w:type="dxa"/>
              <w:right w:w="15" w:type="dxa"/>
            </w:tcMar>
            <w:vAlign w:val="center"/>
          </w:tcPr>
          <w:p w14:paraId="493575A1">
            <w:pPr>
              <w:pStyle w:val="59"/>
              <w:rPr>
                <w:color w:val="auto"/>
              </w:rPr>
            </w:pPr>
            <w:r>
              <w:rPr>
                <w:color w:val="auto"/>
              </w:rPr>
              <w:t>68</w:t>
            </w:r>
          </w:p>
        </w:tc>
        <w:tc>
          <w:tcPr>
            <w:tcW w:w="1485" w:type="dxa"/>
            <w:tcMar>
              <w:top w:w="15" w:type="dxa"/>
              <w:left w:w="15" w:type="dxa"/>
              <w:right w:w="15" w:type="dxa"/>
            </w:tcMar>
            <w:vAlign w:val="center"/>
          </w:tcPr>
          <w:p w14:paraId="04181EDF">
            <w:pPr>
              <w:pStyle w:val="59"/>
              <w:rPr>
                <w:color w:val="auto"/>
              </w:rPr>
            </w:pPr>
            <w:r>
              <w:rPr>
                <w:color w:val="auto"/>
              </w:rPr>
              <w:t>270</w:t>
            </w:r>
          </w:p>
        </w:tc>
        <w:tc>
          <w:tcPr>
            <w:tcW w:w="1430" w:type="dxa"/>
            <w:tcMar>
              <w:top w:w="15" w:type="dxa"/>
              <w:left w:w="15" w:type="dxa"/>
              <w:right w:w="15" w:type="dxa"/>
            </w:tcMar>
            <w:vAlign w:val="center"/>
          </w:tcPr>
          <w:p w14:paraId="1EEA67B2">
            <w:pPr>
              <w:pStyle w:val="59"/>
              <w:rPr>
                <w:color w:val="auto"/>
              </w:rPr>
            </w:pPr>
            <w:r>
              <w:rPr>
                <w:color w:val="auto"/>
              </w:rPr>
              <w:t>200</w:t>
            </w:r>
          </w:p>
        </w:tc>
        <w:tc>
          <w:tcPr>
            <w:tcW w:w="1489" w:type="dxa"/>
            <w:tcMar>
              <w:top w:w="15" w:type="dxa"/>
              <w:left w:w="15" w:type="dxa"/>
              <w:right w:w="15" w:type="dxa"/>
            </w:tcMar>
            <w:vAlign w:val="center"/>
          </w:tcPr>
          <w:p w14:paraId="2221DD80">
            <w:pPr>
              <w:pStyle w:val="59"/>
              <w:rPr>
                <w:color w:val="auto"/>
              </w:rPr>
            </w:pPr>
            <w:r>
              <w:rPr>
                <w:color w:val="auto"/>
              </w:rPr>
              <w:t>1000</w:t>
            </w:r>
          </w:p>
        </w:tc>
      </w:tr>
      <w:tr w14:paraId="04F93D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1D812D28">
            <w:pPr>
              <w:pStyle w:val="59"/>
              <w:rPr>
                <w:color w:val="auto"/>
              </w:rPr>
            </w:pPr>
            <w:r>
              <w:rPr>
                <w:color w:val="auto"/>
              </w:rPr>
              <w:t>28</w:t>
            </w:r>
          </w:p>
        </w:tc>
        <w:tc>
          <w:tcPr>
            <w:tcW w:w="1882" w:type="dxa"/>
            <w:tcMar>
              <w:top w:w="15" w:type="dxa"/>
              <w:left w:w="15" w:type="dxa"/>
              <w:right w:w="15" w:type="dxa"/>
            </w:tcMar>
            <w:vAlign w:val="center"/>
          </w:tcPr>
          <w:p w14:paraId="2E700DB0">
            <w:pPr>
              <w:pStyle w:val="59"/>
              <w:rPr>
                <w:color w:val="auto"/>
              </w:rPr>
            </w:pPr>
            <w:r>
              <w:rPr>
                <w:color w:val="auto"/>
              </w:rPr>
              <w:t>1</w:t>
            </w:r>
            <w:r>
              <w:rPr>
                <w:rFonts w:hint="eastAsia"/>
                <w:color w:val="auto"/>
              </w:rPr>
              <w:t>，</w:t>
            </w:r>
            <w:r>
              <w:rPr>
                <w:color w:val="auto"/>
              </w:rPr>
              <w:t>2-二氯苯</w:t>
            </w:r>
          </w:p>
        </w:tc>
        <w:tc>
          <w:tcPr>
            <w:tcW w:w="1430" w:type="dxa"/>
            <w:tcMar>
              <w:top w:w="15" w:type="dxa"/>
              <w:left w:w="15" w:type="dxa"/>
              <w:right w:w="15" w:type="dxa"/>
            </w:tcMar>
            <w:vAlign w:val="center"/>
          </w:tcPr>
          <w:p w14:paraId="0FFAD8B7">
            <w:pPr>
              <w:pStyle w:val="59"/>
              <w:rPr>
                <w:color w:val="auto"/>
              </w:rPr>
            </w:pPr>
            <w:r>
              <w:rPr>
                <w:color w:val="auto"/>
              </w:rPr>
              <w:t>560</w:t>
            </w:r>
          </w:p>
        </w:tc>
        <w:tc>
          <w:tcPr>
            <w:tcW w:w="1485" w:type="dxa"/>
            <w:tcMar>
              <w:top w:w="15" w:type="dxa"/>
              <w:left w:w="15" w:type="dxa"/>
              <w:right w:w="15" w:type="dxa"/>
            </w:tcMar>
            <w:vAlign w:val="center"/>
          </w:tcPr>
          <w:p w14:paraId="62566DA5">
            <w:pPr>
              <w:pStyle w:val="59"/>
              <w:rPr>
                <w:color w:val="auto"/>
              </w:rPr>
            </w:pPr>
            <w:r>
              <w:rPr>
                <w:color w:val="auto"/>
              </w:rPr>
              <w:t>560</w:t>
            </w:r>
          </w:p>
        </w:tc>
        <w:tc>
          <w:tcPr>
            <w:tcW w:w="1430" w:type="dxa"/>
            <w:tcMar>
              <w:top w:w="15" w:type="dxa"/>
              <w:left w:w="15" w:type="dxa"/>
              <w:right w:w="15" w:type="dxa"/>
            </w:tcMar>
            <w:vAlign w:val="center"/>
          </w:tcPr>
          <w:p w14:paraId="1698B48E">
            <w:pPr>
              <w:pStyle w:val="59"/>
              <w:rPr>
                <w:color w:val="auto"/>
              </w:rPr>
            </w:pPr>
            <w:r>
              <w:rPr>
                <w:color w:val="auto"/>
              </w:rPr>
              <w:t>560</w:t>
            </w:r>
          </w:p>
        </w:tc>
        <w:tc>
          <w:tcPr>
            <w:tcW w:w="1489" w:type="dxa"/>
            <w:tcMar>
              <w:top w:w="15" w:type="dxa"/>
              <w:left w:w="15" w:type="dxa"/>
              <w:right w:w="15" w:type="dxa"/>
            </w:tcMar>
            <w:vAlign w:val="center"/>
          </w:tcPr>
          <w:p w14:paraId="5016517E">
            <w:pPr>
              <w:pStyle w:val="59"/>
              <w:rPr>
                <w:color w:val="auto"/>
              </w:rPr>
            </w:pPr>
            <w:r>
              <w:rPr>
                <w:color w:val="auto"/>
              </w:rPr>
              <w:t>560</w:t>
            </w:r>
          </w:p>
        </w:tc>
      </w:tr>
      <w:tr w14:paraId="6C58AD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00D53A7">
            <w:pPr>
              <w:pStyle w:val="59"/>
              <w:rPr>
                <w:color w:val="auto"/>
              </w:rPr>
            </w:pPr>
            <w:r>
              <w:rPr>
                <w:color w:val="auto"/>
              </w:rPr>
              <w:t>29</w:t>
            </w:r>
          </w:p>
        </w:tc>
        <w:tc>
          <w:tcPr>
            <w:tcW w:w="1882" w:type="dxa"/>
            <w:tcMar>
              <w:top w:w="15" w:type="dxa"/>
              <w:left w:w="15" w:type="dxa"/>
              <w:right w:w="15" w:type="dxa"/>
            </w:tcMar>
            <w:vAlign w:val="center"/>
          </w:tcPr>
          <w:p w14:paraId="28E9020C">
            <w:pPr>
              <w:pStyle w:val="59"/>
              <w:rPr>
                <w:color w:val="auto"/>
              </w:rPr>
            </w:pPr>
            <w:r>
              <w:rPr>
                <w:color w:val="auto"/>
              </w:rPr>
              <w:t>1</w:t>
            </w:r>
            <w:r>
              <w:rPr>
                <w:rFonts w:hint="eastAsia"/>
                <w:color w:val="auto"/>
              </w:rPr>
              <w:t>，</w:t>
            </w:r>
            <w:r>
              <w:rPr>
                <w:color w:val="auto"/>
              </w:rPr>
              <w:t>4二氯苯</w:t>
            </w:r>
          </w:p>
        </w:tc>
        <w:tc>
          <w:tcPr>
            <w:tcW w:w="1430" w:type="dxa"/>
            <w:tcMar>
              <w:top w:w="15" w:type="dxa"/>
              <w:left w:w="15" w:type="dxa"/>
              <w:right w:w="15" w:type="dxa"/>
            </w:tcMar>
            <w:vAlign w:val="center"/>
          </w:tcPr>
          <w:p w14:paraId="40814E80">
            <w:pPr>
              <w:pStyle w:val="59"/>
              <w:rPr>
                <w:color w:val="auto"/>
              </w:rPr>
            </w:pPr>
            <w:r>
              <w:rPr>
                <w:color w:val="auto"/>
              </w:rPr>
              <w:t>5.6</w:t>
            </w:r>
          </w:p>
        </w:tc>
        <w:tc>
          <w:tcPr>
            <w:tcW w:w="1485" w:type="dxa"/>
            <w:tcMar>
              <w:top w:w="15" w:type="dxa"/>
              <w:left w:w="15" w:type="dxa"/>
              <w:right w:w="15" w:type="dxa"/>
            </w:tcMar>
            <w:vAlign w:val="center"/>
          </w:tcPr>
          <w:p w14:paraId="6555CFC1">
            <w:pPr>
              <w:pStyle w:val="59"/>
              <w:rPr>
                <w:color w:val="auto"/>
              </w:rPr>
            </w:pPr>
            <w:r>
              <w:rPr>
                <w:color w:val="auto"/>
              </w:rPr>
              <w:t>20</w:t>
            </w:r>
          </w:p>
        </w:tc>
        <w:tc>
          <w:tcPr>
            <w:tcW w:w="1430" w:type="dxa"/>
            <w:tcMar>
              <w:top w:w="15" w:type="dxa"/>
              <w:left w:w="15" w:type="dxa"/>
              <w:right w:w="15" w:type="dxa"/>
            </w:tcMar>
            <w:vAlign w:val="center"/>
          </w:tcPr>
          <w:p w14:paraId="63BD00C9">
            <w:pPr>
              <w:pStyle w:val="59"/>
              <w:rPr>
                <w:color w:val="auto"/>
              </w:rPr>
            </w:pPr>
            <w:r>
              <w:rPr>
                <w:color w:val="auto"/>
              </w:rPr>
              <w:t>56</w:t>
            </w:r>
          </w:p>
        </w:tc>
        <w:tc>
          <w:tcPr>
            <w:tcW w:w="1489" w:type="dxa"/>
            <w:tcMar>
              <w:top w:w="15" w:type="dxa"/>
              <w:left w:w="15" w:type="dxa"/>
              <w:right w:w="15" w:type="dxa"/>
            </w:tcMar>
            <w:vAlign w:val="center"/>
          </w:tcPr>
          <w:p w14:paraId="7EECD652">
            <w:pPr>
              <w:pStyle w:val="59"/>
              <w:rPr>
                <w:color w:val="auto"/>
              </w:rPr>
            </w:pPr>
            <w:r>
              <w:rPr>
                <w:color w:val="auto"/>
              </w:rPr>
              <w:t>200</w:t>
            </w:r>
          </w:p>
        </w:tc>
      </w:tr>
      <w:tr w14:paraId="032E26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83BBFB0">
            <w:pPr>
              <w:pStyle w:val="59"/>
              <w:rPr>
                <w:color w:val="auto"/>
              </w:rPr>
            </w:pPr>
            <w:r>
              <w:rPr>
                <w:color w:val="auto"/>
              </w:rPr>
              <w:t>30</w:t>
            </w:r>
          </w:p>
        </w:tc>
        <w:tc>
          <w:tcPr>
            <w:tcW w:w="1882" w:type="dxa"/>
            <w:tcMar>
              <w:top w:w="15" w:type="dxa"/>
              <w:left w:w="15" w:type="dxa"/>
              <w:right w:w="15" w:type="dxa"/>
            </w:tcMar>
            <w:vAlign w:val="center"/>
          </w:tcPr>
          <w:p w14:paraId="47884E88">
            <w:pPr>
              <w:pStyle w:val="59"/>
              <w:rPr>
                <w:color w:val="auto"/>
              </w:rPr>
            </w:pPr>
            <w:r>
              <w:rPr>
                <w:color w:val="auto"/>
              </w:rPr>
              <w:t>乙苯</w:t>
            </w:r>
          </w:p>
        </w:tc>
        <w:tc>
          <w:tcPr>
            <w:tcW w:w="1430" w:type="dxa"/>
            <w:tcMar>
              <w:top w:w="15" w:type="dxa"/>
              <w:left w:w="15" w:type="dxa"/>
              <w:right w:w="15" w:type="dxa"/>
            </w:tcMar>
            <w:vAlign w:val="center"/>
          </w:tcPr>
          <w:p w14:paraId="3A2A0850">
            <w:pPr>
              <w:pStyle w:val="59"/>
              <w:rPr>
                <w:color w:val="auto"/>
              </w:rPr>
            </w:pPr>
            <w:r>
              <w:rPr>
                <w:color w:val="auto"/>
              </w:rPr>
              <w:t>7.2</w:t>
            </w:r>
          </w:p>
        </w:tc>
        <w:tc>
          <w:tcPr>
            <w:tcW w:w="1485" w:type="dxa"/>
            <w:tcMar>
              <w:top w:w="15" w:type="dxa"/>
              <w:left w:w="15" w:type="dxa"/>
              <w:right w:w="15" w:type="dxa"/>
            </w:tcMar>
            <w:vAlign w:val="center"/>
          </w:tcPr>
          <w:p w14:paraId="15963EAE">
            <w:pPr>
              <w:pStyle w:val="59"/>
              <w:rPr>
                <w:color w:val="auto"/>
              </w:rPr>
            </w:pPr>
            <w:r>
              <w:rPr>
                <w:color w:val="auto"/>
              </w:rPr>
              <w:t>28</w:t>
            </w:r>
          </w:p>
        </w:tc>
        <w:tc>
          <w:tcPr>
            <w:tcW w:w="1430" w:type="dxa"/>
            <w:tcMar>
              <w:top w:w="15" w:type="dxa"/>
              <w:left w:w="15" w:type="dxa"/>
              <w:right w:w="15" w:type="dxa"/>
            </w:tcMar>
            <w:vAlign w:val="center"/>
          </w:tcPr>
          <w:p w14:paraId="2F72780C">
            <w:pPr>
              <w:pStyle w:val="59"/>
              <w:rPr>
                <w:color w:val="auto"/>
              </w:rPr>
            </w:pPr>
            <w:r>
              <w:rPr>
                <w:color w:val="auto"/>
              </w:rPr>
              <w:t>72</w:t>
            </w:r>
          </w:p>
        </w:tc>
        <w:tc>
          <w:tcPr>
            <w:tcW w:w="1489" w:type="dxa"/>
            <w:tcMar>
              <w:top w:w="15" w:type="dxa"/>
              <w:left w:w="15" w:type="dxa"/>
              <w:right w:w="15" w:type="dxa"/>
            </w:tcMar>
            <w:vAlign w:val="center"/>
          </w:tcPr>
          <w:p w14:paraId="0A937155">
            <w:pPr>
              <w:pStyle w:val="59"/>
              <w:rPr>
                <w:color w:val="auto"/>
              </w:rPr>
            </w:pPr>
            <w:r>
              <w:rPr>
                <w:color w:val="auto"/>
              </w:rPr>
              <w:t>280</w:t>
            </w:r>
          </w:p>
        </w:tc>
      </w:tr>
      <w:tr w14:paraId="7C8B09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05F81A8">
            <w:pPr>
              <w:pStyle w:val="59"/>
              <w:rPr>
                <w:color w:val="auto"/>
              </w:rPr>
            </w:pPr>
            <w:r>
              <w:rPr>
                <w:color w:val="auto"/>
              </w:rPr>
              <w:t>31</w:t>
            </w:r>
          </w:p>
        </w:tc>
        <w:tc>
          <w:tcPr>
            <w:tcW w:w="1882" w:type="dxa"/>
            <w:tcMar>
              <w:top w:w="15" w:type="dxa"/>
              <w:left w:w="15" w:type="dxa"/>
              <w:right w:w="15" w:type="dxa"/>
            </w:tcMar>
            <w:vAlign w:val="center"/>
          </w:tcPr>
          <w:p w14:paraId="6DE7B638">
            <w:pPr>
              <w:pStyle w:val="59"/>
              <w:rPr>
                <w:color w:val="auto"/>
              </w:rPr>
            </w:pPr>
            <w:r>
              <w:rPr>
                <w:color w:val="auto"/>
              </w:rPr>
              <w:t>苯乙烯</w:t>
            </w:r>
          </w:p>
        </w:tc>
        <w:tc>
          <w:tcPr>
            <w:tcW w:w="1430" w:type="dxa"/>
            <w:tcMar>
              <w:top w:w="15" w:type="dxa"/>
              <w:left w:w="15" w:type="dxa"/>
              <w:right w:w="15" w:type="dxa"/>
            </w:tcMar>
            <w:vAlign w:val="center"/>
          </w:tcPr>
          <w:p w14:paraId="3D60211E">
            <w:pPr>
              <w:pStyle w:val="59"/>
              <w:rPr>
                <w:color w:val="auto"/>
              </w:rPr>
            </w:pPr>
            <w:r>
              <w:rPr>
                <w:color w:val="auto"/>
              </w:rPr>
              <w:t>1290</w:t>
            </w:r>
          </w:p>
        </w:tc>
        <w:tc>
          <w:tcPr>
            <w:tcW w:w="1485" w:type="dxa"/>
            <w:tcMar>
              <w:top w:w="15" w:type="dxa"/>
              <w:left w:w="15" w:type="dxa"/>
              <w:right w:w="15" w:type="dxa"/>
            </w:tcMar>
            <w:vAlign w:val="center"/>
          </w:tcPr>
          <w:p w14:paraId="4496EA12">
            <w:pPr>
              <w:pStyle w:val="59"/>
              <w:rPr>
                <w:color w:val="auto"/>
              </w:rPr>
            </w:pPr>
            <w:r>
              <w:rPr>
                <w:color w:val="auto"/>
              </w:rPr>
              <w:t>1290</w:t>
            </w:r>
          </w:p>
        </w:tc>
        <w:tc>
          <w:tcPr>
            <w:tcW w:w="1430" w:type="dxa"/>
            <w:tcMar>
              <w:top w:w="15" w:type="dxa"/>
              <w:left w:w="15" w:type="dxa"/>
              <w:right w:w="15" w:type="dxa"/>
            </w:tcMar>
            <w:vAlign w:val="center"/>
          </w:tcPr>
          <w:p w14:paraId="24485355">
            <w:pPr>
              <w:pStyle w:val="59"/>
              <w:rPr>
                <w:color w:val="auto"/>
              </w:rPr>
            </w:pPr>
            <w:r>
              <w:rPr>
                <w:color w:val="auto"/>
              </w:rPr>
              <w:t>1290</w:t>
            </w:r>
          </w:p>
        </w:tc>
        <w:tc>
          <w:tcPr>
            <w:tcW w:w="1489" w:type="dxa"/>
            <w:tcMar>
              <w:top w:w="15" w:type="dxa"/>
              <w:left w:w="15" w:type="dxa"/>
              <w:right w:w="15" w:type="dxa"/>
            </w:tcMar>
            <w:vAlign w:val="center"/>
          </w:tcPr>
          <w:p w14:paraId="78781B00">
            <w:pPr>
              <w:pStyle w:val="59"/>
              <w:rPr>
                <w:color w:val="auto"/>
              </w:rPr>
            </w:pPr>
            <w:r>
              <w:rPr>
                <w:color w:val="auto"/>
              </w:rPr>
              <w:t>1290</w:t>
            </w:r>
          </w:p>
        </w:tc>
      </w:tr>
      <w:tr w14:paraId="4DCAFC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237C4492">
            <w:pPr>
              <w:pStyle w:val="59"/>
              <w:rPr>
                <w:color w:val="auto"/>
              </w:rPr>
            </w:pPr>
            <w:r>
              <w:rPr>
                <w:color w:val="auto"/>
              </w:rPr>
              <w:t>32</w:t>
            </w:r>
          </w:p>
        </w:tc>
        <w:tc>
          <w:tcPr>
            <w:tcW w:w="1882" w:type="dxa"/>
            <w:tcMar>
              <w:top w:w="15" w:type="dxa"/>
              <w:left w:w="15" w:type="dxa"/>
              <w:right w:w="15" w:type="dxa"/>
            </w:tcMar>
            <w:vAlign w:val="center"/>
          </w:tcPr>
          <w:p w14:paraId="13F33988">
            <w:pPr>
              <w:pStyle w:val="59"/>
              <w:rPr>
                <w:color w:val="auto"/>
              </w:rPr>
            </w:pPr>
            <w:r>
              <w:rPr>
                <w:color w:val="auto"/>
              </w:rPr>
              <w:t>甲苯</w:t>
            </w:r>
          </w:p>
        </w:tc>
        <w:tc>
          <w:tcPr>
            <w:tcW w:w="1430" w:type="dxa"/>
            <w:tcMar>
              <w:top w:w="15" w:type="dxa"/>
              <w:left w:w="15" w:type="dxa"/>
              <w:right w:w="15" w:type="dxa"/>
            </w:tcMar>
            <w:vAlign w:val="center"/>
          </w:tcPr>
          <w:p w14:paraId="7591CFA6">
            <w:pPr>
              <w:pStyle w:val="59"/>
              <w:rPr>
                <w:color w:val="auto"/>
              </w:rPr>
            </w:pPr>
            <w:r>
              <w:rPr>
                <w:color w:val="auto"/>
              </w:rPr>
              <w:t>1200</w:t>
            </w:r>
          </w:p>
        </w:tc>
        <w:tc>
          <w:tcPr>
            <w:tcW w:w="1485" w:type="dxa"/>
            <w:tcMar>
              <w:top w:w="15" w:type="dxa"/>
              <w:left w:w="15" w:type="dxa"/>
              <w:right w:w="15" w:type="dxa"/>
            </w:tcMar>
            <w:vAlign w:val="center"/>
          </w:tcPr>
          <w:p w14:paraId="5C03169A">
            <w:pPr>
              <w:pStyle w:val="59"/>
              <w:rPr>
                <w:color w:val="auto"/>
              </w:rPr>
            </w:pPr>
            <w:r>
              <w:rPr>
                <w:color w:val="auto"/>
              </w:rPr>
              <w:t>1200</w:t>
            </w:r>
          </w:p>
        </w:tc>
        <w:tc>
          <w:tcPr>
            <w:tcW w:w="1430" w:type="dxa"/>
            <w:tcMar>
              <w:top w:w="15" w:type="dxa"/>
              <w:left w:w="15" w:type="dxa"/>
              <w:right w:w="15" w:type="dxa"/>
            </w:tcMar>
            <w:vAlign w:val="center"/>
          </w:tcPr>
          <w:p w14:paraId="71C6C9C2">
            <w:pPr>
              <w:pStyle w:val="59"/>
              <w:rPr>
                <w:color w:val="auto"/>
              </w:rPr>
            </w:pPr>
            <w:r>
              <w:rPr>
                <w:color w:val="auto"/>
              </w:rPr>
              <w:t>1200</w:t>
            </w:r>
          </w:p>
        </w:tc>
        <w:tc>
          <w:tcPr>
            <w:tcW w:w="1489" w:type="dxa"/>
            <w:tcMar>
              <w:top w:w="15" w:type="dxa"/>
              <w:left w:w="15" w:type="dxa"/>
              <w:right w:w="15" w:type="dxa"/>
            </w:tcMar>
            <w:vAlign w:val="center"/>
          </w:tcPr>
          <w:p w14:paraId="68956CAE">
            <w:pPr>
              <w:pStyle w:val="59"/>
              <w:rPr>
                <w:color w:val="auto"/>
              </w:rPr>
            </w:pPr>
            <w:r>
              <w:rPr>
                <w:color w:val="auto"/>
              </w:rPr>
              <w:t>1200</w:t>
            </w:r>
          </w:p>
        </w:tc>
      </w:tr>
      <w:tr w14:paraId="596E8D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6C638CD7">
            <w:pPr>
              <w:pStyle w:val="59"/>
              <w:rPr>
                <w:color w:val="auto"/>
              </w:rPr>
            </w:pPr>
            <w:r>
              <w:rPr>
                <w:color w:val="auto"/>
              </w:rPr>
              <w:t>33</w:t>
            </w:r>
          </w:p>
        </w:tc>
        <w:tc>
          <w:tcPr>
            <w:tcW w:w="1882" w:type="dxa"/>
            <w:tcMar>
              <w:top w:w="15" w:type="dxa"/>
              <w:left w:w="15" w:type="dxa"/>
              <w:right w:w="15" w:type="dxa"/>
            </w:tcMar>
            <w:vAlign w:val="center"/>
          </w:tcPr>
          <w:p w14:paraId="484AFFD5">
            <w:pPr>
              <w:pStyle w:val="59"/>
              <w:rPr>
                <w:color w:val="auto"/>
              </w:rPr>
            </w:pPr>
            <w:r>
              <w:rPr>
                <w:color w:val="auto"/>
              </w:rPr>
              <w:t>间二甲苯+对二甲苯</w:t>
            </w:r>
          </w:p>
        </w:tc>
        <w:tc>
          <w:tcPr>
            <w:tcW w:w="1430" w:type="dxa"/>
            <w:tcMar>
              <w:top w:w="15" w:type="dxa"/>
              <w:left w:w="15" w:type="dxa"/>
              <w:right w:w="15" w:type="dxa"/>
            </w:tcMar>
            <w:vAlign w:val="center"/>
          </w:tcPr>
          <w:p w14:paraId="5AC64534">
            <w:pPr>
              <w:pStyle w:val="59"/>
              <w:rPr>
                <w:color w:val="auto"/>
              </w:rPr>
            </w:pPr>
            <w:r>
              <w:rPr>
                <w:color w:val="auto"/>
              </w:rPr>
              <w:t>163</w:t>
            </w:r>
          </w:p>
        </w:tc>
        <w:tc>
          <w:tcPr>
            <w:tcW w:w="1485" w:type="dxa"/>
            <w:tcMar>
              <w:top w:w="15" w:type="dxa"/>
              <w:left w:w="15" w:type="dxa"/>
              <w:right w:w="15" w:type="dxa"/>
            </w:tcMar>
            <w:vAlign w:val="center"/>
          </w:tcPr>
          <w:p w14:paraId="751496A4">
            <w:pPr>
              <w:pStyle w:val="59"/>
              <w:rPr>
                <w:color w:val="auto"/>
              </w:rPr>
            </w:pPr>
            <w:r>
              <w:rPr>
                <w:color w:val="auto"/>
              </w:rPr>
              <w:t>570</w:t>
            </w:r>
          </w:p>
        </w:tc>
        <w:tc>
          <w:tcPr>
            <w:tcW w:w="1430" w:type="dxa"/>
            <w:tcMar>
              <w:top w:w="15" w:type="dxa"/>
              <w:left w:w="15" w:type="dxa"/>
              <w:right w:w="15" w:type="dxa"/>
            </w:tcMar>
            <w:vAlign w:val="center"/>
          </w:tcPr>
          <w:p w14:paraId="2E7FDE45">
            <w:pPr>
              <w:pStyle w:val="59"/>
              <w:rPr>
                <w:color w:val="auto"/>
              </w:rPr>
            </w:pPr>
            <w:r>
              <w:rPr>
                <w:color w:val="auto"/>
              </w:rPr>
              <w:t>500</w:t>
            </w:r>
          </w:p>
        </w:tc>
        <w:tc>
          <w:tcPr>
            <w:tcW w:w="1489" w:type="dxa"/>
            <w:tcMar>
              <w:top w:w="15" w:type="dxa"/>
              <w:left w:w="15" w:type="dxa"/>
              <w:right w:w="15" w:type="dxa"/>
            </w:tcMar>
            <w:vAlign w:val="center"/>
          </w:tcPr>
          <w:p w14:paraId="6FF6A81E">
            <w:pPr>
              <w:pStyle w:val="59"/>
              <w:rPr>
                <w:color w:val="auto"/>
              </w:rPr>
            </w:pPr>
            <w:r>
              <w:rPr>
                <w:color w:val="auto"/>
              </w:rPr>
              <w:t>570</w:t>
            </w:r>
          </w:p>
        </w:tc>
      </w:tr>
      <w:tr w14:paraId="2DEFE5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0E1CB8D7">
            <w:pPr>
              <w:pStyle w:val="59"/>
              <w:rPr>
                <w:color w:val="auto"/>
              </w:rPr>
            </w:pPr>
            <w:r>
              <w:rPr>
                <w:color w:val="auto"/>
              </w:rPr>
              <w:t>34</w:t>
            </w:r>
          </w:p>
        </w:tc>
        <w:tc>
          <w:tcPr>
            <w:tcW w:w="1882" w:type="dxa"/>
            <w:tcMar>
              <w:top w:w="15" w:type="dxa"/>
              <w:left w:w="15" w:type="dxa"/>
              <w:right w:w="15" w:type="dxa"/>
            </w:tcMar>
            <w:vAlign w:val="center"/>
          </w:tcPr>
          <w:p w14:paraId="785C66BA">
            <w:pPr>
              <w:pStyle w:val="59"/>
              <w:rPr>
                <w:color w:val="auto"/>
              </w:rPr>
            </w:pPr>
            <w:r>
              <w:rPr>
                <w:color w:val="auto"/>
              </w:rPr>
              <w:t>邻二甲苯</w:t>
            </w:r>
          </w:p>
        </w:tc>
        <w:tc>
          <w:tcPr>
            <w:tcW w:w="1430" w:type="dxa"/>
            <w:tcMar>
              <w:top w:w="15" w:type="dxa"/>
              <w:left w:w="15" w:type="dxa"/>
              <w:right w:w="15" w:type="dxa"/>
            </w:tcMar>
            <w:vAlign w:val="center"/>
          </w:tcPr>
          <w:p w14:paraId="74E9EBFA">
            <w:pPr>
              <w:pStyle w:val="59"/>
              <w:rPr>
                <w:color w:val="auto"/>
              </w:rPr>
            </w:pPr>
            <w:r>
              <w:rPr>
                <w:color w:val="auto"/>
              </w:rPr>
              <w:t>222</w:t>
            </w:r>
          </w:p>
        </w:tc>
        <w:tc>
          <w:tcPr>
            <w:tcW w:w="1485" w:type="dxa"/>
            <w:tcMar>
              <w:top w:w="15" w:type="dxa"/>
              <w:left w:w="15" w:type="dxa"/>
              <w:right w:w="15" w:type="dxa"/>
            </w:tcMar>
            <w:vAlign w:val="center"/>
          </w:tcPr>
          <w:p w14:paraId="2C1724C6">
            <w:pPr>
              <w:pStyle w:val="59"/>
              <w:rPr>
                <w:color w:val="auto"/>
              </w:rPr>
            </w:pPr>
            <w:r>
              <w:rPr>
                <w:color w:val="auto"/>
              </w:rPr>
              <w:t>640</w:t>
            </w:r>
          </w:p>
        </w:tc>
        <w:tc>
          <w:tcPr>
            <w:tcW w:w="1430" w:type="dxa"/>
            <w:tcMar>
              <w:top w:w="15" w:type="dxa"/>
              <w:left w:w="15" w:type="dxa"/>
              <w:right w:w="15" w:type="dxa"/>
            </w:tcMar>
            <w:vAlign w:val="center"/>
          </w:tcPr>
          <w:p w14:paraId="6CE29A31">
            <w:pPr>
              <w:pStyle w:val="59"/>
              <w:rPr>
                <w:color w:val="auto"/>
              </w:rPr>
            </w:pPr>
            <w:r>
              <w:rPr>
                <w:color w:val="auto"/>
              </w:rPr>
              <w:t>640</w:t>
            </w:r>
          </w:p>
        </w:tc>
        <w:tc>
          <w:tcPr>
            <w:tcW w:w="1489" w:type="dxa"/>
            <w:tcMar>
              <w:top w:w="15" w:type="dxa"/>
              <w:left w:w="15" w:type="dxa"/>
              <w:right w:w="15" w:type="dxa"/>
            </w:tcMar>
            <w:vAlign w:val="center"/>
          </w:tcPr>
          <w:p w14:paraId="0943CA80">
            <w:pPr>
              <w:pStyle w:val="59"/>
              <w:rPr>
                <w:color w:val="auto"/>
              </w:rPr>
            </w:pPr>
            <w:r>
              <w:rPr>
                <w:color w:val="auto"/>
              </w:rPr>
              <w:t>640</w:t>
            </w:r>
          </w:p>
        </w:tc>
      </w:tr>
      <w:tr w14:paraId="400C24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041" w:type="dxa"/>
            <w:gridSpan w:val="6"/>
            <w:tcMar>
              <w:top w:w="15" w:type="dxa"/>
              <w:left w:w="15" w:type="dxa"/>
              <w:right w:w="15" w:type="dxa"/>
            </w:tcMar>
            <w:vAlign w:val="center"/>
          </w:tcPr>
          <w:p w14:paraId="1C6EEB54">
            <w:pPr>
              <w:pStyle w:val="59"/>
              <w:rPr>
                <w:color w:val="auto"/>
              </w:rPr>
            </w:pPr>
            <w:r>
              <w:rPr>
                <w:color w:val="auto"/>
              </w:rPr>
              <w:t>半挥发性有机物</w:t>
            </w:r>
          </w:p>
        </w:tc>
      </w:tr>
      <w:tr w14:paraId="30A18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414C2160">
            <w:pPr>
              <w:pStyle w:val="59"/>
              <w:rPr>
                <w:color w:val="auto"/>
              </w:rPr>
            </w:pPr>
            <w:r>
              <w:rPr>
                <w:color w:val="auto"/>
              </w:rPr>
              <w:t>35</w:t>
            </w:r>
          </w:p>
        </w:tc>
        <w:tc>
          <w:tcPr>
            <w:tcW w:w="1882" w:type="dxa"/>
            <w:tcMar>
              <w:top w:w="15" w:type="dxa"/>
              <w:left w:w="15" w:type="dxa"/>
              <w:right w:w="15" w:type="dxa"/>
            </w:tcMar>
            <w:vAlign w:val="center"/>
          </w:tcPr>
          <w:p w14:paraId="73C37BF8">
            <w:pPr>
              <w:pStyle w:val="59"/>
              <w:rPr>
                <w:color w:val="auto"/>
              </w:rPr>
            </w:pPr>
            <w:r>
              <w:rPr>
                <w:color w:val="auto"/>
              </w:rPr>
              <w:t>硝基苯</w:t>
            </w:r>
          </w:p>
        </w:tc>
        <w:tc>
          <w:tcPr>
            <w:tcW w:w="1430" w:type="dxa"/>
            <w:tcMar>
              <w:top w:w="15" w:type="dxa"/>
              <w:left w:w="15" w:type="dxa"/>
              <w:right w:w="15" w:type="dxa"/>
            </w:tcMar>
            <w:vAlign w:val="center"/>
          </w:tcPr>
          <w:p w14:paraId="657FE1D4">
            <w:pPr>
              <w:pStyle w:val="59"/>
              <w:rPr>
                <w:color w:val="auto"/>
              </w:rPr>
            </w:pPr>
            <w:r>
              <w:rPr>
                <w:color w:val="auto"/>
              </w:rPr>
              <w:t>34</w:t>
            </w:r>
          </w:p>
        </w:tc>
        <w:tc>
          <w:tcPr>
            <w:tcW w:w="1485" w:type="dxa"/>
            <w:tcMar>
              <w:top w:w="15" w:type="dxa"/>
              <w:left w:w="15" w:type="dxa"/>
              <w:right w:w="15" w:type="dxa"/>
            </w:tcMar>
            <w:vAlign w:val="center"/>
          </w:tcPr>
          <w:p w14:paraId="52A5B3D8">
            <w:pPr>
              <w:pStyle w:val="59"/>
              <w:rPr>
                <w:color w:val="auto"/>
              </w:rPr>
            </w:pPr>
            <w:r>
              <w:rPr>
                <w:color w:val="auto"/>
              </w:rPr>
              <w:t>76</w:t>
            </w:r>
          </w:p>
        </w:tc>
        <w:tc>
          <w:tcPr>
            <w:tcW w:w="1430" w:type="dxa"/>
            <w:tcMar>
              <w:top w:w="15" w:type="dxa"/>
              <w:left w:w="15" w:type="dxa"/>
              <w:right w:w="15" w:type="dxa"/>
            </w:tcMar>
            <w:vAlign w:val="center"/>
          </w:tcPr>
          <w:p w14:paraId="12FB07FB">
            <w:pPr>
              <w:pStyle w:val="59"/>
              <w:rPr>
                <w:color w:val="auto"/>
              </w:rPr>
            </w:pPr>
            <w:r>
              <w:rPr>
                <w:color w:val="auto"/>
              </w:rPr>
              <w:t>190</w:t>
            </w:r>
          </w:p>
        </w:tc>
        <w:tc>
          <w:tcPr>
            <w:tcW w:w="1489" w:type="dxa"/>
            <w:tcMar>
              <w:top w:w="15" w:type="dxa"/>
              <w:left w:w="15" w:type="dxa"/>
              <w:right w:w="15" w:type="dxa"/>
            </w:tcMar>
            <w:vAlign w:val="center"/>
          </w:tcPr>
          <w:p w14:paraId="41320452">
            <w:pPr>
              <w:pStyle w:val="59"/>
              <w:rPr>
                <w:color w:val="auto"/>
              </w:rPr>
            </w:pPr>
            <w:r>
              <w:rPr>
                <w:color w:val="auto"/>
              </w:rPr>
              <w:t>760</w:t>
            </w:r>
          </w:p>
        </w:tc>
      </w:tr>
      <w:tr w14:paraId="51852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299E3E08">
            <w:pPr>
              <w:pStyle w:val="59"/>
              <w:rPr>
                <w:color w:val="auto"/>
              </w:rPr>
            </w:pPr>
            <w:r>
              <w:rPr>
                <w:color w:val="auto"/>
              </w:rPr>
              <w:t>36</w:t>
            </w:r>
          </w:p>
        </w:tc>
        <w:tc>
          <w:tcPr>
            <w:tcW w:w="1882" w:type="dxa"/>
            <w:tcMar>
              <w:top w:w="15" w:type="dxa"/>
              <w:left w:w="15" w:type="dxa"/>
              <w:right w:w="15" w:type="dxa"/>
            </w:tcMar>
            <w:vAlign w:val="center"/>
          </w:tcPr>
          <w:p w14:paraId="65519AC1">
            <w:pPr>
              <w:pStyle w:val="59"/>
              <w:rPr>
                <w:color w:val="auto"/>
              </w:rPr>
            </w:pPr>
            <w:r>
              <w:rPr>
                <w:color w:val="auto"/>
              </w:rPr>
              <w:t>苯胺</w:t>
            </w:r>
          </w:p>
        </w:tc>
        <w:tc>
          <w:tcPr>
            <w:tcW w:w="1430" w:type="dxa"/>
            <w:tcMar>
              <w:top w:w="15" w:type="dxa"/>
              <w:left w:w="15" w:type="dxa"/>
              <w:right w:w="15" w:type="dxa"/>
            </w:tcMar>
            <w:vAlign w:val="center"/>
          </w:tcPr>
          <w:p w14:paraId="522720D8">
            <w:pPr>
              <w:pStyle w:val="59"/>
              <w:rPr>
                <w:color w:val="auto"/>
              </w:rPr>
            </w:pPr>
            <w:r>
              <w:rPr>
                <w:color w:val="auto"/>
              </w:rPr>
              <w:t>92</w:t>
            </w:r>
          </w:p>
        </w:tc>
        <w:tc>
          <w:tcPr>
            <w:tcW w:w="1485" w:type="dxa"/>
            <w:tcMar>
              <w:top w:w="15" w:type="dxa"/>
              <w:left w:w="15" w:type="dxa"/>
              <w:right w:w="15" w:type="dxa"/>
            </w:tcMar>
            <w:vAlign w:val="center"/>
          </w:tcPr>
          <w:p w14:paraId="3D8B6944">
            <w:pPr>
              <w:pStyle w:val="59"/>
              <w:rPr>
                <w:color w:val="auto"/>
              </w:rPr>
            </w:pPr>
            <w:r>
              <w:rPr>
                <w:color w:val="auto"/>
              </w:rPr>
              <w:t>260</w:t>
            </w:r>
          </w:p>
        </w:tc>
        <w:tc>
          <w:tcPr>
            <w:tcW w:w="1430" w:type="dxa"/>
            <w:tcMar>
              <w:top w:w="15" w:type="dxa"/>
              <w:left w:w="15" w:type="dxa"/>
              <w:right w:w="15" w:type="dxa"/>
            </w:tcMar>
            <w:vAlign w:val="center"/>
          </w:tcPr>
          <w:p w14:paraId="362E9518">
            <w:pPr>
              <w:pStyle w:val="59"/>
              <w:rPr>
                <w:color w:val="auto"/>
              </w:rPr>
            </w:pPr>
            <w:r>
              <w:rPr>
                <w:color w:val="auto"/>
              </w:rPr>
              <w:t>211</w:t>
            </w:r>
          </w:p>
        </w:tc>
        <w:tc>
          <w:tcPr>
            <w:tcW w:w="1489" w:type="dxa"/>
            <w:tcMar>
              <w:top w:w="15" w:type="dxa"/>
              <w:left w:w="15" w:type="dxa"/>
              <w:right w:w="15" w:type="dxa"/>
            </w:tcMar>
            <w:vAlign w:val="center"/>
          </w:tcPr>
          <w:p w14:paraId="2EC111E6">
            <w:pPr>
              <w:pStyle w:val="59"/>
              <w:rPr>
                <w:color w:val="auto"/>
              </w:rPr>
            </w:pPr>
            <w:r>
              <w:rPr>
                <w:color w:val="auto"/>
              </w:rPr>
              <w:t>663</w:t>
            </w:r>
          </w:p>
        </w:tc>
      </w:tr>
      <w:tr w14:paraId="4EC4D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DF6CDBE">
            <w:pPr>
              <w:pStyle w:val="59"/>
              <w:rPr>
                <w:color w:val="auto"/>
              </w:rPr>
            </w:pPr>
            <w:r>
              <w:rPr>
                <w:color w:val="auto"/>
              </w:rPr>
              <w:t>37</w:t>
            </w:r>
          </w:p>
        </w:tc>
        <w:tc>
          <w:tcPr>
            <w:tcW w:w="1882" w:type="dxa"/>
            <w:tcMar>
              <w:top w:w="15" w:type="dxa"/>
              <w:left w:w="15" w:type="dxa"/>
              <w:right w:w="15" w:type="dxa"/>
            </w:tcMar>
            <w:vAlign w:val="center"/>
          </w:tcPr>
          <w:p w14:paraId="0F3B71AA">
            <w:pPr>
              <w:pStyle w:val="59"/>
              <w:rPr>
                <w:color w:val="auto"/>
              </w:rPr>
            </w:pPr>
            <w:r>
              <w:rPr>
                <w:color w:val="auto"/>
              </w:rPr>
              <w:t>2-氯酚</w:t>
            </w:r>
          </w:p>
        </w:tc>
        <w:tc>
          <w:tcPr>
            <w:tcW w:w="1430" w:type="dxa"/>
            <w:tcMar>
              <w:top w:w="15" w:type="dxa"/>
              <w:left w:w="15" w:type="dxa"/>
              <w:right w:w="15" w:type="dxa"/>
            </w:tcMar>
            <w:vAlign w:val="center"/>
          </w:tcPr>
          <w:p w14:paraId="59A0995B">
            <w:pPr>
              <w:pStyle w:val="59"/>
              <w:rPr>
                <w:color w:val="auto"/>
              </w:rPr>
            </w:pPr>
            <w:r>
              <w:rPr>
                <w:color w:val="auto"/>
              </w:rPr>
              <w:t>250</w:t>
            </w:r>
          </w:p>
        </w:tc>
        <w:tc>
          <w:tcPr>
            <w:tcW w:w="1485" w:type="dxa"/>
            <w:tcMar>
              <w:top w:w="15" w:type="dxa"/>
              <w:left w:w="15" w:type="dxa"/>
              <w:right w:w="15" w:type="dxa"/>
            </w:tcMar>
            <w:vAlign w:val="center"/>
          </w:tcPr>
          <w:p w14:paraId="51644BD0">
            <w:pPr>
              <w:pStyle w:val="59"/>
              <w:rPr>
                <w:color w:val="auto"/>
              </w:rPr>
            </w:pPr>
            <w:r>
              <w:rPr>
                <w:color w:val="auto"/>
              </w:rPr>
              <w:t>2256</w:t>
            </w:r>
          </w:p>
        </w:tc>
        <w:tc>
          <w:tcPr>
            <w:tcW w:w="1430" w:type="dxa"/>
            <w:tcMar>
              <w:top w:w="15" w:type="dxa"/>
              <w:left w:w="15" w:type="dxa"/>
              <w:right w:w="15" w:type="dxa"/>
            </w:tcMar>
            <w:vAlign w:val="center"/>
          </w:tcPr>
          <w:p w14:paraId="4174DBF9">
            <w:pPr>
              <w:pStyle w:val="59"/>
              <w:rPr>
                <w:color w:val="auto"/>
              </w:rPr>
            </w:pPr>
            <w:r>
              <w:rPr>
                <w:color w:val="auto"/>
              </w:rPr>
              <w:t>500</w:t>
            </w:r>
          </w:p>
        </w:tc>
        <w:tc>
          <w:tcPr>
            <w:tcW w:w="1489" w:type="dxa"/>
            <w:tcMar>
              <w:top w:w="15" w:type="dxa"/>
              <w:left w:w="15" w:type="dxa"/>
              <w:right w:w="15" w:type="dxa"/>
            </w:tcMar>
            <w:vAlign w:val="center"/>
          </w:tcPr>
          <w:p w14:paraId="6926873E">
            <w:pPr>
              <w:pStyle w:val="59"/>
              <w:rPr>
                <w:color w:val="auto"/>
              </w:rPr>
            </w:pPr>
            <w:r>
              <w:rPr>
                <w:color w:val="auto"/>
              </w:rPr>
              <w:t>4500</w:t>
            </w:r>
          </w:p>
        </w:tc>
      </w:tr>
      <w:tr w14:paraId="4028FE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3A615F0">
            <w:pPr>
              <w:pStyle w:val="59"/>
              <w:rPr>
                <w:color w:val="auto"/>
              </w:rPr>
            </w:pPr>
            <w:r>
              <w:rPr>
                <w:color w:val="auto"/>
              </w:rPr>
              <w:t>38</w:t>
            </w:r>
          </w:p>
        </w:tc>
        <w:tc>
          <w:tcPr>
            <w:tcW w:w="1882" w:type="dxa"/>
            <w:tcMar>
              <w:top w:w="15" w:type="dxa"/>
              <w:left w:w="15" w:type="dxa"/>
              <w:right w:w="15" w:type="dxa"/>
            </w:tcMar>
            <w:vAlign w:val="center"/>
          </w:tcPr>
          <w:p w14:paraId="11DB3059">
            <w:pPr>
              <w:pStyle w:val="59"/>
              <w:rPr>
                <w:color w:val="auto"/>
              </w:rPr>
            </w:pPr>
            <w:r>
              <w:rPr>
                <w:color w:val="auto"/>
              </w:rPr>
              <w:t>苯并[a]蒽</w:t>
            </w:r>
          </w:p>
        </w:tc>
        <w:tc>
          <w:tcPr>
            <w:tcW w:w="1430" w:type="dxa"/>
            <w:tcMar>
              <w:top w:w="15" w:type="dxa"/>
              <w:left w:w="15" w:type="dxa"/>
              <w:right w:w="15" w:type="dxa"/>
            </w:tcMar>
            <w:vAlign w:val="center"/>
          </w:tcPr>
          <w:p w14:paraId="552E46FE">
            <w:pPr>
              <w:pStyle w:val="59"/>
              <w:rPr>
                <w:color w:val="auto"/>
              </w:rPr>
            </w:pPr>
            <w:r>
              <w:rPr>
                <w:color w:val="auto"/>
              </w:rPr>
              <w:t>5.5</w:t>
            </w:r>
          </w:p>
        </w:tc>
        <w:tc>
          <w:tcPr>
            <w:tcW w:w="1485" w:type="dxa"/>
            <w:tcMar>
              <w:top w:w="15" w:type="dxa"/>
              <w:left w:w="15" w:type="dxa"/>
              <w:right w:w="15" w:type="dxa"/>
            </w:tcMar>
            <w:vAlign w:val="center"/>
          </w:tcPr>
          <w:p w14:paraId="063EFA98">
            <w:pPr>
              <w:pStyle w:val="59"/>
              <w:rPr>
                <w:color w:val="auto"/>
              </w:rPr>
            </w:pPr>
            <w:r>
              <w:rPr>
                <w:color w:val="auto"/>
              </w:rPr>
              <w:t>15</w:t>
            </w:r>
          </w:p>
        </w:tc>
        <w:tc>
          <w:tcPr>
            <w:tcW w:w="1430" w:type="dxa"/>
            <w:tcMar>
              <w:top w:w="15" w:type="dxa"/>
              <w:left w:w="15" w:type="dxa"/>
              <w:right w:w="15" w:type="dxa"/>
            </w:tcMar>
            <w:vAlign w:val="center"/>
          </w:tcPr>
          <w:p w14:paraId="602AEDC6">
            <w:pPr>
              <w:pStyle w:val="59"/>
              <w:rPr>
                <w:color w:val="auto"/>
              </w:rPr>
            </w:pPr>
            <w:r>
              <w:rPr>
                <w:color w:val="auto"/>
              </w:rPr>
              <w:t>55</w:t>
            </w:r>
          </w:p>
        </w:tc>
        <w:tc>
          <w:tcPr>
            <w:tcW w:w="1489" w:type="dxa"/>
            <w:tcMar>
              <w:top w:w="15" w:type="dxa"/>
              <w:left w:w="15" w:type="dxa"/>
              <w:right w:w="15" w:type="dxa"/>
            </w:tcMar>
            <w:vAlign w:val="center"/>
          </w:tcPr>
          <w:p w14:paraId="6507914A">
            <w:pPr>
              <w:pStyle w:val="59"/>
              <w:rPr>
                <w:color w:val="auto"/>
              </w:rPr>
            </w:pPr>
            <w:r>
              <w:rPr>
                <w:color w:val="auto"/>
              </w:rPr>
              <w:t>151</w:t>
            </w:r>
          </w:p>
        </w:tc>
      </w:tr>
      <w:tr w14:paraId="2C85B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2CDC9EAB">
            <w:pPr>
              <w:pStyle w:val="59"/>
              <w:rPr>
                <w:color w:val="auto"/>
              </w:rPr>
            </w:pPr>
            <w:r>
              <w:rPr>
                <w:color w:val="auto"/>
              </w:rPr>
              <w:t>39</w:t>
            </w:r>
          </w:p>
        </w:tc>
        <w:tc>
          <w:tcPr>
            <w:tcW w:w="1882" w:type="dxa"/>
            <w:tcMar>
              <w:top w:w="15" w:type="dxa"/>
              <w:left w:w="15" w:type="dxa"/>
              <w:right w:w="15" w:type="dxa"/>
            </w:tcMar>
            <w:vAlign w:val="center"/>
          </w:tcPr>
          <w:p w14:paraId="07B82033">
            <w:pPr>
              <w:pStyle w:val="59"/>
              <w:rPr>
                <w:color w:val="auto"/>
              </w:rPr>
            </w:pPr>
            <w:r>
              <w:rPr>
                <w:color w:val="auto"/>
              </w:rPr>
              <w:t>苯并[a]芘</w:t>
            </w:r>
          </w:p>
        </w:tc>
        <w:tc>
          <w:tcPr>
            <w:tcW w:w="1430" w:type="dxa"/>
            <w:tcMar>
              <w:top w:w="15" w:type="dxa"/>
              <w:left w:w="15" w:type="dxa"/>
              <w:right w:w="15" w:type="dxa"/>
            </w:tcMar>
            <w:vAlign w:val="center"/>
          </w:tcPr>
          <w:p w14:paraId="4DCFF2FA">
            <w:pPr>
              <w:pStyle w:val="59"/>
              <w:rPr>
                <w:color w:val="auto"/>
              </w:rPr>
            </w:pPr>
            <w:r>
              <w:rPr>
                <w:color w:val="auto"/>
              </w:rPr>
              <w:t>0.55</w:t>
            </w:r>
          </w:p>
        </w:tc>
        <w:tc>
          <w:tcPr>
            <w:tcW w:w="1485" w:type="dxa"/>
            <w:tcMar>
              <w:top w:w="15" w:type="dxa"/>
              <w:left w:w="15" w:type="dxa"/>
              <w:right w:w="15" w:type="dxa"/>
            </w:tcMar>
            <w:vAlign w:val="center"/>
          </w:tcPr>
          <w:p w14:paraId="550813B6">
            <w:pPr>
              <w:pStyle w:val="59"/>
              <w:rPr>
                <w:color w:val="auto"/>
              </w:rPr>
            </w:pPr>
            <w:r>
              <w:rPr>
                <w:color w:val="auto"/>
              </w:rPr>
              <w:t>1.5</w:t>
            </w:r>
          </w:p>
        </w:tc>
        <w:tc>
          <w:tcPr>
            <w:tcW w:w="1430" w:type="dxa"/>
            <w:tcMar>
              <w:top w:w="15" w:type="dxa"/>
              <w:left w:w="15" w:type="dxa"/>
              <w:right w:w="15" w:type="dxa"/>
            </w:tcMar>
            <w:vAlign w:val="center"/>
          </w:tcPr>
          <w:p w14:paraId="6C584490">
            <w:pPr>
              <w:pStyle w:val="59"/>
              <w:rPr>
                <w:color w:val="auto"/>
              </w:rPr>
            </w:pPr>
            <w:r>
              <w:rPr>
                <w:color w:val="auto"/>
              </w:rPr>
              <w:t>5.5</w:t>
            </w:r>
          </w:p>
        </w:tc>
        <w:tc>
          <w:tcPr>
            <w:tcW w:w="1489" w:type="dxa"/>
            <w:tcMar>
              <w:top w:w="15" w:type="dxa"/>
              <w:left w:w="15" w:type="dxa"/>
              <w:right w:w="15" w:type="dxa"/>
            </w:tcMar>
            <w:vAlign w:val="center"/>
          </w:tcPr>
          <w:p w14:paraId="3A49BBFA">
            <w:pPr>
              <w:pStyle w:val="59"/>
              <w:rPr>
                <w:color w:val="auto"/>
              </w:rPr>
            </w:pPr>
            <w:r>
              <w:rPr>
                <w:color w:val="auto"/>
              </w:rPr>
              <w:t>15</w:t>
            </w:r>
          </w:p>
        </w:tc>
      </w:tr>
      <w:tr w14:paraId="0A7B20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C5A814E">
            <w:pPr>
              <w:pStyle w:val="59"/>
              <w:rPr>
                <w:color w:val="auto"/>
              </w:rPr>
            </w:pPr>
            <w:r>
              <w:rPr>
                <w:color w:val="auto"/>
              </w:rPr>
              <w:t>40</w:t>
            </w:r>
          </w:p>
        </w:tc>
        <w:tc>
          <w:tcPr>
            <w:tcW w:w="1882" w:type="dxa"/>
            <w:tcMar>
              <w:top w:w="15" w:type="dxa"/>
              <w:left w:w="15" w:type="dxa"/>
              <w:right w:w="15" w:type="dxa"/>
            </w:tcMar>
            <w:vAlign w:val="center"/>
          </w:tcPr>
          <w:p w14:paraId="0690CFC0">
            <w:pPr>
              <w:pStyle w:val="59"/>
              <w:rPr>
                <w:color w:val="auto"/>
              </w:rPr>
            </w:pPr>
            <w:r>
              <w:rPr>
                <w:color w:val="auto"/>
              </w:rPr>
              <w:t>苯并[b]荧蒽</w:t>
            </w:r>
          </w:p>
        </w:tc>
        <w:tc>
          <w:tcPr>
            <w:tcW w:w="1430" w:type="dxa"/>
            <w:tcMar>
              <w:top w:w="15" w:type="dxa"/>
              <w:left w:w="15" w:type="dxa"/>
              <w:right w:w="15" w:type="dxa"/>
            </w:tcMar>
            <w:vAlign w:val="center"/>
          </w:tcPr>
          <w:p w14:paraId="31EAFC70">
            <w:pPr>
              <w:pStyle w:val="59"/>
              <w:rPr>
                <w:color w:val="auto"/>
              </w:rPr>
            </w:pPr>
            <w:r>
              <w:rPr>
                <w:color w:val="auto"/>
              </w:rPr>
              <w:t>5.5</w:t>
            </w:r>
          </w:p>
        </w:tc>
        <w:tc>
          <w:tcPr>
            <w:tcW w:w="1485" w:type="dxa"/>
            <w:tcMar>
              <w:top w:w="15" w:type="dxa"/>
              <w:left w:w="15" w:type="dxa"/>
              <w:right w:w="15" w:type="dxa"/>
            </w:tcMar>
            <w:vAlign w:val="center"/>
          </w:tcPr>
          <w:p w14:paraId="4DB6F75D">
            <w:pPr>
              <w:pStyle w:val="59"/>
              <w:rPr>
                <w:color w:val="auto"/>
              </w:rPr>
            </w:pPr>
            <w:r>
              <w:rPr>
                <w:color w:val="auto"/>
              </w:rPr>
              <w:t>15</w:t>
            </w:r>
          </w:p>
        </w:tc>
        <w:tc>
          <w:tcPr>
            <w:tcW w:w="1430" w:type="dxa"/>
            <w:tcMar>
              <w:top w:w="15" w:type="dxa"/>
              <w:left w:w="15" w:type="dxa"/>
              <w:right w:w="15" w:type="dxa"/>
            </w:tcMar>
            <w:vAlign w:val="center"/>
          </w:tcPr>
          <w:p w14:paraId="25E5ED48">
            <w:pPr>
              <w:pStyle w:val="59"/>
              <w:rPr>
                <w:color w:val="auto"/>
              </w:rPr>
            </w:pPr>
            <w:r>
              <w:rPr>
                <w:color w:val="auto"/>
              </w:rPr>
              <w:t>55</w:t>
            </w:r>
          </w:p>
        </w:tc>
        <w:tc>
          <w:tcPr>
            <w:tcW w:w="1489" w:type="dxa"/>
            <w:tcMar>
              <w:top w:w="15" w:type="dxa"/>
              <w:left w:w="15" w:type="dxa"/>
              <w:right w:w="15" w:type="dxa"/>
            </w:tcMar>
            <w:vAlign w:val="center"/>
          </w:tcPr>
          <w:p w14:paraId="443352EB">
            <w:pPr>
              <w:pStyle w:val="59"/>
              <w:rPr>
                <w:color w:val="auto"/>
              </w:rPr>
            </w:pPr>
            <w:r>
              <w:rPr>
                <w:color w:val="auto"/>
              </w:rPr>
              <w:t>151</w:t>
            </w:r>
          </w:p>
        </w:tc>
      </w:tr>
      <w:tr w14:paraId="69DDB0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47CA5F4">
            <w:pPr>
              <w:pStyle w:val="59"/>
              <w:rPr>
                <w:color w:val="auto"/>
              </w:rPr>
            </w:pPr>
            <w:r>
              <w:rPr>
                <w:color w:val="auto"/>
              </w:rPr>
              <w:t>41</w:t>
            </w:r>
          </w:p>
        </w:tc>
        <w:tc>
          <w:tcPr>
            <w:tcW w:w="1882" w:type="dxa"/>
            <w:tcMar>
              <w:top w:w="15" w:type="dxa"/>
              <w:left w:w="15" w:type="dxa"/>
              <w:right w:w="15" w:type="dxa"/>
            </w:tcMar>
            <w:vAlign w:val="center"/>
          </w:tcPr>
          <w:p w14:paraId="528257E7">
            <w:pPr>
              <w:pStyle w:val="59"/>
              <w:rPr>
                <w:color w:val="auto"/>
              </w:rPr>
            </w:pPr>
            <w:r>
              <w:rPr>
                <w:color w:val="auto"/>
              </w:rPr>
              <w:t>苯并[k]荧蒽</w:t>
            </w:r>
          </w:p>
        </w:tc>
        <w:tc>
          <w:tcPr>
            <w:tcW w:w="1430" w:type="dxa"/>
            <w:tcMar>
              <w:top w:w="15" w:type="dxa"/>
              <w:left w:w="15" w:type="dxa"/>
              <w:right w:w="15" w:type="dxa"/>
            </w:tcMar>
            <w:vAlign w:val="center"/>
          </w:tcPr>
          <w:p w14:paraId="23EE8150">
            <w:pPr>
              <w:pStyle w:val="59"/>
              <w:rPr>
                <w:color w:val="auto"/>
              </w:rPr>
            </w:pPr>
            <w:r>
              <w:rPr>
                <w:color w:val="auto"/>
              </w:rPr>
              <w:t>55</w:t>
            </w:r>
          </w:p>
        </w:tc>
        <w:tc>
          <w:tcPr>
            <w:tcW w:w="1485" w:type="dxa"/>
            <w:tcMar>
              <w:top w:w="15" w:type="dxa"/>
              <w:left w:w="15" w:type="dxa"/>
              <w:right w:w="15" w:type="dxa"/>
            </w:tcMar>
            <w:vAlign w:val="center"/>
          </w:tcPr>
          <w:p w14:paraId="5D19DAB3">
            <w:pPr>
              <w:pStyle w:val="59"/>
              <w:rPr>
                <w:color w:val="auto"/>
              </w:rPr>
            </w:pPr>
            <w:r>
              <w:rPr>
                <w:color w:val="auto"/>
              </w:rPr>
              <w:t>151</w:t>
            </w:r>
          </w:p>
        </w:tc>
        <w:tc>
          <w:tcPr>
            <w:tcW w:w="1430" w:type="dxa"/>
            <w:tcMar>
              <w:top w:w="15" w:type="dxa"/>
              <w:left w:w="15" w:type="dxa"/>
              <w:right w:w="15" w:type="dxa"/>
            </w:tcMar>
            <w:vAlign w:val="center"/>
          </w:tcPr>
          <w:p w14:paraId="18047AAE">
            <w:pPr>
              <w:pStyle w:val="59"/>
              <w:rPr>
                <w:color w:val="auto"/>
              </w:rPr>
            </w:pPr>
            <w:r>
              <w:rPr>
                <w:color w:val="auto"/>
              </w:rPr>
              <w:t>550</w:t>
            </w:r>
          </w:p>
        </w:tc>
        <w:tc>
          <w:tcPr>
            <w:tcW w:w="1489" w:type="dxa"/>
            <w:tcMar>
              <w:top w:w="15" w:type="dxa"/>
              <w:left w:w="15" w:type="dxa"/>
              <w:right w:w="15" w:type="dxa"/>
            </w:tcMar>
            <w:vAlign w:val="center"/>
          </w:tcPr>
          <w:p w14:paraId="43EA4184">
            <w:pPr>
              <w:pStyle w:val="59"/>
              <w:rPr>
                <w:color w:val="auto"/>
              </w:rPr>
            </w:pPr>
            <w:r>
              <w:rPr>
                <w:color w:val="auto"/>
              </w:rPr>
              <w:t>1500</w:t>
            </w:r>
          </w:p>
        </w:tc>
      </w:tr>
      <w:tr w14:paraId="3942A1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3E70D27B">
            <w:pPr>
              <w:pStyle w:val="59"/>
              <w:rPr>
                <w:color w:val="auto"/>
              </w:rPr>
            </w:pPr>
            <w:r>
              <w:rPr>
                <w:color w:val="auto"/>
              </w:rPr>
              <w:t>42</w:t>
            </w:r>
          </w:p>
        </w:tc>
        <w:tc>
          <w:tcPr>
            <w:tcW w:w="1882" w:type="dxa"/>
            <w:tcMar>
              <w:top w:w="15" w:type="dxa"/>
              <w:left w:w="15" w:type="dxa"/>
              <w:right w:w="15" w:type="dxa"/>
            </w:tcMar>
            <w:vAlign w:val="center"/>
          </w:tcPr>
          <w:p w14:paraId="7194E756">
            <w:pPr>
              <w:pStyle w:val="59"/>
              <w:rPr>
                <w:color w:val="auto"/>
              </w:rPr>
            </w:pPr>
            <w:r>
              <w:rPr>
                <w:color w:val="auto"/>
              </w:rPr>
              <w:t>䓛</w:t>
            </w:r>
          </w:p>
        </w:tc>
        <w:tc>
          <w:tcPr>
            <w:tcW w:w="1430" w:type="dxa"/>
            <w:tcMar>
              <w:top w:w="15" w:type="dxa"/>
              <w:left w:w="15" w:type="dxa"/>
              <w:right w:w="15" w:type="dxa"/>
            </w:tcMar>
            <w:vAlign w:val="center"/>
          </w:tcPr>
          <w:p w14:paraId="2AF7B4A2">
            <w:pPr>
              <w:pStyle w:val="59"/>
              <w:rPr>
                <w:color w:val="auto"/>
              </w:rPr>
            </w:pPr>
            <w:r>
              <w:rPr>
                <w:color w:val="auto"/>
              </w:rPr>
              <w:t>490</w:t>
            </w:r>
          </w:p>
        </w:tc>
        <w:tc>
          <w:tcPr>
            <w:tcW w:w="1485" w:type="dxa"/>
            <w:tcMar>
              <w:top w:w="15" w:type="dxa"/>
              <w:left w:w="15" w:type="dxa"/>
              <w:right w:w="15" w:type="dxa"/>
            </w:tcMar>
            <w:vAlign w:val="center"/>
          </w:tcPr>
          <w:p w14:paraId="07970327">
            <w:pPr>
              <w:pStyle w:val="59"/>
              <w:rPr>
                <w:color w:val="auto"/>
              </w:rPr>
            </w:pPr>
            <w:r>
              <w:rPr>
                <w:color w:val="auto"/>
              </w:rPr>
              <w:t>1293</w:t>
            </w:r>
          </w:p>
        </w:tc>
        <w:tc>
          <w:tcPr>
            <w:tcW w:w="1430" w:type="dxa"/>
            <w:tcMar>
              <w:top w:w="15" w:type="dxa"/>
              <w:left w:w="15" w:type="dxa"/>
              <w:right w:w="15" w:type="dxa"/>
            </w:tcMar>
            <w:vAlign w:val="center"/>
          </w:tcPr>
          <w:p w14:paraId="29B635BE">
            <w:pPr>
              <w:pStyle w:val="59"/>
              <w:rPr>
                <w:color w:val="auto"/>
              </w:rPr>
            </w:pPr>
            <w:r>
              <w:rPr>
                <w:color w:val="auto"/>
              </w:rPr>
              <w:t>4900</w:t>
            </w:r>
          </w:p>
        </w:tc>
        <w:tc>
          <w:tcPr>
            <w:tcW w:w="1489" w:type="dxa"/>
            <w:tcMar>
              <w:top w:w="15" w:type="dxa"/>
              <w:left w:w="15" w:type="dxa"/>
              <w:right w:w="15" w:type="dxa"/>
            </w:tcMar>
            <w:vAlign w:val="center"/>
          </w:tcPr>
          <w:p w14:paraId="39C161EC">
            <w:pPr>
              <w:pStyle w:val="59"/>
              <w:rPr>
                <w:color w:val="auto"/>
              </w:rPr>
            </w:pPr>
            <w:r>
              <w:rPr>
                <w:color w:val="auto"/>
              </w:rPr>
              <w:t>12900</w:t>
            </w:r>
          </w:p>
        </w:tc>
      </w:tr>
      <w:tr w14:paraId="72847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7A189D3">
            <w:pPr>
              <w:pStyle w:val="59"/>
              <w:rPr>
                <w:color w:val="auto"/>
              </w:rPr>
            </w:pPr>
            <w:r>
              <w:rPr>
                <w:color w:val="auto"/>
              </w:rPr>
              <w:t>43</w:t>
            </w:r>
          </w:p>
        </w:tc>
        <w:tc>
          <w:tcPr>
            <w:tcW w:w="1882" w:type="dxa"/>
            <w:tcMar>
              <w:top w:w="15" w:type="dxa"/>
              <w:left w:w="15" w:type="dxa"/>
              <w:right w:w="15" w:type="dxa"/>
            </w:tcMar>
            <w:vAlign w:val="center"/>
          </w:tcPr>
          <w:p w14:paraId="6137A5E5">
            <w:pPr>
              <w:pStyle w:val="59"/>
              <w:rPr>
                <w:color w:val="auto"/>
              </w:rPr>
            </w:pPr>
            <w:r>
              <w:rPr>
                <w:color w:val="auto"/>
              </w:rPr>
              <w:t>二苯并[a</w:t>
            </w:r>
            <w:r>
              <w:rPr>
                <w:rFonts w:hint="eastAsia"/>
                <w:color w:val="auto"/>
              </w:rPr>
              <w:t>，</w:t>
            </w:r>
            <w:r>
              <w:rPr>
                <w:color w:val="auto"/>
              </w:rPr>
              <w:t>h]蒽</w:t>
            </w:r>
          </w:p>
        </w:tc>
        <w:tc>
          <w:tcPr>
            <w:tcW w:w="1430" w:type="dxa"/>
            <w:tcMar>
              <w:top w:w="15" w:type="dxa"/>
              <w:left w:w="15" w:type="dxa"/>
              <w:right w:w="15" w:type="dxa"/>
            </w:tcMar>
            <w:vAlign w:val="center"/>
          </w:tcPr>
          <w:p w14:paraId="7B192C29">
            <w:pPr>
              <w:pStyle w:val="59"/>
              <w:rPr>
                <w:color w:val="auto"/>
              </w:rPr>
            </w:pPr>
            <w:r>
              <w:rPr>
                <w:color w:val="auto"/>
              </w:rPr>
              <w:t>0.55</w:t>
            </w:r>
          </w:p>
        </w:tc>
        <w:tc>
          <w:tcPr>
            <w:tcW w:w="1485" w:type="dxa"/>
            <w:tcMar>
              <w:top w:w="15" w:type="dxa"/>
              <w:left w:w="15" w:type="dxa"/>
              <w:right w:w="15" w:type="dxa"/>
            </w:tcMar>
            <w:vAlign w:val="center"/>
          </w:tcPr>
          <w:p w14:paraId="1E536386">
            <w:pPr>
              <w:pStyle w:val="59"/>
              <w:rPr>
                <w:color w:val="auto"/>
              </w:rPr>
            </w:pPr>
            <w:r>
              <w:rPr>
                <w:color w:val="auto"/>
              </w:rPr>
              <w:t>1.5</w:t>
            </w:r>
          </w:p>
        </w:tc>
        <w:tc>
          <w:tcPr>
            <w:tcW w:w="1430" w:type="dxa"/>
            <w:tcMar>
              <w:top w:w="15" w:type="dxa"/>
              <w:left w:w="15" w:type="dxa"/>
              <w:right w:w="15" w:type="dxa"/>
            </w:tcMar>
            <w:vAlign w:val="center"/>
          </w:tcPr>
          <w:p w14:paraId="1B1182DB">
            <w:pPr>
              <w:pStyle w:val="59"/>
              <w:rPr>
                <w:color w:val="auto"/>
              </w:rPr>
            </w:pPr>
            <w:r>
              <w:rPr>
                <w:color w:val="auto"/>
              </w:rPr>
              <w:t>5.5</w:t>
            </w:r>
          </w:p>
        </w:tc>
        <w:tc>
          <w:tcPr>
            <w:tcW w:w="1489" w:type="dxa"/>
            <w:tcMar>
              <w:top w:w="15" w:type="dxa"/>
              <w:left w:w="15" w:type="dxa"/>
              <w:right w:w="15" w:type="dxa"/>
            </w:tcMar>
            <w:vAlign w:val="center"/>
          </w:tcPr>
          <w:p w14:paraId="590CF47D">
            <w:pPr>
              <w:pStyle w:val="59"/>
              <w:rPr>
                <w:color w:val="auto"/>
              </w:rPr>
            </w:pPr>
            <w:r>
              <w:rPr>
                <w:color w:val="auto"/>
              </w:rPr>
              <w:t>15</w:t>
            </w:r>
          </w:p>
        </w:tc>
      </w:tr>
      <w:tr w14:paraId="671C1C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55631EEA">
            <w:pPr>
              <w:pStyle w:val="59"/>
              <w:rPr>
                <w:color w:val="auto"/>
              </w:rPr>
            </w:pPr>
            <w:r>
              <w:rPr>
                <w:color w:val="auto"/>
              </w:rPr>
              <w:t>44</w:t>
            </w:r>
          </w:p>
        </w:tc>
        <w:tc>
          <w:tcPr>
            <w:tcW w:w="1882" w:type="dxa"/>
            <w:tcMar>
              <w:top w:w="15" w:type="dxa"/>
              <w:left w:w="15" w:type="dxa"/>
              <w:right w:w="15" w:type="dxa"/>
            </w:tcMar>
            <w:vAlign w:val="center"/>
          </w:tcPr>
          <w:p w14:paraId="733E4436">
            <w:pPr>
              <w:pStyle w:val="59"/>
              <w:rPr>
                <w:color w:val="auto"/>
              </w:rPr>
            </w:pPr>
            <w:r>
              <w:rPr>
                <w:color w:val="auto"/>
              </w:rPr>
              <w:t>茚并[1</w:t>
            </w:r>
            <w:r>
              <w:rPr>
                <w:rFonts w:hint="eastAsia"/>
                <w:color w:val="auto"/>
              </w:rPr>
              <w:t>，</w:t>
            </w:r>
            <w:r>
              <w:rPr>
                <w:color w:val="auto"/>
              </w:rPr>
              <w:t>2</w:t>
            </w:r>
            <w:r>
              <w:rPr>
                <w:rFonts w:hint="eastAsia"/>
                <w:color w:val="auto"/>
              </w:rPr>
              <w:t>，</w:t>
            </w:r>
            <w:r>
              <w:rPr>
                <w:color w:val="auto"/>
              </w:rPr>
              <w:t>3-cd]芘</w:t>
            </w:r>
          </w:p>
        </w:tc>
        <w:tc>
          <w:tcPr>
            <w:tcW w:w="1430" w:type="dxa"/>
            <w:tcMar>
              <w:top w:w="15" w:type="dxa"/>
              <w:left w:w="15" w:type="dxa"/>
              <w:right w:w="15" w:type="dxa"/>
            </w:tcMar>
            <w:vAlign w:val="center"/>
          </w:tcPr>
          <w:p w14:paraId="1E026825">
            <w:pPr>
              <w:pStyle w:val="59"/>
              <w:rPr>
                <w:color w:val="auto"/>
              </w:rPr>
            </w:pPr>
            <w:r>
              <w:rPr>
                <w:color w:val="auto"/>
              </w:rPr>
              <w:t>5.5</w:t>
            </w:r>
          </w:p>
        </w:tc>
        <w:tc>
          <w:tcPr>
            <w:tcW w:w="1485" w:type="dxa"/>
            <w:tcMar>
              <w:top w:w="15" w:type="dxa"/>
              <w:left w:w="15" w:type="dxa"/>
              <w:right w:w="15" w:type="dxa"/>
            </w:tcMar>
            <w:vAlign w:val="center"/>
          </w:tcPr>
          <w:p w14:paraId="224D1D95">
            <w:pPr>
              <w:pStyle w:val="59"/>
              <w:rPr>
                <w:color w:val="auto"/>
              </w:rPr>
            </w:pPr>
            <w:r>
              <w:rPr>
                <w:color w:val="auto"/>
              </w:rPr>
              <w:t>15</w:t>
            </w:r>
          </w:p>
        </w:tc>
        <w:tc>
          <w:tcPr>
            <w:tcW w:w="1430" w:type="dxa"/>
            <w:tcMar>
              <w:top w:w="15" w:type="dxa"/>
              <w:left w:w="15" w:type="dxa"/>
              <w:right w:w="15" w:type="dxa"/>
            </w:tcMar>
            <w:vAlign w:val="center"/>
          </w:tcPr>
          <w:p w14:paraId="0684FD9C">
            <w:pPr>
              <w:pStyle w:val="59"/>
              <w:rPr>
                <w:color w:val="auto"/>
              </w:rPr>
            </w:pPr>
            <w:r>
              <w:rPr>
                <w:color w:val="auto"/>
              </w:rPr>
              <w:t>55</w:t>
            </w:r>
          </w:p>
        </w:tc>
        <w:tc>
          <w:tcPr>
            <w:tcW w:w="1489" w:type="dxa"/>
            <w:tcMar>
              <w:top w:w="15" w:type="dxa"/>
              <w:left w:w="15" w:type="dxa"/>
              <w:right w:w="15" w:type="dxa"/>
            </w:tcMar>
            <w:vAlign w:val="center"/>
          </w:tcPr>
          <w:p w14:paraId="4E01578B">
            <w:pPr>
              <w:pStyle w:val="59"/>
              <w:rPr>
                <w:color w:val="auto"/>
              </w:rPr>
            </w:pPr>
            <w:r>
              <w:rPr>
                <w:color w:val="auto"/>
              </w:rPr>
              <w:t>151</w:t>
            </w:r>
          </w:p>
        </w:tc>
      </w:tr>
      <w:tr w14:paraId="3DF340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7825F14D">
            <w:pPr>
              <w:pStyle w:val="59"/>
              <w:rPr>
                <w:color w:val="auto"/>
              </w:rPr>
            </w:pPr>
            <w:r>
              <w:rPr>
                <w:color w:val="auto"/>
              </w:rPr>
              <w:t>45</w:t>
            </w:r>
          </w:p>
        </w:tc>
        <w:tc>
          <w:tcPr>
            <w:tcW w:w="1882" w:type="dxa"/>
            <w:tcMar>
              <w:top w:w="15" w:type="dxa"/>
              <w:left w:w="15" w:type="dxa"/>
              <w:right w:w="15" w:type="dxa"/>
            </w:tcMar>
            <w:vAlign w:val="center"/>
          </w:tcPr>
          <w:p w14:paraId="119027BE">
            <w:pPr>
              <w:pStyle w:val="59"/>
              <w:rPr>
                <w:color w:val="auto"/>
              </w:rPr>
            </w:pPr>
            <w:r>
              <w:rPr>
                <w:color w:val="auto"/>
              </w:rPr>
              <w:t>萘</w:t>
            </w:r>
          </w:p>
        </w:tc>
        <w:tc>
          <w:tcPr>
            <w:tcW w:w="1430" w:type="dxa"/>
            <w:tcMar>
              <w:top w:w="15" w:type="dxa"/>
              <w:left w:w="15" w:type="dxa"/>
              <w:right w:w="15" w:type="dxa"/>
            </w:tcMar>
            <w:vAlign w:val="center"/>
          </w:tcPr>
          <w:p w14:paraId="64494E15">
            <w:pPr>
              <w:pStyle w:val="59"/>
              <w:rPr>
                <w:color w:val="auto"/>
              </w:rPr>
            </w:pPr>
            <w:r>
              <w:rPr>
                <w:color w:val="auto"/>
              </w:rPr>
              <w:t>25</w:t>
            </w:r>
          </w:p>
        </w:tc>
        <w:tc>
          <w:tcPr>
            <w:tcW w:w="1485" w:type="dxa"/>
            <w:tcMar>
              <w:top w:w="15" w:type="dxa"/>
              <w:left w:w="15" w:type="dxa"/>
              <w:right w:w="15" w:type="dxa"/>
            </w:tcMar>
            <w:vAlign w:val="center"/>
          </w:tcPr>
          <w:p w14:paraId="1F99A9B8">
            <w:pPr>
              <w:pStyle w:val="59"/>
              <w:rPr>
                <w:color w:val="auto"/>
              </w:rPr>
            </w:pPr>
            <w:r>
              <w:rPr>
                <w:color w:val="auto"/>
              </w:rPr>
              <w:t>70</w:t>
            </w:r>
          </w:p>
        </w:tc>
        <w:tc>
          <w:tcPr>
            <w:tcW w:w="1430" w:type="dxa"/>
            <w:tcMar>
              <w:top w:w="15" w:type="dxa"/>
              <w:left w:w="15" w:type="dxa"/>
              <w:right w:w="15" w:type="dxa"/>
            </w:tcMar>
            <w:vAlign w:val="center"/>
          </w:tcPr>
          <w:p w14:paraId="643CA84E">
            <w:pPr>
              <w:pStyle w:val="59"/>
              <w:rPr>
                <w:color w:val="auto"/>
              </w:rPr>
            </w:pPr>
            <w:r>
              <w:rPr>
                <w:color w:val="auto"/>
              </w:rPr>
              <w:t>255</w:t>
            </w:r>
          </w:p>
        </w:tc>
        <w:tc>
          <w:tcPr>
            <w:tcW w:w="1489" w:type="dxa"/>
            <w:tcMar>
              <w:top w:w="15" w:type="dxa"/>
              <w:left w:w="15" w:type="dxa"/>
              <w:right w:w="15" w:type="dxa"/>
            </w:tcMar>
            <w:vAlign w:val="center"/>
          </w:tcPr>
          <w:p w14:paraId="73AF808C">
            <w:pPr>
              <w:pStyle w:val="59"/>
              <w:rPr>
                <w:color w:val="auto"/>
              </w:rPr>
            </w:pPr>
            <w:r>
              <w:rPr>
                <w:color w:val="auto"/>
              </w:rPr>
              <w:t>700</w:t>
            </w:r>
          </w:p>
        </w:tc>
      </w:tr>
      <w:tr w14:paraId="470828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25" w:type="dxa"/>
            <w:tcMar>
              <w:top w:w="15" w:type="dxa"/>
              <w:left w:w="15" w:type="dxa"/>
              <w:right w:w="15" w:type="dxa"/>
            </w:tcMar>
            <w:vAlign w:val="center"/>
          </w:tcPr>
          <w:p w14:paraId="1B047234">
            <w:pPr>
              <w:pStyle w:val="59"/>
              <w:rPr>
                <w:color w:val="auto"/>
              </w:rPr>
            </w:pPr>
            <w:r>
              <w:rPr>
                <w:rFonts w:hint="eastAsia"/>
                <w:color w:val="auto"/>
              </w:rPr>
              <w:t>46</w:t>
            </w:r>
          </w:p>
        </w:tc>
        <w:tc>
          <w:tcPr>
            <w:tcW w:w="1882" w:type="dxa"/>
            <w:tcMar>
              <w:top w:w="15" w:type="dxa"/>
              <w:left w:w="15" w:type="dxa"/>
              <w:right w:w="15" w:type="dxa"/>
            </w:tcMar>
            <w:vAlign w:val="center"/>
          </w:tcPr>
          <w:p w14:paraId="5D40CBC1">
            <w:pPr>
              <w:pStyle w:val="59"/>
              <w:rPr>
                <w:color w:val="auto"/>
              </w:rPr>
            </w:pPr>
            <w:r>
              <w:rPr>
                <w:rFonts w:hint="eastAsia"/>
                <w:color w:val="auto"/>
              </w:rPr>
              <w:t>石油烃</w:t>
            </w:r>
          </w:p>
        </w:tc>
        <w:tc>
          <w:tcPr>
            <w:tcW w:w="1430" w:type="dxa"/>
            <w:tcMar>
              <w:top w:w="15" w:type="dxa"/>
              <w:left w:w="15" w:type="dxa"/>
              <w:right w:w="15" w:type="dxa"/>
            </w:tcMar>
            <w:vAlign w:val="center"/>
          </w:tcPr>
          <w:p w14:paraId="7F051902">
            <w:pPr>
              <w:pStyle w:val="59"/>
              <w:rPr>
                <w:color w:val="auto"/>
              </w:rPr>
            </w:pPr>
            <w:r>
              <w:rPr>
                <w:rFonts w:hint="eastAsia"/>
                <w:color w:val="auto"/>
              </w:rPr>
              <w:t>826</w:t>
            </w:r>
          </w:p>
        </w:tc>
        <w:tc>
          <w:tcPr>
            <w:tcW w:w="1485" w:type="dxa"/>
            <w:tcMar>
              <w:top w:w="15" w:type="dxa"/>
              <w:left w:w="15" w:type="dxa"/>
              <w:right w:w="15" w:type="dxa"/>
            </w:tcMar>
            <w:vAlign w:val="center"/>
          </w:tcPr>
          <w:p w14:paraId="23108562">
            <w:pPr>
              <w:pStyle w:val="59"/>
              <w:rPr>
                <w:color w:val="auto"/>
              </w:rPr>
            </w:pPr>
            <w:r>
              <w:rPr>
                <w:rFonts w:hint="eastAsia"/>
                <w:color w:val="auto"/>
              </w:rPr>
              <w:t>4500</w:t>
            </w:r>
          </w:p>
        </w:tc>
        <w:tc>
          <w:tcPr>
            <w:tcW w:w="1430" w:type="dxa"/>
            <w:tcMar>
              <w:top w:w="15" w:type="dxa"/>
              <w:left w:w="15" w:type="dxa"/>
              <w:right w:w="15" w:type="dxa"/>
            </w:tcMar>
            <w:vAlign w:val="center"/>
          </w:tcPr>
          <w:p w14:paraId="0C5F6130">
            <w:pPr>
              <w:pStyle w:val="59"/>
              <w:rPr>
                <w:color w:val="auto"/>
              </w:rPr>
            </w:pPr>
            <w:r>
              <w:rPr>
                <w:rFonts w:hint="eastAsia"/>
                <w:color w:val="auto"/>
              </w:rPr>
              <w:t>5000</w:t>
            </w:r>
          </w:p>
        </w:tc>
        <w:tc>
          <w:tcPr>
            <w:tcW w:w="1489" w:type="dxa"/>
            <w:tcMar>
              <w:top w:w="15" w:type="dxa"/>
              <w:left w:w="15" w:type="dxa"/>
              <w:right w:w="15" w:type="dxa"/>
            </w:tcMar>
            <w:vAlign w:val="center"/>
          </w:tcPr>
          <w:p w14:paraId="21935018">
            <w:pPr>
              <w:pStyle w:val="59"/>
              <w:rPr>
                <w:color w:val="auto"/>
              </w:rPr>
            </w:pPr>
            <w:r>
              <w:rPr>
                <w:rFonts w:hint="eastAsia"/>
                <w:color w:val="auto"/>
              </w:rPr>
              <w:t>9000</w:t>
            </w:r>
          </w:p>
        </w:tc>
      </w:tr>
    </w:tbl>
    <w:p w14:paraId="058EF24E">
      <w:pPr>
        <w:pStyle w:val="64"/>
        <w:numPr>
          <w:ilvl w:val="2"/>
          <w:numId w:val="8"/>
        </w:numPr>
        <w:spacing w:before="166" w:after="166"/>
        <w:ind w:left="709" w:leftChars="0" w:hanging="709" w:firstLineChars="0"/>
        <w:rPr>
          <w:color w:val="auto"/>
        </w:rPr>
      </w:pPr>
      <w:r>
        <w:rPr>
          <w:rFonts w:hint="eastAsia"/>
          <w:color w:val="auto"/>
        </w:rPr>
        <w:t>污染物排放标准</w:t>
      </w:r>
    </w:p>
    <w:p w14:paraId="5B7A7B2D">
      <w:pPr>
        <w:pStyle w:val="65"/>
        <w:bidi w:val="0"/>
      </w:pPr>
      <w:r>
        <w:rPr>
          <w:rFonts w:hint="eastAsia"/>
        </w:rPr>
        <w:t>（1）</w:t>
      </w:r>
      <w:r>
        <w:t>水污染物排放标准</w:t>
      </w:r>
    </w:p>
    <w:p w14:paraId="42FCC2AA">
      <w:pPr>
        <w:ind w:firstLine="480"/>
        <w:rPr>
          <w:rFonts w:hint="eastAsia" w:ascii="Times New Roman" w:hAnsi="Times New Roman" w:cs="Times New Roman"/>
        </w:rPr>
      </w:pPr>
      <w:r>
        <w:rPr>
          <w:rFonts w:hint="eastAsia" w:ascii="Times New Roman" w:hAnsi="Times New Roman" w:cs="Times New Roman"/>
        </w:rPr>
        <w:t>根据《关于鹤山市龙口三连预处理站1.0万m</w:t>
      </w:r>
      <w:r>
        <w:rPr>
          <w:rFonts w:hint="eastAsia" w:ascii="Times New Roman" w:hAnsi="Times New Roman" w:cs="Times New Roman"/>
          <w:vertAlign w:val="superscript"/>
        </w:rPr>
        <w:t>3</w:t>
      </w:r>
      <w:r>
        <w:rPr>
          <w:rFonts w:hint="eastAsia" w:ascii="Times New Roman" w:hAnsi="Times New Roman" w:cs="Times New Roman"/>
        </w:rPr>
        <w:t>/d新建项目环境影响报告书的批复》（江鹤环审〔2020〕3号）：“生产废水进水水质为各行业生产废水排放标准以及广东省《水污染物排放限值》（DB44/26 - 2001）第二时段三级标准两者较严者，生活污水进水水质为广东省《水污染物排放限值》（DB44/26 - 2001）第二时段三级标准”。生活污水经三级化粪池处理达到广东省地方标准《水污染物排放限值》（DB44/26-2001）第二时段三级标准经市政污水管网排放至鹤山市龙口三连预处理站预处理后，再通过泵站提升至鹤山市第二污水处理厂深度处理，尾水排</w:t>
      </w:r>
      <w:bookmarkStart w:id="36" w:name="_Hlk101792845"/>
      <w:r>
        <w:rPr>
          <w:rFonts w:hint="eastAsia" w:ascii="Times New Roman" w:hAnsi="Times New Roman" w:cs="Times New Roman"/>
        </w:rPr>
        <w:t>放至</w:t>
      </w:r>
      <w:bookmarkEnd w:id="36"/>
      <w:r>
        <w:rPr>
          <w:rFonts w:hint="eastAsia" w:ascii="Times New Roman" w:hAnsi="Times New Roman" w:cs="Times New Roman"/>
        </w:rPr>
        <w:t>沙坪河。</w:t>
      </w:r>
    </w:p>
    <w:p w14:paraId="1D50661A">
      <w:pPr>
        <w:numPr>
          <w:ilvl w:val="0"/>
          <w:numId w:val="17"/>
        </w:numPr>
        <w:ind w:left="0" w:leftChars="0" w:firstLine="0" w:firstLineChars="0"/>
        <w:jc w:val="center"/>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生活污水排放标准</w:t>
      </w:r>
    </w:p>
    <w:tbl>
      <w:tblPr>
        <w:tblStyle w:val="38"/>
        <w:tblW w:w="0" w:type="auto"/>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564"/>
        <w:gridCol w:w="1070"/>
        <w:gridCol w:w="1070"/>
        <w:gridCol w:w="1070"/>
        <w:gridCol w:w="1070"/>
        <w:gridCol w:w="1070"/>
        <w:gridCol w:w="1070"/>
        <w:gridCol w:w="1073"/>
      </w:tblGrid>
      <w:tr w14:paraId="5ACD7CC9">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564" w:type="dxa"/>
            <w:tcBorders>
              <w:top w:val="single" w:color="auto" w:sz="12" w:space="0"/>
              <w:left w:val="nil"/>
              <w:bottom w:val="single" w:color="auto" w:sz="4" w:space="0"/>
              <w:right w:val="single" w:color="auto" w:sz="4" w:space="0"/>
            </w:tcBorders>
            <w:noWrap w:val="0"/>
            <w:vAlign w:val="center"/>
          </w:tcPr>
          <w:p w14:paraId="148931CC">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项目</w:t>
            </w:r>
          </w:p>
        </w:tc>
        <w:tc>
          <w:tcPr>
            <w:tcW w:w="1070" w:type="dxa"/>
            <w:tcBorders>
              <w:top w:val="single" w:color="auto" w:sz="12" w:space="0"/>
              <w:left w:val="nil"/>
              <w:bottom w:val="single" w:color="auto" w:sz="4" w:space="0"/>
              <w:right w:val="single" w:color="auto" w:sz="4" w:space="0"/>
            </w:tcBorders>
            <w:noWrap w:val="0"/>
            <w:vAlign w:val="center"/>
          </w:tcPr>
          <w:p w14:paraId="187E162E">
            <w:pPr>
              <w:pStyle w:val="34"/>
              <w:spacing w:before="0" w:beforeAutospacing="0" w:after="0" w:afterAutospacing="0" w:line="240" w:lineRule="auto"/>
              <w:ind w:firstLine="0" w:firstLineChars="0"/>
              <w:jc w:val="center"/>
              <w:rPr>
                <w:rFonts w:ascii="Times New Roman" w:hAnsi="Times New Roman" w:cs="Times New Roman"/>
                <w:sz w:val="21"/>
                <w:szCs w:val="21"/>
                <w:lang w:bidi="ar"/>
              </w:rPr>
            </w:pPr>
            <w:r>
              <w:rPr>
                <w:rFonts w:ascii="Times New Roman" w:hAnsi="Times New Roman" w:cs="Times New Roman"/>
                <w:sz w:val="21"/>
                <w:szCs w:val="21"/>
                <w:lang w:bidi="ar"/>
              </w:rPr>
              <w:t>pH</w:t>
            </w:r>
          </w:p>
          <w:p w14:paraId="131FF17F">
            <w:pPr>
              <w:pStyle w:val="34"/>
              <w:spacing w:before="0" w:beforeAutospacing="0" w:after="0" w:afterAutospacing="0" w:line="240" w:lineRule="auto"/>
              <w:ind w:firstLine="0" w:firstLineChars="0"/>
              <w:jc w:val="center"/>
              <w:rPr>
                <w:rFonts w:hint="eastAsia" w:ascii="Times New Roman" w:hAnsi="Times New Roman" w:cs="Times New Roman"/>
                <w:sz w:val="21"/>
                <w:szCs w:val="21"/>
              </w:rPr>
            </w:pPr>
            <w:r>
              <w:rPr>
                <w:rFonts w:hint="eastAsia" w:ascii="Times New Roman" w:hAnsi="Times New Roman" w:cs="Times New Roman"/>
                <w:sz w:val="21"/>
                <w:szCs w:val="21"/>
                <w:lang w:bidi="ar"/>
              </w:rPr>
              <w:t>（无量纲）</w:t>
            </w:r>
          </w:p>
        </w:tc>
        <w:tc>
          <w:tcPr>
            <w:tcW w:w="1070" w:type="dxa"/>
            <w:tcBorders>
              <w:top w:val="single" w:color="auto" w:sz="12" w:space="0"/>
              <w:left w:val="nil"/>
              <w:bottom w:val="single" w:color="auto" w:sz="4" w:space="0"/>
              <w:right w:val="single" w:color="auto" w:sz="4" w:space="0"/>
            </w:tcBorders>
            <w:noWrap w:val="0"/>
            <w:vAlign w:val="center"/>
          </w:tcPr>
          <w:p w14:paraId="18487939">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CODcr</w:t>
            </w:r>
          </w:p>
        </w:tc>
        <w:tc>
          <w:tcPr>
            <w:tcW w:w="1070" w:type="dxa"/>
            <w:tcBorders>
              <w:top w:val="single" w:color="auto" w:sz="12" w:space="0"/>
              <w:left w:val="nil"/>
              <w:bottom w:val="single" w:color="auto" w:sz="4" w:space="0"/>
              <w:right w:val="single" w:color="auto" w:sz="4" w:space="0"/>
            </w:tcBorders>
            <w:noWrap w:val="0"/>
            <w:vAlign w:val="center"/>
          </w:tcPr>
          <w:p w14:paraId="6F6B1D76">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BOD</w:t>
            </w:r>
            <w:r>
              <w:rPr>
                <w:rFonts w:ascii="Times New Roman" w:hAnsi="Times New Roman" w:cs="Times New Roman"/>
                <w:sz w:val="21"/>
                <w:szCs w:val="21"/>
                <w:vertAlign w:val="subscript"/>
                <w:lang w:bidi="ar"/>
              </w:rPr>
              <w:t>5</w:t>
            </w:r>
          </w:p>
        </w:tc>
        <w:tc>
          <w:tcPr>
            <w:tcW w:w="1070" w:type="dxa"/>
            <w:tcBorders>
              <w:top w:val="single" w:color="auto" w:sz="12" w:space="0"/>
              <w:left w:val="nil"/>
              <w:bottom w:val="single" w:color="auto" w:sz="4" w:space="0"/>
              <w:right w:val="single" w:color="auto" w:sz="4" w:space="0"/>
            </w:tcBorders>
            <w:noWrap w:val="0"/>
            <w:vAlign w:val="center"/>
          </w:tcPr>
          <w:p w14:paraId="0193A79F">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氨氮</w:t>
            </w:r>
          </w:p>
        </w:tc>
        <w:tc>
          <w:tcPr>
            <w:tcW w:w="1070" w:type="dxa"/>
            <w:tcBorders>
              <w:top w:val="single" w:color="auto" w:sz="12" w:space="0"/>
              <w:left w:val="nil"/>
              <w:bottom w:val="single" w:color="auto" w:sz="4" w:space="0"/>
              <w:right w:val="single" w:color="auto" w:sz="4" w:space="0"/>
            </w:tcBorders>
            <w:noWrap w:val="0"/>
            <w:vAlign w:val="center"/>
          </w:tcPr>
          <w:p w14:paraId="3908E337">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hint="eastAsia" w:ascii="Times New Roman" w:hAnsi="Times New Roman" w:cs="Times New Roman"/>
                <w:sz w:val="21"/>
                <w:szCs w:val="21"/>
                <w:lang w:bidi="ar"/>
              </w:rPr>
              <w:t>动植物油</w:t>
            </w:r>
          </w:p>
        </w:tc>
        <w:tc>
          <w:tcPr>
            <w:tcW w:w="1070" w:type="dxa"/>
            <w:tcBorders>
              <w:top w:val="single" w:color="auto" w:sz="12" w:space="0"/>
              <w:left w:val="single" w:color="auto" w:sz="4" w:space="0"/>
              <w:bottom w:val="single" w:color="auto" w:sz="4" w:space="0"/>
              <w:right w:val="single" w:color="auto" w:sz="4" w:space="0"/>
            </w:tcBorders>
            <w:noWrap w:val="0"/>
            <w:vAlign w:val="center"/>
          </w:tcPr>
          <w:p w14:paraId="03A03ABC">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SS</w:t>
            </w:r>
          </w:p>
        </w:tc>
        <w:tc>
          <w:tcPr>
            <w:tcW w:w="1073" w:type="dxa"/>
            <w:tcBorders>
              <w:top w:val="single" w:color="auto" w:sz="12" w:space="0"/>
              <w:left w:val="single" w:color="auto" w:sz="4" w:space="0"/>
              <w:bottom w:val="single" w:color="auto" w:sz="4" w:space="0"/>
              <w:right w:val="nil"/>
            </w:tcBorders>
            <w:noWrap w:val="0"/>
            <w:vAlign w:val="center"/>
          </w:tcPr>
          <w:p w14:paraId="3603D711">
            <w:pPr>
              <w:pStyle w:val="34"/>
              <w:spacing w:before="0" w:beforeAutospacing="0" w:after="0" w:afterAutospacing="0" w:line="240" w:lineRule="auto"/>
              <w:ind w:firstLine="0" w:firstLineChars="0"/>
              <w:jc w:val="center"/>
              <w:rPr>
                <w:rFonts w:ascii="Times New Roman" w:hAnsi="Times New Roman" w:cs="Times New Roman"/>
                <w:sz w:val="21"/>
                <w:szCs w:val="21"/>
                <w:lang w:bidi="ar"/>
              </w:rPr>
            </w:pPr>
            <w:r>
              <w:rPr>
                <w:rFonts w:hint="eastAsia" w:ascii="Times New Roman" w:hAnsi="Times New Roman" w:cs="Times New Roman"/>
                <w:sz w:val="21"/>
                <w:szCs w:val="21"/>
                <w:lang w:bidi="ar"/>
              </w:rPr>
              <w:t>TN</w:t>
            </w:r>
          </w:p>
        </w:tc>
      </w:tr>
      <w:tr w14:paraId="0AF123A6">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564" w:type="dxa"/>
            <w:tcBorders>
              <w:top w:val="single" w:color="auto" w:sz="4" w:space="0"/>
              <w:left w:val="nil"/>
              <w:bottom w:val="single" w:color="auto" w:sz="12" w:space="0"/>
              <w:right w:val="single" w:color="auto" w:sz="4" w:space="0"/>
            </w:tcBorders>
            <w:noWrap w:val="0"/>
            <w:vAlign w:val="center"/>
          </w:tcPr>
          <w:p w14:paraId="3C50BFD8">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hint="eastAsia" w:ascii="Times New Roman" w:hAnsi="Times New Roman" w:cs="Times New Roman"/>
                <w:sz w:val="21"/>
                <w:szCs w:val="21"/>
                <w:lang w:bidi="ar"/>
              </w:rPr>
              <w:t>三级标准</w:t>
            </w:r>
            <w:r>
              <w:rPr>
                <w:rFonts w:ascii="Times New Roman" w:hAnsi="Times New Roman" w:cs="Times New Roman"/>
                <w:sz w:val="21"/>
                <w:szCs w:val="21"/>
                <w:lang w:bidi="ar"/>
              </w:rPr>
              <w:t>限值(mg/L)</w:t>
            </w:r>
          </w:p>
        </w:tc>
        <w:tc>
          <w:tcPr>
            <w:tcW w:w="1070" w:type="dxa"/>
            <w:tcBorders>
              <w:top w:val="single" w:color="auto" w:sz="4" w:space="0"/>
              <w:left w:val="nil"/>
              <w:bottom w:val="single" w:color="auto" w:sz="12" w:space="0"/>
              <w:right w:val="single" w:color="auto" w:sz="4" w:space="0"/>
            </w:tcBorders>
            <w:noWrap w:val="0"/>
            <w:vAlign w:val="center"/>
          </w:tcPr>
          <w:p w14:paraId="2005064E">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6</w:t>
            </w:r>
            <w:r>
              <w:rPr>
                <w:rFonts w:hint="eastAsia" w:ascii="Times New Roman" w:hAnsi="Times New Roman" w:cs="Times New Roman"/>
                <w:sz w:val="21"/>
                <w:szCs w:val="21"/>
                <w:lang w:eastAsia="zh-CN" w:bidi="ar"/>
              </w:rPr>
              <w:t>~</w:t>
            </w:r>
            <w:r>
              <w:rPr>
                <w:rFonts w:ascii="Times New Roman" w:hAnsi="Times New Roman" w:cs="Times New Roman"/>
                <w:sz w:val="21"/>
                <w:szCs w:val="21"/>
                <w:lang w:bidi="ar"/>
              </w:rPr>
              <w:t>9</w:t>
            </w:r>
          </w:p>
        </w:tc>
        <w:tc>
          <w:tcPr>
            <w:tcW w:w="1070" w:type="dxa"/>
            <w:tcBorders>
              <w:top w:val="single" w:color="auto" w:sz="4" w:space="0"/>
              <w:left w:val="nil"/>
              <w:bottom w:val="single" w:color="auto" w:sz="12" w:space="0"/>
              <w:right w:val="single" w:color="auto" w:sz="4" w:space="0"/>
            </w:tcBorders>
            <w:noWrap w:val="0"/>
            <w:vAlign w:val="center"/>
          </w:tcPr>
          <w:p w14:paraId="280A355C">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w:t>
            </w:r>
            <w:r>
              <w:rPr>
                <w:rFonts w:hint="eastAsia" w:ascii="Times New Roman" w:hAnsi="Times New Roman" w:cs="Times New Roman"/>
                <w:sz w:val="21"/>
                <w:szCs w:val="21"/>
                <w:lang w:bidi="ar"/>
              </w:rPr>
              <w:t>500</w:t>
            </w:r>
          </w:p>
        </w:tc>
        <w:tc>
          <w:tcPr>
            <w:tcW w:w="1070" w:type="dxa"/>
            <w:tcBorders>
              <w:top w:val="single" w:color="auto" w:sz="4" w:space="0"/>
              <w:left w:val="nil"/>
              <w:bottom w:val="single" w:color="auto" w:sz="12" w:space="0"/>
              <w:right w:val="single" w:color="auto" w:sz="4" w:space="0"/>
            </w:tcBorders>
            <w:noWrap w:val="0"/>
            <w:vAlign w:val="center"/>
          </w:tcPr>
          <w:p w14:paraId="07744287">
            <w:pPr>
              <w:pStyle w:val="34"/>
              <w:spacing w:before="0" w:beforeAutospacing="0" w:after="0" w:afterAutospacing="0" w:line="240" w:lineRule="auto"/>
              <w:ind w:firstLine="0" w:firstLineChars="0"/>
              <w:jc w:val="center"/>
              <w:rPr>
                <w:rFonts w:ascii="Times New Roman" w:hAnsi="Times New Roman" w:cs="Times New Roman"/>
                <w:sz w:val="21"/>
                <w:szCs w:val="21"/>
              </w:rPr>
            </w:pPr>
            <w:r>
              <w:rPr>
                <w:rFonts w:ascii="Times New Roman" w:hAnsi="Times New Roman" w:cs="Times New Roman"/>
                <w:sz w:val="21"/>
                <w:szCs w:val="21"/>
                <w:lang w:bidi="ar"/>
              </w:rPr>
              <w:t>≤30</w:t>
            </w:r>
            <w:r>
              <w:rPr>
                <w:rFonts w:hint="eastAsia" w:ascii="Times New Roman" w:hAnsi="Times New Roman" w:cs="Times New Roman"/>
                <w:sz w:val="21"/>
                <w:szCs w:val="21"/>
                <w:lang w:bidi="ar"/>
              </w:rPr>
              <w:t>0</w:t>
            </w:r>
          </w:p>
        </w:tc>
        <w:tc>
          <w:tcPr>
            <w:tcW w:w="1070" w:type="dxa"/>
            <w:tcBorders>
              <w:top w:val="single" w:color="auto" w:sz="4" w:space="0"/>
              <w:left w:val="nil"/>
              <w:bottom w:val="single" w:color="auto" w:sz="12" w:space="0"/>
              <w:right w:val="single" w:color="auto" w:sz="4" w:space="0"/>
            </w:tcBorders>
            <w:noWrap w:val="0"/>
            <w:vAlign w:val="center"/>
          </w:tcPr>
          <w:p w14:paraId="0FF98C92">
            <w:pPr>
              <w:pStyle w:val="34"/>
              <w:spacing w:before="0" w:beforeAutospacing="0" w:after="0" w:afterAutospacing="0" w:line="240" w:lineRule="auto"/>
              <w:ind w:firstLine="0" w:firstLineChars="0"/>
              <w:jc w:val="center"/>
              <w:rPr>
                <w:rFonts w:hint="eastAsia" w:ascii="Times New Roman" w:hAnsi="Times New Roman" w:cs="Times New Roman"/>
                <w:sz w:val="21"/>
                <w:szCs w:val="21"/>
              </w:rPr>
            </w:pPr>
            <w:r>
              <w:rPr>
                <w:rFonts w:hint="eastAsia" w:ascii="Times New Roman" w:hAnsi="Times New Roman" w:cs="Times New Roman"/>
                <w:sz w:val="21"/>
                <w:szCs w:val="21"/>
                <w:lang w:bidi="ar"/>
              </w:rPr>
              <w:t>——</w:t>
            </w:r>
          </w:p>
        </w:tc>
        <w:tc>
          <w:tcPr>
            <w:tcW w:w="1070" w:type="dxa"/>
            <w:tcBorders>
              <w:top w:val="single" w:color="auto" w:sz="4" w:space="0"/>
              <w:left w:val="nil"/>
              <w:bottom w:val="single" w:color="auto" w:sz="12" w:space="0"/>
              <w:right w:val="single" w:color="auto" w:sz="4" w:space="0"/>
            </w:tcBorders>
            <w:noWrap w:val="0"/>
            <w:vAlign w:val="center"/>
          </w:tcPr>
          <w:p w14:paraId="6E667B2C">
            <w:pPr>
              <w:pStyle w:val="34"/>
              <w:spacing w:before="0" w:beforeAutospacing="0" w:after="0" w:afterAutospacing="0" w:line="240" w:lineRule="auto"/>
              <w:ind w:firstLine="0" w:firstLineChars="0"/>
              <w:jc w:val="center"/>
              <w:rPr>
                <w:rFonts w:hint="eastAsia" w:ascii="Times New Roman" w:hAnsi="Times New Roman" w:cs="Times New Roman"/>
                <w:sz w:val="21"/>
                <w:szCs w:val="21"/>
              </w:rPr>
            </w:pPr>
            <w:r>
              <w:rPr>
                <w:rFonts w:ascii="Times New Roman" w:hAnsi="Times New Roman" w:cs="Times New Roman"/>
                <w:sz w:val="21"/>
                <w:szCs w:val="21"/>
                <w:lang w:bidi="ar"/>
              </w:rPr>
              <w:t>≤</w:t>
            </w:r>
            <w:r>
              <w:rPr>
                <w:rFonts w:hint="eastAsia" w:ascii="Times New Roman" w:hAnsi="Times New Roman" w:cs="Times New Roman"/>
                <w:sz w:val="21"/>
                <w:szCs w:val="21"/>
                <w:lang w:bidi="ar"/>
              </w:rPr>
              <w:t>100</w:t>
            </w:r>
          </w:p>
        </w:tc>
        <w:tc>
          <w:tcPr>
            <w:tcW w:w="1070" w:type="dxa"/>
            <w:tcBorders>
              <w:top w:val="single" w:color="auto" w:sz="4" w:space="0"/>
              <w:left w:val="single" w:color="auto" w:sz="4" w:space="0"/>
              <w:bottom w:val="single" w:color="auto" w:sz="12" w:space="0"/>
              <w:right w:val="single" w:color="auto" w:sz="4" w:space="0"/>
            </w:tcBorders>
            <w:noWrap w:val="0"/>
            <w:vAlign w:val="center"/>
          </w:tcPr>
          <w:p w14:paraId="610BDE24">
            <w:pPr>
              <w:pStyle w:val="34"/>
              <w:spacing w:before="0" w:beforeAutospacing="0" w:after="0" w:afterAutospacing="0" w:line="240" w:lineRule="auto"/>
              <w:ind w:firstLine="0" w:firstLineChars="0"/>
              <w:jc w:val="center"/>
              <w:rPr>
                <w:rFonts w:hint="eastAsia" w:ascii="Times New Roman" w:hAnsi="Times New Roman" w:cs="Times New Roman"/>
                <w:sz w:val="21"/>
                <w:szCs w:val="21"/>
              </w:rPr>
            </w:pPr>
            <w:r>
              <w:rPr>
                <w:rFonts w:ascii="Times New Roman" w:hAnsi="Times New Roman" w:cs="Times New Roman"/>
                <w:sz w:val="21"/>
                <w:szCs w:val="21"/>
                <w:lang w:bidi="ar"/>
              </w:rPr>
              <w:t>≤</w:t>
            </w:r>
            <w:r>
              <w:rPr>
                <w:rFonts w:hint="eastAsia" w:ascii="Times New Roman" w:hAnsi="Times New Roman" w:cs="Times New Roman"/>
                <w:sz w:val="21"/>
                <w:szCs w:val="21"/>
                <w:lang w:bidi="ar"/>
              </w:rPr>
              <w:t>4</w:t>
            </w:r>
            <w:r>
              <w:rPr>
                <w:rFonts w:ascii="Times New Roman" w:hAnsi="Times New Roman" w:cs="Times New Roman"/>
                <w:sz w:val="21"/>
                <w:szCs w:val="21"/>
                <w:lang w:bidi="ar"/>
              </w:rPr>
              <w:t>00</w:t>
            </w:r>
          </w:p>
        </w:tc>
        <w:tc>
          <w:tcPr>
            <w:tcW w:w="1073" w:type="dxa"/>
            <w:tcBorders>
              <w:top w:val="single" w:color="auto" w:sz="4" w:space="0"/>
              <w:left w:val="single" w:color="auto" w:sz="4" w:space="0"/>
              <w:bottom w:val="single" w:color="auto" w:sz="12" w:space="0"/>
              <w:right w:val="nil"/>
            </w:tcBorders>
            <w:noWrap w:val="0"/>
            <w:vAlign w:val="center"/>
          </w:tcPr>
          <w:p w14:paraId="2562FC2E">
            <w:pPr>
              <w:pStyle w:val="34"/>
              <w:spacing w:before="0" w:beforeAutospacing="0" w:after="0" w:afterAutospacing="0" w:line="240" w:lineRule="auto"/>
              <w:ind w:firstLine="0" w:firstLineChars="0"/>
              <w:jc w:val="center"/>
              <w:rPr>
                <w:rFonts w:ascii="Times New Roman" w:hAnsi="Times New Roman" w:cs="Times New Roman"/>
                <w:sz w:val="21"/>
                <w:szCs w:val="21"/>
                <w:lang w:bidi="ar"/>
              </w:rPr>
            </w:pPr>
            <w:r>
              <w:rPr>
                <w:rFonts w:hint="eastAsia" w:ascii="Times New Roman" w:hAnsi="Times New Roman" w:cs="Times New Roman"/>
                <w:sz w:val="21"/>
                <w:szCs w:val="21"/>
                <w:lang w:bidi="ar"/>
              </w:rPr>
              <w:t>——</w:t>
            </w:r>
          </w:p>
        </w:tc>
      </w:tr>
    </w:tbl>
    <w:p w14:paraId="1F38D9AA">
      <w:pPr>
        <w:pStyle w:val="65"/>
        <w:bidi w:val="0"/>
        <w:rPr>
          <w:color w:val="auto"/>
          <w:lang w:val="zh-CN"/>
        </w:rPr>
      </w:pPr>
      <w:r>
        <w:rPr>
          <w:rFonts w:hint="eastAsia"/>
          <w:color w:val="auto"/>
          <w:lang w:val="zh-CN"/>
        </w:rPr>
        <w:t>（</w:t>
      </w:r>
      <w:r>
        <w:rPr>
          <w:rFonts w:hint="eastAsia"/>
          <w:color w:val="auto"/>
        </w:rPr>
        <w:t>2）</w:t>
      </w:r>
      <w:r>
        <w:rPr>
          <w:color w:val="auto"/>
          <w:lang w:val="zh-CN"/>
        </w:rPr>
        <w:t>大气污染物排放标准</w:t>
      </w:r>
    </w:p>
    <w:p w14:paraId="59C33281">
      <w:pPr>
        <w:bidi w:val="0"/>
      </w:pPr>
      <w:r>
        <w:rPr>
          <w:rFonts w:hint="eastAsia"/>
          <w:lang w:val="en-US" w:eastAsia="zh-CN"/>
        </w:rPr>
        <w:t>①</w:t>
      </w:r>
      <w:r>
        <w:rPr>
          <w:rFonts w:ascii="宋体" w:hAnsi="宋体" w:eastAsia="宋体" w:cs="宋体"/>
          <w:spacing w:val="-6"/>
          <w:sz w:val="25"/>
          <w:szCs w:val="25"/>
        </w:rPr>
        <w:t>调墨、印刷</w:t>
      </w:r>
      <w:r>
        <w:rPr>
          <w:rFonts w:hint="eastAsia" w:ascii="宋体" w:hAnsi="宋体" w:eastAsia="宋体" w:cs="宋体"/>
          <w:spacing w:val="-7"/>
          <w:sz w:val="25"/>
          <w:szCs w:val="25"/>
          <w:lang w:val="en-US" w:eastAsia="zh-CN"/>
        </w:rPr>
        <w:t>烘干</w:t>
      </w:r>
      <w:r>
        <w:rPr>
          <w:rFonts w:ascii="宋体" w:hAnsi="宋体" w:eastAsia="宋体" w:cs="宋体"/>
          <w:spacing w:val="-7"/>
          <w:sz w:val="25"/>
          <w:szCs w:val="25"/>
        </w:rPr>
        <w:t>、复合</w:t>
      </w:r>
      <w:r>
        <w:rPr>
          <w:rFonts w:hint="eastAsia" w:ascii="宋体" w:hAnsi="宋体" w:eastAsia="宋体" w:cs="宋体"/>
          <w:spacing w:val="-7"/>
          <w:sz w:val="25"/>
          <w:szCs w:val="25"/>
          <w:lang w:eastAsia="zh-CN"/>
        </w:rPr>
        <w:t>、</w:t>
      </w:r>
      <w:r>
        <w:rPr>
          <w:rFonts w:hint="eastAsia" w:ascii="宋体" w:hAnsi="宋体" w:eastAsia="宋体" w:cs="宋体"/>
          <w:spacing w:val="-7"/>
          <w:sz w:val="25"/>
          <w:szCs w:val="25"/>
          <w:lang w:val="en-US" w:eastAsia="zh-CN"/>
        </w:rPr>
        <w:t>洗机、危废贮存</w:t>
      </w:r>
      <w:r>
        <w:t>废气</w:t>
      </w:r>
      <w:r>
        <w:rPr>
          <w:rFonts w:hint="eastAsia"/>
          <w:lang w:eastAsia="zh-CN"/>
        </w:rPr>
        <w:t>（</w:t>
      </w:r>
      <w:r>
        <w:t>总VOCs</w:t>
      </w:r>
      <w:r>
        <w:rPr>
          <w:rFonts w:hint="eastAsia"/>
          <w:lang w:eastAsia="zh-CN"/>
        </w:rPr>
        <w:t>、</w:t>
      </w:r>
      <w:r>
        <w:t>NMHC、臭气浓度、颗粒物、SO</w:t>
      </w:r>
      <w:r>
        <w:rPr>
          <w:vertAlign w:val="subscript"/>
        </w:rPr>
        <w:t>2</w:t>
      </w:r>
      <w:r>
        <w:t>和NOx</w:t>
      </w:r>
    </w:p>
    <w:p w14:paraId="370258DA">
      <w:pPr>
        <w:bidi w:val="0"/>
      </w:pPr>
      <w:r>
        <w:t>由于《印刷工业大气污染物排放标准》（GB 41616-2022）表 1 有组织排放控制要求未对总VOCs做规定，总VOCs有组织排放执行广东省地方标准《印刷行业挥发性有机化合物排放标准》（DB44/815-2010）中表 2 排气筒 VOCs 排放限值中凹版印刷第Ⅱ时段标准；NMHC 有组织排放执行</w:t>
      </w:r>
      <w:r>
        <w:rPr>
          <w:rFonts w:hint="eastAsia" w:ascii="Times New Roman" w:hAnsi="Times New Roman" w:eastAsia="宋体" w:cs="Times New Roman"/>
          <w:color w:val="auto"/>
          <w:lang w:val="en-US" w:eastAsia="zh-CN"/>
        </w:rPr>
        <w:t>执行《印刷工业大气污染物排放标准》（GB 41616—2022）表 1 大气污染物排放限值</w:t>
      </w:r>
      <w:r>
        <w:t>；</w:t>
      </w:r>
      <w:r>
        <w:rPr>
          <w:rFonts w:ascii="宋体" w:hAnsi="宋体" w:eastAsia="宋体" w:cs="宋体"/>
          <w:spacing w:val="-1"/>
          <w:sz w:val="24"/>
          <w:szCs w:val="24"/>
        </w:rPr>
        <w:t>本项目不涉及</w:t>
      </w:r>
      <w:r>
        <w:rPr>
          <w:rFonts w:ascii="宋体" w:hAnsi="宋体" w:eastAsia="宋体" w:cs="宋体"/>
          <w:spacing w:val="-2"/>
          <w:sz w:val="24"/>
          <w:szCs w:val="24"/>
        </w:rPr>
        <w:t>纸毛收集系统、挤出复合工</w:t>
      </w:r>
      <w:r>
        <w:rPr>
          <w:rFonts w:ascii="宋体" w:hAnsi="宋体" w:eastAsia="宋体" w:cs="宋体"/>
          <w:spacing w:val="6"/>
          <w:sz w:val="24"/>
          <w:szCs w:val="24"/>
        </w:rPr>
        <w:t>序和热熔复合工序车间或生产设施排气筒，</w:t>
      </w:r>
      <w:r>
        <w:t>项目 RTO 助燃废气中颗粒物参照</w:t>
      </w:r>
      <w:r>
        <w:rPr>
          <w:rFonts w:hint="eastAsia" w:ascii="Times New Roman" w:hAnsi="Times New Roman" w:cs="Times New Roman"/>
          <w:lang w:val="en-US" w:eastAsia="zh-CN"/>
        </w:rPr>
        <w:t>执行广东省地方标准《</w:t>
      </w:r>
      <w:r>
        <w:rPr>
          <w:rFonts w:hint="default" w:ascii="Times New Roman" w:hAnsi="Times New Roman" w:cs="Times New Roman"/>
          <w:lang w:val="en-US" w:eastAsia="zh-CN"/>
        </w:rPr>
        <w:t>大气污染物排放限值》（DB44/27-2001）中第二时段二级标准</w:t>
      </w:r>
      <w:r>
        <w:rPr>
          <w:rFonts w:hint="eastAsia" w:ascii="Times New Roman" w:hAnsi="Times New Roman" w:cs="Times New Roman"/>
          <w:lang w:val="en-US" w:eastAsia="zh-CN"/>
        </w:rPr>
        <w:t>及</w:t>
      </w:r>
      <w:r>
        <w:rPr>
          <w:rFonts w:hint="eastAsia" w:ascii="Times New Roman" w:hAnsi="Times New Roman" w:cs="Times New Roman"/>
          <w:lang w:eastAsia="zh-CN"/>
        </w:rPr>
        <w:t>《江门市工业炉窑大气污染综合治理方案》（江环函〔2020〕22号）（</w:t>
      </w:r>
      <w:r>
        <w:rPr>
          <w:rFonts w:hint="eastAsia" w:ascii="Times New Roman" w:hAnsi="Times New Roman" w:cs="Times New Roman"/>
          <w:lang w:val="zh-TW"/>
        </w:rPr>
        <w:t>原则上按照颗粒物不高于30毫克/立方米实施改造</w:t>
      </w:r>
      <w:r>
        <w:rPr>
          <w:rFonts w:hint="eastAsia" w:ascii="Times New Roman" w:hAnsi="Times New Roman" w:cs="Times New Roman"/>
          <w:lang w:eastAsia="zh-CN"/>
        </w:rPr>
        <w:t>）</w:t>
      </w:r>
      <w:r>
        <w:rPr>
          <w:rFonts w:hint="eastAsia" w:ascii="Times New Roman" w:hAnsi="Times New Roman" w:cs="Times New Roman"/>
          <w:lang w:val="en-US" w:eastAsia="zh-CN"/>
        </w:rPr>
        <w:t>的较严者</w:t>
      </w:r>
      <w:r>
        <w:t>，SO</w:t>
      </w:r>
      <w:r>
        <w:rPr>
          <w:vertAlign w:val="subscript"/>
        </w:rPr>
        <w:t xml:space="preserve">2 </w:t>
      </w:r>
      <w:r>
        <w:t>、NOx执行《印刷工业大气污染物排放标准》 （GB 41616-2022）中表 2 有组织排放控制要求；臭气浓度执行《恶臭污染物排放标准》（GB 14554-93）中表 2 恶臭污染物排放标准值。</w:t>
      </w:r>
    </w:p>
    <w:p w14:paraId="2BACE348">
      <w:pPr>
        <w:bidi w:val="0"/>
      </w:pPr>
      <w:r>
        <w:t>根据《印刷工业大气污染物排放标准》(GB41616-2022)中4.4规定：①进入VOCs 燃烧(焚烧、氧化)装置的废气需要补充空气进行燃烧、氧化反应的，排气筒中实测大气污染物排放浓度，应按式(1)换算为基准含氧量为3%的大气污染物基准排放浓度。②进入VOCs燃烧(焚烧、氧化)装置中废气含氧量可满足自身燃烧、氧化反应需要，不需另外补充空气的(燃烧器需要补充空气助燃的除外),以实测质量浓度作为达标判定依据，但装置出口烟气含氧量不得高于装置进口废气含氧量。③吸附、吸收、冷凝、生物、膜分离等其他 VOCs 处理设施，以实测质量浓度作为达标判定依据，不得稀释排放。</w:t>
      </w:r>
    </w:p>
    <w:p w14:paraId="7D81FFED">
      <w:pPr>
        <w:bidi w:val="0"/>
      </w:pPr>
      <w:r>
        <w:t>根据</w:t>
      </w:r>
      <w:r>
        <w:rPr>
          <w:rFonts w:hint="eastAsia" w:ascii="Times New Roman" w:hAnsi="Times New Roman" w:eastAsia="宋体" w:cs="Times New Roman"/>
          <w:color w:val="auto"/>
          <w:lang w:val="en-US" w:eastAsia="zh-CN"/>
        </w:rPr>
        <w:t>广东省地方标准《印刷行业挥发性有机化合物排放标准》（DB44/815-2010）</w:t>
      </w:r>
      <w:r>
        <w:t>中4.6.1规定：“排气筒高度一般不应低于15m</w:t>
      </w:r>
      <w:r>
        <w:rPr>
          <w:rFonts w:hint="eastAsia"/>
          <w:lang w:eastAsia="zh-CN"/>
        </w:rPr>
        <w:t>，</w:t>
      </w:r>
      <w:r>
        <w:t>不能达到该要求的排气筒，其排放速率限值按表2所列对应排放速率限值的外推法计算结果的50%执行。外推法计算公式参见附录B。4.6.2 规定：“企业排气筒高度应高出周围200m半径范围的最高建筑5m以上，不能达到该要求的排气筒，应按表2所列对应排放速率限值的50%执行。”</w:t>
      </w:r>
    </w:p>
    <w:p w14:paraId="12B833A1">
      <w:pPr>
        <w:bidi w:val="0"/>
      </w:pPr>
      <w:r>
        <w:t>根据</w:t>
      </w:r>
      <w:r>
        <w:rPr>
          <w:rFonts w:hint="eastAsia" w:ascii="Times New Roman" w:hAnsi="Times New Roman" w:eastAsia="宋体" w:cs="Times New Roman"/>
          <w:color w:val="auto"/>
          <w:lang w:val="en-US" w:eastAsia="zh-CN"/>
        </w:rPr>
        <w:t>《印刷工业大气污染物排放标准》（GB 41616—2022）</w:t>
      </w:r>
      <w:r>
        <w:t>中4.5规定：“排气筒高度不低于15m(因安全考虑或者有特殊工艺要求的除外),具体高度以及与周围建筑物的相对高度关系应当根据环境影响评价文件确定。”</w:t>
      </w:r>
    </w:p>
    <w:p w14:paraId="41CC7462">
      <w:pPr>
        <w:bidi w:val="0"/>
        <w:rPr>
          <w:rFonts w:hint="default" w:eastAsia="宋体"/>
          <w:lang w:val="en-US" w:eastAsia="zh-CN"/>
        </w:rPr>
      </w:pPr>
      <w:r>
        <w:t>②</w:t>
      </w:r>
      <w:r>
        <w:rPr>
          <w:rFonts w:hint="eastAsia"/>
          <w:lang w:val="en-US" w:eastAsia="zh-CN"/>
        </w:rPr>
        <w:t>合掌、定型废气（TVOC、NMHC、</w:t>
      </w:r>
      <w:r>
        <w:rPr>
          <w:rFonts w:hint="eastAsia"/>
          <w:color w:val="auto"/>
        </w:rPr>
        <w:t>HCl、氯乙烯</w:t>
      </w:r>
      <w:r>
        <w:rPr>
          <w:rFonts w:hint="eastAsia"/>
          <w:color w:val="auto"/>
          <w:lang w:eastAsia="zh-CN"/>
        </w:rPr>
        <w:t>、</w:t>
      </w:r>
      <w:r>
        <w:rPr>
          <w:rFonts w:hint="eastAsia"/>
          <w:color w:val="auto"/>
          <w:lang w:val="en-US" w:eastAsia="zh-CN"/>
        </w:rPr>
        <w:t>苯、甲苯</w:t>
      </w:r>
      <w:r>
        <w:rPr>
          <w:rFonts w:hint="eastAsia"/>
          <w:lang w:val="en-US" w:eastAsia="zh-CN"/>
        </w:rPr>
        <w:t>）</w:t>
      </w:r>
    </w:p>
    <w:p w14:paraId="19D4DBF3">
      <w:pPr>
        <w:bidi w:val="0"/>
        <w:rPr>
          <w:rFonts w:hint="eastAsia"/>
          <w:color w:val="auto"/>
        </w:rPr>
      </w:pPr>
      <w:r>
        <w:rPr>
          <w:rFonts w:hint="eastAsia"/>
          <w:color w:val="auto"/>
        </w:rPr>
        <w:t>有组织排放的</w:t>
      </w:r>
      <w:r>
        <w:rPr>
          <w:rFonts w:hint="eastAsia"/>
          <w:lang w:val="en-US" w:eastAsia="zh-CN"/>
        </w:rPr>
        <w:t>TVOC、</w:t>
      </w:r>
      <w:r>
        <w:rPr>
          <w:rFonts w:hint="eastAsia"/>
          <w:color w:val="auto"/>
        </w:rPr>
        <w:t>NMHC执行广东省地方标准《固定污染源挥发性有机物综合排放标准》（</w:t>
      </w:r>
      <w:r>
        <w:rPr>
          <w:color w:val="auto"/>
        </w:rPr>
        <w:t>DB44/2367—2022</w:t>
      </w:r>
      <w:r>
        <w:rPr>
          <w:rFonts w:hint="eastAsia"/>
          <w:color w:val="auto"/>
        </w:rPr>
        <w:t>）</w:t>
      </w:r>
      <w:r>
        <w:rPr>
          <w:color w:val="auto"/>
        </w:rPr>
        <w:t xml:space="preserve">表 1 </w:t>
      </w:r>
      <w:r>
        <w:rPr>
          <w:rFonts w:hint="eastAsia"/>
          <w:color w:val="auto"/>
        </w:rPr>
        <w:t>挥发性有机物排放限值。HCl、氯乙烯</w:t>
      </w:r>
      <w:r>
        <w:rPr>
          <w:rFonts w:hint="eastAsia"/>
          <w:color w:val="auto"/>
          <w:lang w:eastAsia="zh-CN"/>
        </w:rPr>
        <w:t>、</w:t>
      </w:r>
      <w:r>
        <w:rPr>
          <w:rFonts w:hint="eastAsia"/>
          <w:color w:val="auto"/>
          <w:lang w:val="en-US" w:eastAsia="zh-CN"/>
        </w:rPr>
        <w:t>苯、甲苯</w:t>
      </w:r>
      <w:r>
        <w:rPr>
          <w:rFonts w:hint="eastAsia"/>
          <w:color w:val="auto"/>
        </w:rPr>
        <w:t>执行广东省地方标准《</w:t>
      </w:r>
      <w:r>
        <w:rPr>
          <w:color w:val="auto"/>
        </w:rPr>
        <w:t>大气污染物排放限值</w:t>
      </w:r>
      <w:r>
        <w:rPr>
          <w:rFonts w:hint="eastAsia"/>
          <w:color w:val="auto"/>
        </w:rPr>
        <w:t>》（DB44 27-2001）第二时段二级标准及第二时段无组织排放监控浓度限值。乙烯、一氯甲烷、二氯乙烯、二氯甲烷、四氯化碳、三氯甲烷、二氯乙烷、三氯乙烯、四氯乙烯未有相关排放标准，待发布后再实施。</w:t>
      </w:r>
    </w:p>
    <w:p w14:paraId="167A530A">
      <w:pPr>
        <w:bidi w:val="0"/>
      </w:pPr>
      <w:r>
        <w:t>排气筒DA001</w:t>
      </w:r>
      <w:r>
        <w:rPr>
          <w:rFonts w:hint="eastAsia"/>
          <w:lang w:eastAsia="zh-CN"/>
        </w:rPr>
        <w:t>、</w:t>
      </w:r>
      <w:r>
        <w:rPr>
          <w:rFonts w:hint="eastAsia"/>
          <w:lang w:val="en-US" w:eastAsia="zh-CN"/>
        </w:rPr>
        <w:t>DA002</w:t>
      </w:r>
      <w:r>
        <w:t>出口离地高度为</w:t>
      </w:r>
      <w:r>
        <w:rPr>
          <w:rFonts w:hint="eastAsia"/>
          <w:lang w:val="en-US" w:eastAsia="zh-CN"/>
        </w:rPr>
        <w:t>25m</w:t>
      </w:r>
      <w:r>
        <w:rPr>
          <w:rFonts w:hint="eastAsia"/>
          <w:lang w:eastAsia="zh-CN"/>
        </w:rPr>
        <w:t>，</w:t>
      </w:r>
      <w:r>
        <w:t>项目排气筒高度满足不低于15m</w:t>
      </w:r>
      <w:r>
        <w:rPr>
          <w:rFonts w:hint="eastAsia"/>
          <w:lang w:val="en-US" w:eastAsia="zh-CN"/>
        </w:rPr>
        <w:t>且</w:t>
      </w:r>
      <w:r>
        <w:t>高出周围的200m半径范围的建筑5m以上的要求，因此排气筒DA001</w:t>
      </w:r>
      <w:r>
        <w:rPr>
          <w:rFonts w:hint="eastAsia"/>
          <w:lang w:eastAsia="zh-CN"/>
        </w:rPr>
        <w:t>、</w:t>
      </w:r>
      <w:r>
        <w:rPr>
          <w:rFonts w:hint="eastAsia"/>
          <w:lang w:val="en-US" w:eastAsia="zh-CN"/>
        </w:rPr>
        <w:t>DA002</w:t>
      </w:r>
      <w:r>
        <w:t>的排放速率限值</w:t>
      </w:r>
      <w:r>
        <w:rPr>
          <w:rFonts w:hint="eastAsia"/>
          <w:lang w:val="en-US" w:eastAsia="zh-CN"/>
        </w:rPr>
        <w:t>不需</w:t>
      </w:r>
      <w:r>
        <w:t>按50%执行。</w:t>
      </w:r>
    </w:p>
    <w:p w14:paraId="5174C2C1">
      <w:pPr>
        <w:bidi w:val="0"/>
      </w:pPr>
      <w:r>
        <w:rPr>
          <w:rFonts w:hint="eastAsia"/>
          <w:lang w:val="en-US" w:eastAsia="zh-CN"/>
        </w:rPr>
        <w:t>③</w:t>
      </w:r>
      <w:r>
        <w:t>无组织废气</w:t>
      </w:r>
    </w:p>
    <w:p w14:paraId="5FE7FEF5">
      <w:pPr>
        <w:bidi w:val="0"/>
      </w:pPr>
      <w:r>
        <w:t>由于《印刷工业大气污染物排放标准》（GB 41616-2022）表 3 企业边界大气污染物浓度限值未对总VOCs做规定，厂界</w:t>
      </w:r>
      <w:r>
        <w:rPr>
          <w:rFonts w:hint="eastAsia"/>
          <w:lang w:val="en-US" w:eastAsia="zh-CN"/>
        </w:rPr>
        <w:t>总VOCs执行</w:t>
      </w:r>
      <w:r>
        <w:rPr>
          <w:rFonts w:hint="eastAsia"/>
          <w:lang w:eastAsia="zh-CN"/>
        </w:rPr>
        <w:t>广东省地方标准《印刷行业挥发性有机化合物排放标准》（DB44/815-2010）</w:t>
      </w:r>
      <w:r>
        <w:rPr>
          <w:rFonts w:hint="eastAsia"/>
          <w:lang w:val="en-US" w:eastAsia="zh-CN"/>
        </w:rPr>
        <w:t>表 3 无组织排放监控点浓度限值</w:t>
      </w:r>
      <w:r>
        <w:t>，厂区内无组织排放的NMHC执行</w:t>
      </w:r>
      <w:r>
        <w:rPr>
          <w:rFonts w:hint="eastAsia"/>
          <w:lang w:eastAsia="zh-CN"/>
        </w:rPr>
        <w:t>广东省地方标准《固定污染源挥发性有机物综合排放标准》（DB44/2367-2022）</w:t>
      </w:r>
      <w:r>
        <w:rPr>
          <w:rFonts w:hint="eastAsia"/>
          <w:lang w:val="en-US" w:eastAsia="zh-CN"/>
        </w:rPr>
        <w:t>表 4 企业边界 VOCs 无组织排放限值</w:t>
      </w:r>
      <w:r>
        <w:t>。厂界</w:t>
      </w:r>
      <w:r>
        <w:rPr>
          <w:rFonts w:hint="eastAsia"/>
          <w:lang w:val="en-US" w:eastAsia="zh-CN"/>
        </w:rPr>
        <w:t>臭气浓度</w:t>
      </w:r>
      <w:r>
        <w:rPr>
          <w:rFonts w:hint="eastAsia"/>
          <w:lang w:eastAsia="zh-CN"/>
        </w:rPr>
        <w:t>执行《恶臭污染物排放标准》（GB14554-93）表1中的二级新扩改建标准</w:t>
      </w:r>
      <w:r>
        <w:t>。</w:t>
      </w:r>
    </w:p>
    <w:p w14:paraId="1105B003">
      <w:pPr>
        <w:numPr>
          <w:ilvl w:val="0"/>
          <w:numId w:val="17"/>
        </w:numPr>
        <w:ind w:left="0" w:leftChars="0" w:firstLine="0" w:firstLineChars="0"/>
        <w:jc w:val="center"/>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项目大气污染物排放标准</w:t>
      </w:r>
    </w:p>
    <w:tbl>
      <w:tblPr>
        <w:tblStyle w:val="105"/>
        <w:tblW w:w="9068" w:type="dxa"/>
        <w:tblInd w:w="28"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fixed"/>
        <w:tblCellMar>
          <w:top w:w="0" w:type="dxa"/>
          <w:left w:w="0" w:type="dxa"/>
          <w:bottom w:w="0" w:type="dxa"/>
          <w:right w:w="0" w:type="dxa"/>
        </w:tblCellMar>
      </w:tblPr>
      <w:tblGrid>
        <w:gridCol w:w="895"/>
        <w:gridCol w:w="895"/>
        <w:gridCol w:w="929"/>
        <w:gridCol w:w="780"/>
        <w:gridCol w:w="1253"/>
        <w:gridCol w:w="3181"/>
        <w:gridCol w:w="1135"/>
      </w:tblGrid>
      <w:tr w14:paraId="6DA085A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895" w:type="dxa"/>
            <w:tcBorders>
              <w:top w:val="single" w:color="000000" w:sz="12" w:space="0"/>
              <w:left w:val="nil"/>
              <w:tl2br w:val="nil"/>
            </w:tcBorders>
            <w:shd w:val="clear" w:color="auto" w:fill="FFFFFF"/>
            <w:vAlign w:val="center"/>
          </w:tcPr>
          <w:p w14:paraId="7330F982">
            <w:pPr>
              <w:pStyle w:val="59"/>
              <w:bidi w:val="0"/>
              <w:jc w:val="center"/>
              <w:rPr>
                <w:b w:val="0"/>
                <w:color w:val="000000"/>
              </w:rPr>
            </w:pPr>
            <w:r>
              <w:rPr>
                <w:b w:val="0"/>
                <w:color w:val="000000"/>
              </w:rPr>
              <w:t>类型</w:t>
            </w:r>
          </w:p>
        </w:tc>
        <w:tc>
          <w:tcPr>
            <w:tcW w:w="895" w:type="dxa"/>
            <w:tcBorders>
              <w:top w:val="single" w:color="000000" w:sz="12" w:space="0"/>
            </w:tcBorders>
            <w:shd w:val="clear" w:color="auto" w:fill="FFFFFF"/>
            <w:vAlign w:val="center"/>
          </w:tcPr>
          <w:p w14:paraId="730D6A90">
            <w:pPr>
              <w:pStyle w:val="59"/>
              <w:bidi w:val="0"/>
              <w:jc w:val="center"/>
              <w:rPr>
                <w:b w:val="0"/>
                <w:color w:val="000000"/>
              </w:rPr>
            </w:pPr>
            <w:r>
              <w:rPr>
                <w:b w:val="0"/>
                <w:color w:val="000000"/>
              </w:rPr>
              <w:t>污染源</w:t>
            </w:r>
          </w:p>
        </w:tc>
        <w:tc>
          <w:tcPr>
            <w:tcW w:w="929" w:type="dxa"/>
            <w:tcBorders>
              <w:top w:val="single" w:color="000000" w:sz="12" w:space="0"/>
            </w:tcBorders>
            <w:shd w:val="clear" w:color="auto" w:fill="FFFFFF"/>
            <w:vAlign w:val="center"/>
          </w:tcPr>
          <w:p w14:paraId="6528C8F8">
            <w:pPr>
              <w:pStyle w:val="59"/>
              <w:bidi w:val="0"/>
              <w:jc w:val="center"/>
              <w:rPr>
                <w:b w:val="0"/>
                <w:color w:val="000000"/>
              </w:rPr>
            </w:pPr>
            <w:r>
              <w:rPr>
                <w:b w:val="0"/>
                <w:color w:val="000000"/>
              </w:rPr>
              <w:t>污染物</w:t>
            </w:r>
          </w:p>
        </w:tc>
        <w:tc>
          <w:tcPr>
            <w:tcW w:w="780" w:type="dxa"/>
            <w:tcBorders>
              <w:top w:val="single" w:color="000000" w:sz="12" w:space="0"/>
            </w:tcBorders>
            <w:shd w:val="clear" w:color="auto" w:fill="FFFFFF"/>
            <w:vAlign w:val="center"/>
          </w:tcPr>
          <w:p w14:paraId="3FA32B24">
            <w:pPr>
              <w:pStyle w:val="59"/>
              <w:bidi w:val="0"/>
              <w:jc w:val="center"/>
              <w:rPr>
                <w:b w:val="0"/>
                <w:color w:val="000000"/>
              </w:rPr>
            </w:pPr>
            <w:r>
              <w:rPr>
                <w:b w:val="0"/>
                <w:color w:val="000000"/>
              </w:rPr>
              <w:t>排放速率(kg/h)</w:t>
            </w:r>
          </w:p>
        </w:tc>
        <w:tc>
          <w:tcPr>
            <w:tcW w:w="1253" w:type="dxa"/>
            <w:tcBorders>
              <w:top w:val="single" w:color="000000" w:sz="12" w:space="0"/>
            </w:tcBorders>
            <w:shd w:val="clear" w:color="auto" w:fill="FFFFFF"/>
            <w:vAlign w:val="center"/>
          </w:tcPr>
          <w:p w14:paraId="467588E0">
            <w:pPr>
              <w:pStyle w:val="59"/>
              <w:bidi w:val="0"/>
              <w:jc w:val="center"/>
              <w:rPr>
                <w:b w:val="0"/>
                <w:color w:val="000000"/>
              </w:rPr>
            </w:pPr>
            <w:r>
              <w:rPr>
                <w:b w:val="0"/>
                <w:color w:val="000000"/>
              </w:rPr>
              <w:t>排放限值(mg/m</w:t>
            </w:r>
            <w:r>
              <w:rPr>
                <w:b w:val="0"/>
                <w:color w:val="000000"/>
                <w:vertAlign w:val="superscript"/>
              </w:rPr>
              <w:t>3</w:t>
            </w:r>
            <w:r>
              <w:rPr>
                <w:b w:val="0"/>
                <w:color w:val="000000"/>
              </w:rPr>
              <w:t>)</w:t>
            </w:r>
          </w:p>
        </w:tc>
        <w:tc>
          <w:tcPr>
            <w:tcW w:w="3181" w:type="dxa"/>
            <w:tcBorders>
              <w:top w:val="single" w:color="000000" w:sz="12" w:space="0"/>
            </w:tcBorders>
            <w:shd w:val="clear" w:color="auto" w:fill="FFFFFF"/>
            <w:vAlign w:val="center"/>
          </w:tcPr>
          <w:p w14:paraId="47DF673E">
            <w:pPr>
              <w:pStyle w:val="59"/>
              <w:bidi w:val="0"/>
              <w:jc w:val="center"/>
              <w:rPr>
                <w:b w:val="0"/>
                <w:color w:val="000000"/>
              </w:rPr>
            </w:pPr>
            <w:r>
              <w:rPr>
                <w:b w:val="0"/>
                <w:color w:val="000000"/>
              </w:rPr>
              <w:t>执行标准</w:t>
            </w:r>
          </w:p>
        </w:tc>
        <w:tc>
          <w:tcPr>
            <w:tcW w:w="1135" w:type="dxa"/>
            <w:tcBorders>
              <w:top w:val="single" w:color="000000" w:sz="12" w:space="0"/>
              <w:right w:val="nil"/>
            </w:tcBorders>
            <w:shd w:val="clear" w:color="auto" w:fill="FFFFFF"/>
            <w:vAlign w:val="center"/>
          </w:tcPr>
          <w:p w14:paraId="46E13D0B">
            <w:pPr>
              <w:pStyle w:val="59"/>
              <w:bidi w:val="0"/>
              <w:jc w:val="center"/>
              <w:rPr>
                <w:b w:val="0"/>
                <w:color w:val="000000"/>
              </w:rPr>
            </w:pPr>
            <w:r>
              <w:rPr>
                <w:b w:val="0"/>
                <w:color w:val="000000"/>
              </w:rPr>
              <w:t>污染物排放监控位置</w:t>
            </w:r>
          </w:p>
        </w:tc>
      </w:tr>
      <w:tr w14:paraId="7857DAF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restart"/>
            <w:tcBorders>
              <w:left w:val="nil"/>
            </w:tcBorders>
            <w:shd w:val="clear" w:color="auto" w:fill="FFFFFF"/>
            <w:vAlign w:val="center"/>
          </w:tcPr>
          <w:p w14:paraId="4CC36A94">
            <w:pPr>
              <w:pStyle w:val="59"/>
              <w:bidi w:val="0"/>
              <w:jc w:val="center"/>
              <w:rPr>
                <w:b w:val="0"/>
                <w:color w:val="000000"/>
              </w:rPr>
            </w:pPr>
            <w:r>
              <w:rPr>
                <w:rFonts w:hint="eastAsia"/>
                <w:b w:val="0"/>
                <w:color w:val="000000"/>
                <w:lang w:val="en-US" w:eastAsia="zh-CN"/>
              </w:rPr>
              <w:t>有组织</w:t>
            </w:r>
            <w:r>
              <w:rPr>
                <w:b w:val="0"/>
                <w:color w:val="000000"/>
              </w:rPr>
              <w:t>废气</w:t>
            </w:r>
          </w:p>
        </w:tc>
        <w:tc>
          <w:tcPr>
            <w:tcW w:w="895" w:type="dxa"/>
            <w:vMerge w:val="restart"/>
            <w:shd w:val="clear" w:color="auto" w:fill="FFFFFF"/>
            <w:vAlign w:val="center"/>
          </w:tcPr>
          <w:p w14:paraId="4F913069">
            <w:pPr>
              <w:pStyle w:val="59"/>
              <w:bidi w:val="0"/>
              <w:jc w:val="center"/>
              <w:rPr>
                <w:b w:val="0"/>
                <w:color w:val="000000"/>
              </w:rPr>
            </w:pPr>
            <w:r>
              <w:rPr>
                <w:b w:val="0"/>
                <w:color w:val="000000"/>
              </w:rPr>
              <w:t>调墨、印刷烘干</w:t>
            </w:r>
            <w:r>
              <w:rPr>
                <w:rFonts w:hint="eastAsia"/>
                <w:b w:val="0"/>
                <w:color w:val="000000"/>
                <w:lang w:eastAsia="zh-CN"/>
              </w:rPr>
              <w:t>、</w:t>
            </w:r>
            <w:r>
              <w:rPr>
                <w:rFonts w:hint="eastAsia"/>
                <w:b w:val="0"/>
                <w:color w:val="000000"/>
                <w:lang w:val="en-US" w:eastAsia="zh-CN"/>
              </w:rPr>
              <w:t>复合</w:t>
            </w:r>
            <w:r>
              <w:rPr>
                <w:rFonts w:hint="eastAsia"/>
                <w:b w:val="0"/>
                <w:color w:val="000000"/>
                <w:lang w:eastAsia="zh-CN"/>
              </w:rPr>
              <w:t>、</w:t>
            </w:r>
            <w:r>
              <w:rPr>
                <w:rFonts w:hint="eastAsia"/>
                <w:b w:val="0"/>
                <w:color w:val="000000"/>
                <w:lang w:val="en-US" w:eastAsia="zh-CN"/>
              </w:rPr>
              <w:t>洗机</w:t>
            </w:r>
            <w:r>
              <w:rPr>
                <w:b w:val="0"/>
                <w:color w:val="000000"/>
              </w:rPr>
              <w:t>废气、臭气</w:t>
            </w:r>
          </w:p>
        </w:tc>
        <w:tc>
          <w:tcPr>
            <w:tcW w:w="929" w:type="dxa"/>
            <w:shd w:val="clear" w:color="auto" w:fill="FFFFFF"/>
            <w:vAlign w:val="center"/>
          </w:tcPr>
          <w:p w14:paraId="5C1D1D40">
            <w:pPr>
              <w:pStyle w:val="59"/>
              <w:bidi w:val="0"/>
              <w:jc w:val="center"/>
              <w:rPr>
                <w:b w:val="0"/>
                <w:color w:val="000000"/>
              </w:rPr>
            </w:pPr>
            <w:r>
              <w:rPr>
                <w:b w:val="0"/>
                <w:color w:val="000000"/>
              </w:rPr>
              <w:t>总VOCs</w:t>
            </w:r>
          </w:p>
        </w:tc>
        <w:tc>
          <w:tcPr>
            <w:tcW w:w="780" w:type="dxa"/>
            <w:shd w:val="clear" w:color="auto" w:fill="FFFFFF"/>
            <w:vAlign w:val="center"/>
          </w:tcPr>
          <w:p w14:paraId="28FC0505">
            <w:pPr>
              <w:pStyle w:val="59"/>
              <w:bidi w:val="0"/>
              <w:jc w:val="center"/>
              <w:rPr>
                <w:b w:val="0"/>
                <w:color w:val="000000"/>
              </w:rPr>
            </w:pPr>
            <w:r>
              <w:rPr>
                <w:b w:val="0"/>
                <w:color w:val="000000"/>
              </w:rPr>
              <w:t>5.1</w:t>
            </w:r>
          </w:p>
        </w:tc>
        <w:tc>
          <w:tcPr>
            <w:tcW w:w="1253" w:type="dxa"/>
            <w:shd w:val="clear" w:color="auto" w:fill="FFFFFF"/>
            <w:vAlign w:val="center"/>
          </w:tcPr>
          <w:p w14:paraId="2667F0FB">
            <w:pPr>
              <w:pStyle w:val="59"/>
              <w:bidi w:val="0"/>
              <w:jc w:val="center"/>
              <w:rPr>
                <w:b w:val="0"/>
                <w:color w:val="000000"/>
              </w:rPr>
            </w:pPr>
            <w:r>
              <w:rPr>
                <w:b w:val="0"/>
                <w:color w:val="000000"/>
              </w:rPr>
              <w:t>120</w:t>
            </w:r>
          </w:p>
        </w:tc>
        <w:tc>
          <w:tcPr>
            <w:tcW w:w="3181" w:type="dxa"/>
            <w:shd w:val="clear" w:color="auto" w:fill="FFFFFF"/>
            <w:vAlign w:val="center"/>
          </w:tcPr>
          <w:p w14:paraId="01C9321C">
            <w:pPr>
              <w:pStyle w:val="59"/>
              <w:bidi w:val="0"/>
              <w:jc w:val="center"/>
              <w:rPr>
                <w:b w:val="0"/>
                <w:color w:val="000000"/>
              </w:rPr>
            </w:pPr>
            <w:r>
              <w:rPr>
                <w:b w:val="0"/>
                <w:color w:val="000000"/>
              </w:rPr>
              <w:t>广东省地方标准《印刷行业挥发性</w:t>
            </w:r>
          </w:p>
          <w:p w14:paraId="6AA3D5A9">
            <w:pPr>
              <w:pStyle w:val="59"/>
              <w:bidi w:val="0"/>
              <w:jc w:val="center"/>
              <w:rPr>
                <w:b w:val="0"/>
                <w:color w:val="000000"/>
              </w:rPr>
            </w:pPr>
            <w:r>
              <w:rPr>
                <w:b w:val="0"/>
                <w:color w:val="000000"/>
              </w:rPr>
              <w:t>有机化合物排放标准》</w:t>
            </w:r>
          </w:p>
          <w:p w14:paraId="3291D611">
            <w:pPr>
              <w:pStyle w:val="59"/>
              <w:bidi w:val="0"/>
              <w:jc w:val="center"/>
              <w:rPr>
                <w:b w:val="0"/>
                <w:color w:val="000000"/>
              </w:rPr>
            </w:pPr>
            <w:r>
              <w:rPr>
                <w:b w:val="0"/>
                <w:color w:val="000000"/>
              </w:rPr>
              <w:t>（DB44/815-2010）中表 2 标准</w:t>
            </w:r>
          </w:p>
        </w:tc>
        <w:tc>
          <w:tcPr>
            <w:tcW w:w="1135" w:type="dxa"/>
            <w:vMerge w:val="restart"/>
            <w:tcBorders>
              <w:right w:val="nil"/>
            </w:tcBorders>
            <w:shd w:val="clear" w:color="auto" w:fill="FFFFFF"/>
            <w:vAlign w:val="center"/>
          </w:tcPr>
          <w:p w14:paraId="1B98539C">
            <w:pPr>
              <w:pStyle w:val="59"/>
              <w:bidi w:val="0"/>
              <w:jc w:val="center"/>
              <w:rPr>
                <w:b w:val="0"/>
                <w:color w:val="000000"/>
              </w:rPr>
            </w:pPr>
            <w:r>
              <w:rPr>
                <w:b w:val="0"/>
                <w:color w:val="000000"/>
              </w:rPr>
              <w:t>DA001</w:t>
            </w:r>
          </w:p>
          <w:p w14:paraId="32005FE6">
            <w:pPr>
              <w:pStyle w:val="59"/>
              <w:bidi w:val="0"/>
              <w:jc w:val="center"/>
              <w:rPr>
                <w:b w:val="0"/>
                <w:color w:val="000000"/>
              </w:rPr>
            </w:pPr>
            <w:r>
              <w:rPr>
                <w:b w:val="0"/>
                <w:color w:val="000000"/>
              </w:rPr>
              <w:t>(</w:t>
            </w:r>
            <w:r>
              <w:rPr>
                <w:rFonts w:hint="eastAsia"/>
                <w:b w:val="0"/>
                <w:color w:val="000000"/>
                <w:lang w:val="en-US" w:eastAsia="zh-CN"/>
              </w:rPr>
              <w:t>25</w:t>
            </w:r>
            <w:r>
              <w:rPr>
                <w:b w:val="0"/>
                <w:color w:val="000000"/>
              </w:rPr>
              <w:t>m)</w:t>
            </w:r>
          </w:p>
        </w:tc>
      </w:tr>
      <w:tr w14:paraId="4A82922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172D5010">
            <w:pPr>
              <w:pStyle w:val="59"/>
              <w:bidi w:val="0"/>
              <w:jc w:val="center"/>
              <w:rPr>
                <w:b w:val="0"/>
                <w:color w:val="000000"/>
              </w:rPr>
            </w:pPr>
          </w:p>
        </w:tc>
        <w:tc>
          <w:tcPr>
            <w:tcW w:w="895" w:type="dxa"/>
            <w:vMerge w:val="continue"/>
            <w:shd w:val="clear" w:color="auto" w:fill="FFFFFF"/>
            <w:vAlign w:val="center"/>
          </w:tcPr>
          <w:p w14:paraId="60111532">
            <w:pPr>
              <w:pStyle w:val="59"/>
              <w:bidi w:val="0"/>
              <w:jc w:val="center"/>
              <w:rPr>
                <w:b w:val="0"/>
                <w:color w:val="000000"/>
              </w:rPr>
            </w:pPr>
          </w:p>
        </w:tc>
        <w:tc>
          <w:tcPr>
            <w:tcW w:w="929" w:type="dxa"/>
            <w:shd w:val="clear" w:color="auto" w:fill="FFFFFF"/>
            <w:vAlign w:val="center"/>
          </w:tcPr>
          <w:p w14:paraId="12660790">
            <w:pPr>
              <w:pStyle w:val="59"/>
              <w:bidi w:val="0"/>
              <w:jc w:val="center"/>
              <w:rPr>
                <w:b w:val="0"/>
                <w:color w:val="000000"/>
              </w:rPr>
            </w:pPr>
            <w:r>
              <w:rPr>
                <w:b w:val="0"/>
                <w:color w:val="000000"/>
              </w:rPr>
              <w:t>颗粒物</w:t>
            </w:r>
          </w:p>
        </w:tc>
        <w:tc>
          <w:tcPr>
            <w:tcW w:w="780" w:type="dxa"/>
            <w:shd w:val="clear" w:color="auto" w:fill="FFFFFF"/>
            <w:vAlign w:val="center"/>
          </w:tcPr>
          <w:p w14:paraId="135BCECA">
            <w:pPr>
              <w:pStyle w:val="59"/>
              <w:bidi w:val="0"/>
              <w:jc w:val="center"/>
              <w:rPr>
                <w:rFonts w:hint="default" w:eastAsia="宋体"/>
                <w:b w:val="0"/>
                <w:color w:val="000000"/>
                <w:lang w:val="en-US" w:eastAsia="zh-CN"/>
              </w:rPr>
            </w:pPr>
            <w:r>
              <w:rPr>
                <w:rFonts w:hint="eastAsia"/>
                <w:b w:val="0"/>
                <w:color w:val="000000"/>
                <w:lang w:val="en-US" w:eastAsia="zh-CN"/>
              </w:rPr>
              <w:t>11.9</w:t>
            </w:r>
          </w:p>
        </w:tc>
        <w:tc>
          <w:tcPr>
            <w:tcW w:w="1253" w:type="dxa"/>
            <w:shd w:val="clear" w:color="auto" w:fill="FFFFFF"/>
            <w:vAlign w:val="center"/>
          </w:tcPr>
          <w:p w14:paraId="23190ECE">
            <w:pPr>
              <w:pStyle w:val="59"/>
              <w:bidi w:val="0"/>
              <w:jc w:val="center"/>
              <w:rPr>
                <w:b w:val="0"/>
                <w:color w:val="000000"/>
              </w:rPr>
            </w:pPr>
            <w:r>
              <w:rPr>
                <w:rFonts w:hint="eastAsia"/>
                <w:b w:val="0"/>
                <w:color w:val="000000"/>
                <w:lang w:val="en-US" w:eastAsia="zh-CN"/>
              </w:rPr>
              <w:t>3</w:t>
            </w:r>
            <w:r>
              <w:rPr>
                <w:b w:val="0"/>
                <w:color w:val="000000"/>
              </w:rPr>
              <w:t>0</w:t>
            </w:r>
          </w:p>
        </w:tc>
        <w:tc>
          <w:tcPr>
            <w:tcW w:w="3181" w:type="dxa"/>
            <w:shd w:val="clear" w:color="auto" w:fill="FFFFFF"/>
            <w:vAlign w:val="center"/>
          </w:tcPr>
          <w:p w14:paraId="61A51689">
            <w:pPr>
              <w:pStyle w:val="59"/>
              <w:bidi w:val="0"/>
              <w:jc w:val="center"/>
              <w:rPr>
                <w:rFonts w:hint="default"/>
                <w:b w:val="0"/>
                <w:color w:val="000000"/>
                <w:lang w:val="en-US"/>
              </w:rPr>
            </w:pPr>
            <w:r>
              <w:rPr>
                <w:rFonts w:hint="eastAsia" w:ascii="Times New Roman" w:hAnsi="Times New Roman" w:cs="Times New Roman"/>
                <w:b w:val="0"/>
                <w:color w:val="000000"/>
                <w:lang w:val="en-US" w:eastAsia="zh-CN"/>
              </w:rPr>
              <w:t>广东省地方标准《</w:t>
            </w:r>
            <w:r>
              <w:rPr>
                <w:rFonts w:hint="default" w:ascii="Times New Roman" w:hAnsi="Times New Roman" w:cs="Times New Roman"/>
                <w:b w:val="0"/>
                <w:color w:val="000000"/>
                <w:lang w:val="en-US" w:eastAsia="zh-CN"/>
              </w:rPr>
              <w:t>大气污染物排放限值》（DB44/27-2001）中第二时段二级标准</w:t>
            </w:r>
            <w:r>
              <w:rPr>
                <w:rFonts w:hint="eastAsia" w:ascii="Times New Roman" w:hAnsi="Times New Roman" w:cs="Times New Roman"/>
                <w:b w:val="0"/>
                <w:color w:val="000000"/>
                <w:lang w:val="en-US" w:eastAsia="zh-CN"/>
              </w:rPr>
              <w:t>及</w:t>
            </w:r>
            <w:r>
              <w:rPr>
                <w:rFonts w:hint="eastAsia" w:ascii="Times New Roman" w:hAnsi="Times New Roman" w:cs="Times New Roman"/>
                <w:b w:val="0"/>
                <w:color w:val="000000"/>
                <w:lang w:eastAsia="zh-CN"/>
              </w:rPr>
              <w:t>《江门市工业炉窑大气污染综合治理方案》（江环函〔2020〕22号）</w:t>
            </w:r>
            <w:r>
              <w:rPr>
                <w:rFonts w:hint="eastAsia" w:ascii="Times New Roman" w:hAnsi="Times New Roman" w:cs="Times New Roman"/>
                <w:b w:val="0"/>
                <w:color w:val="000000"/>
                <w:lang w:val="en-US" w:eastAsia="zh-CN"/>
              </w:rPr>
              <w:t>较严者</w:t>
            </w:r>
          </w:p>
        </w:tc>
        <w:tc>
          <w:tcPr>
            <w:tcW w:w="1135" w:type="dxa"/>
            <w:vMerge w:val="continue"/>
            <w:tcBorders>
              <w:right w:val="nil"/>
            </w:tcBorders>
            <w:shd w:val="clear" w:color="auto" w:fill="FFFFFF"/>
            <w:vAlign w:val="center"/>
          </w:tcPr>
          <w:p w14:paraId="765D056B">
            <w:pPr>
              <w:pStyle w:val="59"/>
              <w:bidi w:val="0"/>
              <w:jc w:val="center"/>
              <w:rPr>
                <w:b w:val="0"/>
                <w:color w:val="000000"/>
              </w:rPr>
            </w:pPr>
          </w:p>
        </w:tc>
      </w:tr>
      <w:tr w14:paraId="23DC38E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3BF060B9">
            <w:pPr>
              <w:pStyle w:val="59"/>
              <w:bidi w:val="0"/>
              <w:jc w:val="center"/>
              <w:rPr>
                <w:b w:val="0"/>
                <w:color w:val="000000"/>
              </w:rPr>
            </w:pPr>
          </w:p>
        </w:tc>
        <w:tc>
          <w:tcPr>
            <w:tcW w:w="895" w:type="dxa"/>
            <w:vMerge w:val="continue"/>
            <w:shd w:val="clear" w:color="auto" w:fill="FFFFFF"/>
            <w:vAlign w:val="center"/>
          </w:tcPr>
          <w:p w14:paraId="092E9D11">
            <w:pPr>
              <w:pStyle w:val="59"/>
              <w:bidi w:val="0"/>
              <w:jc w:val="center"/>
              <w:rPr>
                <w:b w:val="0"/>
                <w:color w:val="000000"/>
              </w:rPr>
            </w:pPr>
          </w:p>
        </w:tc>
        <w:tc>
          <w:tcPr>
            <w:tcW w:w="929" w:type="dxa"/>
            <w:shd w:val="clear" w:color="auto" w:fill="FFFFFF"/>
            <w:vAlign w:val="center"/>
          </w:tcPr>
          <w:p w14:paraId="571D1B46">
            <w:pPr>
              <w:pStyle w:val="59"/>
              <w:bidi w:val="0"/>
              <w:jc w:val="center"/>
              <w:rPr>
                <w:b w:val="0"/>
                <w:color w:val="000000"/>
              </w:rPr>
            </w:pPr>
            <w:r>
              <w:rPr>
                <w:b w:val="0"/>
                <w:color w:val="000000"/>
              </w:rPr>
              <w:t>NMHC</w:t>
            </w:r>
          </w:p>
        </w:tc>
        <w:tc>
          <w:tcPr>
            <w:tcW w:w="780" w:type="dxa"/>
            <w:shd w:val="clear" w:color="auto" w:fill="FFFFFF"/>
            <w:vAlign w:val="center"/>
          </w:tcPr>
          <w:p w14:paraId="670F2992">
            <w:pPr>
              <w:pStyle w:val="59"/>
              <w:bidi w:val="0"/>
              <w:jc w:val="center"/>
              <w:rPr>
                <w:b w:val="0"/>
                <w:color w:val="000000"/>
              </w:rPr>
            </w:pPr>
            <w:r>
              <w:rPr>
                <w:b w:val="0"/>
                <w:color w:val="000000"/>
              </w:rPr>
              <w:t>/</w:t>
            </w:r>
          </w:p>
        </w:tc>
        <w:tc>
          <w:tcPr>
            <w:tcW w:w="1253" w:type="dxa"/>
            <w:shd w:val="clear" w:color="auto" w:fill="FFFFFF"/>
            <w:vAlign w:val="center"/>
          </w:tcPr>
          <w:p w14:paraId="0F212961">
            <w:pPr>
              <w:pStyle w:val="59"/>
              <w:bidi w:val="0"/>
              <w:jc w:val="center"/>
              <w:rPr>
                <w:b w:val="0"/>
                <w:color w:val="000000"/>
              </w:rPr>
            </w:pPr>
            <w:r>
              <w:rPr>
                <w:b w:val="0"/>
                <w:color w:val="000000"/>
              </w:rPr>
              <w:t>70</w:t>
            </w:r>
          </w:p>
        </w:tc>
        <w:tc>
          <w:tcPr>
            <w:tcW w:w="3181" w:type="dxa"/>
            <w:shd w:val="clear" w:color="auto" w:fill="FFFFFF"/>
            <w:vAlign w:val="center"/>
          </w:tcPr>
          <w:p w14:paraId="52B6EF63">
            <w:pPr>
              <w:pStyle w:val="59"/>
              <w:bidi w:val="0"/>
              <w:jc w:val="center"/>
              <w:rPr>
                <w:b w:val="0"/>
                <w:color w:val="000000"/>
              </w:rPr>
            </w:pPr>
            <w:r>
              <w:rPr>
                <w:rFonts w:hint="eastAsia" w:ascii="Times New Roman" w:hAnsi="Times New Roman" w:eastAsia="宋体" w:cs="Times New Roman"/>
                <w:b w:val="0"/>
                <w:color w:val="000000"/>
                <w:lang w:val="en-US" w:eastAsia="zh-CN"/>
              </w:rPr>
              <w:t>《印刷工业大气污染物排放标准》（GB 41616—2022）表 1 大气污染物排放限值</w:t>
            </w:r>
          </w:p>
        </w:tc>
        <w:tc>
          <w:tcPr>
            <w:tcW w:w="1135" w:type="dxa"/>
            <w:vMerge w:val="continue"/>
            <w:tcBorders>
              <w:right w:val="nil"/>
            </w:tcBorders>
            <w:shd w:val="clear" w:color="auto" w:fill="FFFFFF"/>
            <w:vAlign w:val="center"/>
          </w:tcPr>
          <w:p w14:paraId="513666FF">
            <w:pPr>
              <w:pStyle w:val="59"/>
              <w:bidi w:val="0"/>
              <w:jc w:val="center"/>
              <w:rPr>
                <w:b w:val="0"/>
                <w:color w:val="000000"/>
              </w:rPr>
            </w:pPr>
          </w:p>
        </w:tc>
      </w:tr>
      <w:tr w14:paraId="5C61D94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1C09101B">
            <w:pPr>
              <w:pStyle w:val="59"/>
              <w:bidi w:val="0"/>
              <w:jc w:val="center"/>
              <w:rPr>
                <w:b w:val="0"/>
                <w:color w:val="000000"/>
              </w:rPr>
            </w:pPr>
          </w:p>
        </w:tc>
        <w:tc>
          <w:tcPr>
            <w:tcW w:w="895" w:type="dxa"/>
            <w:vMerge w:val="continue"/>
            <w:shd w:val="clear" w:color="auto" w:fill="FFFFFF"/>
            <w:vAlign w:val="center"/>
          </w:tcPr>
          <w:p w14:paraId="6C866CB0">
            <w:pPr>
              <w:pStyle w:val="59"/>
              <w:bidi w:val="0"/>
              <w:jc w:val="center"/>
              <w:rPr>
                <w:b w:val="0"/>
                <w:color w:val="000000"/>
              </w:rPr>
            </w:pPr>
          </w:p>
        </w:tc>
        <w:tc>
          <w:tcPr>
            <w:tcW w:w="929" w:type="dxa"/>
            <w:shd w:val="clear" w:color="auto" w:fill="FFFFFF"/>
            <w:vAlign w:val="center"/>
          </w:tcPr>
          <w:p w14:paraId="5B93B631">
            <w:pPr>
              <w:pStyle w:val="59"/>
              <w:bidi w:val="0"/>
              <w:jc w:val="center"/>
              <w:rPr>
                <w:b w:val="0"/>
                <w:color w:val="000000"/>
              </w:rPr>
            </w:pPr>
            <w:r>
              <w:rPr>
                <w:b w:val="0"/>
                <w:color w:val="000000"/>
              </w:rPr>
              <w:t>SO</w:t>
            </w:r>
            <w:r>
              <w:rPr>
                <w:b w:val="0"/>
                <w:color w:val="000000"/>
                <w:vertAlign w:val="subscript"/>
              </w:rPr>
              <w:t>2</w:t>
            </w:r>
          </w:p>
        </w:tc>
        <w:tc>
          <w:tcPr>
            <w:tcW w:w="780" w:type="dxa"/>
            <w:shd w:val="clear" w:color="auto" w:fill="FFFFFF"/>
            <w:vAlign w:val="center"/>
          </w:tcPr>
          <w:p w14:paraId="7F968702">
            <w:pPr>
              <w:pStyle w:val="59"/>
              <w:bidi w:val="0"/>
              <w:jc w:val="center"/>
              <w:rPr>
                <w:b w:val="0"/>
                <w:color w:val="000000"/>
              </w:rPr>
            </w:pPr>
            <w:r>
              <w:rPr>
                <w:b w:val="0"/>
                <w:color w:val="000000"/>
              </w:rPr>
              <w:t>/</w:t>
            </w:r>
          </w:p>
        </w:tc>
        <w:tc>
          <w:tcPr>
            <w:tcW w:w="1253" w:type="dxa"/>
            <w:shd w:val="clear" w:color="auto" w:fill="FFFFFF"/>
            <w:vAlign w:val="center"/>
          </w:tcPr>
          <w:p w14:paraId="2A29AC55">
            <w:pPr>
              <w:pStyle w:val="59"/>
              <w:bidi w:val="0"/>
              <w:jc w:val="center"/>
              <w:rPr>
                <w:b w:val="0"/>
                <w:color w:val="000000"/>
              </w:rPr>
            </w:pPr>
            <w:r>
              <w:rPr>
                <w:b w:val="0"/>
                <w:color w:val="000000"/>
              </w:rPr>
              <w:t>200</w:t>
            </w:r>
          </w:p>
        </w:tc>
        <w:tc>
          <w:tcPr>
            <w:tcW w:w="3181" w:type="dxa"/>
            <w:vMerge w:val="restart"/>
            <w:shd w:val="clear" w:color="auto" w:fill="FFFFFF"/>
            <w:vAlign w:val="center"/>
          </w:tcPr>
          <w:p w14:paraId="20D99280">
            <w:pPr>
              <w:pStyle w:val="59"/>
              <w:bidi w:val="0"/>
              <w:jc w:val="center"/>
              <w:rPr>
                <w:b w:val="0"/>
                <w:color w:val="000000"/>
              </w:rPr>
            </w:pPr>
            <w:r>
              <w:rPr>
                <w:b w:val="0"/>
                <w:color w:val="000000"/>
              </w:rPr>
              <w:t>《印刷工业大气污染物排放标准》 （GB 41616-2022）中表 2 标准</w:t>
            </w:r>
          </w:p>
        </w:tc>
        <w:tc>
          <w:tcPr>
            <w:tcW w:w="1135" w:type="dxa"/>
            <w:vMerge w:val="continue"/>
            <w:tcBorders>
              <w:right w:val="nil"/>
            </w:tcBorders>
            <w:shd w:val="clear" w:color="auto" w:fill="FFFFFF"/>
            <w:vAlign w:val="center"/>
          </w:tcPr>
          <w:p w14:paraId="16854CA8">
            <w:pPr>
              <w:pStyle w:val="59"/>
              <w:bidi w:val="0"/>
              <w:jc w:val="center"/>
              <w:rPr>
                <w:b w:val="0"/>
                <w:color w:val="000000"/>
              </w:rPr>
            </w:pPr>
          </w:p>
        </w:tc>
      </w:tr>
      <w:tr w14:paraId="01F7B34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1EBFF126">
            <w:pPr>
              <w:pStyle w:val="59"/>
              <w:bidi w:val="0"/>
              <w:jc w:val="center"/>
              <w:rPr>
                <w:b w:val="0"/>
                <w:color w:val="000000"/>
              </w:rPr>
            </w:pPr>
          </w:p>
        </w:tc>
        <w:tc>
          <w:tcPr>
            <w:tcW w:w="895" w:type="dxa"/>
            <w:vMerge w:val="continue"/>
            <w:shd w:val="clear" w:color="auto" w:fill="FFFFFF"/>
            <w:vAlign w:val="center"/>
          </w:tcPr>
          <w:p w14:paraId="6B78B4F5">
            <w:pPr>
              <w:pStyle w:val="59"/>
              <w:bidi w:val="0"/>
              <w:jc w:val="center"/>
              <w:rPr>
                <w:b w:val="0"/>
                <w:color w:val="000000"/>
              </w:rPr>
            </w:pPr>
          </w:p>
        </w:tc>
        <w:tc>
          <w:tcPr>
            <w:tcW w:w="929" w:type="dxa"/>
            <w:shd w:val="clear" w:color="auto" w:fill="FFFFFF"/>
            <w:vAlign w:val="center"/>
          </w:tcPr>
          <w:p w14:paraId="2800475B">
            <w:pPr>
              <w:pStyle w:val="59"/>
              <w:bidi w:val="0"/>
              <w:jc w:val="center"/>
              <w:rPr>
                <w:b w:val="0"/>
                <w:color w:val="000000"/>
              </w:rPr>
            </w:pPr>
            <w:r>
              <w:rPr>
                <w:b w:val="0"/>
                <w:color w:val="000000"/>
              </w:rPr>
              <w:t>NOx</w:t>
            </w:r>
          </w:p>
        </w:tc>
        <w:tc>
          <w:tcPr>
            <w:tcW w:w="780" w:type="dxa"/>
            <w:shd w:val="clear" w:color="auto" w:fill="FFFFFF"/>
            <w:vAlign w:val="center"/>
          </w:tcPr>
          <w:p w14:paraId="47A8D656">
            <w:pPr>
              <w:pStyle w:val="59"/>
              <w:bidi w:val="0"/>
              <w:jc w:val="center"/>
              <w:rPr>
                <w:b w:val="0"/>
                <w:color w:val="000000"/>
              </w:rPr>
            </w:pPr>
            <w:r>
              <w:rPr>
                <w:b w:val="0"/>
                <w:color w:val="000000"/>
              </w:rPr>
              <w:t>/</w:t>
            </w:r>
          </w:p>
        </w:tc>
        <w:tc>
          <w:tcPr>
            <w:tcW w:w="1253" w:type="dxa"/>
            <w:shd w:val="clear" w:color="auto" w:fill="FFFFFF"/>
            <w:vAlign w:val="center"/>
          </w:tcPr>
          <w:p w14:paraId="0A279A40">
            <w:pPr>
              <w:pStyle w:val="59"/>
              <w:bidi w:val="0"/>
              <w:jc w:val="center"/>
              <w:rPr>
                <w:b w:val="0"/>
                <w:color w:val="000000"/>
              </w:rPr>
            </w:pPr>
            <w:r>
              <w:rPr>
                <w:b w:val="0"/>
                <w:color w:val="000000"/>
              </w:rPr>
              <w:t>200</w:t>
            </w:r>
          </w:p>
        </w:tc>
        <w:tc>
          <w:tcPr>
            <w:tcW w:w="3181" w:type="dxa"/>
            <w:vMerge w:val="continue"/>
            <w:shd w:val="clear" w:color="auto" w:fill="FFFFFF"/>
            <w:vAlign w:val="center"/>
          </w:tcPr>
          <w:p w14:paraId="1BC1D37F">
            <w:pPr>
              <w:pStyle w:val="59"/>
              <w:bidi w:val="0"/>
              <w:jc w:val="center"/>
              <w:rPr>
                <w:b w:val="0"/>
                <w:color w:val="000000"/>
              </w:rPr>
            </w:pPr>
          </w:p>
        </w:tc>
        <w:tc>
          <w:tcPr>
            <w:tcW w:w="1135" w:type="dxa"/>
            <w:vMerge w:val="continue"/>
            <w:tcBorders>
              <w:right w:val="nil"/>
            </w:tcBorders>
            <w:shd w:val="clear" w:color="auto" w:fill="FFFFFF"/>
            <w:vAlign w:val="center"/>
          </w:tcPr>
          <w:p w14:paraId="016F906B">
            <w:pPr>
              <w:pStyle w:val="59"/>
              <w:bidi w:val="0"/>
              <w:jc w:val="center"/>
              <w:rPr>
                <w:b w:val="0"/>
                <w:color w:val="000000"/>
              </w:rPr>
            </w:pPr>
          </w:p>
        </w:tc>
      </w:tr>
      <w:tr w14:paraId="4183E97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1E668297">
            <w:pPr>
              <w:pStyle w:val="59"/>
              <w:bidi w:val="0"/>
              <w:jc w:val="center"/>
              <w:rPr>
                <w:b w:val="0"/>
                <w:color w:val="000000"/>
              </w:rPr>
            </w:pPr>
          </w:p>
        </w:tc>
        <w:tc>
          <w:tcPr>
            <w:tcW w:w="895" w:type="dxa"/>
            <w:vMerge w:val="continue"/>
            <w:shd w:val="clear" w:color="auto" w:fill="FFFFFF"/>
            <w:vAlign w:val="center"/>
          </w:tcPr>
          <w:p w14:paraId="15E4B390">
            <w:pPr>
              <w:pStyle w:val="59"/>
              <w:bidi w:val="0"/>
              <w:jc w:val="center"/>
              <w:rPr>
                <w:b w:val="0"/>
                <w:color w:val="000000"/>
              </w:rPr>
            </w:pPr>
          </w:p>
        </w:tc>
        <w:tc>
          <w:tcPr>
            <w:tcW w:w="929" w:type="dxa"/>
            <w:shd w:val="clear" w:color="auto" w:fill="FFFFFF"/>
            <w:vAlign w:val="center"/>
          </w:tcPr>
          <w:p w14:paraId="7301745A">
            <w:pPr>
              <w:pStyle w:val="59"/>
              <w:bidi w:val="0"/>
              <w:jc w:val="center"/>
              <w:rPr>
                <w:b w:val="0"/>
                <w:color w:val="000000"/>
              </w:rPr>
            </w:pPr>
            <w:r>
              <w:rPr>
                <w:b w:val="0"/>
                <w:color w:val="000000"/>
              </w:rPr>
              <w:t>臭气浓度</w:t>
            </w:r>
          </w:p>
        </w:tc>
        <w:tc>
          <w:tcPr>
            <w:tcW w:w="780" w:type="dxa"/>
            <w:shd w:val="clear" w:color="auto" w:fill="FFFFFF"/>
            <w:vAlign w:val="center"/>
          </w:tcPr>
          <w:p w14:paraId="7845DEC0">
            <w:pPr>
              <w:pStyle w:val="59"/>
              <w:bidi w:val="0"/>
              <w:jc w:val="center"/>
              <w:rPr>
                <w:b w:val="0"/>
                <w:color w:val="000000"/>
              </w:rPr>
            </w:pPr>
            <w:r>
              <w:rPr>
                <w:b w:val="0"/>
                <w:color w:val="000000"/>
              </w:rPr>
              <w:t>/</w:t>
            </w:r>
          </w:p>
        </w:tc>
        <w:tc>
          <w:tcPr>
            <w:tcW w:w="1253" w:type="dxa"/>
            <w:shd w:val="clear" w:color="auto" w:fill="FFFFFF"/>
            <w:vAlign w:val="center"/>
          </w:tcPr>
          <w:p w14:paraId="1FC4F36E">
            <w:pPr>
              <w:pStyle w:val="59"/>
              <w:bidi w:val="0"/>
              <w:jc w:val="center"/>
              <w:rPr>
                <w:b w:val="0"/>
                <w:color w:val="000000"/>
              </w:rPr>
            </w:pPr>
            <w:r>
              <w:rPr>
                <w:b w:val="0"/>
                <w:color w:val="000000"/>
              </w:rPr>
              <w:t>6000（无量</w:t>
            </w:r>
          </w:p>
          <w:p w14:paraId="271737B7">
            <w:pPr>
              <w:pStyle w:val="59"/>
              <w:bidi w:val="0"/>
              <w:jc w:val="center"/>
              <w:rPr>
                <w:b w:val="0"/>
                <w:color w:val="000000"/>
              </w:rPr>
            </w:pPr>
            <w:r>
              <w:rPr>
                <w:b w:val="0"/>
                <w:color w:val="000000"/>
              </w:rPr>
              <w:t>纲）</w:t>
            </w:r>
          </w:p>
        </w:tc>
        <w:tc>
          <w:tcPr>
            <w:tcW w:w="3181" w:type="dxa"/>
            <w:shd w:val="clear" w:color="auto" w:fill="FFFFFF"/>
            <w:vAlign w:val="center"/>
          </w:tcPr>
          <w:p w14:paraId="345E4662">
            <w:pPr>
              <w:pStyle w:val="59"/>
              <w:bidi w:val="0"/>
              <w:jc w:val="center"/>
              <w:rPr>
                <w:b w:val="0"/>
                <w:color w:val="000000"/>
              </w:rPr>
            </w:pPr>
            <w:r>
              <w:rPr>
                <w:b w:val="0"/>
                <w:color w:val="000000"/>
              </w:rPr>
              <w:t>《恶臭污染物排放标准》(GB14554-</w:t>
            </w:r>
          </w:p>
          <w:p w14:paraId="6198A702">
            <w:pPr>
              <w:pStyle w:val="59"/>
              <w:bidi w:val="0"/>
              <w:jc w:val="center"/>
              <w:rPr>
                <w:b w:val="0"/>
                <w:color w:val="000000"/>
              </w:rPr>
            </w:pPr>
            <w:r>
              <w:rPr>
                <w:b w:val="0"/>
                <w:color w:val="000000"/>
              </w:rPr>
              <w:t>93)表 2 标准</w:t>
            </w:r>
          </w:p>
        </w:tc>
        <w:tc>
          <w:tcPr>
            <w:tcW w:w="1135" w:type="dxa"/>
            <w:vMerge w:val="continue"/>
            <w:tcBorders>
              <w:right w:val="nil"/>
            </w:tcBorders>
            <w:shd w:val="clear" w:color="auto" w:fill="FFFFFF"/>
            <w:vAlign w:val="center"/>
          </w:tcPr>
          <w:p w14:paraId="5D6D0AD1">
            <w:pPr>
              <w:pStyle w:val="59"/>
              <w:bidi w:val="0"/>
              <w:jc w:val="center"/>
              <w:rPr>
                <w:b w:val="0"/>
                <w:color w:val="000000"/>
              </w:rPr>
            </w:pPr>
          </w:p>
        </w:tc>
      </w:tr>
      <w:tr w14:paraId="4F96110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471AD036">
            <w:pPr>
              <w:pStyle w:val="59"/>
              <w:bidi w:val="0"/>
              <w:jc w:val="center"/>
              <w:rPr>
                <w:b w:val="0"/>
                <w:color w:val="000000"/>
              </w:rPr>
            </w:pPr>
          </w:p>
        </w:tc>
        <w:tc>
          <w:tcPr>
            <w:tcW w:w="895" w:type="dxa"/>
            <w:vMerge w:val="restart"/>
            <w:shd w:val="clear" w:color="auto" w:fill="FFFFFF"/>
            <w:vAlign w:val="center"/>
          </w:tcPr>
          <w:p w14:paraId="70FFB681">
            <w:pPr>
              <w:pStyle w:val="59"/>
              <w:bidi w:val="0"/>
              <w:jc w:val="center"/>
              <w:rPr>
                <w:b w:val="0"/>
                <w:color w:val="000000"/>
              </w:rPr>
            </w:pPr>
            <w:r>
              <w:rPr>
                <w:rFonts w:hint="eastAsia"/>
                <w:lang w:val="en-US" w:eastAsia="zh-CN"/>
              </w:rPr>
              <w:t>合掌、定型废气</w:t>
            </w:r>
          </w:p>
        </w:tc>
        <w:tc>
          <w:tcPr>
            <w:tcW w:w="929" w:type="dxa"/>
            <w:shd w:val="clear" w:color="auto" w:fill="FFFFFF"/>
            <w:vAlign w:val="center"/>
          </w:tcPr>
          <w:p w14:paraId="041CBAA3">
            <w:pPr>
              <w:pStyle w:val="59"/>
              <w:bidi w:val="0"/>
              <w:jc w:val="center"/>
              <w:rPr>
                <w:rFonts w:hint="default" w:eastAsia="宋体"/>
                <w:b w:val="0"/>
                <w:color w:val="000000"/>
                <w:lang w:val="en-US" w:eastAsia="zh-CN"/>
              </w:rPr>
            </w:pPr>
            <w:r>
              <w:rPr>
                <w:rFonts w:hint="eastAsia"/>
                <w:b w:val="0"/>
                <w:color w:val="000000"/>
                <w:lang w:val="en-US" w:eastAsia="zh-CN"/>
              </w:rPr>
              <w:t>TVOC*</w:t>
            </w:r>
          </w:p>
        </w:tc>
        <w:tc>
          <w:tcPr>
            <w:tcW w:w="780" w:type="dxa"/>
            <w:shd w:val="clear" w:color="auto" w:fill="FFFFFF"/>
            <w:vAlign w:val="center"/>
          </w:tcPr>
          <w:p w14:paraId="2C575749">
            <w:pPr>
              <w:pStyle w:val="59"/>
              <w:bidi w:val="0"/>
              <w:jc w:val="center"/>
              <w:rPr>
                <w:b w:val="0"/>
                <w:color w:val="000000"/>
              </w:rPr>
            </w:pPr>
            <w:r>
              <w:rPr>
                <w:b w:val="0"/>
                <w:color w:val="000000"/>
              </w:rPr>
              <w:t>/</w:t>
            </w:r>
          </w:p>
        </w:tc>
        <w:tc>
          <w:tcPr>
            <w:tcW w:w="1253" w:type="dxa"/>
            <w:shd w:val="clear" w:color="auto" w:fill="FFFFFF"/>
            <w:vAlign w:val="center"/>
          </w:tcPr>
          <w:p w14:paraId="63B29851">
            <w:pPr>
              <w:pStyle w:val="59"/>
              <w:bidi w:val="0"/>
              <w:jc w:val="center"/>
              <w:rPr>
                <w:rFonts w:hint="default" w:eastAsia="宋体"/>
                <w:b w:val="0"/>
                <w:color w:val="000000"/>
                <w:lang w:val="en-US" w:eastAsia="zh-CN"/>
              </w:rPr>
            </w:pPr>
            <w:r>
              <w:rPr>
                <w:rFonts w:hint="eastAsia"/>
                <w:b w:val="0"/>
                <w:color w:val="000000"/>
                <w:lang w:val="en-US" w:eastAsia="zh-CN"/>
              </w:rPr>
              <w:t>100</w:t>
            </w:r>
          </w:p>
        </w:tc>
        <w:tc>
          <w:tcPr>
            <w:tcW w:w="3181" w:type="dxa"/>
            <w:vMerge w:val="restart"/>
            <w:shd w:val="clear" w:color="auto" w:fill="FFFFFF"/>
            <w:vAlign w:val="center"/>
          </w:tcPr>
          <w:p w14:paraId="1C5920F3">
            <w:pPr>
              <w:pStyle w:val="59"/>
              <w:bidi w:val="0"/>
              <w:jc w:val="center"/>
              <w:rPr>
                <w:b w:val="0"/>
                <w:color w:val="000000"/>
              </w:rPr>
            </w:pPr>
            <w:r>
              <w:rPr>
                <w:rFonts w:hint="eastAsia"/>
                <w:color w:val="auto"/>
              </w:rPr>
              <w:t>广东省地方标准《固定污染源挥发性有机物综合排放标准》（</w:t>
            </w:r>
            <w:r>
              <w:rPr>
                <w:color w:val="auto"/>
              </w:rPr>
              <w:t>DB44/2367—2022</w:t>
            </w:r>
            <w:r>
              <w:rPr>
                <w:rFonts w:hint="eastAsia"/>
                <w:color w:val="auto"/>
              </w:rPr>
              <w:t>）</w:t>
            </w:r>
            <w:r>
              <w:rPr>
                <w:color w:val="auto"/>
              </w:rPr>
              <w:t xml:space="preserve">表 1 </w:t>
            </w:r>
            <w:r>
              <w:rPr>
                <w:rFonts w:hint="eastAsia"/>
                <w:color w:val="auto"/>
              </w:rPr>
              <w:t>挥发性有机物排放限值</w:t>
            </w:r>
          </w:p>
        </w:tc>
        <w:tc>
          <w:tcPr>
            <w:tcW w:w="1135" w:type="dxa"/>
            <w:vMerge w:val="restart"/>
            <w:tcBorders>
              <w:right w:val="nil"/>
            </w:tcBorders>
            <w:shd w:val="clear" w:color="auto" w:fill="FFFFFF"/>
            <w:vAlign w:val="center"/>
          </w:tcPr>
          <w:p w14:paraId="2443CAF6">
            <w:pPr>
              <w:pStyle w:val="59"/>
              <w:bidi w:val="0"/>
              <w:jc w:val="center"/>
              <w:rPr>
                <w:rFonts w:hint="eastAsia" w:eastAsia="宋体"/>
                <w:b w:val="0"/>
                <w:color w:val="000000"/>
                <w:lang w:eastAsia="zh-CN"/>
              </w:rPr>
            </w:pPr>
            <w:r>
              <w:rPr>
                <w:b w:val="0"/>
                <w:color w:val="000000"/>
              </w:rPr>
              <w:t>DA00</w:t>
            </w:r>
            <w:r>
              <w:rPr>
                <w:rFonts w:hint="eastAsia"/>
                <w:b w:val="0"/>
                <w:color w:val="000000"/>
                <w:lang w:val="en-US" w:eastAsia="zh-CN"/>
              </w:rPr>
              <w:t>2</w:t>
            </w:r>
          </w:p>
          <w:p w14:paraId="4E0E298C">
            <w:pPr>
              <w:pStyle w:val="59"/>
              <w:bidi w:val="0"/>
              <w:jc w:val="center"/>
              <w:rPr>
                <w:b w:val="0"/>
                <w:color w:val="000000"/>
              </w:rPr>
            </w:pPr>
            <w:r>
              <w:rPr>
                <w:b w:val="0"/>
                <w:color w:val="000000"/>
              </w:rPr>
              <w:t>(</w:t>
            </w:r>
            <w:r>
              <w:rPr>
                <w:rFonts w:hint="eastAsia"/>
                <w:b w:val="0"/>
                <w:color w:val="000000"/>
                <w:lang w:val="en-US" w:eastAsia="zh-CN"/>
              </w:rPr>
              <w:t>25</w:t>
            </w:r>
            <w:r>
              <w:rPr>
                <w:b w:val="0"/>
                <w:color w:val="000000"/>
              </w:rPr>
              <w:t>m)</w:t>
            </w:r>
          </w:p>
        </w:tc>
      </w:tr>
      <w:tr w14:paraId="5AE75BC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00687BE9">
            <w:pPr>
              <w:pStyle w:val="59"/>
              <w:bidi w:val="0"/>
              <w:jc w:val="center"/>
              <w:rPr>
                <w:b w:val="0"/>
                <w:color w:val="000000"/>
              </w:rPr>
            </w:pPr>
          </w:p>
        </w:tc>
        <w:tc>
          <w:tcPr>
            <w:tcW w:w="895" w:type="dxa"/>
            <w:vMerge w:val="continue"/>
            <w:shd w:val="clear" w:color="auto" w:fill="FFFFFF"/>
            <w:vAlign w:val="center"/>
          </w:tcPr>
          <w:p w14:paraId="034261ED">
            <w:pPr>
              <w:pStyle w:val="59"/>
              <w:bidi w:val="0"/>
              <w:jc w:val="center"/>
              <w:rPr>
                <w:b w:val="0"/>
                <w:color w:val="000000"/>
              </w:rPr>
            </w:pPr>
          </w:p>
        </w:tc>
        <w:tc>
          <w:tcPr>
            <w:tcW w:w="929" w:type="dxa"/>
            <w:shd w:val="clear" w:color="auto" w:fill="FFFFFF"/>
            <w:vAlign w:val="center"/>
          </w:tcPr>
          <w:p w14:paraId="31D8BCCA">
            <w:pPr>
              <w:pStyle w:val="59"/>
              <w:bidi w:val="0"/>
              <w:jc w:val="center"/>
              <w:rPr>
                <w:rFonts w:hint="default" w:eastAsia="宋体"/>
                <w:b w:val="0"/>
                <w:color w:val="000000"/>
                <w:lang w:val="en-US" w:eastAsia="zh-CN"/>
              </w:rPr>
            </w:pPr>
            <w:r>
              <w:rPr>
                <w:rFonts w:hint="eastAsia"/>
                <w:b w:val="0"/>
                <w:color w:val="000000"/>
                <w:lang w:val="en-US" w:eastAsia="zh-CN"/>
              </w:rPr>
              <w:t>NMHC</w:t>
            </w:r>
          </w:p>
        </w:tc>
        <w:tc>
          <w:tcPr>
            <w:tcW w:w="780" w:type="dxa"/>
            <w:shd w:val="clear" w:color="auto" w:fill="FFFFFF"/>
            <w:vAlign w:val="center"/>
          </w:tcPr>
          <w:p w14:paraId="2441B6B1">
            <w:pPr>
              <w:pStyle w:val="59"/>
              <w:bidi w:val="0"/>
              <w:jc w:val="center"/>
              <w:rPr>
                <w:b w:val="0"/>
                <w:color w:val="000000"/>
              </w:rPr>
            </w:pPr>
            <w:r>
              <w:rPr>
                <w:b w:val="0"/>
                <w:color w:val="000000"/>
              </w:rPr>
              <w:t>/</w:t>
            </w:r>
          </w:p>
        </w:tc>
        <w:tc>
          <w:tcPr>
            <w:tcW w:w="1253" w:type="dxa"/>
            <w:shd w:val="clear" w:color="auto" w:fill="FFFFFF"/>
            <w:vAlign w:val="center"/>
          </w:tcPr>
          <w:p w14:paraId="78FD43B0">
            <w:pPr>
              <w:pStyle w:val="59"/>
              <w:bidi w:val="0"/>
              <w:jc w:val="center"/>
              <w:rPr>
                <w:rFonts w:hint="default" w:eastAsia="宋体"/>
                <w:b w:val="0"/>
                <w:color w:val="000000"/>
                <w:lang w:val="en-US" w:eastAsia="zh-CN"/>
              </w:rPr>
            </w:pPr>
            <w:r>
              <w:rPr>
                <w:rFonts w:hint="eastAsia"/>
                <w:b w:val="0"/>
                <w:color w:val="000000"/>
                <w:lang w:val="en-US" w:eastAsia="zh-CN"/>
              </w:rPr>
              <w:t>80</w:t>
            </w:r>
          </w:p>
        </w:tc>
        <w:tc>
          <w:tcPr>
            <w:tcW w:w="3181" w:type="dxa"/>
            <w:vMerge w:val="continue"/>
            <w:shd w:val="clear" w:color="auto" w:fill="FFFFFF"/>
            <w:vAlign w:val="center"/>
          </w:tcPr>
          <w:p w14:paraId="1D6F568D">
            <w:pPr>
              <w:pStyle w:val="59"/>
              <w:bidi w:val="0"/>
              <w:jc w:val="center"/>
              <w:rPr>
                <w:b w:val="0"/>
                <w:color w:val="000000"/>
              </w:rPr>
            </w:pPr>
          </w:p>
        </w:tc>
        <w:tc>
          <w:tcPr>
            <w:tcW w:w="1135" w:type="dxa"/>
            <w:vMerge w:val="continue"/>
            <w:tcBorders>
              <w:right w:val="nil"/>
            </w:tcBorders>
            <w:shd w:val="clear" w:color="auto" w:fill="FFFFFF"/>
            <w:vAlign w:val="center"/>
          </w:tcPr>
          <w:p w14:paraId="44C2E2DF">
            <w:pPr>
              <w:pStyle w:val="59"/>
              <w:bidi w:val="0"/>
              <w:jc w:val="center"/>
              <w:rPr>
                <w:b w:val="0"/>
                <w:color w:val="000000"/>
              </w:rPr>
            </w:pPr>
          </w:p>
        </w:tc>
      </w:tr>
      <w:tr w14:paraId="12EAAD3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5BC980F9">
            <w:pPr>
              <w:pStyle w:val="59"/>
              <w:bidi w:val="0"/>
              <w:jc w:val="center"/>
              <w:rPr>
                <w:b w:val="0"/>
                <w:color w:val="000000"/>
              </w:rPr>
            </w:pPr>
          </w:p>
        </w:tc>
        <w:tc>
          <w:tcPr>
            <w:tcW w:w="895" w:type="dxa"/>
            <w:vMerge w:val="continue"/>
            <w:shd w:val="clear" w:color="auto" w:fill="FFFFFF"/>
            <w:vAlign w:val="center"/>
          </w:tcPr>
          <w:p w14:paraId="232E4EF6">
            <w:pPr>
              <w:pStyle w:val="59"/>
              <w:bidi w:val="0"/>
              <w:jc w:val="center"/>
              <w:rPr>
                <w:b w:val="0"/>
                <w:color w:val="000000"/>
              </w:rPr>
            </w:pPr>
          </w:p>
        </w:tc>
        <w:tc>
          <w:tcPr>
            <w:tcW w:w="929" w:type="dxa"/>
            <w:shd w:val="clear" w:color="auto" w:fill="auto"/>
            <w:vAlign w:val="center"/>
          </w:tcPr>
          <w:p w14:paraId="75C2A936">
            <w:pPr>
              <w:pStyle w:val="59"/>
              <w:ind w:firstLine="0" w:firstLineChars="0"/>
              <w:rPr>
                <w:rFonts w:ascii="Times New Roman" w:hAnsi="Times New Roman" w:eastAsia="宋体" w:cs="Times New Roman"/>
                <w:color w:val="auto"/>
                <w:kern w:val="0"/>
                <w:sz w:val="21"/>
                <w:szCs w:val="20"/>
                <w:lang w:val="en-US" w:eastAsia="zh-CN" w:bidi="ar-SA"/>
              </w:rPr>
            </w:pPr>
            <w:r>
              <w:rPr>
                <w:rFonts w:hint="eastAsia"/>
                <w:color w:val="auto"/>
              </w:rPr>
              <w:t>氯化氢</w:t>
            </w:r>
          </w:p>
        </w:tc>
        <w:tc>
          <w:tcPr>
            <w:tcW w:w="780" w:type="dxa"/>
            <w:shd w:val="clear" w:color="auto" w:fill="FFFFFF"/>
            <w:vAlign w:val="center"/>
          </w:tcPr>
          <w:p w14:paraId="0B13BA12">
            <w:pPr>
              <w:pStyle w:val="59"/>
              <w:bidi w:val="0"/>
              <w:jc w:val="center"/>
              <w:rPr>
                <w:rFonts w:hint="default" w:eastAsia="宋体"/>
                <w:b w:val="0"/>
                <w:color w:val="000000"/>
                <w:lang w:val="en-US" w:eastAsia="zh-CN"/>
              </w:rPr>
            </w:pPr>
            <w:r>
              <w:rPr>
                <w:rFonts w:hint="eastAsia"/>
                <w:b w:val="0"/>
                <w:color w:val="000000"/>
                <w:lang w:val="en-US" w:eastAsia="zh-CN"/>
              </w:rPr>
              <w:t>0.78</w:t>
            </w:r>
          </w:p>
        </w:tc>
        <w:tc>
          <w:tcPr>
            <w:tcW w:w="1253" w:type="dxa"/>
            <w:shd w:val="clear" w:color="auto" w:fill="FFFFFF"/>
            <w:vAlign w:val="center"/>
          </w:tcPr>
          <w:p w14:paraId="17CA29DF">
            <w:pPr>
              <w:pStyle w:val="59"/>
              <w:bidi w:val="0"/>
              <w:jc w:val="center"/>
              <w:rPr>
                <w:rFonts w:hint="default" w:eastAsia="宋体"/>
                <w:b w:val="0"/>
                <w:color w:val="000000"/>
                <w:lang w:val="en-US" w:eastAsia="zh-CN"/>
              </w:rPr>
            </w:pPr>
            <w:r>
              <w:rPr>
                <w:rFonts w:hint="eastAsia"/>
                <w:b w:val="0"/>
                <w:color w:val="000000"/>
                <w:lang w:val="en-US" w:eastAsia="zh-CN"/>
              </w:rPr>
              <w:t>100</w:t>
            </w:r>
          </w:p>
        </w:tc>
        <w:tc>
          <w:tcPr>
            <w:tcW w:w="3181" w:type="dxa"/>
            <w:vMerge w:val="restart"/>
            <w:shd w:val="clear" w:color="auto" w:fill="FFFFFF"/>
            <w:vAlign w:val="center"/>
          </w:tcPr>
          <w:p w14:paraId="5BFE9DD7">
            <w:pPr>
              <w:pStyle w:val="59"/>
              <w:bidi w:val="0"/>
              <w:jc w:val="center"/>
              <w:rPr>
                <w:b w:val="0"/>
                <w:color w:val="000000"/>
              </w:rPr>
            </w:pPr>
            <w:r>
              <w:rPr>
                <w:rFonts w:hint="eastAsia" w:ascii="Times New Roman" w:hAnsi="Times New Roman" w:cs="Times New Roman"/>
                <w:b w:val="0"/>
                <w:color w:val="000000"/>
                <w:lang w:val="en-US" w:eastAsia="zh-CN"/>
              </w:rPr>
              <w:t>广东省地方标准《</w:t>
            </w:r>
            <w:r>
              <w:rPr>
                <w:rFonts w:hint="default" w:ascii="Times New Roman" w:hAnsi="Times New Roman" w:cs="Times New Roman"/>
                <w:b w:val="0"/>
                <w:color w:val="000000"/>
                <w:lang w:val="en-US" w:eastAsia="zh-CN"/>
              </w:rPr>
              <w:t>大气污染物排放限值》（DB44/27-2001）中第二时段二级标准</w:t>
            </w:r>
          </w:p>
        </w:tc>
        <w:tc>
          <w:tcPr>
            <w:tcW w:w="1135" w:type="dxa"/>
            <w:vMerge w:val="continue"/>
            <w:tcBorders>
              <w:right w:val="nil"/>
            </w:tcBorders>
            <w:shd w:val="clear" w:color="auto" w:fill="FFFFFF"/>
            <w:vAlign w:val="center"/>
          </w:tcPr>
          <w:p w14:paraId="5009CF5D">
            <w:pPr>
              <w:pStyle w:val="59"/>
              <w:bidi w:val="0"/>
              <w:jc w:val="center"/>
              <w:rPr>
                <w:b w:val="0"/>
                <w:color w:val="000000"/>
              </w:rPr>
            </w:pPr>
          </w:p>
        </w:tc>
      </w:tr>
      <w:tr w14:paraId="6BB9E9B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62EB4631">
            <w:pPr>
              <w:pStyle w:val="59"/>
              <w:bidi w:val="0"/>
              <w:jc w:val="center"/>
              <w:rPr>
                <w:b w:val="0"/>
                <w:color w:val="000000"/>
              </w:rPr>
            </w:pPr>
          </w:p>
        </w:tc>
        <w:tc>
          <w:tcPr>
            <w:tcW w:w="895" w:type="dxa"/>
            <w:vMerge w:val="continue"/>
            <w:shd w:val="clear" w:color="auto" w:fill="FFFFFF"/>
            <w:vAlign w:val="center"/>
          </w:tcPr>
          <w:p w14:paraId="29365216">
            <w:pPr>
              <w:pStyle w:val="59"/>
              <w:bidi w:val="0"/>
              <w:jc w:val="center"/>
              <w:rPr>
                <w:b w:val="0"/>
                <w:color w:val="000000"/>
              </w:rPr>
            </w:pPr>
          </w:p>
        </w:tc>
        <w:tc>
          <w:tcPr>
            <w:tcW w:w="929" w:type="dxa"/>
            <w:shd w:val="clear" w:color="auto" w:fill="auto"/>
            <w:vAlign w:val="center"/>
          </w:tcPr>
          <w:p w14:paraId="35291DF0">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氯乙烯</w:t>
            </w:r>
          </w:p>
        </w:tc>
        <w:tc>
          <w:tcPr>
            <w:tcW w:w="780" w:type="dxa"/>
            <w:shd w:val="clear" w:color="auto" w:fill="FFFFFF"/>
            <w:vAlign w:val="center"/>
          </w:tcPr>
          <w:p w14:paraId="5BD68A73">
            <w:pPr>
              <w:pStyle w:val="59"/>
              <w:bidi w:val="0"/>
              <w:jc w:val="center"/>
              <w:rPr>
                <w:rFonts w:hint="default" w:eastAsia="宋体"/>
                <w:b w:val="0"/>
                <w:color w:val="000000"/>
                <w:lang w:val="en-US" w:eastAsia="zh-CN"/>
              </w:rPr>
            </w:pPr>
            <w:r>
              <w:rPr>
                <w:rFonts w:hint="eastAsia"/>
                <w:b w:val="0"/>
                <w:color w:val="000000"/>
                <w:lang w:val="en-US" w:eastAsia="zh-CN"/>
              </w:rPr>
              <w:t>2.25</w:t>
            </w:r>
          </w:p>
        </w:tc>
        <w:tc>
          <w:tcPr>
            <w:tcW w:w="1253" w:type="dxa"/>
            <w:shd w:val="clear" w:color="auto" w:fill="FFFFFF"/>
            <w:vAlign w:val="center"/>
          </w:tcPr>
          <w:p w14:paraId="64A1C653">
            <w:pPr>
              <w:pStyle w:val="59"/>
              <w:bidi w:val="0"/>
              <w:jc w:val="center"/>
              <w:rPr>
                <w:rFonts w:hint="default" w:eastAsia="宋体"/>
                <w:b w:val="0"/>
                <w:color w:val="000000"/>
                <w:lang w:val="en-US" w:eastAsia="zh-CN"/>
              </w:rPr>
            </w:pPr>
            <w:r>
              <w:rPr>
                <w:rFonts w:hint="eastAsia"/>
                <w:b w:val="0"/>
                <w:color w:val="000000"/>
                <w:lang w:val="en-US" w:eastAsia="zh-CN"/>
              </w:rPr>
              <w:t>36</w:t>
            </w:r>
          </w:p>
        </w:tc>
        <w:tc>
          <w:tcPr>
            <w:tcW w:w="3181" w:type="dxa"/>
            <w:vMerge w:val="continue"/>
            <w:shd w:val="clear" w:color="auto" w:fill="FFFFFF"/>
            <w:vAlign w:val="center"/>
          </w:tcPr>
          <w:p w14:paraId="4F03620A">
            <w:pPr>
              <w:pStyle w:val="59"/>
              <w:bidi w:val="0"/>
              <w:jc w:val="center"/>
              <w:rPr>
                <w:b w:val="0"/>
                <w:color w:val="000000"/>
              </w:rPr>
            </w:pPr>
          </w:p>
        </w:tc>
        <w:tc>
          <w:tcPr>
            <w:tcW w:w="1135" w:type="dxa"/>
            <w:vMerge w:val="continue"/>
            <w:tcBorders>
              <w:right w:val="nil"/>
            </w:tcBorders>
            <w:shd w:val="clear" w:color="auto" w:fill="FFFFFF"/>
            <w:vAlign w:val="center"/>
          </w:tcPr>
          <w:p w14:paraId="121D615A">
            <w:pPr>
              <w:pStyle w:val="59"/>
              <w:bidi w:val="0"/>
              <w:jc w:val="center"/>
              <w:rPr>
                <w:b w:val="0"/>
                <w:color w:val="000000"/>
              </w:rPr>
            </w:pPr>
          </w:p>
        </w:tc>
      </w:tr>
      <w:tr w14:paraId="1116952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6C438441">
            <w:pPr>
              <w:pStyle w:val="59"/>
              <w:bidi w:val="0"/>
              <w:jc w:val="center"/>
              <w:rPr>
                <w:b w:val="0"/>
                <w:color w:val="000000"/>
              </w:rPr>
            </w:pPr>
          </w:p>
        </w:tc>
        <w:tc>
          <w:tcPr>
            <w:tcW w:w="895" w:type="dxa"/>
            <w:vMerge w:val="continue"/>
            <w:shd w:val="clear" w:color="auto" w:fill="FFFFFF"/>
            <w:vAlign w:val="center"/>
          </w:tcPr>
          <w:p w14:paraId="20EF582B">
            <w:pPr>
              <w:pStyle w:val="59"/>
              <w:bidi w:val="0"/>
              <w:jc w:val="center"/>
              <w:rPr>
                <w:b w:val="0"/>
                <w:color w:val="000000"/>
              </w:rPr>
            </w:pPr>
          </w:p>
        </w:tc>
        <w:tc>
          <w:tcPr>
            <w:tcW w:w="929" w:type="dxa"/>
            <w:shd w:val="clear" w:color="auto" w:fill="FFFFFF"/>
            <w:vAlign w:val="center"/>
          </w:tcPr>
          <w:p w14:paraId="0613D377">
            <w:pPr>
              <w:pStyle w:val="59"/>
              <w:bidi w:val="0"/>
              <w:jc w:val="center"/>
              <w:rPr>
                <w:rFonts w:hint="eastAsia" w:eastAsia="宋体"/>
                <w:b w:val="0"/>
                <w:color w:val="000000"/>
                <w:lang w:val="en-US" w:eastAsia="zh-CN"/>
              </w:rPr>
            </w:pPr>
            <w:r>
              <w:rPr>
                <w:rFonts w:hint="eastAsia"/>
                <w:b w:val="0"/>
                <w:color w:val="000000"/>
                <w:lang w:val="en-US" w:eastAsia="zh-CN"/>
              </w:rPr>
              <w:t>苯</w:t>
            </w:r>
          </w:p>
        </w:tc>
        <w:tc>
          <w:tcPr>
            <w:tcW w:w="780" w:type="dxa"/>
            <w:shd w:val="clear" w:color="auto" w:fill="FFFFFF"/>
            <w:vAlign w:val="center"/>
          </w:tcPr>
          <w:p w14:paraId="1606DBFB">
            <w:pPr>
              <w:pStyle w:val="59"/>
              <w:bidi w:val="0"/>
              <w:jc w:val="center"/>
              <w:rPr>
                <w:rFonts w:hint="default" w:eastAsia="宋体"/>
                <w:b w:val="0"/>
                <w:color w:val="000000"/>
                <w:lang w:val="en-US" w:eastAsia="zh-CN"/>
              </w:rPr>
            </w:pPr>
            <w:r>
              <w:rPr>
                <w:rFonts w:hint="eastAsia"/>
                <w:b w:val="0"/>
                <w:color w:val="000000"/>
                <w:lang w:val="en-US" w:eastAsia="zh-CN"/>
              </w:rPr>
              <w:t>1.5</w:t>
            </w:r>
          </w:p>
        </w:tc>
        <w:tc>
          <w:tcPr>
            <w:tcW w:w="1253" w:type="dxa"/>
            <w:shd w:val="clear" w:color="auto" w:fill="FFFFFF"/>
            <w:vAlign w:val="center"/>
          </w:tcPr>
          <w:p w14:paraId="0BDB1E6A">
            <w:pPr>
              <w:pStyle w:val="59"/>
              <w:bidi w:val="0"/>
              <w:jc w:val="center"/>
              <w:rPr>
                <w:rFonts w:hint="default" w:eastAsia="宋体"/>
                <w:b w:val="0"/>
                <w:color w:val="000000"/>
                <w:lang w:val="en-US" w:eastAsia="zh-CN"/>
              </w:rPr>
            </w:pPr>
            <w:r>
              <w:rPr>
                <w:rFonts w:hint="eastAsia"/>
                <w:b w:val="0"/>
                <w:color w:val="000000"/>
                <w:lang w:val="en-US" w:eastAsia="zh-CN"/>
              </w:rPr>
              <w:t>12</w:t>
            </w:r>
          </w:p>
        </w:tc>
        <w:tc>
          <w:tcPr>
            <w:tcW w:w="3181" w:type="dxa"/>
            <w:vMerge w:val="continue"/>
            <w:shd w:val="clear" w:color="auto" w:fill="FFFFFF"/>
            <w:vAlign w:val="center"/>
          </w:tcPr>
          <w:p w14:paraId="61243525">
            <w:pPr>
              <w:pStyle w:val="59"/>
              <w:bidi w:val="0"/>
              <w:jc w:val="center"/>
              <w:rPr>
                <w:b w:val="0"/>
                <w:color w:val="000000"/>
              </w:rPr>
            </w:pPr>
          </w:p>
        </w:tc>
        <w:tc>
          <w:tcPr>
            <w:tcW w:w="1135" w:type="dxa"/>
            <w:vMerge w:val="continue"/>
            <w:tcBorders>
              <w:right w:val="nil"/>
            </w:tcBorders>
            <w:shd w:val="clear" w:color="auto" w:fill="FFFFFF"/>
            <w:vAlign w:val="center"/>
          </w:tcPr>
          <w:p w14:paraId="4F90871D">
            <w:pPr>
              <w:pStyle w:val="59"/>
              <w:bidi w:val="0"/>
              <w:jc w:val="center"/>
              <w:rPr>
                <w:b w:val="0"/>
                <w:color w:val="000000"/>
              </w:rPr>
            </w:pPr>
          </w:p>
        </w:tc>
      </w:tr>
      <w:tr w14:paraId="487C37B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04F522FA">
            <w:pPr>
              <w:pStyle w:val="59"/>
              <w:bidi w:val="0"/>
              <w:jc w:val="center"/>
              <w:rPr>
                <w:b w:val="0"/>
                <w:color w:val="000000"/>
              </w:rPr>
            </w:pPr>
          </w:p>
        </w:tc>
        <w:tc>
          <w:tcPr>
            <w:tcW w:w="895" w:type="dxa"/>
            <w:vMerge w:val="continue"/>
            <w:shd w:val="clear" w:color="auto" w:fill="FFFFFF"/>
            <w:vAlign w:val="center"/>
          </w:tcPr>
          <w:p w14:paraId="593F40AE">
            <w:pPr>
              <w:pStyle w:val="59"/>
              <w:bidi w:val="0"/>
              <w:jc w:val="center"/>
              <w:rPr>
                <w:b w:val="0"/>
                <w:color w:val="000000"/>
              </w:rPr>
            </w:pPr>
          </w:p>
        </w:tc>
        <w:tc>
          <w:tcPr>
            <w:tcW w:w="929" w:type="dxa"/>
            <w:shd w:val="clear" w:color="auto" w:fill="FFFFFF"/>
            <w:vAlign w:val="center"/>
          </w:tcPr>
          <w:p w14:paraId="65B179CC">
            <w:pPr>
              <w:pStyle w:val="59"/>
              <w:bidi w:val="0"/>
              <w:jc w:val="center"/>
              <w:rPr>
                <w:rFonts w:hint="eastAsia" w:eastAsia="宋体"/>
                <w:b w:val="0"/>
                <w:color w:val="000000"/>
                <w:lang w:val="en-US" w:eastAsia="zh-CN"/>
              </w:rPr>
            </w:pPr>
            <w:r>
              <w:rPr>
                <w:rFonts w:hint="eastAsia"/>
                <w:b w:val="0"/>
                <w:color w:val="000000"/>
                <w:lang w:val="en-US" w:eastAsia="zh-CN"/>
              </w:rPr>
              <w:t>甲苯</w:t>
            </w:r>
          </w:p>
        </w:tc>
        <w:tc>
          <w:tcPr>
            <w:tcW w:w="780" w:type="dxa"/>
            <w:shd w:val="clear" w:color="auto" w:fill="FFFFFF"/>
            <w:vAlign w:val="center"/>
          </w:tcPr>
          <w:p w14:paraId="5D649F47">
            <w:pPr>
              <w:pStyle w:val="59"/>
              <w:bidi w:val="0"/>
              <w:jc w:val="center"/>
              <w:rPr>
                <w:rFonts w:hint="default" w:eastAsia="宋体"/>
                <w:b w:val="0"/>
                <w:color w:val="000000"/>
                <w:lang w:val="en-US" w:eastAsia="zh-CN"/>
              </w:rPr>
            </w:pPr>
            <w:r>
              <w:rPr>
                <w:rFonts w:hint="eastAsia"/>
                <w:b w:val="0"/>
                <w:color w:val="000000"/>
                <w:lang w:val="en-US" w:eastAsia="zh-CN"/>
              </w:rPr>
              <w:t>9.65</w:t>
            </w:r>
          </w:p>
        </w:tc>
        <w:tc>
          <w:tcPr>
            <w:tcW w:w="1253" w:type="dxa"/>
            <w:shd w:val="clear" w:color="auto" w:fill="FFFFFF"/>
            <w:vAlign w:val="center"/>
          </w:tcPr>
          <w:p w14:paraId="3B1AA5BD">
            <w:pPr>
              <w:pStyle w:val="59"/>
              <w:bidi w:val="0"/>
              <w:jc w:val="center"/>
              <w:rPr>
                <w:rFonts w:hint="default" w:eastAsia="宋体"/>
                <w:b w:val="0"/>
                <w:color w:val="000000"/>
                <w:lang w:val="en-US" w:eastAsia="zh-CN"/>
              </w:rPr>
            </w:pPr>
            <w:r>
              <w:rPr>
                <w:rFonts w:hint="eastAsia"/>
                <w:b w:val="0"/>
                <w:color w:val="000000"/>
                <w:lang w:val="en-US" w:eastAsia="zh-CN"/>
              </w:rPr>
              <w:t>40</w:t>
            </w:r>
          </w:p>
        </w:tc>
        <w:tc>
          <w:tcPr>
            <w:tcW w:w="3181" w:type="dxa"/>
            <w:vMerge w:val="continue"/>
            <w:shd w:val="clear" w:color="auto" w:fill="FFFFFF"/>
            <w:vAlign w:val="center"/>
          </w:tcPr>
          <w:p w14:paraId="0AC1F017">
            <w:pPr>
              <w:pStyle w:val="59"/>
              <w:bidi w:val="0"/>
              <w:jc w:val="center"/>
              <w:rPr>
                <w:b w:val="0"/>
                <w:color w:val="000000"/>
              </w:rPr>
            </w:pPr>
          </w:p>
        </w:tc>
        <w:tc>
          <w:tcPr>
            <w:tcW w:w="1135" w:type="dxa"/>
            <w:vMerge w:val="continue"/>
            <w:tcBorders>
              <w:right w:val="nil"/>
            </w:tcBorders>
            <w:shd w:val="clear" w:color="auto" w:fill="FFFFFF"/>
            <w:vAlign w:val="center"/>
          </w:tcPr>
          <w:p w14:paraId="56711F21">
            <w:pPr>
              <w:pStyle w:val="59"/>
              <w:bidi w:val="0"/>
              <w:jc w:val="center"/>
              <w:rPr>
                <w:b w:val="0"/>
                <w:color w:val="000000"/>
              </w:rPr>
            </w:pPr>
          </w:p>
        </w:tc>
      </w:tr>
      <w:tr w14:paraId="5E1528E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restart"/>
            <w:tcBorders>
              <w:left w:val="nil"/>
            </w:tcBorders>
            <w:shd w:val="clear" w:color="auto" w:fill="FFFFFF"/>
            <w:vAlign w:val="center"/>
          </w:tcPr>
          <w:p w14:paraId="3639FAD8">
            <w:pPr>
              <w:pStyle w:val="59"/>
              <w:bidi w:val="0"/>
              <w:jc w:val="center"/>
              <w:rPr>
                <w:b w:val="0"/>
                <w:color w:val="000000"/>
              </w:rPr>
            </w:pPr>
            <w:r>
              <w:rPr>
                <w:rFonts w:hint="eastAsia"/>
                <w:b w:val="0"/>
                <w:color w:val="000000"/>
                <w:lang w:val="en-US" w:eastAsia="zh-CN"/>
              </w:rPr>
              <w:t>无组</w:t>
            </w:r>
            <w:r>
              <w:rPr>
                <w:b w:val="0"/>
                <w:color w:val="000000"/>
              </w:rPr>
              <w:t>织废气</w:t>
            </w:r>
          </w:p>
        </w:tc>
        <w:tc>
          <w:tcPr>
            <w:tcW w:w="895" w:type="dxa"/>
            <w:vMerge w:val="restart"/>
            <w:shd w:val="clear" w:color="auto" w:fill="FFFFFF"/>
            <w:vAlign w:val="center"/>
          </w:tcPr>
          <w:p w14:paraId="0216B6CD">
            <w:pPr>
              <w:pStyle w:val="59"/>
              <w:bidi w:val="0"/>
              <w:jc w:val="center"/>
              <w:rPr>
                <w:b w:val="0"/>
                <w:color w:val="000000"/>
              </w:rPr>
            </w:pPr>
            <w:r>
              <w:rPr>
                <w:b w:val="0"/>
                <w:color w:val="000000"/>
              </w:rPr>
              <w:t>厂界</w:t>
            </w:r>
          </w:p>
        </w:tc>
        <w:tc>
          <w:tcPr>
            <w:tcW w:w="929" w:type="dxa"/>
            <w:shd w:val="clear" w:color="auto" w:fill="FFFFFF"/>
            <w:vAlign w:val="center"/>
          </w:tcPr>
          <w:p w14:paraId="78C19533">
            <w:pPr>
              <w:pStyle w:val="59"/>
              <w:bidi w:val="0"/>
              <w:jc w:val="center"/>
              <w:rPr>
                <w:b w:val="0"/>
                <w:color w:val="000000"/>
              </w:rPr>
            </w:pPr>
            <w:r>
              <w:rPr>
                <w:b w:val="0"/>
                <w:color w:val="000000"/>
              </w:rPr>
              <w:t>总 VOCs</w:t>
            </w:r>
          </w:p>
        </w:tc>
        <w:tc>
          <w:tcPr>
            <w:tcW w:w="780" w:type="dxa"/>
            <w:shd w:val="clear" w:color="auto" w:fill="FFFFFF"/>
            <w:vAlign w:val="center"/>
          </w:tcPr>
          <w:p w14:paraId="53FB5DC5">
            <w:pPr>
              <w:pStyle w:val="59"/>
              <w:bidi w:val="0"/>
              <w:jc w:val="center"/>
              <w:rPr>
                <w:b w:val="0"/>
                <w:color w:val="000000"/>
              </w:rPr>
            </w:pPr>
            <w:r>
              <w:rPr>
                <w:b w:val="0"/>
                <w:color w:val="000000"/>
              </w:rPr>
              <w:t>/</w:t>
            </w:r>
          </w:p>
        </w:tc>
        <w:tc>
          <w:tcPr>
            <w:tcW w:w="1253" w:type="dxa"/>
            <w:shd w:val="clear" w:color="auto" w:fill="FFFFFF"/>
            <w:vAlign w:val="center"/>
          </w:tcPr>
          <w:p w14:paraId="70FBFB45">
            <w:pPr>
              <w:pStyle w:val="59"/>
              <w:bidi w:val="0"/>
              <w:jc w:val="center"/>
              <w:rPr>
                <w:b w:val="0"/>
                <w:color w:val="000000"/>
              </w:rPr>
            </w:pPr>
            <w:r>
              <w:rPr>
                <w:b w:val="0"/>
                <w:color w:val="000000"/>
              </w:rPr>
              <w:t>2</w:t>
            </w:r>
          </w:p>
        </w:tc>
        <w:tc>
          <w:tcPr>
            <w:tcW w:w="3181" w:type="dxa"/>
            <w:shd w:val="clear" w:color="auto" w:fill="FFFFFF"/>
            <w:vAlign w:val="center"/>
          </w:tcPr>
          <w:p w14:paraId="6E252C2D">
            <w:pPr>
              <w:pStyle w:val="59"/>
              <w:bidi w:val="0"/>
              <w:jc w:val="center"/>
              <w:rPr>
                <w:b w:val="0"/>
                <w:color w:val="000000"/>
              </w:rPr>
            </w:pPr>
            <w:r>
              <w:rPr>
                <w:b w:val="0"/>
                <w:color w:val="000000"/>
              </w:rPr>
              <w:t>广东省地方标准《印刷行业挥发性</w:t>
            </w:r>
          </w:p>
          <w:p w14:paraId="03E590FE">
            <w:pPr>
              <w:pStyle w:val="59"/>
              <w:bidi w:val="0"/>
              <w:jc w:val="center"/>
              <w:rPr>
                <w:b w:val="0"/>
                <w:color w:val="000000"/>
              </w:rPr>
            </w:pPr>
            <w:r>
              <w:rPr>
                <w:b w:val="0"/>
                <w:color w:val="000000"/>
              </w:rPr>
              <w:t>有机化合物排放标准》</w:t>
            </w:r>
          </w:p>
          <w:p w14:paraId="7D50637B">
            <w:pPr>
              <w:pStyle w:val="59"/>
              <w:bidi w:val="0"/>
              <w:jc w:val="center"/>
              <w:rPr>
                <w:b w:val="0"/>
                <w:color w:val="000000"/>
              </w:rPr>
            </w:pPr>
            <w:r>
              <w:rPr>
                <w:b w:val="0"/>
                <w:color w:val="000000"/>
              </w:rPr>
              <w:t>（DB44/815-2010）中表 3 标准</w:t>
            </w:r>
          </w:p>
        </w:tc>
        <w:tc>
          <w:tcPr>
            <w:tcW w:w="1135" w:type="dxa"/>
            <w:vMerge w:val="restart"/>
            <w:tcBorders>
              <w:right w:val="nil"/>
            </w:tcBorders>
            <w:shd w:val="clear" w:color="auto" w:fill="FFFFFF"/>
            <w:vAlign w:val="center"/>
          </w:tcPr>
          <w:p w14:paraId="2AB067E9">
            <w:pPr>
              <w:pStyle w:val="59"/>
              <w:bidi w:val="0"/>
              <w:jc w:val="center"/>
              <w:rPr>
                <w:b w:val="0"/>
                <w:color w:val="000000"/>
              </w:rPr>
            </w:pPr>
            <w:r>
              <w:rPr>
                <w:b w:val="0"/>
                <w:color w:val="000000"/>
              </w:rPr>
              <w:t>厂界</w:t>
            </w:r>
          </w:p>
        </w:tc>
      </w:tr>
      <w:tr w14:paraId="545D66A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46ED745D">
            <w:pPr>
              <w:pStyle w:val="59"/>
              <w:bidi w:val="0"/>
              <w:jc w:val="center"/>
              <w:rPr>
                <w:b w:val="0"/>
                <w:color w:val="000000"/>
              </w:rPr>
            </w:pPr>
          </w:p>
        </w:tc>
        <w:tc>
          <w:tcPr>
            <w:tcW w:w="895" w:type="dxa"/>
            <w:vMerge w:val="continue"/>
            <w:shd w:val="clear" w:color="auto" w:fill="FFFFFF"/>
            <w:vAlign w:val="center"/>
          </w:tcPr>
          <w:p w14:paraId="4B018D88">
            <w:pPr>
              <w:pStyle w:val="59"/>
              <w:bidi w:val="0"/>
              <w:jc w:val="center"/>
              <w:rPr>
                <w:b w:val="0"/>
                <w:color w:val="000000"/>
              </w:rPr>
            </w:pPr>
          </w:p>
        </w:tc>
        <w:tc>
          <w:tcPr>
            <w:tcW w:w="929" w:type="dxa"/>
            <w:shd w:val="clear" w:color="auto" w:fill="FFFFFF"/>
            <w:vAlign w:val="center"/>
          </w:tcPr>
          <w:p w14:paraId="02FE42AF">
            <w:pPr>
              <w:pStyle w:val="59"/>
              <w:bidi w:val="0"/>
              <w:jc w:val="center"/>
              <w:rPr>
                <w:b w:val="0"/>
                <w:color w:val="000000"/>
              </w:rPr>
            </w:pPr>
            <w:r>
              <w:rPr>
                <w:b w:val="0"/>
                <w:color w:val="000000"/>
              </w:rPr>
              <w:t>臭气浓度</w:t>
            </w:r>
          </w:p>
        </w:tc>
        <w:tc>
          <w:tcPr>
            <w:tcW w:w="780" w:type="dxa"/>
            <w:shd w:val="clear" w:color="auto" w:fill="FFFFFF"/>
            <w:vAlign w:val="center"/>
          </w:tcPr>
          <w:p w14:paraId="015ED7AE">
            <w:pPr>
              <w:pStyle w:val="59"/>
              <w:bidi w:val="0"/>
              <w:jc w:val="center"/>
              <w:rPr>
                <w:b w:val="0"/>
                <w:color w:val="000000"/>
              </w:rPr>
            </w:pPr>
            <w:r>
              <w:rPr>
                <w:b w:val="0"/>
                <w:color w:val="000000"/>
              </w:rPr>
              <w:t>/</w:t>
            </w:r>
          </w:p>
        </w:tc>
        <w:tc>
          <w:tcPr>
            <w:tcW w:w="1253" w:type="dxa"/>
            <w:shd w:val="clear" w:color="auto" w:fill="FFFFFF"/>
            <w:vAlign w:val="center"/>
          </w:tcPr>
          <w:p w14:paraId="2B7756F6">
            <w:pPr>
              <w:pStyle w:val="59"/>
              <w:bidi w:val="0"/>
              <w:jc w:val="center"/>
              <w:rPr>
                <w:b w:val="0"/>
                <w:color w:val="000000"/>
              </w:rPr>
            </w:pPr>
            <w:r>
              <w:rPr>
                <w:b w:val="0"/>
                <w:color w:val="000000"/>
              </w:rPr>
              <w:t>20（无量纲）</w:t>
            </w:r>
          </w:p>
        </w:tc>
        <w:tc>
          <w:tcPr>
            <w:tcW w:w="3181" w:type="dxa"/>
            <w:shd w:val="clear" w:color="auto" w:fill="FFFFFF"/>
            <w:vAlign w:val="center"/>
          </w:tcPr>
          <w:p w14:paraId="3D44D51D">
            <w:pPr>
              <w:pStyle w:val="59"/>
              <w:bidi w:val="0"/>
              <w:jc w:val="center"/>
              <w:rPr>
                <w:b w:val="0"/>
                <w:color w:val="000000"/>
              </w:rPr>
            </w:pPr>
            <w:r>
              <w:rPr>
                <w:b w:val="0"/>
                <w:color w:val="000000"/>
              </w:rPr>
              <w:t>《恶臭污染物排放标准》 （GB14554-93）表 1 标准</w:t>
            </w:r>
          </w:p>
        </w:tc>
        <w:tc>
          <w:tcPr>
            <w:tcW w:w="1135" w:type="dxa"/>
            <w:vMerge w:val="continue"/>
            <w:tcBorders>
              <w:right w:val="nil"/>
            </w:tcBorders>
            <w:shd w:val="clear" w:color="auto" w:fill="FFFFFF"/>
            <w:vAlign w:val="center"/>
          </w:tcPr>
          <w:p w14:paraId="2EADCF6A">
            <w:pPr>
              <w:pStyle w:val="59"/>
              <w:bidi w:val="0"/>
              <w:jc w:val="center"/>
              <w:rPr>
                <w:b w:val="0"/>
                <w:color w:val="000000"/>
              </w:rPr>
            </w:pPr>
          </w:p>
        </w:tc>
      </w:tr>
      <w:tr w14:paraId="305A2E3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267C59B5">
            <w:pPr>
              <w:pStyle w:val="69"/>
              <w:bidi w:val="0"/>
            </w:pPr>
          </w:p>
        </w:tc>
        <w:tc>
          <w:tcPr>
            <w:tcW w:w="895" w:type="dxa"/>
            <w:vMerge w:val="continue"/>
            <w:shd w:val="clear" w:color="auto" w:fill="FFFFFF"/>
            <w:vAlign w:val="center"/>
          </w:tcPr>
          <w:p w14:paraId="0D216EEB">
            <w:pPr>
              <w:pStyle w:val="69"/>
              <w:bidi w:val="0"/>
            </w:pPr>
          </w:p>
        </w:tc>
        <w:tc>
          <w:tcPr>
            <w:tcW w:w="929" w:type="dxa"/>
            <w:shd w:val="clear" w:color="auto" w:fill="auto"/>
            <w:vAlign w:val="center"/>
          </w:tcPr>
          <w:p w14:paraId="7F10C0A1">
            <w:pPr>
              <w:pStyle w:val="59"/>
              <w:ind w:firstLine="0" w:firstLineChars="0"/>
              <w:rPr>
                <w:rFonts w:ascii="Times New Roman" w:hAnsi="Times New Roman" w:eastAsia="宋体" w:cs="Times New Roman"/>
                <w:color w:val="auto"/>
                <w:kern w:val="0"/>
                <w:sz w:val="21"/>
                <w:szCs w:val="20"/>
                <w:lang w:val="en-US" w:eastAsia="zh-CN" w:bidi="ar-SA"/>
              </w:rPr>
            </w:pPr>
            <w:r>
              <w:rPr>
                <w:rFonts w:hint="eastAsia"/>
                <w:color w:val="auto"/>
              </w:rPr>
              <w:t>氯化氢</w:t>
            </w:r>
          </w:p>
        </w:tc>
        <w:tc>
          <w:tcPr>
            <w:tcW w:w="780" w:type="dxa"/>
            <w:shd w:val="clear" w:color="auto" w:fill="FFFFFF"/>
            <w:vAlign w:val="center"/>
          </w:tcPr>
          <w:p w14:paraId="167BD783">
            <w:pPr>
              <w:pStyle w:val="69"/>
              <w:bidi w:val="0"/>
            </w:pPr>
            <w:r>
              <w:rPr>
                <w:b w:val="0"/>
                <w:color w:val="000000"/>
              </w:rPr>
              <w:t>/</w:t>
            </w:r>
          </w:p>
        </w:tc>
        <w:tc>
          <w:tcPr>
            <w:tcW w:w="1253" w:type="dxa"/>
            <w:shd w:val="clear" w:color="auto" w:fill="FFFFFF"/>
            <w:vAlign w:val="center"/>
          </w:tcPr>
          <w:p w14:paraId="42010CF0">
            <w:pPr>
              <w:pStyle w:val="69"/>
              <w:bidi w:val="0"/>
              <w:rPr>
                <w:rFonts w:hint="default" w:eastAsia="宋体"/>
                <w:lang w:val="en-US" w:eastAsia="zh-CN"/>
              </w:rPr>
            </w:pPr>
            <w:r>
              <w:rPr>
                <w:rFonts w:hint="eastAsia"/>
                <w:lang w:val="en-US" w:eastAsia="zh-CN"/>
              </w:rPr>
              <w:t>0.2</w:t>
            </w:r>
          </w:p>
        </w:tc>
        <w:tc>
          <w:tcPr>
            <w:tcW w:w="3181" w:type="dxa"/>
            <w:vMerge w:val="restart"/>
            <w:shd w:val="clear" w:color="auto" w:fill="FFFFFF"/>
            <w:vAlign w:val="center"/>
          </w:tcPr>
          <w:p w14:paraId="7D3AB23C">
            <w:pPr>
              <w:pStyle w:val="69"/>
              <w:bidi w:val="0"/>
            </w:pPr>
            <w:r>
              <w:rPr>
                <w:rFonts w:hint="eastAsia"/>
                <w:lang w:val="en-US" w:eastAsia="zh-CN"/>
              </w:rPr>
              <w:t>广东省地方标准《</w:t>
            </w:r>
            <w:r>
              <w:rPr>
                <w:rFonts w:hint="default"/>
                <w:lang w:val="en-US" w:eastAsia="zh-CN"/>
              </w:rPr>
              <w:t>大气污染物排放限值》（DB44/27-2001）</w:t>
            </w:r>
            <w:r>
              <w:rPr>
                <w:rFonts w:hint="eastAsia"/>
                <w:lang w:val="en-US" w:eastAsia="zh-CN"/>
              </w:rPr>
              <w:t>第二时段无组织排放监控浓度限值</w:t>
            </w:r>
          </w:p>
        </w:tc>
        <w:tc>
          <w:tcPr>
            <w:tcW w:w="1135" w:type="dxa"/>
            <w:vMerge w:val="restart"/>
            <w:tcBorders>
              <w:right w:val="nil"/>
            </w:tcBorders>
            <w:shd w:val="clear" w:color="auto" w:fill="FFFFFF"/>
            <w:vAlign w:val="center"/>
          </w:tcPr>
          <w:p w14:paraId="615F2D6F">
            <w:pPr>
              <w:pStyle w:val="69"/>
              <w:bidi w:val="0"/>
              <w:rPr>
                <w:rFonts w:hint="default"/>
                <w:lang w:val="en-US" w:eastAsia="zh-CN"/>
              </w:rPr>
            </w:pPr>
            <w:r>
              <w:rPr>
                <w:rFonts w:hint="eastAsia"/>
                <w:lang w:val="en-US" w:eastAsia="zh-CN"/>
              </w:rPr>
              <w:t>周界外浓度最高点</w:t>
            </w:r>
          </w:p>
        </w:tc>
      </w:tr>
      <w:tr w14:paraId="402D016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0722F64F">
            <w:pPr>
              <w:pStyle w:val="69"/>
              <w:bidi w:val="0"/>
            </w:pPr>
          </w:p>
        </w:tc>
        <w:tc>
          <w:tcPr>
            <w:tcW w:w="895" w:type="dxa"/>
            <w:vMerge w:val="continue"/>
            <w:shd w:val="clear" w:color="auto" w:fill="FFFFFF"/>
            <w:vAlign w:val="center"/>
          </w:tcPr>
          <w:p w14:paraId="4A3E343A">
            <w:pPr>
              <w:pStyle w:val="69"/>
              <w:bidi w:val="0"/>
            </w:pPr>
          </w:p>
        </w:tc>
        <w:tc>
          <w:tcPr>
            <w:tcW w:w="929" w:type="dxa"/>
            <w:shd w:val="clear" w:color="auto" w:fill="auto"/>
            <w:vAlign w:val="center"/>
          </w:tcPr>
          <w:p w14:paraId="39E845AF">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氯乙烯</w:t>
            </w:r>
          </w:p>
        </w:tc>
        <w:tc>
          <w:tcPr>
            <w:tcW w:w="780" w:type="dxa"/>
            <w:shd w:val="clear" w:color="auto" w:fill="FFFFFF"/>
            <w:vAlign w:val="center"/>
          </w:tcPr>
          <w:p w14:paraId="3587B812">
            <w:pPr>
              <w:pStyle w:val="69"/>
              <w:bidi w:val="0"/>
            </w:pPr>
            <w:r>
              <w:rPr>
                <w:b w:val="0"/>
                <w:color w:val="000000"/>
              </w:rPr>
              <w:t>/</w:t>
            </w:r>
          </w:p>
        </w:tc>
        <w:tc>
          <w:tcPr>
            <w:tcW w:w="1253" w:type="dxa"/>
            <w:shd w:val="clear" w:color="auto" w:fill="FFFFFF"/>
            <w:vAlign w:val="center"/>
          </w:tcPr>
          <w:p w14:paraId="080E1FDC">
            <w:pPr>
              <w:pStyle w:val="69"/>
              <w:bidi w:val="0"/>
              <w:rPr>
                <w:rFonts w:hint="default" w:eastAsia="宋体"/>
                <w:lang w:val="en-US" w:eastAsia="zh-CN"/>
              </w:rPr>
            </w:pPr>
            <w:r>
              <w:rPr>
                <w:rFonts w:hint="eastAsia"/>
                <w:lang w:val="en-US" w:eastAsia="zh-CN"/>
              </w:rPr>
              <w:t>0.6</w:t>
            </w:r>
          </w:p>
        </w:tc>
        <w:tc>
          <w:tcPr>
            <w:tcW w:w="3181" w:type="dxa"/>
            <w:vMerge w:val="continue"/>
            <w:shd w:val="clear" w:color="auto" w:fill="FFFFFF"/>
            <w:vAlign w:val="center"/>
          </w:tcPr>
          <w:p w14:paraId="441811A6">
            <w:pPr>
              <w:pStyle w:val="69"/>
              <w:bidi w:val="0"/>
            </w:pPr>
          </w:p>
        </w:tc>
        <w:tc>
          <w:tcPr>
            <w:tcW w:w="1135" w:type="dxa"/>
            <w:vMerge w:val="continue"/>
            <w:tcBorders>
              <w:right w:val="nil"/>
            </w:tcBorders>
            <w:shd w:val="clear" w:color="auto" w:fill="FFFFFF"/>
            <w:vAlign w:val="center"/>
          </w:tcPr>
          <w:p w14:paraId="47D0E69C">
            <w:pPr>
              <w:pStyle w:val="69"/>
              <w:bidi w:val="0"/>
            </w:pPr>
          </w:p>
        </w:tc>
      </w:tr>
      <w:tr w14:paraId="2107D30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117B31DE">
            <w:pPr>
              <w:pStyle w:val="69"/>
              <w:bidi w:val="0"/>
            </w:pPr>
          </w:p>
        </w:tc>
        <w:tc>
          <w:tcPr>
            <w:tcW w:w="895" w:type="dxa"/>
            <w:vMerge w:val="continue"/>
            <w:shd w:val="clear" w:color="auto" w:fill="FFFFFF"/>
            <w:vAlign w:val="center"/>
          </w:tcPr>
          <w:p w14:paraId="5F9403AD">
            <w:pPr>
              <w:pStyle w:val="69"/>
              <w:bidi w:val="0"/>
            </w:pPr>
          </w:p>
        </w:tc>
        <w:tc>
          <w:tcPr>
            <w:tcW w:w="929" w:type="dxa"/>
            <w:shd w:val="clear" w:color="auto" w:fill="FFFFFF"/>
            <w:vAlign w:val="center"/>
          </w:tcPr>
          <w:p w14:paraId="6AFA6217">
            <w:pPr>
              <w:pStyle w:val="59"/>
              <w:bidi w:val="0"/>
              <w:ind w:firstLine="0" w:firstLineChars="0"/>
              <w:jc w:val="center"/>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苯</w:t>
            </w:r>
          </w:p>
        </w:tc>
        <w:tc>
          <w:tcPr>
            <w:tcW w:w="780" w:type="dxa"/>
            <w:shd w:val="clear" w:color="auto" w:fill="FFFFFF"/>
            <w:vAlign w:val="center"/>
          </w:tcPr>
          <w:p w14:paraId="13C3B470">
            <w:pPr>
              <w:pStyle w:val="69"/>
              <w:bidi w:val="0"/>
            </w:pPr>
            <w:r>
              <w:rPr>
                <w:b w:val="0"/>
                <w:color w:val="000000"/>
              </w:rPr>
              <w:t>/</w:t>
            </w:r>
          </w:p>
        </w:tc>
        <w:tc>
          <w:tcPr>
            <w:tcW w:w="1253" w:type="dxa"/>
            <w:shd w:val="clear" w:color="auto" w:fill="FFFFFF"/>
            <w:vAlign w:val="center"/>
          </w:tcPr>
          <w:p w14:paraId="4E6C7125">
            <w:pPr>
              <w:pStyle w:val="69"/>
              <w:bidi w:val="0"/>
              <w:rPr>
                <w:rFonts w:hint="default" w:eastAsia="宋体"/>
                <w:lang w:val="en-US" w:eastAsia="zh-CN"/>
              </w:rPr>
            </w:pPr>
            <w:r>
              <w:rPr>
                <w:rFonts w:hint="eastAsia"/>
                <w:lang w:val="en-US" w:eastAsia="zh-CN"/>
              </w:rPr>
              <w:t>0.4</w:t>
            </w:r>
          </w:p>
        </w:tc>
        <w:tc>
          <w:tcPr>
            <w:tcW w:w="3181" w:type="dxa"/>
            <w:vMerge w:val="continue"/>
            <w:shd w:val="clear" w:color="auto" w:fill="FFFFFF"/>
            <w:vAlign w:val="center"/>
          </w:tcPr>
          <w:p w14:paraId="2CC17A9E">
            <w:pPr>
              <w:pStyle w:val="69"/>
              <w:bidi w:val="0"/>
            </w:pPr>
          </w:p>
        </w:tc>
        <w:tc>
          <w:tcPr>
            <w:tcW w:w="1135" w:type="dxa"/>
            <w:vMerge w:val="continue"/>
            <w:tcBorders>
              <w:right w:val="nil"/>
            </w:tcBorders>
            <w:shd w:val="clear" w:color="auto" w:fill="FFFFFF"/>
            <w:vAlign w:val="center"/>
          </w:tcPr>
          <w:p w14:paraId="6C9207A0">
            <w:pPr>
              <w:pStyle w:val="69"/>
              <w:bidi w:val="0"/>
            </w:pPr>
          </w:p>
        </w:tc>
      </w:tr>
      <w:tr w14:paraId="4209ADE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95" w:type="dxa"/>
            <w:vMerge w:val="continue"/>
            <w:tcBorders>
              <w:left w:val="nil"/>
            </w:tcBorders>
            <w:shd w:val="clear" w:color="auto" w:fill="FFFFFF"/>
            <w:vAlign w:val="center"/>
          </w:tcPr>
          <w:p w14:paraId="174EC9F7">
            <w:pPr>
              <w:pStyle w:val="59"/>
              <w:bidi w:val="0"/>
              <w:jc w:val="center"/>
              <w:rPr>
                <w:b w:val="0"/>
                <w:color w:val="000000"/>
              </w:rPr>
            </w:pPr>
          </w:p>
        </w:tc>
        <w:tc>
          <w:tcPr>
            <w:tcW w:w="895" w:type="dxa"/>
            <w:vMerge w:val="continue"/>
            <w:shd w:val="clear" w:color="auto" w:fill="FFFFFF"/>
            <w:vAlign w:val="center"/>
          </w:tcPr>
          <w:p w14:paraId="52A4FBEC">
            <w:pPr>
              <w:pStyle w:val="59"/>
              <w:bidi w:val="0"/>
              <w:jc w:val="center"/>
              <w:rPr>
                <w:b w:val="0"/>
                <w:color w:val="000000"/>
              </w:rPr>
            </w:pPr>
          </w:p>
        </w:tc>
        <w:tc>
          <w:tcPr>
            <w:tcW w:w="929" w:type="dxa"/>
            <w:shd w:val="clear" w:color="auto" w:fill="FFFFFF"/>
            <w:vAlign w:val="center"/>
          </w:tcPr>
          <w:p w14:paraId="5C4F1E3F">
            <w:pPr>
              <w:pStyle w:val="59"/>
              <w:bidi w:val="0"/>
              <w:ind w:firstLine="0" w:firstLineChars="0"/>
              <w:jc w:val="center"/>
              <w:rPr>
                <w:rFonts w:hint="eastAsia" w:ascii="Times New Roman" w:hAnsi="Times New Roman" w:eastAsia="宋体" w:cs="Times New Roman"/>
                <w:b w:val="0"/>
                <w:color w:val="000000"/>
                <w:kern w:val="0"/>
                <w:sz w:val="21"/>
                <w:szCs w:val="20"/>
                <w:lang w:val="en-US" w:eastAsia="zh-CN" w:bidi="ar-SA"/>
              </w:rPr>
            </w:pPr>
            <w:r>
              <w:rPr>
                <w:rFonts w:hint="eastAsia"/>
                <w:b w:val="0"/>
                <w:color w:val="000000"/>
                <w:lang w:val="en-US" w:eastAsia="zh-CN"/>
              </w:rPr>
              <w:t>甲苯</w:t>
            </w:r>
          </w:p>
        </w:tc>
        <w:tc>
          <w:tcPr>
            <w:tcW w:w="780" w:type="dxa"/>
            <w:shd w:val="clear" w:color="auto" w:fill="FFFFFF"/>
            <w:vAlign w:val="center"/>
          </w:tcPr>
          <w:p w14:paraId="759FD9BC">
            <w:pPr>
              <w:pStyle w:val="59"/>
              <w:bidi w:val="0"/>
              <w:jc w:val="center"/>
              <w:rPr>
                <w:b w:val="0"/>
                <w:color w:val="000000"/>
              </w:rPr>
            </w:pPr>
            <w:r>
              <w:rPr>
                <w:b w:val="0"/>
                <w:color w:val="000000"/>
              </w:rPr>
              <w:t>/</w:t>
            </w:r>
          </w:p>
        </w:tc>
        <w:tc>
          <w:tcPr>
            <w:tcW w:w="1253" w:type="dxa"/>
            <w:shd w:val="clear" w:color="auto" w:fill="FFFFFF"/>
            <w:vAlign w:val="center"/>
          </w:tcPr>
          <w:p w14:paraId="7D2E94C0">
            <w:pPr>
              <w:pStyle w:val="59"/>
              <w:bidi w:val="0"/>
              <w:jc w:val="center"/>
              <w:rPr>
                <w:rFonts w:hint="default" w:eastAsia="宋体"/>
                <w:b w:val="0"/>
                <w:color w:val="000000"/>
                <w:lang w:val="en-US" w:eastAsia="zh-CN"/>
              </w:rPr>
            </w:pPr>
            <w:r>
              <w:rPr>
                <w:rFonts w:hint="eastAsia"/>
                <w:b w:val="0"/>
                <w:color w:val="000000"/>
                <w:lang w:val="en-US" w:eastAsia="zh-CN"/>
              </w:rPr>
              <w:t>2.4</w:t>
            </w:r>
          </w:p>
        </w:tc>
        <w:tc>
          <w:tcPr>
            <w:tcW w:w="3181" w:type="dxa"/>
            <w:vMerge w:val="continue"/>
            <w:shd w:val="clear" w:color="auto" w:fill="FFFFFF"/>
            <w:vAlign w:val="center"/>
          </w:tcPr>
          <w:p w14:paraId="30165D28">
            <w:pPr>
              <w:pStyle w:val="59"/>
              <w:bidi w:val="0"/>
              <w:jc w:val="center"/>
              <w:rPr>
                <w:b w:val="0"/>
                <w:color w:val="000000"/>
              </w:rPr>
            </w:pPr>
          </w:p>
        </w:tc>
        <w:tc>
          <w:tcPr>
            <w:tcW w:w="1135" w:type="dxa"/>
            <w:vMerge w:val="continue"/>
            <w:tcBorders>
              <w:right w:val="nil"/>
            </w:tcBorders>
            <w:shd w:val="clear" w:color="auto" w:fill="FFFFFF"/>
            <w:vAlign w:val="center"/>
          </w:tcPr>
          <w:p w14:paraId="6AA055B6">
            <w:pPr>
              <w:pStyle w:val="59"/>
              <w:bidi w:val="0"/>
              <w:jc w:val="center"/>
              <w:rPr>
                <w:b w:val="0"/>
                <w:color w:val="000000"/>
              </w:rPr>
            </w:pPr>
          </w:p>
        </w:tc>
      </w:tr>
      <w:tr w14:paraId="7412C8A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068" w:type="dxa"/>
            <w:gridSpan w:val="7"/>
            <w:tcBorders>
              <w:left w:val="nil"/>
              <w:bottom w:val="single" w:color="000000" w:sz="12" w:space="0"/>
              <w:right w:val="nil"/>
            </w:tcBorders>
            <w:shd w:val="clear" w:color="auto" w:fill="FFFFFF"/>
            <w:vAlign w:val="center"/>
          </w:tcPr>
          <w:p w14:paraId="115D7BEE">
            <w:pPr>
              <w:pStyle w:val="59"/>
              <w:bidi w:val="0"/>
              <w:ind w:firstLine="420" w:firstLineChars="200"/>
              <w:jc w:val="left"/>
            </w:pPr>
            <w:r>
              <w:rPr>
                <w:rFonts w:hint="eastAsia"/>
                <w:lang w:val="en-US" w:eastAsia="zh-CN"/>
              </w:rPr>
              <w:t>TVOC待国家污染物监测方法标准发布后实施。</w:t>
            </w:r>
          </w:p>
          <w:p w14:paraId="299936B0">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某排气筒高度处于表列两高度之间，用内插法计算其最高允许排放速率，按下式计算:</w:t>
            </w:r>
          </w:p>
          <w:p w14:paraId="58ACFDBE">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Q=Q a +(Q</w:t>
            </w:r>
            <w:r>
              <w:rPr>
                <w:rFonts w:hint="eastAsia"/>
                <w:color w:val="auto"/>
                <w:sz w:val="21"/>
                <w:szCs w:val="21"/>
                <w:vertAlign w:val="subscript"/>
              </w:rPr>
              <w:t xml:space="preserve"> a-1</w:t>
            </w:r>
            <w:r>
              <w:rPr>
                <w:rFonts w:hint="eastAsia"/>
                <w:color w:val="auto"/>
                <w:sz w:val="21"/>
                <w:szCs w:val="21"/>
              </w:rPr>
              <w:t xml:space="preserve"> -Q </w:t>
            </w:r>
            <w:r>
              <w:rPr>
                <w:rFonts w:hint="eastAsia"/>
                <w:color w:val="auto"/>
                <w:sz w:val="21"/>
                <w:szCs w:val="21"/>
                <w:vertAlign w:val="subscript"/>
              </w:rPr>
              <w:t xml:space="preserve">a </w:t>
            </w:r>
            <w:r>
              <w:rPr>
                <w:rFonts w:hint="eastAsia"/>
                <w:color w:val="auto"/>
                <w:sz w:val="21"/>
                <w:szCs w:val="21"/>
              </w:rPr>
              <w:t>)(h-h</w:t>
            </w:r>
            <w:r>
              <w:rPr>
                <w:rFonts w:hint="eastAsia"/>
                <w:color w:val="auto"/>
                <w:sz w:val="21"/>
                <w:szCs w:val="21"/>
                <w:vertAlign w:val="subscript"/>
              </w:rPr>
              <w:t xml:space="preserve"> a</w:t>
            </w:r>
            <w:r>
              <w:rPr>
                <w:rFonts w:hint="eastAsia"/>
                <w:color w:val="auto"/>
                <w:sz w:val="21"/>
                <w:szCs w:val="21"/>
              </w:rPr>
              <w:t xml:space="preserve"> )/(h </w:t>
            </w:r>
            <w:r>
              <w:rPr>
                <w:rFonts w:hint="eastAsia"/>
                <w:color w:val="auto"/>
                <w:sz w:val="21"/>
                <w:szCs w:val="21"/>
                <w:vertAlign w:val="subscript"/>
              </w:rPr>
              <w:t>a+1</w:t>
            </w:r>
            <w:r>
              <w:rPr>
                <w:rFonts w:hint="eastAsia"/>
                <w:color w:val="auto"/>
                <w:sz w:val="21"/>
                <w:szCs w:val="21"/>
              </w:rPr>
              <w:t xml:space="preserve"> -h </w:t>
            </w:r>
            <w:r>
              <w:rPr>
                <w:rFonts w:hint="eastAsia"/>
                <w:color w:val="auto"/>
                <w:sz w:val="21"/>
                <w:szCs w:val="21"/>
                <w:vertAlign w:val="subscript"/>
              </w:rPr>
              <w:t xml:space="preserve">a </w:t>
            </w:r>
            <w:r>
              <w:rPr>
                <w:rFonts w:hint="eastAsia"/>
                <w:color w:val="auto"/>
                <w:sz w:val="21"/>
                <w:szCs w:val="21"/>
              </w:rPr>
              <w:t>)</w:t>
            </w:r>
          </w:p>
          <w:p w14:paraId="79796E23">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式中：</w:t>
            </w:r>
          </w:p>
          <w:p w14:paraId="160856A7">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Q—某排气筒最高允许排放速率</w:t>
            </w:r>
          </w:p>
          <w:p w14:paraId="2E976429">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Q a—比某排气筒低的表列限值中的最小值</w:t>
            </w:r>
          </w:p>
          <w:p w14:paraId="426D395D">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Q</w:t>
            </w:r>
            <w:r>
              <w:rPr>
                <w:rFonts w:hint="eastAsia"/>
                <w:color w:val="auto"/>
                <w:sz w:val="21"/>
                <w:szCs w:val="21"/>
                <w:vertAlign w:val="subscript"/>
              </w:rPr>
              <w:t xml:space="preserve"> a+1</w:t>
            </w:r>
            <w:r>
              <w:rPr>
                <w:rFonts w:hint="eastAsia"/>
                <w:color w:val="auto"/>
                <w:sz w:val="21"/>
                <w:szCs w:val="21"/>
              </w:rPr>
              <w:t>—比某排气筒高的表列限值中的最小值</w:t>
            </w:r>
          </w:p>
          <w:p w14:paraId="2D7EA2C3">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h—某排气筒的几何高度</w:t>
            </w:r>
          </w:p>
          <w:p w14:paraId="65BB8312">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ha—比某排气筒低的表列高度中的最大值</w:t>
            </w:r>
          </w:p>
          <w:p w14:paraId="77460530">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color w:val="auto"/>
                <w:sz w:val="21"/>
                <w:szCs w:val="21"/>
              </w:rPr>
            </w:pPr>
            <w:r>
              <w:rPr>
                <w:rFonts w:hint="eastAsia"/>
                <w:color w:val="auto"/>
                <w:sz w:val="21"/>
                <w:szCs w:val="21"/>
              </w:rPr>
              <w:t>h</w:t>
            </w:r>
            <w:r>
              <w:rPr>
                <w:rFonts w:hint="eastAsia"/>
                <w:color w:val="auto"/>
                <w:sz w:val="21"/>
                <w:szCs w:val="21"/>
                <w:vertAlign w:val="subscript"/>
              </w:rPr>
              <w:t xml:space="preserve"> a+1</w:t>
            </w:r>
            <w:r>
              <w:rPr>
                <w:rFonts w:hint="eastAsia"/>
                <w:color w:val="auto"/>
                <w:sz w:val="21"/>
                <w:szCs w:val="21"/>
              </w:rPr>
              <w:t>—比某排气筒高的表列高度中的最小值</w:t>
            </w:r>
          </w:p>
          <w:p w14:paraId="356C3A14">
            <w:pPr>
              <w:keepNext w:val="0"/>
              <w:keepLines w:val="0"/>
              <w:pageBreakBefore w:val="0"/>
              <w:widowControl w:val="0"/>
              <w:kinsoku/>
              <w:wordWrap/>
              <w:overflowPunct/>
              <w:topLinePunct w:val="0"/>
              <w:autoSpaceDE/>
              <w:autoSpaceDN/>
              <w:bidi w:val="0"/>
              <w:adjustRightInd/>
              <w:snapToGrid/>
              <w:spacing w:line="240" w:lineRule="auto"/>
              <w:ind w:firstLine="480"/>
              <w:jc w:val="left"/>
              <w:textAlignment w:val="auto"/>
              <w:rPr>
                <w:rFonts w:hint="eastAsia"/>
                <w:color w:val="auto"/>
                <w:sz w:val="21"/>
                <w:szCs w:val="21"/>
                <w:lang w:val="en-US" w:eastAsia="zh-CN"/>
              </w:rPr>
            </w:pPr>
            <w:r>
              <w:rPr>
                <w:rFonts w:hint="eastAsia"/>
                <w:color w:val="auto"/>
                <w:sz w:val="21"/>
                <w:szCs w:val="21"/>
                <w:lang w:val="en-US" w:eastAsia="zh-CN"/>
              </w:rPr>
              <w:t>颗粒物</w:t>
            </w:r>
            <w:r>
              <w:rPr>
                <w:rFonts w:hint="eastAsia"/>
                <w:color w:val="auto"/>
                <w:sz w:val="21"/>
                <w:szCs w:val="21"/>
              </w:rPr>
              <w:t>Q</w:t>
            </w:r>
            <w:r>
              <w:rPr>
                <w:rFonts w:hint="eastAsia"/>
                <w:color w:val="auto"/>
                <w:sz w:val="21"/>
                <w:szCs w:val="21"/>
                <w:vertAlign w:val="subscript"/>
                <w:lang w:val="en-US" w:eastAsia="zh-CN"/>
              </w:rPr>
              <w:t>25</w:t>
            </w:r>
            <w:r>
              <w:rPr>
                <w:rFonts w:hint="eastAsia"/>
                <w:color w:val="auto"/>
                <w:sz w:val="21"/>
                <w:szCs w:val="21"/>
                <w:vertAlign w:val="subscript"/>
              </w:rPr>
              <w:t>m</w:t>
            </w:r>
            <w:r>
              <w:rPr>
                <w:rFonts w:hint="eastAsia"/>
                <w:color w:val="auto"/>
                <w:sz w:val="21"/>
                <w:szCs w:val="21"/>
              </w:rPr>
              <w:t>=</w:t>
            </w:r>
            <w:r>
              <w:rPr>
                <w:rFonts w:hint="eastAsia"/>
                <w:color w:val="auto"/>
                <w:sz w:val="21"/>
                <w:szCs w:val="21"/>
                <w:lang w:val="en-US" w:eastAsia="zh-CN"/>
              </w:rPr>
              <w:t>4.8</w:t>
            </w:r>
            <w:r>
              <w:rPr>
                <w:rFonts w:hint="eastAsia"/>
                <w:color w:val="auto"/>
                <w:sz w:val="21"/>
                <w:szCs w:val="21"/>
              </w:rPr>
              <w:t>+（</w:t>
            </w:r>
            <w:r>
              <w:rPr>
                <w:rFonts w:hint="eastAsia"/>
                <w:color w:val="auto"/>
                <w:sz w:val="21"/>
                <w:szCs w:val="21"/>
                <w:lang w:val="en-US" w:eastAsia="zh-CN"/>
              </w:rPr>
              <w:t>19-4.8</w:t>
            </w:r>
            <w:r>
              <w:rPr>
                <w:rFonts w:hint="eastAsia"/>
                <w:color w:val="auto"/>
                <w:sz w:val="21"/>
                <w:szCs w:val="21"/>
              </w:rPr>
              <w:t>）×（2</w:t>
            </w:r>
            <w:r>
              <w:rPr>
                <w:rFonts w:hint="eastAsia"/>
                <w:color w:val="auto"/>
                <w:sz w:val="21"/>
                <w:szCs w:val="21"/>
                <w:lang w:val="en-US" w:eastAsia="zh-CN"/>
              </w:rPr>
              <w:t>5</w:t>
            </w:r>
            <w:r>
              <w:rPr>
                <w:rFonts w:hint="eastAsia"/>
                <w:color w:val="auto"/>
                <w:sz w:val="21"/>
                <w:szCs w:val="21"/>
              </w:rPr>
              <w:t>-20）÷（30-2</w:t>
            </w:r>
            <w:r>
              <w:rPr>
                <w:rFonts w:hint="eastAsia"/>
                <w:color w:val="auto"/>
                <w:sz w:val="21"/>
                <w:szCs w:val="21"/>
                <w:lang w:val="en-US" w:eastAsia="zh-CN"/>
              </w:rPr>
              <w:t>0</w:t>
            </w:r>
            <w:r>
              <w:rPr>
                <w:rFonts w:hint="eastAsia"/>
                <w:color w:val="auto"/>
                <w:sz w:val="21"/>
                <w:szCs w:val="21"/>
              </w:rPr>
              <w:t>）=</w:t>
            </w:r>
            <w:r>
              <w:rPr>
                <w:rFonts w:hint="eastAsia"/>
                <w:color w:val="auto"/>
                <w:sz w:val="21"/>
                <w:szCs w:val="21"/>
                <w:lang w:val="en-US" w:eastAsia="zh-CN"/>
              </w:rPr>
              <w:t>11.9</w:t>
            </w:r>
            <w:r>
              <w:rPr>
                <w:rFonts w:hint="eastAsia"/>
                <w:color w:val="auto"/>
                <w:sz w:val="21"/>
                <w:szCs w:val="21"/>
              </w:rPr>
              <w:t>kg/h；</w:t>
            </w:r>
          </w:p>
          <w:p w14:paraId="6AB19438">
            <w:pPr>
              <w:keepNext w:val="0"/>
              <w:keepLines w:val="0"/>
              <w:pageBreakBefore w:val="0"/>
              <w:widowControl w:val="0"/>
              <w:kinsoku/>
              <w:wordWrap/>
              <w:overflowPunct/>
              <w:topLinePunct w:val="0"/>
              <w:autoSpaceDE/>
              <w:autoSpaceDN/>
              <w:bidi w:val="0"/>
              <w:adjustRightInd/>
              <w:snapToGrid/>
              <w:spacing w:line="240" w:lineRule="auto"/>
              <w:ind w:firstLine="480"/>
              <w:jc w:val="left"/>
              <w:textAlignment w:val="auto"/>
              <w:rPr>
                <w:rFonts w:hint="eastAsia"/>
                <w:color w:val="auto"/>
                <w:sz w:val="21"/>
                <w:szCs w:val="21"/>
              </w:rPr>
            </w:pPr>
            <w:r>
              <w:rPr>
                <w:rFonts w:hint="eastAsia"/>
                <w:color w:val="auto"/>
                <w:sz w:val="21"/>
                <w:szCs w:val="21"/>
              </w:rPr>
              <w:t>氯化氢Q</w:t>
            </w:r>
            <w:r>
              <w:rPr>
                <w:rFonts w:hint="eastAsia"/>
                <w:color w:val="auto"/>
                <w:sz w:val="21"/>
                <w:szCs w:val="21"/>
                <w:vertAlign w:val="subscript"/>
                <w:lang w:val="en-US" w:eastAsia="zh-CN"/>
              </w:rPr>
              <w:t>25</w:t>
            </w:r>
            <w:r>
              <w:rPr>
                <w:rFonts w:hint="eastAsia"/>
                <w:color w:val="auto"/>
                <w:sz w:val="21"/>
                <w:szCs w:val="21"/>
                <w:vertAlign w:val="subscript"/>
              </w:rPr>
              <w:t>m</w:t>
            </w:r>
            <w:r>
              <w:rPr>
                <w:rFonts w:hint="eastAsia"/>
                <w:color w:val="auto"/>
                <w:sz w:val="21"/>
                <w:szCs w:val="21"/>
              </w:rPr>
              <w:t>=</w:t>
            </w:r>
            <w:r>
              <w:rPr>
                <w:rFonts w:hint="eastAsia"/>
                <w:color w:val="auto"/>
                <w:sz w:val="21"/>
                <w:szCs w:val="21"/>
                <w:lang w:val="en-US" w:eastAsia="zh-CN"/>
              </w:rPr>
              <w:t>0.36</w:t>
            </w:r>
            <w:r>
              <w:rPr>
                <w:rFonts w:hint="eastAsia"/>
                <w:color w:val="auto"/>
                <w:sz w:val="21"/>
                <w:szCs w:val="21"/>
              </w:rPr>
              <w:t>+（</w:t>
            </w:r>
            <w:r>
              <w:rPr>
                <w:rFonts w:hint="eastAsia"/>
                <w:color w:val="auto"/>
                <w:sz w:val="21"/>
                <w:szCs w:val="21"/>
                <w:lang w:val="en-US" w:eastAsia="zh-CN"/>
              </w:rPr>
              <w:t>1.2-0.36</w:t>
            </w:r>
            <w:r>
              <w:rPr>
                <w:rFonts w:hint="eastAsia"/>
                <w:color w:val="auto"/>
                <w:sz w:val="21"/>
                <w:szCs w:val="21"/>
              </w:rPr>
              <w:t>）×（2</w:t>
            </w:r>
            <w:r>
              <w:rPr>
                <w:rFonts w:hint="eastAsia"/>
                <w:color w:val="auto"/>
                <w:sz w:val="21"/>
                <w:szCs w:val="21"/>
                <w:lang w:val="en-US" w:eastAsia="zh-CN"/>
              </w:rPr>
              <w:t>5</w:t>
            </w:r>
            <w:r>
              <w:rPr>
                <w:rFonts w:hint="eastAsia"/>
                <w:color w:val="auto"/>
                <w:sz w:val="21"/>
                <w:szCs w:val="21"/>
              </w:rPr>
              <w:t>-20）÷（30-2</w:t>
            </w:r>
            <w:r>
              <w:rPr>
                <w:rFonts w:hint="eastAsia"/>
                <w:color w:val="auto"/>
                <w:sz w:val="21"/>
                <w:szCs w:val="21"/>
                <w:lang w:val="en-US" w:eastAsia="zh-CN"/>
              </w:rPr>
              <w:t>0</w:t>
            </w:r>
            <w:r>
              <w:rPr>
                <w:rFonts w:hint="eastAsia"/>
                <w:color w:val="auto"/>
                <w:sz w:val="21"/>
                <w:szCs w:val="21"/>
              </w:rPr>
              <w:t>）=</w:t>
            </w:r>
            <w:r>
              <w:rPr>
                <w:rFonts w:hint="eastAsia"/>
                <w:color w:val="auto"/>
                <w:sz w:val="21"/>
                <w:szCs w:val="21"/>
                <w:lang w:val="en-US" w:eastAsia="zh-CN"/>
              </w:rPr>
              <w:t>0.78</w:t>
            </w:r>
            <w:r>
              <w:rPr>
                <w:rFonts w:hint="eastAsia"/>
                <w:color w:val="auto"/>
                <w:sz w:val="21"/>
                <w:szCs w:val="21"/>
              </w:rPr>
              <w:t>kg/h；</w:t>
            </w:r>
          </w:p>
          <w:p w14:paraId="59831EE5">
            <w:pPr>
              <w:keepNext w:val="0"/>
              <w:keepLines w:val="0"/>
              <w:pageBreakBefore w:val="0"/>
              <w:widowControl w:val="0"/>
              <w:kinsoku/>
              <w:wordWrap/>
              <w:overflowPunct/>
              <w:topLinePunct w:val="0"/>
              <w:autoSpaceDE/>
              <w:autoSpaceDN/>
              <w:bidi w:val="0"/>
              <w:adjustRightInd/>
              <w:snapToGrid/>
              <w:spacing w:line="240" w:lineRule="auto"/>
              <w:ind w:firstLine="480"/>
              <w:jc w:val="left"/>
              <w:textAlignment w:val="auto"/>
              <w:rPr>
                <w:rFonts w:hint="eastAsia"/>
                <w:color w:val="auto"/>
                <w:sz w:val="21"/>
                <w:szCs w:val="21"/>
              </w:rPr>
            </w:pPr>
            <w:r>
              <w:rPr>
                <w:rFonts w:hint="eastAsia"/>
                <w:color w:val="auto"/>
                <w:sz w:val="21"/>
                <w:szCs w:val="21"/>
              </w:rPr>
              <w:t>氯乙烯Q</w:t>
            </w:r>
            <w:r>
              <w:rPr>
                <w:rFonts w:hint="eastAsia"/>
                <w:color w:val="auto"/>
                <w:sz w:val="21"/>
                <w:szCs w:val="21"/>
                <w:vertAlign w:val="subscript"/>
                <w:lang w:val="en-US" w:eastAsia="zh-CN"/>
              </w:rPr>
              <w:t>25</w:t>
            </w:r>
            <w:r>
              <w:rPr>
                <w:rFonts w:hint="eastAsia"/>
                <w:color w:val="auto"/>
                <w:sz w:val="21"/>
                <w:szCs w:val="21"/>
                <w:vertAlign w:val="subscript"/>
              </w:rPr>
              <w:t>m</w:t>
            </w:r>
            <w:r>
              <w:rPr>
                <w:rFonts w:hint="eastAsia"/>
                <w:color w:val="auto"/>
                <w:sz w:val="21"/>
                <w:szCs w:val="21"/>
              </w:rPr>
              <w:t>=</w:t>
            </w:r>
            <w:r>
              <w:rPr>
                <w:rFonts w:hint="eastAsia"/>
                <w:color w:val="auto"/>
                <w:sz w:val="21"/>
                <w:szCs w:val="21"/>
                <w:lang w:val="en-US" w:eastAsia="zh-CN"/>
              </w:rPr>
              <w:t>1</w:t>
            </w:r>
            <w:r>
              <w:rPr>
                <w:rFonts w:hint="eastAsia"/>
                <w:color w:val="auto"/>
                <w:sz w:val="21"/>
                <w:szCs w:val="21"/>
              </w:rPr>
              <w:t>+（</w:t>
            </w:r>
            <w:r>
              <w:rPr>
                <w:rFonts w:hint="eastAsia"/>
                <w:color w:val="auto"/>
                <w:sz w:val="21"/>
                <w:szCs w:val="21"/>
                <w:lang w:val="en-US" w:eastAsia="zh-CN"/>
              </w:rPr>
              <w:t>3.5-1</w:t>
            </w:r>
            <w:r>
              <w:rPr>
                <w:rFonts w:hint="eastAsia"/>
                <w:color w:val="auto"/>
                <w:sz w:val="21"/>
                <w:szCs w:val="21"/>
              </w:rPr>
              <w:t>）×（2</w:t>
            </w:r>
            <w:r>
              <w:rPr>
                <w:rFonts w:hint="eastAsia"/>
                <w:color w:val="auto"/>
                <w:sz w:val="21"/>
                <w:szCs w:val="21"/>
                <w:lang w:val="en-US" w:eastAsia="zh-CN"/>
              </w:rPr>
              <w:t>5</w:t>
            </w:r>
            <w:r>
              <w:rPr>
                <w:rFonts w:hint="eastAsia"/>
                <w:color w:val="auto"/>
                <w:sz w:val="21"/>
                <w:szCs w:val="21"/>
              </w:rPr>
              <w:t>-20）÷（30-2</w:t>
            </w:r>
            <w:r>
              <w:rPr>
                <w:rFonts w:hint="eastAsia"/>
                <w:color w:val="auto"/>
                <w:sz w:val="21"/>
                <w:szCs w:val="21"/>
                <w:lang w:val="en-US" w:eastAsia="zh-CN"/>
              </w:rPr>
              <w:t>0</w:t>
            </w:r>
            <w:r>
              <w:rPr>
                <w:rFonts w:hint="eastAsia"/>
                <w:color w:val="auto"/>
                <w:sz w:val="21"/>
                <w:szCs w:val="21"/>
              </w:rPr>
              <w:t>）=</w:t>
            </w:r>
            <w:r>
              <w:rPr>
                <w:rFonts w:hint="eastAsia"/>
                <w:color w:val="auto"/>
                <w:sz w:val="21"/>
                <w:szCs w:val="21"/>
                <w:lang w:val="en-US" w:eastAsia="zh-CN"/>
              </w:rPr>
              <w:t>2.25</w:t>
            </w:r>
            <w:r>
              <w:rPr>
                <w:rFonts w:hint="eastAsia"/>
                <w:color w:val="auto"/>
                <w:sz w:val="21"/>
                <w:szCs w:val="21"/>
              </w:rPr>
              <w:t>kg/h；</w:t>
            </w:r>
          </w:p>
          <w:p w14:paraId="0E240490">
            <w:pPr>
              <w:pStyle w:val="59"/>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color w:val="auto"/>
                <w:sz w:val="21"/>
                <w:szCs w:val="21"/>
              </w:rPr>
            </w:pPr>
            <w:r>
              <w:rPr>
                <w:rFonts w:hint="eastAsia"/>
                <w:b w:val="0"/>
                <w:color w:val="000000"/>
                <w:sz w:val="21"/>
                <w:szCs w:val="21"/>
                <w:lang w:val="en-US" w:eastAsia="zh-CN"/>
              </w:rPr>
              <w:t>苯</w:t>
            </w:r>
            <w:r>
              <w:rPr>
                <w:rFonts w:hint="eastAsia"/>
                <w:color w:val="auto"/>
                <w:sz w:val="21"/>
                <w:szCs w:val="21"/>
              </w:rPr>
              <w:t>Q</w:t>
            </w:r>
            <w:r>
              <w:rPr>
                <w:rFonts w:hint="eastAsia"/>
                <w:color w:val="auto"/>
                <w:sz w:val="21"/>
                <w:szCs w:val="21"/>
                <w:vertAlign w:val="subscript"/>
                <w:lang w:val="en-US" w:eastAsia="zh-CN"/>
              </w:rPr>
              <w:t>25</w:t>
            </w:r>
            <w:r>
              <w:rPr>
                <w:rFonts w:hint="eastAsia"/>
                <w:color w:val="auto"/>
                <w:sz w:val="21"/>
                <w:szCs w:val="21"/>
                <w:vertAlign w:val="subscript"/>
              </w:rPr>
              <w:t>m</w:t>
            </w:r>
            <w:r>
              <w:rPr>
                <w:rFonts w:hint="eastAsia"/>
                <w:color w:val="auto"/>
                <w:sz w:val="21"/>
                <w:szCs w:val="21"/>
              </w:rPr>
              <w:t>=</w:t>
            </w:r>
            <w:r>
              <w:rPr>
                <w:rFonts w:hint="eastAsia"/>
                <w:color w:val="auto"/>
                <w:sz w:val="21"/>
                <w:szCs w:val="21"/>
                <w:lang w:val="en-US" w:eastAsia="zh-CN"/>
              </w:rPr>
              <w:t>0.7</w:t>
            </w:r>
            <w:r>
              <w:rPr>
                <w:rFonts w:hint="eastAsia"/>
                <w:color w:val="auto"/>
                <w:sz w:val="21"/>
                <w:szCs w:val="21"/>
              </w:rPr>
              <w:t>+（</w:t>
            </w:r>
            <w:r>
              <w:rPr>
                <w:rFonts w:hint="eastAsia"/>
                <w:color w:val="auto"/>
                <w:sz w:val="21"/>
                <w:szCs w:val="21"/>
                <w:lang w:val="en-US" w:eastAsia="zh-CN"/>
              </w:rPr>
              <w:t>2.3-0.7</w:t>
            </w:r>
            <w:r>
              <w:rPr>
                <w:rFonts w:hint="eastAsia"/>
                <w:color w:val="auto"/>
                <w:sz w:val="21"/>
                <w:szCs w:val="21"/>
              </w:rPr>
              <w:t>）×（2</w:t>
            </w:r>
            <w:r>
              <w:rPr>
                <w:rFonts w:hint="eastAsia"/>
                <w:color w:val="auto"/>
                <w:sz w:val="21"/>
                <w:szCs w:val="21"/>
                <w:lang w:val="en-US" w:eastAsia="zh-CN"/>
              </w:rPr>
              <w:t>5</w:t>
            </w:r>
            <w:r>
              <w:rPr>
                <w:rFonts w:hint="eastAsia"/>
                <w:color w:val="auto"/>
                <w:sz w:val="21"/>
                <w:szCs w:val="21"/>
              </w:rPr>
              <w:t>-20）÷（30-2</w:t>
            </w:r>
            <w:r>
              <w:rPr>
                <w:rFonts w:hint="eastAsia"/>
                <w:color w:val="auto"/>
                <w:sz w:val="21"/>
                <w:szCs w:val="21"/>
                <w:lang w:val="en-US" w:eastAsia="zh-CN"/>
              </w:rPr>
              <w:t>0</w:t>
            </w:r>
            <w:r>
              <w:rPr>
                <w:rFonts w:hint="eastAsia"/>
                <w:color w:val="auto"/>
                <w:sz w:val="21"/>
                <w:szCs w:val="21"/>
              </w:rPr>
              <w:t>）=</w:t>
            </w:r>
            <w:r>
              <w:rPr>
                <w:rFonts w:hint="eastAsia"/>
                <w:color w:val="auto"/>
                <w:sz w:val="21"/>
                <w:szCs w:val="21"/>
                <w:lang w:val="en-US" w:eastAsia="zh-CN"/>
              </w:rPr>
              <w:t>1.5</w:t>
            </w:r>
            <w:r>
              <w:rPr>
                <w:rFonts w:hint="eastAsia"/>
                <w:color w:val="auto"/>
                <w:sz w:val="21"/>
                <w:szCs w:val="21"/>
              </w:rPr>
              <w:t>kg/h；</w:t>
            </w:r>
          </w:p>
          <w:p w14:paraId="25B38FFD">
            <w:pPr>
              <w:pStyle w:val="59"/>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color w:val="auto"/>
                <w:sz w:val="21"/>
                <w:szCs w:val="21"/>
              </w:rPr>
            </w:pPr>
            <w:r>
              <w:rPr>
                <w:rFonts w:hint="eastAsia"/>
                <w:b w:val="0"/>
                <w:color w:val="000000"/>
                <w:sz w:val="21"/>
                <w:szCs w:val="21"/>
                <w:lang w:val="en-US" w:eastAsia="zh-CN"/>
              </w:rPr>
              <w:t>甲苯</w:t>
            </w:r>
            <w:r>
              <w:rPr>
                <w:rFonts w:hint="eastAsia"/>
                <w:color w:val="auto"/>
                <w:sz w:val="21"/>
                <w:szCs w:val="21"/>
              </w:rPr>
              <w:t>Q</w:t>
            </w:r>
            <w:r>
              <w:rPr>
                <w:rFonts w:hint="eastAsia"/>
                <w:color w:val="auto"/>
                <w:sz w:val="21"/>
                <w:szCs w:val="21"/>
                <w:vertAlign w:val="subscript"/>
                <w:lang w:val="en-US" w:eastAsia="zh-CN"/>
              </w:rPr>
              <w:t>25</w:t>
            </w:r>
            <w:r>
              <w:rPr>
                <w:rFonts w:hint="eastAsia"/>
                <w:color w:val="auto"/>
                <w:sz w:val="21"/>
                <w:szCs w:val="21"/>
                <w:vertAlign w:val="subscript"/>
              </w:rPr>
              <w:t>m</w:t>
            </w:r>
            <w:r>
              <w:rPr>
                <w:rFonts w:hint="eastAsia"/>
                <w:color w:val="auto"/>
                <w:sz w:val="21"/>
                <w:szCs w:val="21"/>
              </w:rPr>
              <w:t>=</w:t>
            </w:r>
            <w:r>
              <w:rPr>
                <w:rFonts w:hint="eastAsia"/>
                <w:color w:val="auto"/>
                <w:sz w:val="21"/>
                <w:szCs w:val="21"/>
                <w:lang w:val="en-US" w:eastAsia="zh-CN"/>
              </w:rPr>
              <w:t>4.3</w:t>
            </w:r>
            <w:r>
              <w:rPr>
                <w:rFonts w:hint="eastAsia"/>
                <w:color w:val="auto"/>
                <w:sz w:val="21"/>
                <w:szCs w:val="21"/>
              </w:rPr>
              <w:t>+（</w:t>
            </w:r>
            <w:r>
              <w:rPr>
                <w:rFonts w:hint="eastAsia"/>
                <w:color w:val="auto"/>
                <w:sz w:val="21"/>
                <w:szCs w:val="21"/>
                <w:lang w:val="en-US" w:eastAsia="zh-CN"/>
              </w:rPr>
              <w:t>15-4.3</w:t>
            </w:r>
            <w:r>
              <w:rPr>
                <w:rFonts w:hint="eastAsia"/>
                <w:color w:val="auto"/>
                <w:sz w:val="21"/>
                <w:szCs w:val="21"/>
              </w:rPr>
              <w:t>）×（2</w:t>
            </w:r>
            <w:r>
              <w:rPr>
                <w:rFonts w:hint="eastAsia"/>
                <w:color w:val="auto"/>
                <w:sz w:val="21"/>
                <w:szCs w:val="21"/>
                <w:lang w:val="en-US" w:eastAsia="zh-CN"/>
              </w:rPr>
              <w:t>5</w:t>
            </w:r>
            <w:r>
              <w:rPr>
                <w:rFonts w:hint="eastAsia"/>
                <w:color w:val="auto"/>
                <w:sz w:val="21"/>
                <w:szCs w:val="21"/>
              </w:rPr>
              <w:t>-20）÷（30-2</w:t>
            </w:r>
            <w:r>
              <w:rPr>
                <w:rFonts w:hint="eastAsia"/>
                <w:color w:val="auto"/>
                <w:sz w:val="21"/>
                <w:szCs w:val="21"/>
                <w:lang w:val="en-US" w:eastAsia="zh-CN"/>
              </w:rPr>
              <w:t>0</w:t>
            </w:r>
            <w:r>
              <w:rPr>
                <w:rFonts w:hint="eastAsia"/>
                <w:color w:val="auto"/>
                <w:sz w:val="21"/>
                <w:szCs w:val="21"/>
              </w:rPr>
              <w:t>）=</w:t>
            </w:r>
            <w:r>
              <w:rPr>
                <w:rFonts w:hint="eastAsia"/>
                <w:color w:val="auto"/>
                <w:sz w:val="21"/>
                <w:szCs w:val="21"/>
                <w:lang w:val="en-US" w:eastAsia="zh-CN"/>
              </w:rPr>
              <w:t>9.65</w:t>
            </w:r>
            <w:r>
              <w:rPr>
                <w:rFonts w:hint="eastAsia"/>
                <w:color w:val="auto"/>
                <w:sz w:val="21"/>
                <w:szCs w:val="21"/>
              </w:rPr>
              <w:t>kg/h；</w:t>
            </w:r>
          </w:p>
        </w:tc>
      </w:tr>
    </w:tbl>
    <w:p w14:paraId="5413AE2F">
      <w:pPr>
        <w:keepNext w:val="0"/>
        <w:keepLines w:val="0"/>
        <w:pageBreakBefore w:val="0"/>
        <w:widowControl w:val="0"/>
        <w:numPr>
          <w:ilvl w:val="0"/>
          <w:numId w:val="17"/>
        </w:numPr>
        <w:kinsoku/>
        <w:wordWrap/>
        <w:overflowPunct/>
        <w:topLinePunct w:val="0"/>
        <w:autoSpaceDE/>
        <w:autoSpaceDN/>
        <w:bidi w:val="0"/>
        <w:adjustRightInd/>
        <w:snapToGrid/>
        <w:spacing w:before="167" w:beforeLines="50"/>
        <w:ind w:left="0" w:leftChars="0" w:firstLine="0" w:firstLineChars="0"/>
        <w:jc w:val="center"/>
        <w:textAlignment w:val="auto"/>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（DB44/ 2367—2022）厂区内VOCs 无组织排放限值</w:t>
      </w:r>
    </w:p>
    <w:tbl>
      <w:tblPr>
        <w:tblStyle w:val="38"/>
        <w:tblW w:w="92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43"/>
        <w:gridCol w:w="1642"/>
        <w:gridCol w:w="3038"/>
        <w:gridCol w:w="2008"/>
      </w:tblGrid>
      <w:tr w14:paraId="619BB0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3" w:type="dxa"/>
            <w:noWrap w:val="0"/>
            <w:vAlign w:val="center"/>
          </w:tcPr>
          <w:p w14:paraId="679986BD">
            <w:pPr>
              <w:pStyle w:val="69"/>
              <w:bidi w:val="0"/>
              <w:rPr>
                <w:color w:val="auto"/>
              </w:rPr>
            </w:pPr>
            <w:r>
              <w:rPr>
                <w:rFonts w:hint="eastAsia"/>
                <w:color w:val="auto"/>
              </w:rPr>
              <w:t>污染物项目</w:t>
            </w:r>
          </w:p>
        </w:tc>
        <w:tc>
          <w:tcPr>
            <w:tcW w:w="1642" w:type="dxa"/>
            <w:noWrap w:val="0"/>
            <w:vAlign w:val="center"/>
          </w:tcPr>
          <w:p w14:paraId="520421D1">
            <w:pPr>
              <w:pStyle w:val="69"/>
              <w:bidi w:val="0"/>
              <w:rPr>
                <w:color w:val="auto"/>
              </w:rPr>
            </w:pPr>
            <w:r>
              <w:rPr>
                <w:rFonts w:hint="eastAsia"/>
                <w:color w:val="auto"/>
              </w:rPr>
              <w:t>排放限值（</w:t>
            </w:r>
            <w:r>
              <w:rPr>
                <w:color w:val="auto"/>
              </w:rPr>
              <w:t>mg/m</w:t>
            </w:r>
            <w:r>
              <w:rPr>
                <w:rFonts w:hint="eastAsia"/>
                <w:color w:val="auto"/>
                <w:vertAlign w:val="superscript"/>
              </w:rPr>
              <w:t>3</w:t>
            </w:r>
            <w:r>
              <w:rPr>
                <w:rFonts w:hint="eastAsia"/>
                <w:color w:val="auto"/>
              </w:rPr>
              <w:t>）</w:t>
            </w:r>
          </w:p>
        </w:tc>
        <w:tc>
          <w:tcPr>
            <w:tcW w:w="3038" w:type="dxa"/>
            <w:noWrap w:val="0"/>
            <w:vAlign w:val="center"/>
          </w:tcPr>
          <w:p w14:paraId="7731B015">
            <w:pPr>
              <w:pStyle w:val="69"/>
              <w:bidi w:val="0"/>
              <w:rPr>
                <w:color w:val="auto"/>
              </w:rPr>
            </w:pPr>
            <w:r>
              <w:rPr>
                <w:rFonts w:hint="eastAsia"/>
                <w:color w:val="auto"/>
              </w:rPr>
              <w:t>限值含义</w:t>
            </w:r>
          </w:p>
        </w:tc>
        <w:tc>
          <w:tcPr>
            <w:tcW w:w="2008" w:type="dxa"/>
            <w:noWrap w:val="0"/>
            <w:vAlign w:val="center"/>
          </w:tcPr>
          <w:p w14:paraId="47EA5EF0">
            <w:pPr>
              <w:pStyle w:val="69"/>
              <w:bidi w:val="0"/>
              <w:rPr>
                <w:color w:val="auto"/>
              </w:rPr>
            </w:pPr>
            <w:r>
              <w:rPr>
                <w:rFonts w:hint="eastAsia"/>
                <w:color w:val="auto"/>
              </w:rPr>
              <w:t>监控位置</w:t>
            </w:r>
          </w:p>
        </w:tc>
      </w:tr>
      <w:tr w14:paraId="581FB4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3" w:type="dxa"/>
            <w:vMerge w:val="restart"/>
            <w:noWrap w:val="0"/>
            <w:vAlign w:val="center"/>
          </w:tcPr>
          <w:p w14:paraId="5DA64034">
            <w:pPr>
              <w:pStyle w:val="69"/>
              <w:bidi w:val="0"/>
              <w:rPr>
                <w:rFonts w:hint="eastAsia"/>
                <w:color w:val="auto"/>
                <w:lang w:val="en-US" w:eastAsia="zh-CN"/>
              </w:rPr>
            </w:pPr>
            <w:r>
              <w:rPr>
                <w:rFonts w:hint="eastAsia"/>
                <w:color w:val="auto"/>
              </w:rPr>
              <w:t>非甲烷总烃</w:t>
            </w:r>
          </w:p>
        </w:tc>
        <w:tc>
          <w:tcPr>
            <w:tcW w:w="1642" w:type="dxa"/>
            <w:noWrap w:val="0"/>
            <w:vAlign w:val="center"/>
          </w:tcPr>
          <w:p w14:paraId="461BF2B5">
            <w:pPr>
              <w:pStyle w:val="69"/>
              <w:bidi w:val="0"/>
              <w:rPr>
                <w:rFonts w:hint="eastAsia" w:eastAsia="宋体"/>
                <w:color w:val="auto"/>
                <w:lang w:eastAsia="zh-CN"/>
              </w:rPr>
            </w:pPr>
            <w:r>
              <w:rPr>
                <w:rFonts w:hint="eastAsia"/>
                <w:color w:val="auto"/>
                <w:lang w:val="en-US" w:eastAsia="zh-CN"/>
              </w:rPr>
              <w:t>6</w:t>
            </w:r>
          </w:p>
        </w:tc>
        <w:tc>
          <w:tcPr>
            <w:tcW w:w="3038" w:type="dxa"/>
            <w:noWrap w:val="0"/>
            <w:vAlign w:val="center"/>
          </w:tcPr>
          <w:p w14:paraId="51902B09">
            <w:pPr>
              <w:pStyle w:val="69"/>
              <w:bidi w:val="0"/>
              <w:rPr>
                <w:rFonts w:hint="eastAsia"/>
                <w:color w:val="auto"/>
              </w:rPr>
            </w:pPr>
            <w:r>
              <w:rPr>
                <w:rFonts w:hint="eastAsia"/>
                <w:color w:val="auto"/>
              </w:rPr>
              <w:t>监控点处1h平均浓度值</w:t>
            </w:r>
          </w:p>
        </w:tc>
        <w:tc>
          <w:tcPr>
            <w:tcW w:w="2008" w:type="dxa"/>
            <w:vMerge w:val="restart"/>
            <w:noWrap w:val="0"/>
            <w:vAlign w:val="center"/>
          </w:tcPr>
          <w:p w14:paraId="0FEDE95C">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宋体"/>
                <w:bCs/>
                <w:color w:val="auto"/>
                <w:sz w:val="21"/>
                <w:szCs w:val="21"/>
                <w:lang w:bidi="ar"/>
              </w:rPr>
            </w:pPr>
            <w:r>
              <w:rPr>
                <w:rFonts w:hint="eastAsia" w:ascii="Times New Roman" w:hAnsi="Times New Roman" w:cs="宋体"/>
                <w:bCs/>
                <w:color w:val="auto"/>
                <w:sz w:val="21"/>
                <w:szCs w:val="21"/>
                <w:lang w:bidi="ar"/>
              </w:rPr>
              <w:t>厂房外设置监控点</w:t>
            </w:r>
          </w:p>
        </w:tc>
      </w:tr>
      <w:tr w14:paraId="1CC5DB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3" w:type="dxa"/>
            <w:vMerge w:val="continue"/>
            <w:noWrap w:val="0"/>
            <w:vAlign w:val="center"/>
          </w:tcPr>
          <w:p w14:paraId="700E5C86">
            <w:pPr>
              <w:pStyle w:val="69"/>
              <w:bidi w:val="0"/>
              <w:rPr>
                <w:rFonts w:hint="eastAsia"/>
                <w:color w:val="auto"/>
              </w:rPr>
            </w:pPr>
          </w:p>
        </w:tc>
        <w:tc>
          <w:tcPr>
            <w:tcW w:w="1642" w:type="dxa"/>
            <w:noWrap w:val="0"/>
            <w:vAlign w:val="center"/>
          </w:tcPr>
          <w:p w14:paraId="31AC57F4">
            <w:pPr>
              <w:pStyle w:val="69"/>
              <w:bidi w:val="0"/>
              <w:rPr>
                <w:rFonts w:hint="default" w:eastAsia="宋体"/>
                <w:color w:val="auto"/>
                <w:lang w:val="en-US" w:eastAsia="zh-CN"/>
              </w:rPr>
            </w:pPr>
            <w:r>
              <w:rPr>
                <w:rFonts w:hint="eastAsia"/>
                <w:color w:val="auto"/>
                <w:lang w:val="en-US" w:eastAsia="zh-CN"/>
              </w:rPr>
              <w:t>20</w:t>
            </w:r>
          </w:p>
        </w:tc>
        <w:tc>
          <w:tcPr>
            <w:tcW w:w="3038" w:type="dxa"/>
            <w:noWrap w:val="0"/>
            <w:vAlign w:val="center"/>
          </w:tcPr>
          <w:p w14:paraId="06F72367">
            <w:pPr>
              <w:pStyle w:val="69"/>
              <w:bidi w:val="0"/>
              <w:rPr>
                <w:rFonts w:hint="eastAsia"/>
                <w:color w:val="auto"/>
              </w:rPr>
            </w:pPr>
            <w:r>
              <w:rPr>
                <w:rFonts w:hint="eastAsia"/>
                <w:color w:val="auto"/>
              </w:rPr>
              <w:t>监控点处任意一次浓度值</w:t>
            </w:r>
          </w:p>
        </w:tc>
        <w:tc>
          <w:tcPr>
            <w:tcW w:w="2008" w:type="dxa"/>
            <w:vMerge w:val="continue"/>
            <w:noWrap w:val="0"/>
            <w:vAlign w:val="center"/>
          </w:tcPr>
          <w:p w14:paraId="08BC9530">
            <w:pPr>
              <w:pStyle w:val="34"/>
              <w:widowControl w:val="0"/>
              <w:autoSpaceDE w:val="0"/>
              <w:adjustRightInd w:val="0"/>
              <w:spacing w:before="0" w:beforeAutospacing="0" w:after="0" w:afterAutospacing="0" w:line="240" w:lineRule="auto"/>
              <w:ind w:firstLine="0" w:firstLineChars="0"/>
              <w:jc w:val="center"/>
              <w:textAlignment w:val="baseline"/>
              <w:rPr>
                <w:rFonts w:hint="eastAsia" w:ascii="Times New Roman" w:hAnsi="Times New Roman" w:cs="宋体"/>
                <w:bCs/>
                <w:color w:val="auto"/>
                <w:sz w:val="21"/>
                <w:szCs w:val="21"/>
                <w:lang w:bidi="ar"/>
              </w:rPr>
            </w:pPr>
          </w:p>
        </w:tc>
      </w:tr>
    </w:tbl>
    <w:p w14:paraId="77C17999">
      <w:pPr>
        <w:pStyle w:val="65"/>
        <w:bidi w:val="0"/>
        <w:rPr>
          <w:color w:val="auto"/>
        </w:rPr>
      </w:pPr>
      <w:r>
        <w:rPr>
          <w:rFonts w:hint="eastAsia"/>
          <w:color w:val="auto"/>
        </w:rPr>
        <w:t>（3）</w:t>
      </w:r>
      <w:r>
        <w:rPr>
          <w:color w:val="auto"/>
        </w:rPr>
        <w:t>噪声排放标准</w:t>
      </w:r>
    </w:p>
    <w:p w14:paraId="227C2E89">
      <w:pPr>
        <w:ind w:firstLine="480"/>
        <w:rPr>
          <w:rFonts w:hint="eastAsia" w:eastAsia="宋体"/>
          <w:color w:val="auto"/>
          <w:lang w:eastAsia="zh-CN"/>
        </w:rPr>
      </w:pPr>
      <w:r>
        <w:rPr>
          <w:rFonts w:hint="eastAsia"/>
          <w:color w:val="auto"/>
          <w:lang w:val="en-US" w:eastAsia="zh-CN"/>
        </w:rPr>
        <w:t>执行</w:t>
      </w:r>
      <w:r>
        <w:rPr>
          <w:rFonts w:hint="eastAsia"/>
          <w:color w:val="auto"/>
        </w:rPr>
        <w:t>《工业企业厂界环境噪声排放标准》（GB12348-2008）3类标准：</w:t>
      </w:r>
      <w:r>
        <w:rPr>
          <w:color w:val="auto"/>
        </w:rPr>
        <w:t>昼间≤6</w:t>
      </w:r>
      <w:r>
        <w:rPr>
          <w:rFonts w:hint="eastAsia"/>
          <w:color w:val="auto"/>
        </w:rPr>
        <w:t>5</w:t>
      </w:r>
      <w:r>
        <w:rPr>
          <w:color w:val="auto"/>
        </w:rPr>
        <w:t>dB（A），夜间≤5</w:t>
      </w:r>
      <w:r>
        <w:rPr>
          <w:rFonts w:hint="eastAsia"/>
          <w:color w:val="auto"/>
        </w:rPr>
        <w:t>5</w:t>
      </w:r>
      <w:r>
        <w:rPr>
          <w:color w:val="auto"/>
        </w:rPr>
        <w:t>dB（A）</w:t>
      </w:r>
      <w:r>
        <w:rPr>
          <w:rFonts w:hint="eastAsia"/>
          <w:color w:val="auto"/>
          <w:lang w:eastAsia="zh-CN"/>
        </w:rPr>
        <w:t>。</w:t>
      </w:r>
    </w:p>
    <w:p w14:paraId="07169033">
      <w:pPr>
        <w:ind w:firstLine="480"/>
        <w:rPr>
          <w:color w:val="auto"/>
        </w:rPr>
      </w:pPr>
      <w:r>
        <w:rPr>
          <w:rFonts w:hint="eastAsia"/>
          <w:color w:val="auto"/>
        </w:rPr>
        <w:t>（4）</w:t>
      </w:r>
      <w:r>
        <w:rPr>
          <w:rFonts w:hint="eastAsia"/>
          <w:color w:val="auto"/>
          <w:lang w:val="en-US" w:eastAsia="zh-CN"/>
        </w:rPr>
        <w:t>一般工业固体废物在厂内贮存过程应满足相应防渗漏、防雨淋、防扬尘等环境保护要求</w:t>
      </w:r>
      <w:r>
        <w:rPr>
          <w:rFonts w:hint="eastAsia"/>
          <w:color w:val="auto"/>
        </w:rPr>
        <w:t>，危险废物</w:t>
      </w:r>
      <w:r>
        <w:rPr>
          <w:rFonts w:hint="eastAsia"/>
          <w:color w:val="auto"/>
          <w:lang w:val="en-US" w:eastAsia="zh-CN"/>
        </w:rPr>
        <w:t>暂存处</w:t>
      </w:r>
      <w:r>
        <w:rPr>
          <w:rFonts w:hint="eastAsia"/>
          <w:color w:val="auto"/>
        </w:rPr>
        <w:t>执行《危险废物贮存污染控制标准》（GB 18597-20</w:t>
      </w:r>
      <w:r>
        <w:rPr>
          <w:rFonts w:hint="eastAsia"/>
          <w:color w:val="auto"/>
          <w:lang w:val="en-US" w:eastAsia="zh-CN"/>
        </w:rPr>
        <w:t>23</w:t>
      </w:r>
      <w:r>
        <w:rPr>
          <w:rFonts w:hint="eastAsia"/>
          <w:color w:val="auto"/>
        </w:rPr>
        <w:t>）</w:t>
      </w:r>
      <w:r>
        <w:rPr>
          <w:color w:val="auto"/>
        </w:rPr>
        <w:t>。</w:t>
      </w:r>
    </w:p>
    <w:p w14:paraId="2A019D15">
      <w:pPr>
        <w:pStyle w:val="64"/>
        <w:numPr>
          <w:ilvl w:val="2"/>
          <w:numId w:val="8"/>
        </w:numPr>
        <w:bidi w:val="0"/>
        <w:ind w:left="709" w:leftChars="0" w:hanging="709" w:firstLineChars="0"/>
        <w:rPr>
          <w:color w:val="auto"/>
        </w:rPr>
      </w:pPr>
      <w:r>
        <w:rPr>
          <w:rFonts w:hint="eastAsia"/>
          <w:color w:val="auto"/>
        </w:rPr>
        <w:t>环境功能属性</w:t>
      </w:r>
    </w:p>
    <w:p w14:paraId="0670289A">
      <w:pPr>
        <w:tabs>
          <w:tab w:val="left" w:pos="480"/>
        </w:tabs>
        <w:ind w:firstLine="480"/>
        <w:rPr>
          <w:color w:val="auto"/>
        </w:rPr>
      </w:pPr>
      <w:r>
        <w:rPr>
          <w:color w:val="auto"/>
        </w:rPr>
        <w:t>本项目所在区域环境功能属性详见下表</w:t>
      </w:r>
      <w:r>
        <w:rPr>
          <w:rFonts w:hint="eastAsia"/>
          <w:color w:val="auto"/>
        </w:rPr>
        <w:t>1.4-</w:t>
      </w:r>
      <w:r>
        <w:rPr>
          <w:rFonts w:hint="eastAsia"/>
          <w:color w:val="auto"/>
          <w:lang w:val="en-US" w:eastAsia="zh-CN"/>
        </w:rPr>
        <w:t>10</w:t>
      </w:r>
      <w:r>
        <w:rPr>
          <w:color w:val="auto"/>
        </w:rPr>
        <w:t>。</w:t>
      </w:r>
      <w:bookmarkStart w:id="37" w:name="_Ref279483292"/>
    </w:p>
    <w:p w14:paraId="63E04A99">
      <w:pPr>
        <w:numPr>
          <w:ilvl w:val="0"/>
          <w:numId w:val="17"/>
        </w:numPr>
        <w:ind w:left="0" w:leftChars="0" w:firstLine="0" w:firstLineChars="0"/>
        <w:jc w:val="center"/>
        <w:rPr>
          <w:rFonts w:hint="eastAsia" w:ascii="Times New Roman" w:hAnsi="Times New Roman" w:eastAsia="宋体" w:cs="Times New Roman"/>
          <w:b/>
          <w:color w:val="auto"/>
          <w:lang w:val="en-US" w:eastAsia="zh-CN"/>
        </w:rPr>
      </w:pPr>
      <w:r>
        <w:rPr>
          <w:rFonts w:hint="eastAsia" w:ascii="Times New Roman" w:hAnsi="Times New Roman" w:eastAsia="宋体" w:cs="Times New Roman"/>
          <w:b/>
          <w:color w:val="auto"/>
          <w:lang w:val="en-US" w:eastAsia="zh-CN"/>
        </w:rPr>
        <w:t>本项目所在区域环境功能属性</w:t>
      </w:r>
      <w:bookmarkEnd w:id="37"/>
    </w:p>
    <w:tbl>
      <w:tblPr>
        <w:tblStyle w:val="38"/>
        <w:tblW w:w="9286"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0"/>
        <w:gridCol w:w="3120"/>
        <w:gridCol w:w="5246"/>
      </w:tblGrid>
      <w:tr w14:paraId="28C74EE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920" w:type="dxa"/>
            <w:tcBorders>
              <w:top w:val="single" w:color="auto" w:sz="12" w:space="0"/>
            </w:tcBorders>
            <w:vAlign w:val="center"/>
          </w:tcPr>
          <w:p w14:paraId="2993BA3A">
            <w:pPr>
              <w:pStyle w:val="69"/>
              <w:rPr>
                <w:color w:val="auto"/>
              </w:rPr>
            </w:pPr>
            <w:bookmarkStart w:id="38" w:name="_Toc30979"/>
            <w:bookmarkStart w:id="39" w:name="_Toc342748472"/>
            <w:r>
              <w:rPr>
                <w:color w:val="auto"/>
              </w:rPr>
              <w:t>编号</w:t>
            </w:r>
          </w:p>
        </w:tc>
        <w:tc>
          <w:tcPr>
            <w:tcW w:w="3120" w:type="dxa"/>
            <w:tcBorders>
              <w:top w:val="single" w:color="auto" w:sz="12" w:space="0"/>
            </w:tcBorders>
            <w:vAlign w:val="center"/>
          </w:tcPr>
          <w:p w14:paraId="2C913187">
            <w:pPr>
              <w:pStyle w:val="69"/>
              <w:rPr>
                <w:color w:val="auto"/>
              </w:rPr>
            </w:pPr>
            <w:r>
              <w:rPr>
                <w:color w:val="auto"/>
              </w:rPr>
              <w:t>项目内容</w:t>
            </w:r>
          </w:p>
        </w:tc>
        <w:tc>
          <w:tcPr>
            <w:tcW w:w="5246" w:type="dxa"/>
            <w:tcBorders>
              <w:top w:val="single" w:color="auto" w:sz="12" w:space="0"/>
            </w:tcBorders>
            <w:vAlign w:val="center"/>
          </w:tcPr>
          <w:p w14:paraId="1FD5D9F0">
            <w:pPr>
              <w:pStyle w:val="69"/>
              <w:rPr>
                <w:color w:val="auto"/>
              </w:rPr>
            </w:pPr>
            <w:r>
              <w:rPr>
                <w:color w:val="auto"/>
              </w:rPr>
              <w:t>属性</w:t>
            </w:r>
          </w:p>
        </w:tc>
      </w:tr>
      <w:tr w14:paraId="2F48B4B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36F9A930">
            <w:pPr>
              <w:pStyle w:val="69"/>
              <w:rPr>
                <w:color w:val="auto"/>
              </w:rPr>
            </w:pPr>
            <w:r>
              <w:rPr>
                <w:color w:val="auto"/>
              </w:rPr>
              <w:t>1</w:t>
            </w:r>
          </w:p>
        </w:tc>
        <w:tc>
          <w:tcPr>
            <w:tcW w:w="3120" w:type="dxa"/>
            <w:vAlign w:val="center"/>
          </w:tcPr>
          <w:p w14:paraId="3E2F7B67">
            <w:pPr>
              <w:pStyle w:val="69"/>
              <w:rPr>
                <w:color w:val="auto"/>
              </w:rPr>
            </w:pPr>
            <w:r>
              <w:rPr>
                <w:color w:val="auto"/>
              </w:rPr>
              <w:t>地表水水环境功能区</w:t>
            </w:r>
          </w:p>
        </w:tc>
        <w:tc>
          <w:tcPr>
            <w:tcW w:w="5246" w:type="dxa"/>
            <w:vAlign w:val="center"/>
          </w:tcPr>
          <w:p w14:paraId="619B8840">
            <w:pPr>
              <w:pStyle w:val="69"/>
              <w:rPr>
                <w:color w:val="auto"/>
              </w:rPr>
            </w:pPr>
            <w:r>
              <w:rPr>
                <w:rFonts w:hint="eastAsia"/>
                <w:color w:val="auto"/>
                <w:lang w:eastAsia="zh-CN"/>
              </w:rPr>
              <w:t>沙坪河</w:t>
            </w:r>
            <w:r>
              <w:rPr>
                <w:color w:val="auto"/>
              </w:rPr>
              <w:t>执行《</w:t>
            </w:r>
            <w:r>
              <w:rPr>
                <w:rFonts w:hint="eastAsia"/>
                <w:color w:val="auto"/>
              </w:rPr>
              <w:t>地表水环境质量标准</w:t>
            </w:r>
            <w:r>
              <w:rPr>
                <w:color w:val="auto"/>
              </w:rPr>
              <w:t>》</w:t>
            </w:r>
            <w:r>
              <w:rPr>
                <w:rFonts w:hint="eastAsia"/>
                <w:color w:val="auto"/>
              </w:rPr>
              <w:t>（</w:t>
            </w:r>
            <w:r>
              <w:rPr>
                <w:color w:val="auto"/>
              </w:rPr>
              <w:t>GB3838-2002</w:t>
            </w:r>
            <w:r>
              <w:rPr>
                <w:rFonts w:hint="eastAsia"/>
                <w:color w:val="auto"/>
              </w:rPr>
              <w:t>）Ⅲ</w:t>
            </w:r>
            <w:r>
              <w:rPr>
                <w:color w:val="auto"/>
              </w:rPr>
              <w:t>类标准</w:t>
            </w:r>
          </w:p>
        </w:tc>
      </w:tr>
      <w:tr w14:paraId="7D7A3C8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4C117825">
            <w:pPr>
              <w:pStyle w:val="69"/>
              <w:rPr>
                <w:color w:val="auto"/>
              </w:rPr>
            </w:pPr>
            <w:r>
              <w:rPr>
                <w:color w:val="auto"/>
              </w:rPr>
              <w:t>2</w:t>
            </w:r>
          </w:p>
        </w:tc>
        <w:tc>
          <w:tcPr>
            <w:tcW w:w="3120" w:type="dxa"/>
            <w:vAlign w:val="center"/>
          </w:tcPr>
          <w:p w14:paraId="5E845C7C">
            <w:pPr>
              <w:pStyle w:val="69"/>
              <w:rPr>
                <w:color w:val="auto"/>
              </w:rPr>
            </w:pPr>
            <w:r>
              <w:rPr>
                <w:color w:val="auto"/>
              </w:rPr>
              <w:t>地下水水环境功能区</w:t>
            </w:r>
          </w:p>
        </w:tc>
        <w:tc>
          <w:tcPr>
            <w:tcW w:w="5246" w:type="dxa"/>
            <w:vAlign w:val="center"/>
          </w:tcPr>
          <w:p w14:paraId="0799C9C1">
            <w:pPr>
              <w:pStyle w:val="69"/>
              <w:rPr>
                <w:color w:val="auto"/>
              </w:rPr>
            </w:pPr>
            <w:r>
              <w:rPr>
                <w:color w:val="auto"/>
              </w:rPr>
              <w:t>地下水</w:t>
            </w:r>
            <w:r>
              <w:rPr>
                <w:rFonts w:hint="eastAsia"/>
                <w:color w:val="auto"/>
              </w:rPr>
              <w:t>为水源涵养区</w:t>
            </w:r>
            <w:r>
              <w:rPr>
                <w:color w:val="auto"/>
              </w:rPr>
              <w:t>，执行</w:t>
            </w:r>
            <w:r>
              <w:rPr>
                <w:rFonts w:hint="eastAsia"/>
                <w:color w:val="auto"/>
              </w:rPr>
              <w:t>《地下水质量标准》</w:t>
            </w:r>
            <w:r>
              <w:rPr>
                <w:color w:val="auto"/>
              </w:rPr>
              <w:t>（</w:t>
            </w:r>
            <w:r>
              <w:rPr>
                <w:rFonts w:hint="eastAsia"/>
                <w:color w:val="auto"/>
              </w:rPr>
              <w:t>GB/T14848-2017</w:t>
            </w:r>
            <w:r>
              <w:rPr>
                <w:color w:val="auto"/>
              </w:rPr>
              <w:t>）中的</w:t>
            </w:r>
            <w:r>
              <w:rPr>
                <w:rFonts w:hint="eastAsia"/>
                <w:color w:val="auto"/>
              </w:rPr>
              <w:t>Ⅲ</w:t>
            </w:r>
            <w:r>
              <w:rPr>
                <w:color w:val="auto"/>
              </w:rPr>
              <w:t>类标准</w:t>
            </w:r>
          </w:p>
        </w:tc>
      </w:tr>
      <w:tr w14:paraId="67CBD35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1786A886">
            <w:pPr>
              <w:pStyle w:val="69"/>
              <w:rPr>
                <w:color w:val="auto"/>
              </w:rPr>
            </w:pPr>
            <w:r>
              <w:rPr>
                <w:color w:val="auto"/>
              </w:rPr>
              <w:t>3</w:t>
            </w:r>
          </w:p>
        </w:tc>
        <w:tc>
          <w:tcPr>
            <w:tcW w:w="3120" w:type="dxa"/>
            <w:vAlign w:val="center"/>
          </w:tcPr>
          <w:p w14:paraId="475F32F0">
            <w:pPr>
              <w:pStyle w:val="69"/>
              <w:rPr>
                <w:color w:val="auto"/>
              </w:rPr>
            </w:pPr>
            <w:r>
              <w:rPr>
                <w:color w:val="auto"/>
              </w:rPr>
              <w:t>环境空气功能区</w:t>
            </w:r>
          </w:p>
        </w:tc>
        <w:tc>
          <w:tcPr>
            <w:tcW w:w="5246" w:type="dxa"/>
            <w:vAlign w:val="center"/>
          </w:tcPr>
          <w:p w14:paraId="4B0C238E">
            <w:pPr>
              <w:pStyle w:val="69"/>
              <w:rPr>
                <w:color w:val="auto"/>
              </w:rPr>
            </w:pPr>
            <w:r>
              <w:rPr>
                <w:color w:val="auto"/>
              </w:rPr>
              <w:t>属二类区，执行《环境空气质量标准》</w:t>
            </w:r>
            <w:r>
              <w:rPr>
                <w:rFonts w:hint="eastAsia"/>
                <w:color w:val="auto"/>
              </w:rPr>
              <w:t>（</w:t>
            </w:r>
            <w:r>
              <w:rPr>
                <w:color w:val="auto"/>
              </w:rPr>
              <w:t>GB3095-</w:t>
            </w:r>
            <w:r>
              <w:rPr>
                <w:rFonts w:hint="eastAsia"/>
                <w:color w:val="auto"/>
              </w:rPr>
              <w:t>2012）及其修改单</w:t>
            </w:r>
            <w:r>
              <w:rPr>
                <w:color w:val="auto"/>
              </w:rPr>
              <w:t>二级标准</w:t>
            </w:r>
          </w:p>
        </w:tc>
      </w:tr>
      <w:tr w14:paraId="5509FE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4492C460">
            <w:pPr>
              <w:pStyle w:val="69"/>
              <w:rPr>
                <w:color w:val="auto"/>
              </w:rPr>
            </w:pPr>
            <w:r>
              <w:rPr>
                <w:color w:val="auto"/>
              </w:rPr>
              <w:t>4</w:t>
            </w:r>
          </w:p>
        </w:tc>
        <w:tc>
          <w:tcPr>
            <w:tcW w:w="3120" w:type="dxa"/>
            <w:vAlign w:val="center"/>
          </w:tcPr>
          <w:p w14:paraId="754E12BE">
            <w:pPr>
              <w:pStyle w:val="69"/>
              <w:rPr>
                <w:color w:val="auto"/>
              </w:rPr>
            </w:pPr>
            <w:r>
              <w:rPr>
                <w:color w:val="auto"/>
              </w:rPr>
              <w:t>声环境功能区</w:t>
            </w:r>
          </w:p>
        </w:tc>
        <w:tc>
          <w:tcPr>
            <w:tcW w:w="5246" w:type="dxa"/>
            <w:vAlign w:val="center"/>
          </w:tcPr>
          <w:p w14:paraId="729C533A">
            <w:pPr>
              <w:pStyle w:val="69"/>
              <w:rPr>
                <w:color w:val="auto"/>
              </w:rPr>
            </w:pPr>
            <w:r>
              <w:rPr>
                <w:color w:val="auto"/>
              </w:rPr>
              <w:t>《声环境质量标准》（GB3096-2008）</w:t>
            </w:r>
            <w:r>
              <w:rPr>
                <w:rFonts w:hint="eastAsia"/>
                <w:color w:val="auto"/>
              </w:rPr>
              <w:t>3类标准</w:t>
            </w:r>
          </w:p>
        </w:tc>
      </w:tr>
      <w:tr w14:paraId="5516D12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67468C78">
            <w:pPr>
              <w:pStyle w:val="69"/>
              <w:rPr>
                <w:color w:val="auto"/>
              </w:rPr>
            </w:pPr>
            <w:r>
              <w:rPr>
                <w:color w:val="auto"/>
              </w:rPr>
              <w:t>5</w:t>
            </w:r>
          </w:p>
        </w:tc>
        <w:tc>
          <w:tcPr>
            <w:tcW w:w="3120" w:type="dxa"/>
            <w:vAlign w:val="center"/>
          </w:tcPr>
          <w:p w14:paraId="214B7B72">
            <w:pPr>
              <w:pStyle w:val="69"/>
              <w:rPr>
                <w:color w:val="auto"/>
              </w:rPr>
            </w:pPr>
            <w:r>
              <w:rPr>
                <w:color w:val="auto"/>
              </w:rPr>
              <w:t>生态功能区</w:t>
            </w:r>
          </w:p>
        </w:tc>
        <w:tc>
          <w:tcPr>
            <w:tcW w:w="5246" w:type="dxa"/>
            <w:vAlign w:val="center"/>
          </w:tcPr>
          <w:p w14:paraId="494B57BD">
            <w:pPr>
              <w:pStyle w:val="69"/>
              <w:rPr>
                <w:color w:val="auto"/>
              </w:rPr>
            </w:pPr>
            <w:r>
              <w:rPr>
                <w:rFonts w:hint="eastAsia"/>
                <w:color w:val="auto"/>
              </w:rPr>
              <w:t>引导性开发建设区</w:t>
            </w:r>
          </w:p>
        </w:tc>
      </w:tr>
      <w:tr w14:paraId="3671454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6B02ED85">
            <w:pPr>
              <w:pStyle w:val="69"/>
              <w:rPr>
                <w:color w:val="auto"/>
              </w:rPr>
            </w:pPr>
            <w:r>
              <w:rPr>
                <w:color w:val="auto"/>
              </w:rPr>
              <w:t>6</w:t>
            </w:r>
          </w:p>
        </w:tc>
        <w:tc>
          <w:tcPr>
            <w:tcW w:w="3120" w:type="dxa"/>
            <w:vAlign w:val="center"/>
          </w:tcPr>
          <w:p w14:paraId="4DF33F89">
            <w:pPr>
              <w:pStyle w:val="69"/>
              <w:rPr>
                <w:color w:val="auto"/>
              </w:rPr>
            </w:pPr>
            <w:r>
              <w:rPr>
                <w:rFonts w:hint="eastAsia"/>
                <w:color w:val="auto"/>
              </w:rPr>
              <w:t>是否饮用水源保护区</w:t>
            </w:r>
          </w:p>
        </w:tc>
        <w:tc>
          <w:tcPr>
            <w:tcW w:w="5246" w:type="dxa"/>
            <w:vAlign w:val="center"/>
          </w:tcPr>
          <w:p w14:paraId="1D63AF0D">
            <w:pPr>
              <w:pStyle w:val="69"/>
              <w:rPr>
                <w:color w:val="auto"/>
              </w:rPr>
            </w:pPr>
            <w:r>
              <w:rPr>
                <w:rFonts w:hint="eastAsia"/>
                <w:color w:val="auto"/>
              </w:rPr>
              <w:t>否</w:t>
            </w:r>
          </w:p>
        </w:tc>
      </w:tr>
      <w:tr w14:paraId="0D3247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7A05DFD2">
            <w:pPr>
              <w:pStyle w:val="69"/>
              <w:rPr>
                <w:color w:val="auto"/>
              </w:rPr>
            </w:pPr>
            <w:r>
              <w:rPr>
                <w:color w:val="auto"/>
              </w:rPr>
              <w:t>7</w:t>
            </w:r>
          </w:p>
        </w:tc>
        <w:tc>
          <w:tcPr>
            <w:tcW w:w="3120" w:type="dxa"/>
            <w:vAlign w:val="center"/>
          </w:tcPr>
          <w:p w14:paraId="2ACA8C7C">
            <w:pPr>
              <w:pStyle w:val="69"/>
              <w:rPr>
                <w:color w:val="auto"/>
              </w:rPr>
            </w:pPr>
            <w:r>
              <w:rPr>
                <w:color w:val="auto"/>
              </w:rPr>
              <w:t>是否基本农田保护区</w:t>
            </w:r>
          </w:p>
        </w:tc>
        <w:tc>
          <w:tcPr>
            <w:tcW w:w="5246" w:type="dxa"/>
            <w:vAlign w:val="center"/>
          </w:tcPr>
          <w:p w14:paraId="2C0DAD44">
            <w:pPr>
              <w:pStyle w:val="69"/>
              <w:rPr>
                <w:color w:val="auto"/>
              </w:rPr>
            </w:pPr>
            <w:r>
              <w:rPr>
                <w:color w:val="auto"/>
              </w:rPr>
              <w:t>否</w:t>
            </w:r>
          </w:p>
        </w:tc>
      </w:tr>
      <w:tr w14:paraId="721943A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653F31FE">
            <w:pPr>
              <w:pStyle w:val="69"/>
              <w:rPr>
                <w:color w:val="auto"/>
              </w:rPr>
            </w:pPr>
            <w:r>
              <w:rPr>
                <w:color w:val="auto"/>
              </w:rPr>
              <w:t>8</w:t>
            </w:r>
          </w:p>
        </w:tc>
        <w:tc>
          <w:tcPr>
            <w:tcW w:w="3120" w:type="dxa"/>
            <w:vAlign w:val="center"/>
          </w:tcPr>
          <w:p w14:paraId="3349CCB6">
            <w:pPr>
              <w:pStyle w:val="69"/>
              <w:rPr>
                <w:color w:val="auto"/>
              </w:rPr>
            </w:pPr>
            <w:r>
              <w:rPr>
                <w:color w:val="auto"/>
              </w:rPr>
              <w:t>是否风景名胜区</w:t>
            </w:r>
          </w:p>
        </w:tc>
        <w:tc>
          <w:tcPr>
            <w:tcW w:w="5246" w:type="dxa"/>
            <w:vAlign w:val="center"/>
          </w:tcPr>
          <w:p w14:paraId="493D17D5">
            <w:pPr>
              <w:pStyle w:val="69"/>
              <w:rPr>
                <w:color w:val="auto"/>
              </w:rPr>
            </w:pPr>
            <w:r>
              <w:rPr>
                <w:color w:val="auto"/>
              </w:rPr>
              <w:t>否</w:t>
            </w:r>
          </w:p>
        </w:tc>
      </w:tr>
      <w:tr w14:paraId="48511F1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371A42F0">
            <w:pPr>
              <w:pStyle w:val="69"/>
              <w:rPr>
                <w:color w:val="auto"/>
              </w:rPr>
            </w:pPr>
            <w:r>
              <w:rPr>
                <w:color w:val="auto"/>
              </w:rPr>
              <w:t>9</w:t>
            </w:r>
          </w:p>
        </w:tc>
        <w:tc>
          <w:tcPr>
            <w:tcW w:w="3120" w:type="dxa"/>
            <w:vAlign w:val="center"/>
          </w:tcPr>
          <w:p w14:paraId="2621EC74">
            <w:pPr>
              <w:pStyle w:val="69"/>
              <w:rPr>
                <w:color w:val="auto"/>
              </w:rPr>
            </w:pPr>
            <w:r>
              <w:rPr>
                <w:color w:val="auto"/>
              </w:rPr>
              <w:t>是否自然保护区</w:t>
            </w:r>
          </w:p>
        </w:tc>
        <w:tc>
          <w:tcPr>
            <w:tcW w:w="5246" w:type="dxa"/>
            <w:vAlign w:val="center"/>
          </w:tcPr>
          <w:p w14:paraId="6D06C36A">
            <w:pPr>
              <w:pStyle w:val="69"/>
              <w:rPr>
                <w:color w:val="auto"/>
              </w:rPr>
            </w:pPr>
            <w:r>
              <w:rPr>
                <w:color w:val="auto"/>
              </w:rPr>
              <w:t>否</w:t>
            </w:r>
          </w:p>
        </w:tc>
      </w:tr>
      <w:tr w14:paraId="62AA248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72664074">
            <w:pPr>
              <w:pStyle w:val="69"/>
              <w:rPr>
                <w:color w:val="auto"/>
              </w:rPr>
            </w:pPr>
            <w:r>
              <w:rPr>
                <w:color w:val="auto"/>
              </w:rPr>
              <w:t>10</w:t>
            </w:r>
          </w:p>
        </w:tc>
        <w:tc>
          <w:tcPr>
            <w:tcW w:w="3120" w:type="dxa"/>
            <w:vAlign w:val="center"/>
          </w:tcPr>
          <w:p w14:paraId="5959E327">
            <w:pPr>
              <w:pStyle w:val="69"/>
              <w:rPr>
                <w:color w:val="auto"/>
              </w:rPr>
            </w:pPr>
            <w:r>
              <w:rPr>
                <w:color w:val="auto"/>
              </w:rPr>
              <w:t>是否森林公园</w:t>
            </w:r>
          </w:p>
        </w:tc>
        <w:tc>
          <w:tcPr>
            <w:tcW w:w="5246" w:type="dxa"/>
            <w:vAlign w:val="center"/>
          </w:tcPr>
          <w:p w14:paraId="68449D9A">
            <w:pPr>
              <w:pStyle w:val="69"/>
              <w:rPr>
                <w:color w:val="auto"/>
              </w:rPr>
            </w:pPr>
            <w:r>
              <w:rPr>
                <w:color w:val="auto"/>
              </w:rPr>
              <w:t>否</w:t>
            </w:r>
          </w:p>
        </w:tc>
      </w:tr>
      <w:tr w14:paraId="19D2F1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63EB9947">
            <w:pPr>
              <w:pStyle w:val="69"/>
              <w:rPr>
                <w:color w:val="auto"/>
              </w:rPr>
            </w:pPr>
            <w:r>
              <w:rPr>
                <w:color w:val="auto"/>
              </w:rPr>
              <w:t>11</w:t>
            </w:r>
          </w:p>
        </w:tc>
        <w:tc>
          <w:tcPr>
            <w:tcW w:w="3120" w:type="dxa"/>
            <w:vAlign w:val="center"/>
          </w:tcPr>
          <w:p w14:paraId="7F4E984B">
            <w:pPr>
              <w:pStyle w:val="69"/>
              <w:rPr>
                <w:color w:val="auto"/>
              </w:rPr>
            </w:pPr>
            <w:r>
              <w:rPr>
                <w:color w:val="auto"/>
              </w:rPr>
              <w:t>是否生态功能保护区</w:t>
            </w:r>
          </w:p>
        </w:tc>
        <w:tc>
          <w:tcPr>
            <w:tcW w:w="5246" w:type="dxa"/>
            <w:vAlign w:val="center"/>
          </w:tcPr>
          <w:p w14:paraId="5BF4AE11">
            <w:pPr>
              <w:pStyle w:val="69"/>
              <w:rPr>
                <w:color w:val="auto"/>
              </w:rPr>
            </w:pPr>
            <w:r>
              <w:rPr>
                <w:color w:val="auto"/>
              </w:rPr>
              <w:t>否</w:t>
            </w:r>
          </w:p>
        </w:tc>
      </w:tr>
      <w:tr w14:paraId="4FD329D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0850BFEB">
            <w:pPr>
              <w:pStyle w:val="69"/>
              <w:rPr>
                <w:color w:val="auto"/>
              </w:rPr>
            </w:pPr>
            <w:r>
              <w:rPr>
                <w:color w:val="auto"/>
              </w:rPr>
              <w:t>12</w:t>
            </w:r>
          </w:p>
        </w:tc>
        <w:tc>
          <w:tcPr>
            <w:tcW w:w="3120" w:type="dxa"/>
            <w:vAlign w:val="center"/>
          </w:tcPr>
          <w:p w14:paraId="072E4411">
            <w:pPr>
              <w:pStyle w:val="69"/>
              <w:rPr>
                <w:color w:val="auto"/>
              </w:rPr>
            </w:pPr>
            <w:r>
              <w:rPr>
                <w:color w:val="auto"/>
              </w:rPr>
              <w:t>是否水土流失重点防治区</w:t>
            </w:r>
          </w:p>
        </w:tc>
        <w:tc>
          <w:tcPr>
            <w:tcW w:w="5246" w:type="dxa"/>
            <w:vAlign w:val="center"/>
          </w:tcPr>
          <w:p w14:paraId="41470827">
            <w:pPr>
              <w:pStyle w:val="69"/>
              <w:rPr>
                <w:color w:val="auto"/>
              </w:rPr>
            </w:pPr>
            <w:r>
              <w:rPr>
                <w:rFonts w:hint="eastAsia"/>
                <w:color w:val="auto"/>
              </w:rPr>
              <w:t>是</w:t>
            </w:r>
          </w:p>
        </w:tc>
      </w:tr>
      <w:tr w14:paraId="10E5A8E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220B4640">
            <w:pPr>
              <w:pStyle w:val="69"/>
              <w:rPr>
                <w:color w:val="auto"/>
              </w:rPr>
            </w:pPr>
            <w:r>
              <w:rPr>
                <w:color w:val="auto"/>
              </w:rPr>
              <w:t>13</w:t>
            </w:r>
          </w:p>
        </w:tc>
        <w:tc>
          <w:tcPr>
            <w:tcW w:w="3120" w:type="dxa"/>
            <w:vAlign w:val="center"/>
          </w:tcPr>
          <w:p w14:paraId="7CB927C6">
            <w:pPr>
              <w:pStyle w:val="69"/>
              <w:rPr>
                <w:color w:val="auto"/>
              </w:rPr>
            </w:pPr>
            <w:r>
              <w:rPr>
                <w:color w:val="auto"/>
              </w:rPr>
              <w:t>是否人口密集区</w:t>
            </w:r>
          </w:p>
        </w:tc>
        <w:tc>
          <w:tcPr>
            <w:tcW w:w="5246" w:type="dxa"/>
            <w:vAlign w:val="center"/>
          </w:tcPr>
          <w:p w14:paraId="4A08EA76">
            <w:pPr>
              <w:pStyle w:val="69"/>
              <w:rPr>
                <w:color w:val="auto"/>
              </w:rPr>
            </w:pPr>
            <w:r>
              <w:rPr>
                <w:color w:val="auto"/>
              </w:rPr>
              <w:t>否</w:t>
            </w:r>
          </w:p>
        </w:tc>
      </w:tr>
      <w:tr w14:paraId="08C9941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3A44CF1E">
            <w:pPr>
              <w:pStyle w:val="69"/>
              <w:rPr>
                <w:color w:val="auto"/>
              </w:rPr>
            </w:pPr>
            <w:r>
              <w:rPr>
                <w:color w:val="auto"/>
              </w:rPr>
              <w:t>14</w:t>
            </w:r>
          </w:p>
        </w:tc>
        <w:tc>
          <w:tcPr>
            <w:tcW w:w="3120" w:type="dxa"/>
            <w:vAlign w:val="center"/>
          </w:tcPr>
          <w:p w14:paraId="7287254D">
            <w:pPr>
              <w:pStyle w:val="69"/>
              <w:rPr>
                <w:color w:val="auto"/>
              </w:rPr>
            </w:pPr>
            <w:r>
              <w:rPr>
                <w:color w:val="auto"/>
              </w:rPr>
              <w:t>是否重点文物保护单位</w:t>
            </w:r>
          </w:p>
        </w:tc>
        <w:tc>
          <w:tcPr>
            <w:tcW w:w="5246" w:type="dxa"/>
            <w:vAlign w:val="center"/>
          </w:tcPr>
          <w:p w14:paraId="02FDD454">
            <w:pPr>
              <w:pStyle w:val="69"/>
              <w:rPr>
                <w:color w:val="auto"/>
              </w:rPr>
            </w:pPr>
            <w:r>
              <w:rPr>
                <w:color w:val="auto"/>
              </w:rPr>
              <w:t>否</w:t>
            </w:r>
          </w:p>
        </w:tc>
      </w:tr>
      <w:tr w14:paraId="7BA30D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4F011A85">
            <w:pPr>
              <w:pStyle w:val="69"/>
              <w:rPr>
                <w:color w:val="auto"/>
              </w:rPr>
            </w:pPr>
            <w:r>
              <w:rPr>
                <w:color w:val="auto"/>
              </w:rPr>
              <w:t>15</w:t>
            </w:r>
          </w:p>
        </w:tc>
        <w:tc>
          <w:tcPr>
            <w:tcW w:w="3120" w:type="dxa"/>
            <w:vAlign w:val="center"/>
          </w:tcPr>
          <w:p w14:paraId="37E08368">
            <w:pPr>
              <w:pStyle w:val="69"/>
              <w:rPr>
                <w:color w:val="auto"/>
              </w:rPr>
            </w:pPr>
            <w:r>
              <w:rPr>
                <w:color w:val="auto"/>
              </w:rPr>
              <w:t>是否水库库区</w:t>
            </w:r>
          </w:p>
        </w:tc>
        <w:tc>
          <w:tcPr>
            <w:tcW w:w="5246" w:type="dxa"/>
            <w:vAlign w:val="center"/>
          </w:tcPr>
          <w:p w14:paraId="43648021">
            <w:pPr>
              <w:pStyle w:val="69"/>
              <w:rPr>
                <w:color w:val="auto"/>
              </w:rPr>
            </w:pPr>
            <w:r>
              <w:rPr>
                <w:color w:val="auto"/>
              </w:rPr>
              <w:t>否</w:t>
            </w:r>
          </w:p>
        </w:tc>
      </w:tr>
      <w:tr w14:paraId="7FDCF40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vAlign w:val="center"/>
          </w:tcPr>
          <w:p w14:paraId="47DF017F">
            <w:pPr>
              <w:pStyle w:val="69"/>
              <w:rPr>
                <w:color w:val="auto"/>
              </w:rPr>
            </w:pPr>
            <w:r>
              <w:rPr>
                <w:color w:val="auto"/>
              </w:rPr>
              <w:t>16</w:t>
            </w:r>
          </w:p>
        </w:tc>
        <w:tc>
          <w:tcPr>
            <w:tcW w:w="3120" w:type="dxa"/>
            <w:vAlign w:val="center"/>
          </w:tcPr>
          <w:p w14:paraId="3BEDA002">
            <w:pPr>
              <w:pStyle w:val="69"/>
              <w:rPr>
                <w:color w:val="auto"/>
              </w:rPr>
            </w:pPr>
            <w:r>
              <w:rPr>
                <w:color w:val="auto"/>
              </w:rPr>
              <w:t>是否污水处理厂集水范围</w:t>
            </w:r>
          </w:p>
        </w:tc>
        <w:tc>
          <w:tcPr>
            <w:tcW w:w="5246" w:type="dxa"/>
            <w:vAlign w:val="center"/>
          </w:tcPr>
          <w:p w14:paraId="395A9922">
            <w:pPr>
              <w:pStyle w:val="69"/>
              <w:rPr>
                <w:color w:val="auto"/>
              </w:rPr>
            </w:pPr>
            <w:r>
              <w:rPr>
                <w:rFonts w:hint="eastAsia"/>
                <w:color w:val="auto"/>
              </w:rPr>
              <w:t>是，</w:t>
            </w:r>
            <w:r>
              <w:rPr>
                <w:rFonts w:hint="eastAsia" w:ascii="Times New Roman" w:hAnsi="Times New Roman" w:cs="Times New Roman"/>
              </w:rPr>
              <w:t>鹤山市第二污水处理厂</w:t>
            </w:r>
          </w:p>
        </w:tc>
      </w:tr>
      <w:tr w14:paraId="7B00B0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 w:type="dxa"/>
            <w:tcBorders>
              <w:bottom w:val="single" w:color="auto" w:sz="12" w:space="0"/>
            </w:tcBorders>
            <w:vAlign w:val="center"/>
          </w:tcPr>
          <w:p w14:paraId="31D3BCA3">
            <w:pPr>
              <w:pStyle w:val="69"/>
              <w:rPr>
                <w:color w:val="auto"/>
              </w:rPr>
            </w:pPr>
            <w:r>
              <w:rPr>
                <w:color w:val="auto"/>
              </w:rPr>
              <w:t>17</w:t>
            </w:r>
          </w:p>
        </w:tc>
        <w:tc>
          <w:tcPr>
            <w:tcW w:w="3120" w:type="dxa"/>
            <w:tcBorders>
              <w:bottom w:val="single" w:color="auto" w:sz="12" w:space="0"/>
            </w:tcBorders>
            <w:vAlign w:val="center"/>
          </w:tcPr>
          <w:p w14:paraId="7907F7FF">
            <w:pPr>
              <w:pStyle w:val="69"/>
              <w:rPr>
                <w:color w:val="auto"/>
              </w:rPr>
            </w:pPr>
            <w:r>
              <w:rPr>
                <w:color w:val="auto"/>
              </w:rPr>
              <w:t>是否属于生态敏感与脆弱区</w:t>
            </w:r>
          </w:p>
        </w:tc>
        <w:tc>
          <w:tcPr>
            <w:tcW w:w="5246" w:type="dxa"/>
            <w:tcBorders>
              <w:bottom w:val="single" w:color="auto" w:sz="12" w:space="0"/>
            </w:tcBorders>
            <w:vAlign w:val="center"/>
          </w:tcPr>
          <w:p w14:paraId="08989DD7">
            <w:pPr>
              <w:pStyle w:val="69"/>
              <w:rPr>
                <w:color w:val="auto"/>
              </w:rPr>
            </w:pPr>
            <w:r>
              <w:rPr>
                <w:color w:val="auto"/>
              </w:rPr>
              <w:t>否</w:t>
            </w:r>
          </w:p>
        </w:tc>
      </w:tr>
    </w:tbl>
    <w:p w14:paraId="77AD947A">
      <w:pPr>
        <w:pStyle w:val="67"/>
        <w:numPr>
          <w:ilvl w:val="1"/>
          <w:numId w:val="8"/>
        </w:numPr>
        <w:bidi w:val="0"/>
        <w:ind w:left="567" w:leftChars="0" w:hanging="567" w:firstLineChars="0"/>
        <w:rPr>
          <w:rFonts w:hint="eastAsia" w:ascii="Times New Roman" w:hAnsi="Times New Roman" w:eastAsia="宋体" w:cs="Times New Roman"/>
          <w:color w:val="auto"/>
        </w:rPr>
      </w:pPr>
      <w:bookmarkStart w:id="40" w:name="_Toc7056"/>
      <w:r>
        <w:rPr>
          <w:rFonts w:hint="eastAsia" w:ascii="Times New Roman" w:hAnsi="Times New Roman" w:eastAsia="宋体" w:cs="Times New Roman"/>
          <w:color w:val="auto"/>
        </w:rPr>
        <w:t>评价工作等级</w:t>
      </w:r>
      <w:bookmarkEnd w:id="38"/>
      <w:bookmarkEnd w:id="39"/>
      <w:bookmarkEnd w:id="40"/>
    </w:p>
    <w:p w14:paraId="7B5FD36B">
      <w:pPr>
        <w:pStyle w:val="64"/>
        <w:numPr>
          <w:ilvl w:val="2"/>
          <w:numId w:val="8"/>
        </w:numPr>
        <w:spacing w:before="166" w:after="166"/>
        <w:ind w:left="709" w:leftChars="0" w:hanging="709" w:firstLineChars="0"/>
        <w:rPr>
          <w:color w:val="auto"/>
          <w:szCs w:val="24"/>
        </w:rPr>
      </w:pPr>
      <w:r>
        <w:rPr>
          <w:color w:val="auto"/>
        </w:rPr>
        <w:t>地表水环境影响评价工作等级</w:t>
      </w:r>
    </w:p>
    <w:p w14:paraId="70647381">
      <w:pPr>
        <w:bidi w:val="0"/>
        <w:rPr>
          <w:color w:val="auto"/>
        </w:rPr>
      </w:pPr>
      <w:r>
        <w:rPr>
          <w:rFonts w:hint="eastAsia"/>
          <w:color w:val="auto"/>
        </w:rPr>
        <w:t>根据工程分析可知，</w:t>
      </w:r>
      <w:r>
        <w:rPr>
          <w:rFonts w:hint="eastAsia" w:ascii="Times New Roman" w:hAnsi="Times New Roman" w:cs="Times New Roman"/>
        </w:rPr>
        <w:t>生活污水经三级化粪池处理达到广东省地方标准《水污染物排放限值》（DB44/26-2001）第二时段三级标准经市政污水管网排放至鹤山市龙口三连预处理站预处理后，再通过泵站提升至鹤山市第二污水处理厂深度处理，尾水排放至沙坪河</w:t>
      </w:r>
      <w:r>
        <w:rPr>
          <w:rFonts w:hint="eastAsia"/>
          <w:color w:val="auto"/>
        </w:rPr>
        <w:t>。根据</w:t>
      </w:r>
      <w:r>
        <w:rPr>
          <w:color w:val="auto"/>
        </w:rPr>
        <w:t>《环境影响评价技术导则—地表水环境》（HJ2.3-2018）规定的评价工作等级划分原则</w:t>
      </w:r>
      <w:r>
        <w:rPr>
          <w:rFonts w:hint="eastAsia"/>
          <w:color w:val="auto"/>
        </w:rPr>
        <w:t>，</w:t>
      </w:r>
      <w:r>
        <w:rPr>
          <w:color w:val="auto"/>
        </w:rPr>
        <w:t>确定本项目地表水环境影响评价工作等级为三级</w:t>
      </w:r>
      <w:r>
        <w:rPr>
          <w:rFonts w:hint="eastAsia"/>
          <w:color w:val="auto"/>
        </w:rPr>
        <w:t>B</w:t>
      </w:r>
      <w:r>
        <w:rPr>
          <w:color w:val="auto"/>
        </w:rPr>
        <w:t>。</w:t>
      </w:r>
    </w:p>
    <w:p w14:paraId="40E8CCF8">
      <w:pPr>
        <w:pStyle w:val="62"/>
        <w:numPr>
          <w:ilvl w:val="0"/>
          <w:numId w:val="18"/>
        </w:numPr>
        <w:ind w:left="0" w:leftChars="0" w:firstLine="0" w:firstLineChars="0"/>
        <w:rPr>
          <w:color w:val="auto"/>
        </w:rPr>
      </w:pPr>
      <w:r>
        <w:rPr>
          <w:rFonts w:hint="eastAsia"/>
          <w:color w:val="auto"/>
        </w:rPr>
        <w:t>水污染影响型建设项目评价等级判定依据</w:t>
      </w:r>
    </w:p>
    <w:tbl>
      <w:tblPr>
        <w:tblStyle w:val="38"/>
        <w:tblW w:w="923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78"/>
        <w:gridCol w:w="3078"/>
        <w:gridCol w:w="3075"/>
      </w:tblGrid>
      <w:tr w14:paraId="085A5B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78" w:type="dxa"/>
            <w:vMerge w:val="restart"/>
            <w:vAlign w:val="center"/>
          </w:tcPr>
          <w:p w14:paraId="630765B4">
            <w:pPr>
              <w:pStyle w:val="59"/>
              <w:rPr>
                <w:color w:val="auto"/>
                <w:kern w:val="2"/>
                <w:szCs w:val="24"/>
              </w:rPr>
            </w:pPr>
            <w:r>
              <w:rPr>
                <w:rFonts w:hint="eastAsia"/>
                <w:color w:val="auto"/>
                <w:kern w:val="2"/>
                <w:szCs w:val="24"/>
              </w:rPr>
              <w:t>评价等级</w:t>
            </w:r>
          </w:p>
        </w:tc>
        <w:tc>
          <w:tcPr>
            <w:tcW w:w="6153" w:type="dxa"/>
            <w:gridSpan w:val="2"/>
            <w:vAlign w:val="center"/>
          </w:tcPr>
          <w:p w14:paraId="52BB2D9F">
            <w:pPr>
              <w:pStyle w:val="59"/>
              <w:rPr>
                <w:color w:val="auto"/>
                <w:kern w:val="2"/>
                <w:szCs w:val="24"/>
              </w:rPr>
            </w:pPr>
            <w:r>
              <w:rPr>
                <w:rFonts w:hint="eastAsia"/>
                <w:color w:val="auto"/>
                <w:kern w:val="2"/>
                <w:szCs w:val="24"/>
              </w:rPr>
              <w:t>判定依据</w:t>
            </w:r>
          </w:p>
        </w:tc>
      </w:tr>
      <w:tr w14:paraId="4008F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78" w:type="dxa"/>
            <w:vMerge w:val="continue"/>
            <w:vAlign w:val="center"/>
          </w:tcPr>
          <w:p w14:paraId="4834F85B">
            <w:pPr>
              <w:pStyle w:val="59"/>
              <w:rPr>
                <w:color w:val="auto"/>
                <w:kern w:val="2"/>
                <w:szCs w:val="24"/>
              </w:rPr>
            </w:pPr>
          </w:p>
        </w:tc>
        <w:tc>
          <w:tcPr>
            <w:tcW w:w="3078" w:type="dxa"/>
            <w:vAlign w:val="center"/>
          </w:tcPr>
          <w:p w14:paraId="08CAD9F5">
            <w:pPr>
              <w:pStyle w:val="59"/>
              <w:rPr>
                <w:color w:val="auto"/>
                <w:kern w:val="2"/>
                <w:szCs w:val="24"/>
              </w:rPr>
            </w:pPr>
            <w:r>
              <w:rPr>
                <w:rFonts w:hint="eastAsia"/>
                <w:color w:val="auto"/>
                <w:kern w:val="2"/>
                <w:szCs w:val="24"/>
              </w:rPr>
              <w:t>排放方式</w:t>
            </w:r>
          </w:p>
        </w:tc>
        <w:tc>
          <w:tcPr>
            <w:tcW w:w="3075" w:type="dxa"/>
            <w:vAlign w:val="center"/>
          </w:tcPr>
          <w:p w14:paraId="4EAB7826">
            <w:pPr>
              <w:pStyle w:val="59"/>
              <w:rPr>
                <w:color w:val="auto"/>
                <w:kern w:val="2"/>
                <w:szCs w:val="24"/>
              </w:rPr>
            </w:pPr>
            <w:r>
              <w:rPr>
                <w:rFonts w:hint="eastAsia"/>
                <w:color w:val="auto"/>
                <w:kern w:val="2"/>
                <w:szCs w:val="24"/>
              </w:rPr>
              <w:t>废水排放量（Q/m</w:t>
            </w:r>
            <w:r>
              <w:rPr>
                <w:rFonts w:hint="eastAsia"/>
                <w:color w:val="auto"/>
                <w:kern w:val="2"/>
                <w:szCs w:val="24"/>
                <w:vertAlign w:val="superscript"/>
              </w:rPr>
              <w:t>3</w:t>
            </w:r>
            <w:r>
              <w:rPr>
                <w:rFonts w:hint="eastAsia"/>
                <w:color w:val="auto"/>
                <w:kern w:val="2"/>
                <w:szCs w:val="24"/>
              </w:rPr>
              <w:t>/d）</w:t>
            </w:r>
          </w:p>
          <w:p w14:paraId="79D699DC">
            <w:pPr>
              <w:pStyle w:val="59"/>
              <w:rPr>
                <w:color w:val="auto"/>
                <w:kern w:val="2"/>
                <w:szCs w:val="24"/>
              </w:rPr>
            </w:pPr>
            <w:r>
              <w:rPr>
                <w:rFonts w:hint="eastAsia"/>
                <w:color w:val="auto"/>
                <w:kern w:val="2"/>
                <w:szCs w:val="24"/>
              </w:rPr>
              <w:t>水污染物当量数W/（无量纲）</w:t>
            </w:r>
          </w:p>
        </w:tc>
      </w:tr>
      <w:tr w14:paraId="177B15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78" w:type="dxa"/>
            <w:vAlign w:val="center"/>
          </w:tcPr>
          <w:p w14:paraId="6BEB78A8">
            <w:pPr>
              <w:pStyle w:val="59"/>
              <w:rPr>
                <w:color w:val="auto"/>
                <w:kern w:val="2"/>
                <w:szCs w:val="24"/>
              </w:rPr>
            </w:pPr>
            <w:r>
              <w:rPr>
                <w:rFonts w:hint="eastAsia"/>
                <w:color w:val="auto"/>
                <w:kern w:val="2"/>
                <w:szCs w:val="24"/>
              </w:rPr>
              <w:t>一级</w:t>
            </w:r>
          </w:p>
        </w:tc>
        <w:tc>
          <w:tcPr>
            <w:tcW w:w="3078" w:type="dxa"/>
            <w:vAlign w:val="center"/>
          </w:tcPr>
          <w:p w14:paraId="19094B63">
            <w:pPr>
              <w:pStyle w:val="59"/>
              <w:rPr>
                <w:color w:val="auto"/>
                <w:kern w:val="2"/>
                <w:szCs w:val="24"/>
              </w:rPr>
            </w:pPr>
            <w:r>
              <w:rPr>
                <w:rFonts w:hint="eastAsia"/>
                <w:color w:val="auto"/>
                <w:kern w:val="2"/>
                <w:szCs w:val="24"/>
              </w:rPr>
              <w:t>直接排放</w:t>
            </w:r>
          </w:p>
        </w:tc>
        <w:tc>
          <w:tcPr>
            <w:tcW w:w="3075" w:type="dxa"/>
            <w:vAlign w:val="center"/>
          </w:tcPr>
          <w:p w14:paraId="634FB89A">
            <w:pPr>
              <w:pStyle w:val="59"/>
              <w:rPr>
                <w:color w:val="auto"/>
                <w:kern w:val="2"/>
                <w:szCs w:val="24"/>
              </w:rPr>
            </w:pPr>
            <w:r>
              <w:rPr>
                <w:rFonts w:hint="eastAsia"/>
                <w:color w:val="auto"/>
                <w:kern w:val="2"/>
                <w:szCs w:val="24"/>
              </w:rPr>
              <w:t>Q≥20000或W≥600000</w:t>
            </w:r>
          </w:p>
        </w:tc>
      </w:tr>
      <w:tr w14:paraId="3BA094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78" w:type="dxa"/>
            <w:vAlign w:val="center"/>
          </w:tcPr>
          <w:p w14:paraId="2BB8808B">
            <w:pPr>
              <w:pStyle w:val="59"/>
              <w:rPr>
                <w:color w:val="auto"/>
                <w:kern w:val="2"/>
                <w:szCs w:val="24"/>
              </w:rPr>
            </w:pPr>
            <w:r>
              <w:rPr>
                <w:rFonts w:hint="eastAsia"/>
                <w:color w:val="auto"/>
                <w:kern w:val="2"/>
                <w:szCs w:val="24"/>
              </w:rPr>
              <w:t>二级</w:t>
            </w:r>
          </w:p>
        </w:tc>
        <w:tc>
          <w:tcPr>
            <w:tcW w:w="3078" w:type="dxa"/>
            <w:vAlign w:val="center"/>
          </w:tcPr>
          <w:p w14:paraId="44B9F844">
            <w:pPr>
              <w:pStyle w:val="59"/>
              <w:rPr>
                <w:color w:val="auto"/>
                <w:kern w:val="2"/>
                <w:szCs w:val="24"/>
              </w:rPr>
            </w:pPr>
            <w:r>
              <w:rPr>
                <w:rFonts w:hint="eastAsia"/>
                <w:color w:val="auto"/>
                <w:kern w:val="2"/>
                <w:szCs w:val="24"/>
              </w:rPr>
              <w:t>直接排放</w:t>
            </w:r>
          </w:p>
        </w:tc>
        <w:tc>
          <w:tcPr>
            <w:tcW w:w="3075" w:type="dxa"/>
            <w:vAlign w:val="center"/>
          </w:tcPr>
          <w:p w14:paraId="48F23E53">
            <w:pPr>
              <w:pStyle w:val="59"/>
              <w:rPr>
                <w:color w:val="auto"/>
                <w:kern w:val="2"/>
                <w:szCs w:val="24"/>
              </w:rPr>
            </w:pPr>
            <w:r>
              <w:rPr>
                <w:rFonts w:hint="eastAsia"/>
                <w:color w:val="auto"/>
                <w:kern w:val="2"/>
                <w:szCs w:val="24"/>
              </w:rPr>
              <w:t>其他</w:t>
            </w:r>
          </w:p>
        </w:tc>
      </w:tr>
      <w:tr w14:paraId="4F263E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78" w:type="dxa"/>
            <w:vAlign w:val="center"/>
          </w:tcPr>
          <w:p w14:paraId="0DA25299">
            <w:pPr>
              <w:pStyle w:val="59"/>
              <w:rPr>
                <w:color w:val="auto"/>
                <w:kern w:val="2"/>
                <w:szCs w:val="24"/>
              </w:rPr>
            </w:pPr>
            <w:r>
              <w:rPr>
                <w:rFonts w:hint="eastAsia"/>
                <w:color w:val="auto"/>
                <w:kern w:val="2"/>
                <w:szCs w:val="24"/>
              </w:rPr>
              <w:t>三级A</w:t>
            </w:r>
          </w:p>
        </w:tc>
        <w:tc>
          <w:tcPr>
            <w:tcW w:w="3078" w:type="dxa"/>
            <w:vAlign w:val="center"/>
          </w:tcPr>
          <w:p w14:paraId="67A44A61">
            <w:pPr>
              <w:pStyle w:val="59"/>
              <w:rPr>
                <w:color w:val="auto"/>
                <w:kern w:val="2"/>
                <w:szCs w:val="24"/>
              </w:rPr>
            </w:pPr>
            <w:r>
              <w:rPr>
                <w:rFonts w:hint="eastAsia"/>
                <w:color w:val="auto"/>
                <w:kern w:val="2"/>
                <w:szCs w:val="24"/>
              </w:rPr>
              <w:t>直接排放</w:t>
            </w:r>
          </w:p>
        </w:tc>
        <w:tc>
          <w:tcPr>
            <w:tcW w:w="3075" w:type="dxa"/>
            <w:vAlign w:val="center"/>
          </w:tcPr>
          <w:p w14:paraId="6B2057E2">
            <w:pPr>
              <w:pStyle w:val="59"/>
              <w:rPr>
                <w:color w:val="auto"/>
                <w:kern w:val="2"/>
                <w:szCs w:val="24"/>
              </w:rPr>
            </w:pPr>
            <w:r>
              <w:rPr>
                <w:rFonts w:hint="eastAsia"/>
                <w:color w:val="auto"/>
                <w:kern w:val="2"/>
                <w:szCs w:val="24"/>
              </w:rPr>
              <w:t>Q＜200且W＜6000</w:t>
            </w:r>
          </w:p>
        </w:tc>
      </w:tr>
      <w:tr w14:paraId="13D2F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78" w:type="dxa"/>
            <w:vAlign w:val="center"/>
          </w:tcPr>
          <w:p w14:paraId="592B05FF">
            <w:pPr>
              <w:pStyle w:val="59"/>
              <w:rPr>
                <w:color w:val="auto"/>
                <w:kern w:val="2"/>
                <w:szCs w:val="24"/>
              </w:rPr>
            </w:pPr>
            <w:r>
              <w:rPr>
                <w:rFonts w:hint="eastAsia"/>
                <w:color w:val="auto"/>
                <w:kern w:val="2"/>
                <w:szCs w:val="24"/>
              </w:rPr>
              <w:t>三级B</w:t>
            </w:r>
          </w:p>
        </w:tc>
        <w:tc>
          <w:tcPr>
            <w:tcW w:w="3078" w:type="dxa"/>
            <w:vAlign w:val="center"/>
          </w:tcPr>
          <w:p w14:paraId="63339CD9">
            <w:pPr>
              <w:pStyle w:val="59"/>
              <w:rPr>
                <w:color w:val="auto"/>
                <w:kern w:val="2"/>
                <w:szCs w:val="24"/>
              </w:rPr>
            </w:pPr>
            <w:r>
              <w:rPr>
                <w:rFonts w:hint="eastAsia"/>
                <w:color w:val="auto"/>
                <w:kern w:val="2"/>
                <w:szCs w:val="24"/>
              </w:rPr>
              <w:t>间接排放</w:t>
            </w:r>
          </w:p>
        </w:tc>
        <w:tc>
          <w:tcPr>
            <w:tcW w:w="3075" w:type="dxa"/>
            <w:vAlign w:val="center"/>
          </w:tcPr>
          <w:p w14:paraId="6CC50DE7">
            <w:pPr>
              <w:pStyle w:val="59"/>
              <w:rPr>
                <w:color w:val="auto"/>
                <w:kern w:val="2"/>
                <w:szCs w:val="24"/>
              </w:rPr>
            </w:pPr>
            <w:r>
              <w:rPr>
                <w:rFonts w:hint="eastAsia"/>
                <w:color w:val="auto"/>
                <w:kern w:val="2"/>
                <w:szCs w:val="24"/>
              </w:rPr>
              <w:t>--</w:t>
            </w:r>
          </w:p>
        </w:tc>
      </w:tr>
      <w:tr w14:paraId="26FA2E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31" w:type="dxa"/>
            <w:gridSpan w:val="3"/>
            <w:vAlign w:val="center"/>
          </w:tcPr>
          <w:p w14:paraId="70E501A3">
            <w:pPr>
              <w:spacing w:line="240" w:lineRule="auto"/>
              <w:ind w:firstLine="420"/>
              <w:jc w:val="left"/>
              <w:rPr>
                <w:color w:val="auto"/>
                <w:sz w:val="21"/>
              </w:rPr>
            </w:pPr>
            <w:r>
              <w:rPr>
                <w:color w:val="auto"/>
                <w:sz w:val="21"/>
              </w:rPr>
              <w:t>注1：水污染物当量数等于该污染物的年排放量除以该污染物的污染当量值（见附录 A），计算排放污染物的污染物当量数，应区分第一类水污染物和其他类水污染物，统计第一类污染物当量数总和，然后与其他类污染物按照污染物当量数从大到小排序，取最大当量数作为建设项目评价等级确定的依据。</w:t>
            </w:r>
          </w:p>
          <w:p w14:paraId="1C868E2F">
            <w:pPr>
              <w:spacing w:line="240" w:lineRule="auto"/>
              <w:ind w:firstLine="420"/>
              <w:jc w:val="left"/>
              <w:rPr>
                <w:color w:val="auto"/>
                <w:sz w:val="21"/>
              </w:rPr>
            </w:pPr>
            <w:r>
              <w:rPr>
                <w:color w:val="auto"/>
                <w:sz w:val="21"/>
              </w:rPr>
              <w:t>注2：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14:paraId="592AF624">
            <w:pPr>
              <w:spacing w:line="240" w:lineRule="auto"/>
              <w:ind w:firstLine="420"/>
              <w:jc w:val="left"/>
              <w:rPr>
                <w:color w:val="auto"/>
                <w:sz w:val="21"/>
              </w:rPr>
            </w:pPr>
            <w:r>
              <w:rPr>
                <w:color w:val="auto"/>
                <w:sz w:val="21"/>
              </w:rPr>
              <w:t>注3：厂区存在堆积物（露天堆放的原料、燃料、废渣等以及垃圾堆放场）、降尘污染的，应将初期雨污水纳入废水排放量，相应的主要污染物纳入水污染当量计算。</w:t>
            </w:r>
          </w:p>
          <w:p w14:paraId="7F191999">
            <w:pPr>
              <w:spacing w:line="240" w:lineRule="auto"/>
              <w:ind w:firstLine="420"/>
              <w:jc w:val="left"/>
              <w:rPr>
                <w:color w:val="auto"/>
                <w:sz w:val="21"/>
              </w:rPr>
            </w:pPr>
            <w:r>
              <w:rPr>
                <w:color w:val="auto"/>
                <w:sz w:val="21"/>
              </w:rPr>
              <w:t>注4：建设项目直接排放第一类污染物的，其评价等级为一级；建设项目直接排放的污染物为受纳水体超标因子的，评价等级不低于二级。</w:t>
            </w:r>
          </w:p>
          <w:p w14:paraId="4BDF67EF">
            <w:pPr>
              <w:spacing w:line="240" w:lineRule="auto"/>
              <w:ind w:firstLine="420"/>
              <w:jc w:val="left"/>
              <w:rPr>
                <w:color w:val="auto"/>
                <w:sz w:val="21"/>
              </w:rPr>
            </w:pPr>
            <w:r>
              <w:rPr>
                <w:color w:val="auto"/>
                <w:sz w:val="21"/>
              </w:rPr>
              <w:t>注5：直接排放受纳水体影响范围涉及饮用水水源保护区、饮用水取水口、重点保护与珍稀水生生物的栖息地、重要水生生物的自然产卵场等保护目标时，评价等级不低于二级。</w:t>
            </w:r>
          </w:p>
          <w:p w14:paraId="32282EDD">
            <w:pPr>
              <w:spacing w:line="240" w:lineRule="auto"/>
              <w:ind w:firstLine="420"/>
              <w:jc w:val="left"/>
              <w:rPr>
                <w:color w:val="auto"/>
                <w:sz w:val="21"/>
              </w:rPr>
            </w:pPr>
            <w:r>
              <w:rPr>
                <w:color w:val="auto"/>
                <w:sz w:val="21"/>
              </w:rPr>
              <w:t>注6：建设项目向河流、湖库排放温排水引起受纳水体水温变化超过水环境质量标准要求，且评价范围有水温敏感目标时，评价等级为一级。</w:t>
            </w:r>
          </w:p>
          <w:p w14:paraId="6D952D26">
            <w:pPr>
              <w:spacing w:line="240" w:lineRule="auto"/>
              <w:ind w:firstLine="420"/>
              <w:jc w:val="left"/>
              <w:rPr>
                <w:color w:val="auto"/>
                <w:sz w:val="21"/>
              </w:rPr>
            </w:pPr>
            <w:r>
              <w:rPr>
                <w:color w:val="auto"/>
                <w:sz w:val="21"/>
              </w:rPr>
              <w:t>注7：建设项目利用海水作为调节温度介质，排水量≥500万m</w:t>
            </w:r>
            <w:r>
              <w:rPr>
                <w:color w:val="auto"/>
                <w:sz w:val="21"/>
                <w:vertAlign w:val="superscript"/>
              </w:rPr>
              <w:t>3</w:t>
            </w:r>
            <w:r>
              <w:rPr>
                <w:color w:val="auto"/>
                <w:sz w:val="21"/>
              </w:rPr>
              <w:t xml:space="preserve"> /d，评价等级为一级；排水量＜500万m</w:t>
            </w:r>
            <w:r>
              <w:rPr>
                <w:color w:val="auto"/>
                <w:sz w:val="21"/>
                <w:vertAlign w:val="superscript"/>
              </w:rPr>
              <w:t>3</w:t>
            </w:r>
            <w:r>
              <w:rPr>
                <w:color w:val="auto"/>
                <w:sz w:val="21"/>
              </w:rPr>
              <w:t>/d，评价等级为二级。</w:t>
            </w:r>
          </w:p>
          <w:p w14:paraId="721AC04F">
            <w:pPr>
              <w:spacing w:line="240" w:lineRule="auto"/>
              <w:ind w:firstLine="420"/>
              <w:jc w:val="left"/>
              <w:rPr>
                <w:color w:val="auto"/>
                <w:sz w:val="21"/>
              </w:rPr>
            </w:pPr>
            <w:r>
              <w:rPr>
                <w:color w:val="auto"/>
                <w:sz w:val="21"/>
              </w:rPr>
              <w:t>注8：仅涉及清净下水排放的，如其排放水质满足受纳水体水环境质量标准要求的，评价等级为三级A。</w:t>
            </w:r>
          </w:p>
          <w:p w14:paraId="3B33B67D">
            <w:pPr>
              <w:spacing w:line="240" w:lineRule="auto"/>
              <w:ind w:firstLine="420"/>
              <w:jc w:val="left"/>
              <w:rPr>
                <w:color w:val="auto"/>
                <w:sz w:val="21"/>
              </w:rPr>
            </w:pPr>
            <w:r>
              <w:rPr>
                <w:color w:val="auto"/>
                <w:sz w:val="21"/>
              </w:rPr>
              <w:t>注9：依托现有排放口，且对外环境未新增排放污染物的直接排放建设项目，评价等级参照间接排放，定为三级 B。</w:t>
            </w:r>
          </w:p>
          <w:p w14:paraId="30AF80A6">
            <w:pPr>
              <w:pStyle w:val="59"/>
              <w:rPr>
                <w:color w:val="auto"/>
                <w:kern w:val="2"/>
                <w:szCs w:val="24"/>
              </w:rPr>
            </w:pPr>
            <w:r>
              <w:rPr>
                <w:color w:val="auto"/>
                <w:szCs w:val="21"/>
              </w:rPr>
              <w:t>注10：建设项目生产工艺中有废水产生，但作为回水利用，不排放到外环境的，按三级B评价。</w:t>
            </w:r>
          </w:p>
        </w:tc>
      </w:tr>
    </w:tbl>
    <w:p w14:paraId="2E7B2576">
      <w:pPr>
        <w:pStyle w:val="62"/>
        <w:numPr>
          <w:ilvl w:val="0"/>
          <w:numId w:val="18"/>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本项目的等级判定结果</w:t>
      </w:r>
    </w:p>
    <w:tbl>
      <w:tblPr>
        <w:tblStyle w:val="38"/>
        <w:tblW w:w="923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2816"/>
        <w:gridCol w:w="4759"/>
      </w:tblGrid>
      <w:tr w14:paraId="07A2B0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472" w:type="dxa"/>
            <w:gridSpan w:val="2"/>
            <w:vAlign w:val="center"/>
          </w:tcPr>
          <w:p w14:paraId="6E9F3A9A">
            <w:pPr>
              <w:pStyle w:val="59"/>
              <w:rPr>
                <w:color w:val="auto"/>
                <w:kern w:val="2"/>
                <w:szCs w:val="24"/>
              </w:rPr>
            </w:pPr>
            <w:r>
              <w:rPr>
                <w:rFonts w:hint="eastAsia"/>
                <w:color w:val="auto"/>
                <w:kern w:val="2"/>
                <w:szCs w:val="24"/>
              </w:rPr>
              <w:t>影响类型</w:t>
            </w:r>
          </w:p>
        </w:tc>
        <w:tc>
          <w:tcPr>
            <w:tcW w:w="4759" w:type="dxa"/>
            <w:vAlign w:val="center"/>
          </w:tcPr>
          <w:p w14:paraId="1AE2216D">
            <w:pPr>
              <w:pStyle w:val="59"/>
              <w:rPr>
                <w:color w:val="auto"/>
                <w:kern w:val="2"/>
                <w:szCs w:val="24"/>
              </w:rPr>
            </w:pPr>
            <w:r>
              <w:rPr>
                <w:rFonts w:hint="eastAsia"/>
                <w:color w:val="auto"/>
                <w:kern w:val="2"/>
                <w:szCs w:val="24"/>
              </w:rPr>
              <w:t>水污染影响型</w:t>
            </w:r>
          </w:p>
        </w:tc>
      </w:tr>
      <w:tr w14:paraId="15A914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2" w:type="dxa"/>
            <w:gridSpan w:val="2"/>
            <w:vAlign w:val="center"/>
          </w:tcPr>
          <w:p w14:paraId="519E2074">
            <w:pPr>
              <w:pStyle w:val="59"/>
              <w:rPr>
                <w:color w:val="auto"/>
                <w:kern w:val="2"/>
                <w:szCs w:val="24"/>
              </w:rPr>
            </w:pPr>
            <w:r>
              <w:rPr>
                <w:rFonts w:hint="eastAsia"/>
                <w:color w:val="auto"/>
                <w:kern w:val="2"/>
                <w:szCs w:val="24"/>
              </w:rPr>
              <w:t>排放方式</w:t>
            </w:r>
          </w:p>
        </w:tc>
        <w:tc>
          <w:tcPr>
            <w:tcW w:w="4759" w:type="dxa"/>
            <w:vAlign w:val="center"/>
          </w:tcPr>
          <w:p w14:paraId="594D1AD3">
            <w:pPr>
              <w:pStyle w:val="59"/>
              <w:rPr>
                <w:color w:val="auto"/>
                <w:kern w:val="2"/>
                <w:szCs w:val="24"/>
              </w:rPr>
            </w:pPr>
            <w:r>
              <w:rPr>
                <w:rFonts w:hint="eastAsia"/>
                <w:color w:val="auto"/>
              </w:rPr>
              <w:t>排放至</w:t>
            </w:r>
            <w:r>
              <w:rPr>
                <w:rFonts w:hint="eastAsia"/>
                <w:color w:val="auto"/>
                <w:lang w:eastAsia="zh-CN"/>
              </w:rPr>
              <w:t>鹤山市第二污水处理厂</w:t>
            </w:r>
            <w:r>
              <w:rPr>
                <w:rFonts w:hint="eastAsia"/>
                <w:color w:val="auto"/>
              </w:rPr>
              <w:t>，属于间接排放</w:t>
            </w:r>
          </w:p>
        </w:tc>
      </w:tr>
      <w:tr w14:paraId="56E3BF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6" w:type="dxa"/>
            <w:vMerge w:val="restart"/>
            <w:vAlign w:val="center"/>
          </w:tcPr>
          <w:p w14:paraId="0336FAD0">
            <w:pPr>
              <w:pStyle w:val="59"/>
              <w:rPr>
                <w:color w:val="auto"/>
                <w:kern w:val="2"/>
                <w:szCs w:val="24"/>
              </w:rPr>
            </w:pPr>
            <w:r>
              <w:rPr>
                <w:rFonts w:hint="eastAsia"/>
                <w:color w:val="auto"/>
                <w:kern w:val="2"/>
                <w:szCs w:val="24"/>
              </w:rPr>
              <w:t>水环境保护目标</w:t>
            </w:r>
          </w:p>
        </w:tc>
        <w:tc>
          <w:tcPr>
            <w:tcW w:w="2816" w:type="dxa"/>
            <w:vAlign w:val="center"/>
          </w:tcPr>
          <w:p w14:paraId="58E83972">
            <w:pPr>
              <w:pStyle w:val="59"/>
              <w:rPr>
                <w:color w:val="auto"/>
                <w:kern w:val="2"/>
                <w:szCs w:val="24"/>
              </w:rPr>
            </w:pPr>
            <w:r>
              <w:rPr>
                <w:rFonts w:hint="eastAsia"/>
                <w:color w:val="auto"/>
                <w:kern w:val="2"/>
                <w:szCs w:val="24"/>
              </w:rPr>
              <w:t>是否涉及保护目标</w:t>
            </w:r>
          </w:p>
        </w:tc>
        <w:tc>
          <w:tcPr>
            <w:tcW w:w="4759" w:type="dxa"/>
            <w:vAlign w:val="center"/>
          </w:tcPr>
          <w:p w14:paraId="061E8C9E">
            <w:pPr>
              <w:pStyle w:val="59"/>
              <w:rPr>
                <w:color w:val="auto"/>
                <w:kern w:val="2"/>
                <w:szCs w:val="24"/>
              </w:rPr>
            </w:pPr>
            <w:r>
              <w:rPr>
                <w:rFonts w:hint="eastAsia"/>
                <w:color w:val="auto"/>
                <w:kern w:val="2"/>
                <w:szCs w:val="24"/>
              </w:rPr>
              <w:t>否</w:t>
            </w:r>
          </w:p>
        </w:tc>
      </w:tr>
      <w:tr w14:paraId="743913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6" w:type="dxa"/>
            <w:vMerge w:val="continue"/>
            <w:vAlign w:val="center"/>
          </w:tcPr>
          <w:p w14:paraId="420927F4">
            <w:pPr>
              <w:pStyle w:val="59"/>
              <w:rPr>
                <w:color w:val="auto"/>
                <w:kern w:val="2"/>
                <w:szCs w:val="24"/>
              </w:rPr>
            </w:pPr>
          </w:p>
        </w:tc>
        <w:tc>
          <w:tcPr>
            <w:tcW w:w="2816" w:type="dxa"/>
            <w:vAlign w:val="center"/>
          </w:tcPr>
          <w:p w14:paraId="50271080">
            <w:pPr>
              <w:pStyle w:val="59"/>
              <w:rPr>
                <w:color w:val="auto"/>
                <w:kern w:val="2"/>
                <w:szCs w:val="24"/>
              </w:rPr>
            </w:pPr>
            <w:r>
              <w:rPr>
                <w:rFonts w:hint="eastAsia"/>
                <w:color w:val="auto"/>
                <w:kern w:val="2"/>
                <w:szCs w:val="24"/>
              </w:rPr>
              <w:t>保护目标</w:t>
            </w:r>
          </w:p>
        </w:tc>
        <w:tc>
          <w:tcPr>
            <w:tcW w:w="4759" w:type="dxa"/>
            <w:vAlign w:val="center"/>
          </w:tcPr>
          <w:p w14:paraId="1908967B">
            <w:pPr>
              <w:pStyle w:val="59"/>
              <w:rPr>
                <w:color w:val="auto"/>
                <w:kern w:val="2"/>
                <w:szCs w:val="24"/>
              </w:rPr>
            </w:pPr>
            <w:r>
              <w:rPr>
                <w:rFonts w:hint="eastAsia"/>
                <w:color w:val="auto"/>
                <w:kern w:val="2"/>
                <w:szCs w:val="24"/>
              </w:rPr>
              <w:t>/</w:t>
            </w:r>
          </w:p>
        </w:tc>
      </w:tr>
      <w:tr w14:paraId="6AA22C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72" w:type="dxa"/>
            <w:gridSpan w:val="2"/>
            <w:vAlign w:val="center"/>
          </w:tcPr>
          <w:p w14:paraId="58AC07EB">
            <w:pPr>
              <w:pStyle w:val="59"/>
              <w:rPr>
                <w:color w:val="auto"/>
                <w:kern w:val="2"/>
                <w:szCs w:val="24"/>
              </w:rPr>
            </w:pPr>
            <w:r>
              <w:rPr>
                <w:rFonts w:hint="eastAsia"/>
                <w:color w:val="auto"/>
                <w:kern w:val="2"/>
                <w:szCs w:val="24"/>
              </w:rPr>
              <w:t>等级判定结果</w:t>
            </w:r>
          </w:p>
        </w:tc>
        <w:tc>
          <w:tcPr>
            <w:tcW w:w="4759" w:type="dxa"/>
            <w:vAlign w:val="center"/>
          </w:tcPr>
          <w:p w14:paraId="3F47E606">
            <w:pPr>
              <w:pStyle w:val="59"/>
              <w:rPr>
                <w:color w:val="auto"/>
                <w:kern w:val="2"/>
                <w:szCs w:val="24"/>
              </w:rPr>
            </w:pPr>
            <w:r>
              <w:rPr>
                <w:rFonts w:hint="eastAsia"/>
                <w:color w:val="auto"/>
                <w:kern w:val="2"/>
                <w:szCs w:val="24"/>
              </w:rPr>
              <w:t>三级B</w:t>
            </w:r>
          </w:p>
        </w:tc>
      </w:tr>
    </w:tbl>
    <w:p w14:paraId="580B45B8">
      <w:pPr>
        <w:pStyle w:val="64"/>
        <w:numPr>
          <w:ilvl w:val="2"/>
          <w:numId w:val="8"/>
        </w:numPr>
        <w:bidi w:val="0"/>
        <w:rPr>
          <w:color w:val="auto"/>
        </w:rPr>
      </w:pPr>
      <w:r>
        <w:rPr>
          <w:rFonts w:hint="eastAsia"/>
          <w:color w:val="auto"/>
        </w:rPr>
        <w:t>空气环境影响评价工作等级</w:t>
      </w:r>
    </w:p>
    <w:p w14:paraId="283E4BD2">
      <w:pPr>
        <w:ind w:firstLine="480"/>
        <w:rPr>
          <w:color w:val="auto"/>
        </w:rPr>
      </w:pPr>
      <w:r>
        <w:rPr>
          <w:color w:val="auto"/>
        </w:rPr>
        <w:t>依据《环境影响评价技术导则-大气环境》(HJ2.2-2018)中5.3节工作等级的确定方法，结合项目工程分析结果，选择正常排放的主要污染物及排放参数，采用附录A推荐模型中的AERSCREEN模式计算项目污染源的最大环境影响，然后按评价工作分级判据进行分级。</w:t>
      </w:r>
    </w:p>
    <w:p w14:paraId="5E462C12">
      <w:pPr>
        <w:ind w:firstLine="480"/>
        <w:rPr>
          <w:color w:val="auto"/>
        </w:rPr>
      </w:pPr>
      <w:r>
        <w:rPr>
          <w:color w:val="auto"/>
        </w:rPr>
        <w:t>(1)Pmax及D</w:t>
      </w:r>
      <w:r>
        <w:rPr>
          <w:color w:val="auto"/>
          <w:vertAlign w:val="subscript"/>
        </w:rPr>
        <w:t>10%</w:t>
      </w:r>
      <w:r>
        <w:rPr>
          <w:color w:val="auto"/>
        </w:rPr>
        <w:t>的确定</w:t>
      </w:r>
    </w:p>
    <w:p w14:paraId="3859721B">
      <w:pPr>
        <w:ind w:firstLine="480"/>
        <w:rPr>
          <w:color w:val="auto"/>
        </w:rPr>
      </w:pPr>
      <w:r>
        <w:rPr>
          <w:color w:val="auto"/>
        </w:rPr>
        <w:t>依据《环境影响评价技术导则 大气环境》(HJ2.2-20</w:t>
      </w:r>
      <w:r>
        <w:rPr>
          <w:rFonts w:hint="eastAsia"/>
          <w:color w:val="auto"/>
        </w:rPr>
        <w:t>1</w:t>
      </w:r>
      <w:r>
        <w:rPr>
          <w:color w:val="auto"/>
        </w:rPr>
        <w:t>8)中最大地面浓度占标率Pi定义如下：</w:t>
      </w:r>
    </w:p>
    <w:p w14:paraId="02DCEC74">
      <w:pPr>
        <w:spacing w:line="276" w:lineRule="auto"/>
        <w:ind w:firstLine="422" w:firstLineChars="176"/>
        <w:jc w:val="center"/>
        <w:rPr>
          <w:color w:val="auto"/>
        </w:rPr>
      </w:pPr>
      <m:oMathPara>
        <m:oMath>
          <m:sSub>
            <m:sSubPr>
              <m:ctrlPr>
                <w:rPr>
                  <w:rFonts w:ascii="Cambria Math" w:hAnsi="Cambria Math"/>
                  <w:color w:val="auto"/>
                  <w:szCs w:val="24"/>
                </w:rPr>
              </m:ctrlPr>
            </m:sSubPr>
            <m:e>
              <m:r>
                <m:rPr/>
                <w:rPr>
                  <w:rFonts w:ascii="Cambria Math" w:hAnsi="Cambria Math"/>
                  <w:color w:val="auto"/>
                  <w:szCs w:val="24"/>
                </w:rPr>
                <m:t>P</m:t>
              </m:r>
              <m:ctrlPr>
                <w:rPr>
                  <w:rFonts w:ascii="Cambria Math" w:hAnsi="Cambria Math"/>
                  <w:color w:val="auto"/>
                  <w:szCs w:val="24"/>
                </w:rPr>
              </m:ctrlPr>
            </m:e>
            <m:sub>
              <m:r>
                <m:rPr/>
                <w:rPr>
                  <w:rFonts w:ascii="Cambria Math" w:hAnsi="Cambria Math"/>
                  <w:color w:val="auto"/>
                  <w:szCs w:val="24"/>
                </w:rPr>
                <m:t>i</m:t>
              </m:r>
              <m:ctrlPr>
                <w:rPr>
                  <w:rFonts w:ascii="Cambria Math" w:hAnsi="Cambria Math"/>
                  <w:color w:val="auto"/>
                  <w:szCs w:val="24"/>
                </w:rPr>
              </m:ctrlPr>
            </m:sub>
          </m:sSub>
          <m:r>
            <m:rPr>
              <m:sty m:val="p"/>
            </m:rPr>
            <w:rPr>
              <w:rFonts w:ascii="Cambria Math" w:hAnsi="Cambria Math"/>
              <w:color w:val="auto"/>
              <w:szCs w:val="24"/>
            </w:rPr>
            <m:t>=</m:t>
          </m:r>
          <m:f>
            <m:fPr>
              <m:ctrlPr>
                <w:rPr>
                  <w:rFonts w:ascii="Cambria Math" w:hAnsi="Cambria Math"/>
                  <w:color w:val="auto"/>
                  <w:szCs w:val="24"/>
                </w:rPr>
              </m:ctrlPr>
            </m:fPr>
            <m:num>
              <m:sSub>
                <m:sSubPr>
                  <m:ctrlPr>
                    <w:rPr>
                      <w:rFonts w:ascii="Cambria Math" w:hAnsi="Cambria Math"/>
                      <w:i/>
                      <w:color w:val="auto"/>
                      <w:szCs w:val="24"/>
                    </w:rPr>
                  </m:ctrlPr>
                </m:sSubPr>
                <m:e>
                  <m:r>
                    <m:rPr/>
                    <w:rPr>
                      <w:rFonts w:ascii="Cambria Math" w:hAnsi="Cambria Math"/>
                      <w:color w:val="auto"/>
                      <w:szCs w:val="24"/>
                    </w:rPr>
                    <m:t>C</m:t>
                  </m:r>
                  <m:ctrlPr>
                    <w:rPr>
                      <w:rFonts w:ascii="Cambria Math" w:hAnsi="Cambria Math"/>
                      <w:i/>
                      <w:color w:val="auto"/>
                      <w:szCs w:val="24"/>
                    </w:rPr>
                  </m:ctrlPr>
                </m:e>
                <m:sub>
                  <m:r>
                    <m:rPr/>
                    <w:rPr>
                      <w:rFonts w:ascii="Cambria Math" w:hAnsi="Cambria Math"/>
                      <w:color w:val="auto"/>
                      <w:szCs w:val="24"/>
                    </w:rPr>
                    <m:t>i</m:t>
                  </m:r>
                  <m:ctrlPr>
                    <w:rPr>
                      <w:rFonts w:ascii="Cambria Math" w:hAnsi="Cambria Math"/>
                      <w:i/>
                      <w:color w:val="auto"/>
                      <w:szCs w:val="24"/>
                    </w:rPr>
                  </m:ctrlPr>
                </m:sub>
              </m:sSub>
              <m:ctrlPr>
                <w:rPr>
                  <w:rFonts w:ascii="Cambria Math" w:hAnsi="Cambria Math"/>
                  <w:color w:val="auto"/>
                  <w:szCs w:val="24"/>
                </w:rPr>
              </m:ctrlPr>
            </m:num>
            <m:den>
              <m:sSub>
                <m:sSubPr>
                  <m:ctrlPr>
                    <w:rPr>
                      <w:rFonts w:ascii="Cambria Math" w:hAnsi="Cambria Math"/>
                      <w:i/>
                      <w:color w:val="auto"/>
                      <w:szCs w:val="24"/>
                    </w:rPr>
                  </m:ctrlPr>
                </m:sSubPr>
                <m:e>
                  <m:r>
                    <m:rPr/>
                    <w:rPr>
                      <w:rFonts w:ascii="Cambria Math" w:hAnsi="Cambria Math"/>
                      <w:color w:val="auto"/>
                      <w:szCs w:val="24"/>
                    </w:rPr>
                    <m:t>C</m:t>
                  </m:r>
                  <m:ctrlPr>
                    <w:rPr>
                      <w:rFonts w:ascii="Cambria Math" w:hAnsi="Cambria Math"/>
                      <w:i/>
                      <w:color w:val="auto"/>
                      <w:szCs w:val="24"/>
                    </w:rPr>
                  </m:ctrlPr>
                </m:e>
                <m:sub>
                  <m:r>
                    <m:rPr/>
                    <w:rPr>
                      <w:rFonts w:ascii="Cambria Math" w:hAnsi="Cambria Math"/>
                      <w:color w:val="auto"/>
                      <w:szCs w:val="24"/>
                    </w:rPr>
                    <m:t>0i</m:t>
                  </m:r>
                  <m:ctrlPr>
                    <w:rPr>
                      <w:rFonts w:ascii="Cambria Math" w:hAnsi="Cambria Math"/>
                      <w:i/>
                      <w:color w:val="auto"/>
                      <w:szCs w:val="24"/>
                    </w:rPr>
                  </m:ctrlPr>
                </m:sub>
              </m:sSub>
              <m:ctrlPr>
                <w:rPr>
                  <w:rFonts w:ascii="Cambria Math" w:hAnsi="Cambria Math"/>
                  <w:color w:val="auto"/>
                  <w:szCs w:val="24"/>
                </w:rPr>
              </m:ctrlPr>
            </m:den>
          </m:f>
          <m:r>
            <m:rPr/>
            <w:rPr>
              <w:rFonts w:ascii="Cambria Math" w:hAnsi="Cambria Math"/>
              <w:color w:val="auto"/>
              <w:szCs w:val="24"/>
            </w:rPr>
            <m:t>×100%</m:t>
          </m:r>
        </m:oMath>
      </m:oMathPara>
    </w:p>
    <w:p w14:paraId="2B1E45A3">
      <w:pPr>
        <w:spacing w:line="480" w:lineRule="exact"/>
        <w:ind w:firstLine="422" w:firstLineChars="176"/>
        <w:jc w:val="left"/>
        <w:rPr>
          <w:color w:val="auto"/>
        </w:rPr>
      </w:pPr>
      <m:oMath>
        <m:sSub>
          <m:sSubPr>
            <m:ctrlPr>
              <w:rPr>
                <w:rFonts w:ascii="Cambria Math" w:hAnsi="Cambria Math"/>
                <w:color w:val="auto"/>
                <w:szCs w:val="24"/>
              </w:rPr>
            </m:ctrlPr>
          </m:sSubPr>
          <m:e>
            <m:r>
              <m:rPr/>
              <w:rPr>
                <w:rFonts w:ascii="Cambria Math" w:hAnsi="Cambria Math"/>
                <w:color w:val="auto"/>
                <w:szCs w:val="24"/>
              </w:rPr>
              <m:t>P</m:t>
            </m:r>
            <m:ctrlPr>
              <w:rPr>
                <w:rFonts w:ascii="Cambria Math" w:hAnsi="Cambria Math"/>
                <w:color w:val="auto"/>
                <w:szCs w:val="24"/>
              </w:rPr>
            </m:ctrlPr>
          </m:e>
          <m:sub>
            <m:r>
              <m:rPr/>
              <w:rPr>
                <w:rFonts w:ascii="Cambria Math" w:hAnsi="Cambria Math"/>
                <w:color w:val="auto"/>
                <w:szCs w:val="24"/>
              </w:rPr>
              <m:t>i</m:t>
            </m:r>
            <m:ctrlPr>
              <w:rPr>
                <w:rFonts w:ascii="Cambria Math" w:hAnsi="Cambria Math"/>
                <w:color w:val="auto"/>
                <w:szCs w:val="24"/>
              </w:rPr>
            </m:ctrlPr>
          </m:sub>
        </m:sSub>
      </m:oMath>
      <w:r>
        <w:rPr>
          <w:color w:val="auto"/>
        </w:rPr>
        <w:t xml:space="preserve"> ——第i个污染物的最大地面空气质量浓度占标率，%；</w:t>
      </w:r>
    </w:p>
    <w:p w14:paraId="30810562">
      <w:pPr>
        <w:spacing w:line="480" w:lineRule="exact"/>
        <w:ind w:firstLine="422" w:firstLineChars="176"/>
        <w:jc w:val="left"/>
        <w:rPr>
          <w:color w:val="auto"/>
        </w:rPr>
      </w:pPr>
      <m:oMath>
        <m:sSub>
          <m:sSubPr>
            <m:ctrlPr>
              <w:rPr>
                <w:rFonts w:ascii="Cambria Math" w:hAnsi="Cambria Math"/>
                <w:i/>
                <w:color w:val="auto"/>
                <w:szCs w:val="24"/>
              </w:rPr>
            </m:ctrlPr>
          </m:sSubPr>
          <m:e>
            <m:r>
              <m:rPr/>
              <w:rPr>
                <w:rFonts w:ascii="Cambria Math" w:hAnsi="Cambria Math"/>
                <w:color w:val="auto"/>
                <w:szCs w:val="24"/>
              </w:rPr>
              <m:t>C</m:t>
            </m:r>
            <m:ctrlPr>
              <w:rPr>
                <w:rFonts w:ascii="Cambria Math" w:hAnsi="Cambria Math"/>
                <w:i/>
                <w:color w:val="auto"/>
                <w:szCs w:val="24"/>
              </w:rPr>
            </m:ctrlPr>
          </m:e>
          <m:sub>
            <m:r>
              <m:rPr/>
              <w:rPr>
                <w:rFonts w:ascii="Cambria Math" w:hAnsi="Cambria Math"/>
                <w:color w:val="auto"/>
                <w:szCs w:val="24"/>
              </w:rPr>
              <m:t>i</m:t>
            </m:r>
            <m:ctrlPr>
              <w:rPr>
                <w:rFonts w:ascii="Cambria Math" w:hAnsi="Cambria Math"/>
                <w:i/>
                <w:color w:val="auto"/>
                <w:szCs w:val="24"/>
              </w:rPr>
            </m:ctrlPr>
          </m:sub>
        </m:sSub>
      </m:oMath>
      <w:r>
        <w:rPr>
          <w:color w:val="auto"/>
        </w:rPr>
        <w:t>——采用估算模型计算出的第i个污染物的最大1h地面空气质量浓度，μg/m</w:t>
      </w:r>
      <w:r>
        <w:rPr>
          <w:color w:val="auto"/>
          <w:vertAlign w:val="superscript"/>
        </w:rPr>
        <w:t>3</w:t>
      </w:r>
      <w:r>
        <w:rPr>
          <w:color w:val="auto"/>
        </w:rPr>
        <w:t>；</w:t>
      </w:r>
    </w:p>
    <w:p w14:paraId="75842919">
      <w:pPr>
        <w:bidi w:val="0"/>
        <w:rPr>
          <w:rFonts w:hint="eastAsia"/>
          <w:color w:val="auto"/>
          <w:lang w:val="zh-CN"/>
        </w:rPr>
      </w:pPr>
      <m:oMath>
        <m:sSub>
          <m:sSubPr>
            <m:ctrlPr>
              <w:rPr>
                <w:rFonts w:ascii="Cambria Math" w:hAnsi="Cambria Math"/>
                <w:i/>
                <w:color w:val="auto"/>
                <w:szCs w:val="24"/>
              </w:rPr>
            </m:ctrlPr>
          </m:sSubPr>
          <m:e>
            <m:r>
              <m:rPr/>
              <w:rPr>
                <w:rFonts w:ascii="Cambria Math" w:hAnsi="Cambria Math"/>
                <w:color w:val="auto"/>
                <w:szCs w:val="24"/>
              </w:rPr>
              <m:t>C</m:t>
            </m:r>
            <m:ctrlPr>
              <w:rPr>
                <w:rFonts w:ascii="Cambria Math" w:hAnsi="Cambria Math"/>
                <w:i/>
                <w:color w:val="auto"/>
                <w:szCs w:val="24"/>
              </w:rPr>
            </m:ctrlPr>
          </m:e>
          <m:sub>
            <m:r>
              <m:rPr/>
              <w:rPr>
                <w:rFonts w:ascii="Cambria Math" w:hAnsi="Cambria Math"/>
                <w:color w:val="auto"/>
                <w:szCs w:val="24"/>
              </w:rPr>
              <m:t>0i</m:t>
            </m:r>
            <m:ctrlPr>
              <w:rPr>
                <w:rFonts w:ascii="Cambria Math" w:hAnsi="Cambria Math"/>
                <w:i/>
                <w:color w:val="auto"/>
                <w:szCs w:val="24"/>
              </w:rPr>
            </m:ctrlPr>
          </m:sub>
        </m:sSub>
      </m:oMath>
      <w:r>
        <w:rPr>
          <w:color w:val="auto"/>
        </w:rPr>
        <w:t>——第i个污染物的环境空气质量浓度标准，μg/m</w:t>
      </w:r>
      <w:r>
        <w:rPr>
          <w:color w:val="auto"/>
          <w:vertAlign w:val="superscript"/>
        </w:rPr>
        <w:t>3</w:t>
      </w:r>
      <w:r>
        <w:rPr>
          <w:color w:val="auto"/>
        </w:rPr>
        <w:t>。</w:t>
      </w:r>
      <w:r>
        <w:rPr>
          <w:rFonts w:hint="eastAsia"/>
          <w:lang w:val="en-US" w:eastAsia="zh-CN"/>
        </w:rPr>
        <w:t xml:space="preserve">一般选用 </w:t>
      </w:r>
      <w:r>
        <w:rPr>
          <w:rFonts w:hint="default"/>
          <w:lang w:val="en-US" w:eastAsia="zh-CN"/>
        </w:rPr>
        <w:t xml:space="preserve">GB 3095 </w:t>
      </w:r>
      <w:r>
        <w:rPr>
          <w:rFonts w:hint="eastAsia"/>
          <w:lang w:val="en-US" w:eastAsia="zh-CN"/>
        </w:rPr>
        <w:t xml:space="preserve">中 </w:t>
      </w:r>
      <w:r>
        <w:rPr>
          <w:rFonts w:hint="default"/>
          <w:lang w:val="en-US" w:eastAsia="zh-CN"/>
        </w:rPr>
        <w:t xml:space="preserve">1 h </w:t>
      </w:r>
      <w:r>
        <w:rPr>
          <w:rFonts w:hint="eastAsia"/>
          <w:lang w:val="en-US" w:eastAsia="zh-CN"/>
        </w:rPr>
        <w:t xml:space="preserve">平均质量浓度的二级浓度限值，如项目位于一类环境空气功能区，应选择相应的一级浓度限值；对该标准中未包含的污染物，使用 </w:t>
      </w:r>
      <w:r>
        <w:rPr>
          <w:rFonts w:hint="default"/>
          <w:lang w:val="en-US" w:eastAsia="zh-CN"/>
        </w:rPr>
        <w:t xml:space="preserve">5.2 </w:t>
      </w:r>
      <w:r>
        <w:rPr>
          <w:rFonts w:hint="eastAsia"/>
          <w:lang w:val="en-US" w:eastAsia="zh-CN"/>
        </w:rPr>
        <w:t xml:space="preserve">确定的各评价因子 </w:t>
      </w:r>
      <w:r>
        <w:rPr>
          <w:rFonts w:hint="default"/>
          <w:lang w:val="en-US" w:eastAsia="zh-CN"/>
        </w:rPr>
        <w:t xml:space="preserve">1 h </w:t>
      </w:r>
      <w:r>
        <w:rPr>
          <w:rFonts w:hint="eastAsia"/>
          <w:lang w:val="en-US" w:eastAsia="zh-CN"/>
        </w:rPr>
        <w:t xml:space="preserve">平均质量浓度限值。对仅有 </w:t>
      </w:r>
      <w:r>
        <w:rPr>
          <w:rFonts w:hint="default"/>
          <w:lang w:val="en-US" w:eastAsia="zh-CN"/>
        </w:rPr>
        <w:t xml:space="preserve">8 h </w:t>
      </w:r>
      <w:r>
        <w:rPr>
          <w:rFonts w:hint="eastAsia"/>
          <w:lang w:val="en-US" w:eastAsia="zh-CN"/>
        </w:rPr>
        <w:t xml:space="preserve">平均质量浓度限值、日平均质量浓度限值或年平均质量浓度限值的，可分别按 </w:t>
      </w:r>
      <w:r>
        <w:rPr>
          <w:rFonts w:hint="default"/>
          <w:lang w:val="en-US" w:eastAsia="zh-CN"/>
        </w:rPr>
        <w:t xml:space="preserve">2 </w:t>
      </w:r>
      <w:r>
        <w:rPr>
          <w:rFonts w:hint="eastAsia"/>
          <w:lang w:val="en-US" w:eastAsia="zh-CN"/>
        </w:rPr>
        <w:t>倍、</w:t>
      </w:r>
      <w:r>
        <w:rPr>
          <w:rFonts w:hint="default"/>
          <w:lang w:val="en-US" w:eastAsia="zh-CN"/>
        </w:rPr>
        <w:t xml:space="preserve">3 </w:t>
      </w:r>
      <w:r>
        <w:rPr>
          <w:rFonts w:hint="eastAsia"/>
          <w:lang w:val="en-US" w:eastAsia="zh-CN"/>
        </w:rPr>
        <w:t>倍、</w:t>
      </w:r>
      <w:r>
        <w:rPr>
          <w:rFonts w:hint="default"/>
          <w:lang w:val="en-US" w:eastAsia="zh-CN"/>
        </w:rPr>
        <w:t xml:space="preserve">6 </w:t>
      </w:r>
      <w:r>
        <w:rPr>
          <w:rFonts w:hint="eastAsia"/>
          <w:lang w:val="en-US" w:eastAsia="zh-CN"/>
        </w:rPr>
        <w:t xml:space="preserve">倍折算为 </w:t>
      </w:r>
      <w:r>
        <w:rPr>
          <w:rFonts w:hint="default"/>
          <w:lang w:val="en-US" w:eastAsia="zh-CN"/>
        </w:rPr>
        <w:t xml:space="preserve">1h </w:t>
      </w:r>
      <w:r>
        <w:rPr>
          <w:rFonts w:hint="eastAsia"/>
          <w:lang w:val="en-US" w:eastAsia="zh-CN"/>
        </w:rPr>
        <w:t>平均质量浓度限值。</w:t>
      </w:r>
    </w:p>
    <w:p w14:paraId="483D1A34">
      <w:pPr>
        <w:ind w:firstLine="480"/>
        <w:rPr>
          <w:color w:val="auto"/>
        </w:rPr>
      </w:pPr>
      <w:r>
        <w:rPr>
          <w:rFonts w:hint="eastAsia"/>
          <w:color w:val="auto"/>
          <w:lang w:val="zh-CN"/>
        </w:rPr>
        <w:t>同一项目有多个(两个以上，含两个)污染源排放同一种污染物时，则按各污染源分别确定其评价等级，并取评价级别最高者作为项目的评价等级。如果评价范围内包含一类环境空气质量功能区</w:t>
      </w:r>
      <w:r>
        <w:rPr>
          <w:rFonts w:hint="eastAsia"/>
          <w:color w:val="auto"/>
          <w:shd w:val="clear" w:fill="FFFF00"/>
          <w:lang w:val="zh-CN"/>
        </w:rPr>
        <w:t>或者</w:t>
      </w:r>
      <w:r>
        <w:rPr>
          <w:rFonts w:hint="eastAsia"/>
          <w:color w:val="auto"/>
          <w:lang w:val="zh-CN"/>
        </w:rPr>
        <w:t>评价范围内主要评价因子的环境质量已接近或超过环境质量标准</w:t>
      </w:r>
      <w:r>
        <w:rPr>
          <w:rFonts w:hint="eastAsia"/>
          <w:color w:val="auto"/>
          <w:shd w:val="clear" w:fill="FFFF00"/>
          <w:lang w:val="zh-CN"/>
        </w:rPr>
        <w:t>或者</w:t>
      </w:r>
      <w:r>
        <w:rPr>
          <w:rFonts w:hint="eastAsia"/>
          <w:color w:val="auto"/>
          <w:lang w:val="zh-CN"/>
        </w:rPr>
        <w:t>项目排放的污染物对人体健康或生态环境有严重危害的特殊项目，评价等级一般不低于二级。</w:t>
      </w:r>
    </w:p>
    <w:p w14:paraId="5C05ACA1">
      <w:pPr>
        <w:ind w:firstLine="480"/>
        <w:rPr>
          <w:color w:val="auto"/>
        </w:rPr>
      </w:pPr>
      <w:r>
        <w:rPr>
          <w:color w:val="auto"/>
        </w:rPr>
        <w:t>(2)评价等级判别表</w:t>
      </w:r>
    </w:p>
    <w:p w14:paraId="3A2B08C9">
      <w:pPr>
        <w:ind w:firstLine="480"/>
        <w:rPr>
          <w:color w:val="auto"/>
        </w:rPr>
      </w:pPr>
      <w:r>
        <w:rPr>
          <w:color w:val="auto"/>
        </w:rPr>
        <w:t>评价等级按下表的分级判据进行划分</w:t>
      </w:r>
    </w:p>
    <w:p w14:paraId="5E3AE0D8">
      <w:pPr>
        <w:pStyle w:val="62"/>
        <w:numPr>
          <w:ilvl w:val="0"/>
          <w:numId w:val="18"/>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评价等级判别表</w:t>
      </w:r>
    </w:p>
    <w:tbl>
      <w:tblPr>
        <w:tblStyle w:val="38"/>
        <w:tblW w:w="923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16"/>
        <w:gridCol w:w="4615"/>
      </w:tblGrid>
      <w:tr w14:paraId="750FFF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6" w:type="dxa"/>
            <w:vAlign w:val="center"/>
          </w:tcPr>
          <w:p w14:paraId="0EEBD0D4">
            <w:pPr>
              <w:pStyle w:val="59"/>
              <w:rPr>
                <w:color w:val="auto"/>
                <w:kern w:val="2"/>
                <w:szCs w:val="24"/>
              </w:rPr>
            </w:pPr>
            <w:r>
              <w:rPr>
                <w:color w:val="auto"/>
                <w:kern w:val="2"/>
                <w:szCs w:val="24"/>
              </w:rPr>
              <w:t>评价工作等级</w:t>
            </w:r>
          </w:p>
        </w:tc>
        <w:tc>
          <w:tcPr>
            <w:tcW w:w="4615" w:type="dxa"/>
            <w:vAlign w:val="center"/>
          </w:tcPr>
          <w:p w14:paraId="48063452">
            <w:pPr>
              <w:pStyle w:val="59"/>
              <w:rPr>
                <w:color w:val="auto"/>
                <w:kern w:val="2"/>
                <w:szCs w:val="24"/>
              </w:rPr>
            </w:pPr>
            <w:r>
              <w:rPr>
                <w:color w:val="auto"/>
                <w:kern w:val="2"/>
                <w:szCs w:val="24"/>
              </w:rPr>
              <w:t>评价工作分级判据</w:t>
            </w:r>
          </w:p>
        </w:tc>
      </w:tr>
      <w:tr w14:paraId="6632F3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6" w:type="dxa"/>
            <w:vAlign w:val="center"/>
          </w:tcPr>
          <w:p w14:paraId="11E5F795">
            <w:pPr>
              <w:pStyle w:val="59"/>
              <w:rPr>
                <w:color w:val="auto"/>
                <w:kern w:val="2"/>
                <w:szCs w:val="24"/>
              </w:rPr>
            </w:pPr>
            <w:r>
              <w:rPr>
                <w:color w:val="auto"/>
                <w:kern w:val="2"/>
                <w:szCs w:val="24"/>
              </w:rPr>
              <w:t>一级评价</w:t>
            </w:r>
          </w:p>
        </w:tc>
        <w:tc>
          <w:tcPr>
            <w:tcW w:w="4615" w:type="dxa"/>
            <w:vAlign w:val="center"/>
          </w:tcPr>
          <w:p w14:paraId="3CCC80CB">
            <w:pPr>
              <w:pStyle w:val="59"/>
              <w:rPr>
                <w:color w:val="auto"/>
                <w:kern w:val="2"/>
                <w:szCs w:val="24"/>
              </w:rPr>
            </w:pPr>
            <w:r>
              <w:rPr>
                <w:color w:val="auto"/>
                <w:kern w:val="2"/>
                <w:szCs w:val="24"/>
              </w:rPr>
              <w:t>Pmax</w:t>
            </w:r>
            <w:r>
              <w:rPr>
                <w:rFonts w:hint="eastAsia"/>
                <w:color w:val="auto"/>
                <w:kern w:val="2"/>
                <w:szCs w:val="24"/>
              </w:rPr>
              <w:t>≧</w:t>
            </w:r>
            <w:r>
              <w:rPr>
                <w:color w:val="auto"/>
                <w:kern w:val="2"/>
                <w:szCs w:val="24"/>
              </w:rPr>
              <w:t>10%</w:t>
            </w:r>
          </w:p>
        </w:tc>
      </w:tr>
      <w:tr w14:paraId="786F5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6" w:type="dxa"/>
            <w:vAlign w:val="center"/>
          </w:tcPr>
          <w:p w14:paraId="7C58F290">
            <w:pPr>
              <w:pStyle w:val="59"/>
              <w:rPr>
                <w:color w:val="auto"/>
                <w:kern w:val="2"/>
                <w:szCs w:val="24"/>
              </w:rPr>
            </w:pPr>
            <w:r>
              <w:rPr>
                <w:color w:val="auto"/>
                <w:kern w:val="2"/>
                <w:szCs w:val="24"/>
              </w:rPr>
              <w:t>二级评价</w:t>
            </w:r>
          </w:p>
        </w:tc>
        <w:tc>
          <w:tcPr>
            <w:tcW w:w="4615" w:type="dxa"/>
            <w:vAlign w:val="center"/>
          </w:tcPr>
          <w:p w14:paraId="3CF63340">
            <w:pPr>
              <w:pStyle w:val="59"/>
              <w:rPr>
                <w:color w:val="auto"/>
                <w:kern w:val="2"/>
                <w:szCs w:val="24"/>
              </w:rPr>
            </w:pPr>
            <w:r>
              <w:rPr>
                <w:color w:val="auto"/>
                <w:kern w:val="2"/>
                <w:szCs w:val="24"/>
              </w:rPr>
              <w:t>1%</w:t>
            </w:r>
            <w:r>
              <w:rPr>
                <w:rFonts w:hint="eastAsia"/>
                <w:color w:val="auto"/>
                <w:kern w:val="2"/>
                <w:szCs w:val="24"/>
              </w:rPr>
              <w:t>≦</w:t>
            </w:r>
            <w:r>
              <w:rPr>
                <w:color w:val="auto"/>
                <w:kern w:val="2"/>
                <w:szCs w:val="24"/>
              </w:rPr>
              <w:t>Pmax&lt;10%</w:t>
            </w:r>
          </w:p>
        </w:tc>
      </w:tr>
      <w:tr w14:paraId="672FC2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16" w:type="dxa"/>
            <w:vAlign w:val="center"/>
          </w:tcPr>
          <w:p w14:paraId="229F489C">
            <w:pPr>
              <w:pStyle w:val="59"/>
              <w:rPr>
                <w:color w:val="auto"/>
                <w:kern w:val="2"/>
                <w:szCs w:val="24"/>
              </w:rPr>
            </w:pPr>
            <w:r>
              <w:rPr>
                <w:color w:val="auto"/>
                <w:kern w:val="2"/>
                <w:szCs w:val="24"/>
              </w:rPr>
              <w:t>三级评价</w:t>
            </w:r>
          </w:p>
        </w:tc>
        <w:tc>
          <w:tcPr>
            <w:tcW w:w="4615" w:type="dxa"/>
            <w:vAlign w:val="center"/>
          </w:tcPr>
          <w:p w14:paraId="48D59DEC">
            <w:pPr>
              <w:pStyle w:val="59"/>
              <w:rPr>
                <w:color w:val="auto"/>
                <w:kern w:val="2"/>
                <w:szCs w:val="24"/>
              </w:rPr>
            </w:pPr>
            <w:r>
              <w:rPr>
                <w:color w:val="auto"/>
                <w:kern w:val="2"/>
                <w:szCs w:val="24"/>
              </w:rPr>
              <w:t>Pmax&lt;1%</w:t>
            </w:r>
          </w:p>
        </w:tc>
      </w:tr>
    </w:tbl>
    <w:p w14:paraId="0AF21EF7">
      <w:pPr>
        <w:spacing w:before="166" w:beforeLines="50"/>
        <w:ind w:firstLine="480"/>
        <w:rPr>
          <w:color w:val="auto"/>
        </w:rPr>
      </w:pPr>
      <w:r>
        <w:rPr>
          <w:rFonts w:hint="eastAsia"/>
          <w:color w:val="auto"/>
        </w:rPr>
        <w:t>（3）</w:t>
      </w:r>
      <w:r>
        <w:rPr>
          <w:color w:val="auto"/>
        </w:rPr>
        <w:t>项目参数</w:t>
      </w:r>
    </w:p>
    <w:p w14:paraId="763F733B">
      <w:pPr>
        <w:ind w:firstLine="480"/>
        <w:rPr>
          <w:color w:val="auto"/>
        </w:rPr>
      </w:pPr>
      <w:r>
        <w:rPr>
          <w:color w:val="auto"/>
        </w:rPr>
        <w:t>估算模式所用参数见表</w:t>
      </w:r>
      <w:r>
        <w:rPr>
          <w:rFonts w:hint="eastAsia"/>
          <w:color w:val="auto"/>
        </w:rPr>
        <w:t>1.5-4。</w:t>
      </w:r>
    </w:p>
    <w:p w14:paraId="2EAA0725">
      <w:pPr>
        <w:pStyle w:val="62"/>
        <w:numPr>
          <w:ilvl w:val="0"/>
          <w:numId w:val="18"/>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估算模型参数表</w:t>
      </w:r>
    </w:p>
    <w:tbl>
      <w:tblPr>
        <w:tblStyle w:val="38"/>
        <w:tblW w:w="9231" w:type="dxa"/>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2"/>
        <w:gridCol w:w="2872"/>
        <w:gridCol w:w="3867"/>
      </w:tblGrid>
      <w:tr w14:paraId="2D7FC2EE">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364" w:type="dxa"/>
            <w:gridSpan w:val="2"/>
            <w:tcBorders>
              <w:left w:val="dotted" w:color="auto" w:sz="4" w:space="0"/>
            </w:tcBorders>
            <w:shd w:val="clear" w:color="auto" w:fill="FFFFFF"/>
            <w:vAlign w:val="center"/>
          </w:tcPr>
          <w:p w14:paraId="015AD2B4">
            <w:pPr>
              <w:pStyle w:val="69"/>
              <w:rPr>
                <w:color w:val="auto"/>
              </w:rPr>
            </w:pPr>
            <w:r>
              <w:rPr>
                <w:color w:val="auto"/>
              </w:rPr>
              <w:t>参数</w:t>
            </w:r>
          </w:p>
        </w:tc>
        <w:tc>
          <w:tcPr>
            <w:tcW w:w="3867" w:type="dxa"/>
            <w:tcBorders>
              <w:right w:val="dotted" w:color="auto" w:sz="4" w:space="0"/>
            </w:tcBorders>
            <w:shd w:val="clear" w:color="auto" w:fill="FFFFFF"/>
            <w:vAlign w:val="center"/>
          </w:tcPr>
          <w:p w14:paraId="195F82D2">
            <w:pPr>
              <w:pStyle w:val="69"/>
              <w:rPr>
                <w:color w:val="auto"/>
              </w:rPr>
            </w:pPr>
            <w:r>
              <w:rPr>
                <w:color w:val="auto"/>
              </w:rPr>
              <w:t>取值</w:t>
            </w:r>
          </w:p>
        </w:tc>
      </w:tr>
      <w:tr w14:paraId="5B8A1EA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2" w:type="dxa"/>
            <w:vMerge w:val="restart"/>
            <w:tcBorders>
              <w:left w:val="dotted" w:color="auto" w:sz="4" w:space="0"/>
            </w:tcBorders>
            <w:shd w:val="clear" w:color="auto" w:fill="FFFFFF"/>
            <w:vAlign w:val="center"/>
          </w:tcPr>
          <w:p w14:paraId="11436FFA">
            <w:pPr>
              <w:pStyle w:val="69"/>
              <w:rPr>
                <w:color w:val="auto"/>
              </w:rPr>
            </w:pPr>
            <w:r>
              <w:rPr>
                <w:color w:val="auto"/>
              </w:rPr>
              <w:t>城市农村/选项</w:t>
            </w:r>
          </w:p>
        </w:tc>
        <w:tc>
          <w:tcPr>
            <w:tcW w:w="2872" w:type="dxa"/>
            <w:shd w:val="clear" w:color="auto" w:fill="FFFFFF"/>
            <w:vAlign w:val="center"/>
          </w:tcPr>
          <w:p w14:paraId="5CF85A7F">
            <w:pPr>
              <w:pStyle w:val="69"/>
              <w:rPr>
                <w:color w:val="auto"/>
              </w:rPr>
            </w:pPr>
            <w:r>
              <w:rPr>
                <w:color w:val="auto"/>
              </w:rPr>
              <w:t>城市/农村</w:t>
            </w:r>
          </w:p>
        </w:tc>
        <w:tc>
          <w:tcPr>
            <w:tcW w:w="3867" w:type="dxa"/>
            <w:tcBorders>
              <w:right w:val="dotted" w:color="auto" w:sz="4" w:space="0"/>
            </w:tcBorders>
            <w:shd w:val="clear" w:color="auto" w:fill="FFFFFF"/>
            <w:vAlign w:val="center"/>
          </w:tcPr>
          <w:p w14:paraId="7F535B27">
            <w:pPr>
              <w:pStyle w:val="69"/>
              <w:rPr>
                <w:color w:val="auto"/>
              </w:rPr>
            </w:pPr>
            <w:r>
              <w:rPr>
                <w:rFonts w:hint="eastAsia"/>
                <w:color w:val="auto"/>
              </w:rPr>
              <w:t>城市</w:t>
            </w:r>
          </w:p>
        </w:tc>
      </w:tr>
      <w:tr w14:paraId="7DA5B6D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2" w:type="dxa"/>
            <w:vMerge w:val="continue"/>
            <w:tcBorders>
              <w:left w:val="dotted" w:color="auto" w:sz="4" w:space="0"/>
            </w:tcBorders>
            <w:shd w:val="clear" w:color="auto" w:fill="FFFFFF"/>
            <w:vAlign w:val="center"/>
          </w:tcPr>
          <w:p w14:paraId="5B1FD95E">
            <w:pPr>
              <w:pStyle w:val="69"/>
              <w:rPr>
                <w:color w:val="auto"/>
              </w:rPr>
            </w:pPr>
          </w:p>
        </w:tc>
        <w:tc>
          <w:tcPr>
            <w:tcW w:w="2872" w:type="dxa"/>
            <w:shd w:val="clear" w:color="auto" w:fill="FFFFFF"/>
            <w:vAlign w:val="center"/>
          </w:tcPr>
          <w:p w14:paraId="7E2A0211">
            <w:pPr>
              <w:pStyle w:val="69"/>
              <w:rPr>
                <w:color w:val="auto"/>
              </w:rPr>
            </w:pPr>
            <w:r>
              <w:rPr>
                <w:color w:val="auto"/>
              </w:rPr>
              <w:t>人口数(城市人口数)</w:t>
            </w:r>
          </w:p>
        </w:tc>
        <w:tc>
          <w:tcPr>
            <w:tcW w:w="3867" w:type="dxa"/>
            <w:tcBorders>
              <w:right w:val="dotted" w:color="auto" w:sz="4" w:space="0"/>
            </w:tcBorders>
            <w:shd w:val="clear" w:color="auto" w:fill="FFFFFF"/>
            <w:vAlign w:val="center"/>
          </w:tcPr>
          <w:p w14:paraId="6857A030">
            <w:pPr>
              <w:pStyle w:val="69"/>
              <w:rPr>
                <w:rFonts w:hint="default" w:eastAsia="宋体"/>
                <w:color w:val="auto"/>
                <w:lang w:val="en-US" w:eastAsia="zh-CN"/>
              </w:rPr>
            </w:pPr>
            <w:r>
              <w:rPr>
                <w:rFonts w:hint="eastAsia"/>
                <w:color w:val="auto"/>
                <w:lang w:val="en-US" w:eastAsia="zh-CN"/>
              </w:rPr>
              <w:t>4.2万</w:t>
            </w:r>
          </w:p>
        </w:tc>
      </w:tr>
      <w:tr w14:paraId="207E62D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4" w:type="dxa"/>
            <w:gridSpan w:val="2"/>
            <w:tcBorders>
              <w:left w:val="dotted" w:color="auto" w:sz="4" w:space="0"/>
            </w:tcBorders>
            <w:shd w:val="clear" w:color="auto" w:fill="FFFFFF"/>
            <w:vAlign w:val="center"/>
          </w:tcPr>
          <w:p w14:paraId="149E4532">
            <w:pPr>
              <w:pStyle w:val="69"/>
              <w:rPr>
                <w:color w:val="auto"/>
              </w:rPr>
            </w:pPr>
            <w:r>
              <w:rPr>
                <w:color w:val="auto"/>
              </w:rPr>
              <w:t>最高环境温度</w:t>
            </w:r>
          </w:p>
        </w:tc>
        <w:tc>
          <w:tcPr>
            <w:tcW w:w="3867" w:type="dxa"/>
            <w:tcBorders>
              <w:right w:val="dotted" w:color="auto" w:sz="4" w:space="0"/>
            </w:tcBorders>
            <w:shd w:val="clear" w:color="auto" w:fill="FFFFFF"/>
            <w:vAlign w:val="center"/>
          </w:tcPr>
          <w:p w14:paraId="7BB6B5D2">
            <w:pPr>
              <w:pStyle w:val="69"/>
              <w:rPr>
                <w:color w:val="auto"/>
              </w:rPr>
            </w:pPr>
            <w:r>
              <w:rPr>
                <w:color w:val="auto"/>
              </w:rPr>
              <w:t>39.6</w:t>
            </w:r>
          </w:p>
        </w:tc>
      </w:tr>
      <w:tr w14:paraId="301B9F3A">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4" w:type="dxa"/>
            <w:gridSpan w:val="2"/>
            <w:tcBorders>
              <w:left w:val="dotted" w:color="auto" w:sz="4" w:space="0"/>
            </w:tcBorders>
            <w:shd w:val="clear" w:color="auto" w:fill="FFFFFF"/>
            <w:vAlign w:val="center"/>
          </w:tcPr>
          <w:p w14:paraId="6E44143D">
            <w:pPr>
              <w:pStyle w:val="69"/>
              <w:rPr>
                <w:color w:val="auto"/>
              </w:rPr>
            </w:pPr>
            <w:r>
              <w:rPr>
                <w:color w:val="auto"/>
              </w:rPr>
              <w:t>最低环境温度</w:t>
            </w:r>
          </w:p>
        </w:tc>
        <w:tc>
          <w:tcPr>
            <w:tcW w:w="3867" w:type="dxa"/>
            <w:tcBorders>
              <w:right w:val="dotted" w:color="auto" w:sz="4" w:space="0"/>
            </w:tcBorders>
            <w:shd w:val="clear" w:color="auto" w:fill="FFFFFF"/>
            <w:vAlign w:val="center"/>
          </w:tcPr>
          <w:p w14:paraId="3F8953D1">
            <w:pPr>
              <w:pStyle w:val="69"/>
              <w:rPr>
                <w:color w:val="auto"/>
              </w:rPr>
            </w:pPr>
            <w:r>
              <w:rPr>
                <w:rFonts w:hint="eastAsia"/>
                <w:color w:val="auto"/>
              </w:rPr>
              <w:t>2.2</w:t>
            </w:r>
          </w:p>
        </w:tc>
      </w:tr>
      <w:tr w14:paraId="19700EFA">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4" w:type="dxa"/>
            <w:gridSpan w:val="2"/>
            <w:tcBorders>
              <w:left w:val="dotted" w:color="auto" w:sz="4" w:space="0"/>
            </w:tcBorders>
            <w:shd w:val="clear" w:color="auto" w:fill="FFFFFF"/>
            <w:vAlign w:val="center"/>
          </w:tcPr>
          <w:p w14:paraId="2102D8AB">
            <w:pPr>
              <w:pStyle w:val="69"/>
              <w:rPr>
                <w:color w:val="auto"/>
              </w:rPr>
            </w:pPr>
            <w:r>
              <w:rPr>
                <w:color w:val="auto"/>
              </w:rPr>
              <w:t>土地利用类型</w:t>
            </w:r>
          </w:p>
        </w:tc>
        <w:tc>
          <w:tcPr>
            <w:tcW w:w="3867" w:type="dxa"/>
            <w:tcBorders>
              <w:right w:val="dotted" w:color="auto" w:sz="4" w:space="0"/>
            </w:tcBorders>
            <w:shd w:val="clear" w:color="auto" w:fill="FFFFFF"/>
            <w:vAlign w:val="center"/>
          </w:tcPr>
          <w:p w14:paraId="3624D342">
            <w:pPr>
              <w:pStyle w:val="69"/>
              <w:rPr>
                <w:color w:val="auto"/>
              </w:rPr>
            </w:pPr>
            <w:r>
              <w:rPr>
                <w:rFonts w:hint="eastAsia"/>
                <w:color w:val="auto"/>
              </w:rPr>
              <w:t>城市</w:t>
            </w:r>
          </w:p>
        </w:tc>
      </w:tr>
      <w:tr w14:paraId="0B13DB0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4" w:type="dxa"/>
            <w:gridSpan w:val="2"/>
            <w:tcBorders>
              <w:left w:val="dotted" w:color="auto" w:sz="4" w:space="0"/>
            </w:tcBorders>
            <w:shd w:val="clear" w:color="auto" w:fill="FFFFFF"/>
            <w:vAlign w:val="center"/>
          </w:tcPr>
          <w:p w14:paraId="5D41ABB2">
            <w:pPr>
              <w:pStyle w:val="69"/>
              <w:rPr>
                <w:color w:val="auto"/>
              </w:rPr>
            </w:pPr>
            <w:r>
              <w:rPr>
                <w:color w:val="auto"/>
              </w:rPr>
              <w:t>区域湿度条件</w:t>
            </w:r>
          </w:p>
        </w:tc>
        <w:tc>
          <w:tcPr>
            <w:tcW w:w="3867" w:type="dxa"/>
            <w:tcBorders>
              <w:right w:val="dotted" w:color="auto" w:sz="4" w:space="0"/>
            </w:tcBorders>
            <w:shd w:val="clear" w:color="auto" w:fill="FFFFFF"/>
            <w:vAlign w:val="center"/>
          </w:tcPr>
          <w:p w14:paraId="6F028488">
            <w:pPr>
              <w:pStyle w:val="69"/>
              <w:rPr>
                <w:color w:val="auto"/>
              </w:rPr>
            </w:pPr>
            <w:r>
              <w:rPr>
                <w:rFonts w:hint="eastAsia"/>
                <w:color w:val="auto"/>
              </w:rPr>
              <w:t>潮湿气候</w:t>
            </w:r>
          </w:p>
        </w:tc>
      </w:tr>
      <w:tr w14:paraId="06A6561D">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2" w:type="dxa"/>
            <w:vMerge w:val="restart"/>
            <w:tcBorders>
              <w:left w:val="dotted" w:color="auto" w:sz="4" w:space="0"/>
            </w:tcBorders>
            <w:shd w:val="clear" w:color="auto" w:fill="FFFFFF"/>
            <w:vAlign w:val="center"/>
          </w:tcPr>
          <w:p w14:paraId="621AB0A2">
            <w:pPr>
              <w:pStyle w:val="69"/>
              <w:rPr>
                <w:color w:val="auto"/>
              </w:rPr>
            </w:pPr>
            <w:r>
              <w:rPr>
                <w:color w:val="auto"/>
              </w:rPr>
              <w:t>是否考虑地形</w:t>
            </w:r>
          </w:p>
        </w:tc>
        <w:tc>
          <w:tcPr>
            <w:tcW w:w="2872" w:type="dxa"/>
            <w:shd w:val="clear" w:color="auto" w:fill="FFFFFF"/>
            <w:vAlign w:val="center"/>
          </w:tcPr>
          <w:p w14:paraId="1480B07C">
            <w:pPr>
              <w:pStyle w:val="69"/>
              <w:rPr>
                <w:color w:val="auto"/>
              </w:rPr>
            </w:pPr>
            <w:r>
              <w:rPr>
                <w:color w:val="auto"/>
              </w:rPr>
              <w:t>考虑地形</w:t>
            </w:r>
          </w:p>
        </w:tc>
        <w:tc>
          <w:tcPr>
            <w:tcW w:w="3867" w:type="dxa"/>
            <w:tcBorders>
              <w:right w:val="dotted" w:color="auto" w:sz="4" w:space="0"/>
            </w:tcBorders>
            <w:shd w:val="clear" w:color="auto" w:fill="FFFFFF"/>
            <w:vAlign w:val="center"/>
          </w:tcPr>
          <w:p w14:paraId="6FC2B822">
            <w:pPr>
              <w:pStyle w:val="69"/>
              <w:rPr>
                <w:color w:val="auto"/>
              </w:rPr>
            </w:pPr>
            <w:r>
              <w:rPr>
                <w:rFonts w:hint="eastAsia"/>
                <w:color w:val="auto"/>
              </w:rPr>
              <w:t>■是 □否</w:t>
            </w:r>
          </w:p>
        </w:tc>
      </w:tr>
      <w:tr w14:paraId="2C967AF5">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2" w:type="dxa"/>
            <w:vMerge w:val="continue"/>
            <w:tcBorders>
              <w:left w:val="dotted" w:color="auto" w:sz="4" w:space="0"/>
            </w:tcBorders>
            <w:shd w:val="clear" w:color="auto" w:fill="FFFFFF"/>
            <w:vAlign w:val="center"/>
          </w:tcPr>
          <w:p w14:paraId="4BD20536">
            <w:pPr>
              <w:pStyle w:val="69"/>
              <w:rPr>
                <w:color w:val="auto"/>
              </w:rPr>
            </w:pPr>
          </w:p>
        </w:tc>
        <w:tc>
          <w:tcPr>
            <w:tcW w:w="2872" w:type="dxa"/>
            <w:shd w:val="clear" w:color="auto" w:fill="FFFFFF"/>
            <w:vAlign w:val="center"/>
          </w:tcPr>
          <w:p w14:paraId="033AED92">
            <w:pPr>
              <w:pStyle w:val="69"/>
              <w:rPr>
                <w:color w:val="auto"/>
              </w:rPr>
            </w:pPr>
            <w:r>
              <w:rPr>
                <w:color w:val="auto"/>
              </w:rPr>
              <w:t>地形数据分辨率(m)</w:t>
            </w:r>
          </w:p>
        </w:tc>
        <w:tc>
          <w:tcPr>
            <w:tcW w:w="3867" w:type="dxa"/>
            <w:tcBorders>
              <w:right w:val="dotted" w:color="auto" w:sz="4" w:space="0"/>
            </w:tcBorders>
            <w:shd w:val="clear" w:color="auto" w:fill="FFFFFF"/>
            <w:vAlign w:val="center"/>
          </w:tcPr>
          <w:p w14:paraId="795BB9BC">
            <w:pPr>
              <w:pStyle w:val="69"/>
              <w:rPr>
                <w:color w:val="auto"/>
              </w:rPr>
            </w:pPr>
            <w:r>
              <w:rPr>
                <w:rFonts w:hint="eastAsia"/>
                <w:color w:val="auto"/>
              </w:rPr>
              <w:t>90</w:t>
            </w:r>
          </w:p>
        </w:tc>
      </w:tr>
      <w:tr w14:paraId="25B6ACB0">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2" w:type="dxa"/>
            <w:vMerge w:val="restart"/>
            <w:tcBorders>
              <w:left w:val="dotted" w:color="auto" w:sz="4" w:space="0"/>
            </w:tcBorders>
            <w:shd w:val="clear" w:color="auto" w:fill="FFFFFF"/>
            <w:vAlign w:val="center"/>
          </w:tcPr>
          <w:p w14:paraId="2432D5CB">
            <w:pPr>
              <w:pStyle w:val="69"/>
              <w:rPr>
                <w:color w:val="auto"/>
              </w:rPr>
            </w:pPr>
            <w:r>
              <w:rPr>
                <w:color w:val="auto"/>
              </w:rPr>
              <w:t>是否考虑海岸线熏烟</w:t>
            </w:r>
          </w:p>
        </w:tc>
        <w:tc>
          <w:tcPr>
            <w:tcW w:w="2872" w:type="dxa"/>
            <w:shd w:val="clear" w:color="auto" w:fill="FFFFFF"/>
            <w:vAlign w:val="center"/>
          </w:tcPr>
          <w:p w14:paraId="08045786">
            <w:pPr>
              <w:pStyle w:val="69"/>
              <w:rPr>
                <w:color w:val="auto"/>
              </w:rPr>
            </w:pPr>
            <w:r>
              <w:rPr>
                <w:color w:val="auto"/>
              </w:rPr>
              <w:t>考虑海岸线熏烟</w:t>
            </w:r>
          </w:p>
        </w:tc>
        <w:tc>
          <w:tcPr>
            <w:tcW w:w="3867" w:type="dxa"/>
            <w:tcBorders>
              <w:right w:val="dotted" w:color="auto" w:sz="4" w:space="0"/>
            </w:tcBorders>
            <w:shd w:val="clear" w:color="auto" w:fill="FFFFFF"/>
            <w:vAlign w:val="center"/>
          </w:tcPr>
          <w:p w14:paraId="3CF4F6A7">
            <w:pPr>
              <w:pStyle w:val="69"/>
              <w:rPr>
                <w:color w:val="auto"/>
              </w:rPr>
            </w:pPr>
            <w:r>
              <w:rPr>
                <w:rFonts w:hint="eastAsia"/>
                <w:color w:val="auto"/>
              </w:rPr>
              <w:t>□是■否</w:t>
            </w:r>
          </w:p>
        </w:tc>
      </w:tr>
      <w:tr w14:paraId="6DD8AA3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2" w:type="dxa"/>
            <w:vMerge w:val="continue"/>
            <w:tcBorders>
              <w:left w:val="dotted" w:color="auto" w:sz="4" w:space="0"/>
            </w:tcBorders>
            <w:shd w:val="clear" w:color="auto" w:fill="FFFFFF"/>
            <w:vAlign w:val="center"/>
          </w:tcPr>
          <w:p w14:paraId="26345DCC">
            <w:pPr>
              <w:pStyle w:val="69"/>
              <w:rPr>
                <w:color w:val="auto"/>
              </w:rPr>
            </w:pPr>
          </w:p>
        </w:tc>
        <w:tc>
          <w:tcPr>
            <w:tcW w:w="2872" w:type="dxa"/>
            <w:shd w:val="clear" w:color="auto" w:fill="FFFFFF"/>
            <w:vAlign w:val="center"/>
          </w:tcPr>
          <w:p w14:paraId="6EDF83C2">
            <w:pPr>
              <w:pStyle w:val="69"/>
              <w:rPr>
                <w:color w:val="auto"/>
              </w:rPr>
            </w:pPr>
            <w:r>
              <w:rPr>
                <w:color w:val="auto"/>
              </w:rPr>
              <w:t>海岸线距离/km</w:t>
            </w:r>
          </w:p>
        </w:tc>
        <w:tc>
          <w:tcPr>
            <w:tcW w:w="3867" w:type="dxa"/>
            <w:tcBorders>
              <w:right w:val="dotted" w:color="auto" w:sz="4" w:space="0"/>
            </w:tcBorders>
            <w:shd w:val="clear" w:color="auto" w:fill="FFFFFF"/>
            <w:vAlign w:val="center"/>
          </w:tcPr>
          <w:p w14:paraId="6492A66B">
            <w:pPr>
              <w:pStyle w:val="69"/>
              <w:rPr>
                <w:color w:val="auto"/>
              </w:rPr>
            </w:pPr>
            <w:r>
              <w:rPr>
                <w:color w:val="auto"/>
              </w:rPr>
              <w:t>/</w:t>
            </w:r>
          </w:p>
        </w:tc>
      </w:tr>
      <w:tr w14:paraId="4D01766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2" w:type="dxa"/>
            <w:vMerge w:val="continue"/>
            <w:tcBorders>
              <w:left w:val="dotted" w:color="auto" w:sz="4" w:space="0"/>
            </w:tcBorders>
            <w:shd w:val="clear" w:color="auto" w:fill="FFFFFF"/>
            <w:vAlign w:val="center"/>
          </w:tcPr>
          <w:p w14:paraId="15F15F4D">
            <w:pPr>
              <w:pStyle w:val="69"/>
              <w:rPr>
                <w:color w:val="auto"/>
              </w:rPr>
            </w:pPr>
          </w:p>
        </w:tc>
        <w:tc>
          <w:tcPr>
            <w:tcW w:w="2872" w:type="dxa"/>
            <w:shd w:val="clear" w:color="auto" w:fill="FFFFFF"/>
            <w:vAlign w:val="center"/>
          </w:tcPr>
          <w:p w14:paraId="454BE8F6">
            <w:pPr>
              <w:pStyle w:val="69"/>
              <w:rPr>
                <w:color w:val="auto"/>
              </w:rPr>
            </w:pPr>
            <w:r>
              <w:rPr>
                <w:color w:val="auto"/>
              </w:rPr>
              <w:t>海岸线方向/o</w:t>
            </w:r>
          </w:p>
        </w:tc>
        <w:tc>
          <w:tcPr>
            <w:tcW w:w="3867" w:type="dxa"/>
            <w:tcBorders>
              <w:right w:val="dotted" w:color="auto" w:sz="4" w:space="0"/>
            </w:tcBorders>
            <w:shd w:val="clear" w:color="auto" w:fill="FFFFFF"/>
            <w:vAlign w:val="center"/>
          </w:tcPr>
          <w:p w14:paraId="48F5C247">
            <w:pPr>
              <w:pStyle w:val="69"/>
              <w:rPr>
                <w:color w:val="auto"/>
              </w:rPr>
            </w:pPr>
            <w:r>
              <w:rPr>
                <w:color w:val="auto"/>
              </w:rPr>
              <w:t>/</w:t>
            </w:r>
          </w:p>
        </w:tc>
      </w:tr>
    </w:tbl>
    <w:p w14:paraId="1D00CD99">
      <w:pPr>
        <w:ind w:firstLine="480"/>
        <w:rPr>
          <w:color w:val="auto"/>
        </w:rPr>
      </w:pPr>
      <w:r>
        <w:rPr>
          <w:color w:val="auto"/>
        </w:rPr>
        <w:t>筛选气象</w:t>
      </w:r>
      <w:r>
        <w:rPr>
          <w:rFonts w:hint="eastAsia"/>
          <w:color w:val="auto"/>
        </w:rPr>
        <w:t>：项目所在地的气温记录最低</w:t>
      </w:r>
      <w:r>
        <w:rPr>
          <w:color w:val="auto"/>
        </w:rPr>
        <w:t>2.2℃</w:t>
      </w:r>
      <w:r>
        <w:rPr>
          <w:rFonts w:hint="eastAsia"/>
          <w:color w:val="auto"/>
        </w:rPr>
        <w:t>，</w:t>
      </w:r>
      <w:r>
        <w:rPr>
          <w:color w:val="auto"/>
        </w:rPr>
        <w:t>最高39.6℃</w:t>
      </w:r>
      <w:r>
        <w:rPr>
          <w:rFonts w:hint="eastAsia"/>
          <w:color w:val="auto"/>
        </w:rPr>
        <w:t>，</w:t>
      </w:r>
      <w:r>
        <w:rPr>
          <w:color w:val="auto"/>
        </w:rPr>
        <w:t>允许使用的最小风速默认为</w:t>
      </w:r>
      <w:r>
        <w:rPr>
          <w:rFonts w:hint="eastAsia"/>
          <w:color w:val="auto"/>
        </w:rPr>
        <w:t>0</w:t>
      </w:r>
      <w:r>
        <w:rPr>
          <w:color w:val="auto"/>
        </w:rPr>
        <w:t>.5m/s</w:t>
      </w:r>
      <w:r>
        <w:rPr>
          <w:rFonts w:hint="eastAsia"/>
          <w:color w:val="auto"/>
        </w:rPr>
        <w:t>，</w:t>
      </w:r>
      <w:r>
        <w:rPr>
          <w:color w:val="auto"/>
        </w:rPr>
        <w:t>测风高度</w:t>
      </w:r>
      <w:r>
        <w:rPr>
          <w:rFonts w:hint="eastAsia"/>
          <w:color w:val="auto"/>
        </w:rPr>
        <w:t>1</w:t>
      </w:r>
      <w:r>
        <w:rPr>
          <w:color w:val="auto"/>
        </w:rPr>
        <w:t>0m</w:t>
      </w:r>
      <w:r>
        <w:rPr>
          <w:rFonts w:hint="eastAsia"/>
          <w:color w:val="auto"/>
        </w:rPr>
        <w:t>，</w:t>
      </w:r>
      <w:r>
        <w:rPr>
          <w:color w:val="auto"/>
        </w:rPr>
        <w:t>地表摩擦速度U*不进行调整</w:t>
      </w:r>
      <w:r>
        <w:rPr>
          <w:rFonts w:hint="eastAsia"/>
          <w:color w:val="auto"/>
        </w:rPr>
        <w:t>。</w:t>
      </w:r>
    </w:p>
    <w:p w14:paraId="7E9F5D66">
      <w:pPr>
        <w:ind w:firstLine="480"/>
        <w:rPr>
          <w:color w:val="auto"/>
        </w:rPr>
      </w:pPr>
      <w:r>
        <w:rPr>
          <w:color w:val="auto"/>
        </w:rPr>
        <w:t>地面特征参数</w:t>
      </w:r>
      <w:r>
        <w:rPr>
          <w:rFonts w:hint="eastAsia"/>
          <w:color w:val="auto"/>
        </w:rPr>
        <w:t>：</w:t>
      </w:r>
      <w:r>
        <w:rPr>
          <w:color w:val="auto"/>
        </w:rPr>
        <w:t>不对地面分扇区</w:t>
      </w:r>
      <w:r>
        <w:rPr>
          <w:rFonts w:hint="eastAsia"/>
          <w:color w:val="auto"/>
        </w:rPr>
        <w:t>；</w:t>
      </w:r>
      <w:r>
        <w:rPr>
          <w:color w:val="auto"/>
        </w:rPr>
        <w:t>地面时间周期按年</w:t>
      </w:r>
      <w:r>
        <w:rPr>
          <w:rFonts w:hint="eastAsia"/>
          <w:color w:val="auto"/>
        </w:rPr>
        <w:t>；</w:t>
      </w:r>
      <w:r>
        <w:rPr>
          <w:color w:val="auto"/>
        </w:rPr>
        <w:t>AERMET通用地表类型为城市</w:t>
      </w:r>
      <w:r>
        <w:rPr>
          <w:rFonts w:hint="eastAsia"/>
          <w:color w:val="auto"/>
        </w:rPr>
        <w:t>；</w:t>
      </w:r>
      <w:r>
        <w:rPr>
          <w:color w:val="auto"/>
        </w:rPr>
        <w:t>AERMET通用地表湿度为潮湿气候</w:t>
      </w:r>
      <w:r>
        <w:rPr>
          <w:rFonts w:hint="eastAsia"/>
          <w:color w:val="auto"/>
        </w:rPr>
        <w:t>；</w:t>
      </w:r>
      <w:r>
        <w:rPr>
          <w:color w:val="auto"/>
        </w:rPr>
        <w:t>粗糙度按AERMET城市地表类型选取</w:t>
      </w:r>
      <w:r>
        <w:rPr>
          <w:rFonts w:hint="eastAsia"/>
          <w:color w:val="auto"/>
        </w:rPr>
        <w:t>“城市外围”。</w:t>
      </w:r>
    </w:p>
    <w:p w14:paraId="3DD9B2E0">
      <w:pPr>
        <w:ind w:firstLine="480"/>
        <w:rPr>
          <w:color w:val="auto"/>
        </w:rPr>
      </w:pPr>
      <w:r>
        <w:rPr>
          <w:rFonts w:hint="eastAsia"/>
          <w:color w:val="auto"/>
        </w:rPr>
        <w:t>（4）全球</w:t>
      </w:r>
      <w:r>
        <w:rPr>
          <w:color w:val="auto"/>
        </w:rPr>
        <w:t>定位及地形数据</w:t>
      </w:r>
    </w:p>
    <w:p w14:paraId="485AB3F6">
      <w:pPr>
        <w:bidi w:val="0"/>
      </w:pPr>
      <w:r>
        <w:t>以</w:t>
      </w:r>
      <w:r>
        <w:rPr>
          <w:rFonts w:hint="eastAsia"/>
          <w:lang w:val="en-US" w:eastAsia="zh-CN"/>
        </w:rPr>
        <w:t>DA001</w:t>
      </w:r>
      <w:r>
        <w:rPr>
          <w:rFonts w:hint="eastAsia"/>
        </w:rPr>
        <w:t>为</w:t>
      </w:r>
      <w:r>
        <w:t>中心</w:t>
      </w:r>
      <w:r>
        <w:rPr>
          <w:rFonts w:hint="eastAsia"/>
        </w:rPr>
        <w:t>定义</w:t>
      </w:r>
      <w:r>
        <w:t>为</w:t>
      </w:r>
      <w:r>
        <w:rPr>
          <w:rFonts w:hint="eastAsia"/>
        </w:rPr>
        <w:t>（0，0）</w:t>
      </w:r>
      <w:r>
        <w:t>，</w:t>
      </w:r>
      <w:r>
        <w:rPr>
          <w:rFonts w:hint="eastAsia"/>
        </w:rPr>
        <w:t>进行全球定位（</w:t>
      </w:r>
      <w:r>
        <w:t>22.</w:t>
      </w:r>
      <w:r>
        <w:rPr>
          <w:rFonts w:hint="eastAsia"/>
          <w:lang w:val="en-US" w:eastAsia="zh-CN"/>
        </w:rPr>
        <w:t>78992</w:t>
      </w:r>
      <w:r>
        <w:t>N</w:t>
      </w:r>
      <w:r>
        <w:rPr>
          <w:rFonts w:hint="eastAsia"/>
        </w:rPr>
        <w:t>，</w:t>
      </w:r>
      <w:r>
        <w:t>112.</w:t>
      </w:r>
      <w:r>
        <w:rPr>
          <w:rFonts w:hint="eastAsia"/>
          <w:lang w:val="en-US" w:eastAsia="zh-CN"/>
        </w:rPr>
        <w:t>93562</w:t>
      </w:r>
      <w:r>
        <w:t>E</w:t>
      </w:r>
      <w:r>
        <w:rPr>
          <w:rFonts w:hint="eastAsia"/>
        </w:rPr>
        <w:t>）。</w:t>
      </w:r>
    </w:p>
    <w:p w14:paraId="3E0B4A07">
      <w:pPr>
        <w:bidi w:val="0"/>
        <w:rPr>
          <w:lang w:val="sq-AL"/>
        </w:rPr>
      </w:pPr>
      <w:r>
        <w:rPr>
          <w:lang w:val="sq-AL"/>
        </w:rPr>
        <w:t>地形数据来源于</w:t>
      </w:r>
      <w:r>
        <w:rPr>
          <w:rFonts w:hint="eastAsia"/>
          <w:lang w:val="sq-AL"/>
        </w:rPr>
        <w:t>http://cal.ihamodel.com/</w:t>
      </w:r>
      <w:r>
        <w:rPr>
          <w:lang w:val="sq-AL"/>
        </w:rPr>
        <w:t>，数据精度为3秒(约90m)，即东西向网格间距为3(秒)、南北向网格间距为3(秒)</w:t>
      </w:r>
      <w:r>
        <w:rPr>
          <w:rFonts w:hint="eastAsia"/>
          <w:lang w:val="sq-AL"/>
        </w:rPr>
        <w:t>。</w:t>
      </w:r>
    </w:p>
    <w:p w14:paraId="21C88A94">
      <w:pPr>
        <w:ind w:firstLine="480"/>
        <w:rPr>
          <w:color w:val="auto"/>
        </w:rPr>
      </w:pPr>
      <w:r>
        <w:rPr>
          <w:rFonts w:hint="eastAsia"/>
          <w:color w:val="auto"/>
        </w:rPr>
        <w:t>（5）最大落地浓度</w:t>
      </w:r>
    </w:p>
    <w:p w14:paraId="75D12AFD">
      <w:pPr>
        <w:ind w:firstLine="480"/>
        <w:rPr>
          <w:snapToGrid w:val="0"/>
          <w:color w:val="auto"/>
        </w:rPr>
      </w:pPr>
      <w:r>
        <w:rPr>
          <w:snapToGrid w:val="0"/>
          <w:color w:val="auto"/>
        </w:rPr>
        <w:t>项目所有污染源的正常排放的污染物的P</w:t>
      </w:r>
      <w:r>
        <w:rPr>
          <w:snapToGrid w:val="0"/>
          <w:color w:val="auto"/>
          <w:vertAlign w:val="subscript"/>
        </w:rPr>
        <w:t>max</w:t>
      </w:r>
      <w:r>
        <w:rPr>
          <w:snapToGrid w:val="0"/>
          <w:color w:val="auto"/>
        </w:rPr>
        <w:t>和D</w:t>
      </w:r>
      <w:r>
        <w:rPr>
          <w:snapToGrid w:val="0"/>
          <w:color w:val="auto"/>
          <w:vertAlign w:val="subscript"/>
        </w:rPr>
        <w:t>10%</w:t>
      </w:r>
      <w:r>
        <w:rPr>
          <w:snapToGrid w:val="0"/>
          <w:color w:val="auto"/>
        </w:rPr>
        <w:t>预测结果如</w:t>
      </w:r>
      <w:r>
        <w:rPr>
          <w:rFonts w:hint="eastAsia"/>
          <w:snapToGrid w:val="0"/>
          <w:color w:val="auto"/>
        </w:rPr>
        <w:t>表1.5-5所示。</w:t>
      </w:r>
    </w:p>
    <w:p w14:paraId="42F7405F">
      <w:pPr>
        <w:pStyle w:val="62"/>
        <w:numPr>
          <w:ilvl w:val="0"/>
          <w:numId w:val="18"/>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Pmax和D10%预测和计算结果一览表</w:t>
      </w:r>
    </w:p>
    <w:p w14:paraId="6E5A521A">
      <w:pPr>
        <w:pStyle w:val="62"/>
        <w:bidi w:val="0"/>
      </w:pPr>
      <w:r>
        <w:drawing>
          <wp:inline distT="0" distB="0" distL="114300" distR="114300">
            <wp:extent cx="5718810" cy="984250"/>
            <wp:effectExtent l="0" t="0" r="5715" b="6350"/>
            <wp:docPr id="3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7"/>
                    <pic:cNvPicPr>
                      <a:picLocks noChangeAspect="1"/>
                    </pic:cNvPicPr>
                  </pic:nvPicPr>
                  <pic:blipFill>
                    <a:blip r:embed="rId39"/>
                    <a:stretch>
                      <a:fillRect/>
                    </a:stretch>
                  </pic:blipFill>
                  <pic:spPr>
                    <a:xfrm>
                      <a:off x="0" y="0"/>
                      <a:ext cx="5718810" cy="984250"/>
                    </a:xfrm>
                    <a:prstGeom prst="rect">
                      <a:avLst/>
                    </a:prstGeom>
                    <a:noFill/>
                    <a:ln>
                      <a:noFill/>
                    </a:ln>
                  </pic:spPr>
                </pic:pic>
              </a:graphicData>
            </a:graphic>
          </wp:inline>
        </w:drawing>
      </w:r>
    </w:p>
    <w:p w14:paraId="608856AA">
      <w:pPr>
        <w:pStyle w:val="62"/>
        <w:bidi w:val="0"/>
      </w:pPr>
      <w:r>
        <w:drawing>
          <wp:inline distT="0" distB="0" distL="114300" distR="114300">
            <wp:extent cx="5723890" cy="821055"/>
            <wp:effectExtent l="0" t="0" r="635" b="7620"/>
            <wp:docPr id="3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pic:cNvPicPr>
                      <a:picLocks noChangeAspect="1"/>
                    </pic:cNvPicPr>
                  </pic:nvPicPr>
                  <pic:blipFill>
                    <a:blip r:embed="rId40"/>
                    <a:stretch>
                      <a:fillRect/>
                    </a:stretch>
                  </pic:blipFill>
                  <pic:spPr>
                    <a:xfrm>
                      <a:off x="0" y="0"/>
                      <a:ext cx="5723890" cy="821055"/>
                    </a:xfrm>
                    <a:prstGeom prst="rect">
                      <a:avLst/>
                    </a:prstGeom>
                    <a:noFill/>
                    <a:ln>
                      <a:noFill/>
                    </a:ln>
                  </pic:spPr>
                </pic:pic>
              </a:graphicData>
            </a:graphic>
          </wp:inline>
        </w:drawing>
      </w:r>
    </w:p>
    <w:p w14:paraId="77FAC3FC">
      <w:pPr>
        <w:pStyle w:val="62"/>
        <w:bidi w:val="0"/>
      </w:pPr>
      <w:r>
        <w:drawing>
          <wp:inline distT="0" distB="0" distL="114300" distR="114300">
            <wp:extent cx="5721985" cy="895350"/>
            <wp:effectExtent l="0" t="0" r="2540" b="0"/>
            <wp:docPr id="4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8"/>
                    <pic:cNvPicPr>
                      <a:picLocks noChangeAspect="1"/>
                    </pic:cNvPicPr>
                  </pic:nvPicPr>
                  <pic:blipFill>
                    <a:blip r:embed="rId41"/>
                    <a:stretch>
                      <a:fillRect/>
                    </a:stretch>
                  </pic:blipFill>
                  <pic:spPr>
                    <a:xfrm>
                      <a:off x="0" y="0"/>
                      <a:ext cx="5721985" cy="895350"/>
                    </a:xfrm>
                    <a:prstGeom prst="rect">
                      <a:avLst/>
                    </a:prstGeom>
                    <a:noFill/>
                    <a:ln>
                      <a:noFill/>
                    </a:ln>
                  </pic:spPr>
                </pic:pic>
              </a:graphicData>
            </a:graphic>
          </wp:inline>
        </w:drawing>
      </w:r>
    </w:p>
    <w:p w14:paraId="7EB08D1D">
      <w:pPr>
        <w:pStyle w:val="62"/>
        <w:bidi w:val="0"/>
      </w:pPr>
      <w:r>
        <w:drawing>
          <wp:inline distT="0" distB="0" distL="114300" distR="114300">
            <wp:extent cx="5716905" cy="792480"/>
            <wp:effectExtent l="0" t="0" r="7620" b="7620"/>
            <wp:docPr id="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9"/>
                    <pic:cNvPicPr>
                      <a:picLocks noChangeAspect="1"/>
                    </pic:cNvPicPr>
                  </pic:nvPicPr>
                  <pic:blipFill>
                    <a:blip r:embed="rId42"/>
                    <a:stretch>
                      <a:fillRect/>
                    </a:stretch>
                  </pic:blipFill>
                  <pic:spPr>
                    <a:xfrm>
                      <a:off x="0" y="0"/>
                      <a:ext cx="5716905" cy="792480"/>
                    </a:xfrm>
                    <a:prstGeom prst="rect">
                      <a:avLst/>
                    </a:prstGeom>
                    <a:noFill/>
                    <a:ln>
                      <a:noFill/>
                    </a:ln>
                  </pic:spPr>
                </pic:pic>
              </a:graphicData>
            </a:graphic>
          </wp:inline>
        </w:drawing>
      </w:r>
    </w:p>
    <w:p w14:paraId="0440346E">
      <w:pPr>
        <w:pStyle w:val="62"/>
        <w:bidi w:val="0"/>
      </w:pPr>
      <w:r>
        <w:t>由表</w:t>
      </w:r>
      <w:r>
        <w:rPr>
          <w:rFonts w:hint="eastAsia"/>
        </w:rPr>
        <w:t>1.5</w:t>
      </w:r>
      <w:r>
        <w:t>-</w:t>
      </w:r>
      <w:r>
        <w:rPr>
          <w:rFonts w:hint="eastAsia"/>
        </w:rPr>
        <w:t>5</w:t>
      </w:r>
      <w:r>
        <w:t>可以看出，Pmax</w:t>
      </w:r>
      <w:r>
        <w:rPr>
          <w:rFonts w:hint="eastAsia"/>
        </w:rPr>
        <w:t>≧</w:t>
      </w:r>
      <w:r>
        <w:t>10%</w:t>
      </w:r>
      <w:r>
        <w:rPr>
          <w:rFonts w:hint="eastAsia"/>
        </w:rPr>
        <w:t>，</w:t>
      </w:r>
      <w:r>
        <w:t>本项目环境空气影响评价工作等级为</w:t>
      </w:r>
      <w:r>
        <w:rPr>
          <w:rFonts w:hint="eastAsia"/>
          <w:lang w:val="en-US" w:eastAsia="zh-CN"/>
        </w:rPr>
        <w:t>一</w:t>
      </w:r>
      <w:r>
        <w:t>级。</w:t>
      </w:r>
    </w:p>
    <w:p w14:paraId="04B87797">
      <w:pPr>
        <w:pStyle w:val="64"/>
        <w:numPr>
          <w:ilvl w:val="2"/>
          <w:numId w:val="8"/>
        </w:numPr>
        <w:spacing w:before="166" w:after="166"/>
        <w:ind w:left="709" w:leftChars="0" w:hanging="709" w:firstLineChars="0"/>
        <w:rPr>
          <w:color w:val="auto"/>
        </w:rPr>
      </w:pPr>
      <w:r>
        <w:rPr>
          <w:color w:val="auto"/>
        </w:rPr>
        <w:t>声环境影响评价工作等级</w:t>
      </w:r>
    </w:p>
    <w:p w14:paraId="2EB5E19C">
      <w:pPr>
        <w:ind w:firstLine="480"/>
        <w:rPr>
          <w:rFonts w:hint="eastAsia"/>
          <w:color w:val="auto"/>
        </w:rPr>
      </w:pPr>
      <w:r>
        <w:rPr>
          <w:rFonts w:hint="eastAsia"/>
          <w:color w:val="auto"/>
        </w:rPr>
        <w:t>本项目选址所在地区属3类声环境功能区，</w:t>
      </w:r>
      <w:r>
        <w:rPr>
          <w:rFonts w:hint="default"/>
          <w:color w:val="auto"/>
        </w:rPr>
        <w:t>建设项目建设前后评价范围内声环境保护目标噪声级增量在3dB(A)以下（不含3dB(A)），且受影响人口数量变化不大</w:t>
      </w:r>
      <w:r>
        <w:rPr>
          <w:rFonts w:hint="eastAsia"/>
          <w:color w:val="auto"/>
        </w:rPr>
        <w:t>。根据</w:t>
      </w:r>
      <w:r>
        <w:rPr>
          <w:rFonts w:hint="eastAsia"/>
          <w:color w:val="auto"/>
          <w:lang w:eastAsia="zh-CN"/>
        </w:rPr>
        <w:t>《环境影响评价技术导则 声环境》（HJ2.4-2021）</w:t>
      </w:r>
      <w:r>
        <w:rPr>
          <w:rFonts w:hint="eastAsia"/>
          <w:color w:val="auto"/>
        </w:rPr>
        <w:t>，本项目噪声评价工作等级定为三级。</w:t>
      </w:r>
    </w:p>
    <w:p w14:paraId="64CCFCDD">
      <w:pPr>
        <w:pStyle w:val="62"/>
        <w:numPr>
          <w:ilvl w:val="0"/>
          <w:numId w:val="18"/>
        </w:numPr>
        <w:ind w:left="0" w:leftChars="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噪声评价等级划分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699"/>
        <w:gridCol w:w="8939"/>
      </w:tblGrid>
      <w:tr w14:paraId="4655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tblHeader/>
          <w:jc w:val="center"/>
        </w:trPr>
        <w:tc>
          <w:tcPr>
            <w:tcW w:w="699" w:type="dxa"/>
            <w:tcBorders>
              <w:top w:val="single" w:color="auto" w:sz="12" w:space="0"/>
              <w:left w:val="nil"/>
            </w:tcBorders>
            <w:noWrap w:val="0"/>
            <w:vAlign w:val="center"/>
          </w:tcPr>
          <w:p w14:paraId="249F6E53">
            <w:pPr>
              <w:pStyle w:val="59"/>
              <w:bidi w:val="0"/>
              <w:rPr>
                <w:rFonts w:hint="default"/>
                <w:color w:val="auto"/>
              </w:rPr>
            </w:pPr>
            <w:r>
              <w:rPr>
                <w:rFonts w:hint="default"/>
                <w:color w:val="auto"/>
              </w:rPr>
              <w:t>序号</w:t>
            </w:r>
          </w:p>
        </w:tc>
        <w:tc>
          <w:tcPr>
            <w:tcW w:w="8939" w:type="dxa"/>
            <w:tcBorders>
              <w:top w:val="single" w:color="auto" w:sz="12" w:space="0"/>
              <w:right w:val="nil"/>
            </w:tcBorders>
            <w:noWrap w:val="0"/>
            <w:vAlign w:val="center"/>
          </w:tcPr>
          <w:p w14:paraId="21A9449C">
            <w:pPr>
              <w:pStyle w:val="59"/>
              <w:bidi w:val="0"/>
              <w:rPr>
                <w:rFonts w:hint="default"/>
                <w:color w:val="auto"/>
              </w:rPr>
            </w:pPr>
            <w:r>
              <w:rPr>
                <w:rFonts w:hint="default"/>
                <w:color w:val="auto"/>
              </w:rPr>
              <w:t>评价等级划分依据</w:t>
            </w:r>
          </w:p>
        </w:tc>
      </w:tr>
      <w:tr w14:paraId="58A5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699" w:type="dxa"/>
            <w:tcBorders>
              <w:left w:val="nil"/>
            </w:tcBorders>
            <w:noWrap w:val="0"/>
            <w:vAlign w:val="center"/>
          </w:tcPr>
          <w:p w14:paraId="33A00EE9">
            <w:pPr>
              <w:pStyle w:val="59"/>
              <w:bidi w:val="0"/>
              <w:rPr>
                <w:rFonts w:hint="default"/>
                <w:color w:val="auto"/>
              </w:rPr>
            </w:pPr>
            <w:r>
              <w:rPr>
                <w:rFonts w:hint="default"/>
                <w:color w:val="auto"/>
              </w:rPr>
              <w:t>1</w:t>
            </w:r>
          </w:p>
        </w:tc>
        <w:tc>
          <w:tcPr>
            <w:tcW w:w="8939" w:type="dxa"/>
            <w:tcBorders>
              <w:right w:val="nil"/>
            </w:tcBorders>
            <w:noWrap w:val="0"/>
            <w:vAlign w:val="center"/>
          </w:tcPr>
          <w:p w14:paraId="2641E531">
            <w:pPr>
              <w:pStyle w:val="59"/>
              <w:bidi w:val="0"/>
              <w:rPr>
                <w:rFonts w:hint="default"/>
                <w:color w:val="auto"/>
              </w:rPr>
            </w:pPr>
            <w:r>
              <w:rPr>
                <w:rFonts w:hint="default"/>
                <w:color w:val="auto"/>
              </w:rPr>
              <w:t>评价范围内有适用于GB 3096规定的0类声环境功能区域，或建设项目建设前后评价范围内声环境保护目标噪声级增量达5dB(A)以上（不含5dB(A)），或受影响人口数量显著增加时，按一级评价。</w:t>
            </w:r>
          </w:p>
        </w:tc>
      </w:tr>
      <w:tr w14:paraId="5ADF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699" w:type="dxa"/>
            <w:tcBorders>
              <w:left w:val="nil"/>
            </w:tcBorders>
            <w:noWrap w:val="0"/>
            <w:vAlign w:val="center"/>
          </w:tcPr>
          <w:p w14:paraId="5BA9D05D">
            <w:pPr>
              <w:pStyle w:val="59"/>
              <w:bidi w:val="0"/>
              <w:rPr>
                <w:rFonts w:hint="default"/>
                <w:color w:val="auto"/>
              </w:rPr>
            </w:pPr>
            <w:r>
              <w:rPr>
                <w:rFonts w:hint="default"/>
                <w:color w:val="auto"/>
              </w:rPr>
              <w:t>2</w:t>
            </w:r>
          </w:p>
        </w:tc>
        <w:tc>
          <w:tcPr>
            <w:tcW w:w="8939" w:type="dxa"/>
            <w:tcBorders>
              <w:right w:val="nil"/>
            </w:tcBorders>
            <w:noWrap w:val="0"/>
            <w:vAlign w:val="center"/>
          </w:tcPr>
          <w:p w14:paraId="7DC92871">
            <w:pPr>
              <w:pStyle w:val="59"/>
              <w:bidi w:val="0"/>
              <w:rPr>
                <w:rFonts w:hint="default"/>
                <w:color w:val="auto"/>
              </w:rPr>
            </w:pPr>
            <w:r>
              <w:rPr>
                <w:rFonts w:hint="default"/>
                <w:color w:val="auto"/>
              </w:rPr>
              <w:t>建设项目所处的声环境功能区为 GB 3096 规定的1类、2类地区，或建设项目建设前后评价范围内声环境保护目标噪声级增量达3dB(A)～5dB(A)，或受噪声影响人口数量增加较多时，按二级评价。</w:t>
            </w:r>
          </w:p>
        </w:tc>
      </w:tr>
      <w:tr w14:paraId="2033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699" w:type="dxa"/>
            <w:tcBorders>
              <w:left w:val="nil"/>
            </w:tcBorders>
            <w:noWrap w:val="0"/>
            <w:vAlign w:val="center"/>
          </w:tcPr>
          <w:p w14:paraId="64C28FE9">
            <w:pPr>
              <w:pStyle w:val="59"/>
              <w:bidi w:val="0"/>
              <w:rPr>
                <w:rFonts w:hint="default"/>
                <w:color w:val="auto"/>
              </w:rPr>
            </w:pPr>
            <w:r>
              <w:rPr>
                <w:rFonts w:hint="default"/>
                <w:color w:val="auto"/>
              </w:rPr>
              <w:t>3</w:t>
            </w:r>
          </w:p>
        </w:tc>
        <w:tc>
          <w:tcPr>
            <w:tcW w:w="8939" w:type="dxa"/>
            <w:tcBorders>
              <w:right w:val="nil"/>
            </w:tcBorders>
            <w:noWrap w:val="0"/>
            <w:vAlign w:val="center"/>
          </w:tcPr>
          <w:p w14:paraId="4A93BD59">
            <w:pPr>
              <w:pStyle w:val="59"/>
              <w:bidi w:val="0"/>
              <w:rPr>
                <w:rFonts w:hint="default"/>
                <w:color w:val="auto"/>
              </w:rPr>
            </w:pPr>
            <w:r>
              <w:rPr>
                <w:rFonts w:hint="default"/>
                <w:color w:val="auto"/>
              </w:rPr>
              <w:t>建设项目所处的声环境功能区为GB 3096规定的3类、4类地区，或建设项目建设前后评价范围内声环境保护目标噪声级增量在3dB(A)以下（不含3dB(A)），且受影响人口数量变化不大时，按三级评价。</w:t>
            </w:r>
          </w:p>
        </w:tc>
      </w:tr>
      <w:tr w14:paraId="05CF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699" w:type="dxa"/>
            <w:tcBorders>
              <w:left w:val="nil"/>
              <w:bottom w:val="single" w:color="auto" w:sz="12" w:space="0"/>
            </w:tcBorders>
            <w:noWrap w:val="0"/>
            <w:vAlign w:val="center"/>
          </w:tcPr>
          <w:p w14:paraId="121263F9">
            <w:pPr>
              <w:pStyle w:val="59"/>
              <w:bidi w:val="0"/>
              <w:rPr>
                <w:rFonts w:hint="default"/>
                <w:color w:val="auto"/>
              </w:rPr>
            </w:pPr>
            <w:r>
              <w:rPr>
                <w:rFonts w:hint="default"/>
                <w:color w:val="auto"/>
              </w:rPr>
              <w:t>4</w:t>
            </w:r>
          </w:p>
        </w:tc>
        <w:tc>
          <w:tcPr>
            <w:tcW w:w="8939" w:type="dxa"/>
            <w:tcBorders>
              <w:bottom w:val="single" w:color="auto" w:sz="12" w:space="0"/>
              <w:right w:val="nil"/>
            </w:tcBorders>
            <w:noWrap w:val="0"/>
            <w:vAlign w:val="center"/>
          </w:tcPr>
          <w:p w14:paraId="63B9393C">
            <w:pPr>
              <w:pStyle w:val="59"/>
              <w:bidi w:val="0"/>
              <w:rPr>
                <w:rFonts w:hint="default"/>
                <w:color w:val="auto"/>
              </w:rPr>
            </w:pPr>
            <w:r>
              <w:rPr>
                <w:rFonts w:hint="default"/>
                <w:color w:val="auto"/>
              </w:rPr>
              <w:t>在确定评价等级时，如果建设项目符合两个等级的划分原则，按较高等级评价。</w:t>
            </w:r>
          </w:p>
        </w:tc>
      </w:tr>
    </w:tbl>
    <w:p w14:paraId="59984CD0">
      <w:pPr>
        <w:pStyle w:val="64"/>
        <w:numPr>
          <w:ilvl w:val="2"/>
          <w:numId w:val="8"/>
        </w:numPr>
        <w:spacing w:before="166" w:after="166"/>
        <w:ind w:left="709" w:leftChars="0" w:hanging="709" w:firstLineChars="0"/>
        <w:rPr>
          <w:color w:val="auto"/>
        </w:rPr>
      </w:pPr>
      <w:r>
        <w:rPr>
          <w:rFonts w:hint="eastAsia"/>
          <w:color w:val="auto"/>
        </w:rPr>
        <w:t>生态环境评价工作等级</w:t>
      </w:r>
    </w:p>
    <w:p w14:paraId="4BFE76CD">
      <w:pPr>
        <w:bidi w:val="0"/>
        <w:rPr>
          <w:color w:val="auto"/>
        </w:rPr>
      </w:pPr>
      <w:r>
        <w:rPr>
          <w:color w:val="auto"/>
        </w:rPr>
        <w:t>根据《环境影响评价技术导则 生态影响》（</w:t>
      </w:r>
      <w:r>
        <w:rPr>
          <w:rFonts w:hint="eastAsia"/>
          <w:color w:val="auto"/>
          <w:lang w:eastAsia="zh-CN"/>
        </w:rPr>
        <w:t>HJ19-2022</w:t>
      </w:r>
      <w:r>
        <w:rPr>
          <w:color w:val="auto"/>
        </w:rPr>
        <w:t>）</w:t>
      </w:r>
      <w:r>
        <w:rPr>
          <w:rFonts w:hint="eastAsia"/>
          <w:color w:val="auto"/>
          <w:lang w:val="en-US" w:eastAsia="zh-CN"/>
        </w:rPr>
        <w:t>:</w:t>
      </w:r>
      <w:r>
        <w:rPr>
          <w:rFonts w:hint="eastAsia"/>
          <w:color w:val="auto"/>
          <w:lang w:eastAsia="zh-CN"/>
        </w:rPr>
        <w:t>“</w:t>
      </w:r>
      <w:r>
        <w:rPr>
          <w:color w:val="auto"/>
        </w:rPr>
        <w:t>依据建设项目影响区域的生态敏感性和影响程度，评价等级划分为一级、二级和三级。</w:t>
      </w:r>
    </w:p>
    <w:p w14:paraId="5DA181BB">
      <w:pPr>
        <w:bidi w:val="0"/>
        <w:rPr>
          <w:color w:val="auto"/>
        </w:rPr>
      </w:pPr>
      <w:r>
        <w:rPr>
          <w:rFonts w:hint="eastAsia"/>
          <w:color w:val="auto"/>
          <w:lang w:val="en-US" w:eastAsia="zh-CN"/>
        </w:rPr>
        <w:t>1、</w:t>
      </w:r>
      <w:r>
        <w:rPr>
          <w:color w:val="auto"/>
        </w:rPr>
        <w:t xml:space="preserve">按以下原则确定评价等级： </w:t>
      </w:r>
    </w:p>
    <w:p w14:paraId="15A18A1D">
      <w:pPr>
        <w:bidi w:val="0"/>
        <w:rPr>
          <w:color w:val="auto"/>
        </w:rPr>
      </w:pPr>
      <w:r>
        <w:rPr>
          <w:color w:val="auto"/>
        </w:rPr>
        <w:t xml:space="preserve">a） 涉及国家公园、自然保护区、世界自然遗产、重要生境时，评价等级为一级； </w:t>
      </w:r>
    </w:p>
    <w:p w14:paraId="70B45688">
      <w:pPr>
        <w:bidi w:val="0"/>
        <w:rPr>
          <w:color w:val="auto"/>
        </w:rPr>
      </w:pPr>
      <w:r>
        <w:rPr>
          <w:color w:val="auto"/>
        </w:rPr>
        <w:t xml:space="preserve">b） 涉及自然公园时，评价等级为二级； </w:t>
      </w:r>
    </w:p>
    <w:p w14:paraId="17204195">
      <w:pPr>
        <w:bidi w:val="0"/>
        <w:rPr>
          <w:color w:val="auto"/>
        </w:rPr>
      </w:pPr>
      <w:r>
        <w:rPr>
          <w:color w:val="auto"/>
        </w:rPr>
        <w:t xml:space="preserve">c） 涉及生态保护红线时，评价等级不低于二级； </w:t>
      </w:r>
    </w:p>
    <w:p w14:paraId="27904F75">
      <w:pPr>
        <w:bidi w:val="0"/>
        <w:rPr>
          <w:color w:val="auto"/>
        </w:rPr>
      </w:pPr>
      <w:r>
        <w:rPr>
          <w:color w:val="auto"/>
        </w:rPr>
        <w:t xml:space="preserve">d） 根据 HJ 2.3 判断属于水文要素影响型且地表水评价等级不低于二级的建设项目，生态影响评 价等级不低于二级； </w:t>
      </w:r>
    </w:p>
    <w:p w14:paraId="746103AB">
      <w:pPr>
        <w:bidi w:val="0"/>
        <w:rPr>
          <w:color w:val="auto"/>
        </w:rPr>
      </w:pPr>
      <w:r>
        <w:rPr>
          <w:color w:val="auto"/>
        </w:rPr>
        <w:t xml:space="preserve">e） 根据 HJ 610、HJ 964 判断地下水水位或土壤影响范围内分布有天然林、公益林、湿地等生态 保护目标的建设项目，生态影响评价等级不低于二级； </w:t>
      </w:r>
    </w:p>
    <w:p w14:paraId="0F9B865D">
      <w:pPr>
        <w:bidi w:val="0"/>
        <w:rPr>
          <w:color w:val="auto"/>
        </w:rPr>
      </w:pPr>
      <w:r>
        <w:rPr>
          <w:color w:val="auto"/>
        </w:rPr>
        <w:t>f） 当工程占地规模大于 20 km</w:t>
      </w:r>
      <w:r>
        <w:rPr>
          <w:color w:val="auto"/>
          <w:vertAlign w:val="superscript"/>
        </w:rPr>
        <w:t xml:space="preserve">2 </w:t>
      </w:r>
      <w:r>
        <w:rPr>
          <w:color w:val="auto"/>
        </w:rPr>
        <w:t xml:space="preserve">时（包括永久和临时占用陆域和水域），评价等级不低于二级；改 扩建项目的占地范围以新增占地（包括陆域和水域）确定； </w:t>
      </w:r>
    </w:p>
    <w:p w14:paraId="5E8E83CB">
      <w:pPr>
        <w:bidi w:val="0"/>
        <w:rPr>
          <w:color w:val="auto"/>
        </w:rPr>
      </w:pPr>
      <w:r>
        <w:rPr>
          <w:color w:val="auto"/>
        </w:rPr>
        <w:t xml:space="preserve">g） 除本条 a）、b）、c）、d）、e）、f）以外的情况，评价等级为三级； </w:t>
      </w:r>
    </w:p>
    <w:p w14:paraId="21A9287D">
      <w:pPr>
        <w:bidi w:val="0"/>
        <w:rPr>
          <w:color w:val="auto"/>
        </w:rPr>
      </w:pPr>
      <w:r>
        <w:rPr>
          <w:color w:val="auto"/>
        </w:rPr>
        <w:t xml:space="preserve">h） 当评价等级判定同时符合上述多种情况时，应采用其中最高的评价等级。 </w:t>
      </w:r>
    </w:p>
    <w:p w14:paraId="6BE506A0">
      <w:pPr>
        <w:bidi w:val="0"/>
        <w:rPr>
          <w:color w:val="auto"/>
        </w:rPr>
      </w:pPr>
      <w:r>
        <w:rPr>
          <w:rFonts w:hint="eastAsia"/>
          <w:color w:val="auto"/>
          <w:lang w:val="en-US" w:eastAsia="zh-CN"/>
        </w:rPr>
        <w:t>2、</w:t>
      </w:r>
      <w:r>
        <w:rPr>
          <w:color w:val="auto"/>
        </w:rPr>
        <w:t xml:space="preserve">建设项目涉及经论证对保护生物多样性具有重要意义的区域时，可适当上调评价等级。 </w:t>
      </w:r>
    </w:p>
    <w:p w14:paraId="6CBD3529">
      <w:pPr>
        <w:bidi w:val="0"/>
        <w:rPr>
          <w:color w:val="auto"/>
        </w:rPr>
      </w:pPr>
      <w:r>
        <w:rPr>
          <w:rFonts w:hint="eastAsia"/>
          <w:color w:val="auto"/>
          <w:lang w:val="en-US" w:eastAsia="zh-CN"/>
        </w:rPr>
        <w:t>3、</w:t>
      </w:r>
      <w:r>
        <w:rPr>
          <w:color w:val="auto"/>
        </w:rPr>
        <w:t xml:space="preserve">建设项目同时涉及陆生、水生生态影响时，可针对陆生生态、水生生态分别判定评价等级。 </w:t>
      </w:r>
    </w:p>
    <w:p w14:paraId="539925CF">
      <w:pPr>
        <w:bidi w:val="0"/>
        <w:rPr>
          <w:color w:val="auto"/>
        </w:rPr>
      </w:pPr>
      <w:r>
        <w:rPr>
          <w:rFonts w:hint="eastAsia"/>
          <w:color w:val="auto"/>
          <w:lang w:val="en-US" w:eastAsia="zh-CN"/>
        </w:rPr>
        <w:t>4、</w:t>
      </w:r>
      <w:r>
        <w:rPr>
          <w:color w:val="auto"/>
        </w:rPr>
        <w:t xml:space="preserve">在矿山开采可能导致矿区土地利用类型明显改变，或拦河闸坝建设可能明显改变水文情势等情 况下，评价等级应上调一级。 </w:t>
      </w:r>
    </w:p>
    <w:p w14:paraId="0B91EDEA">
      <w:pPr>
        <w:bidi w:val="0"/>
        <w:rPr>
          <w:color w:val="auto"/>
        </w:rPr>
      </w:pPr>
      <w:r>
        <w:rPr>
          <w:rFonts w:hint="eastAsia"/>
          <w:color w:val="auto"/>
          <w:lang w:val="en-US" w:eastAsia="zh-CN"/>
        </w:rPr>
        <w:t>5、</w:t>
      </w:r>
      <w:r>
        <w:rPr>
          <w:color w:val="auto"/>
        </w:rPr>
        <w:t xml:space="preserve">线性工程可分段确定评价等级。线性工程地下穿越或地表跨越生态敏感区，在生态敏感区范围 内无永久、临时占地时，评价等级可下调一级。 </w:t>
      </w:r>
    </w:p>
    <w:p w14:paraId="66F1D7CE">
      <w:pPr>
        <w:bidi w:val="0"/>
        <w:rPr>
          <w:color w:val="auto"/>
        </w:rPr>
      </w:pPr>
      <w:r>
        <w:rPr>
          <w:rFonts w:hint="eastAsia"/>
          <w:color w:val="auto"/>
          <w:lang w:val="en-US" w:eastAsia="zh-CN"/>
        </w:rPr>
        <w:t>6、</w:t>
      </w:r>
      <w:r>
        <w:rPr>
          <w:color w:val="auto"/>
        </w:rPr>
        <w:t xml:space="preserve">涉海工程评价等级判定参照 GB/T 19485。 </w:t>
      </w:r>
    </w:p>
    <w:p w14:paraId="7BF44B3F">
      <w:pPr>
        <w:bidi w:val="0"/>
        <w:rPr>
          <w:color w:val="auto"/>
        </w:rPr>
      </w:pPr>
      <w:r>
        <w:rPr>
          <w:rFonts w:hint="eastAsia"/>
          <w:color w:val="auto"/>
          <w:lang w:val="en-US" w:eastAsia="zh-CN"/>
        </w:rPr>
        <w:t>7、</w:t>
      </w:r>
      <w:r>
        <w:rPr>
          <w:color w:val="auto"/>
        </w:rPr>
        <w:t>符合生态环境分区管控要求且位于原厂界（或永久用地）范围内的污染影响类</w:t>
      </w:r>
      <w:r>
        <w:rPr>
          <w:rFonts w:hint="eastAsia"/>
          <w:color w:val="auto"/>
          <w:lang w:eastAsia="zh-CN"/>
        </w:rPr>
        <w:t>本项目</w:t>
      </w:r>
      <w:r>
        <w:rPr>
          <w:color w:val="auto"/>
        </w:rPr>
        <w:t>，位于已批准规划环评的产业园区内且符合规划环评要求、不涉及生态敏感区的污染影响类建设项目，可不确定评价等级，直接进行生态影响简单分析。</w:t>
      </w:r>
      <w:r>
        <w:rPr>
          <w:rFonts w:hint="eastAsia"/>
          <w:color w:val="auto"/>
          <w:lang w:eastAsia="zh-CN"/>
        </w:rPr>
        <w:t>”</w:t>
      </w:r>
    </w:p>
    <w:p w14:paraId="1AA4F8D5">
      <w:pPr>
        <w:bidi w:val="0"/>
        <w:rPr>
          <w:rFonts w:hint="default" w:eastAsia="宋体"/>
          <w:color w:val="auto"/>
          <w:lang w:val="en-US" w:eastAsia="zh-CN"/>
        </w:rPr>
      </w:pPr>
      <w:r>
        <w:rPr>
          <w:rFonts w:hint="eastAsia"/>
          <w:color w:val="auto"/>
          <w:lang w:val="en-US" w:eastAsia="zh-CN"/>
        </w:rPr>
        <w:t>本项目属于</w:t>
      </w:r>
      <w:r>
        <w:rPr>
          <w:color w:val="auto"/>
        </w:rPr>
        <w:t>污染影响类建设项目</w:t>
      </w:r>
      <w:r>
        <w:rPr>
          <w:rFonts w:hint="eastAsia"/>
          <w:color w:val="auto"/>
          <w:lang w:eastAsia="zh-CN"/>
        </w:rPr>
        <w:t>，</w:t>
      </w:r>
      <w:r>
        <w:rPr>
          <w:rFonts w:hint="eastAsia"/>
          <w:color w:val="auto"/>
          <w:lang w:val="en-US" w:eastAsia="zh-CN"/>
        </w:rPr>
        <w:t>位于工业园区内</w:t>
      </w:r>
      <w:r>
        <w:rPr>
          <w:rFonts w:hint="eastAsia"/>
          <w:color w:val="auto"/>
          <w:lang w:eastAsia="zh-CN"/>
        </w:rPr>
        <w:t>，</w:t>
      </w:r>
      <w:r>
        <w:rPr>
          <w:color w:val="auto"/>
        </w:rPr>
        <w:t>不涉及生态敏感区</w:t>
      </w:r>
      <w:r>
        <w:rPr>
          <w:rFonts w:hint="eastAsia"/>
          <w:color w:val="auto"/>
          <w:lang w:eastAsia="zh-CN"/>
        </w:rPr>
        <w:t>，</w:t>
      </w:r>
      <w:r>
        <w:rPr>
          <w:rFonts w:hint="eastAsia"/>
          <w:color w:val="auto"/>
          <w:lang w:val="en-US" w:eastAsia="zh-CN"/>
        </w:rPr>
        <w:t>根据上文可知，</w:t>
      </w:r>
      <w:r>
        <w:rPr>
          <w:color w:val="auto"/>
        </w:rPr>
        <w:t>可不确定评价等级，直接进行生态影响简单分析。</w:t>
      </w:r>
    </w:p>
    <w:p w14:paraId="0447787E">
      <w:pPr>
        <w:pStyle w:val="64"/>
        <w:numPr>
          <w:ilvl w:val="2"/>
          <w:numId w:val="8"/>
        </w:numPr>
        <w:spacing w:before="166" w:after="166"/>
        <w:ind w:left="709" w:leftChars="0" w:hanging="709" w:firstLineChars="0"/>
        <w:rPr>
          <w:color w:val="auto"/>
        </w:rPr>
      </w:pPr>
      <w:r>
        <w:rPr>
          <w:color w:val="auto"/>
        </w:rPr>
        <w:t>地下水环境影响评价工作等级</w:t>
      </w:r>
    </w:p>
    <w:p w14:paraId="699E15A0">
      <w:pPr>
        <w:ind w:firstLine="480"/>
        <w:rPr>
          <w:color w:val="auto"/>
        </w:rPr>
      </w:pPr>
      <w:r>
        <w:rPr>
          <w:color w:val="auto"/>
        </w:rPr>
        <w:t>根据《环境影响评价技术导则</w:t>
      </w:r>
      <w:r>
        <w:rPr>
          <w:rFonts w:hint="eastAsia"/>
          <w:color w:val="auto"/>
          <w:lang w:val="en-US" w:eastAsia="zh-CN"/>
        </w:rPr>
        <w:t xml:space="preserve"> </w:t>
      </w:r>
      <w:r>
        <w:rPr>
          <w:color w:val="auto"/>
        </w:rPr>
        <w:t>地下水环境》（HJ610-2016）建设项目对地下水环境影响的程度，将建设项目分为四类，</w:t>
      </w:r>
      <w:r>
        <w:rPr>
          <w:rFonts w:hint="eastAsia" w:ascii="宋体" w:hAnsi="宋体" w:cs="宋体"/>
          <w:color w:val="auto"/>
        </w:rPr>
        <w:t>Ⅰ</w:t>
      </w:r>
      <w:r>
        <w:rPr>
          <w:color w:val="auto"/>
        </w:rPr>
        <w:t>、</w:t>
      </w:r>
      <w:r>
        <w:rPr>
          <w:rFonts w:hint="eastAsia" w:ascii="宋体" w:hAnsi="宋体" w:cs="宋体"/>
          <w:color w:val="auto"/>
        </w:rPr>
        <w:t>Ⅱ</w:t>
      </w:r>
      <w:r>
        <w:rPr>
          <w:color w:val="auto"/>
        </w:rPr>
        <w:t>和</w:t>
      </w:r>
      <w:r>
        <w:rPr>
          <w:rFonts w:hint="eastAsia" w:ascii="宋体" w:hAnsi="宋体" w:cs="宋体"/>
          <w:color w:val="auto"/>
        </w:rPr>
        <w:t>Ⅲ</w:t>
      </w:r>
      <w:r>
        <w:rPr>
          <w:color w:val="auto"/>
        </w:rPr>
        <w:t>类建设项目的地下水环境影响评价应执行本标准，</w:t>
      </w:r>
      <w:r>
        <w:rPr>
          <w:rFonts w:hint="eastAsia" w:ascii="宋体" w:hAnsi="宋体" w:cs="宋体"/>
          <w:color w:val="auto"/>
        </w:rPr>
        <w:t>Ⅳ</w:t>
      </w:r>
      <w:r>
        <w:rPr>
          <w:color w:val="auto"/>
        </w:rPr>
        <w:t>类建设项目不开展地下水环境影响评价。</w:t>
      </w:r>
    </w:p>
    <w:p w14:paraId="711AE75D">
      <w:pPr>
        <w:ind w:firstLine="480"/>
        <w:rPr>
          <w:rFonts w:ascii="宋体" w:hAnsi="宋体" w:eastAsia="宋体" w:cs="宋体"/>
          <w:spacing w:val="-3"/>
          <w:sz w:val="24"/>
          <w:szCs w:val="24"/>
        </w:rPr>
      </w:pPr>
      <w:r>
        <w:rPr>
          <w:color w:val="auto"/>
        </w:rPr>
        <w:t>根据HJ610-2016附录A，</w:t>
      </w:r>
      <w:r>
        <w:rPr>
          <w:rFonts w:hint="eastAsia"/>
          <w:color w:val="auto"/>
        </w:rPr>
        <w:t>本项目属于</w:t>
      </w:r>
      <w:r>
        <w:rPr>
          <w:rFonts w:ascii="Times New Roman" w:hAnsi="Times New Roman" w:eastAsia="Times New Roman" w:cs="Times New Roman"/>
          <w:spacing w:val="2"/>
          <w:sz w:val="24"/>
          <w:szCs w:val="24"/>
        </w:rPr>
        <w:t>“N</w:t>
      </w:r>
      <w:r>
        <w:rPr>
          <w:rFonts w:ascii="Times New Roman" w:hAnsi="Times New Roman" w:eastAsia="Times New Roman" w:cs="Times New Roman"/>
          <w:spacing w:val="38"/>
          <w:w w:val="101"/>
          <w:sz w:val="24"/>
          <w:szCs w:val="24"/>
        </w:rPr>
        <w:t xml:space="preserve"> </w:t>
      </w:r>
      <w:r>
        <w:rPr>
          <w:rFonts w:ascii="宋体" w:hAnsi="宋体" w:eastAsia="宋体" w:cs="宋体"/>
          <w:spacing w:val="2"/>
          <w:sz w:val="24"/>
          <w:szCs w:val="24"/>
        </w:rPr>
        <w:t>轻工—114印刷；文</w:t>
      </w:r>
      <w:r>
        <w:rPr>
          <w:rFonts w:ascii="宋体" w:hAnsi="宋体" w:eastAsia="宋体" w:cs="宋体"/>
          <w:spacing w:val="1"/>
          <w:sz w:val="24"/>
          <w:szCs w:val="24"/>
        </w:rPr>
        <w:t>教、体育、娱乐用品</w:t>
      </w:r>
      <w:r>
        <w:rPr>
          <w:rFonts w:ascii="宋体" w:hAnsi="宋体" w:eastAsia="宋体" w:cs="宋体"/>
          <w:sz w:val="24"/>
          <w:szCs w:val="24"/>
        </w:rPr>
        <w:t xml:space="preserve"> </w:t>
      </w:r>
      <w:r>
        <w:rPr>
          <w:rFonts w:ascii="宋体" w:hAnsi="宋体" w:eastAsia="宋体" w:cs="宋体"/>
          <w:spacing w:val="-2"/>
          <w:sz w:val="24"/>
          <w:szCs w:val="24"/>
        </w:rPr>
        <w:t>制造；磁材料制品”,</w:t>
      </w:r>
      <w:r>
        <w:rPr>
          <w:rFonts w:ascii="宋体" w:hAnsi="宋体" w:eastAsia="宋体" w:cs="宋体"/>
          <w:spacing w:val="-3"/>
          <w:sz w:val="24"/>
          <w:szCs w:val="24"/>
        </w:rPr>
        <w:t>不开展地下水影响评价。</w:t>
      </w:r>
    </w:p>
    <w:p w14:paraId="5B88C33F">
      <w:pPr>
        <w:pStyle w:val="64"/>
        <w:numPr>
          <w:ilvl w:val="2"/>
          <w:numId w:val="8"/>
        </w:numPr>
        <w:spacing w:before="166" w:after="166"/>
        <w:ind w:left="709" w:leftChars="0" w:hanging="709" w:firstLineChars="0"/>
        <w:rPr>
          <w:color w:val="auto"/>
        </w:rPr>
      </w:pPr>
      <w:r>
        <w:rPr>
          <w:color w:val="auto"/>
        </w:rPr>
        <w:t>环境风险评价</w:t>
      </w:r>
      <w:r>
        <w:rPr>
          <w:rFonts w:hint="eastAsia"/>
          <w:color w:val="auto"/>
        </w:rPr>
        <w:t>工作</w:t>
      </w:r>
      <w:r>
        <w:rPr>
          <w:color w:val="auto"/>
        </w:rPr>
        <w:t>等级</w:t>
      </w:r>
    </w:p>
    <w:p w14:paraId="75C5B8C7">
      <w:pPr>
        <w:ind w:firstLine="480"/>
        <w:rPr>
          <w:rFonts w:hint="eastAsia"/>
          <w:color w:val="auto"/>
        </w:rPr>
      </w:pPr>
      <w:r>
        <w:rPr>
          <w:color w:val="auto"/>
        </w:rPr>
        <w:t>根据《建设项目环境风险评价技术导则》（HJ169-2018），</w:t>
      </w:r>
      <w:r>
        <w:rPr>
          <w:rFonts w:hint="eastAsia"/>
          <w:color w:val="auto"/>
        </w:rPr>
        <w:t>环境风险评价工作等级划分为一级、二级、三级。环境风险评价工作等级划分为一级、二级、三级。根据建设项目涉及的物质及工艺系统危险性和所在地的环境敏感性确定环境风险潜势，按照表1确定评价工作等级。风险潜势为Ⅳ及以上，进行一级评价；风险潜势为Ⅲ，进行二级评价；风险潜势为Ⅱ，进行三级评价；风险潜势为I，可开展简单分析。</w:t>
      </w:r>
    </w:p>
    <w:p w14:paraId="49B6F142">
      <w:pPr>
        <w:bidi w:val="0"/>
        <w:rPr>
          <w:rFonts w:hint="eastAsia"/>
          <w:color w:val="auto"/>
        </w:rPr>
      </w:pPr>
      <w:r>
        <w:rPr>
          <w:color w:val="auto"/>
        </w:rPr>
        <w:t>根据《建设项目环境风险评价技术导则》(HJ169-2018)，项目所涉及的环境风险物质主要有乙酸乙酯、异丙醇等物料，计算所涉及的每种危险物质在厂界内的最大存在总量与其在附录 B 中对应临界量的比值 Q。</w:t>
      </w:r>
    </w:p>
    <w:p w14:paraId="36D5A286">
      <w:pPr>
        <w:ind w:firstLine="0" w:firstLineChars="0"/>
        <w:jc w:val="center"/>
        <w:rPr>
          <w:color w:val="auto"/>
        </w:rPr>
      </w:pPr>
      <w:r>
        <w:rPr>
          <w:color w:val="auto"/>
        </w:rPr>
        <w:t>Q=q</w:t>
      </w:r>
      <w:r>
        <w:rPr>
          <w:color w:val="auto"/>
          <w:vertAlign w:val="subscript"/>
        </w:rPr>
        <w:t>1</w:t>
      </w:r>
      <w:r>
        <w:rPr>
          <w:color w:val="auto"/>
        </w:rPr>
        <w:t>/Q</w:t>
      </w:r>
      <w:r>
        <w:rPr>
          <w:color w:val="auto"/>
          <w:vertAlign w:val="subscript"/>
        </w:rPr>
        <w:t>1</w:t>
      </w:r>
      <w:r>
        <w:rPr>
          <w:color w:val="auto"/>
        </w:rPr>
        <w:t>+ q</w:t>
      </w:r>
      <w:r>
        <w:rPr>
          <w:color w:val="auto"/>
          <w:vertAlign w:val="subscript"/>
        </w:rPr>
        <w:t>2</w:t>
      </w:r>
      <w:r>
        <w:rPr>
          <w:color w:val="auto"/>
        </w:rPr>
        <w:t>/Q</w:t>
      </w:r>
      <w:r>
        <w:rPr>
          <w:color w:val="auto"/>
          <w:vertAlign w:val="subscript"/>
        </w:rPr>
        <w:t>2</w:t>
      </w:r>
      <w:r>
        <w:rPr>
          <w:color w:val="auto"/>
        </w:rPr>
        <w:t>+ ….. q</w:t>
      </w:r>
      <w:r>
        <w:rPr>
          <w:color w:val="auto"/>
          <w:vertAlign w:val="subscript"/>
        </w:rPr>
        <w:t>n</w:t>
      </w:r>
      <w:r>
        <w:rPr>
          <w:color w:val="auto"/>
        </w:rPr>
        <w:t>/Q</w:t>
      </w:r>
      <w:r>
        <w:rPr>
          <w:color w:val="auto"/>
          <w:vertAlign w:val="subscript"/>
        </w:rPr>
        <w:t>n</w:t>
      </w:r>
    </w:p>
    <w:p w14:paraId="3DCAABD7">
      <w:pPr>
        <w:ind w:firstLine="480"/>
        <w:rPr>
          <w:color w:val="auto"/>
        </w:rPr>
      </w:pPr>
      <w:r>
        <w:rPr>
          <w:color w:val="auto"/>
        </w:rPr>
        <w:t>式中：q</w:t>
      </w:r>
      <w:r>
        <w:rPr>
          <w:color w:val="auto"/>
          <w:vertAlign w:val="subscript"/>
        </w:rPr>
        <w:t>i</w:t>
      </w:r>
      <w:r>
        <w:rPr>
          <w:color w:val="auto"/>
        </w:rPr>
        <w:t>—每种危险物质存在总量，t。</w:t>
      </w:r>
    </w:p>
    <w:p w14:paraId="0D819F2E">
      <w:pPr>
        <w:ind w:firstLine="1200" w:firstLineChars="500"/>
        <w:rPr>
          <w:color w:val="auto"/>
        </w:rPr>
      </w:pPr>
      <w:r>
        <w:rPr>
          <w:color w:val="auto"/>
        </w:rPr>
        <w:t>Q</w:t>
      </w:r>
      <w:r>
        <w:rPr>
          <w:color w:val="auto"/>
          <w:vertAlign w:val="subscript"/>
        </w:rPr>
        <w:t>i</w:t>
      </w:r>
      <w:r>
        <w:rPr>
          <w:color w:val="auto"/>
        </w:rPr>
        <w:t>—与各危险物质相对应的贮存区的临界量，t。</w:t>
      </w:r>
    </w:p>
    <w:p w14:paraId="5A9C3946">
      <w:pPr>
        <w:ind w:firstLine="480"/>
        <w:rPr>
          <w:color w:val="auto"/>
        </w:rPr>
      </w:pPr>
      <w:r>
        <w:rPr>
          <w:color w:val="auto"/>
        </w:rPr>
        <w:t>当Q＜1时，该项目环境风险潜势为Ⅰ。</w:t>
      </w:r>
    </w:p>
    <w:p w14:paraId="648CEB77">
      <w:pPr>
        <w:ind w:firstLine="480"/>
        <w:jc w:val="left"/>
        <w:rPr>
          <w:color w:val="auto"/>
        </w:rPr>
      </w:pPr>
      <w:r>
        <w:rPr>
          <w:color w:val="auto"/>
        </w:rPr>
        <w:t>当Q≥1时，将Q值划分为：（1）1≤Q＜10；（2）10≤Q＜100；（3）Q≥100。</w:t>
      </w:r>
    </w:p>
    <w:p w14:paraId="39B8D1BD">
      <w:pPr>
        <w:pStyle w:val="62"/>
        <w:numPr>
          <w:ilvl w:val="0"/>
          <w:numId w:val="18"/>
        </w:numPr>
        <w:ind w:left="0" w:leftChars="0" w:firstLine="0"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临界量计算</w:t>
      </w:r>
    </w:p>
    <w:tbl>
      <w:tblPr>
        <w:tblStyle w:val="3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2947"/>
        <w:gridCol w:w="1750"/>
        <w:gridCol w:w="1783"/>
        <w:gridCol w:w="1783"/>
      </w:tblGrid>
      <w:tr w14:paraId="64210E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22" w:type="pct"/>
            <w:vAlign w:val="center"/>
          </w:tcPr>
          <w:p w14:paraId="4B36E071">
            <w:pPr>
              <w:pStyle w:val="69"/>
              <w:rPr>
                <w:color w:val="auto"/>
              </w:rPr>
            </w:pPr>
            <w:r>
              <w:rPr>
                <w:rFonts w:hint="eastAsia"/>
                <w:color w:val="auto"/>
              </w:rPr>
              <w:t>序号</w:t>
            </w:r>
          </w:p>
        </w:tc>
        <w:tc>
          <w:tcPr>
            <w:tcW w:w="1596" w:type="pct"/>
            <w:vAlign w:val="center"/>
          </w:tcPr>
          <w:p w14:paraId="5B6EA8E3">
            <w:pPr>
              <w:pStyle w:val="69"/>
              <w:rPr>
                <w:color w:val="auto"/>
              </w:rPr>
            </w:pPr>
            <w:r>
              <w:rPr>
                <w:rFonts w:hint="eastAsia"/>
                <w:color w:val="auto"/>
              </w:rPr>
              <w:t>物质</w:t>
            </w:r>
          </w:p>
        </w:tc>
        <w:tc>
          <w:tcPr>
            <w:tcW w:w="948" w:type="pct"/>
            <w:vAlign w:val="center"/>
          </w:tcPr>
          <w:p w14:paraId="39559957">
            <w:pPr>
              <w:pStyle w:val="69"/>
              <w:bidi w:val="0"/>
              <w:rPr>
                <w:color w:val="auto"/>
              </w:rPr>
            </w:pPr>
            <w:r>
              <w:rPr>
                <w:rFonts w:hint="eastAsia"/>
                <w:color w:val="auto"/>
              </w:rPr>
              <w:t>最大储存量t</w:t>
            </w:r>
          </w:p>
        </w:tc>
        <w:tc>
          <w:tcPr>
            <w:tcW w:w="966" w:type="pct"/>
            <w:vAlign w:val="center"/>
          </w:tcPr>
          <w:p w14:paraId="198DEDF5">
            <w:pPr>
              <w:pStyle w:val="69"/>
              <w:rPr>
                <w:color w:val="auto"/>
              </w:rPr>
            </w:pPr>
            <w:r>
              <w:rPr>
                <w:rFonts w:hint="eastAsia"/>
                <w:color w:val="auto"/>
              </w:rPr>
              <w:t>临界量t</w:t>
            </w:r>
          </w:p>
        </w:tc>
        <w:tc>
          <w:tcPr>
            <w:tcW w:w="966" w:type="pct"/>
            <w:vAlign w:val="center"/>
          </w:tcPr>
          <w:p w14:paraId="7907A7EE">
            <w:pPr>
              <w:pStyle w:val="69"/>
              <w:rPr>
                <w:color w:val="auto"/>
              </w:rPr>
            </w:pPr>
            <w:r>
              <w:rPr>
                <w:rFonts w:hint="eastAsia"/>
                <w:color w:val="auto"/>
              </w:rPr>
              <w:t>Q</w:t>
            </w:r>
          </w:p>
        </w:tc>
      </w:tr>
      <w:tr w14:paraId="3B5E64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78F3D0FA">
            <w:pPr>
              <w:pStyle w:val="59"/>
              <w:numPr>
                <w:ilvl w:val="0"/>
                <w:numId w:val="19"/>
              </w:numPr>
              <w:bidi w:val="0"/>
              <w:ind w:left="425" w:leftChars="0" w:hanging="425" w:firstLineChars="0"/>
              <w:rPr>
                <w:color w:val="auto"/>
              </w:rPr>
            </w:pPr>
          </w:p>
        </w:tc>
        <w:tc>
          <w:tcPr>
            <w:tcW w:w="1596" w:type="pct"/>
            <w:vAlign w:val="center"/>
          </w:tcPr>
          <w:p w14:paraId="1A33AB68">
            <w:pPr>
              <w:pStyle w:val="59"/>
              <w:bidi w:val="0"/>
              <w:rPr>
                <w:color w:val="auto"/>
              </w:rPr>
            </w:pPr>
            <w:r>
              <w:rPr>
                <w:rFonts w:hint="eastAsia"/>
                <w:color w:val="auto"/>
                <w:lang w:val="en-US" w:eastAsia="zh-CN"/>
              </w:rPr>
              <w:t>乙酸乙酯</w:t>
            </w:r>
          </w:p>
        </w:tc>
        <w:tc>
          <w:tcPr>
            <w:tcW w:w="948" w:type="pct"/>
            <w:vAlign w:val="center"/>
          </w:tcPr>
          <w:p w14:paraId="4A05B08A">
            <w:pPr>
              <w:pStyle w:val="59"/>
              <w:bidi w:val="0"/>
              <w:rPr>
                <w:color w:val="auto"/>
              </w:rPr>
            </w:pPr>
            <w:r>
              <w:rPr>
                <w:rFonts w:hint="default"/>
                <w:color w:val="auto"/>
                <w:lang w:val="en-US" w:eastAsia="zh-CN"/>
              </w:rPr>
              <w:t xml:space="preserve">2.520 </w:t>
            </w:r>
          </w:p>
        </w:tc>
        <w:tc>
          <w:tcPr>
            <w:tcW w:w="966" w:type="pct"/>
            <w:vAlign w:val="center"/>
          </w:tcPr>
          <w:p w14:paraId="622FDE13">
            <w:pPr>
              <w:pStyle w:val="59"/>
              <w:bidi w:val="0"/>
              <w:rPr>
                <w:color w:val="auto"/>
              </w:rPr>
            </w:pPr>
            <w:r>
              <w:rPr>
                <w:rFonts w:hint="eastAsia"/>
                <w:color w:val="auto"/>
                <w:lang w:val="en-US" w:eastAsia="zh-CN"/>
              </w:rPr>
              <w:t>10</w:t>
            </w:r>
          </w:p>
        </w:tc>
        <w:tc>
          <w:tcPr>
            <w:tcW w:w="966" w:type="pct"/>
            <w:vAlign w:val="center"/>
          </w:tcPr>
          <w:p w14:paraId="75865B3A">
            <w:pPr>
              <w:pStyle w:val="59"/>
              <w:bidi w:val="0"/>
              <w:rPr>
                <w:color w:val="auto"/>
              </w:rPr>
            </w:pPr>
            <w:r>
              <w:rPr>
                <w:rFonts w:hint="eastAsia"/>
                <w:color w:val="auto"/>
                <w:lang w:val="en-US" w:eastAsia="zh-CN"/>
              </w:rPr>
              <w:t xml:space="preserve">0.2520 </w:t>
            </w:r>
          </w:p>
        </w:tc>
      </w:tr>
      <w:tr w14:paraId="686B5B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788D57BD">
            <w:pPr>
              <w:pStyle w:val="59"/>
              <w:numPr>
                <w:ilvl w:val="0"/>
                <w:numId w:val="19"/>
              </w:numPr>
              <w:bidi w:val="0"/>
              <w:ind w:left="425" w:leftChars="0" w:hanging="425" w:firstLineChars="0"/>
              <w:rPr>
                <w:color w:val="auto"/>
              </w:rPr>
            </w:pPr>
          </w:p>
        </w:tc>
        <w:tc>
          <w:tcPr>
            <w:tcW w:w="1596" w:type="pct"/>
            <w:vAlign w:val="center"/>
          </w:tcPr>
          <w:p w14:paraId="6FF72526">
            <w:pPr>
              <w:pStyle w:val="59"/>
              <w:bidi w:val="0"/>
              <w:rPr>
                <w:color w:val="auto"/>
              </w:rPr>
            </w:pPr>
            <w:r>
              <w:rPr>
                <w:rFonts w:hint="eastAsia"/>
                <w:color w:val="auto"/>
                <w:lang w:val="en-US" w:eastAsia="zh-CN"/>
              </w:rPr>
              <w:t>异丙醇</w:t>
            </w:r>
          </w:p>
        </w:tc>
        <w:tc>
          <w:tcPr>
            <w:tcW w:w="948" w:type="pct"/>
            <w:vAlign w:val="center"/>
          </w:tcPr>
          <w:p w14:paraId="11E1DAF2">
            <w:pPr>
              <w:pStyle w:val="59"/>
              <w:bidi w:val="0"/>
              <w:rPr>
                <w:color w:val="auto"/>
              </w:rPr>
            </w:pPr>
            <w:r>
              <w:rPr>
                <w:rFonts w:hint="default"/>
                <w:color w:val="auto"/>
                <w:lang w:val="en-US" w:eastAsia="zh-CN"/>
              </w:rPr>
              <w:t xml:space="preserve">1.130 </w:t>
            </w:r>
          </w:p>
        </w:tc>
        <w:tc>
          <w:tcPr>
            <w:tcW w:w="966" w:type="pct"/>
            <w:vAlign w:val="center"/>
          </w:tcPr>
          <w:p w14:paraId="4C2BFF43">
            <w:pPr>
              <w:pStyle w:val="59"/>
              <w:bidi w:val="0"/>
              <w:rPr>
                <w:color w:val="auto"/>
              </w:rPr>
            </w:pPr>
            <w:r>
              <w:rPr>
                <w:rFonts w:hint="eastAsia"/>
                <w:color w:val="auto"/>
                <w:lang w:val="en-US" w:eastAsia="zh-CN"/>
              </w:rPr>
              <w:t>10</w:t>
            </w:r>
          </w:p>
        </w:tc>
        <w:tc>
          <w:tcPr>
            <w:tcW w:w="966" w:type="pct"/>
            <w:vAlign w:val="center"/>
          </w:tcPr>
          <w:p w14:paraId="2AC61422">
            <w:pPr>
              <w:pStyle w:val="59"/>
              <w:bidi w:val="0"/>
              <w:rPr>
                <w:color w:val="auto"/>
              </w:rPr>
            </w:pPr>
            <w:r>
              <w:rPr>
                <w:rFonts w:hint="eastAsia"/>
                <w:color w:val="auto"/>
                <w:lang w:val="en-US" w:eastAsia="zh-CN"/>
              </w:rPr>
              <w:t xml:space="preserve">0.1130 </w:t>
            </w:r>
          </w:p>
        </w:tc>
      </w:tr>
      <w:tr w14:paraId="655DF4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07D32899">
            <w:pPr>
              <w:pStyle w:val="59"/>
              <w:numPr>
                <w:ilvl w:val="0"/>
                <w:numId w:val="19"/>
              </w:numPr>
              <w:bidi w:val="0"/>
              <w:ind w:left="425" w:leftChars="0" w:hanging="425" w:firstLineChars="0"/>
              <w:rPr>
                <w:color w:val="auto"/>
              </w:rPr>
            </w:pPr>
          </w:p>
        </w:tc>
        <w:tc>
          <w:tcPr>
            <w:tcW w:w="1596" w:type="pct"/>
            <w:vAlign w:val="center"/>
          </w:tcPr>
          <w:p w14:paraId="3D8E5FC3">
            <w:pPr>
              <w:pStyle w:val="59"/>
              <w:bidi w:val="0"/>
              <w:rPr>
                <w:color w:val="auto"/>
              </w:rPr>
            </w:pPr>
            <w:r>
              <w:rPr>
                <w:rFonts w:hint="eastAsia"/>
                <w:color w:val="auto"/>
                <w:lang w:val="en-US" w:eastAsia="zh-CN"/>
              </w:rPr>
              <w:t>甲烷</w:t>
            </w:r>
          </w:p>
        </w:tc>
        <w:tc>
          <w:tcPr>
            <w:tcW w:w="948" w:type="pct"/>
            <w:vAlign w:val="center"/>
          </w:tcPr>
          <w:p w14:paraId="0B238D56">
            <w:pPr>
              <w:pStyle w:val="59"/>
              <w:bidi w:val="0"/>
              <w:rPr>
                <w:rFonts w:hint="default"/>
                <w:color w:val="auto"/>
                <w:lang w:val="en-US"/>
              </w:rPr>
            </w:pPr>
            <w:r>
              <w:rPr>
                <w:rFonts w:hint="default"/>
                <w:color w:val="auto"/>
                <w:lang w:val="en-US" w:eastAsia="zh-CN"/>
              </w:rPr>
              <w:t xml:space="preserve">0.106 </w:t>
            </w:r>
          </w:p>
        </w:tc>
        <w:tc>
          <w:tcPr>
            <w:tcW w:w="966" w:type="pct"/>
            <w:vAlign w:val="center"/>
          </w:tcPr>
          <w:p w14:paraId="5435BA0B">
            <w:pPr>
              <w:pStyle w:val="59"/>
              <w:bidi w:val="0"/>
              <w:rPr>
                <w:color w:val="auto"/>
              </w:rPr>
            </w:pPr>
            <w:r>
              <w:rPr>
                <w:rFonts w:hint="eastAsia"/>
                <w:color w:val="auto"/>
                <w:lang w:val="en-US" w:eastAsia="zh-CN"/>
              </w:rPr>
              <w:t>10</w:t>
            </w:r>
          </w:p>
        </w:tc>
        <w:tc>
          <w:tcPr>
            <w:tcW w:w="966" w:type="pct"/>
            <w:vAlign w:val="center"/>
          </w:tcPr>
          <w:p w14:paraId="3C33921A">
            <w:pPr>
              <w:pStyle w:val="59"/>
              <w:bidi w:val="0"/>
              <w:rPr>
                <w:color w:val="auto"/>
              </w:rPr>
            </w:pPr>
            <w:r>
              <w:rPr>
                <w:rFonts w:hint="eastAsia"/>
                <w:color w:val="auto"/>
                <w:lang w:val="en-US" w:eastAsia="zh-CN"/>
              </w:rPr>
              <w:t xml:space="preserve">0.0106 </w:t>
            </w:r>
          </w:p>
        </w:tc>
      </w:tr>
      <w:tr w14:paraId="6A9251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448C3D41">
            <w:pPr>
              <w:pStyle w:val="59"/>
              <w:numPr>
                <w:ilvl w:val="0"/>
                <w:numId w:val="19"/>
              </w:numPr>
              <w:bidi w:val="0"/>
              <w:ind w:left="425" w:leftChars="0" w:hanging="425" w:firstLineChars="0"/>
              <w:rPr>
                <w:color w:val="auto"/>
              </w:rPr>
            </w:pPr>
          </w:p>
        </w:tc>
        <w:tc>
          <w:tcPr>
            <w:tcW w:w="1596" w:type="pct"/>
            <w:vAlign w:val="center"/>
          </w:tcPr>
          <w:p w14:paraId="5CB8BD10">
            <w:pPr>
              <w:pStyle w:val="59"/>
              <w:bidi w:val="0"/>
              <w:rPr>
                <w:color w:val="auto"/>
              </w:rPr>
            </w:pPr>
            <w:r>
              <w:rPr>
                <w:rFonts w:hint="eastAsia"/>
                <w:color w:val="auto"/>
                <w:lang w:val="en-US" w:eastAsia="zh-CN"/>
              </w:rPr>
              <w:t>油类物质</w:t>
            </w:r>
          </w:p>
        </w:tc>
        <w:tc>
          <w:tcPr>
            <w:tcW w:w="948" w:type="pct"/>
            <w:vAlign w:val="center"/>
          </w:tcPr>
          <w:p w14:paraId="2DE890CC">
            <w:pPr>
              <w:pStyle w:val="59"/>
              <w:bidi w:val="0"/>
              <w:rPr>
                <w:color w:val="auto"/>
              </w:rPr>
            </w:pPr>
            <w:r>
              <w:rPr>
                <w:rFonts w:hint="default"/>
                <w:color w:val="auto"/>
                <w:lang w:val="en-US" w:eastAsia="zh-CN"/>
              </w:rPr>
              <w:t xml:space="preserve">0.596 </w:t>
            </w:r>
          </w:p>
        </w:tc>
        <w:tc>
          <w:tcPr>
            <w:tcW w:w="966" w:type="pct"/>
            <w:vAlign w:val="center"/>
          </w:tcPr>
          <w:p w14:paraId="7F3BED9A">
            <w:pPr>
              <w:pStyle w:val="59"/>
              <w:bidi w:val="0"/>
              <w:rPr>
                <w:color w:val="auto"/>
              </w:rPr>
            </w:pPr>
            <w:r>
              <w:rPr>
                <w:rFonts w:hint="eastAsia"/>
                <w:color w:val="auto"/>
                <w:lang w:val="en-US" w:eastAsia="zh-CN"/>
              </w:rPr>
              <w:t>2500</w:t>
            </w:r>
          </w:p>
        </w:tc>
        <w:tc>
          <w:tcPr>
            <w:tcW w:w="966" w:type="pct"/>
            <w:vAlign w:val="center"/>
          </w:tcPr>
          <w:p w14:paraId="35074543">
            <w:pPr>
              <w:pStyle w:val="59"/>
              <w:bidi w:val="0"/>
              <w:rPr>
                <w:color w:val="auto"/>
              </w:rPr>
            </w:pPr>
            <w:r>
              <w:rPr>
                <w:rFonts w:hint="eastAsia"/>
                <w:color w:val="auto"/>
                <w:lang w:val="en-US" w:eastAsia="zh-CN"/>
              </w:rPr>
              <w:t xml:space="preserve">0.0002 </w:t>
            </w:r>
          </w:p>
        </w:tc>
      </w:tr>
      <w:tr w14:paraId="72FBD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58CC11B6">
            <w:pPr>
              <w:pStyle w:val="59"/>
              <w:bidi w:val="0"/>
              <w:rPr>
                <w:color w:val="auto"/>
              </w:rPr>
            </w:pPr>
          </w:p>
        </w:tc>
        <w:tc>
          <w:tcPr>
            <w:tcW w:w="1596" w:type="pct"/>
            <w:vAlign w:val="center"/>
          </w:tcPr>
          <w:p w14:paraId="41E8300B">
            <w:pPr>
              <w:pStyle w:val="59"/>
              <w:bidi w:val="0"/>
              <w:rPr>
                <w:color w:val="auto"/>
              </w:rPr>
            </w:pPr>
            <w:r>
              <w:rPr>
                <w:rFonts w:hint="eastAsia"/>
                <w:color w:val="auto"/>
                <w:lang w:val="en-US" w:eastAsia="zh-CN"/>
              </w:rPr>
              <w:t>合计</w:t>
            </w:r>
          </w:p>
        </w:tc>
        <w:tc>
          <w:tcPr>
            <w:tcW w:w="948" w:type="pct"/>
            <w:vAlign w:val="center"/>
          </w:tcPr>
          <w:p w14:paraId="63270AAE">
            <w:pPr>
              <w:pStyle w:val="59"/>
              <w:bidi w:val="0"/>
              <w:rPr>
                <w:color w:val="auto"/>
              </w:rPr>
            </w:pPr>
          </w:p>
        </w:tc>
        <w:tc>
          <w:tcPr>
            <w:tcW w:w="966" w:type="pct"/>
            <w:vAlign w:val="center"/>
          </w:tcPr>
          <w:p w14:paraId="4368991F">
            <w:pPr>
              <w:pStyle w:val="59"/>
              <w:bidi w:val="0"/>
              <w:rPr>
                <w:color w:val="auto"/>
              </w:rPr>
            </w:pPr>
          </w:p>
        </w:tc>
        <w:tc>
          <w:tcPr>
            <w:tcW w:w="966" w:type="pct"/>
            <w:vAlign w:val="center"/>
          </w:tcPr>
          <w:p w14:paraId="7E585CB3">
            <w:pPr>
              <w:pStyle w:val="59"/>
              <w:bidi w:val="0"/>
              <w:rPr>
                <w:color w:val="auto"/>
              </w:rPr>
            </w:pPr>
            <w:r>
              <w:rPr>
                <w:rFonts w:hint="eastAsia"/>
                <w:color w:val="auto"/>
                <w:lang w:val="en-US" w:eastAsia="zh-CN"/>
              </w:rPr>
              <w:t xml:space="preserve">0.3757 </w:t>
            </w:r>
          </w:p>
        </w:tc>
      </w:tr>
    </w:tbl>
    <w:p w14:paraId="7890C8E7">
      <w:pPr>
        <w:ind w:firstLine="480"/>
        <w:rPr>
          <w:rFonts w:hint="eastAsia" w:eastAsia="宋体"/>
          <w:color w:val="auto"/>
          <w:lang w:eastAsia="zh-CN"/>
        </w:rPr>
      </w:pPr>
      <w:r>
        <w:rPr>
          <w:rFonts w:hint="eastAsia"/>
          <w:color w:val="auto"/>
        </w:rPr>
        <w:t>项目</w:t>
      </w:r>
      <w:r>
        <w:rPr>
          <w:color w:val="auto"/>
        </w:rPr>
        <w:t>Q＜1，项目环境风险潜势为Ⅰ</w:t>
      </w:r>
      <w:r>
        <w:rPr>
          <w:rFonts w:hint="eastAsia"/>
          <w:color w:val="auto"/>
          <w:lang w:eastAsia="zh-CN"/>
        </w:rPr>
        <w:t>，</w:t>
      </w:r>
      <w:r>
        <w:rPr>
          <w:rFonts w:hint="eastAsia"/>
          <w:color w:val="auto"/>
        </w:rPr>
        <w:t>可开展简单分析</w:t>
      </w:r>
      <w:r>
        <w:rPr>
          <w:rFonts w:hint="eastAsia"/>
          <w:color w:val="auto"/>
          <w:lang w:eastAsia="zh-CN"/>
        </w:rPr>
        <w:t>。</w:t>
      </w:r>
    </w:p>
    <w:p w14:paraId="137DABA0">
      <w:pPr>
        <w:pStyle w:val="64"/>
        <w:numPr>
          <w:ilvl w:val="2"/>
          <w:numId w:val="8"/>
        </w:numPr>
        <w:spacing w:before="166" w:after="166"/>
        <w:ind w:left="709" w:leftChars="0" w:hanging="709" w:firstLineChars="0"/>
        <w:rPr>
          <w:color w:val="auto"/>
        </w:rPr>
      </w:pPr>
      <w:bookmarkStart w:id="41" w:name="_Toc33697713"/>
      <w:bookmarkStart w:id="42" w:name="_Toc17042727"/>
      <w:bookmarkStart w:id="43" w:name="_Toc105736108"/>
      <w:bookmarkStart w:id="44" w:name="_Toc342748473"/>
      <w:bookmarkStart w:id="45" w:name="_Toc283585971"/>
      <w:bookmarkStart w:id="46" w:name="_Toc9811"/>
      <w:bookmarkStart w:id="47" w:name="_Toc38683769"/>
      <w:bookmarkStart w:id="48" w:name="_Toc528594403"/>
      <w:bookmarkStart w:id="49" w:name="_Toc113414067"/>
      <w:bookmarkStart w:id="50" w:name="_Toc528798505"/>
      <w:bookmarkStart w:id="51" w:name="_Toc269723257"/>
      <w:bookmarkStart w:id="52" w:name="_Toc35773159"/>
      <w:bookmarkStart w:id="53" w:name="_Toc240680696"/>
      <w:r>
        <w:rPr>
          <w:rFonts w:hint="eastAsia"/>
          <w:color w:val="auto"/>
        </w:rPr>
        <w:t>土壤环境影响评价工作等级</w:t>
      </w:r>
    </w:p>
    <w:p w14:paraId="2FF45001">
      <w:pPr>
        <w:ind w:firstLine="480"/>
        <w:rPr>
          <w:rFonts w:hint="eastAsia"/>
          <w:color w:val="auto"/>
        </w:rPr>
      </w:pPr>
      <w:r>
        <w:rPr>
          <w:rFonts w:hint="eastAsia"/>
          <w:color w:val="auto"/>
        </w:rPr>
        <w:t>根据《环境影响评价技术导则 土壤环境（试行）》（HJ964-2018）附录A土壤环境影响评价项目类别，</w:t>
      </w:r>
      <w:r>
        <w:rPr>
          <w:rFonts w:ascii="宋体" w:hAnsi="宋体" w:eastAsia="宋体" w:cs="宋体"/>
          <w:spacing w:val="2"/>
          <w:sz w:val="24"/>
          <w:szCs w:val="24"/>
        </w:rPr>
        <w:t>本项目为印刷行业，不属于附表</w:t>
      </w:r>
      <w:r>
        <w:rPr>
          <w:rFonts w:ascii="Times New Roman" w:hAnsi="Times New Roman" w:eastAsia="Times New Roman" w:cs="Times New Roman"/>
          <w:spacing w:val="1"/>
          <w:sz w:val="24"/>
          <w:szCs w:val="24"/>
        </w:rPr>
        <w:t>A.1</w:t>
      </w:r>
      <w:r>
        <w:rPr>
          <w:rFonts w:ascii="宋体" w:hAnsi="宋体" w:eastAsia="宋体" w:cs="宋体"/>
          <w:spacing w:val="1"/>
          <w:sz w:val="24"/>
          <w:szCs w:val="24"/>
        </w:rPr>
        <w:t>中明确的</w:t>
      </w:r>
      <w:r>
        <w:rPr>
          <w:rFonts w:ascii="Times New Roman" w:hAnsi="Times New Roman" w:eastAsia="Times New Roman" w:cs="Times New Roman"/>
          <w:spacing w:val="1"/>
          <w:sz w:val="24"/>
          <w:szCs w:val="24"/>
        </w:rPr>
        <w:t>I</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Ⅱ</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Ⅲ</w:t>
      </w:r>
      <w:r>
        <w:rPr>
          <w:rFonts w:ascii="Times New Roman" w:hAnsi="Times New Roman" w:eastAsia="Times New Roman" w:cs="Times New Roman"/>
          <w:spacing w:val="41"/>
          <w:w w:val="101"/>
          <w:sz w:val="24"/>
          <w:szCs w:val="24"/>
        </w:rPr>
        <w:t xml:space="preserve"> </w:t>
      </w:r>
      <w:r>
        <w:rPr>
          <w:rFonts w:ascii="宋体" w:hAnsi="宋体" w:eastAsia="宋体" w:cs="宋体"/>
          <w:spacing w:val="1"/>
          <w:sz w:val="24"/>
          <w:szCs w:val="24"/>
        </w:rPr>
        <w:t>类项目，根据本项目土壤环境影响源、影响途径、影响因</w:t>
      </w:r>
      <w:r>
        <w:rPr>
          <w:rFonts w:ascii="宋体" w:hAnsi="宋体" w:eastAsia="宋体" w:cs="宋体"/>
          <w:sz w:val="24"/>
          <w:szCs w:val="24"/>
        </w:rPr>
        <w:t>子的识别结果，参照相似项目类别“制造业-设备制造</w:t>
      </w:r>
      <w:r>
        <w:rPr>
          <w:rFonts w:ascii="宋体" w:hAnsi="宋体" w:eastAsia="宋体" w:cs="宋体"/>
          <w:spacing w:val="-1"/>
          <w:sz w:val="24"/>
          <w:szCs w:val="24"/>
        </w:rPr>
        <w:t>、金属制品、汽车制造及其</w:t>
      </w:r>
      <w:r>
        <w:rPr>
          <w:rFonts w:ascii="宋体" w:hAnsi="宋体" w:eastAsia="宋体" w:cs="宋体"/>
          <w:spacing w:val="-4"/>
          <w:sz w:val="24"/>
          <w:szCs w:val="24"/>
        </w:rPr>
        <w:t>他用品制造-其他”,确定本项目为Ⅲ类项目。</w:t>
      </w:r>
    </w:p>
    <w:p w14:paraId="579ADBB1">
      <w:pPr>
        <w:pStyle w:val="62"/>
        <w:numPr>
          <w:ilvl w:val="0"/>
          <w:numId w:val="18"/>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污染影响型敏感程度分级表</w:t>
      </w:r>
    </w:p>
    <w:tbl>
      <w:tblPr>
        <w:tblStyle w:val="38"/>
        <w:tblW w:w="9231"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971"/>
        <w:gridCol w:w="7260"/>
      </w:tblGrid>
      <w:tr w14:paraId="249361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1971" w:type="dxa"/>
            <w:tcBorders>
              <w:bottom w:val="single" w:color="auto" w:sz="4" w:space="0"/>
              <w:right w:val="single" w:color="auto" w:sz="4" w:space="0"/>
            </w:tcBorders>
            <w:vAlign w:val="center"/>
          </w:tcPr>
          <w:p w14:paraId="1CE6CD06">
            <w:pPr>
              <w:pStyle w:val="69"/>
              <w:rPr>
                <w:color w:val="auto"/>
              </w:rPr>
            </w:pPr>
            <w:r>
              <w:rPr>
                <w:rFonts w:hint="eastAsia"/>
                <w:color w:val="auto"/>
              </w:rPr>
              <w:t>敏感程度</w:t>
            </w:r>
          </w:p>
        </w:tc>
        <w:tc>
          <w:tcPr>
            <w:tcW w:w="7260" w:type="dxa"/>
            <w:tcBorders>
              <w:left w:val="single" w:color="auto" w:sz="4" w:space="0"/>
              <w:bottom w:val="single" w:color="auto" w:sz="4" w:space="0"/>
            </w:tcBorders>
            <w:vAlign w:val="center"/>
          </w:tcPr>
          <w:p w14:paraId="4A15DCA1">
            <w:pPr>
              <w:pStyle w:val="69"/>
              <w:rPr>
                <w:color w:val="auto"/>
              </w:rPr>
            </w:pPr>
            <w:r>
              <w:rPr>
                <w:rFonts w:hint="eastAsia"/>
                <w:color w:val="auto"/>
              </w:rPr>
              <w:t>判别依据</w:t>
            </w:r>
          </w:p>
        </w:tc>
      </w:tr>
      <w:tr w14:paraId="009D00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971" w:type="dxa"/>
            <w:tcBorders>
              <w:top w:val="single" w:color="auto" w:sz="4" w:space="0"/>
              <w:bottom w:val="single" w:color="auto" w:sz="4" w:space="0"/>
              <w:right w:val="single" w:color="auto" w:sz="4" w:space="0"/>
            </w:tcBorders>
            <w:vAlign w:val="center"/>
          </w:tcPr>
          <w:p w14:paraId="37101C1F">
            <w:pPr>
              <w:pStyle w:val="69"/>
              <w:rPr>
                <w:color w:val="auto"/>
              </w:rPr>
            </w:pPr>
            <w:r>
              <w:rPr>
                <w:rFonts w:hint="eastAsia"/>
                <w:color w:val="auto"/>
              </w:rPr>
              <w:t>敏感</w:t>
            </w:r>
          </w:p>
        </w:tc>
        <w:tc>
          <w:tcPr>
            <w:tcW w:w="7260" w:type="dxa"/>
            <w:tcBorders>
              <w:top w:val="single" w:color="auto" w:sz="4" w:space="0"/>
              <w:left w:val="single" w:color="auto" w:sz="4" w:space="0"/>
              <w:bottom w:val="single" w:color="auto" w:sz="4" w:space="0"/>
            </w:tcBorders>
            <w:vAlign w:val="center"/>
          </w:tcPr>
          <w:p w14:paraId="7789F12C">
            <w:pPr>
              <w:pStyle w:val="69"/>
              <w:rPr>
                <w:color w:val="auto"/>
              </w:rPr>
            </w:pPr>
            <w:r>
              <w:rPr>
                <w:rFonts w:hint="eastAsia"/>
                <w:color w:val="auto"/>
              </w:rPr>
              <w:t>建设项目周边存在耕地、园地、牧草地、饮用水水源地或居民区、学校、医院、疗养院、养老院等土壤环境敏感目标的</w:t>
            </w:r>
          </w:p>
        </w:tc>
      </w:tr>
      <w:tr w14:paraId="54F492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971" w:type="dxa"/>
            <w:tcBorders>
              <w:top w:val="single" w:color="auto" w:sz="4" w:space="0"/>
              <w:bottom w:val="single" w:color="auto" w:sz="4" w:space="0"/>
              <w:right w:val="single" w:color="auto" w:sz="4" w:space="0"/>
            </w:tcBorders>
            <w:vAlign w:val="center"/>
          </w:tcPr>
          <w:p w14:paraId="28A76461">
            <w:pPr>
              <w:pStyle w:val="69"/>
              <w:rPr>
                <w:color w:val="auto"/>
              </w:rPr>
            </w:pPr>
            <w:r>
              <w:rPr>
                <w:rFonts w:hint="eastAsia"/>
                <w:color w:val="auto"/>
              </w:rPr>
              <w:t>较敏感</w:t>
            </w:r>
          </w:p>
        </w:tc>
        <w:tc>
          <w:tcPr>
            <w:tcW w:w="7260" w:type="dxa"/>
            <w:tcBorders>
              <w:top w:val="single" w:color="auto" w:sz="4" w:space="0"/>
              <w:left w:val="single" w:color="auto" w:sz="4" w:space="0"/>
              <w:bottom w:val="single" w:color="auto" w:sz="4" w:space="0"/>
            </w:tcBorders>
            <w:vAlign w:val="center"/>
          </w:tcPr>
          <w:p w14:paraId="000C635F">
            <w:pPr>
              <w:pStyle w:val="69"/>
              <w:rPr>
                <w:color w:val="auto"/>
              </w:rPr>
            </w:pPr>
            <w:r>
              <w:rPr>
                <w:rFonts w:hint="eastAsia"/>
                <w:color w:val="auto"/>
              </w:rPr>
              <w:t>建设项目周边存在其他土壤环境敏感目标的</w:t>
            </w:r>
          </w:p>
        </w:tc>
      </w:tr>
      <w:tr w14:paraId="432FE5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971" w:type="dxa"/>
            <w:tcBorders>
              <w:top w:val="single" w:color="auto" w:sz="4" w:space="0"/>
              <w:right w:val="single" w:color="auto" w:sz="4" w:space="0"/>
            </w:tcBorders>
            <w:vAlign w:val="center"/>
          </w:tcPr>
          <w:p w14:paraId="6A6E4C65">
            <w:pPr>
              <w:pStyle w:val="69"/>
              <w:rPr>
                <w:color w:val="auto"/>
              </w:rPr>
            </w:pPr>
            <w:r>
              <w:rPr>
                <w:rFonts w:hint="eastAsia"/>
                <w:color w:val="auto"/>
              </w:rPr>
              <w:t>不敏感</w:t>
            </w:r>
          </w:p>
        </w:tc>
        <w:tc>
          <w:tcPr>
            <w:tcW w:w="7260" w:type="dxa"/>
            <w:tcBorders>
              <w:top w:val="single" w:color="auto" w:sz="4" w:space="0"/>
              <w:left w:val="single" w:color="auto" w:sz="4" w:space="0"/>
            </w:tcBorders>
            <w:vAlign w:val="center"/>
          </w:tcPr>
          <w:p w14:paraId="27DCF92A">
            <w:pPr>
              <w:pStyle w:val="69"/>
              <w:rPr>
                <w:color w:val="auto"/>
              </w:rPr>
            </w:pPr>
            <w:r>
              <w:rPr>
                <w:rFonts w:hint="eastAsia"/>
                <w:color w:val="auto"/>
              </w:rPr>
              <w:t>其他情况</w:t>
            </w:r>
          </w:p>
        </w:tc>
      </w:tr>
    </w:tbl>
    <w:p w14:paraId="6923081B">
      <w:pPr>
        <w:ind w:firstLine="480"/>
        <w:rPr>
          <w:color w:val="auto"/>
        </w:rPr>
      </w:pPr>
      <w:r>
        <w:rPr>
          <w:rFonts w:hint="eastAsia"/>
          <w:color w:val="auto"/>
        </w:rPr>
        <w:t>项目占地范围内为工业用地，项目</w:t>
      </w:r>
      <w:r>
        <w:rPr>
          <w:rFonts w:ascii="宋体" w:hAnsi="宋体" w:eastAsia="宋体" w:cs="宋体"/>
          <w:spacing w:val="-1"/>
          <w:sz w:val="24"/>
          <w:szCs w:val="24"/>
        </w:rPr>
        <w:t>周边</w:t>
      </w:r>
      <w:r>
        <w:rPr>
          <w:rFonts w:hint="eastAsia" w:ascii="宋体" w:hAnsi="宋体" w:eastAsia="宋体" w:cs="宋体"/>
          <w:spacing w:val="-1"/>
          <w:sz w:val="24"/>
          <w:szCs w:val="24"/>
          <w:lang w:val="en-US" w:eastAsia="zh-CN"/>
        </w:rPr>
        <w:t>100m范围内</w:t>
      </w:r>
      <w:r>
        <w:rPr>
          <w:rFonts w:ascii="宋体" w:hAnsi="宋体" w:eastAsia="宋体" w:cs="宋体"/>
          <w:spacing w:val="-1"/>
          <w:sz w:val="24"/>
          <w:szCs w:val="24"/>
        </w:rPr>
        <w:t>无耕地、园地、牧草地、饮</w:t>
      </w:r>
      <w:r>
        <w:rPr>
          <w:rFonts w:ascii="宋体" w:hAnsi="宋体" w:eastAsia="宋体" w:cs="宋体"/>
          <w:spacing w:val="5"/>
          <w:sz w:val="24"/>
          <w:szCs w:val="24"/>
        </w:rPr>
        <w:t>用水源地或居民区、学校、医院、疗养院、养</w:t>
      </w:r>
      <w:r>
        <w:rPr>
          <w:rFonts w:ascii="宋体" w:hAnsi="宋体" w:eastAsia="宋体" w:cs="宋体"/>
          <w:spacing w:val="4"/>
          <w:sz w:val="24"/>
          <w:szCs w:val="24"/>
        </w:rPr>
        <w:t>老院等土壤环境敏感目标，</w:t>
      </w:r>
      <w:r>
        <w:rPr>
          <w:rFonts w:hint="eastAsia"/>
          <w:color w:val="auto"/>
        </w:rPr>
        <w:t>属于不敏感。</w:t>
      </w:r>
    </w:p>
    <w:p w14:paraId="125B4279">
      <w:pPr>
        <w:ind w:firstLine="480"/>
        <w:rPr>
          <w:color w:val="auto"/>
        </w:rPr>
      </w:pPr>
      <w:r>
        <w:rPr>
          <w:rFonts w:hint="eastAsia"/>
          <w:color w:val="auto"/>
        </w:rPr>
        <w:t>项目占地面积小于5公顷，属于小型项目，根据《环境影响评价技术导则 土壤环境（试行）》（HJ964-2018）表4，</w:t>
      </w:r>
      <w:r>
        <w:rPr>
          <w:rFonts w:ascii="宋体" w:hAnsi="宋体" w:eastAsia="宋体" w:cs="宋体"/>
          <w:spacing w:val="5"/>
          <w:sz w:val="24"/>
          <w:szCs w:val="24"/>
        </w:rPr>
        <w:t>可不开展土壤环境影响评价工作</w:t>
      </w:r>
      <w:r>
        <w:rPr>
          <w:rFonts w:hint="eastAsia"/>
          <w:color w:val="auto"/>
        </w:rPr>
        <w:t>。</w:t>
      </w:r>
    </w:p>
    <w:p w14:paraId="1AA1B653">
      <w:pPr>
        <w:pStyle w:val="62"/>
        <w:numPr>
          <w:ilvl w:val="0"/>
          <w:numId w:val="18"/>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 xml:space="preserve"> 污染影响型评价工作等级划分表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774"/>
        <w:gridCol w:w="773"/>
        <w:gridCol w:w="775"/>
        <w:gridCol w:w="775"/>
        <w:gridCol w:w="774"/>
        <w:gridCol w:w="772"/>
        <w:gridCol w:w="774"/>
        <w:gridCol w:w="775"/>
        <w:gridCol w:w="819"/>
      </w:tblGrid>
      <w:tr w14:paraId="7C07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277" w:type="dxa"/>
            <w:tcBorders>
              <w:top w:val="single" w:color="auto" w:sz="12" w:space="0"/>
              <w:left w:val="nil"/>
              <w:tl2br w:val="single" w:color="auto" w:sz="4" w:space="0"/>
            </w:tcBorders>
            <w:noWrap w:val="0"/>
            <w:vAlign w:val="center"/>
          </w:tcPr>
          <w:p w14:paraId="3437F33F">
            <w:pPr>
              <w:pStyle w:val="69"/>
              <w:bidi w:val="0"/>
              <w:jc w:val="right"/>
              <w:rPr>
                <w:rFonts w:hint="default"/>
                <w:color w:val="auto"/>
              </w:rPr>
            </w:pPr>
            <w:r>
              <w:rPr>
                <w:rFonts w:hint="default"/>
                <w:color w:val="auto"/>
              </w:rPr>
              <w:t>占地规模</w:t>
            </w:r>
          </w:p>
          <w:p w14:paraId="4BA7C5A2">
            <w:pPr>
              <w:pStyle w:val="69"/>
              <w:bidi w:val="0"/>
              <w:jc w:val="left"/>
              <w:rPr>
                <w:rFonts w:hint="default"/>
                <w:color w:val="auto"/>
              </w:rPr>
            </w:pPr>
            <w:r>
              <w:rPr>
                <w:rFonts w:hint="default"/>
                <w:color w:val="auto"/>
              </w:rPr>
              <w:t>评价工</w:t>
            </w:r>
          </w:p>
          <w:p w14:paraId="36F7CDFD">
            <w:pPr>
              <w:pStyle w:val="69"/>
              <w:bidi w:val="0"/>
              <w:jc w:val="left"/>
              <w:rPr>
                <w:rFonts w:hint="default"/>
                <w:color w:val="auto"/>
              </w:rPr>
            </w:pPr>
            <w:r>
              <w:rPr>
                <w:rFonts w:hint="default"/>
                <w:color w:val="auto"/>
              </w:rPr>
              <w:t>作等级</w:t>
            </w:r>
          </w:p>
        </w:tc>
        <w:tc>
          <w:tcPr>
            <w:tcW w:w="2322" w:type="dxa"/>
            <w:gridSpan w:val="3"/>
            <w:tcBorders>
              <w:top w:val="single" w:color="auto" w:sz="12" w:space="0"/>
            </w:tcBorders>
            <w:noWrap w:val="0"/>
            <w:vAlign w:val="center"/>
          </w:tcPr>
          <w:p w14:paraId="12A2A2B0">
            <w:pPr>
              <w:pStyle w:val="69"/>
              <w:bidi w:val="0"/>
              <w:rPr>
                <w:rFonts w:hint="default"/>
                <w:color w:val="auto"/>
              </w:rPr>
            </w:pPr>
            <w:r>
              <w:rPr>
                <w:rFonts w:hint="default"/>
                <w:color w:val="auto"/>
              </w:rPr>
              <w:t>Ⅰ类</w:t>
            </w:r>
          </w:p>
        </w:tc>
        <w:tc>
          <w:tcPr>
            <w:tcW w:w="2321" w:type="dxa"/>
            <w:gridSpan w:val="3"/>
            <w:tcBorders>
              <w:top w:val="single" w:color="auto" w:sz="12" w:space="0"/>
            </w:tcBorders>
            <w:noWrap w:val="0"/>
            <w:vAlign w:val="center"/>
          </w:tcPr>
          <w:p w14:paraId="7C37626D">
            <w:pPr>
              <w:pStyle w:val="69"/>
              <w:bidi w:val="0"/>
              <w:rPr>
                <w:rFonts w:hint="default"/>
                <w:color w:val="auto"/>
              </w:rPr>
            </w:pPr>
            <w:r>
              <w:rPr>
                <w:rFonts w:hint="default"/>
                <w:color w:val="auto"/>
              </w:rPr>
              <w:t>Ⅱ类</w:t>
            </w:r>
          </w:p>
        </w:tc>
        <w:tc>
          <w:tcPr>
            <w:tcW w:w="2368" w:type="dxa"/>
            <w:gridSpan w:val="3"/>
            <w:tcBorders>
              <w:top w:val="single" w:color="auto" w:sz="12" w:space="0"/>
              <w:right w:val="nil"/>
            </w:tcBorders>
            <w:noWrap w:val="0"/>
            <w:vAlign w:val="center"/>
          </w:tcPr>
          <w:p w14:paraId="14528A3A">
            <w:pPr>
              <w:pStyle w:val="69"/>
              <w:bidi w:val="0"/>
              <w:rPr>
                <w:rFonts w:hint="default"/>
                <w:color w:val="auto"/>
              </w:rPr>
            </w:pPr>
            <w:r>
              <w:rPr>
                <w:rFonts w:hint="default"/>
                <w:color w:val="auto"/>
              </w:rPr>
              <w:t>Ⅲ类</w:t>
            </w:r>
          </w:p>
        </w:tc>
      </w:tr>
      <w:tr w14:paraId="71DD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7" w:type="dxa"/>
            <w:tcBorders>
              <w:left w:val="nil"/>
            </w:tcBorders>
            <w:noWrap w:val="0"/>
            <w:vAlign w:val="center"/>
          </w:tcPr>
          <w:p w14:paraId="412A79AC">
            <w:pPr>
              <w:pStyle w:val="69"/>
              <w:bidi w:val="0"/>
              <w:rPr>
                <w:rFonts w:hint="default"/>
                <w:color w:val="auto"/>
              </w:rPr>
            </w:pPr>
            <w:r>
              <w:rPr>
                <w:rFonts w:hint="default"/>
                <w:color w:val="auto"/>
              </w:rPr>
              <w:t xml:space="preserve"> 敏感程度</w:t>
            </w:r>
          </w:p>
        </w:tc>
        <w:tc>
          <w:tcPr>
            <w:tcW w:w="774" w:type="dxa"/>
            <w:noWrap w:val="0"/>
            <w:vAlign w:val="center"/>
          </w:tcPr>
          <w:p w14:paraId="5EA92C8E">
            <w:pPr>
              <w:pStyle w:val="69"/>
              <w:bidi w:val="0"/>
              <w:rPr>
                <w:rFonts w:hint="default"/>
                <w:color w:val="auto"/>
              </w:rPr>
            </w:pPr>
            <w:r>
              <w:rPr>
                <w:rFonts w:hint="default"/>
                <w:color w:val="auto"/>
              </w:rPr>
              <w:t>大</w:t>
            </w:r>
          </w:p>
        </w:tc>
        <w:tc>
          <w:tcPr>
            <w:tcW w:w="773" w:type="dxa"/>
            <w:noWrap w:val="0"/>
            <w:vAlign w:val="center"/>
          </w:tcPr>
          <w:p w14:paraId="34336093">
            <w:pPr>
              <w:pStyle w:val="69"/>
              <w:bidi w:val="0"/>
              <w:rPr>
                <w:rFonts w:hint="default"/>
                <w:color w:val="auto"/>
              </w:rPr>
            </w:pPr>
            <w:r>
              <w:rPr>
                <w:rFonts w:hint="default"/>
                <w:color w:val="auto"/>
              </w:rPr>
              <w:t>中</w:t>
            </w:r>
          </w:p>
        </w:tc>
        <w:tc>
          <w:tcPr>
            <w:tcW w:w="775" w:type="dxa"/>
            <w:noWrap w:val="0"/>
            <w:vAlign w:val="center"/>
          </w:tcPr>
          <w:p w14:paraId="0CAC2D76">
            <w:pPr>
              <w:pStyle w:val="69"/>
              <w:bidi w:val="0"/>
              <w:rPr>
                <w:rFonts w:hint="default"/>
                <w:color w:val="auto"/>
              </w:rPr>
            </w:pPr>
            <w:r>
              <w:rPr>
                <w:rFonts w:hint="default"/>
                <w:color w:val="auto"/>
              </w:rPr>
              <w:t>小</w:t>
            </w:r>
          </w:p>
        </w:tc>
        <w:tc>
          <w:tcPr>
            <w:tcW w:w="775" w:type="dxa"/>
            <w:noWrap w:val="0"/>
            <w:vAlign w:val="center"/>
          </w:tcPr>
          <w:p w14:paraId="77F19049">
            <w:pPr>
              <w:pStyle w:val="69"/>
              <w:bidi w:val="0"/>
              <w:rPr>
                <w:rFonts w:hint="default"/>
                <w:color w:val="auto"/>
              </w:rPr>
            </w:pPr>
            <w:r>
              <w:rPr>
                <w:rFonts w:hint="default"/>
                <w:color w:val="auto"/>
              </w:rPr>
              <w:t>大</w:t>
            </w:r>
          </w:p>
        </w:tc>
        <w:tc>
          <w:tcPr>
            <w:tcW w:w="774" w:type="dxa"/>
            <w:noWrap w:val="0"/>
            <w:vAlign w:val="center"/>
          </w:tcPr>
          <w:p w14:paraId="4CBD3767">
            <w:pPr>
              <w:pStyle w:val="69"/>
              <w:bidi w:val="0"/>
              <w:rPr>
                <w:rFonts w:hint="default"/>
                <w:color w:val="auto"/>
              </w:rPr>
            </w:pPr>
            <w:r>
              <w:rPr>
                <w:rFonts w:hint="default"/>
                <w:color w:val="auto"/>
              </w:rPr>
              <w:t>中</w:t>
            </w:r>
          </w:p>
        </w:tc>
        <w:tc>
          <w:tcPr>
            <w:tcW w:w="772" w:type="dxa"/>
            <w:noWrap w:val="0"/>
            <w:vAlign w:val="center"/>
          </w:tcPr>
          <w:p w14:paraId="1F2696F4">
            <w:pPr>
              <w:pStyle w:val="69"/>
              <w:bidi w:val="0"/>
              <w:rPr>
                <w:rFonts w:hint="default"/>
                <w:color w:val="auto"/>
              </w:rPr>
            </w:pPr>
            <w:r>
              <w:rPr>
                <w:rFonts w:hint="default"/>
                <w:color w:val="auto"/>
              </w:rPr>
              <w:t>小</w:t>
            </w:r>
          </w:p>
        </w:tc>
        <w:tc>
          <w:tcPr>
            <w:tcW w:w="774" w:type="dxa"/>
            <w:noWrap w:val="0"/>
            <w:vAlign w:val="center"/>
          </w:tcPr>
          <w:p w14:paraId="57FB8863">
            <w:pPr>
              <w:pStyle w:val="69"/>
              <w:bidi w:val="0"/>
              <w:rPr>
                <w:rFonts w:hint="default"/>
                <w:color w:val="auto"/>
              </w:rPr>
            </w:pPr>
            <w:r>
              <w:rPr>
                <w:rFonts w:hint="default"/>
                <w:color w:val="auto"/>
              </w:rPr>
              <w:t>大</w:t>
            </w:r>
          </w:p>
        </w:tc>
        <w:tc>
          <w:tcPr>
            <w:tcW w:w="775" w:type="dxa"/>
            <w:noWrap w:val="0"/>
            <w:vAlign w:val="center"/>
          </w:tcPr>
          <w:p w14:paraId="04BAE775">
            <w:pPr>
              <w:pStyle w:val="69"/>
              <w:bidi w:val="0"/>
              <w:rPr>
                <w:rFonts w:hint="default"/>
                <w:color w:val="auto"/>
              </w:rPr>
            </w:pPr>
            <w:r>
              <w:rPr>
                <w:rFonts w:hint="default"/>
                <w:color w:val="auto"/>
              </w:rPr>
              <w:t>中</w:t>
            </w:r>
          </w:p>
        </w:tc>
        <w:tc>
          <w:tcPr>
            <w:tcW w:w="819" w:type="dxa"/>
            <w:tcBorders>
              <w:right w:val="nil"/>
            </w:tcBorders>
            <w:noWrap w:val="0"/>
            <w:vAlign w:val="center"/>
          </w:tcPr>
          <w:p w14:paraId="0695C806">
            <w:pPr>
              <w:pStyle w:val="69"/>
              <w:bidi w:val="0"/>
              <w:rPr>
                <w:rFonts w:hint="default"/>
                <w:color w:val="auto"/>
              </w:rPr>
            </w:pPr>
            <w:r>
              <w:rPr>
                <w:rFonts w:hint="default"/>
                <w:color w:val="auto"/>
              </w:rPr>
              <w:t>小</w:t>
            </w:r>
          </w:p>
        </w:tc>
      </w:tr>
      <w:tr w14:paraId="326F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7" w:type="dxa"/>
            <w:tcBorders>
              <w:left w:val="nil"/>
            </w:tcBorders>
            <w:noWrap w:val="0"/>
            <w:vAlign w:val="center"/>
          </w:tcPr>
          <w:p w14:paraId="17CED872">
            <w:pPr>
              <w:pStyle w:val="69"/>
              <w:bidi w:val="0"/>
              <w:rPr>
                <w:rFonts w:hint="default"/>
                <w:color w:val="auto"/>
              </w:rPr>
            </w:pPr>
            <w:r>
              <w:rPr>
                <w:rFonts w:hint="default"/>
                <w:color w:val="auto"/>
              </w:rPr>
              <w:t>敏感</w:t>
            </w:r>
          </w:p>
        </w:tc>
        <w:tc>
          <w:tcPr>
            <w:tcW w:w="774" w:type="dxa"/>
            <w:noWrap w:val="0"/>
            <w:vAlign w:val="center"/>
          </w:tcPr>
          <w:p w14:paraId="30162C7F">
            <w:pPr>
              <w:pStyle w:val="69"/>
              <w:bidi w:val="0"/>
              <w:rPr>
                <w:rFonts w:hint="default"/>
                <w:color w:val="auto"/>
              </w:rPr>
            </w:pPr>
            <w:r>
              <w:rPr>
                <w:rFonts w:hint="default"/>
                <w:color w:val="auto"/>
              </w:rPr>
              <w:t>一级</w:t>
            </w:r>
          </w:p>
        </w:tc>
        <w:tc>
          <w:tcPr>
            <w:tcW w:w="773" w:type="dxa"/>
            <w:noWrap w:val="0"/>
            <w:vAlign w:val="center"/>
          </w:tcPr>
          <w:p w14:paraId="154710FE">
            <w:pPr>
              <w:pStyle w:val="69"/>
              <w:bidi w:val="0"/>
              <w:rPr>
                <w:rFonts w:hint="default"/>
                <w:color w:val="auto"/>
              </w:rPr>
            </w:pPr>
            <w:r>
              <w:rPr>
                <w:rFonts w:hint="default"/>
                <w:color w:val="auto"/>
              </w:rPr>
              <w:t>一级</w:t>
            </w:r>
          </w:p>
        </w:tc>
        <w:tc>
          <w:tcPr>
            <w:tcW w:w="775" w:type="dxa"/>
            <w:noWrap w:val="0"/>
            <w:vAlign w:val="center"/>
          </w:tcPr>
          <w:p w14:paraId="47021171">
            <w:pPr>
              <w:pStyle w:val="69"/>
              <w:bidi w:val="0"/>
              <w:rPr>
                <w:rFonts w:hint="default"/>
                <w:color w:val="auto"/>
              </w:rPr>
            </w:pPr>
            <w:r>
              <w:rPr>
                <w:rFonts w:hint="default"/>
                <w:color w:val="auto"/>
              </w:rPr>
              <w:t>一级</w:t>
            </w:r>
          </w:p>
        </w:tc>
        <w:tc>
          <w:tcPr>
            <w:tcW w:w="775" w:type="dxa"/>
            <w:noWrap w:val="0"/>
            <w:vAlign w:val="center"/>
          </w:tcPr>
          <w:p w14:paraId="5C4ECB46">
            <w:pPr>
              <w:pStyle w:val="69"/>
              <w:bidi w:val="0"/>
              <w:rPr>
                <w:rFonts w:hint="default"/>
                <w:color w:val="auto"/>
              </w:rPr>
            </w:pPr>
            <w:r>
              <w:rPr>
                <w:rFonts w:hint="default"/>
                <w:color w:val="auto"/>
              </w:rPr>
              <w:t>二级</w:t>
            </w:r>
          </w:p>
        </w:tc>
        <w:tc>
          <w:tcPr>
            <w:tcW w:w="774" w:type="dxa"/>
            <w:noWrap w:val="0"/>
            <w:vAlign w:val="center"/>
          </w:tcPr>
          <w:p w14:paraId="41641438">
            <w:pPr>
              <w:pStyle w:val="69"/>
              <w:bidi w:val="0"/>
              <w:rPr>
                <w:rFonts w:hint="default"/>
                <w:color w:val="auto"/>
              </w:rPr>
            </w:pPr>
            <w:r>
              <w:rPr>
                <w:rFonts w:hint="default"/>
                <w:color w:val="auto"/>
              </w:rPr>
              <w:t>二级</w:t>
            </w:r>
          </w:p>
        </w:tc>
        <w:tc>
          <w:tcPr>
            <w:tcW w:w="772" w:type="dxa"/>
            <w:noWrap w:val="0"/>
            <w:vAlign w:val="center"/>
          </w:tcPr>
          <w:p w14:paraId="069BAE0D">
            <w:pPr>
              <w:pStyle w:val="69"/>
              <w:bidi w:val="0"/>
              <w:rPr>
                <w:rFonts w:hint="default"/>
                <w:color w:val="auto"/>
              </w:rPr>
            </w:pPr>
            <w:r>
              <w:rPr>
                <w:rFonts w:hint="default"/>
                <w:color w:val="auto"/>
              </w:rPr>
              <w:t>二级</w:t>
            </w:r>
          </w:p>
        </w:tc>
        <w:tc>
          <w:tcPr>
            <w:tcW w:w="774" w:type="dxa"/>
            <w:noWrap w:val="0"/>
            <w:vAlign w:val="center"/>
          </w:tcPr>
          <w:p w14:paraId="044BF1EC">
            <w:pPr>
              <w:pStyle w:val="69"/>
              <w:bidi w:val="0"/>
              <w:rPr>
                <w:rFonts w:hint="default"/>
                <w:color w:val="auto"/>
              </w:rPr>
            </w:pPr>
            <w:r>
              <w:rPr>
                <w:rFonts w:hint="default"/>
                <w:color w:val="auto"/>
              </w:rPr>
              <w:t>三级</w:t>
            </w:r>
          </w:p>
        </w:tc>
        <w:tc>
          <w:tcPr>
            <w:tcW w:w="775" w:type="dxa"/>
            <w:noWrap w:val="0"/>
            <w:vAlign w:val="center"/>
          </w:tcPr>
          <w:p w14:paraId="09FDAC66">
            <w:pPr>
              <w:pStyle w:val="69"/>
              <w:bidi w:val="0"/>
              <w:rPr>
                <w:rFonts w:hint="default"/>
                <w:color w:val="auto"/>
              </w:rPr>
            </w:pPr>
            <w:r>
              <w:rPr>
                <w:rFonts w:hint="default"/>
                <w:color w:val="auto"/>
              </w:rPr>
              <w:t>三级</w:t>
            </w:r>
          </w:p>
        </w:tc>
        <w:tc>
          <w:tcPr>
            <w:tcW w:w="819" w:type="dxa"/>
            <w:tcBorders>
              <w:right w:val="nil"/>
            </w:tcBorders>
            <w:noWrap w:val="0"/>
            <w:vAlign w:val="center"/>
          </w:tcPr>
          <w:p w14:paraId="047248A4">
            <w:pPr>
              <w:pStyle w:val="69"/>
              <w:bidi w:val="0"/>
              <w:rPr>
                <w:rFonts w:hint="default"/>
                <w:color w:val="auto"/>
              </w:rPr>
            </w:pPr>
            <w:r>
              <w:rPr>
                <w:rFonts w:hint="default"/>
                <w:color w:val="auto"/>
              </w:rPr>
              <w:t>三级</w:t>
            </w:r>
          </w:p>
        </w:tc>
      </w:tr>
      <w:tr w14:paraId="6789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7" w:type="dxa"/>
            <w:tcBorders>
              <w:left w:val="nil"/>
            </w:tcBorders>
            <w:noWrap w:val="0"/>
            <w:vAlign w:val="center"/>
          </w:tcPr>
          <w:p w14:paraId="2F9CD1A8">
            <w:pPr>
              <w:pStyle w:val="69"/>
              <w:bidi w:val="0"/>
              <w:rPr>
                <w:rFonts w:hint="default"/>
                <w:color w:val="auto"/>
              </w:rPr>
            </w:pPr>
            <w:r>
              <w:rPr>
                <w:rFonts w:hint="default"/>
                <w:color w:val="auto"/>
              </w:rPr>
              <w:t>较敏感</w:t>
            </w:r>
          </w:p>
        </w:tc>
        <w:tc>
          <w:tcPr>
            <w:tcW w:w="774" w:type="dxa"/>
            <w:noWrap w:val="0"/>
            <w:vAlign w:val="center"/>
          </w:tcPr>
          <w:p w14:paraId="09E876FB">
            <w:pPr>
              <w:pStyle w:val="69"/>
              <w:bidi w:val="0"/>
              <w:rPr>
                <w:rFonts w:hint="default"/>
                <w:color w:val="auto"/>
              </w:rPr>
            </w:pPr>
            <w:r>
              <w:rPr>
                <w:rFonts w:hint="default"/>
                <w:color w:val="auto"/>
              </w:rPr>
              <w:t>一级</w:t>
            </w:r>
          </w:p>
        </w:tc>
        <w:tc>
          <w:tcPr>
            <w:tcW w:w="773" w:type="dxa"/>
            <w:noWrap w:val="0"/>
            <w:vAlign w:val="center"/>
          </w:tcPr>
          <w:p w14:paraId="4DB1E263">
            <w:pPr>
              <w:pStyle w:val="69"/>
              <w:bidi w:val="0"/>
              <w:rPr>
                <w:rFonts w:hint="default"/>
                <w:color w:val="auto"/>
              </w:rPr>
            </w:pPr>
            <w:r>
              <w:rPr>
                <w:rFonts w:hint="default"/>
                <w:color w:val="auto"/>
              </w:rPr>
              <w:t>一级</w:t>
            </w:r>
          </w:p>
        </w:tc>
        <w:tc>
          <w:tcPr>
            <w:tcW w:w="775" w:type="dxa"/>
            <w:noWrap w:val="0"/>
            <w:vAlign w:val="center"/>
          </w:tcPr>
          <w:p w14:paraId="4A6D78B8">
            <w:pPr>
              <w:pStyle w:val="69"/>
              <w:bidi w:val="0"/>
              <w:rPr>
                <w:rFonts w:hint="default"/>
                <w:color w:val="auto"/>
              </w:rPr>
            </w:pPr>
            <w:r>
              <w:rPr>
                <w:rFonts w:hint="default"/>
                <w:color w:val="auto"/>
              </w:rPr>
              <w:t>二级</w:t>
            </w:r>
          </w:p>
        </w:tc>
        <w:tc>
          <w:tcPr>
            <w:tcW w:w="775" w:type="dxa"/>
            <w:noWrap w:val="0"/>
            <w:vAlign w:val="center"/>
          </w:tcPr>
          <w:p w14:paraId="69FCDE83">
            <w:pPr>
              <w:pStyle w:val="69"/>
              <w:bidi w:val="0"/>
              <w:rPr>
                <w:rFonts w:hint="default"/>
                <w:color w:val="auto"/>
              </w:rPr>
            </w:pPr>
            <w:r>
              <w:rPr>
                <w:rFonts w:hint="default"/>
                <w:color w:val="auto"/>
              </w:rPr>
              <w:t>二级</w:t>
            </w:r>
          </w:p>
        </w:tc>
        <w:tc>
          <w:tcPr>
            <w:tcW w:w="774" w:type="dxa"/>
            <w:noWrap w:val="0"/>
            <w:vAlign w:val="center"/>
          </w:tcPr>
          <w:p w14:paraId="6789D643">
            <w:pPr>
              <w:pStyle w:val="69"/>
              <w:bidi w:val="0"/>
              <w:rPr>
                <w:rFonts w:hint="default"/>
                <w:color w:val="auto"/>
              </w:rPr>
            </w:pPr>
            <w:r>
              <w:rPr>
                <w:rFonts w:hint="default"/>
                <w:color w:val="auto"/>
              </w:rPr>
              <w:t>二级</w:t>
            </w:r>
          </w:p>
        </w:tc>
        <w:tc>
          <w:tcPr>
            <w:tcW w:w="772" w:type="dxa"/>
            <w:noWrap w:val="0"/>
            <w:vAlign w:val="center"/>
          </w:tcPr>
          <w:p w14:paraId="035B1C2C">
            <w:pPr>
              <w:pStyle w:val="69"/>
              <w:bidi w:val="0"/>
              <w:rPr>
                <w:rFonts w:hint="default"/>
                <w:color w:val="auto"/>
              </w:rPr>
            </w:pPr>
            <w:r>
              <w:rPr>
                <w:rFonts w:hint="default"/>
                <w:color w:val="auto"/>
              </w:rPr>
              <w:t>三级</w:t>
            </w:r>
          </w:p>
        </w:tc>
        <w:tc>
          <w:tcPr>
            <w:tcW w:w="774" w:type="dxa"/>
            <w:noWrap w:val="0"/>
            <w:vAlign w:val="center"/>
          </w:tcPr>
          <w:p w14:paraId="569489A4">
            <w:pPr>
              <w:pStyle w:val="69"/>
              <w:bidi w:val="0"/>
              <w:rPr>
                <w:rFonts w:hint="default"/>
                <w:color w:val="auto"/>
              </w:rPr>
            </w:pPr>
            <w:r>
              <w:rPr>
                <w:rFonts w:hint="default"/>
                <w:color w:val="auto"/>
              </w:rPr>
              <w:t>三级</w:t>
            </w:r>
          </w:p>
        </w:tc>
        <w:tc>
          <w:tcPr>
            <w:tcW w:w="775" w:type="dxa"/>
            <w:noWrap w:val="0"/>
            <w:vAlign w:val="center"/>
          </w:tcPr>
          <w:p w14:paraId="4C1C5D80">
            <w:pPr>
              <w:pStyle w:val="69"/>
              <w:bidi w:val="0"/>
              <w:rPr>
                <w:rFonts w:hint="default"/>
                <w:color w:val="auto"/>
              </w:rPr>
            </w:pPr>
            <w:r>
              <w:rPr>
                <w:rFonts w:hint="default"/>
                <w:color w:val="auto"/>
              </w:rPr>
              <w:t>三级</w:t>
            </w:r>
          </w:p>
        </w:tc>
        <w:tc>
          <w:tcPr>
            <w:tcW w:w="819" w:type="dxa"/>
            <w:tcBorders>
              <w:right w:val="nil"/>
            </w:tcBorders>
            <w:noWrap w:val="0"/>
            <w:vAlign w:val="center"/>
          </w:tcPr>
          <w:p w14:paraId="108109A7">
            <w:pPr>
              <w:pStyle w:val="69"/>
              <w:bidi w:val="0"/>
              <w:rPr>
                <w:rFonts w:hint="default"/>
                <w:color w:val="auto"/>
              </w:rPr>
            </w:pPr>
            <w:r>
              <w:rPr>
                <w:rFonts w:hint="default"/>
                <w:color w:val="auto"/>
              </w:rPr>
              <w:t>--</w:t>
            </w:r>
          </w:p>
        </w:tc>
      </w:tr>
      <w:tr w14:paraId="06C7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7" w:type="dxa"/>
            <w:tcBorders>
              <w:left w:val="nil"/>
            </w:tcBorders>
            <w:noWrap w:val="0"/>
            <w:vAlign w:val="center"/>
          </w:tcPr>
          <w:p w14:paraId="658C7B79">
            <w:pPr>
              <w:pStyle w:val="69"/>
              <w:bidi w:val="0"/>
              <w:rPr>
                <w:rFonts w:hint="default"/>
                <w:color w:val="auto"/>
              </w:rPr>
            </w:pPr>
            <w:r>
              <w:rPr>
                <w:rFonts w:hint="default"/>
                <w:color w:val="auto"/>
              </w:rPr>
              <w:t>不敏感</w:t>
            </w:r>
          </w:p>
        </w:tc>
        <w:tc>
          <w:tcPr>
            <w:tcW w:w="774" w:type="dxa"/>
            <w:noWrap w:val="0"/>
            <w:vAlign w:val="center"/>
          </w:tcPr>
          <w:p w14:paraId="6F8CF0FA">
            <w:pPr>
              <w:pStyle w:val="69"/>
              <w:bidi w:val="0"/>
              <w:rPr>
                <w:rFonts w:hint="default"/>
                <w:color w:val="auto"/>
              </w:rPr>
            </w:pPr>
            <w:r>
              <w:rPr>
                <w:rFonts w:hint="default"/>
                <w:color w:val="auto"/>
              </w:rPr>
              <w:t>一级</w:t>
            </w:r>
          </w:p>
        </w:tc>
        <w:tc>
          <w:tcPr>
            <w:tcW w:w="773" w:type="dxa"/>
            <w:noWrap w:val="0"/>
            <w:vAlign w:val="center"/>
          </w:tcPr>
          <w:p w14:paraId="393F255A">
            <w:pPr>
              <w:pStyle w:val="69"/>
              <w:bidi w:val="0"/>
              <w:rPr>
                <w:rFonts w:hint="default"/>
                <w:color w:val="auto"/>
              </w:rPr>
            </w:pPr>
            <w:r>
              <w:rPr>
                <w:rFonts w:hint="default"/>
                <w:color w:val="auto"/>
              </w:rPr>
              <w:t>二级</w:t>
            </w:r>
          </w:p>
        </w:tc>
        <w:tc>
          <w:tcPr>
            <w:tcW w:w="775" w:type="dxa"/>
            <w:noWrap w:val="0"/>
            <w:vAlign w:val="center"/>
          </w:tcPr>
          <w:p w14:paraId="54B5086A">
            <w:pPr>
              <w:pStyle w:val="69"/>
              <w:bidi w:val="0"/>
              <w:rPr>
                <w:rFonts w:hint="default"/>
                <w:color w:val="auto"/>
              </w:rPr>
            </w:pPr>
            <w:r>
              <w:rPr>
                <w:rFonts w:hint="default"/>
                <w:color w:val="auto"/>
              </w:rPr>
              <w:t>二级</w:t>
            </w:r>
          </w:p>
        </w:tc>
        <w:tc>
          <w:tcPr>
            <w:tcW w:w="775" w:type="dxa"/>
            <w:noWrap w:val="0"/>
            <w:vAlign w:val="center"/>
          </w:tcPr>
          <w:p w14:paraId="3AF294E8">
            <w:pPr>
              <w:pStyle w:val="69"/>
              <w:bidi w:val="0"/>
              <w:rPr>
                <w:rFonts w:hint="default"/>
                <w:color w:val="auto"/>
              </w:rPr>
            </w:pPr>
            <w:r>
              <w:rPr>
                <w:rFonts w:hint="default"/>
                <w:color w:val="auto"/>
              </w:rPr>
              <w:t>二级</w:t>
            </w:r>
          </w:p>
        </w:tc>
        <w:tc>
          <w:tcPr>
            <w:tcW w:w="774" w:type="dxa"/>
            <w:noWrap w:val="0"/>
            <w:vAlign w:val="center"/>
          </w:tcPr>
          <w:p w14:paraId="22022C23">
            <w:pPr>
              <w:pStyle w:val="69"/>
              <w:bidi w:val="0"/>
              <w:rPr>
                <w:rFonts w:hint="default"/>
                <w:color w:val="auto"/>
              </w:rPr>
            </w:pPr>
            <w:r>
              <w:rPr>
                <w:rFonts w:hint="default"/>
                <w:color w:val="auto"/>
              </w:rPr>
              <w:t>三级</w:t>
            </w:r>
          </w:p>
        </w:tc>
        <w:tc>
          <w:tcPr>
            <w:tcW w:w="772" w:type="dxa"/>
            <w:noWrap w:val="0"/>
            <w:vAlign w:val="center"/>
          </w:tcPr>
          <w:p w14:paraId="4C07A565">
            <w:pPr>
              <w:pStyle w:val="69"/>
              <w:bidi w:val="0"/>
              <w:rPr>
                <w:rFonts w:hint="default"/>
                <w:color w:val="auto"/>
              </w:rPr>
            </w:pPr>
            <w:r>
              <w:rPr>
                <w:rFonts w:hint="default"/>
                <w:color w:val="auto"/>
              </w:rPr>
              <w:t>三级</w:t>
            </w:r>
          </w:p>
        </w:tc>
        <w:tc>
          <w:tcPr>
            <w:tcW w:w="774" w:type="dxa"/>
            <w:noWrap w:val="0"/>
            <w:vAlign w:val="center"/>
          </w:tcPr>
          <w:p w14:paraId="19A3F95C">
            <w:pPr>
              <w:pStyle w:val="69"/>
              <w:bidi w:val="0"/>
              <w:rPr>
                <w:rFonts w:hint="default"/>
                <w:color w:val="auto"/>
              </w:rPr>
            </w:pPr>
            <w:r>
              <w:rPr>
                <w:rFonts w:hint="default"/>
                <w:color w:val="auto"/>
              </w:rPr>
              <w:t>三级</w:t>
            </w:r>
          </w:p>
        </w:tc>
        <w:tc>
          <w:tcPr>
            <w:tcW w:w="775" w:type="dxa"/>
            <w:noWrap w:val="0"/>
            <w:vAlign w:val="center"/>
          </w:tcPr>
          <w:p w14:paraId="32A684EB">
            <w:pPr>
              <w:pStyle w:val="69"/>
              <w:bidi w:val="0"/>
              <w:rPr>
                <w:rFonts w:hint="default"/>
                <w:color w:val="auto"/>
              </w:rPr>
            </w:pPr>
            <w:r>
              <w:rPr>
                <w:rFonts w:hint="default"/>
                <w:color w:val="auto"/>
              </w:rPr>
              <w:t>--</w:t>
            </w:r>
          </w:p>
        </w:tc>
        <w:tc>
          <w:tcPr>
            <w:tcW w:w="819" w:type="dxa"/>
            <w:tcBorders>
              <w:right w:val="nil"/>
            </w:tcBorders>
            <w:noWrap w:val="0"/>
            <w:vAlign w:val="center"/>
          </w:tcPr>
          <w:p w14:paraId="362FC70E">
            <w:pPr>
              <w:pStyle w:val="69"/>
              <w:bidi w:val="0"/>
              <w:rPr>
                <w:rFonts w:hint="default"/>
                <w:color w:val="auto"/>
              </w:rPr>
            </w:pPr>
            <w:r>
              <w:rPr>
                <w:rFonts w:hint="default"/>
                <w:color w:val="auto"/>
              </w:rPr>
              <w:t>--</w:t>
            </w:r>
          </w:p>
        </w:tc>
      </w:tr>
      <w:tr w14:paraId="2D98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88" w:type="dxa"/>
            <w:gridSpan w:val="10"/>
            <w:tcBorders>
              <w:left w:val="nil"/>
              <w:bottom w:val="single" w:color="auto" w:sz="12" w:space="0"/>
              <w:right w:val="nil"/>
            </w:tcBorders>
            <w:noWrap w:val="0"/>
            <w:vAlign w:val="center"/>
          </w:tcPr>
          <w:p w14:paraId="533F2761">
            <w:pPr>
              <w:pStyle w:val="69"/>
              <w:bidi w:val="0"/>
              <w:rPr>
                <w:rFonts w:hint="default"/>
                <w:color w:val="auto"/>
              </w:rPr>
            </w:pPr>
            <w:r>
              <w:rPr>
                <w:rFonts w:hint="default"/>
                <w:color w:val="auto"/>
              </w:rPr>
              <w:t>注：“-”表示可不开展土壤环境影响评价工作。</w:t>
            </w:r>
          </w:p>
        </w:tc>
      </w:tr>
    </w:tbl>
    <w:p w14:paraId="2157E004">
      <w:pPr>
        <w:pStyle w:val="67"/>
        <w:numPr>
          <w:ilvl w:val="1"/>
          <w:numId w:val="8"/>
        </w:numPr>
        <w:bidi w:val="0"/>
        <w:ind w:left="567" w:leftChars="0" w:hanging="567" w:firstLineChars="0"/>
        <w:rPr>
          <w:rFonts w:hint="eastAsia" w:ascii="Times New Roman" w:hAnsi="Times New Roman" w:eastAsia="宋体" w:cs="Times New Roman"/>
          <w:color w:val="auto"/>
        </w:rPr>
      </w:pPr>
      <w:bookmarkStart w:id="54" w:name="_Toc5674"/>
      <w:r>
        <w:rPr>
          <w:rFonts w:hint="eastAsia" w:ascii="Times New Roman" w:hAnsi="Times New Roman" w:eastAsia="宋体" w:cs="Times New Roman"/>
          <w:color w:val="auto"/>
        </w:rPr>
        <w:t>评价范围</w:t>
      </w:r>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9E4032D">
      <w:pPr>
        <w:pStyle w:val="64"/>
        <w:numPr>
          <w:ilvl w:val="2"/>
          <w:numId w:val="8"/>
        </w:numPr>
        <w:spacing w:before="166" w:after="166"/>
        <w:ind w:left="709" w:leftChars="0" w:hanging="709" w:firstLineChars="0"/>
        <w:rPr>
          <w:color w:val="auto"/>
        </w:rPr>
      </w:pPr>
      <w:r>
        <w:rPr>
          <w:rFonts w:hint="eastAsia"/>
          <w:color w:val="auto"/>
        </w:rPr>
        <w:t>地表</w:t>
      </w:r>
      <w:r>
        <w:rPr>
          <w:color w:val="auto"/>
        </w:rPr>
        <w:t>水环境评价范围</w:t>
      </w:r>
    </w:p>
    <w:p w14:paraId="7C1E31EC">
      <w:pPr>
        <w:spacing w:before="274" w:line="364" w:lineRule="auto"/>
        <w:ind w:firstLine="489"/>
        <w:jc w:val="both"/>
        <w:rPr>
          <w:rFonts w:ascii="宋体" w:hAnsi="宋体" w:eastAsia="宋体" w:cs="宋体"/>
          <w:sz w:val="24"/>
          <w:szCs w:val="24"/>
        </w:rPr>
      </w:pPr>
      <w:r>
        <w:rPr>
          <w:color w:val="auto"/>
        </w:rPr>
        <w:t>根据《环境影响评价技术导则—地表水环境》（HJ2.3-2018）</w:t>
      </w:r>
      <w:r>
        <w:rPr>
          <w:rFonts w:ascii="宋体" w:hAnsi="宋体" w:eastAsia="宋体" w:cs="宋体"/>
          <w:spacing w:val="4"/>
          <w:sz w:val="24"/>
          <w:szCs w:val="24"/>
        </w:rPr>
        <w:t>评</w:t>
      </w:r>
      <w:r>
        <w:rPr>
          <w:rFonts w:ascii="宋体" w:hAnsi="宋体" w:eastAsia="宋体" w:cs="宋体"/>
          <w:spacing w:val="3"/>
          <w:sz w:val="24"/>
          <w:szCs w:val="24"/>
        </w:rPr>
        <w:t>价等级为水污染影响型三级</w:t>
      </w:r>
      <w:r>
        <w:rPr>
          <w:rFonts w:ascii="Times New Roman" w:hAnsi="Times New Roman" w:eastAsia="Times New Roman" w:cs="Times New Roman"/>
          <w:spacing w:val="3"/>
          <w:sz w:val="24"/>
          <w:szCs w:val="24"/>
        </w:rPr>
        <w:t>B</w:t>
      </w:r>
      <w:r>
        <w:rPr>
          <w:rFonts w:ascii="宋体" w:hAnsi="宋体" w:eastAsia="宋体" w:cs="宋体"/>
          <w:spacing w:val="3"/>
          <w:sz w:val="24"/>
          <w:szCs w:val="24"/>
        </w:rPr>
        <w:t>的项目地表水评价范围应符</w:t>
      </w:r>
      <w:r>
        <w:rPr>
          <w:rFonts w:ascii="宋体" w:hAnsi="宋体" w:eastAsia="宋体" w:cs="宋体"/>
          <w:spacing w:val="2"/>
          <w:sz w:val="24"/>
          <w:szCs w:val="24"/>
        </w:rPr>
        <w:t>合以下要求：</w:t>
      </w:r>
      <w:r>
        <w:rPr>
          <w:rFonts w:ascii="宋体" w:hAnsi="宋体" w:eastAsia="宋体" w:cs="宋体"/>
          <w:spacing w:val="-20"/>
          <w:sz w:val="24"/>
          <w:szCs w:val="24"/>
        </w:rPr>
        <w:t xml:space="preserve"> </w:t>
      </w:r>
      <w:r>
        <w:rPr>
          <w:rFonts w:ascii="宋体" w:hAnsi="宋体" w:eastAsia="宋体" w:cs="宋体"/>
          <w:spacing w:val="2"/>
          <w:sz w:val="24"/>
          <w:szCs w:val="24"/>
        </w:rPr>
        <w:t>①应满足其依托污水</w:t>
      </w:r>
      <w:r>
        <w:rPr>
          <w:rFonts w:ascii="宋体" w:hAnsi="宋体" w:eastAsia="宋体" w:cs="宋体"/>
          <w:spacing w:val="3"/>
          <w:sz w:val="24"/>
          <w:szCs w:val="24"/>
        </w:rPr>
        <w:t>处理设施环境可行性分析的要求；②涉及地表水环境风险的，应覆盖环境风险影</w:t>
      </w:r>
      <w:r>
        <w:rPr>
          <w:rFonts w:ascii="宋体" w:hAnsi="宋体" w:eastAsia="宋体" w:cs="宋体"/>
          <w:spacing w:val="5"/>
          <w:sz w:val="24"/>
          <w:szCs w:val="24"/>
        </w:rPr>
        <w:t>响范围所及的水环境保护目标水域。此外，水污染影响型三级</w:t>
      </w:r>
      <w:r>
        <w:rPr>
          <w:rFonts w:ascii="Times New Roman" w:hAnsi="Times New Roman" w:eastAsia="Times New Roman" w:cs="Times New Roman"/>
          <w:spacing w:val="5"/>
          <w:sz w:val="24"/>
          <w:szCs w:val="24"/>
        </w:rPr>
        <w:t>B</w:t>
      </w:r>
      <w:r>
        <w:rPr>
          <w:rFonts w:ascii="宋体" w:hAnsi="宋体" w:eastAsia="宋体" w:cs="宋体"/>
          <w:spacing w:val="5"/>
          <w:sz w:val="24"/>
          <w:szCs w:val="24"/>
        </w:rPr>
        <w:t>评价可不进行水</w:t>
      </w:r>
      <w:r>
        <w:rPr>
          <w:rFonts w:ascii="宋体" w:hAnsi="宋体" w:eastAsia="宋体" w:cs="宋体"/>
          <w:spacing w:val="1"/>
          <w:sz w:val="24"/>
          <w:szCs w:val="24"/>
        </w:rPr>
        <w:t>环境影响预测。</w:t>
      </w:r>
    </w:p>
    <w:p w14:paraId="6A8978EF">
      <w:pPr>
        <w:pStyle w:val="64"/>
        <w:numPr>
          <w:ilvl w:val="2"/>
          <w:numId w:val="8"/>
        </w:numPr>
        <w:spacing w:before="166" w:after="166"/>
        <w:ind w:left="709" w:leftChars="0" w:hanging="709" w:firstLineChars="0"/>
        <w:rPr>
          <w:color w:val="auto"/>
        </w:rPr>
      </w:pPr>
      <w:r>
        <w:rPr>
          <w:rFonts w:hint="eastAsia"/>
          <w:color w:val="auto"/>
        </w:rPr>
        <w:t>环境空气评价范围</w:t>
      </w:r>
    </w:p>
    <w:p w14:paraId="31248C6F">
      <w:pPr>
        <w:ind w:firstLine="480"/>
        <w:rPr>
          <w:color w:val="auto"/>
        </w:rPr>
      </w:pPr>
      <w:r>
        <w:rPr>
          <w:color w:val="auto"/>
        </w:rPr>
        <w:t>本项目大气环境评价等级为</w:t>
      </w:r>
      <w:r>
        <w:rPr>
          <w:rFonts w:hint="eastAsia"/>
          <w:color w:val="auto"/>
          <w:lang w:val="en-US" w:eastAsia="zh-CN"/>
        </w:rPr>
        <w:t>一</w:t>
      </w:r>
      <w:r>
        <w:rPr>
          <w:color w:val="auto"/>
        </w:rPr>
        <w:t>级，根据《环境影响评价技术导则大气环境》(HJ2.2-2018)，确定环境空气影响评价的范围是以</w:t>
      </w:r>
      <w:r>
        <w:rPr>
          <w:rFonts w:hint="eastAsia"/>
          <w:color w:val="auto"/>
        </w:rPr>
        <w:t>厂区中心点</w:t>
      </w:r>
      <w:r>
        <w:rPr>
          <w:color w:val="auto"/>
        </w:rPr>
        <w:t>，</w:t>
      </w:r>
      <w:r>
        <w:rPr>
          <w:rFonts w:hint="eastAsia"/>
          <w:color w:val="auto"/>
        </w:rPr>
        <w:t>边长5</w:t>
      </w:r>
      <w:r>
        <w:rPr>
          <w:color w:val="auto"/>
        </w:rPr>
        <w:t>km的正方形内</w:t>
      </w:r>
      <w:r>
        <w:rPr>
          <w:rFonts w:hint="eastAsia"/>
          <w:color w:val="auto"/>
        </w:rPr>
        <w:t>，见图1.2-1。</w:t>
      </w:r>
      <w:r>
        <w:rPr>
          <w:color w:val="auto"/>
        </w:rPr>
        <w:drawing>
          <wp:anchor distT="0" distB="0" distL="114300" distR="114300" simplePos="0" relativeHeight="251672576" behindDoc="0" locked="0" layoutInCell="1" allowOverlap="1">
            <wp:simplePos x="0" y="0"/>
            <wp:positionH relativeFrom="column">
              <wp:posOffset>11727815</wp:posOffset>
            </wp:positionH>
            <wp:positionV relativeFrom="paragraph">
              <wp:posOffset>-6739255</wp:posOffset>
            </wp:positionV>
            <wp:extent cx="1500505" cy="1126490"/>
            <wp:effectExtent l="9525" t="9525" r="13970" b="16510"/>
            <wp:wrapNone/>
            <wp:docPr id="45"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2"/>
                    <pic:cNvPicPr>
                      <a:picLocks noChangeAspect="1"/>
                    </pic:cNvPicPr>
                  </pic:nvPicPr>
                  <pic:blipFill>
                    <a:blip r:embed="rId43"/>
                    <a:stretch>
                      <a:fillRect/>
                    </a:stretch>
                  </pic:blipFill>
                  <pic:spPr>
                    <a:xfrm>
                      <a:off x="0" y="0"/>
                      <a:ext cx="1500505" cy="1126490"/>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69FA48EE">
      <w:pPr>
        <w:pStyle w:val="64"/>
        <w:numPr>
          <w:ilvl w:val="2"/>
          <w:numId w:val="8"/>
        </w:numPr>
        <w:spacing w:before="166" w:after="166"/>
        <w:ind w:left="709" w:leftChars="0" w:hanging="709" w:firstLineChars="0"/>
        <w:rPr>
          <w:color w:val="auto"/>
        </w:rPr>
      </w:pPr>
      <w:r>
        <w:rPr>
          <w:color w:val="auto"/>
        </w:rPr>
        <w:t>声环境评价范围</w:t>
      </w:r>
    </w:p>
    <w:p w14:paraId="7FAA855B">
      <w:pPr>
        <w:bidi w:val="0"/>
        <w:rPr>
          <w:rFonts w:hint="default"/>
          <w:color w:val="auto"/>
        </w:rPr>
      </w:pPr>
      <w:r>
        <w:rPr>
          <w:color w:val="auto"/>
        </w:rPr>
        <w:t>根据《环境影响评价技术导则</w:t>
      </w:r>
      <w:r>
        <w:rPr>
          <w:rFonts w:hint="eastAsia"/>
          <w:color w:val="auto"/>
          <w:lang w:val="en-US" w:eastAsia="zh-CN"/>
        </w:rPr>
        <w:t xml:space="preserve"> </w:t>
      </w:r>
      <w:r>
        <w:rPr>
          <w:color w:val="auto"/>
        </w:rPr>
        <w:t>声环境》(</w:t>
      </w:r>
      <w:r>
        <w:rPr>
          <w:rFonts w:hint="eastAsia"/>
          <w:color w:val="auto"/>
          <w:lang w:eastAsia="zh-CN"/>
        </w:rPr>
        <w:t>HJ2.4-2021</w:t>
      </w:r>
      <w:r>
        <w:rPr>
          <w:color w:val="auto"/>
        </w:rPr>
        <w:t>)第</w:t>
      </w:r>
      <w:r>
        <w:rPr>
          <w:rFonts w:hint="eastAsia"/>
          <w:color w:val="auto"/>
          <w:lang w:val="en-US" w:eastAsia="zh-CN"/>
        </w:rPr>
        <w:t>5.2.1</w:t>
      </w:r>
      <w:r>
        <w:rPr>
          <w:color w:val="auto"/>
        </w:rPr>
        <w:t>条：</w:t>
      </w:r>
      <w:r>
        <w:rPr>
          <w:rFonts w:hint="default"/>
          <w:color w:val="auto"/>
        </w:rPr>
        <w:t>对于以固定声源为主的建设项目（如工厂、码头、站场等）：</w:t>
      </w:r>
    </w:p>
    <w:p w14:paraId="365DAEFC">
      <w:pPr>
        <w:bidi w:val="0"/>
        <w:rPr>
          <w:rFonts w:hint="default"/>
          <w:color w:val="auto"/>
        </w:rPr>
      </w:pPr>
      <w:r>
        <w:rPr>
          <w:rFonts w:hint="default"/>
          <w:color w:val="auto"/>
        </w:rPr>
        <w:t>a）满足一级评价的要求，一般以建设项目边界向外200 m为评价范围；</w:t>
      </w:r>
    </w:p>
    <w:p w14:paraId="1D77049E">
      <w:pPr>
        <w:bidi w:val="0"/>
        <w:rPr>
          <w:rFonts w:hint="default"/>
          <w:color w:val="auto"/>
        </w:rPr>
      </w:pPr>
      <w:r>
        <w:rPr>
          <w:rFonts w:hint="default"/>
          <w:color w:val="auto"/>
        </w:rPr>
        <w:t>b）二级、三级评价范围可根据建设项目所在区域和相邻区域的声环境功能区类别及声环境保护目标等实际情况适当缩小；</w:t>
      </w:r>
    </w:p>
    <w:p w14:paraId="719BBACE">
      <w:pPr>
        <w:bidi w:val="0"/>
        <w:rPr>
          <w:rFonts w:hint="default"/>
          <w:color w:val="auto"/>
        </w:rPr>
      </w:pPr>
      <w:r>
        <w:rPr>
          <w:rFonts w:hint="default"/>
          <w:color w:val="auto"/>
        </w:rPr>
        <w:t>c）如依据建设项目声源计算得到的贡献值到200 m处，仍不能满足相应功能区标准值时，应将评价范围扩大到满足标准值的距离。</w:t>
      </w:r>
    </w:p>
    <w:p w14:paraId="0F17606F">
      <w:pPr>
        <w:bidi w:val="0"/>
        <w:rPr>
          <w:rFonts w:hint="default"/>
          <w:color w:val="auto"/>
        </w:rPr>
      </w:pPr>
      <w:r>
        <w:rPr>
          <w:color w:val="auto"/>
        </w:rPr>
        <w:t>根据厂界噪声现状监测结果及项目噪声厂界贡献值预测结果，全部达标，</w:t>
      </w:r>
      <w:r>
        <w:rPr>
          <w:rFonts w:hint="eastAsia"/>
          <w:color w:val="auto"/>
          <w:lang w:val="en-US" w:eastAsia="zh-CN"/>
        </w:rPr>
        <w:t>项目200m范围内有</w:t>
      </w:r>
      <w:r>
        <w:rPr>
          <w:rFonts w:hint="default"/>
          <w:color w:val="auto"/>
        </w:rPr>
        <w:t>声环境保护目标</w:t>
      </w:r>
      <w:r>
        <w:rPr>
          <w:rFonts w:hint="eastAsia"/>
          <w:color w:val="auto"/>
          <w:lang w:val="en-US" w:eastAsia="zh-CN"/>
        </w:rPr>
        <w:t>，</w:t>
      </w:r>
      <w:r>
        <w:rPr>
          <w:color w:val="auto"/>
        </w:rPr>
        <w:t>故本次噪声评价范围确定为项目厂界外</w:t>
      </w:r>
      <w:r>
        <w:rPr>
          <w:rFonts w:hint="eastAsia"/>
          <w:color w:val="auto"/>
          <w:lang w:val="en-US" w:eastAsia="zh-CN"/>
        </w:rPr>
        <w:t>200</w:t>
      </w:r>
      <w:r>
        <w:rPr>
          <w:color w:val="auto"/>
        </w:rPr>
        <w:t>m</w:t>
      </w:r>
      <w:r>
        <w:rPr>
          <w:rFonts w:hint="eastAsia"/>
          <w:color w:val="auto"/>
          <w:lang w:val="en-US" w:eastAsia="zh-CN"/>
        </w:rPr>
        <w:t>范围内</w:t>
      </w:r>
      <w:r>
        <w:rPr>
          <w:color w:val="auto"/>
        </w:rPr>
        <w:t>。</w:t>
      </w:r>
    </w:p>
    <w:p w14:paraId="7A38DA8D">
      <w:pPr>
        <w:pStyle w:val="64"/>
        <w:numPr>
          <w:ilvl w:val="2"/>
          <w:numId w:val="8"/>
        </w:numPr>
        <w:spacing w:before="166" w:after="166"/>
        <w:ind w:left="709" w:leftChars="0" w:hanging="709" w:firstLineChars="0"/>
        <w:rPr>
          <w:color w:val="auto"/>
        </w:rPr>
      </w:pPr>
      <w:r>
        <w:rPr>
          <w:rFonts w:hint="eastAsia"/>
          <w:color w:val="auto"/>
        </w:rPr>
        <w:t>生态</w:t>
      </w:r>
      <w:r>
        <w:rPr>
          <w:color w:val="auto"/>
        </w:rPr>
        <w:t>环境评价范围</w:t>
      </w:r>
    </w:p>
    <w:p w14:paraId="28BA81F6">
      <w:pPr>
        <w:tabs>
          <w:tab w:val="left" w:pos="480"/>
        </w:tabs>
        <w:ind w:firstLine="480"/>
        <w:rPr>
          <w:color w:val="auto"/>
        </w:rPr>
      </w:pPr>
      <w:r>
        <w:rPr>
          <w:color w:val="auto"/>
        </w:rPr>
        <w:t>根据《环境影响评价技术导则 生态影响》（</w:t>
      </w:r>
      <w:r>
        <w:rPr>
          <w:rFonts w:hint="eastAsia"/>
          <w:color w:val="auto"/>
          <w:lang w:eastAsia="zh-CN"/>
        </w:rPr>
        <w:t>HJ 19-2022</w:t>
      </w:r>
      <w:r>
        <w:rPr>
          <w:color w:val="auto"/>
        </w:rPr>
        <w:t>）</w:t>
      </w:r>
      <w:r>
        <w:rPr>
          <w:rFonts w:hint="eastAsia"/>
          <w:color w:val="auto"/>
          <w:lang w:eastAsia="zh-CN"/>
        </w:rPr>
        <w:t>：“</w:t>
      </w:r>
      <w:r>
        <w:rPr>
          <w:rFonts w:ascii="宋体" w:hAnsi="宋体" w:eastAsia="宋体" w:cs="宋体"/>
          <w:color w:val="auto"/>
          <w:sz w:val="24"/>
          <w:szCs w:val="24"/>
        </w:rPr>
        <w:t>污染影响类建设项目评价范围应涵盖直接占用区域以及污染物排放产生的间接生态影响区域。</w:t>
      </w:r>
      <w:r>
        <w:rPr>
          <w:rFonts w:hint="eastAsia"/>
          <w:color w:val="auto"/>
          <w:lang w:eastAsia="zh-CN"/>
        </w:rPr>
        <w:t>”</w:t>
      </w:r>
      <w:r>
        <w:rPr>
          <w:color w:val="auto"/>
        </w:rPr>
        <w:t>，项目生态影响简单分析</w:t>
      </w:r>
      <w:r>
        <w:rPr>
          <w:rFonts w:hint="eastAsia"/>
          <w:color w:val="auto"/>
          <w:lang w:eastAsia="zh-CN"/>
        </w:rPr>
        <w:t>，</w:t>
      </w:r>
      <w:r>
        <w:rPr>
          <w:color w:val="auto"/>
        </w:rPr>
        <w:t>生态环境评价范围可确定为本建设项目</w:t>
      </w:r>
      <w:r>
        <w:rPr>
          <w:rFonts w:ascii="宋体" w:hAnsi="宋体" w:eastAsia="宋体" w:cs="宋体"/>
          <w:color w:val="auto"/>
          <w:sz w:val="24"/>
          <w:szCs w:val="24"/>
        </w:rPr>
        <w:t>直接占用区域</w:t>
      </w:r>
      <w:r>
        <w:rPr>
          <w:color w:val="auto"/>
        </w:rPr>
        <w:t>。</w:t>
      </w:r>
    </w:p>
    <w:p w14:paraId="3B454114">
      <w:pPr>
        <w:pStyle w:val="64"/>
        <w:numPr>
          <w:ilvl w:val="2"/>
          <w:numId w:val="8"/>
        </w:numPr>
        <w:spacing w:before="166" w:after="166"/>
        <w:ind w:left="709" w:leftChars="0" w:hanging="709" w:firstLineChars="0"/>
        <w:rPr>
          <w:color w:val="auto"/>
        </w:rPr>
      </w:pPr>
      <w:r>
        <w:rPr>
          <w:color w:val="auto"/>
        </w:rPr>
        <w:t>环境风险评价范围</w:t>
      </w:r>
    </w:p>
    <w:p w14:paraId="10127B9E">
      <w:pPr>
        <w:bidi w:val="0"/>
        <w:rPr>
          <w:rFonts w:hint="eastAsia"/>
        </w:rPr>
      </w:pPr>
      <w:bookmarkStart w:id="55" w:name="_Toc11847"/>
      <w:r>
        <w:rPr>
          <w:rFonts w:ascii="宋体" w:hAnsi="宋体" w:eastAsia="宋体" w:cs="宋体"/>
          <w:spacing w:val="2"/>
          <w:sz w:val="24"/>
          <w:szCs w:val="24"/>
        </w:rPr>
        <w:t>根据《建设项目环境风险评价技术导则》</w:t>
      </w:r>
      <w:r>
        <w:rPr>
          <w:rFonts w:ascii="Times New Roman" w:hAnsi="Times New Roman" w:eastAsia="Times New Roman" w:cs="Times New Roman"/>
          <w:spacing w:val="2"/>
          <w:sz w:val="24"/>
          <w:szCs w:val="24"/>
        </w:rPr>
        <w:t>(</w:t>
      </w:r>
      <w:r>
        <w:rPr>
          <w:rFonts w:ascii="Times New Roman" w:hAnsi="Times New Roman" w:eastAsia="Times New Roman" w:cs="Times New Roman"/>
          <w:sz w:val="24"/>
          <w:szCs w:val="24"/>
        </w:rPr>
        <w:t>HJ</w:t>
      </w:r>
      <w:r>
        <w:rPr>
          <w:rFonts w:ascii="Times New Roman" w:hAnsi="Times New Roman" w:eastAsia="Times New Roman" w:cs="Times New Roman"/>
          <w:spacing w:val="2"/>
          <w:sz w:val="24"/>
          <w:szCs w:val="24"/>
        </w:rPr>
        <w:t>169-2018)</w:t>
      </w:r>
      <w:r>
        <w:rPr>
          <w:rFonts w:ascii="宋体" w:hAnsi="宋体" w:eastAsia="宋体" w:cs="宋体"/>
          <w:spacing w:val="2"/>
          <w:sz w:val="24"/>
          <w:szCs w:val="24"/>
        </w:rPr>
        <w:t>，项目所涉及的环境风险物</w:t>
      </w:r>
      <w:r>
        <w:rPr>
          <w:rFonts w:ascii="宋体" w:hAnsi="宋体" w:eastAsia="宋体" w:cs="宋体"/>
          <w:spacing w:val="-1"/>
          <w:sz w:val="24"/>
          <w:szCs w:val="24"/>
        </w:rPr>
        <w:t>质主要有乙酸乙酯、异丙醇等物料，经调查分析项目</w:t>
      </w:r>
      <w:r>
        <w:rPr>
          <w:rFonts w:ascii="宋体" w:hAnsi="宋体" w:eastAsia="宋体" w:cs="宋体"/>
          <w:spacing w:val="-33"/>
          <w:sz w:val="24"/>
          <w:szCs w:val="24"/>
        </w:rPr>
        <w:t xml:space="preserve"> </w:t>
      </w:r>
      <w:r>
        <w:rPr>
          <w:rFonts w:ascii="Times New Roman" w:hAnsi="Times New Roman" w:eastAsia="Times New Roman" w:cs="Times New Roman"/>
          <w:spacing w:val="-1"/>
          <w:sz w:val="24"/>
          <w:szCs w:val="24"/>
        </w:rPr>
        <w:t>Q</w:t>
      </w: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，项目环境风险潜势为</w:t>
      </w:r>
      <w:r>
        <w:rPr>
          <w:rFonts w:ascii="Times New Roman" w:hAnsi="Times New Roman" w:eastAsia="Times New Roman" w:cs="Times New Roman"/>
          <w:sz w:val="24"/>
          <w:szCs w:val="24"/>
        </w:rPr>
        <w:t>I</w:t>
      </w:r>
      <w:r>
        <w:rPr>
          <w:rFonts w:ascii="宋体" w:hAnsi="宋体" w:eastAsia="宋体" w:cs="宋体"/>
          <w:sz w:val="24"/>
          <w:szCs w:val="24"/>
        </w:rPr>
        <w:t>，故环境风险评价工作等级为简单分析，不需设置环境</w:t>
      </w:r>
      <w:r>
        <w:rPr>
          <w:rFonts w:ascii="宋体" w:hAnsi="宋体" w:eastAsia="宋体" w:cs="宋体"/>
          <w:spacing w:val="-1"/>
          <w:sz w:val="24"/>
          <w:szCs w:val="24"/>
        </w:rPr>
        <w:t>风险评价范围。</w:t>
      </w:r>
    </w:p>
    <w:p w14:paraId="1DB62B4C">
      <w:pPr>
        <w:pStyle w:val="67"/>
        <w:numPr>
          <w:ilvl w:val="1"/>
          <w:numId w:val="8"/>
        </w:numPr>
        <w:bidi w:val="0"/>
        <w:ind w:left="567" w:leftChars="0" w:hanging="567"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评价因子</w:t>
      </w:r>
      <w:bookmarkEnd w:id="55"/>
    </w:p>
    <w:p w14:paraId="4B2897D2">
      <w:pPr>
        <w:ind w:firstLine="480"/>
        <w:rPr>
          <w:color w:val="auto"/>
        </w:rPr>
      </w:pPr>
      <w:r>
        <w:rPr>
          <w:color w:val="auto"/>
        </w:rPr>
        <w:t>根据工程分析及环境影响要素、影响因子识别，确定的评价因子详见表1.</w:t>
      </w:r>
      <w:r>
        <w:rPr>
          <w:rFonts w:hint="eastAsia"/>
          <w:color w:val="auto"/>
        </w:rPr>
        <w:t>7</w:t>
      </w:r>
      <w:r>
        <w:rPr>
          <w:color w:val="auto"/>
        </w:rPr>
        <w:t>-</w:t>
      </w:r>
      <w:r>
        <w:rPr>
          <w:rFonts w:hint="eastAsia"/>
          <w:color w:val="auto"/>
        </w:rPr>
        <w:t>1</w:t>
      </w:r>
      <w:r>
        <w:rPr>
          <w:color w:val="auto"/>
        </w:rPr>
        <w:t>。</w:t>
      </w:r>
    </w:p>
    <w:p w14:paraId="31A2AA59">
      <w:pPr>
        <w:tabs>
          <w:tab w:val="left" w:pos="0"/>
          <w:tab w:val="left" w:pos="870"/>
        </w:tabs>
        <w:ind w:firstLine="0" w:firstLineChars="0"/>
        <w:jc w:val="center"/>
        <w:rPr>
          <w:b/>
          <w:color w:val="auto"/>
        </w:rPr>
      </w:pPr>
      <w:r>
        <w:rPr>
          <w:rFonts w:hint="eastAsia"/>
          <w:b/>
          <w:color w:val="auto"/>
        </w:rPr>
        <w:t>表</w:t>
      </w:r>
      <w:r>
        <w:rPr>
          <w:b/>
          <w:color w:val="auto"/>
        </w:rPr>
        <w:t>1.</w:t>
      </w:r>
      <w:r>
        <w:rPr>
          <w:rFonts w:hint="eastAsia"/>
          <w:b/>
          <w:color w:val="auto"/>
        </w:rPr>
        <w:t>7</w:t>
      </w:r>
      <w:r>
        <w:rPr>
          <w:b/>
          <w:color w:val="auto"/>
        </w:rPr>
        <w:t>-</w:t>
      </w:r>
      <w:r>
        <w:rPr>
          <w:rFonts w:hint="eastAsia"/>
          <w:b/>
          <w:color w:val="auto"/>
        </w:rPr>
        <w:t>1</w:t>
      </w:r>
      <w:r>
        <w:rPr>
          <w:b/>
          <w:color w:val="auto"/>
        </w:rPr>
        <w:t xml:space="preserve">  项目环境影响评价因子一览表</w:t>
      </w:r>
    </w:p>
    <w:tbl>
      <w:tblPr>
        <w:tblStyle w:val="38"/>
        <w:tblW w:w="9231"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5331"/>
        <w:gridCol w:w="2783"/>
      </w:tblGrid>
      <w:tr w14:paraId="666DE39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117" w:type="dxa"/>
            <w:vMerge w:val="restart"/>
            <w:vAlign w:val="center"/>
          </w:tcPr>
          <w:p w14:paraId="4A3B75F8">
            <w:pPr>
              <w:pStyle w:val="59"/>
              <w:rPr>
                <w:color w:val="auto"/>
                <w:kern w:val="2"/>
                <w:szCs w:val="21"/>
              </w:rPr>
            </w:pPr>
            <w:r>
              <w:rPr>
                <w:color w:val="auto"/>
                <w:kern w:val="2"/>
                <w:szCs w:val="21"/>
              </w:rPr>
              <w:t>环境要素</w:t>
            </w:r>
          </w:p>
        </w:tc>
        <w:tc>
          <w:tcPr>
            <w:tcW w:w="8114" w:type="dxa"/>
            <w:gridSpan w:val="2"/>
            <w:vAlign w:val="center"/>
          </w:tcPr>
          <w:p w14:paraId="67B4480A">
            <w:pPr>
              <w:pStyle w:val="59"/>
              <w:rPr>
                <w:color w:val="auto"/>
                <w:kern w:val="2"/>
                <w:szCs w:val="21"/>
              </w:rPr>
            </w:pPr>
            <w:r>
              <w:rPr>
                <w:color w:val="auto"/>
                <w:kern w:val="2"/>
                <w:szCs w:val="21"/>
              </w:rPr>
              <w:t>评价因子</w:t>
            </w:r>
          </w:p>
        </w:tc>
      </w:tr>
      <w:tr w14:paraId="0E4D72E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117" w:type="dxa"/>
            <w:vMerge w:val="continue"/>
            <w:vAlign w:val="center"/>
          </w:tcPr>
          <w:p w14:paraId="24B671CA">
            <w:pPr>
              <w:pStyle w:val="59"/>
              <w:rPr>
                <w:color w:val="auto"/>
                <w:kern w:val="2"/>
                <w:szCs w:val="21"/>
              </w:rPr>
            </w:pPr>
          </w:p>
        </w:tc>
        <w:tc>
          <w:tcPr>
            <w:tcW w:w="5331" w:type="dxa"/>
            <w:vAlign w:val="center"/>
          </w:tcPr>
          <w:p w14:paraId="4990ECB6">
            <w:pPr>
              <w:pStyle w:val="59"/>
              <w:rPr>
                <w:color w:val="auto"/>
                <w:kern w:val="2"/>
                <w:szCs w:val="21"/>
              </w:rPr>
            </w:pPr>
            <w:r>
              <w:rPr>
                <w:color w:val="auto"/>
                <w:kern w:val="2"/>
                <w:szCs w:val="21"/>
              </w:rPr>
              <w:t>现状评价</w:t>
            </w:r>
          </w:p>
        </w:tc>
        <w:tc>
          <w:tcPr>
            <w:tcW w:w="2783" w:type="dxa"/>
            <w:vAlign w:val="center"/>
          </w:tcPr>
          <w:p w14:paraId="16711501">
            <w:pPr>
              <w:pStyle w:val="59"/>
              <w:rPr>
                <w:color w:val="auto"/>
                <w:kern w:val="2"/>
                <w:szCs w:val="21"/>
              </w:rPr>
            </w:pPr>
            <w:r>
              <w:rPr>
                <w:color w:val="auto"/>
                <w:kern w:val="2"/>
                <w:szCs w:val="21"/>
              </w:rPr>
              <w:t>预测评价</w:t>
            </w:r>
          </w:p>
        </w:tc>
      </w:tr>
      <w:tr w14:paraId="7695BA9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17" w:type="dxa"/>
            <w:vAlign w:val="center"/>
          </w:tcPr>
          <w:p w14:paraId="57C30774">
            <w:pPr>
              <w:pStyle w:val="59"/>
              <w:rPr>
                <w:color w:val="auto"/>
                <w:kern w:val="2"/>
                <w:szCs w:val="21"/>
              </w:rPr>
            </w:pPr>
            <w:r>
              <w:rPr>
                <w:color w:val="auto"/>
                <w:kern w:val="2"/>
                <w:szCs w:val="21"/>
              </w:rPr>
              <w:t>大气环境</w:t>
            </w:r>
          </w:p>
        </w:tc>
        <w:tc>
          <w:tcPr>
            <w:tcW w:w="5331" w:type="dxa"/>
            <w:vAlign w:val="center"/>
          </w:tcPr>
          <w:p w14:paraId="1037DF1A">
            <w:pPr>
              <w:pStyle w:val="59"/>
              <w:rPr>
                <w:rFonts w:hint="default" w:ascii="宋体" w:hAnsi="宋体" w:cs="宋体"/>
                <w:spacing w:val="9"/>
                <w:sz w:val="21"/>
                <w:szCs w:val="21"/>
                <w:lang w:val="en-US" w:eastAsia="zh-CN"/>
              </w:rPr>
            </w:pPr>
            <w:r>
              <w:rPr>
                <w:color w:val="auto"/>
                <w:sz w:val="21"/>
                <w:szCs w:val="21"/>
              </w:rPr>
              <w:t>SO₂、NO₂、PM</w:t>
            </w:r>
            <w:r>
              <w:rPr>
                <w:color w:val="auto"/>
                <w:sz w:val="21"/>
                <w:szCs w:val="21"/>
                <w:vertAlign w:val="subscript"/>
              </w:rPr>
              <w:t>10</w:t>
            </w:r>
            <w:r>
              <w:rPr>
                <w:color w:val="auto"/>
                <w:sz w:val="21"/>
                <w:szCs w:val="21"/>
              </w:rPr>
              <w:t>、CO、PM</w:t>
            </w:r>
            <w:r>
              <w:rPr>
                <w:color w:val="auto"/>
                <w:sz w:val="21"/>
                <w:szCs w:val="21"/>
                <w:vertAlign w:val="subscript"/>
              </w:rPr>
              <w:t>2.5</w:t>
            </w:r>
            <w:r>
              <w:rPr>
                <w:color w:val="auto"/>
                <w:sz w:val="21"/>
                <w:szCs w:val="21"/>
              </w:rPr>
              <w:t>、</w:t>
            </w:r>
            <w:r>
              <w:rPr>
                <w:rFonts w:hint="eastAsia"/>
                <w:color w:val="auto"/>
                <w:sz w:val="21"/>
                <w:szCs w:val="21"/>
              </w:rPr>
              <w:t>臭氧、</w:t>
            </w:r>
            <w:r>
              <w:rPr>
                <w:rFonts w:hint="eastAsia"/>
                <w:color w:val="auto"/>
                <w:kern w:val="2"/>
                <w:sz w:val="21"/>
                <w:szCs w:val="21"/>
              </w:rPr>
              <w:t>NMHC、</w:t>
            </w:r>
            <w:r>
              <w:rPr>
                <w:rFonts w:hint="eastAsia"/>
                <w:color w:val="auto"/>
                <w:sz w:val="21"/>
                <w:szCs w:val="21"/>
              </w:rPr>
              <w:t>TVOC、TSP、</w:t>
            </w:r>
            <w:r>
              <w:rPr>
                <w:rFonts w:hint="eastAsia"/>
                <w:color w:val="auto"/>
                <w:kern w:val="2"/>
                <w:sz w:val="21"/>
                <w:szCs w:val="21"/>
              </w:rPr>
              <w:t>臭气浓度、</w:t>
            </w:r>
            <w:r>
              <w:rPr>
                <w:rFonts w:hint="eastAsia" w:ascii="宋体" w:hAnsi="宋体" w:eastAsia="宋体" w:cs="宋体"/>
                <w:spacing w:val="9"/>
                <w:sz w:val="21"/>
                <w:szCs w:val="21"/>
                <w:lang w:val="en-US" w:eastAsia="zh-CN"/>
              </w:rPr>
              <w:t>NOx</w:t>
            </w:r>
            <w:r>
              <w:rPr>
                <w:rFonts w:hint="eastAsia" w:ascii="宋体" w:hAnsi="宋体" w:cs="宋体"/>
                <w:spacing w:val="9"/>
                <w:sz w:val="21"/>
                <w:szCs w:val="21"/>
                <w:lang w:val="en-US" w:eastAsia="zh-CN"/>
              </w:rPr>
              <w:t>、HCl</w:t>
            </w:r>
          </w:p>
        </w:tc>
        <w:tc>
          <w:tcPr>
            <w:tcW w:w="2783" w:type="dxa"/>
            <w:vAlign w:val="center"/>
          </w:tcPr>
          <w:p w14:paraId="17B621B6">
            <w:pPr>
              <w:pStyle w:val="59"/>
              <w:rPr>
                <w:rFonts w:hint="default" w:eastAsia="宋体"/>
                <w:color w:val="auto"/>
                <w:kern w:val="2"/>
                <w:sz w:val="21"/>
                <w:szCs w:val="21"/>
                <w:lang w:val="en-US" w:eastAsia="zh-CN"/>
              </w:rPr>
            </w:pPr>
            <w:r>
              <w:rPr>
                <w:rFonts w:hint="eastAsia"/>
                <w:color w:val="auto"/>
                <w:sz w:val="21"/>
                <w:szCs w:val="21"/>
              </w:rPr>
              <w:t>VOC</w:t>
            </w:r>
            <w:r>
              <w:rPr>
                <w:rFonts w:hint="eastAsia"/>
                <w:color w:val="auto"/>
                <w:sz w:val="21"/>
                <w:szCs w:val="21"/>
                <w:lang w:eastAsia="zh-CN"/>
              </w:rPr>
              <w:t>、</w:t>
            </w:r>
            <w:r>
              <w:rPr>
                <w:color w:val="auto"/>
                <w:sz w:val="21"/>
                <w:szCs w:val="21"/>
              </w:rPr>
              <w:t>PM</w:t>
            </w:r>
            <w:r>
              <w:rPr>
                <w:color w:val="auto"/>
                <w:sz w:val="21"/>
                <w:szCs w:val="21"/>
                <w:vertAlign w:val="subscript"/>
              </w:rPr>
              <w:t>10</w:t>
            </w:r>
            <w:r>
              <w:rPr>
                <w:rFonts w:hint="eastAsia"/>
                <w:color w:val="auto"/>
                <w:kern w:val="2"/>
                <w:sz w:val="21"/>
                <w:szCs w:val="21"/>
              </w:rPr>
              <w:t>、</w:t>
            </w:r>
            <w:r>
              <w:rPr>
                <w:rFonts w:hint="eastAsia" w:ascii="宋体" w:hAnsi="宋体" w:eastAsia="宋体" w:cs="宋体"/>
                <w:spacing w:val="9"/>
                <w:sz w:val="21"/>
                <w:szCs w:val="21"/>
                <w:lang w:val="en-US" w:eastAsia="zh-CN"/>
              </w:rPr>
              <w:t>NOx</w:t>
            </w:r>
            <w:r>
              <w:rPr>
                <w:color w:val="auto"/>
                <w:sz w:val="21"/>
                <w:szCs w:val="21"/>
              </w:rPr>
              <w:t>、SO₂</w:t>
            </w:r>
            <w:r>
              <w:rPr>
                <w:rFonts w:hint="eastAsia"/>
                <w:color w:val="auto"/>
                <w:sz w:val="21"/>
                <w:szCs w:val="21"/>
                <w:lang w:eastAsia="zh-CN"/>
              </w:rPr>
              <w:t>、</w:t>
            </w:r>
            <w:r>
              <w:rPr>
                <w:rFonts w:hint="eastAsia"/>
                <w:color w:val="auto"/>
                <w:sz w:val="21"/>
                <w:szCs w:val="21"/>
                <w:lang w:val="en-US" w:eastAsia="zh-CN"/>
              </w:rPr>
              <w:t>NMHC</w:t>
            </w:r>
          </w:p>
        </w:tc>
      </w:tr>
      <w:tr w14:paraId="2800005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17" w:type="dxa"/>
            <w:vAlign w:val="center"/>
          </w:tcPr>
          <w:p w14:paraId="303E8558">
            <w:pPr>
              <w:pStyle w:val="59"/>
              <w:rPr>
                <w:color w:val="auto"/>
                <w:kern w:val="2"/>
                <w:szCs w:val="21"/>
              </w:rPr>
            </w:pPr>
            <w:r>
              <w:rPr>
                <w:rFonts w:hint="eastAsia"/>
                <w:color w:val="auto"/>
                <w:kern w:val="2"/>
                <w:szCs w:val="21"/>
              </w:rPr>
              <w:t>地表</w:t>
            </w:r>
            <w:r>
              <w:rPr>
                <w:color w:val="auto"/>
                <w:kern w:val="2"/>
                <w:szCs w:val="21"/>
              </w:rPr>
              <w:t>水环境</w:t>
            </w:r>
          </w:p>
        </w:tc>
        <w:tc>
          <w:tcPr>
            <w:tcW w:w="5331" w:type="dxa"/>
            <w:vAlign w:val="center"/>
          </w:tcPr>
          <w:p w14:paraId="03F25914">
            <w:pPr>
              <w:pStyle w:val="59"/>
              <w:rPr>
                <w:color w:val="auto"/>
                <w:kern w:val="2"/>
                <w:sz w:val="21"/>
                <w:szCs w:val="21"/>
              </w:rPr>
            </w:pPr>
            <w:r>
              <w:rPr>
                <w:rFonts w:hint="eastAsia"/>
                <w:color w:val="auto"/>
                <w:sz w:val="21"/>
                <w:szCs w:val="21"/>
              </w:rPr>
              <w:t>——</w:t>
            </w:r>
          </w:p>
        </w:tc>
        <w:tc>
          <w:tcPr>
            <w:tcW w:w="2783" w:type="dxa"/>
            <w:vAlign w:val="center"/>
          </w:tcPr>
          <w:p w14:paraId="3367ADBC">
            <w:pPr>
              <w:pStyle w:val="59"/>
              <w:rPr>
                <w:color w:val="auto"/>
                <w:kern w:val="2"/>
                <w:sz w:val="21"/>
                <w:szCs w:val="21"/>
              </w:rPr>
            </w:pPr>
            <w:r>
              <w:rPr>
                <w:rFonts w:hint="eastAsia"/>
                <w:color w:val="auto"/>
                <w:sz w:val="21"/>
                <w:szCs w:val="21"/>
              </w:rPr>
              <w:t>——</w:t>
            </w:r>
          </w:p>
        </w:tc>
      </w:tr>
      <w:tr w14:paraId="2823E9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17" w:type="dxa"/>
            <w:vAlign w:val="center"/>
          </w:tcPr>
          <w:p w14:paraId="29B40F17">
            <w:pPr>
              <w:pStyle w:val="59"/>
              <w:rPr>
                <w:color w:val="auto"/>
                <w:kern w:val="2"/>
                <w:szCs w:val="21"/>
              </w:rPr>
            </w:pPr>
            <w:r>
              <w:rPr>
                <w:color w:val="auto"/>
                <w:kern w:val="2"/>
                <w:szCs w:val="21"/>
              </w:rPr>
              <w:t>声环境</w:t>
            </w:r>
          </w:p>
        </w:tc>
        <w:tc>
          <w:tcPr>
            <w:tcW w:w="5331" w:type="dxa"/>
            <w:vAlign w:val="center"/>
          </w:tcPr>
          <w:p w14:paraId="7C6F65D1">
            <w:pPr>
              <w:pStyle w:val="59"/>
              <w:rPr>
                <w:color w:val="auto"/>
                <w:kern w:val="2"/>
                <w:sz w:val="21"/>
                <w:szCs w:val="21"/>
              </w:rPr>
            </w:pPr>
            <w:r>
              <w:rPr>
                <w:color w:val="auto"/>
                <w:kern w:val="2"/>
                <w:sz w:val="21"/>
                <w:szCs w:val="21"/>
              </w:rPr>
              <w:t>LAeq</w:t>
            </w:r>
          </w:p>
        </w:tc>
        <w:tc>
          <w:tcPr>
            <w:tcW w:w="2783" w:type="dxa"/>
            <w:vAlign w:val="center"/>
          </w:tcPr>
          <w:p w14:paraId="47237F83">
            <w:pPr>
              <w:pStyle w:val="59"/>
              <w:rPr>
                <w:color w:val="auto"/>
                <w:kern w:val="2"/>
                <w:sz w:val="21"/>
                <w:szCs w:val="21"/>
              </w:rPr>
            </w:pPr>
            <w:r>
              <w:rPr>
                <w:color w:val="auto"/>
                <w:kern w:val="2"/>
                <w:sz w:val="21"/>
                <w:szCs w:val="21"/>
              </w:rPr>
              <w:t>LAeq</w:t>
            </w:r>
          </w:p>
        </w:tc>
      </w:tr>
    </w:tbl>
    <w:p w14:paraId="61ECBF92">
      <w:pPr>
        <w:ind w:firstLine="480"/>
        <w:rPr>
          <w:color w:val="auto"/>
        </w:rPr>
        <w:sectPr>
          <w:pgSz w:w="11849" w:h="16781"/>
          <w:pgMar w:top="1417" w:right="1417" w:bottom="1417" w:left="1417" w:header="992" w:footer="992" w:gutter="0"/>
          <w:pgNumType w:fmt="decimal"/>
          <w:cols w:space="720" w:num="1"/>
          <w:docGrid w:type="lines" w:linePitch="332" w:charSpace="0"/>
        </w:sectPr>
      </w:pPr>
    </w:p>
    <w:p w14:paraId="50482DDA">
      <w:pPr>
        <w:pStyle w:val="66"/>
        <w:numPr>
          <w:ilvl w:val="0"/>
          <w:numId w:val="8"/>
        </w:numPr>
        <w:ind w:left="425" w:leftChars="0" w:hanging="425" w:firstLineChars="0"/>
        <w:rPr>
          <w:color w:val="auto"/>
        </w:rPr>
      </w:pPr>
      <w:bookmarkStart w:id="56" w:name="_Toc18212"/>
      <w:r>
        <w:rPr>
          <w:rFonts w:hint="eastAsia"/>
          <w:color w:val="auto"/>
        </w:rPr>
        <w:t>工程分析</w:t>
      </w:r>
      <w:bookmarkEnd w:id="56"/>
    </w:p>
    <w:p w14:paraId="163CFE25">
      <w:pPr>
        <w:pStyle w:val="67"/>
        <w:numPr>
          <w:ilvl w:val="1"/>
          <w:numId w:val="8"/>
        </w:numPr>
        <w:bidi w:val="0"/>
        <w:ind w:left="567" w:leftChars="0" w:hanging="567" w:firstLineChars="0"/>
        <w:rPr>
          <w:color w:val="auto"/>
        </w:rPr>
      </w:pPr>
      <w:bookmarkStart w:id="57" w:name="_Toc11810"/>
      <w:r>
        <w:rPr>
          <w:rFonts w:hint="eastAsia"/>
          <w:color w:val="auto"/>
        </w:rPr>
        <w:t>项目基本情况</w:t>
      </w:r>
      <w:bookmarkEnd w:id="57"/>
    </w:p>
    <w:p w14:paraId="7D58B07A">
      <w:pPr>
        <w:ind w:firstLine="482"/>
        <w:rPr>
          <w:rFonts w:hint="eastAsia" w:eastAsia="宋体"/>
          <w:color w:val="auto"/>
          <w:lang w:eastAsia="zh-CN"/>
        </w:rPr>
      </w:pPr>
      <w:r>
        <w:rPr>
          <w:b/>
          <w:bCs/>
          <w:color w:val="auto"/>
        </w:rPr>
        <w:t>项目名称：</w:t>
      </w:r>
      <w:r>
        <w:rPr>
          <w:rFonts w:hint="eastAsia"/>
          <w:color w:val="auto"/>
          <w:lang w:eastAsia="zh-CN"/>
        </w:rPr>
        <w:t>鹤山市衍鹏印刷有限公司年产450吨包装卷膜新建项目</w:t>
      </w:r>
    </w:p>
    <w:p w14:paraId="40794956">
      <w:pPr>
        <w:ind w:firstLine="482"/>
        <w:rPr>
          <w:rFonts w:hint="default" w:eastAsia="宋体"/>
          <w:b/>
          <w:bCs/>
          <w:color w:val="auto"/>
          <w:lang w:val="en-US" w:eastAsia="zh-CN"/>
        </w:rPr>
      </w:pPr>
      <w:r>
        <w:rPr>
          <w:rFonts w:hint="eastAsia"/>
          <w:b/>
          <w:bCs/>
          <w:color w:val="auto"/>
          <w:lang w:val="en-US" w:eastAsia="zh-CN"/>
        </w:rPr>
        <w:t>项目性质：</w:t>
      </w:r>
      <w:r>
        <w:rPr>
          <w:rFonts w:hint="eastAsia"/>
          <w:b w:val="0"/>
          <w:bCs w:val="0"/>
          <w:color w:val="auto"/>
          <w:lang w:val="en-US" w:eastAsia="zh-CN"/>
        </w:rPr>
        <w:t>新建</w:t>
      </w:r>
    </w:p>
    <w:p w14:paraId="5E44A854">
      <w:pPr>
        <w:ind w:firstLine="482"/>
        <w:rPr>
          <w:rFonts w:hint="eastAsia" w:eastAsia="宋体"/>
          <w:b/>
          <w:bCs/>
          <w:color w:val="auto"/>
          <w:lang w:eastAsia="zh-CN"/>
        </w:rPr>
      </w:pPr>
      <w:r>
        <w:rPr>
          <w:rFonts w:hint="eastAsia"/>
          <w:b/>
          <w:bCs/>
          <w:color w:val="auto"/>
        </w:rPr>
        <w:t>建设单位：</w:t>
      </w:r>
      <w:r>
        <w:rPr>
          <w:rFonts w:hint="eastAsia"/>
          <w:color w:val="auto"/>
          <w:lang w:eastAsia="zh-CN"/>
        </w:rPr>
        <w:t>鹤山市衍鹏印刷有限公司</w:t>
      </w:r>
    </w:p>
    <w:p w14:paraId="05C31D73">
      <w:pPr>
        <w:ind w:firstLine="482"/>
        <w:rPr>
          <w:color w:val="auto"/>
        </w:rPr>
      </w:pPr>
      <w:r>
        <w:rPr>
          <w:rFonts w:hint="eastAsia"/>
          <w:b/>
          <w:bCs/>
          <w:color w:val="auto"/>
        </w:rPr>
        <w:t>国民经济行业类别</w:t>
      </w:r>
      <w:r>
        <w:rPr>
          <w:b/>
          <w:bCs/>
          <w:color w:val="auto"/>
          <w:lang w:val="zh-CN"/>
        </w:rPr>
        <w:t>：</w:t>
      </w:r>
      <w:r>
        <w:rPr>
          <w:rFonts w:hint="eastAsia"/>
          <w:color w:val="auto"/>
        </w:rPr>
        <w:t>本项目属于《国民经济行业分类》（GB/T 4754—2017）中“</w:t>
      </w:r>
      <w:r>
        <w:rPr>
          <w:rFonts w:ascii="Times New Roman" w:hAnsi="Times New Roman" w:eastAsia="Times New Roman" w:cs="Times New Roman"/>
          <w:spacing w:val="-1"/>
          <w:sz w:val="24"/>
          <w:szCs w:val="24"/>
        </w:rPr>
        <w:t xml:space="preserve">C2319 </w:t>
      </w:r>
      <w:r>
        <w:rPr>
          <w:rFonts w:ascii="宋体" w:hAnsi="宋体" w:eastAsia="宋体" w:cs="宋体"/>
          <w:spacing w:val="-1"/>
          <w:sz w:val="24"/>
          <w:szCs w:val="24"/>
        </w:rPr>
        <w:t>包装装潢及其他印刷</w:t>
      </w:r>
      <w:r>
        <w:rPr>
          <w:rFonts w:hint="eastAsia"/>
          <w:color w:val="auto"/>
        </w:rPr>
        <w:t>”。</w:t>
      </w:r>
    </w:p>
    <w:p w14:paraId="3737856D">
      <w:pPr>
        <w:bidi w:val="0"/>
      </w:pPr>
      <w:bookmarkStart w:id="58" w:name="_Hlk49843745"/>
      <w:r>
        <w:rPr>
          <w:rFonts w:hint="eastAsia"/>
          <w:b/>
          <w:bCs/>
        </w:rPr>
        <w:t>建设项目行业类别</w:t>
      </w:r>
      <w:bookmarkEnd w:id="58"/>
      <w:r>
        <w:rPr>
          <w:rFonts w:hint="eastAsia"/>
          <w:b/>
          <w:bCs/>
        </w:rPr>
        <w:t>：</w:t>
      </w:r>
      <w:r>
        <w:t>39印刷231-年用溶剂型油墨10吨以上的</w:t>
      </w:r>
      <w:r>
        <w:rPr>
          <w:rFonts w:hint="eastAsia"/>
        </w:rPr>
        <w:t>。</w:t>
      </w:r>
    </w:p>
    <w:p w14:paraId="539B06E5">
      <w:pPr>
        <w:ind w:firstLine="482"/>
        <w:rPr>
          <w:b/>
          <w:snapToGrid w:val="0"/>
          <w:color w:val="auto"/>
        </w:rPr>
      </w:pPr>
      <w:r>
        <w:rPr>
          <w:b/>
          <w:bCs/>
          <w:color w:val="auto"/>
        </w:rPr>
        <w:t>建设地点</w:t>
      </w:r>
      <w:r>
        <w:rPr>
          <w:b/>
          <w:bCs/>
          <w:snapToGrid w:val="0"/>
          <w:color w:val="auto"/>
        </w:rPr>
        <w:t>：</w:t>
      </w:r>
      <w:r>
        <w:rPr>
          <w:rFonts w:hint="eastAsia"/>
          <w:bCs/>
          <w:snapToGrid w:val="0"/>
          <w:color w:val="auto"/>
        </w:rPr>
        <w:t>本项目位于</w:t>
      </w:r>
      <w:r>
        <w:rPr>
          <w:rFonts w:hint="eastAsia"/>
          <w:color w:val="auto"/>
          <w:lang w:eastAsia="zh-CN"/>
        </w:rPr>
        <w:t>鹤山市古劳镇三连工业区一区20号之一的一、二楼厂房</w:t>
      </w:r>
      <w:r>
        <w:rPr>
          <w:rFonts w:hint="eastAsia"/>
          <w:bCs/>
          <w:color w:val="auto"/>
          <w:kern w:val="0"/>
        </w:rPr>
        <w:t>，</w:t>
      </w:r>
      <w:r>
        <w:rPr>
          <w:color w:val="auto"/>
        </w:rPr>
        <w:t>中心地理坐标为</w:t>
      </w:r>
      <w:r>
        <w:rPr>
          <w:rFonts w:hint="eastAsia"/>
          <w:color w:val="auto"/>
        </w:rPr>
        <w:t>E112°56′9.500″，N22°47′23.382″</w:t>
      </w:r>
      <w:r>
        <w:rPr>
          <w:rFonts w:hint="eastAsia"/>
          <w:color w:val="auto"/>
          <w:kern w:val="0"/>
          <w:szCs w:val="24"/>
        </w:rPr>
        <w:t>（坐标来自</w:t>
      </w:r>
      <w:r>
        <w:rPr>
          <w:rFonts w:hint="eastAsia"/>
          <w:color w:val="auto"/>
          <w:kern w:val="0"/>
          <w:szCs w:val="24"/>
          <w:lang w:val="en-US" w:eastAsia="zh-CN"/>
        </w:rPr>
        <w:t>91地图</w:t>
      </w:r>
      <w:r>
        <w:rPr>
          <w:rFonts w:hint="eastAsia"/>
          <w:color w:val="auto"/>
          <w:kern w:val="0"/>
          <w:szCs w:val="24"/>
        </w:rPr>
        <w:t>）</w:t>
      </w:r>
      <w:r>
        <w:rPr>
          <w:rFonts w:hint="eastAsia"/>
          <w:bCs/>
          <w:color w:val="auto"/>
          <w:kern w:val="0"/>
        </w:rPr>
        <w:t>，地理位置详见图0-1。</w:t>
      </w:r>
    </w:p>
    <w:p w14:paraId="2F7C8100">
      <w:pPr>
        <w:bidi w:val="0"/>
      </w:pPr>
      <w:r>
        <w:rPr>
          <w:rFonts w:hint="eastAsia"/>
          <w:b/>
          <w:bCs/>
        </w:rPr>
        <w:t>四至情况：</w:t>
      </w:r>
      <w:r>
        <w:rPr>
          <w:rFonts w:hint="eastAsia"/>
          <w:lang w:val="en-US" w:eastAsia="zh-CN"/>
        </w:rPr>
        <w:t>项目租用鹤山市东达塑料制品有限公司的生产大楼一楼部分车间和2楼全部车间进行生产。项目东侧为绿地、</w:t>
      </w:r>
      <w:r>
        <w:rPr>
          <w:rFonts w:hint="eastAsia"/>
        </w:rPr>
        <w:t>鹤山市能邦机械有限公司</w:t>
      </w:r>
      <w:r>
        <w:rPr>
          <w:rFonts w:hint="eastAsia"/>
          <w:lang w:val="en-US" w:eastAsia="zh-CN"/>
        </w:rPr>
        <w:t>，</w:t>
      </w:r>
      <w:r>
        <w:rPr>
          <w:rFonts w:hint="eastAsia"/>
        </w:rPr>
        <w:t>南侧为</w:t>
      </w:r>
      <w:r>
        <w:rPr>
          <w:rFonts w:hint="eastAsia"/>
          <w:lang w:val="en-US" w:eastAsia="zh-CN"/>
        </w:rPr>
        <w:t>鹤山市东达塑料制品有限公司</w:t>
      </w:r>
      <w:r>
        <w:rPr>
          <w:rFonts w:hint="eastAsia"/>
        </w:rPr>
        <w:t>，</w:t>
      </w:r>
      <w:r>
        <w:rPr>
          <w:rFonts w:hint="eastAsia"/>
          <w:lang w:val="en-US" w:eastAsia="zh-CN"/>
        </w:rPr>
        <w:t>西侧为待租厂房，北侧为</w:t>
      </w:r>
      <w:r>
        <w:rPr>
          <w:rFonts w:hint="eastAsia"/>
        </w:rPr>
        <w:t>丰正机械科技(江门)有限公司</w:t>
      </w:r>
      <w:r>
        <w:rPr>
          <w:rFonts w:hint="eastAsia"/>
          <w:lang w:eastAsia="zh-CN"/>
        </w:rPr>
        <w:t>、</w:t>
      </w:r>
      <w:r>
        <w:rPr>
          <w:rFonts w:hint="eastAsia"/>
          <w:lang w:val="en-US" w:eastAsia="zh-CN"/>
        </w:rPr>
        <w:t>鹤山盛荣货架有限公司、利中天塑胶厂</w:t>
      </w:r>
      <w:r>
        <w:rPr>
          <w:rFonts w:hint="eastAsia"/>
        </w:rPr>
        <w:t>。四至图见图</w:t>
      </w:r>
      <w:r>
        <w:rPr>
          <w:rFonts w:hint="eastAsia"/>
          <w:lang w:val="en-US" w:eastAsia="zh-CN"/>
        </w:rPr>
        <w:t>2</w:t>
      </w:r>
      <w:r>
        <w:rPr>
          <w:rFonts w:hint="eastAsia"/>
        </w:rPr>
        <w:t>.1-1</w:t>
      </w:r>
      <w:r>
        <w:rPr>
          <w:rFonts w:hint="eastAsia"/>
          <w:lang w:val="en-US" w:eastAsia="zh-CN"/>
        </w:rPr>
        <w:t>和图2.2-1</w:t>
      </w:r>
      <w:r>
        <w:rPr>
          <w:rFonts w:hint="eastAsia"/>
        </w:rPr>
        <w:t>。</w:t>
      </w:r>
    </w:p>
    <w:p w14:paraId="7F1F3CF9">
      <w:pPr>
        <w:ind w:firstLine="482"/>
        <w:rPr>
          <w:color w:val="auto"/>
          <w:highlight w:val="yellow"/>
        </w:rPr>
      </w:pPr>
      <w:r>
        <w:rPr>
          <w:b/>
          <w:color w:val="auto"/>
        </w:rPr>
        <w:t>项目投资</w:t>
      </w:r>
      <w:r>
        <w:rPr>
          <w:color w:val="auto"/>
        </w:rPr>
        <w:t>：</w:t>
      </w:r>
      <w:r>
        <w:rPr>
          <w:rFonts w:hint="eastAsia"/>
          <w:color w:val="auto"/>
        </w:rPr>
        <w:t>总投资约</w:t>
      </w:r>
      <w:r>
        <w:rPr>
          <w:rFonts w:hint="eastAsia"/>
          <w:color w:val="auto"/>
          <w:lang w:val="en-US" w:eastAsia="zh-CN"/>
        </w:rPr>
        <w:t>25</w:t>
      </w:r>
      <w:r>
        <w:rPr>
          <w:rFonts w:hint="eastAsia"/>
          <w:color w:val="auto"/>
        </w:rPr>
        <w:t>00万元</w:t>
      </w:r>
      <w:r>
        <w:rPr>
          <w:color w:val="auto"/>
        </w:rPr>
        <w:t>，其中环保投资</w:t>
      </w:r>
      <w:r>
        <w:rPr>
          <w:rFonts w:hint="eastAsia"/>
          <w:color w:val="auto"/>
          <w:lang w:val="en-US" w:eastAsia="zh-CN"/>
        </w:rPr>
        <w:t>200</w:t>
      </w:r>
      <w:r>
        <w:rPr>
          <w:rFonts w:hint="eastAsia"/>
          <w:color w:val="auto"/>
        </w:rPr>
        <w:t>万</w:t>
      </w:r>
      <w:r>
        <w:rPr>
          <w:color w:val="auto"/>
        </w:rPr>
        <w:t>元</w:t>
      </w:r>
      <w:r>
        <w:rPr>
          <w:rFonts w:hint="eastAsia"/>
          <w:color w:val="auto"/>
        </w:rPr>
        <w:t>，</w:t>
      </w:r>
      <w:r>
        <w:rPr>
          <w:color w:val="auto"/>
        </w:rPr>
        <w:t>占总投资的</w:t>
      </w:r>
      <w:r>
        <w:rPr>
          <w:rFonts w:hint="eastAsia"/>
          <w:color w:val="auto"/>
          <w:lang w:val="en-US" w:eastAsia="zh-CN"/>
        </w:rPr>
        <w:t>8</w:t>
      </w:r>
      <w:r>
        <w:rPr>
          <w:rFonts w:hint="eastAsia"/>
          <w:color w:val="auto"/>
          <w:lang w:eastAsia="zh-CN"/>
        </w:rPr>
        <w:t>%</w:t>
      </w:r>
      <w:r>
        <w:rPr>
          <w:color w:val="auto"/>
        </w:rPr>
        <w:t>。</w:t>
      </w:r>
    </w:p>
    <w:p w14:paraId="137FF1CC">
      <w:pPr>
        <w:ind w:firstLine="482"/>
        <w:rPr>
          <w:color w:val="auto"/>
        </w:rPr>
      </w:pPr>
      <w:r>
        <w:rPr>
          <w:b/>
          <w:bCs/>
          <w:color w:val="auto"/>
        </w:rPr>
        <w:t>劳动定员</w:t>
      </w:r>
      <w:r>
        <w:rPr>
          <w:rFonts w:hint="eastAsia"/>
          <w:b/>
          <w:bCs/>
          <w:color w:val="auto"/>
        </w:rPr>
        <w:t>：</w:t>
      </w:r>
      <w:r>
        <w:rPr>
          <w:rFonts w:hint="eastAsia"/>
          <w:b/>
          <w:bCs/>
          <w:color w:val="auto"/>
          <w:lang w:val="en-US" w:eastAsia="zh-CN"/>
        </w:rPr>
        <w:t>劳动</w:t>
      </w:r>
      <w:r>
        <w:rPr>
          <w:rFonts w:hint="eastAsia"/>
          <w:color w:val="auto"/>
        </w:rPr>
        <w:t>定员</w:t>
      </w:r>
      <w:r>
        <w:rPr>
          <w:rFonts w:hint="eastAsia"/>
          <w:color w:val="auto"/>
          <w:lang w:val="en-US" w:eastAsia="zh-CN"/>
        </w:rPr>
        <w:t>3</w:t>
      </w:r>
      <w:r>
        <w:rPr>
          <w:rFonts w:hint="eastAsia"/>
          <w:color w:val="auto"/>
        </w:rPr>
        <w:t>0人，年工作300天，</w:t>
      </w:r>
      <w:r>
        <w:rPr>
          <w:rFonts w:hint="eastAsia"/>
          <w:color w:val="auto"/>
          <w:lang w:val="en-US" w:eastAsia="zh-CN"/>
        </w:rPr>
        <w:t>8</w:t>
      </w:r>
      <w:r>
        <w:rPr>
          <w:rFonts w:hint="eastAsia"/>
          <w:color w:val="auto"/>
        </w:rPr>
        <w:t>h/d，均不在厂内食宿。</w:t>
      </w:r>
    </w:p>
    <w:p w14:paraId="3AC8057C">
      <w:pPr>
        <w:bidi w:val="0"/>
        <w:rPr>
          <w:rFonts w:hint="default"/>
          <w:lang w:val="en-US" w:eastAsia="zh-CN"/>
        </w:rPr>
      </w:pPr>
      <w:r>
        <w:rPr>
          <w:rFonts w:hint="eastAsia"/>
          <w:b/>
          <w:bCs/>
        </w:rPr>
        <w:t>建设规划：</w:t>
      </w:r>
      <w:r>
        <w:t>预计施工 1 个月，于 202</w:t>
      </w:r>
      <w:r>
        <w:rPr>
          <w:rFonts w:hint="eastAsia"/>
          <w:lang w:val="en-US" w:eastAsia="zh-CN"/>
        </w:rPr>
        <w:t>6</w:t>
      </w:r>
      <w:r>
        <w:t>年 8月投产</w:t>
      </w:r>
      <w:r>
        <w:rPr>
          <w:rFonts w:hint="eastAsia"/>
          <w:lang w:val="en-US" w:eastAsia="zh-CN"/>
        </w:rPr>
        <w:t>。</w:t>
      </w:r>
    </w:p>
    <w:tbl>
      <w:tblPr>
        <w:tblStyle w:val="38"/>
        <w:tblW w:w="9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4"/>
        <w:gridCol w:w="4874"/>
      </w:tblGrid>
      <w:tr w14:paraId="386A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7ADD74E1">
            <w:pPr>
              <w:pStyle w:val="62"/>
              <w:bidi w:val="0"/>
              <w:jc w:val="center"/>
              <w:rPr>
                <w:rFonts w:hint="eastAsia"/>
                <w:lang w:eastAsia="zh-CN"/>
              </w:rPr>
            </w:pPr>
            <w:r>
              <w:rPr>
                <w:rFonts w:hint="eastAsia"/>
                <w:lang w:eastAsia="zh-CN"/>
              </w:rPr>
              <w:drawing>
                <wp:inline distT="0" distB="0" distL="114300" distR="114300">
                  <wp:extent cx="2962275" cy="2222500"/>
                  <wp:effectExtent l="0" t="0" r="0" b="6350"/>
                  <wp:docPr id="277" name="图片 277" descr="IMG_20260320_16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descr="IMG_20260320_161624"/>
                          <pic:cNvPicPr>
                            <a:picLocks noChangeAspect="1"/>
                          </pic:cNvPicPr>
                        </pic:nvPicPr>
                        <pic:blipFill>
                          <a:blip r:embed="rId44"/>
                          <a:stretch>
                            <a:fillRect/>
                          </a:stretch>
                        </pic:blipFill>
                        <pic:spPr>
                          <a:xfrm>
                            <a:off x="0" y="0"/>
                            <a:ext cx="2962275" cy="2222500"/>
                          </a:xfrm>
                          <a:prstGeom prst="rect">
                            <a:avLst/>
                          </a:prstGeom>
                        </pic:spPr>
                      </pic:pic>
                    </a:graphicData>
                  </a:graphic>
                </wp:inline>
              </w:drawing>
            </w:r>
          </w:p>
        </w:tc>
        <w:tc>
          <w:tcPr>
            <w:tcW w:w="4874" w:type="dxa"/>
            <w:vAlign w:val="center"/>
          </w:tcPr>
          <w:p w14:paraId="0EF62157">
            <w:pPr>
              <w:pStyle w:val="62"/>
              <w:bidi w:val="0"/>
              <w:jc w:val="center"/>
              <w:rPr>
                <w:rFonts w:hint="eastAsia"/>
                <w:lang w:eastAsia="zh-CN"/>
              </w:rPr>
            </w:pPr>
            <w:r>
              <w:rPr>
                <w:rFonts w:hint="eastAsia"/>
                <w:lang w:eastAsia="zh-CN"/>
              </w:rPr>
              <w:drawing>
                <wp:inline distT="0" distB="0" distL="114300" distR="114300">
                  <wp:extent cx="2877820" cy="2158365"/>
                  <wp:effectExtent l="0" t="0" r="8255" b="3810"/>
                  <wp:docPr id="278" name="图片 278" descr="IMG_20260320_16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descr="IMG_20260320_161730"/>
                          <pic:cNvPicPr>
                            <a:picLocks noChangeAspect="1"/>
                          </pic:cNvPicPr>
                        </pic:nvPicPr>
                        <pic:blipFill>
                          <a:blip r:embed="rId45"/>
                          <a:stretch>
                            <a:fillRect/>
                          </a:stretch>
                        </pic:blipFill>
                        <pic:spPr>
                          <a:xfrm>
                            <a:off x="0" y="0"/>
                            <a:ext cx="2877820" cy="2158365"/>
                          </a:xfrm>
                          <a:prstGeom prst="rect">
                            <a:avLst/>
                          </a:prstGeom>
                        </pic:spPr>
                      </pic:pic>
                    </a:graphicData>
                  </a:graphic>
                </wp:inline>
              </w:drawing>
            </w:r>
          </w:p>
        </w:tc>
      </w:tr>
      <w:tr w14:paraId="1FD9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661B6416">
            <w:pPr>
              <w:pStyle w:val="62"/>
              <w:bidi w:val="0"/>
              <w:jc w:val="center"/>
              <w:rPr>
                <w:rFonts w:hint="eastAsia"/>
                <w:lang w:val="en-US" w:eastAsia="zh-CN"/>
              </w:rPr>
            </w:pPr>
            <w:r>
              <w:rPr>
                <w:rFonts w:hint="eastAsia"/>
              </w:rPr>
              <w:t>项目东</w:t>
            </w:r>
            <w:r>
              <w:rPr>
                <w:rFonts w:hint="eastAsia"/>
                <w:lang w:val="en-US" w:eastAsia="zh-CN"/>
              </w:rPr>
              <w:t>南</w:t>
            </w:r>
            <w:r>
              <w:rPr>
                <w:rFonts w:hint="eastAsia"/>
              </w:rPr>
              <w:t>侧</w:t>
            </w:r>
            <w:r>
              <w:rPr>
                <w:rFonts w:hint="eastAsia"/>
                <w:lang w:val="en-US" w:eastAsia="zh-CN"/>
              </w:rPr>
              <w:t>-</w:t>
            </w:r>
            <w:r>
              <w:rPr>
                <w:rFonts w:hint="eastAsia"/>
              </w:rPr>
              <w:t>鹤山市能邦机械有限公司</w:t>
            </w:r>
          </w:p>
        </w:tc>
        <w:tc>
          <w:tcPr>
            <w:tcW w:w="4874" w:type="dxa"/>
            <w:vAlign w:val="center"/>
          </w:tcPr>
          <w:p w14:paraId="274F5201">
            <w:pPr>
              <w:pStyle w:val="62"/>
              <w:bidi w:val="0"/>
              <w:jc w:val="center"/>
              <w:rPr>
                <w:rFonts w:hint="default"/>
                <w:lang w:val="en-US" w:eastAsia="zh-CN"/>
              </w:rPr>
            </w:pPr>
            <w:r>
              <w:rPr>
                <w:rFonts w:hint="eastAsia"/>
              </w:rPr>
              <w:t>项目</w:t>
            </w:r>
            <w:r>
              <w:rPr>
                <w:rFonts w:hint="eastAsia"/>
                <w:lang w:val="en-US" w:eastAsia="zh-CN"/>
              </w:rPr>
              <w:t>北</w:t>
            </w:r>
            <w:r>
              <w:rPr>
                <w:rFonts w:hint="eastAsia"/>
              </w:rPr>
              <w:t>侧</w:t>
            </w:r>
            <w:r>
              <w:rPr>
                <w:rFonts w:hint="eastAsia"/>
                <w:lang w:val="en-US" w:eastAsia="zh-CN"/>
              </w:rPr>
              <w:t>敏感点-连南村</w:t>
            </w:r>
          </w:p>
        </w:tc>
      </w:tr>
      <w:tr w14:paraId="032E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567DA8FF">
            <w:pPr>
              <w:pStyle w:val="62"/>
              <w:bidi w:val="0"/>
              <w:jc w:val="center"/>
              <w:rPr>
                <w:rFonts w:hint="eastAsia"/>
                <w:lang w:eastAsia="zh-CN"/>
              </w:rPr>
            </w:pPr>
            <w:r>
              <w:rPr>
                <w:rFonts w:hint="eastAsia"/>
                <w:lang w:eastAsia="zh-CN"/>
              </w:rPr>
              <w:drawing>
                <wp:inline distT="0" distB="0" distL="114300" distR="114300">
                  <wp:extent cx="2987040" cy="2240280"/>
                  <wp:effectExtent l="0" t="0" r="3810" b="7620"/>
                  <wp:docPr id="281" name="图片 281" descr="IMG_20260320_16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descr="IMG_20260320_162226"/>
                          <pic:cNvPicPr>
                            <a:picLocks noChangeAspect="1"/>
                          </pic:cNvPicPr>
                        </pic:nvPicPr>
                        <pic:blipFill>
                          <a:blip r:embed="rId46"/>
                          <a:stretch>
                            <a:fillRect/>
                          </a:stretch>
                        </pic:blipFill>
                        <pic:spPr>
                          <a:xfrm>
                            <a:off x="0" y="0"/>
                            <a:ext cx="2987040" cy="2240280"/>
                          </a:xfrm>
                          <a:prstGeom prst="rect">
                            <a:avLst/>
                          </a:prstGeom>
                        </pic:spPr>
                      </pic:pic>
                    </a:graphicData>
                  </a:graphic>
                </wp:inline>
              </w:drawing>
            </w:r>
          </w:p>
        </w:tc>
        <w:tc>
          <w:tcPr>
            <w:tcW w:w="4874" w:type="dxa"/>
            <w:vAlign w:val="center"/>
          </w:tcPr>
          <w:p w14:paraId="6E36CCF7">
            <w:pPr>
              <w:pStyle w:val="62"/>
              <w:bidi w:val="0"/>
              <w:jc w:val="center"/>
              <w:rPr>
                <w:rFonts w:hint="eastAsia"/>
                <w:lang w:eastAsia="zh-CN"/>
              </w:rPr>
            </w:pPr>
            <w:r>
              <w:rPr>
                <w:rFonts w:hint="eastAsia"/>
                <w:lang w:eastAsia="zh-CN"/>
              </w:rPr>
              <w:drawing>
                <wp:inline distT="0" distB="0" distL="114300" distR="114300">
                  <wp:extent cx="3090545" cy="2317750"/>
                  <wp:effectExtent l="0" t="0" r="5080" b="6350"/>
                  <wp:docPr id="282" name="图片 282" descr="IMG_20260320_17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descr="IMG_20260320_173645"/>
                          <pic:cNvPicPr>
                            <a:picLocks noChangeAspect="1"/>
                          </pic:cNvPicPr>
                        </pic:nvPicPr>
                        <pic:blipFill>
                          <a:blip r:embed="rId47"/>
                          <a:stretch>
                            <a:fillRect/>
                          </a:stretch>
                        </pic:blipFill>
                        <pic:spPr>
                          <a:xfrm>
                            <a:off x="0" y="0"/>
                            <a:ext cx="3090545" cy="2317750"/>
                          </a:xfrm>
                          <a:prstGeom prst="rect">
                            <a:avLst/>
                          </a:prstGeom>
                        </pic:spPr>
                      </pic:pic>
                    </a:graphicData>
                  </a:graphic>
                </wp:inline>
              </w:drawing>
            </w:r>
          </w:p>
        </w:tc>
      </w:tr>
      <w:tr w14:paraId="37F1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68B4B751">
            <w:pPr>
              <w:pStyle w:val="62"/>
              <w:bidi w:val="0"/>
              <w:jc w:val="center"/>
            </w:pPr>
            <w:r>
              <w:rPr>
                <w:rFonts w:hint="eastAsia"/>
                <w:lang w:val="en-US" w:eastAsia="zh-CN"/>
              </w:rPr>
              <w:t>项目南</w:t>
            </w:r>
            <w:r>
              <w:rPr>
                <w:rFonts w:hint="eastAsia"/>
              </w:rPr>
              <w:t>侧-</w:t>
            </w:r>
            <w:r>
              <w:rPr>
                <w:rFonts w:hint="eastAsia"/>
                <w:lang w:val="en-US" w:eastAsia="zh-CN"/>
              </w:rPr>
              <w:t>鹤山市东达塑料制品有限公司</w:t>
            </w:r>
          </w:p>
        </w:tc>
        <w:tc>
          <w:tcPr>
            <w:tcW w:w="4874" w:type="dxa"/>
            <w:vAlign w:val="center"/>
          </w:tcPr>
          <w:p w14:paraId="62748B07">
            <w:pPr>
              <w:pStyle w:val="62"/>
              <w:bidi w:val="0"/>
              <w:jc w:val="center"/>
              <w:rPr>
                <w:rFonts w:hint="default"/>
                <w:lang w:val="en-US" w:eastAsia="zh-CN"/>
              </w:rPr>
            </w:pPr>
            <w:r>
              <w:rPr>
                <w:rFonts w:hint="eastAsia"/>
                <w:lang w:val="en-US" w:eastAsia="zh-CN"/>
              </w:rPr>
              <w:t>项目北侧-</w:t>
            </w:r>
            <w:r>
              <w:rPr>
                <w:rFonts w:hint="eastAsia"/>
              </w:rPr>
              <w:t>丰正机械科技(江门)有限公司</w:t>
            </w:r>
          </w:p>
        </w:tc>
      </w:tr>
      <w:tr w14:paraId="41C3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09FD647D">
            <w:pPr>
              <w:pStyle w:val="62"/>
              <w:bidi w:val="0"/>
              <w:jc w:val="center"/>
              <w:rPr>
                <w:rFonts w:hint="eastAsia"/>
                <w:lang w:val="en-US" w:eastAsia="zh-CN"/>
              </w:rPr>
            </w:pPr>
            <w:r>
              <w:rPr>
                <w:rFonts w:hint="eastAsia"/>
                <w:lang w:val="en-US" w:eastAsia="zh-CN"/>
              </w:rPr>
              <w:drawing>
                <wp:inline distT="0" distB="0" distL="114300" distR="114300">
                  <wp:extent cx="3008630" cy="2256790"/>
                  <wp:effectExtent l="0" t="0" r="1270" b="635"/>
                  <wp:docPr id="285" name="图片 285" descr="IMG_20260320_173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descr="IMG_20260320_173631"/>
                          <pic:cNvPicPr>
                            <a:picLocks noChangeAspect="1"/>
                          </pic:cNvPicPr>
                        </pic:nvPicPr>
                        <pic:blipFill>
                          <a:blip r:embed="rId48"/>
                          <a:stretch>
                            <a:fillRect/>
                          </a:stretch>
                        </pic:blipFill>
                        <pic:spPr>
                          <a:xfrm>
                            <a:off x="0" y="0"/>
                            <a:ext cx="3008630" cy="2256790"/>
                          </a:xfrm>
                          <a:prstGeom prst="rect">
                            <a:avLst/>
                          </a:prstGeom>
                        </pic:spPr>
                      </pic:pic>
                    </a:graphicData>
                  </a:graphic>
                </wp:inline>
              </w:drawing>
            </w:r>
          </w:p>
        </w:tc>
        <w:tc>
          <w:tcPr>
            <w:tcW w:w="4874" w:type="dxa"/>
            <w:vAlign w:val="center"/>
          </w:tcPr>
          <w:p w14:paraId="4585C8D8">
            <w:pPr>
              <w:pStyle w:val="62"/>
              <w:bidi w:val="0"/>
              <w:jc w:val="center"/>
              <w:rPr>
                <w:rFonts w:hint="eastAsia"/>
                <w:lang w:val="en-US" w:eastAsia="zh-CN"/>
              </w:rPr>
            </w:pPr>
            <w:r>
              <w:rPr>
                <w:rFonts w:hint="eastAsia"/>
                <w:lang w:val="en-US" w:eastAsia="zh-CN"/>
              </w:rPr>
              <w:drawing>
                <wp:inline distT="0" distB="0" distL="114300" distR="114300">
                  <wp:extent cx="3082290" cy="2311400"/>
                  <wp:effectExtent l="0" t="0" r="3810" b="3175"/>
                  <wp:docPr id="286" name="图片 286" descr="IMG_20260320_17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descr="IMG_20260320_173736"/>
                          <pic:cNvPicPr>
                            <a:picLocks noChangeAspect="1"/>
                          </pic:cNvPicPr>
                        </pic:nvPicPr>
                        <pic:blipFill>
                          <a:blip r:embed="rId49"/>
                          <a:stretch>
                            <a:fillRect/>
                          </a:stretch>
                        </pic:blipFill>
                        <pic:spPr>
                          <a:xfrm>
                            <a:off x="0" y="0"/>
                            <a:ext cx="3082290" cy="2311400"/>
                          </a:xfrm>
                          <a:prstGeom prst="rect">
                            <a:avLst/>
                          </a:prstGeom>
                        </pic:spPr>
                      </pic:pic>
                    </a:graphicData>
                  </a:graphic>
                </wp:inline>
              </w:drawing>
            </w:r>
          </w:p>
        </w:tc>
      </w:tr>
      <w:tr w14:paraId="4875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619ED2A2">
            <w:pPr>
              <w:pStyle w:val="62"/>
              <w:bidi w:val="0"/>
              <w:jc w:val="center"/>
              <w:rPr>
                <w:rFonts w:hint="eastAsia"/>
                <w:lang w:val="en-US" w:eastAsia="zh-CN"/>
              </w:rPr>
            </w:pPr>
            <w:r>
              <w:rPr>
                <w:rFonts w:hint="eastAsia"/>
                <w:lang w:val="en-US" w:eastAsia="zh-CN"/>
              </w:rPr>
              <w:t>项目北侧-利中天塑胶厂</w:t>
            </w:r>
          </w:p>
        </w:tc>
        <w:tc>
          <w:tcPr>
            <w:tcW w:w="4874" w:type="dxa"/>
            <w:vAlign w:val="center"/>
          </w:tcPr>
          <w:p w14:paraId="554A6A49">
            <w:pPr>
              <w:pStyle w:val="62"/>
              <w:bidi w:val="0"/>
              <w:jc w:val="center"/>
              <w:rPr>
                <w:rFonts w:hint="eastAsia"/>
                <w:lang w:val="en-US" w:eastAsia="zh-CN"/>
              </w:rPr>
            </w:pPr>
            <w:r>
              <w:rPr>
                <w:rFonts w:hint="eastAsia"/>
                <w:lang w:val="en-US" w:eastAsia="zh-CN"/>
              </w:rPr>
              <w:t>项目北侧-鹤山盛荣货架有限公司</w:t>
            </w:r>
          </w:p>
        </w:tc>
      </w:tr>
      <w:tr w14:paraId="7926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19788829">
            <w:pPr>
              <w:pStyle w:val="62"/>
              <w:bidi w:val="0"/>
              <w:jc w:val="center"/>
              <w:rPr>
                <w:rFonts w:hint="eastAsia"/>
                <w:lang w:val="en-US" w:eastAsia="zh-CN"/>
              </w:rPr>
            </w:pPr>
            <w:r>
              <w:rPr>
                <w:rFonts w:hint="eastAsia"/>
                <w:lang w:val="en-US" w:eastAsia="zh-CN"/>
              </w:rPr>
              <w:drawing>
                <wp:inline distT="0" distB="0" distL="114300" distR="114300">
                  <wp:extent cx="2809240" cy="2106930"/>
                  <wp:effectExtent l="0" t="0" r="635" b="7620"/>
                  <wp:docPr id="283" name="图片 283" descr="IMG_20260320_17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descr="IMG_20260320_173802"/>
                          <pic:cNvPicPr>
                            <a:picLocks noChangeAspect="1"/>
                          </pic:cNvPicPr>
                        </pic:nvPicPr>
                        <pic:blipFill>
                          <a:blip r:embed="rId50"/>
                          <a:stretch>
                            <a:fillRect/>
                          </a:stretch>
                        </pic:blipFill>
                        <pic:spPr>
                          <a:xfrm>
                            <a:off x="0" y="0"/>
                            <a:ext cx="2809240" cy="2106930"/>
                          </a:xfrm>
                          <a:prstGeom prst="rect">
                            <a:avLst/>
                          </a:prstGeom>
                        </pic:spPr>
                      </pic:pic>
                    </a:graphicData>
                  </a:graphic>
                </wp:inline>
              </w:drawing>
            </w:r>
          </w:p>
        </w:tc>
        <w:tc>
          <w:tcPr>
            <w:tcW w:w="4874" w:type="dxa"/>
            <w:vAlign w:val="center"/>
          </w:tcPr>
          <w:p w14:paraId="38284040">
            <w:pPr>
              <w:pStyle w:val="62"/>
              <w:bidi w:val="0"/>
              <w:jc w:val="center"/>
              <w:rPr>
                <w:rFonts w:hint="eastAsia"/>
                <w:lang w:val="en-US" w:eastAsia="zh-CN"/>
              </w:rPr>
            </w:pPr>
            <w:r>
              <w:rPr>
                <w:rFonts w:hint="eastAsia"/>
                <w:lang w:val="en-US" w:eastAsia="zh-CN"/>
              </w:rPr>
              <w:drawing>
                <wp:inline distT="0" distB="0" distL="114300" distR="114300">
                  <wp:extent cx="2773680" cy="2080260"/>
                  <wp:effectExtent l="0" t="0" r="7620" b="5715"/>
                  <wp:docPr id="284" name="图片 284" descr="IMG_20260320_16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descr="IMG_20260320_162249"/>
                          <pic:cNvPicPr>
                            <a:picLocks noChangeAspect="1"/>
                          </pic:cNvPicPr>
                        </pic:nvPicPr>
                        <pic:blipFill>
                          <a:blip r:embed="rId51"/>
                          <a:stretch>
                            <a:fillRect/>
                          </a:stretch>
                        </pic:blipFill>
                        <pic:spPr>
                          <a:xfrm>
                            <a:off x="0" y="0"/>
                            <a:ext cx="2773680" cy="2080260"/>
                          </a:xfrm>
                          <a:prstGeom prst="rect">
                            <a:avLst/>
                          </a:prstGeom>
                        </pic:spPr>
                      </pic:pic>
                    </a:graphicData>
                  </a:graphic>
                </wp:inline>
              </w:drawing>
            </w:r>
          </w:p>
        </w:tc>
      </w:tr>
      <w:tr w14:paraId="6733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4" w:type="dxa"/>
            <w:vAlign w:val="center"/>
          </w:tcPr>
          <w:p w14:paraId="6B5B6538">
            <w:pPr>
              <w:pStyle w:val="62"/>
              <w:bidi w:val="0"/>
              <w:jc w:val="center"/>
              <w:rPr>
                <w:rFonts w:hint="default"/>
                <w:lang w:val="en-US" w:eastAsia="zh-CN"/>
              </w:rPr>
            </w:pPr>
            <w:r>
              <w:rPr>
                <w:rFonts w:hint="eastAsia"/>
                <w:lang w:val="en-US" w:eastAsia="zh-CN"/>
              </w:rPr>
              <w:t>项目西侧-空置厂房</w:t>
            </w:r>
          </w:p>
        </w:tc>
        <w:tc>
          <w:tcPr>
            <w:tcW w:w="4874" w:type="dxa"/>
            <w:vAlign w:val="center"/>
          </w:tcPr>
          <w:p w14:paraId="6F8F7FC1">
            <w:pPr>
              <w:pStyle w:val="62"/>
              <w:bidi w:val="0"/>
              <w:jc w:val="center"/>
              <w:rPr>
                <w:rFonts w:hint="default"/>
                <w:lang w:val="en-US" w:eastAsia="zh-CN"/>
              </w:rPr>
            </w:pPr>
            <w:r>
              <w:rPr>
                <w:rFonts w:hint="eastAsia"/>
                <w:lang w:val="en-US" w:eastAsia="zh-CN"/>
              </w:rPr>
              <w:t>项目所在大楼</w:t>
            </w:r>
          </w:p>
        </w:tc>
      </w:tr>
    </w:tbl>
    <w:p w14:paraId="320FDD80">
      <w:pPr>
        <w:pStyle w:val="62"/>
        <w:rPr>
          <w:color w:val="auto"/>
        </w:rPr>
      </w:pPr>
      <w:r>
        <w:rPr>
          <w:rFonts w:hint="eastAsia"/>
          <w:color w:val="auto"/>
        </w:rPr>
        <w:t>图</w:t>
      </w:r>
      <w:r>
        <w:rPr>
          <w:rFonts w:hint="eastAsia"/>
          <w:color w:val="auto"/>
          <w:lang w:val="en-US" w:eastAsia="zh-CN"/>
        </w:rPr>
        <w:t>2</w:t>
      </w:r>
      <w:r>
        <w:rPr>
          <w:rFonts w:hint="eastAsia"/>
          <w:color w:val="auto"/>
        </w:rPr>
        <w:t>.1-1  项目</w:t>
      </w:r>
      <w:r>
        <w:rPr>
          <w:rFonts w:hint="eastAsia"/>
          <w:color w:val="auto"/>
          <w:lang w:val="en-US" w:eastAsia="zh-CN"/>
        </w:rPr>
        <w:t>四至</w:t>
      </w:r>
      <w:r>
        <w:rPr>
          <w:rFonts w:hint="eastAsia"/>
          <w:color w:val="auto"/>
        </w:rPr>
        <w:t>照片</w:t>
      </w:r>
    </w:p>
    <w:p w14:paraId="70FB1738">
      <w:pPr>
        <w:pStyle w:val="67"/>
        <w:numPr>
          <w:ilvl w:val="1"/>
          <w:numId w:val="8"/>
        </w:numPr>
        <w:bidi w:val="0"/>
        <w:ind w:left="567" w:leftChars="0" w:hanging="567" w:firstLineChars="0"/>
        <w:rPr>
          <w:rFonts w:hint="eastAsia" w:ascii="Times New Roman" w:hAnsi="Times New Roman" w:eastAsia="宋体" w:cs="Times New Roman"/>
          <w:color w:val="auto"/>
        </w:rPr>
      </w:pPr>
      <w:bookmarkStart w:id="59" w:name="_Toc9433"/>
      <w:r>
        <w:rPr>
          <w:rFonts w:hint="eastAsia" w:ascii="Times New Roman" w:hAnsi="Times New Roman" w:eastAsia="宋体" w:cs="Times New Roman"/>
          <w:color w:val="auto"/>
        </w:rPr>
        <w:t>项目工程组成</w:t>
      </w:r>
      <w:bookmarkEnd w:id="59"/>
    </w:p>
    <w:p w14:paraId="76CFA283">
      <w:pPr>
        <w:bidi w:val="0"/>
        <w:rPr>
          <w:rFonts w:hint="default" w:eastAsia="宋体"/>
          <w:color w:val="auto"/>
          <w:lang w:val="en-US" w:eastAsia="zh-CN"/>
        </w:rPr>
      </w:pPr>
      <w:r>
        <w:rPr>
          <w:rFonts w:hint="eastAsia"/>
          <w:color w:val="auto"/>
        </w:rPr>
        <w:t>组成详见表</w:t>
      </w:r>
      <w:r>
        <w:rPr>
          <w:rFonts w:hint="eastAsia"/>
          <w:color w:val="auto"/>
          <w:lang w:val="en-US" w:eastAsia="zh-CN"/>
        </w:rPr>
        <w:t>2</w:t>
      </w:r>
      <w:r>
        <w:rPr>
          <w:rFonts w:hint="eastAsia"/>
          <w:color w:val="auto"/>
        </w:rPr>
        <w:t>.2-1</w:t>
      </w:r>
      <w:r>
        <w:rPr>
          <w:rFonts w:hint="eastAsia"/>
          <w:color w:val="auto"/>
          <w:lang w:eastAsia="zh-CN"/>
        </w:rPr>
        <w:t>。</w:t>
      </w:r>
    </w:p>
    <w:p w14:paraId="5EBD8D57">
      <w:pPr>
        <w:pStyle w:val="62"/>
        <w:rPr>
          <w:color w:val="auto"/>
        </w:rPr>
      </w:pPr>
      <w:r>
        <w:rPr>
          <w:rFonts w:hint="eastAsia"/>
          <w:color w:val="auto"/>
        </w:rPr>
        <w:t>表</w:t>
      </w:r>
      <w:r>
        <w:rPr>
          <w:rFonts w:hint="eastAsia"/>
          <w:color w:val="auto"/>
          <w:lang w:val="en-US" w:eastAsia="zh-CN"/>
        </w:rPr>
        <w:t>2</w:t>
      </w:r>
      <w:r>
        <w:rPr>
          <w:rFonts w:hint="eastAsia"/>
          <w:color w:val="auto"/>
        </w:rPr>
        <w:t>.2-1  建设项目工程组成一览表</w:t>
      </w:r>
    </w:p>
    <w:tbl>
      <w:tblPr>
        <w:tblStyle w:val="3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611"/>
        <w:gridCol w:w="1801"/>
        <w:gridCol w:w="1341"/>
        <w:gridCol w:w="4865"/>
      </w:tblGrid>
      <w:tr w14:paraId="04CB14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57" w:type="pct"/>
            <w:tcBorders>
              <w:top w:val="single" w:color="000000" w:sz="12" w:space="0"/>
              <w:tl2br w:val="nil"/>
            </w:tcBorders>
            <w:shd w:val="clear" w:color="auto" w:fill="FFFFFF"/>
            <w:vAlign w:val="center"/>
          </w:tcPr>
          <w:p w14:paraId="53A680E0">
            <w:pPr>
              <w:pStyle w:val="69"/>
              <w:rPr>
                <w:b w:val="0"/>
                <w:color w:val="000000"/>
              </w:rPr>
            </w:pPr>
            <w:r>
              <w:rPr>
                <w:b w:val="0"/>
                <w:color w:val="000000"/>
              </w:rPr>
              <w:t>类别</w:t>
            </w:r>
          </w:p>
        </w:tc>
        <w:tc>
          <w:tcPr>
            <w:tcW w:w="1299" w:type="pct"/>
            <w:gridSpan w:val="2"/>
            <w:tcBorders>
              <w:top w:val="single" w:color="000000" w:sz="12" w:space="0"/>
            </w:tcBorders>
            <w:shd w:val="clear" w:color="auto" w:fill="FFFFFF"/>
            <w:vAlign w:val="center"/>
          </w:tcPr>
          <w:p w14:paraId="2158FE32">
            <w:pPr>
              <w:pStyle w:val="69"/>
              <w:rPr>
                <w:b w:val="0"/>
                <w:color w:val="000000"/>
              </w:rPr>
            </w:pPr>
            <w:r>
              <w:rPr>
                <w:b w:val="0"/>
                <w:color w:val="000000"/>
              </w:rPr>
              <w:t>名称</w:t>
            </w:r>
          </w:p>
        </w:tc>
        <w:tc>
          <w:tcPr>
            <w:tcW w:w="722" w:type="pct"/>
            <w:tcBorders>
              <w:top w:val="single" w:color="000000" w:sz="12" w:space="0"/>
            </w:tcBorders>
            <w:shd w:val="clear" w:color="auto" w:fill="FFFFFF"/>
            <w:vAlign w:val="center"/>
          </w:tcPr>
          <w:p w14:paraId="50CE5FD1">
            <w:pPr>
              <w:pStyle w:val="69"/>
              <w:rPr>
                <w:rFonts w:hint="eastAsia" w:eastAsia="宋体"/>
                <w:b w:val="0"/>
                <w:color w:val="000000"/>
                <w:lang w:val="en-US" w:eastAsia="zh-CN"/>
              </w:rPr>
            </w:pPr>
            <w:r>
              <w:rPr>
                <w:rFonts w:hint="eastAsia"/>
                <w:b w:val="0"/>
                <w:color w:val="000000"/>
                <w:lang w:val="en-US" w:eastAsia="zh-CN"/>
              </w:rPr>
              <w:t>规模</w:t>
            </w:r>
          </w:p>
        </w:tc>
        <w:tc>
          <w:tcPr>
            <w:tcW w:w="2620" w:type="pct"/>
            <w:tcBorders>
              <w:top w:val="single" w:color="000000" w:sz="12" w:space="0"/>
              <w:right w:val="nil"/>
            </w:tcBorders>
            <w:shd w:val="clear" w:color="auto" w:fill="FFFFFF"/>
            <w:vAlign w:val="center"/>
          </w:tcPr>
          <w:p w14:paraId="05E03B31">
            <w:pPr>
              <w:pStyle w:val="69"/>
              <w:rPr>
                <w:rFonts w:hint="eastAsia" w:eastAsia="宋体"/>
                <w:b w:val="0"/>
                <w:color w:val="000000"/>
                <w:lang w:val="en-US" w:eastAsia="zh-CN"/>
              </w:rPr>
            </w:pPr>
            <w:r>
              <w:rPr>
                <w:rFonts w:hint="eastAsia"/>
                <w:b w:val="0"/>
                <w:color w:val="000000"/>
                <w:lang w:val="en-US" w:eastAsia="zh-CN"/>
              </w:rPr>
              <w:t>项目</w:t>
            </w:r>
          </w:p>
        </w:tc>
      </w:tr>
      <w:tr w14:paraId="293052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tblHeader/>
          <w:jc w:val="center"/>
        </w:trPr>
        <w:tc>
          <w:tcPr>
            <w:tcW w:w="357" w:type="pct"/>
            <w:vMerge w:val="restart"/>
            <w:shd w:val="clear" w:color="auto" w:fill="FFFFFF"/>
            <w:vAlign w:val="center"/>
          </w:tcPr>
          <w:p w14:paraId="58379A9B">
            <w:pPr>
              <w:pStyle w:val="69"/>
              <w:rPr>
                <w:b w:val="0"/>
                <w:color w:val="000000"/>
              </w:rPr>
            </w:pPr>
            <w:r>
              <w:rPr>
                <w:b w:val="0"/>
                <w:color w:val="000000"/>
              </w:rPr>
              <w:t>主体工程</w:t>
            </w:r>
          </w:p>
        </w:tc>
        <w:tc>
          <w:tcPr>
            <w:tcW w:w="1299" w:type="pct"/>
            <w:gridSpan w:val="2"/>
            <w:vMerge w:val="restart"/>
            <w:shd w:val="clear" w:color="auto" w:fill="FFFFFF"/>
            <w:vAlign w:val="center"/>
          </w:tcPr>
          <w:p w14:paraId="68BDFE91">
            <w:pPr>
              <w:pStyle w:val="69"/>
              <w:bidi w:val="0"/>
              <w:rPr>
                <w:rFonts w:hint="default"/>
                <w:lang w:val="en-US" w:eastAsia="zh-CN"/>
              </w:rPr>
            </w:pPr>
            <w:r>
              <w:rPr>
                <w:rFonts w:hint="eastAsia"/>
                <w:lang w:val="en-US" w:eastAsia="zh-CN"/>
              </w:rPr>
              <w:t>生产大楼</w:t>
            </w:r>
          </w:p>
        </w:tc>
        <w:tc>
          <w:tcPr>
            <w:tcW w:w="722" w:type="pct"/>
            <w:shd w:val="clear" w:color="auto" w:fill="FFFFFF"/>
            <w:vAlign w:val="center"/>
          </w:tcPr>
          <w:p w14:paraId="18A45C79">
            <w:pPr>
              <w:pStyle w:val="69"/>
              <w:bidi w:val="0"/>
              <w:rPr>
                <w:rFonts w:hint="default"/>
                <w:lang w:val="en-US" w:eastAsia="zh-CN"/>
              </w:rPr>
            </w:pPr>
            <w:r>
              <w:rPr>
                <w:rFonts w:hint="eastAsia"/>
                <w:lang w:val="en-US" w:eastAsia="zh-CN"/>
              </w:rPr>
              <w:t>700m</w:t>
            </w:r>
            <w:r>
              <w:rPr>
                <w:rFonts w:hint="eastAsia"/>
                <w:vertAlign w:val="superscript"/>
                <w:lang w:val="en-US" w:eastAsia="zh-CN"/>
              </w:rPr>
              <w:t>2</w:t>
            </w:r>
          </w:p>
        </w:tc>
        <w:tc>
          <w:tcPr>
            <w:tcW w:w="2620" w:type="pct"/>
            <w:tcBorders>
              <w:right w:val="nil"/>
            </w:tcBorders>
            <w:shd w:val="clear" w:color="auto" w:fill="FFFFFF"/>
            <w:vAlign w:val="center"/>
          </w:tcPr>
          <w:p w14:paraId="47AFDBED">
            <w:pPr>
              <w:pStyle w:val="69"/>
              <w:bidi w:val="0"/>
              <w:rPr>
                <w:rFonts w:hint="default"/>
                <w:lang w:val="en-US" w:eastAsia="zh-CN"/>
              </w:rPr>
            </w:pPr>
            <w:r>
              <w:rPr>
                <w:rFonts w:hint="eastAsia"/>
                <w:lang w:val="en-US" w:eastAsia="zh-CN"/>
              </w:rPr>
              <w:t>1F：印刷、复合</w:t>
            </w:r>
          </w:p>
        </w:tc>
      </w:tr>
      <w:tr w14:paraId="42A11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tblHeader/>
          <w:jc w:val="center"/>
        </w:trPr>
        <w:tc>
          <w:tcPr>
            <w:tcW w:w="357" w:type="pct"/>
            <w:vMerge w:val="continue"/>
            <w:shd w:val="clear" w:color="auto" w:fill="FFFFFF"/>
            <w:vAlign w:val="center"/>
          </w:tcPr>
          <w:p w14:paraId="05B9291C">
            <w:pPr>
              <w:pStyle w:val="69"/>
            </w:pPr>
          </w:p>
        </w:tc>
        <w:tc>
          <w:tcPr>
            <w:tcW w:w="1299" w:type="pct"/>
            <w:gridSpan w:val="2"/>
            <w:vMerge w:val="continue"/>
            <w:shd w:val="clear" w:color="auto" w:fill="FFFFFF"/>
            <w:vAlign w:val="center"/>
          </w:tcPr>
          <w:p w14:paraId="49FEDF90">
            <w:pPr>
              <w:pStyle w:val="69"/>
            </w:pPr>
          </w:p>
        </w:tc>
        <w:tc>
          <w:tcPr>
            <w:tcW w:w="722" w:type="pct"/>
            <w:shd w:val="clear" w:color="auto" w:fill="FFFFFF"/>
            <w:vAlign w:val="center"/>
          </w:tcPr>
          <w:p w14:paraId="45BD2D0B">
            <w:pPr>
              <w:pStyle w:val="69"/>
              <w:rPr>
                <w:rFonts w:hint="eastAsia"/>
                <w:lang w:val="en-US" w:eastAsia="zh-CN"/>
              </w:rPr>
            </w:pPr>
            <w:r>
              <w:rPr>
                <w:rFonts w:hint="eastAsia"/>
                <w:lang w:val="en-US" w:eastAsia="zh-CN"/>
              </w:rPr>
              <w:t>3500m</w:t>
            </w:r>
            <w:r>
              <w:rPr>
                <w:rFonts w:hint="eastAsia"/>
                <w:vertAlign w:val="superscript"/>
                <w:lang w:val="en-US" w:eastAsia="zh-CN"/>
              </w:rPr>
              <w:t>2</w:t>
            </w:r>
          </w:p>
        </w:tc>
        <w:tc>
          <w:tcPr>
            <w:tcW w:w="2620" w:type="pct"/>
            <w:tcBorders>
              <w:right w:val="nil"/>
            </w:tcBorders>
            <w:shd w:val="clear" w:color="auto" w:fill="FFFFFF"/>
            <w:vAlign w:val="center"/>
          </w:tcPr>
          <w:p w14:paraId="36014AD6">
            <w:pPr>
              <w:pStyle w:val="69"/>
              <w:bidi w:val="0"/>
              <w:rPr>
                <w:rFonts w:hint="eastAsia" w:eastAsia="宋体"/>
                <w:lang w:val="en-US" w:eastAsia="zh-CN"/>
              </w:rPr>
            </w:pPr>
            <w:r>
              <w:rPr>
                <w:rFonts w:hint="eastAsia"/>
                <w:lang w:val="en-US" w:eastAsia="zh-CN"/>
              </w:rPr>
              <w:t>2F：印刷、</w:t>
            </w:r>
            <w:r>
              <w:t>品检、分切、合掌、复检、打孔</w:t>
            </w:r>
            <w:r>
              <w:rPr>
                <w:rFonts w:hint="eastAsia"/>
                <w:lang w:eastAsia="zh-CN"/>
              </w:rPr>
              <w:t>、</w:t>
            </w:r>
            <w:r>
              <w:t>成品仓库</w:t>
            </w:r>
          </w:p>
        </w:tc>
      </w:tr>
      <w:tr w14:paraId="10A70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restart"/>
            <w:shd w:val="clear" w:color="auto" w:fill="FFFFFF"/>
            <w:vAlign w:val="center"/>
          </w:tcPr>
          <w:p w14:paraId="6A409363">
            <w:pPr>
              <w:pStyle w:val="69"/>
              <w:rPr>
                <w:b w:val="0"/>
                <w:color w:val="000000"/>
              </w:rPr>
            </w:pPr>
            <w:r>
              <w:rPr>
                <w:rFonts w:hint="eastAsia"/>
                <w:b w:val="0"/>
                <w:color w:val="000000"/>
              </w:rPr>
              <w:t>公用工程</w:t>
            </w:r>
          </w:p>
        </w:tc>
        <w:tc>
          <w:tcPr>
            <w:tcW w:w="1299" w:type="pct"/>
            <w:gridSpan w:val="2"/>
            <w:shd w:val="clear" w:color="auto" w:fill="FFFFFF"/>
            <w:vAlign w:val="center"/>
          </w:tcPr>
          <w:p w14:paraId="2EB23391">
            <w:pPr>
              <w:pStyle w:val="69"/>
              <w:bidi w:val="0"/>
            </w:pPr>
            <w:r>
              <w:rPr>
                <w:rFonts w:hint="eastAsia"/>
              </w:rPr>
              <w:t>供水</w:t>
            </w:r>
          </w:p>
        </w:tc>
        <w:tc>
          <w:tcPr>
            <w:tcW w:w="722" w:type="pct"/>
            <w:shd w:val="clear" w:color="auto" w:fill="FFFFFF"/>
            <w:vAlign w:val="center"/>
          </w:tcPr>
          <w:p w14:paraId="4970CC68">
            <w:pPr>
              <w:pStyle w:val="69"/>
              <w:bidi w:val="0"/>
            </w:pPr>
            <w:r>
              <w:rPr>
                <w:rFonts w:hint="eastAsia"/>
              </w:rPr>
              <w:t>---</w:t>
            </w:r>
          </w:p>
        </w:tc>
        <w:tc>
          <w:tcPr>
            <w:tcW w:w="2620" w:type="pct"/>
            <w:tcBorders>
              <w:right w:val="nil"/>
            </w:tcBorders>
            <w:shd w:val="clear" w:color="auto" w:fill="FFFFFF"/>
            <w:vAlign w:val="center"/>
          </w:tcPr>
          <w:p w14:paraId="4360887E">
            <w:pPr>
              <w:pStyle w:val="69"/>
              <w:bidi w:val="0"/>
            </w:pPr>
            <w:r>
              <w:rPr>
                <w:rFonts w:hint="eastAsia"/>
              </w:rPr>
              <w:t>市政自来水管道供给</w:t>
            </w:r>
          </w:p>
        </w:tc>
      </w:tr>
      <w:tr w14:paraId="1ED68F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2BF95645">
            <w:pPr>
              <w:pStyle w:val="69"/>
              <w:rPr>
                <w:b w:val="0"/>
                <w:color w:val="000000"/>
              </w:rPr>
            </w:pPr>
          </w:p>
        </w:tc>
        <w:tc>
          <w:tcPr>
            <w:tcW w:w="1299" w:type="pct"/>
            <w:gridSpan w:val="2"/>
            <w:shd w:val="clear" w:color="auto" w:fill="FFFFFF"/>
            <w:vAlign w:val="center"/>
          </w:tcPr>
          <w:p w14:paraId="0949AF79">
            <w:pPr>
              <w:pStyle w:val="69"/>
              <w:bidi w:val="0"/>
            </w:pPr>
            <w:r>
              <w:rPr>
                <w:rFonts w:hint="eastAsia"/>
              </w:rPr>
              <w:t>供电</w:t>
            </w:r>
          </w:p>
        </w:tc>
        <w:tc>
          <w:tcPr>
            <w:tcW w:w="722" w:type="pct"/>
            <w:shd w:val="clear" w:color="auto" w:fill="FFFFFF"/>
            <w:vAlign w:val="center"/>
          </w:tcPr>
          <w:p w14:paraId="5A2C9113">
            <w:pPr>
              <w:pStyle w:val="69"/>
              <w:bidi w:val="0"/>
            </w:pPr>
            <w:r>
              <w:rPr>
                <w:rFonts w:hint="eastAsia"/>
              </w:rPr>
              <w:t>---</w:t>
            </w:r>
          </w:p>
        </w:tc>
        <w:tc>
          <w:tcPr>
            <w:tcW w:w="2620" w:type="pct"/>
            <w:tcBorders>
              <w:right w:val="nil"/>
            </w:tcBorders>
            <w:shd w:val="clear" w:color="auto" w:fill="FFFFFF"/>
            <w:vAlign w:val="center"/>
          </w:tcPr>
          <w:p w14:paraId="255A5642">
            <w:pPr>
              <w:pStyle w:val="69"/>
              <w:bidi w:val="0"/>
            </w:pPr>
            <w:r>
              <w:rPr>
                <w:rFonts w:hint="eastAsia"/>
              </w:rPr>
              <w:t>22万伏供电站供给，不设备用发电机</w:t>
            </w:r>
          </w:p>
        </w:tc>
      </w:tr>
      <w:tr w14:paraId="373D88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3D7DC350">
            <w:pPr>
              <w:pStyle w:val="69"/>
              <w:rPr>
                <w:b w:val="0"/>
                <w:color w:val="000000"/>
              </w:rPr>
            </w:pPr>
          </w:p>
        </w:tc>
        <w:tc>
          <w:tcPr>
            <w:tcW w:w="1299" w:type="pct"/>
            <w:gridSpan w:val="2"/>
            <w:shd w:val="clear" w:color="auto" w:fill="FFFFFF"/>
            <w:vAlign w:val="center"/>
          </w:tcPr>
          <w:p w14:paraId="1FE7E51C">
            <w:pPr>
              <w:pStyle w:val="69"/>
              <w:bidi w:val="0"/>
              <w:rPr>
                <w:rFonts w:hint="eastAsia"/>
                <w:lang w:val="en-US" w:eastAsia="zh-CN"/>
              </w:rPr>
            </w:pPr>
            <w:r>
              <w:rPr>
                <w:rFonts w:hint="eastAsia"/>
                <w:lang w:val="en-US" w:eastAsia="zh-CN"/>
              </w:rPr>
              <w:t>供气</w:t>
            </w:r>
          </w:p>
        </w:tc>
        <w:tc>
          <w:tcPr>
            <w:tcW w:w="722" w:type="pct"/>
            <w:shd w:val="clear" w:color="auto" w:fill="FFFFFF"/>
            <w:vAlign w:val="center"/>
          </w:tcPr>
          <w:p w14:paraId="742FF872">
            <w:pPr>
              <w:pStyle w:val="69"/>
              <w:bidi w:val="0"/>
              <w:rPr>
                <w:rFonts w:hint="eastAsia"/>
              </w:rPr>
            </w:pPr>
            <w:r>
              <w:rPr>
                <w:rFonts w:hint="eastAsia"/>
              </w:rPr>
              <w:t>---</w:t>
            </w:r>
          </w:p>
        </w:tc>
        <w:tc>
          <w:tcPr>
            <w:tcW w:w="2620" w:type="pct"/>
            <w:tcBorders>
              <w:right w:val="nil"/>
            </w:tcBorders>
            <w:shd w:val="clear" w:color="auto" w:fill="FFFFFF"/>
            <w:vAlign w:val="center"/>
          </w:tcPr>
          <w:p w14:paraId="02C47FE6">
            <w:pPr>
              <w:pStyle w:val="69"/>
              <w:bidi w:val="0"/>
              <w:rPr>
                <w:rFonts w:hint="default"/>
                <w:lang w:val="en-US" w:eastAsia="zh-CN"/>
              </w:rPr>
            </w:pPr>
            <w:r>
              <w:t>RTO 废气治理设施</w:t>
            </w:r>
            <w:r>
              <w:rPr>
                <w:rFonts w:hint="eastAsia"/>
                <w:lang w:val="en-US" w:eastAsia="zh-CN"/>
              </w:rPr>
              <w:t>需使用天然气。</w:t>
            </w:r>
          </w:p>
        </w:tc>
      </w:tr>
      <w:tr w14:paraId="2AD5A2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restart"/>
            <w:shd w:val="clear" w:color="auto" w:fill="FFFFFF"/>
            <w:vAlign w:val="center"/>
          </w:tcPr>
          <w:p w14:paraId="1B7AC762">
            <w:pPr>
              <w:pStyle w:val="69"/>
              <w:rPr>
                <w:b w:val="0"/>
                <w:color w:val="000000"/>
              </w:rPr>
            </w:pPr>
            <w:r>
              <w:rPr>
                <w:rFonts w:hint="eastAsia"/>
                <w:b w:val="0"/>
                <w:color w:val="000000"/>
              </w:rPr>
              <w:t>储运工程</w:t>
            </w:r>
          </w:p>
        </w:tc>
        <w:tc>
          <w:tcPr>
            <w:tcW w:w="1299" w:type="pct"/>
            <w:gridSpan w:val="2"/>
            <w:shd w:val="clear" w:color="auto" w:fill="FFFFFF"/>
            <w:vAlign w:val="center"/>
          </w:tcPr>
          <w:p w14:paraId="25FC2C40">
            <w:pPr>
              <w:pStyle w:val="69"/>
              <w:bidi w:val="0"/>
              <w:rPr>
                <w:rFonts w:hint="eastAsia"/>
                <w:lang w:val="en-US" w:eastAsia="zh-CN"/>
              </w:rPr>
            </w:pPr>
            <w:r>
              <w:rPr>
                <w:rFonts w:hint="eastAsia"/>
                <w:lang w:val="en-US" w:eastAsia="zh-CN"/>
              </w:rPr>
              <w:t>油墨仓库</w:t>
            </w:r>
          </w:p>
        </w:tc>
        <w:tc>
          <w:tcPr>
            <w:tcW w:w="722" w:type="pct"/>
            <w:shd w:val="clear" w:color="auto" w:fill="FFFFFF"/>
            <w:vAlign w:val="center"/>
          </w:tcPr>
          <w:p w14:paraId="1BCAE03D">
            <w:pPr>
              <w:pStyle w:val="69"/>
              <w:bidi w:val="0"/>
              <w:rPr>
                <w:rFonts w:hint="eastAsia"/>
                <w:lang w:val="en-US" w:eastAsia="zh-CN"/>
              </w:rPr>
            </w:pPr>
            <w:r>
              <w:rPr>
                <w:rFonts w:hint="eastAsia"/>
                <w:lang w:val="en-US" w:eastAsia="zh-CN"/>
              </w:rPr>
              <w:t>20</w:t>
            </w:r>
            <w:r>
              <w:rPr>
                <w:rFonts w:hint="eastAsia"/>
              </w:rPr>
              <w:t>㎡</w:t>
            </w:r>
          </w:p>
        </w:tc>
        <w:tc>
          <w:tcPr>
            <w:tcW w:w="2620" w:type="pct"/>
            <w:tcBorders>
              <w:right w:val="nil"/>
            </w:tcBorders>
            <w:shd w:val="clear" w:color="auto" w:fill="FFFFFF"/>
            <w:vAlign w:val="center"/>
          </w:tcPr>
          <w:p w14:paraId="6DFB43DA">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储存油墨</w:t>
            </w:r>
          </w:p>
        </w:tc>
      </w:tr>
      <w:tr w14:paraId="1961BF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6C15B85B">
            <w:pPr>
              <w:pStyle w:val="69"/>
              <w:rPr>
                <w:rFonts w:hint="eastAsia"/>
                <w:b w:val="0"/>
                <w:color w:val="000000"/>
              </w:rPr>
            </w:pPr>
          </w:p>
        </w:tc>
        <w:tc>
          <w:tcPr>
            <w:tcW w:w="1299" w:type="pct"/>
            <w:gridSpan w:val="2"/>
            <w:shd w:val="clear" w:color="auto" w:fill="FFFFFF"/>
            <w:vAlign w:val="center"/>
          </w:tcPr>
          <w:p w14:paraId="5E9E491F">
            <w:pPr>
              <w:pStyle w:val="69"/>
              <w:bidi w:val="0"/>
              <w:rPr>
                <w:rFonts w:hint="default"/>
                <w:lang w:val="en-US" w:eastAsia="zh-CN"/>
              </w:rPr>
            </w:pPr>
            <w:r>
              <w:rPr>
                <w:rFonts w:hint="eastAsia"/>
                <w:lang w:val="en-US" w:eastAsia="zh-CN"/>
              </w:rPr>
              <w:t>溶剂仓库</w:t>
            </w:r>
          </w:p>
        </w:tc>
        <w:tc>
          <w:tcPr>
            <w:tcW w:w="722" w:type="pct"/>
            <w:shd w:val="clear" w:color="auto" w:fill="FFFFFF"/>
            <w:vAlign w:val="center"/>
          </w:tcPr>
          <w:p w14:paraId="7A2C35F2">
            <w:pPr>
              <w:pStyle w:val="69"/>
              <w:bidi w:val="0"/>
              <w:rPr>
                <w:rFonts w:hint="eastAsia"/>
              </w:rPr>
            </w:pPr>
            <w:r>
              <w:rPr>
                <w:rFonts w:hint="eastAsia"/>
                <w:lang w:val="en-US" w:eastAsia="zh-CN"/>
              </w:rPr>
              <w:t>20</w:t>
            </w:r>
            <w:r>
              <w:rPr>
                <w:rFonts w:hint="eastAsia"/>
              </w:rPr>
              <w:t>㎡</w:t>
            </w:r>
          </w:p>
        </w:tc>
        <w:tc>
          <w:tcPr>
            <w:tcW w:w="2620" w:type="pct"/>
            <w:tcBorders>
              <w:right w:val="nil"/>
            </w:tcBorders>
            <w:shd w:val="clear" w:color="auto" w:fill="FFFFFF"/>
            <w:vAlign w:val="center"/>
          </w:tcPr>
          <w:p w14:paraId="332B8258">
            <w:pPr>
              <w:pStyle w:val="69"/>
              <w:ind w:firstLine="0" w:firstLineChars="0"/>
              <w:rPr>
                <w:rFonts w:hint="default"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储存溶剂、胶水</w:t>
            </w:r>
          </w:p>
        </w:tc>
      </w:tr>
      <w:tr w14:paraId="4A57F2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3C5401D0">
            <w:pPr>
              <w:pStyle w:val="69"/>
              <w:rPr>
                <w:b w:val="0"/>
                <w:color w:val="000000"/>
              </w:rPr>
            </w:pPr>
          </w:p>
        </w:tc>
        <w:tc>
          <w:tcPr>
            <w:tcW w:w="1299" w:type="pct"/>
            <w:gridSpan w:val="2"/>
            <w:shd w:val="clear" w:color="auto" w:fill="auto"/>
            <w:vAlign w:val="top"/>
          </w:tcPr>
          <w:p w14:paraId="7ACAC70F">
            <w:pPr>
              <w:pStyle w:val="69"/>
              <w:bidi w:val="0"/>
              <w:rPr>
                <w:rFonts w:hint="eastAsia" w:eastAsia="宋体"/>
                <w:lang w:val="en-US" w:eastAsia="zh-CN"/>
              </w:rPr>
            </w:pPr>
            <w:r>
              <w:t>原材料</w:t>
            </w:r>
            <w:r>
              <w:rPr>
                <w:rFonts w:hint="eastAsia"/>
                <w:lang w:val="en-US" w:eastAsia="zh-CN"/>
              </w:rPr>
              <w:t>堆放区</w:t>
            </w:r>
          </w:p>
        </w:tc>
        <w:tc>
          <w:tcPr>
            <w:tcW w:w="722" w:type="pct"/>
            <w:shd w:val="clear" w:color="auto" w:fill="FFFFFF"/>
            <w:vAlign w:val="center"/>
          </w:tcPr>
          <w:p w14:paraId="4DDBF0CB">
            <w:pPr>
              <w:pStyle w:val="69"/>
              <w:bidi w:val="0"/>
              <w:rPr>
                <w:rFonts w:hint="eastAsia"/>
                <w:lang w:val="en-US" w:eastAsia="zh-CN"/>
              </w:rPr>
            </w:pPr>
            <w:r>
              <w:rPr>
                <w:rFonts w:hint="eastAsia"/>
                <w:lang w:val="en-US" w:eastAsia="zh-CN"/>
              </w:rPr>
              <w:t>100</w:t>
            </w:r>
            <w:r>
              <w:rPr>
                <w:rFonts w:hint="eastAsia"/>
              </w:rPr>
              <w:t>㎡</w:t>
            </w:r>
          </w:p>
        </w:tc>
        <w:tc>
          <w:tcPr>
            <w:tcW w:w="2620" w:type="pct"/>
            <w:tcBorders>
              <w:right w:val="nil"/>
            </w:tcBorders>
            <w:shd w:val="clear" w:color="auto" w:fill="FFFFFF"/>
            <w:vAlign w:val="center"/>
          </w:tcPr>
          <w:p w14:paraId="11BE5AC1">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储存膜原料</w:t>
            </w:r>
          </w:p>
        </w:tc>
      </w:tr>
      <w:tr w14:paraId="7AD0DE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3DE6A8DC">
            <w:pPr>
              <w:pStyle w:val="69"/>
              <w:rPr>
                <w:b w:val="0"/>
                <w:color w:val="000000"/>
              </w:rPr>
            </w:pPr>
          </w:p>
        </w:tc>
        <w:tc>
          <w:tcPr>
            <w:tcW w:w="1299" w:type="pct"/>
            <w:gridSpan w:val="2"/>
            <w:shd w:val="clear" w:color="auto" w:fill="auto"/>
            <w:vAlign w:val="top"/>
          </w:tcPr>
          <w:p w14:paraId="01A3EB23">
            <w:pPr>
              <w:pStyle w:val="69"/>
              <w:bidi w:val="0"/>
              <w:rPr>
                <w:rFonts w:hint="eastAsia"/>
                <w:lang w:val="en-US" w:eastAsia="zh-CN"/>
              </w:rPr>
            </w:pPr>
            <w:r>
              <w:t>成品仓库</w:t>
            </w:r>
          </w:p>
        </w:tc>
        <w:tc>
          <w:tcPr>
            <w:tcW w:w="722" w:type="pct"/>
            <w:shd w:val="clear" w:color="auto" w:fill="FFFFFF"/>
            <w:vAlign w:val="center"/>
          </w:tcPr>
          <w:p w14:paraId="3108703F">
            <w:pPr>
              <w:pStyle w:val="69"/>
              <w:bidi w:val="0"/>
              <w:rPr>
                <w:rFonts w:hint="eastAsia"/>
                <w:lang w:val="en-US" w:eastAsia="zh-CN"/>
              </w:rPr>
            </w:pPr>
            <w:r>
              <w:rPr>
                <w:rFonts w:hint="eastAsia"/>
                <w:lang w:val="en-US" w:eastAsia="zh-CN"/>
              </w:rPr>
              <w:t>1500</w:t>
            </w:r>
            <w:r>
              <w:rPr>
                <w:rFonts w:hint="eastAsia"/>
              </w:rPr>
              <w:t>㎡</w:t>
            </w:r>
          </w:p>
        </w:tc>
        <w:tc>
          <w:tcPr>
            <w:tcW w:w="2620" w:type="pct"/>
            <w:tcBorders>
              <w:right w:val="nil"/>
            </w:tcBorders>
            <w:shd w:val="clear" w:color="auto" w:fill="FFFFFF"/>
            <w:vAlign w:val="center"/>
          </w:tcPr>
          <w:p w14:paraId="7699EEAF">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位于</w:t>
            </w:r>
            <w:r>
              <w:rPr>
                <w:rFonts w:hint="eastAsia"/>
                <w:lang w:val="en-US" w:eastAsia="zh-CN"/>
              </w:rPr>
              <w:t>生产大楼2F</w:t>
            </w:r>
          </w:p>
        </w:tc>
      </w:tr>
      <w:tr w14:paraId="1BD28F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shd w:val="clear" w:color="auto" w:fill="FFFFFF"/>
            <w:vAlign w:val="center"/>
          </w:tcPr>
          <w:p w14:paraId="603E3456">
            <w:pPr>
              <w:pStyle w:val="69"/>
              <w:rPr>
                <w:b w:val="0"/>
                <w:color w:val="000000"/>
              </w:rPr>
            </w:pPr>
            <w:r>
              <w:rPr>
                <w:rFonts w:hint="eastAsia"/>
                <w:b w:val="0"/>
                <w:color w:val="000000"/>
              </w:rPr>
              <w:t>辅助工程</w:t>
            </w:r>
          </w:p>
        </w:tc>
        <w:tc>
          <w:tcPr>
            <w:tcW w:w="1299" w:type="pct"/>
            <w:gridSpan w:val="2"/>
            <w:shd w:val="clear" w:color="auto" w:fill="FFFFFF"/>
            <w:vAlign w:val="center"/>
          </w:tcPr>
          <w:p w14:paraId="647C1002">
            <w:pPr>
              <w:pStyle w:val="69"/>
              <w:bidi w:val="0"/>
              <w:rPr>
                <w:rFonts w:hint="eastAsia"/>
                <w:lang w:val="en-US" w:eastAsia="zh-CN"/>
              </w:rPr>
            </w:pPr>
            <w:r>
              <w:rPr>
                <w:rFonts w:hint="eastAsia"/>
              </w:rPr>
              <w:t>办公室</w:t>
            </w:r>
          </w:p>
        </w:tc>
        <w:tc>
          <w:tcPr>
            <w:tcW w:w="722" w:type="pct"/>
            <w:shd w:val="clear" w:color="auto" w:fill="FFFFFF"/>
            <w:vAlign w:val="center"/>
          </w:tcPr>
          <w:p w14:paraId="2395B25A">
            <w:pPr>
              <w:pStyle w:val="69"/>
              <w:bidi w:val="0"/>
              <w:rPr>
                <w:rFonts w:hint="eastAsia"/>
                <w:lang w:val="en-US" w:eastAsia="zh-CN"/>
              </w:rPr>
            </w:pPr>
            <w:r>
              <w:rPr>
                <w:rFonts w:hint="eastAsia"/>
              </w:rPr>
              <w:t>——</w:t>
            </w:r>
          </w:p>
        </w:tc>
        <w:tc>
          <w:tcPr>
            <w:tcW w:w="2620" w:type="pct"/>
            <w:tcBorders>
              <w:right w:val="nil"/>
            </w:tcBorders>
            <w:shd w:val="clear" w:color="auto" w:fill="FFFFFF"/>
            <w:vAlign w:val="center"/>
          </w:tcPr>
          <w:p w14:paraId="3F231DA0">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cs="Times New Roman"/>
                <w:b w:val="0"/>
                <w:color w:val="000000"/>
                <w:kern w:val="2"/>
                <w:sz w:val="21"/>
                <w:szCs w:val="21"/>
                <w:lang w:val="en-US" w:eastAsia="zh-CN" w:bidi="ar-SA"/>
              </w:rPr>
              <w:t>设置在车间</w:t>
            </w:r>
          </w:p>
        </w:tc>
      </w:tr>
      <w:tr w14:paraId="72511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restart"/>
            <w:shd w:val="clear" w:color="auto" w:fill="FFFFFF"/>
            <w:vAlign w:val="center"/>
          </w:tcPr>
          <w:p w14:paraId="6CC47DF2">
            <w:pPr>
              <w:pStyle w:val="69"/>
              <w:rPr>
                <w:b w:val="0"/>
                <w:color w:val="000000"/>
              </w:rPr>
            </w:pPr>
            <w:r>
              <w:rPr>
                <w:rFonts w:hint="eastAsia"/>
                <w:b w:val="0"/>
                <w:color w:val="000000"/>
              </w:rPr>
              <w:t>环保工程</w:t>
            </w:r>
          </w:p>
        </w:tc>
        <w:tc>
          <w:tcPr>
            <w:tcW w:w="329" w:type="pct"/>
            <w:shd w:val="clear" w:color="auto" w:fill="FFFFFF"/>
            <w:vAlign w:val="center"/>
          </w:tcPr>
          <w:p w14:paraId="24D6F7E4">
            <w:pPr>
              <w:pStyle w:val="69"/>
              <w:bidi w:val="0"/>
            </w:pPr>
            <w:r>
              <w:rPr>
                <w:rFonts w:hint="eastAsia"/>
              </w:rPr>
              <w:t>废水治理</w:t>
            </w:r>
          </w:p>
        </w:tc>
        <w:tc>
          <w:tcPr>
            <w:tcW w:w="970" w:type="pct"/>
            <w:shd w:val="clear" w:color="auto" w:fill="FFFFFF"/>
            <w:vAlign w:val="center"/>
          </w:tcPr>
          <w:p w14:paraId="2D04898F">
            <w:pPr>
              <w:pStyle w:val="69"/>
              <w:bidi w:val="0"/>
              <w:rPr>
                <w:rFonts w:hint="default"/>
                <w:lang w:val="en-US"/>
              </w:rPr>
            </w:pPr>
            <w:r>
              <w:rPr>
                <w:rFonts w:hint="eastAsia"/>
                <w:lang w:val="en-US" w:eastAsia="zh-CN"/>
              </w:rPr>
              <w:t>生活污水</w:t>
            </w:r>
          </w:p>
        </w:tc>
        <w:tc>
          <w:tcPr>
            <w:tcW w:w="722" w:type="pct"/>
            <w:shd w:val="clear" w:color="auto" w:fill="FFFFFF"/>
            <w:vAlign w:val="center"/>
          </w:tcPr>
          <w:p w14:paraId="2D4647EC">
            <w:pPr>
              <w:pStyle w:val="69"/>
              <w:bidi w:val="0"/>
              <w:rPr>
                <w:rFonts w:hint="eastAsia"/>
                <w:lang w:val="en-US" w:eastAsia="zh-CN"/>
              </w:rPr>
            </w:pPr>
            <w:r>
              <w:rPr>
                <w:rFonts w:hint="eastAsia"/>
                <w:lang w:val="en-US" w:eastAsia="zh-CN"/>
              </w:rPr>
              <w:t>10</w:t>
            </w:r>
            <w:r>
              <w:rPr>
                <w:rFonts w:hint="eastAsia"/>
                <w:lang w:eastAsia="zh-CN"/>
              </w:rPr>
              <w:t>m³/d</w:t>
            </w:r>
          </w:p>
        </w:tc>
        <w:tc>
          <w:tcPr>
            <w:tcW w:w="2620" w:type="pct"/>
            <w:tcBorders>
              <w:right w:val="nil"/>
            </w:tcBorders>
            <w:shd w:val="clear" w:color="auto" w:fill="FFFFFF"/>
            <w:vAlign w:val="center"/>
          </w:tcPr>
          <w:p w14:paraId="1AC53614">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ascii="Times New Roman" w:hAnsi="Times New Roman" w:cs="Times New Roman"/>
                <w:lang w:eastAsia="zh-CN"/>
              </w:rPr>
              <w:t>生活污水依托东达公司设置的三级化粪池处理后经市政污水</w:t>
            </w:r>
            <w:r>
              <w:rPr>
                <w:rFonts w:hint="eastAsia" w:ascii="Times New Roman" w:hAnsi="Times New Roman" w:cs="Times New Roman"/>
              </w:rPr>
              <w:t>管网排放至鹤山市龙口三连预处理站预处理后，再通过泵站提升至鹤山市第二污水处理厂深度处理。</w:t>
            </w:r>
          </w:p>
        </w:tc>
      </w:tr>
      <w:tr w14:paraId="58B19E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1F704E5A">
            <w:pPr>
              <w:pStyle w:val="69"/>
              <w:rPr>
                <w:rFonts w:hint="eastAsia"/>
                <w:b w:val="0"/>
                <w:color w:val="000000"/>
              </w:rPr>
            </w:pPr>
          </w:p>
        </w:tc>
        <w:tc>
          <w:tcPr>
            <w:tcW w:w="329" w:type="pct"/>
            <w:vMerge w:val="restart"/>
            <w:shd w:val="clear" w:color="auto" w:fill="FFFFFF"/>
            <w:vAlign w:val="center"/>
          </w:tcPr>
          <w:p w14:paraId="68593EBB">
            <w:pPr>
              <w:pStyle w:val="69"/>
              <w:bidi w:val="0"/>
            </w:pPr>
            <w:r>
              <w:rPr>
                <w:rFonts w:hint="eastAsia"/>
              </w:rPr>
              <w:t>废气治理</w:t>
            </w:r>
          </w:p>
        </w:tc>
        <w:tc>
          <w:tcPr>
            <w:tcW w:w="970" w:type="pct"/>
            <w:shd w:val="clear" w:color="auto" w:fill="FFFFFF"/>
            <w:vAlign w:val="center"/>
          </w:tcPr>
          <w:p w14:paraId="7FA626AF">
            <w:pPr>
              <w:pStyle w:val="69"/>
              <w:bidi w:val="0"/>
              <w:rPr>
                <w:rFonts w:hint="eastAsia"/>
                <w:color w:val="auto"/>
                <w:lang w:val="en-US" w:eastAsia="zh-CN"/>
              </w:rPr>
            </w:pPr>
            <w:r>
              <w:rPr>
                <w:color w:val="auto"/>
              </w:rPr>
              <w:t>调墨、印刷</w:t>
            </w:r>
            <w:r>
              <w:rPr>
                <w:rFonts w:hint="eastAsia"/>
                <w:color w:val="auto"/>
                <w:lang w:eastAsia="zh-CN"/>
              </w:rPr>
              <w:t>、</w:t>
            </w:r>
            <w:r>
              <w:rPr>
                <w:rFonts w:hint="eastAsia"/>
                <w:color w:val="auto"/>
                <w:lang w:val="en-US" w:eastAsia="zh-CN"/>
              </w:rPr>
              <w:t>烘干</w:t>
            </w:r>
            <w:r>
              <w:rPr>
                <w:color w:val="auto"/>
              </w:rPr>
              <w:t>、</w:t>
            </w:r>
            <w:r>
              <w:rPr>
                <w:rFonts w:hint="eastAsia"/>
                <w:color w:val="auto"/>
                <w:lang w:val="en-US" w:eastAsia="zh-CN"/>
              </w:rPr>
              <w:t>洗机、危废贮存</w:t>
            </w:r>
            <w:r>
              <w:rPr>
                <w:color w:val="auto"/>
              </w:rPr>
              <w:t>废气</w:t>
            </w:r>
          </w:p>
        </w:tc>
        <w:tc>
          <w:tcPr>
            <w:tcW w:w="722" w:type="pct"/>
            <w:shd w:val="clear" w:color="auto" w:fill="FFFFFF"/>
            <w:vAlign w:val="center"/>
          </w:tcPr>
          <w:p w14:paraId="657D0E61">
            <w:pPr>
              <w:pStyle w:val="69"/>
              <w:bidi w:val="0"/>
              <w:rPr>
                <w:rFonts w:hint="eastAsia"/>
                <w:color w:val="auto"/>
                <w:lang w:val="en-US" w:eastAsia="zh-CN"/>
              </w:rPr>
            </w:pPr>
            <w:r>
              <w:rPr>
                <w:rFonts w:hint="eastAsia"/>
                <w:color w:val="auto"/>
                <w:lang w:val="en-US" w:eastAsia="zh-CN"/>
              </w:rPr>
              <w:t>30000</w:t>
            </w:r>
            <w:r>
              <w:rPr>
                <w:color w:val="auto"/>
              </w:rPr>
              <w:t>m³/h</w:t>
            </w:r>
          </w:p>
        </w:tc>
        <w:tc>
          <w:tcPr>
            <w:tcW w:w="2620" w:type="pct"/>
            <w:tcBorders>
              <w:right w:val="nil"/>
            </w:tcBorders>
            <w:shd w:val="clear" w:color="auto" w:fill="FFFFFF"/>
            <w:vAlign w:val="center"/>
          </w:tcPr>
          <w:p w14:paraId="12257191">
            <w:pPr>
              <w:pStyle w:val="59"/>
              <w:bidi w:val="0"/>
              <w:rPr>
                <w:rFonts w:hint="eastAsia"/>
                <w:color w:val="auto"/>
                <w:lang w:val="en-US" w:eastAsia="zh-CN"/>
              </w:rPr>
            </w:pPr>
            <w:r>
              <w:rPr>
                <w:rFonts w:hint="eastAsia"/>
                <w:color w:val="auto"/>
                <w:lang w:val="en-US" w:eastAsia="zh-CN"/>
              </w:rPr>
              <w:t>烘干废气经密闭收集后经减风增浓后引入RTO 废气治理设施进行处理，调墨、印刷、洗机、危废贮存废气先经“干式过滤+旋转式分子筛吸附-脱附”处理后再引入RTO 废气治理设施进行处理，处理后与</w:t>
            </w:r>
            <w:r>
              <w:rPr>
                <w:color w:val="auto"/>
              </w:rPr>
              <w:t xml:space="preserve"> RTO 燃料废气一起排放，</w:t>
            </w:r>
            <w:r>
              <w:rPr>
                <w:rFonts w:hint="eastAsia"/>
                <w:color w:val="auto"/>
                <w:lang w:eastAsia="zh-CN"/>
              </w:rPr>
              <w:t>排气筒高度 25m</w:t>
            </w:r>
            <w:r>
              <w:rPr>
                <w:color w:val="auto"/>
              </w:rPr>
              <w:t>，排放口编号为DA001</w:t>
            </w:r>
          </w:p>
        </w:tc>
      </w:tr>
      <w:tr w14:paraId="039825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1F327CB2">
            <w:pPr>
              <w:pStyle w:val="69"/>
              <w:rPr>
                <w:rFonts w:hint="eastAsia"/>
                <w:b w:val="0"/>
                <w:color w:val="000000"/>
              </w:rPr>
            </w:pPr>
          </w:p>
        </w:tc>
        <w:tc>
          <w:tcPr>
            <w:tcW w:w="329" w:type="pct"/>
            <w:vMerge w:val="continue"/>
            <w:shd w:val="clear" w:color="auto" w:fill="FFFFFF"/>
            <w:vAlign w:val="center"/>
          </w:tcPr>
          <w:p w14:paraId="390BBAF6">
            <w:pPr>
              <w:pStyle w:val="69"/>
              <w:bidi w:val="0"/>
              <w:rPr>
                <w:rFonts w:hint="eastAsia"/>
              </w:rPr>
            </w:pPr>
          </w:p>
        </w:tc>
        <w:tc>
          <w:tcPr>
            <w:tcW w:w="970" w:type="pct"/>
            <w:shd w:val="clear" w:color="auto" w:fill="FFFFFF"/>
            <w:vAlign w:val="center"/>
          </w:tcPr>
          <w:p w14:paraId="386F152D">
            <w:pPr>
              <w:pStyle w:val="69"/>
              <w:bidi w:val="0"/>
              <w:rPr>
                <w:rFonts w:hint="default"/>
                <w:color w:val="auto"/>
                <w:lang w:val="en-US"/>
              </w:rPr>
            </w:pPr>
            <w:r>
              <w:rPr>
                <w:rFonts w:hint="eastAsia"/>
                <w:color w:val="auto"/>
                <w:lang w:val="en-US" w:eastAsia="zh-CN"/>
              </w:rPr>
              <w:t>合掌、定型废气</w:t>
            </w:r>
          </w:p>
        </w:tc>
        <w:tc>
          <w:tcPr>
            <w:tcW w:w="722" w:type="pct"/>
            <w:shd w:val="clear" w:color="auto" w:fill="FFFFFF"/>
            <w:vAlign w:val="center"/>
          </w:tcPr>
          <w:p w14:paraId="43F7AA35">
            <w:pPr>
              <w:pStyle w:val="69"/>
              <w:bidi w:val="0"/>
              <w:rPr>
                <w:rFonts w:hint="eastAsia"/>
                <w:color w:val="auto"/>
                <w:lang w:val="en-US" w:eastAsia="zh-CN"/>
              </w:rPr>
            </w:pPr>
            <w:r>
              <w:rPr>
                <w:rFonts w:hint="eastAsia"/>
                <w:color w:val="auto"/>
                <w:lang w:val="en-US" w:eastAsia="zh-CN"/>
              </w:rPr>
              <w:t>15000</w:t>
            </w:r>
            <w:r>
              <w:rPr>
                <w:color w:val="auto"/>
              </w:rPr>
              <w:t>m³/h</w:t>
            </w:r>
          </w:p>
        </w:tc>
        <w:tc>
          <w:tcPr>
            <w:tcW w:w="2620" w:type="pct"/>
            <w:tcBorders>
              <w:right w:val="nil"/>
            </w:tcBorders>
            <w:shd w:val="clear" w:color="auto" w:fill="FFFFFF"/>
            <w:vAlign w:val="center"/>
          </w:tcPr>
          <w:p w14:paraId="0AA8CBE6">
            <w:pPr>
              <w:pStyle w:val="59"/>
              <w:bidi w:val="0"/>
              <w:rPr>
                <w:rFonts w:hint="eastAsia" w:eastAsia="宋体"/>
                <w:color w:val="auto"/>
                <w:lang w:val="en-US" w:eastAsia="zh-CN"/>
              </w:rPr>
            </w:pPr>
            <w:r>
              <w:rPr>
                <w:rFonts w:hint="eastAsia"/>
                <w:color w:val="auto"/>
                <w:lang w:val="en-US" w:eastAsia="zh-CN"/>
              </w:rPr>
              <w:t>活性炭吸附后经25m排气筒排放，</w:t>
            </w:r>
            <w:r>
              <w:rPr>
                <w:color w:val="auto"/>
              </w:rPr>
              <w:t>排放口编号为DA00</w:t>
            </w:r>
            <w:r>
              <w:rPr>
                <w:rFonts w:hint="eastAsia"/>
                <w:color w:val="auto"/>
                <w:lang w:val="en-US" w:eastAsia="zh-CN"/>
              </w:rPr>
              <w:t>2</w:t>
            </w:r>
          </w:p>
        </w:tc>
      </w:tr>
      <w:tr w14:paraId="498202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2EFE73A5">
            <w:pPr>
              <w:pStyle w:val="69"/>
              <w:rPr>
                <w:rFonts w:hint="eastAsia"/>
                <w:b w:val="0"/>
                <w:color w:val="000000"/>
              </w:rPr>
            </w:pPr>
          </w:p>
        </w:tc>
        <w:tc>
          <w:tcPr>
            <w:tcW w:w="329" w:type="pct"/>
            <w:vMerge w:val="continue"/>
            <w:shd w:val="clear" w:color="auto" w:fill="FFFFFF"/>
            <w:vAlign w:val="center"/>
          </w:tcPr>
          <w:p w14:paraId="076127CD">
            <w:pPr>
              <w:pStyle w:val="69"/>
              <w:bidi w:val="0"/>
              <w:rPr>
                <w:rFonts w:hint="eastAsia"/>
              </w:rPr>
            </w:pPr>
          </w:p>
        </w:tc>
        <w:tc>
          <w:tcPr>
            <w:tcW w:w="970" w:type="pct"/>
            <w:shd w:val="clear" w:color="auto" w:fill="FFFFFF"/>
            <w:vAlign w:val="center"/>
          </w:tcPr>
          <w:p w14:paraId="048B5885">
            <w:pPr>
              <w:pStyle w:val="69"/>
              <w:bidi w:val="0"/>
              <w:rPr>
                <w:rFonts w:hint="default" w:eastAsia="宋体"/>
                <w:lang w:val="en-US" w:eastAsia="zh-CN"/>
              </w:rPr>
            </w:pPr>
            <w:r>
              <w:rPr>
                <w:rFonts w:hint="eastAsia"/>
                <w:lang w:val="en-US" w:eastAsia="zh-CN"/>
              </w:rPr>
              <w:t>复合废气</w:t>
            </w:r>
          </w:p>
        </w:tc>
        <w:tc>
          <w:tcPr>
            <w:tcW w:w="722" w:type="pct"/>
            <w:shd w:val="clear" w:color="auto" w:fill="FFFFFF"/>
            <w:vAlign w:val="center"/>
          </w:tcPr>
          <w:p w14:paraId="1D660213">
            <w:pPr>
              <w:pStyle w:val="69"/>
              <w:bidi w:val="0"/>
            </w:pPr>
            <w:r>
              <w:rPr>
                <w:rFonts w:hint="eastAsia"/>
              </w:rPr>
              <w:t>---</w:t>
            </w:r>
          </w:p>
        </w:tc>
        <w:tc>
          <w:tcPr>
            <w:tcW w:w="2620" w:type="pct"/>
            <w:tcBorders>
              <w:right w:val="nil"/>
            </w:tcBorders>
            <w:shd w:val="clear" w:color="auto" w:fill="FFFFFF"/>
            <w:vAlign w:val="center"/>
          </w:tcPr>
          <w:p w14:paraId="751375CB">
            <w:pPr>
              <w:pStyle w:val="59"/>
              <w:bidi w:val="0"/>
              <w:rPr>
                <w:rFonts w:hint="default"/>
                <w:color w:val="auto"/>
                <w:lang w:val="en-US" w:eastAsia="zh-CN"/>
              </w:rPr>
            </w:pPr>
            <w:r>
              <w:rPr>
                <w:rFonts w:hint="eastAsia"/>
                <w:color w:val="auto"/>
                <w:lang w:val="en-US" w:eastAsia="zh-CN"/>
              </w:rPr>
              <w:t>密闭车间，加强抽风</w:t>
            </w:r>
          </w:p>
        </w:tc>
      </w:tr>
      <w:tr w14:paraId="74916F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0A9135A0">
            <w:pPr>
              <w:pStyle w:val="69"/>
              <w:rPr>
                <w:b w:val="0"/>
                <w:color w:val="000000"/>
              </w:rPr>
            </w:pPr>
          </w:p>
        </w:tc>
        <w:tc>
          <w:tcPr>
            <w:tcW w:w="1299" w:type="pct"/>
            <w:gridSpan w:val="2"/>
            <w:vMerge w:val="restart"/>
            <w:shd w:val="clear" w:color="auto" w:fill="FFFFFF"/>
            <w:vAlign w:val="center"/>
          </w:tcPr>
          <w:p w14:paraId="0CF93BD3">
            <w:pPr>
              <w:pStyle w:val="69"/>
              <w:bidi w:val="0"/>
            </w:pPr>
            <w:r>
              <w:rPr>
                <w:rFonts w:hint="eastAsia"/>
              </w:rPr>
              <w:t>固废治理</w:t>
            </w:r>
          </w:p>
        </w:tc>
        <w:tc>
          <w:tcPr>
            <w:tcW w:w="722" w:type="pct"/>
            <w:shd w:val="clear" w:color="auto" w:fill="FFFFFF"/>
            <w:vAlign w:val="center"/>
          </w:tcPr>
          <w:p w14:paraId="76F4DC56">
            <w:pPr>
              <w:pStyle w:val="69"/>
              <w:bidi w:val="0"/>
            </w:pPr>
            <w:r>
              <w:rPr>
                <w:rFonts w:hint="eastAsia"/>
              </w:rPr>
              <w:t>---</w:t>
            </w:r>
          </w:p>
        </w:tc>
        <w:tc>
          <w:tcPr>
            <w:tcW w:w="2620" w:type="pct"/>
            <w:tcBorders>
              <w:right w:val="nil"/>
            </w:tcBorders>
            <w:shd w:val="clear" w:color="auto" w:fill="FFFFFF"/>
            <w:vAlign w:val="center"/>
          </w:tcPr>
          <w:p w14:paraId="1216C5A5">
            <w:pPr>
              <w:pStyle w:val="69"/>
              <w:rPr>
                <w:b w:val="0"/>
                <w:color w:val="000000"/>
              </w:rPr>
            </w:pPr>
            <w:r>
              <w:rPr>
                <w:rFonts w:hint="eastAsia"/>
                <w:b w:val="0"/>
                <w:color w:val="000000"/>
              </w:rPr>
              <w:t>设分散式生活垃圾桶</w:t>
            </w:r>
          </w:p>
        </w:tc>
      </w:tr>
      <w:tr w14:paraId="74A07A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shd w:val="clear" w:color="auto" w:fill="FFFFFF"/>
            <w:vAlign w:val="center"/>
          </w:tcPr>
          <w:p w14:paraId="38B01C78">
            <w:pPr>
              <w:pStyle w:val="69"/>
              <w:rPr>
                <w:b w:val="0"/>
                <w:color w:val="000000"/>
              </w:rPr>
            </w:pPr>
          </w:p>
        </w:tc>
        <w:tc>
          <w:tcPr>
            <w:tcW w:w="1299" w:type="pct"/>
            <w:gridSpan w:val="2"/>
            <w:vMerge w:val="continue"/>
            <w:shd w:val="clear" w:color="auto" w:fill="FFFFFF"/>
            <w:vAlign w:val="center"/>
          </w:tcPr>
          <w:p w14:paraId="7D5EDA94">
            <w:pPr>
              <w:pStyle w:val="69"/>
              <w:rPr>
                <w:b w:val="0"/>
                <w:color w:val="000000"/>
              </w:rPr>
            </w:pPr>
          </w:p>
        </w:tc>
        <w:tc>
          <w:tcPr>
            <w:tcW w:w="722" w:type="pct"/>
            <w:shd w:val="clear" w:color="auto" w:fill="FFFFFF"/>
            <w:vAlign w:val="center"/>
          </w:tcPr>
          <w:p w14:paraId="12CAAC3F">
            <w:pPr>
              <w:pStyle w:val="69"/>
              <w:rPr>
                <w:b w:val="0"/>
                <w:color w:val="000000"/>
              </w:rPr>
            </w:pPr>
            <w:r>
              <w:rPr>
                <w:rFonts w:hint="eastAsia"/>
                <w:b w:val="0"/>
                <w:color w:val="000000"/>
                <w:lang w:val="en-US" w:eastAsia="zh-CN"/>
              </w:rPr>
              <w:t>20</w:t>
            </w:r>
            <w:r>
              <w:rPr>
                <w:rFonts w:hint="eastAsia"/>
                <w:b w:val="0"/>
                <w:color w:val="000000"/>
              </w:rPr>
              <w:t>m</w:t>
            </w:r>
            <w:r>
              <w:rPr>
                <w:rFonts w:hint="eastAsia"/>
                <w:b w:val="0"/>
                <w:color w:val="000000"/>
                <w:vertAlign w:val="superscript"/>
              </w:rPr>
              <w:t>2</w:t>
            </w:r>
          </w:p>
        </w:tc>
        <w:tc>
          <w:tcPr>
            <w:tcW w:w="2620" w:type="pct"/>
            <w:tcBorders>
              <w:right w:val="nil"/>
            </w:tcBorders>
            <w:shd w:val="clear" w:color="auto" w:fill="FFFFFF"/>
            <w:vAlign w:val="center"/>
          </w:tcPr>
          <w:p w14:paraId="3C3FEA50">
            <w:pPr>
              <w:pStyle w:val="69"/>
              <w:rPr>
                <w:b w:val="0"/>
                <w:color w:val="000000"/>
              </w:rPr>
            </w:pPr>
            <w:r>
              <w:rPr>
                <w:rFonts w:hint="eastAsia"/>
                <w:b w:val="0"/>
                <w:color w:val="000000"/>
              </w:rPr>
              <w:t>危险废物暂存仓</w:t>
            </w:r>
          </w:p>
        </w:tc>
      </w:tr>
      <w:tr w14:paraId="39AF6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vMerge w:val="continue"/>
            <w:tcBorders>
              <w:bottom w:val="single" w:color="000000" w:sz="12" w:space="0"/>
            </w:tcBorders>
            <w:shd w:val="clear" w:color="auto" w:fill="FFFFFF"/>
            <w:vAlign w:val="center"/>
          </w:tcPr>
          <w:p w14:paraId="45C3A7F4">
            <w:pPr>
              <w:pStyle w:val="69"/>
              <w:rPr>
                <w:b w:val="0"/>
                <w:color w:val="000000"/>
              </w:rPr>
            </w:pPr>
          </w:p>
        </w:tc>
        <w:tc>
          <w:tcPr>
            <w:tcW w:w="1299" w:type="pct"/>
            <w:gridSpan w:val="2"/>
            <w:vMerge w:val="continue"/>
            <w:tcBorders>
              <w:bottom w:val="single" w:color="000000" w:sz="12" w:space="0"/>
            </w:tcBorders>
            <w:shd w:val="clear" w:color="auto" w:fill="FFFFFF"/>
            <w:vAlign w:val="center"/>
          </w:tcPr>
          <w:p w14:paraId="114F715E">
            <w:pPr>
              <w:pStyle w:val="69"/>
              <w:rPr>
                <w:b w:val="0"/>
                <w:color w:val="000000"/>
              </w:rPr>
            </w:pPr>
          </w:p>
        </w:tc>
        <w:tc>
          <w:tcPr>
            <w:tcW w:w="722" w:type="pct"/>
            <w:tcBorders>
              <w:bottom w:val="single" w:color="000000" w:sz="12" w:space="0"/>
            </w:tcBorders>
            <w:shd w:val="clear" w:color="auto" w:fill="FFFFFF"/>
            <w:vAlign w:val="center"/>
          </w:tcPr>
          <w:p w14:paraId="55D7945D">
            <w:pPr>
              <w:pStyle w:val="69"/>
              <w:rPr>
                <w:b w:val="0"/>
                <w:color w:val="000000"/>
              </w:rPr>
            </w:pPr>
            <w:r>
              <w:rPr>
                <w:rFonts w:hint="eastAsia"/>
                <w:b w:val="0"/>
                <w:color w:val="000000"/>
                <w:lang w:val="en-US" w:eastAsia="zh-CN"/>
              </w:rPr>
              <w:t>10</w:t>
            </w:r>
            <w:r>
              <w:rPr>
                <w:rFonts w:hint="eastAsia"/>
                <w:b w:val="0"/>
                <w:color w:val="000000"/>
              </w:rPr>
              <w:t>m</w:t>
            </w:r>
            <w:r>
              <w:rPr>
                <w:rFonts w:hint="eastAsia"/>
                <w:b w:val="0"/>
                <w:color w:val="000000"/>
                <w:vertAlign w:val="superscript"/>
              </w:rPr>
              <w:t>2</w:t>
            </w:r>
          </w:p>
        </w:tc>
        <w:tc>
          <w:tcPr>
            <w:tcW w:w="2620" w:type="pct"/>
            <w:tcBorders>
              <w:bottom w:val="single" w:color="000000" w:sz="12" w:space="0"/>
              <w:right w:val="nil"/>
            </w:tcBorders>
            <w:shd w:val="clear" w:color="auto" w:fill="FFFFFF"/>
            <w:vAlign w:val="center"/>
          </w:tcPr>
          <w:p w14:paraId="51484332">
            <w:pPr>
              <w:pStyle w:val="69"/>
              <w:rPr>
                <w:b w:val="0"/>
                <w:color w:val="000000"/>
              </w:rPr>
            </w:pPr>
            <w:r>
              <w:rPr>
                <w:rFonts w:hint="eastAsia"/>
                <w:b w:val="0"/>
                <w:color w:val="000000"/>
                <w:lang w:val="en-US" w:eastAsia="zh-CN"/>
              </w:rPr>
              <w:t>一般固体废物</w:t>
            </w:r>
            <w:r>
              <w:rPr>
                <w:rFonts w:hint="eastAsia"/>
                <w:b w:val="0"/>
                <w:color w:val="000000"/>
              </w:rPr>
              <w:t>仓</w:t>
            </w:r>
          </w:p>
        </w:tc>
      </w:tr>
    </w:tbl>
    <w:p w14:paraId="1FBAC7EB">
      <w:pPr>
        <w:pStyle w:val="62"/>
        <w:rPr>
          <w:color w:val="auto"/>
        </w:rPr>
        <w:sectPr>
          <w:pgSz w:w="11906" w:h="16838"/>
          <w:pgMar w:top="1417" w:right="1417" w:bottom="1417" w:left="1417" w:header="992" w:footer="992" w:gutter="0"/>
          <w:pgNumType w:fmt="decimal"/>
          <w:cols w:space="720" w:num="1"/>
          <w:docGrid w:type="lines" w:linePitch="336" w:charSpace="0"/>
        </w:sectPr>
      </w:pPr>
    </w:p>
    <w:p w14:paraId="646DB14A">
      <w:pPr>
        <w:pStyle w:val="62"/>
        <w:bidi w:val="0"/>
        <w:rPr>
          <w:rFonts w:hint="eastAsia" w:eastAsia="宋体"/>
          <w:lang w:eastAsia="zh-CN"/>
        </w:rPr>
      </w:pPr>
      <w:r>
        <w:pict>
          <v:shape id="_x0000_s2075" o:spid="_x0000_s2075" o:spt="136" type="#_x0000_t136" style="position:absolute;left:0pt;margin-left:257.3pt;margin-top:99.2pt;height:10.75pt;width:106.65pt;z-index:251708416;mso-width-relative:page;mso-height-relative:page;" filled="f" stroked="t" coordsize="21600,21600" adj="10800">
            <v:path/>
            <v:fill on="f" focussize="0,0"/>
            <v:stroke color="#000000"/>
            <v:imagedata o:title=""/>
            <o:lock v:ext="edit" aspectratio="f"/>
            <v:textpath on="t" fitshape="t" fitpath="t" trim="t" xscale="f" string="鹤山盛荣货架有限公司" style="font-family:宋体;font-size:10pt;v-rotate-letters:f;v-same-letter-heights:f;v-text-align:center;"/>
          </v:shape>
        </w:pict>
      </w:r>
      <w:r>
        <w:pict>
          <v:shape id="_x0000_s2076" o:spid="_x0000_s2076" o:spt="136" type="#_x0000_t136" style="position:absolute;left:0pt;margin-left:396.45pt;margin-top:97.3pt;height:10.75pt;width:48.15pt;z-index:251709440;mso-width-relative:page;mso-height-relative:page;" filled="f" stroked="t" coordsize="21600,21600" adj="10800">
            <v:path/>
            <v:fill on="f" focussize="0,0"/>
            <v:stroke color="#000000"/>
            <v:imagedata o:title=""/>
            <o:lock v:ext="edit" aspectratio="f"/>
            <v:textpath on="t" fitshape="t" fitpath="t" trim="t" xscale="f" string="利中天塑胶厂" style="font-family:宋体;font-size:10pt;v-rotate-letters:f;v-same-letter-heights:f;v-text-align:center;"/>
          </v:shape>
        </w:pict>
      </w:r>
      <w:r>
        <w:rPr>
          <w:sz w:val="24"/>
        </w:rPr>
        <mc:AlternateContent>
          <mc:Choice Requires="wps">
            <w:drawing>
              <wp:anchor distT="0" distB="0" distL="114300" distR="114300" simplePos="0" relativeHeight="251700224" behindDoc="0" locked="0" layoutInCell="1" allowOverlap="1">
                <wp:simplePos x="0" y="0"/>
                <wp:positionH relativeFrom="column">
                  <wp:posOffset>2090420</wp:posOffset>
                </wp:positionH>
                <wp:positionV relativeFrom="paragraph">
                  <wp:posOffset>594360</wp:posOffset>
                </wp:positionV>
                <wp:extent cx="3190875" cy="1276350"/>
                <wp:effectExtent l="10795" t="10795" r="17780" b="17780"/>
                <wp:wrapNone/>
                <wp:docPr id="249" name="任意多边形 249"/>
                <wp:cNvGraphicFramePr/>
                <a:graphic xmlns:a="http://schemas.openxmlformats.org/drawingml/2006/main">
                  <a:graphicData uri="http://schemas.microsoft.com/office/word/2010/wordprocessingShape">
                    <wps:wsp>
                      <wps:cNvSpPr/>
                      <wps:spPr>
                        <a:xfrm>
                          <a:off x="2990215" y="1493520"/>
                          <a:ext cx="3190875" cy="1276350"/>
                        </a:xfrm>
                        <a:custGeom>
                          <a:avLst/>
                          <a:gdLst>
                            <a:gd name="connsiteX0" fmla="*/ 23 w 5025"/>
                            <a:gd name="connsiteY0" fmla="*/ 825 h 2010"/>
                            <a:gd name="connsiteX1" fmla="*/ 0 w 5025"/>
                            <a:gd name="connsiteY1" fmla="*/ 1838 h 2010"/>
                            <a:gd name="connsiteX2" fmla="*/ 4650 w 5025"/>
                            <a:gd name="connsiteY2" fmla="*/ 2010 h 2010"/>
                            <a:gd name="connsiteX3" fmla="*/ 5025 w 5025"/>
                            <a:gd name="connsiteY3" fmla="*/ 128 h 2010"/>
                            <a:gd name="connsiteX4" fmla="*/ 4973 w 5025"/>
                            <a:gd name="connsiteY4" fmla="*/ 0 h 2010"/>
                            <a:gd name="connsiteX5" fmla="*/ 3945 w 5025"/>
                            <a:gd name="connsiteY5" fmla="*/ 135 h 2010"/>
                            <a:gd name="connsiteX6" fmla="*/ 3015 w 5025"/>
                            <a:gd name="connsiteY6" fmla="*/ 360 h 2010"/>
                            <a:gd name="connsiteX7" fmla="*/ 2648 w 5025"/>
                            <a:gd name="connsiteY7" fmla="*/ 510 h 2010"/>
                            <a:gd name="connsiteX8" fmla="*/ 1958 w 5025"/>
                            <a:gd name="connsiteY8" fmla="*/ 705 h 2010"/>
                            <a:gd name="connsiteX9" fmla="*/ 1005 w 5025"/>
                            <a:gd name="connsiteY9" fmla="*/ 1253 h 2010"/>
                            <a:gd name="connsiteX10" fmla="*/ 630 w 5025"/>
                            <a:gd name="connsiteY10" fmla="*/ 1418 h 2010"/>
                            <a:gd name="connsiteX11" fmla="*/ 293 w 5025"/>
                            <a:gd name="connsiteY11" fmla="*/ 773 h 2010"/>
                            <a:gd name="connsiteX12" fmla="*/ 23 w 5025"/>
                            <a:gd name="connsiteY12" fmla="*/ 825 h 2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025" h="2010">
                              <a:moveTo>
                                <a:pt x="23" y="825"/>
                              </a:moveTo>
                              <a:lnTo>
                                <a:pt x="0" y="1838"/>
                              </a:lnTo>
                              <a:lnTo>
                                <a:pt x="4650" y="2010"/>
                              </a:lnTo>
                              <a:lnTo>
                                <a:pt x="5025" y="128"/>
                              </a:lnTo>
                              <a:lnTo>
                                <a:pt x="4973" y="0"/>
                              </a:lnTo>
                              <a:lnTo>
                                <a:pt x="3945" y="135"/>
                              </a:lnTo>
                              <a:lnTo>
                                <a:pt x="3015" y="360"/>
                              </a:lnTo>
                              <a:lnTo>
                                <a:pt x="2648" y="510"/>
                              </a:lnTo>
                              <a:lnTo>
                                <a:pt x="1958" y="705"/>
                              </a:lnTo>
                              <a:lnTo>
                                <a:pt x="1005" y="1253"/>
                              </a:lnTo>
                              <a:lnTo>
                                <a:pt x="630" y="1418"/>
                              </a:lnTo>
                              <a:lnTo>
                                <a:pt x="293" y="773"/>
                              </a:lnTo>
                              <a:lnTo>
                                <a:pt x="23" y="825"/>
                              </a:lnTo>
                              <a:close/>
                            </a:path>
                          </a:pathLst>
                        </a:custGeom>
                        <a:noFill/>
                        <a:ln w="2222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3A1C083">
                            <w:pPr>
                              <w:jc w:val="center"/>
                            </w:pPr>
                          </w:p>
                          <w:p w14:paraId="41E61DBF">
                            <w:pPr>
                              <w:jc w:val="center"/>
                            </w:pPr>
                          </w:p>
                        </w:txbxContent>
                      </wps:txbx>
                      <wps:bodyPr rot="0" vertOverflow="overflow" horzOverflow="overflow" vert="horz" wrap="square" lIns="91440" tIns="45720" rIns="91440" bIns="45720" numCol="1" spcCol="0" rtlCol="0" fromWordArt="0" anchor="ctr" anchorCtr="0" compatLnSpc="1">
                        <a:noAutofit/>
                      </wps:bodyPr>
                    </wps:wsp>
                  </a:graphicData>
                </a:graphic>
              </wp:anchor>
            </w:drawing>
          </mc:Choice>
          <mc:Fallback>
            <w:pict>
              <v:shape id="_x0000_s1026" o:spid="_x0000_s1026" o:spt="100" style="position:absolute;left:0pt;margin-left:164.6pt;margin-top:46.8pt;height:100.5pt;width:251.25pt;z-index:251700224;v-text-anchor:middle;mso-width-relative:page;mso-height-relative:page;" filled="f" stroked="t" coordsize="5025,2010" o:gfxdata="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" path="m23,825l0,1838,4650,2010,5025,128,4973,0,3945,135,3015,360,2648,510,1958,705,1005,1253,630,1418,293,773,23,825xe">
                <v:path textboxrect="0,0,5025,2010" o:connectlocs="14605,523875;0,1167130;2952750,1276350;3190875,81280;3157855,0;2505075,85725;1914525,228600;1681480,323850;1243330,447675;638175,795655;400050,900430;186055,490855;14605,523875" o:connectangles="0,0,0,0,0,0,0,0,0,0,0,0,0"/>
                <v:fill on="f" focussize="0,0"/>
                <v:stroke weight="1.75pt" color="#FFFF00 [3204]" joinstyle="round" dashstyle="dash"/>
                <v:imagedata o:title=""/>
                <o:lock v:ext="edit" aspectratio="f"/>
                <v:textbox>
                  <w:txbxContent>
                    <w:p w14:paraId="23A1C083">
                      <w:pPr>
                        <w:jc w:val="center"/>
                      </w:pPr>
                    </w:p>
                    <w:p w14:paraId="41E61DBF">
                      <w:pPr>
                        <w:jc w:val="center"/>
                      </w:pPr>
                    </w:p>
                  </w:txbxContent>
                </v:textbox>
              </v:shape>
            </w:pict>
          </mc:Fallback>
        </mc:AlternateContent>
      </w:r>
      <w:r>
        <w:rPr>
          <w:sz w:val="24"/>
        </w:rPr>
        <mc:AlternateContent>
          <mc:Choice Requires="wps">
            <w:drawing>
              <wp:anchor distT="0" distB="0" distL="114300" distR="114300" simplePos="0" relativeHeight="251704320" behindDoc="0" locked="0" layoutInCell="1" allowOverlap="1">
                <wp:simplePos x="0" y="0"/>
                <wp:positionH relativeFrom="column">
                  <wp:posOffset>5043170</wp:posOffset>
                </wp:positionH>
                <wp:positionV relativeFrom="paragraph">
                  <wp:posOffset>1860550</wp:posOffset>
                </wp:positionV>
                <wp:extent cx="542925" cy="10160"/>
                <wp:effectExtent l="0" t="0" r="9525" b="18415"/>
                <wp:wrapNone/>
                <wp:docPr id="255" name="直接连接符 255"/>
                <wp:cNvGraphicFramePr/>
                <a:graphic xmlns:a="http://schemas.openxmlformats.org/drawingml/2006/main">
                  <a:graphicData uri="http://schemas.microsoft.com/office/word/2010/wordprocessingShape">
                    <wps:wsp>
                      <wps:cNvCnPr>
                        <a:stCxn id="249" idx="2"/>
                        <a:endCxn id="248" idx="1"/>
                      </wps:cNvCnPr>
                      <wps:spPr>
                        <a:xfrm flipV="1">
                          <a:off x="5919470" y="2760345"/>
                          <a:ext cx="542925" cy="10160"/>
                        </a:xfrm>
                        <a:prstGeom prst="line">
                          <a:avLst/>
                        </a:prstGeom>
                        <a:noFill/>
                        <a:ln w="2222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_x0000_s1026" o:spid="_x0000_s1026" o:spt="20" style="position:absolute;left:0pt;flip:y;margin-left:397.1pt;margin-top:146.5pt;height:0.8pt;width:42.75pt;z-index:251704320;mso-width-relative:page;mso-height-relative:page;" filled="f" stroked="t" coordsize="21600,21600" o:gfxdata="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5y3TNsAAAALAQAADwAAAAAAAAAB&#10;ACAAAAAiAAAAZHJzL2Rvd25yZXYueG1sUEsBAhQAFAAAAAgAh07iQKNcrLgNAgAA+wMAAA4AAAAA&#10;AAAAAQAgAAAAKgEAAGRycy9lMm9Eb2MueG1sUEsFBgAAAAAGAAYAWQEAAKkFAAAAAA==&#10;">
                <v:fill on="f" focussize="0,0"/>
                <v:stroke weight="1.75pt" color="#FFFF00 [3204]" joinstyle="round" dashstyle="dash"/>
                <v:imagedata o:title=""/>
                <o:lock v:ext="edit" aspectratio="f"/>
              </v:line>
            </w:pict>
          </mc:Fallback>
        </mc:AlternateContent>
      </w:r>
      <w:r>
        <w:rPr>
          <w:sz w:val="24"/>
        </w:rPr>
        <mc:AlternateContent>
          <mc:Choice Requires="wps">
            <w:drawing>
              <wp:anchor distT="0" distB="0" distL="114300" distR="114300" simplePos="0" relativeHeight="251703296" behindDoc="0" locked="0" layoutInCell="1" allowOverlap="1">
                <wp:simplePos x="0" y="0"/>
                <wp:positionH relativeFrom="column">
                  <wp:posOffset>5248275</wp:posOffset>
                </wp:positionH>
                <wp:positionV relativeFrom="paragraph">
                  <wp:posOffset>594360</wp:posOffset>
                </wp:positionV>
                <wp:extent cx="575945" cy="242570"/>
                <wp:effectExtent l="4445" t="10160" r="10160" b="13970"/>
                <wp:wrapNone/>
                <wp:docPr id="254" name="直接连接符 254"/>
                <wp:cNvGraphicFramePr/>
                <a:graphic xmlns:a="http://schemas.openxmlformats.org/drawingml/2006/main">
                  <a:graphicData uri="http://schemas.microsoft.com/office/word/2010/wordprocessingShape">
                    <wps:wsp>
                      <wps:cNvCnPr>
                        <a:stCxn id="249" idx="4"/>
                        <a:endCxn id="248" idx="0"/>
                      </wps:cNvCnPr>
                      <wps:spPr>
                        <a:xfrm>
                          <a:off x="6148070" y="1493520"/>
                          <a:ext cx="575945" cy="242570"/>
                        </a:xfrm>
                        <a:prstGeom prst="line">
                          <a:avLst/>
                        </a:prstGeom>
                        <a:noFill/>
                        <a:ln w="2222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id="_x0000_s1026" o:spid="_x0000_s1026" o:spt="20" style="position:absolute;left:0pt;margin-left:413.25pt;margin-top:46.8pt;height:19.1pt;width:45.35pt;z-index:251703296;mso-width-relative:page;mso-height-relative:page;" filled="f" stroked="t" coordsize="21600,21600" o:gfxdata="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RKQEtgAAAAKAQAADwAAAAAAAAABACAAAAAiAAAA&#10;ZHJzL2Rvd25yZXYueG1sUEsBAhQAFAAAAAgAh07iQHZ+HWIHAgAA8gMAAA4AAAAAAAAAAQAgAAAA&#10;JwEAAGRycy9lMm9Eb2MueG1sUEsFBgAAAAAGAAYAWQEAAKAFAAAAAA==&#10;">
                <v:fill on="f" focussize="0,0"/>
                <v:stroke weight="1.75pt" color="#FFFF00 [3204]" joinstyle="round" dashstyle="dash"/>
                <v:imagedata o:title=""/>
                <o:lock v:ext="edit" aspectratio="f"/>
              </v:line>
            </w:pict>
          </mc:Fallback>
        </mc:AlternateContent>
      </w:r>
      <w:r>
        <w:pict>
          <v:shape id="_x0000_s2074" o:spid="_x0000_s2074" o:spt="136" type="#_x0000_t136" style="position:absolute;left:0pt;margin-left:206.3pt;margin-top:207.95pt;height:10.75pt;width:48.15pt;z-index:251707392;mso-width-relative:page;mso-height-relative:page;" filled="f" stroked="t" coordsize="21600,21600" adj="10800">
            <v:path/>
            <v:fill on="f" focussize="0,0"/>
            <v:stroke color="#000000"/>
            <v:imagedata o:title=""/>
            <o:lock v:ext="edit" aspectratio="f"/>
            <v:textpath on="t" fitshape="t" fitpath="t" trim="t" xscale="f" string="空置厂房" style="font-family:宋体;font-size:10pt;v-rotate-letters:f;v-same-letter-heights:f;v-text-align:center;"/>
          </v:shape>
        </w:pict>
      </w:r>
      <w:r>
        <w:rPr>
          <w:rFonts w:hint="eastAsia" w:eastAsia="宋体"/>
          <w:lang w:eastAsia="zh-CN"/>
        </w:rPr>
        <w:drawing>
          <wp:anchor distT="0" distB="0" distL="114300" distR="114300" simplePos="0" relativeHeight="251702272" behindDoc="0" locked="0" layoutInCell="1" allowOverlap="1">
            <wp:simplePos x="0" y="0"/>
            <wp:positionH relativeFrom="column">
              <wp:posOffset>7727950</wp:posOffset>
            </wp:positionH>
            <wp:positionV relativeFrom="paragraph">
              <wp:posOffset>52070</wp:posOffset>
            </wp:positionV>
            <wp:extent cx="1128395" cy="1061720"/>
            <wp:effectExtent l="0" t="0" r="5080" b="5080"/>
            <wp:wrapNone/>
            <wp:docPr id="252" name="图片 252" descr="2024年鹤山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descr="2024年鹤山风玫瑰图"/>
                    <pic:cNvPicPr>
                      <a:picLocks noChangeAspect="1"/>
                    </pic:cNvPicPr>
                  </pic:nvPicPr>
                  <pic:blipFill>
                    <a:blip r:embed="rId24"/>
                    <a:stretch>
                      <a:fillRect/>
                    </a:stretch>
                  </pic:blipFill>
                  <pic:spPr>
                    <a:xfrm>
                      <a:off x="0" y="0"/>
                      <a:ext cx="1128395" cy="1061720"/>
                    </a:xfrm>
                    <a:prstGeom prst="rect">
                      <a:avLst/>
                    </a:prstGeom>
                  </pic:spPr>
                </pic:pic>
              </a:graphicData>
            </a:graphic>
          </wp:anchor>
        </w:drawing>
      </w:r>
      <w:r>
        <w:rPr>
          <w:sz w:val="24"/>
        </w:rPr>
        <mc:AlternateContent>
          <mc:Choice Requires="wps">
            <w:drawing>
              <wp:anchor distT="0" distB="0" distL="114300" distR="114300" simplePos="0" relativeHeight="251701248" behindDoc="0" locked="0" layoutInCell="1" allowOverlap="1">
                <wp:simplePos x="0" y="0"/>
                <wp:positionH relativeFrom="column">
                  <wp:posOffset>2286000</wp:posOffset>
                </wp:positionH>
                <wp:positionV relativeFrom="paragraph">
                  <wp:posOffset>1789430</wp:posOffset>
                </wp:positionV>
                <wp:extent cx="1252220" cy="2066925"/>
                <wp:effectExtent l="10795" t="1905" r="13335" b="17145"/>
                <wp:wrapNone/>
                <wp:docPr id="251" name="任意多边形 251"/>
                <wp:cNvGraphicFramePr/>
                <a:graphic xmlns:a="http://schemas.openxmlformats.org/drawingml/2006/main">
                  <a:graphicData uri="http://schemas.microsoft.com/office/word/2010/wordprocessingShape">
                    <wps:wsp>
                      <wps:cNvSpPr/>
                      <wps:spPr>
                        <a:xfrm>
                          <a:off x="3185795" y="2689225"/>
                          <a:ext cx="1252220" cy="2066925"/>
                        </a:xfrm>
                        <a:custGeom>
                          <a:avLst/>
                          <a:gdLst>
                            <a:gd name="connisteX0" fmla="*/ 280670 w 1252220"/>
                            <a:gd name="connsiteY0" fmla="*/ 0 h 2066925"/>
                            <a:gd name="connisteX1" fmla="*/ 0 w 1252220"/>
                            <a:gd name="connsiteY1" fmla="*/ 1757045 h 2066925"/>
                            <a:gd name="connisteX2" fmla="*/ 814070 w 1252220"/>
                            <a:gd name="connsiteY2" fmla="*/ 2066925 h 2066925"/>
                            <a:gd name="connisteX3" fmla="*/ 1252220 w 1252220"/>
                            <a:gd name="connsiteY3" fmla="*/ 71120 h 2066925"/>
                          </a:gdLst>
                          <a:ahLst/>
                          <a:cxnLst>
                            <a:cxn ang="0">
                              <a:pos x="connisteX0" y="connsiteY0"/>
                            </a:cxn>
                            <a:cxn ang="0">
                              <a:pos x="connisteX1" y="connsiteY1"/>
                            </a:cxn>
                            <a:cxn ang="0">
                              <a:pos x="connisteX2" y="connsiteY2"/>
                            </a:cxn>
                            <a:cxn ang="0">
                              <a:pos x="connisteX3" y="connsiteY3"/>
                            </a:cxn>
                          </a:cxnLst>
                          <a:rect l="l" t="t" r="r" b="b"/>
                          <a:pathLst>
                            <a:path w="1252220" h="2066925">
                              <a:moveTo>
                                <a:pt x="280670" y="0"/>
                              </a:moveTo>
                              <a:lnTo>
                                <a:pt x="0" y="1757045"/>
                              </a:lnTo>
                              <a:lnTo>
                                <a:pt x="814070" y="2066925"/>
                              </a:lnTo>
                              <a:lnTo>
                                <a:pt x="1252220" y="71120"/>
                              </a:lnTo>
                            </a:path>
                          </a:pathLst>
                        </a:custGeom>
                        <a:noFill/>
                        <a:ln w="2222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rtlCol="0" fromWordArt="0" anchor="ctr" anchorCtr="0" compatLnSpc="1">
                        <a:noAutofit/>
                      </wps:bodyPr>
                    </wps:wsp>
                  </a:graphicData>
                </a:graphic>
              </wp:anchor>
            </w:drawing>
          </mc:Choice>
          <mc:Fallback>
            <w:pict>
              <v:shape id="_x0000_s1026" o:spid="_x0000_s1026" o:spt="100" style="position:absolute;left:0pt;margin-left:180pt;margin-top:140.9pt;height:162.75pt;width:98.6pt;z-index:251701248;v-text-anchor:middle;mso-width-relative:page;mso-height-relative:page;" filled="f" stroked="t" coordsize="1252220,2066925" o:gfxdata="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" path="m280670,0l0,1757045,814070,2066925,1252220,71120e">
                <v:path o:connectlocs="280670,0;0,1757045;814070,2066925;1252220,71120" o:connectangles="0,0,0,0"/>
                <v:fill on="f" focussize="0,0"/>
                <v:stroke weight="1.75pt" color="#FFFF00 [3204]" joinstyle="round" dashstyle="dash"/>
                <v:imagedata o:title=""/>
                <o:lock v:ext="edit" aspectratio="f"/>
              </v:shape>
            </w:pict>
          </mc:Fallback>
        </mc:AlternateContent>
      </w:r>
      <w:r>
        <w:pict>
          <v:shape id="_x0000_s2073" o:spid="_x0000_s2073" o:spt="136" type="#_x0000_t136" style="position:absolute;left:0pt;margin-left:450.1pt;margin-top:112.35pt;height:10.75pt;width:138.45pt;z-index:251706368;mso-width-relative:page;mso-height-relative:page;" filled="f" stroked="t" coordsize="21600,21600" adj="10800">
            <v:path/>
            <v:fill on="f" focussize="0,0"/>
            <v:stroke color="#000000"/>
            <v:imagedata o:title=""/>
            <o:lock v:ext="edit" aspectratio="f"/>
            <v:textpath on="t" fitshape="t" fitpath="t" trim="t" xscale="f" string="丰正机械科技(江门)有限公司" style="font-family:宋体;font-size:10pt;v-rotate-letters:f;v-same-letter-heights:f;v-text-align:center;"/>
          </v:shape>
        </w:pict>
      </w:r>
      <w:r>
        <w:rPr>
          <w:sz w:val="24"/>
        </w:rPr>
        <mc:AlternateContent>
          <mc:Choice Requires="wps">
            <w:drawing>
              <wp:anchor distT="0" distB="0" distL="114300" distR="114300" simplePos="0" relativeHeight="251699200" behindDoc="0" locked="0" layoutInCell="1" allowOverlap="1">
                <wp:simplePos x="0" y="0"/>
                <wp:positionH relativeFrom="column">
                  <wp:posOffset>5586095</wp:posOffset>
                </wp:positionH>
                <wp:positionV relativeFrom="paragraph">
                  <wp:posOffset>836930</wp:posOffset>
                </wp:positionV>
                <wp:extent cx="843280" cy="1085850"/>
                <wp:effectExtent l="10795" t="0" r="12700" b="17780"/>
                <wp:wrapNone/>
                <wp:docPr id="248" name="任意多边形 248"/>
                <wp:cNvGraphicFramePr/>
                <a:graphic xmlns:a="http://schemas.openxmlformats.org/drawingml/2006/main">
                  <a:graphicData uri="http://schemas.microsoft.com/office/word/2010/wordprocessingShape">
                    <wps:wsp>
                      <wps:cNvSpPr/>
                      <wps:spPr>
                        <a:xfrm>
                          <a:off x="6485890" y="1736725"/>
                          <a:ext cx="843280" cy="1085850"/>
                        </a:xfrm>
                        <a:custGeom>
                          <a:avLst/>
                          <a:gdLst>
                            <a:gd name="connisteX0" fmla="*/ 238125 w 843280"/>
                            <a:gd name="connsiteY0" fmla="*/ 0 h 1085850"/>
                            <a:gd name="connisteX1" fmla="*/ 0 w 843280"/>
                            <a:gd name="connsiteY1" fmla="*/ 1023620 h 1085850"/>
                            <a:gd name="connisteX2" fmla="*/ 738505 w 843280"/>
                            <a:gd name="connsiteY2" fmla="*/ 1085850 h 1085850"/>
                            <a:gd name="connisteX3" fmla="*/ 843280 w 843280"/>
                            <a:gd name="connsiteY3" fmla="*/ 852170 h 1085850"/>
                            <a:gd name="connisteX4" fmla="*/ 748030 w 843280"/>
                            <a:gd name="connsiteY4" fmla="*/ 409575 h 1085850"/>
                            <a:gd name="connisteX5" fmla="*/ 476250 w 843280"/>
                            <a:gd name="connsiteY5" fmla="*/ 356870 h 1085850"/>
                            <a:gd name="connisteX6" fmla="*/ 238125 w 843280"/>
                            <a:gd name="connsiteY6" fmla="*/ 0 h 10858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843280" h="1085850">
                              <a:moveTo>
                                <a:pt x="238125" y="0"/>
                              </a:moveTo>
                              <a:lnTo>
                                <a:pt x="0" y="1023620"/>
                              </a:lnTo>
                              <a:lnTo>
                                <a:pt x="738505" y="1085850"/>
                              </a:lnTo>
                              <a:lnTo>
                                <a:pt x="843280" y="852170"/>
                              </a:lnTo>
                              <a:lnTo>
                                <a:pt x="748030" y="409575"/>
                              </a:lnTo>
                              <a:lnTo>
                                <a:pt x="476250" y="356870"/>
                              </a:lnTo>
                              <a:lnTo>
                                <a:pt x="238125" y="0"/>
                              </a:lnTo>
                              <a:close/>
                            </a:path>
                          </a:pathLst>
                        </a:custGeom>
                        <a:noFill/>
                        <a:ln w="2222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rtlCol="0" fromWordArt="0" anchor="ctr" anchorCtr="0" compatLnSpc="1">
                        <a:noAutofit/>
                      </wps:bodyPr>
                    </wps:wsp>
                  </a:graphicData>
                </a:graphic>
              </wp:anchor>
            </w:drawing>
          </mc:Choice>
          <mc:Fallback>
            <w:pict>
              <v:shape id="_x0000_s1026" o:spid="_x0000_s1026" o:spt="100" style="position:absolute;left:0pt;margin-left:439.85pt;margin-top:65.9pt;height:85.5pt;width:66.4pt;z-index:251699200;v-text-anchor:middle;mso-width-relative:page;mso-height-relative:page;" filled="f" stroked="t" coordsize="843280,1085850" o:gfxdata="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" path="m238125,0l0,1023620,738505,1085850,843280,852170,748030,409575,476250,356870,238125,0xe">
                <v:path o:connectlocs="238125,0;0,1023620;738505,1085850;843280,852170;748030,409575;476250,356870;238125,0" o:connectangles="0,0,0,0,0,0,0"/>
                <v:fill on="f" focussize="0,0"/>
                <v:stroke weight="1.75pt" color="#FFFF00 [3204]" joinstyle="round" dashstyle="dash"/>
                <v:imagedata o:title=""/>
                <o:lock v:ext="edit" aspectratio="f"/>
              </v:shape>
            </w:pict>
          </mc:Fallback>
        </mc:AlternateContent>
      </w:r>
      <w:r>
        <w:pict>
          <v:shape id="_x0000_s2072" o:spid="_x0000_s2072" o:spt="136" type="#_x0000_t136" style="position:absolute;left:0pt;margin-left:422.75pt;margin-top:276.6pt;height:10.75pt;width:138.45pt;z-index:251705344;mso-width-relative:page;mso-height-relative:page;" filled="f" stroked="t" coordsize="21600,21600" adj="10800">
            <v:path/>
            <v:fill on="f" focussize="0,0"/>
            <v:stroke color="#000000"/>
            <v:imagedata o:title=""/>
            <o:lock v:ext="edit" aspectratio="f"/>
            <v:textpath on="t" fitshape="t" fitpath="t" trim="t" xscale="f" string="鹤山市能邦机械有限公司" style="font-family:宋体;font-size:10pt;v-rotate-letters:f;v-same-letter-heights:f;v-text-align:center;"/>
          </v:shape>
        </w:pict>
      </w:r>
      <w:r>
        <w:rPr>
          <w:sz w:val="24"/>
        </w:rPr>
        <mc:AlternateContent>
          <mc:Choice Requires="wps">
            <w:drawing>
              <wp:anchor distT="0" distB="0" distL="114300" distR="114300" simplePos="0" relativeHeight="251698176" behindDoc="0" locked="0" layoutInCell="1" allowOverlap="1">
                <wp:simplePos x="0" y="0"/>
                <wp:positionH relativeFrom="column">
                  <wp:posOffset>5294630</wp:posOffset>
                </wp:positionH>
                <wp:positionV relativeFrom="paragraph">
                  <wp:posOffset>2823845</wp:posOffset>
                </wp:positionV>
                <wp:extent cx="1343025" cy="1952625"/>
                <wp:effectExtent l="6985" t="0" r="12065" b="17780"/>
                <wp:wrapNone/>
                <wp:docPr id="247" name="任意多边形 247"/>
                <wp:cNvGraphicFramePr/>
                <a:graphic xmlns:a="http://schemas.openxmlformats.org/drawingml/2006/main">
                  <a:graphicData uri="http://schemas.microsoft.com/office/word/2010/wordprocessingShape">
                    <wps:wsp>
                      <wps:cNvSpPr/>
                      <wps:spPr>
                        <a:xfrm>
                          <a:off x="6194425" y="3723640"/>
                          <a:ext cx="1343025" cy="1952625"/>
                        </a:xfrm>
                        <a:custGeom>
                          <a:avLst/>
                          <a:gdLst>
                            <a:gd name="connsiteX0" fmla="*/ 0 w 2115"/>
                            <a:gd name="connsiteY0" fmla="*/ 802 h 3075"/>
                            <a:gd name="connsiteX1" fmla="*/ 1103 w 2115"/>
                            <a:gd name="connsiteY1" fmla="*/ 1717 h 3075"/>
                            <a:gd name="connsiteX2" fmla="*/ 653 w 2115"/>
                            <a:gd name="connsiteY2" fmla="*/ 2932 h 3075"/>
                            <a:gd name="connsiteX3" fmla="*/ 1110 w 2115"/>
                            <a:gd name="connsiteY3" fmla="*/ 3075 h 3075"/>
                            <a:gd name="connsiteX4" fmla="*/ 2115 w 2115"/>
                            <a:gd name="connsiteY4" fmla="*/ 1080 h 3075"/>
                            <a:gd name="connsiteX5" fmla="*/ 915 w 2115"/>
                            <a:gd name="connsiteY5" fmla="*/ 0 h 3075"/>
                            <a:gd name="connsiteX6" fmla="*/ 30 w 2115"/>
                            <a:gd name="connsiteY6" fmla="*/ 780 h 3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15" h="3075">
                              <a:moveTo>
                                <a:pt x="0" y="802"/>
                              </a:moveTo>
                              <a:lnTo>
                                <a:pt x="1103" y="1717"/>
                              </a:lnTo>
                              <a:lnTo>
                                <a:pt x="653" y="2932"/>
                              </a:lnTo>
                              <a:lnTo>
                                <a:pt x="1110" y="3075"/>
                              </a:lnTo>
                              <a:lnTo>
                                <a:pt x="2115" y="1080"/>
                              </a:lnTo>
                              <a:lnTo>
                                <a:pt x="915" y="0"/>
                              </a:lnTo>
                              <a:lnTo>
                                <a:pt x="30" y="780"/>
                              </a:lnTo>
                            </a:path>
                          </a:pathLst>
                        </a:custGeom>
                        <a:noFill/>
                        <a:ln w="2222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rtlCol="0" fromWordArt="0" anchor="ctr" anchorCtr="0" compatLnSpc="1">
                        <a:noAutofit/>
                      </wps:bodyPr>
                    </wps:wsp>
                  </a:graphicData>
                </a:graphic>
              </wp:anchor>
            </w:drawing>
          </mc:Choice>
          <mc:Fallback>
            <w:pict>
              <v:shape id="_x0000_s1026" o:spid="_x0000_s1026" o:spt="100" style="position:absolute;left:0pt;margin-left:416.9pt;margin-top:222.35pt;height:153.75pt;width:105.75pt;z-index:251698176;v-text-anchor:middle;mso-width-relative:page;mso-height-relative:page;" filled="f" stroked="t" coordsize="2115,3075" o:gfxdata="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" path="m0,802l1103,1717,653,2932,1110,3075,2115,1080,915,0,30,780e">
                <v:path o:connectlocs="0,509270;700405,1090295;414655,1861820;704850,1952625;1343025,685800;581025,0;19050,495300" o:connectangles="0,0,0,0,0,0,0"/>
                <v:fill on="f" focussize="0,0"/>
                <v:stroke weight="1.75pt" color="#FFFF00 [3204]" joinstyle="round" dashstyle="dash"/>
                <v:imagedata o:title=""/>
                <o:lock v:ext="edit" aspectratio="f"/>
              </v:shape>
            </w:pict>
          </mc:Fallback>
        </mc:AlternateContent>
      </w:r>
      <w:r>
        <w:pict>
          <v:shape id="_x0000_s2077" o:spid="_x0000_s2077" o:spt="136" type="#_x0000_t136" style="position:absolute;left:0pt;margin-left:293.4pt;margin-top:227.85pt;height:10.75pt;width:141.45pt;z-index:251691008;mso-width-relative:page;mso-height-relative:page;" filled="f" stroked="t" coordsize="21600,21600" adj="10800">
            <v:path/>
            <v:fill on="f" focussize="0,0"/>
            <v:stroke/>
            <v:imagedata o:title=""/>
            <o:lock v:ext="edit" aspectratio="f"/>
            <v:textpath on="t" fitshape="t" fitpath="t" trim="t" xscale="f" string="鹤山市东达塑料制品有限公司" style="font-family:宋体;font-size:10pt;v-rotate-letters:f;v-same-letter-heights:f;v-text-align:center;"/>
          </v:shape>
        </w:pict>
      </w:r>
      <w:r>
        <mc:AlternateContent>
          <mc:Choice Requires="wps">
            <w:drawing>
              <wp:anchor distT="0" distB="0" distL="114300" distR="114300" simplePos="0" relativeHeight="251689984" behindDoc="0" locked="0" layoutInCell="1" allowOverlap="1">
                <wp:simplePos x="0" y="0"/>
                <wp:positionH relativeFrom="column">
                  <wp:posOffset>3787775</wp:posOffset>
                </wp:positionH>
                <wp:positionV relativeFrom="paragraph">
                  <wp:posOffset>2014855</wp:posOffset>
                </wp:positionV>
                <wp:extent cx="2481580" cy="419100"/>
                <wp:effectExtent l="9525" t="9525" r="13970" b="9525"/>
                <wp:wrapNone/>
                <wp:docPr id="191" name="任意多边形 191"/>
                <wp:cNvGraphicFramePr/>
                <a:graphic xmlns:a="http://schemas.openxmlformats.org/drawingml/2006/main">
                  <a:graphicData uri="http://schemas.microsoft.com/office/word/2010/wordprocessingShape">
                    <wps:wsp>
                      <wps:cNvSpPr/>
                      <wps:spPr>
                        <a:xfrm>
                          <a:off x="0" y="0"/>
                          <a:ext cx="2481580" cy="419100"/>
                        </a:xfrm>
                        <a:custGeom>
                          <a:avLst/>
                          <a:gdLst/>
                          <a:ahLst/>
                          <a:cxnLst/>
                          <a:pathLst>
                            <a:path w="3908" h="660">
                              <a:moveTo>
                                <a:pt x="0" y="0"/>
                              </a:moveTo>
                              <a:lnTo>
                                <a:pt x="3900" y="195"/>
                              </a:lnTo>
                              <a:lnTo>
                                <a:pt x="3908" y="435"/>
                              </a:lnTo>
                              <a:lnTo>
                                <a:pt x="3713" y="660"/>
                              </a:lnTo>
                              <a:lnTo>
                                <a:pt x="0" y="458"/>
                              </a:lnTo>
                              <a:lnTo>
                                <a:pt x="0" y="0"/>
                              </a:lnTo>
                              <a:close/>
                            </a:path>
                          </a:pathLst>
                        </a:custGeom>
                        <a:noFill/>
                        <a:ln w="1905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98.25pt;margin-top:158.65pt;height:33pt;width:195.4pt;z-index:251689984;mso-width-relative:page;mso-height-relative:page;" filled="f" stroked="t" coordsize="3908,660" o:gfxdata="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84xiN2wAAAAsBAAAPAAAAAAAAAAEAIAAAACIAAABkcnMvZG93bnJldi54bWxQSwECFAAU&#10;AAAACACHTuJA6t47UGACAAA8BQAADgAAAAAAAAABACAAAAAqAQAAZHJzL2Uyb0RvYy54bWxQSwUG&#10;AAAAAAYABgBZAQAA/AUAAAAA&#10;" path="m0,0l3900,195,3908,435,3713,660,0,458,0,0xe">
                <v:fill on="f" focussize="0,0"/>
                <v:stroke weight="1.5pt" color="#FF0000" joinstyle="round"/>
                <v:imagedata o:title=""/>
                <o:lock v:ext="edit" aspectratio="f"/>
              </v:shape>
            </w:pict>
          </mc:Fallback>
        </mc:AlternateContent>
      </w:r>
      <w:r>
        <w:pict>
          <v:shape id="艺术字 1239" o:spid="_x0000_s2078" o:spt="136" type="#_x0000_t136" style="position:absolute;left:0pt;margin-left:356pt;margin-top:165.45pt;height:10.75pt;width:44.3pt;z-index:251688960;mso-width-relative:page;mso-height-relative:page;" filled="f" stroked="t" coordsize="21600,21600" adj="10800">
            <v:path/>
            <v:fill on="f" focussize="0,0"/>
            <v:stroke/>
            <v:imagedata o:title=""/>
            <o:lock v:ext="edit" aspectratio="f"/>
            <v:textpath on="t" fitshape="t" fitpath="t" trim="t" xscale="f" string="建设项目" style="font-family:宋体;font-size:10pt;v-rotate-letters:f;v-same-letter-heights:f;v-text-align:center;"/>
          </v:shape>
        </w:pict>
      </w:r>
      <w:r>
        <w:drawing>
          <wp:inline distT="0" distB="0" distL="114300" distR="114300">
            <wp:extent cx="8886190" cy="5260340"/>
            <wp:effectExtent l="0" t="0" r="635" b="6985"/>
            <wp:docPr id="19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48"/>
                    <pic:cNvPicPr>
                      <a:picLocks noChangeAspect="1"/>
                    </pic:cNvPicPr>
                  </pic:nvPicPr>
                  <pic:blipFill>
                    <a:blip r:embed="rId52"/>
                    <a:stretch>
                      <a:fillRect/>
                    </a:stretch>
                  </pic:blipFill>
                  <pic:spPr>
                    <a:xfrm>
                      <a:off x="0" y="0"/>
                      <a:ext cx="8886190" cy="5260340"/>
                    </a:xfrm>
                    <a:prstGeom prst="rect">
                      <a:avLst/>
                    </a:prstGeom>
                    <a:noFill/>
                    <a:ln>
                      <a:noFill/>
                    </a:ln>
                  </pic:spPr>
                </pic:pic>
              </a:graphicData>
            </a:graphic>
          </wp:inline>
        </w:drawing>
      </w:r>
    </w:p>
    <w:p w14:paraId="0CE733C8">
      <w:pPr>
        <w:pStyle w:val="62"/>
        <w:rPr>
          <w:color w:val="auto"/>
        </w:rPr>
        <w:sectPr>
          <w:pgSz w:w="16838" w:h="11906" w:orient="landscape"/>
          <w:pgMar w:top="1417" w:right="1417" w:bottom="1417" w:left="1417" w:header="992" w:footer="992" w:gutter="0"/>
          <w:pgNumType w:fmt="decimal"/>
          <w:cols w:space="720" w:num="1"/>
          <w:docGrid w:type="lines" w:linePitch="336" w:charSpace="0"/>
        </w:sectPr>
      </w:pPr>
      <w:r>
        <w:rPr>
          <w:rFonts w:hint="eastAsia"/>
          <w:color w:val="auto"/>
        </w:rPr>
        <w:t>图</w:t>
      </w:r>
      <w:r>
        <w:rPr>
          <w:rFonts w:hint="eastAsia"/>
          <w:color w:val="auto"/>
          <w:lang w:val="en-US" w:eastAsia="zh-CN"/>
        </w:rPr>
        <w:t>2</w:t>
      </w:r>
      <w:r>
        <w:rPr>
          <w:rFonts w:hint="eastAsia"/>
          <w:color w:val="auto"/>
        </w:rPr>
        <w:t>.2-1  建设项目四至图</w:t>
      </w:r>
    </w:p>
    <w:p w14:paraId="4DFE1B9A">
      <w:pPr>
        <w:pStyle w:val="62"/>
        <w:bidi w:val="0"/>
        <w:rPr>
          <w:rFonts w:ascii="Times New Roman" w:hAnsi="Times New Roman" w:cs="Times New Roman"/>
        </w:rPr>
      </w:pPr>
      <w:r>
        <w:rPr>
          <w:rFonts w:ascii="Times New Roman" w:hAnsi="Times New Roman" w:cs="Times New Roman"/>
        </w:rPr>
        <w:object>
          <v:shape id="_x0000_i1026" o:spt="75" type="#_x0000_t75" style="height:412.55pt;width:699.4pt;" o:ole="t" filled="f" o:preferrelative="t" stroked="f" coordsize="21600,21600">
            <v:path/>
            <v:fill on="f" focussize="0,0"/>
            <v:stroke on="f"/>
            <v:imagedata r:id="rId54" o:title=""/>
            <o:lock v:ext="edit" aspectratio="f"/>
            <w10:wrap type="none"/>
            <w10:anchorlock/>
          </v:shape>
          <o:OLEObject Type="Embed" ProgID="Visio.Drawing.15" ShapeID="_x0000_i1026" DrawAspect="Content" ObjectID="_1468075726" r:id="rId53">
            <o:LockedField>false</o:LockedField>
          </o:OLEObject>
        </w:object>
      </w:r>
    </w:p>
    <w:p w14:paraId="5F28B542">
      <w:pPr>
        <w:pStyle w:val="62"/>
        <w:rPr>
          <w:color w:val="auto"/>
        </w:rPr>
      </w:pPr>
      <w:r>
        <w:rPr>
          <w:rFonts w:hint="eastAsia"/>
          <w:color w:val="auto"/>
        </w:rPr>
        <w:t>图</w:t>
      </w:r>
      <w:r>
        <w:rPr>
          <w:rFonts w:hint="eastAsia"/>
          <w:color w:val="auto"/>
          <w:lang w:val="en-US" w:eastAsia="zh-CN"/>
        </w:rPr>
        <w:t>2</w:t>
      </w:r>
      <w:r>
        <w:rPr>
          <w:rFonts w:hint="eastAsia"/>
          <w:color w:val="auto"/>
        </w:rPr>
        <w:t>.</w:t>
      </w:r>
      <w:r>
        <w:rPr>
          <w:rFonts w:hint="eastAsia"/>
          <w:color w:val="auto"/>
          <w:lang w:val="en-US" w:eastAsia="zh-CN"/>
        </w:rPr>
        <w:t>2</w:t>
      </w:r>
      <w:r>
        <w:rPr>
          <w:rFonts w:hint="eastAsia"/>
          <w:color w:val="auto"/>
        </w:rPr>
        <w:t>-2  建设项目</w:t>
      </w:r>
      <w:r>
        <w:rPr>
          <w:rFonts w:hint="eastAsia"/>
          <w:color w:val="auto"/>
          <w:lang w:val="en-US" w:eastAsia="zh-CN"/>
        </w:rPr>
        <w:t>各车间</w:t>
      </w:r>
      <w:r>
        <w:rPr>
          <w:rFonts w:hint="eastAsia"/>
          <w:color w:val="auto"/>
        </w:rPr>
        <w:t>平面布置图</w:t>
      </w:r>
    </w:p>
    <w:p w14:paraId="318259D0">
      <w:pPr>
        <w:pStyle w:val="62"/>
        <w:jc w:val="both"/>
        <w:rPr>
          <w:color w:val="auto"/>
        </w:rPr>
        <w:sectPr>
          <w:pgSz w:w="16838" w:h="11906" w:orient="landscape"/>
          <w:pgMar w:top="1417" w:right="1417" w:bottom="1417" w:left="1417" w:header="992" w:footer="992" w:gutter="0"/>
          <w:pgNumType w:fmt="decimal"/>
          <w:cols w:space="720" w:num="1"/>
          <w:docGrid w:type="lines" w:linePitch="312" w:charSpace="0"/>
        </w:sectPr>
      </w:pPr>
    </w:p>
    <w:p w14:paraId="55698EE7">
      <w:pPr>
        <w:pStyle w:val="67"/>
        <w:numPr>
          <w:ilvl w:val="1"/>
          <w:numId w:val="8"/>
        </w:numPr>
        <w:bidi w:val="0"/>
        <w:ind w:left="567" w:leftChars="0" w:hanging="567" w:firstLineChars="0"/>
        <w:rPr>
          <w:rFonts w:hint="eastAsia" w:ascii="Times New Roman" w:hAnsi="Times New Roman" w:eastAsia="宋体" w:cs="Times New Roman"/>
          <w:color w:val="auto"/>
        </w:rPr>
      </w:pPr>
      <w:bookmarkStart w:id="60" w:name="_Toc15443"/>
      <w:r>
        <w:rPr>
          <w:rFonts w:hint="eastAsia" w:ascii="Times New Roman" w:hAnsi="Times New Roman" w:eastAsia="宋体" w:cs="Times New Roman"/>
          <w:color w:val="auto"/>
        </w:rPr>
        <w:t>产品方案</w:t>
      </w:r>
      <w:bookmarkEnd w:id="60"/>
    </w:p>
    <w:p w14:paraId="517F2E6E">
      <w:pPr>
        <w:bidi w:val="0"/>
      </w:pPr>
      <w:r>
        <w:t>本项目主要从事塑料包装膜的加工生产，塑料膜主要用途为食品包装。产品方案见下表：</w:t>
      </w:r>
    </w:p>
    <w:p w14:paraId="210AEBBD">
      <w:pPr>
        <w:pStyle w:val="62"/>
        <w:bidi w:val="0"/>
      </w:pPr>
      <w:r>
        <w:rPr>
          <w:rFonts w:hint="eastAsia"/>
          <w:lang w:val="en-US" w:eastAsia="zh-CN"/>
        </w:rPr>
        <w:t xml:space="preserve">表2.3-1  </w:t>
      </w:r>
      <w:r>
        <w:t>本项目产品方案</w:t>
      </w:r>
    </w:p>
    <w:p w14:paraId="318BD73A">
      <w:pPr>
        <w:spacing w:line="144" w:lineRule="exact"/>
      </w:pPr>
    </w:p>
    <w:tbl>
      <w:tblPr>
        <w:tblStyle w:val="105"/>
        <w:tblW w:w="4997" w:type="pct"/>
        <w:tblInd w:w="0"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autofit"/>
        <w:tblCellMar>
          <w:top w:w="0" w:type="dxa"/>
          <w:left w:w="0" w:type="dxa"/>
          <w:bottom w:w="0" w:type="dxa"/>
          <w:right w:w="0" w:type="dxa"/>
        </w:tblCellMar>
      </w:tblPr>
      <w:tblGrid>
        <w:gridCol w:w="1013"/>
        <w:gridCol w:w="1560"/>
        <w:gridCol w:w="1598"/>
        <w:gridCol w:w="2897"/>
        <w:gridCol w:w="1999"/>
      </w:tblGrid>
      <w:tr w14:paraId="792C06F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9" w:type="pct"/>
            <w:tcBorders>
              <w:top w:val="single" w:color="000000" w:sz="12" w:space="0"/>
              <w:left w:val="nil"/>
              <w:tl2br w:val="nil"/>
            </w:tcBorders>
            <w:shd w:val="clear" w:color="auto" w:fill="FFFFFF"/>
            <w:vAlign w:val="center"/>
          </w:tcPr>
          <w:p w14:paraId="0F342A20">
            <w:pPr>
              <w:pStyle w:val="59"/>
              <w:bidi w:val="0"/>
              <w:jc w:val="center"/>
              <w:rPr>
                <w:b w:val="0"/>
                <w:color w:val="000000"/>
              </w:rPr>
            </w:pPr>
            <w:r>
              <w:rPr>
                <w:b w:val="0"/>
                <w:color w:val="000000"/>
              </w:rPr>
              <w:t>序号</w:t>
            </w:r>
          </w:p>
        </w:tc>
        <w:tc>
          <w:tcPr>
            <w:tcW w:w="860" w:type="pct"/>
            <w:tcBorders>
              <w:top w:val="single" w:color="000000" w:sz="12" w:space="0"/>
            </w:tcBorders>
            <w:shd w:val="clear" w:color="auto" w:fill="FFFFFF"/>
            <w:vAlign w:val="center"/>
          </w:tcPr>
          <w:p w14:paraId="015E6F04">
            <w:pPr>
              <w:pStyle w:val="59"/>
              <w:bidi w:val="0"/>
              <w:jc w:val="center"/>
              <w:rPr>
                <w:b w:val="0"/>
                <w:color w:val="000000"/>
              </w:rPr>
            </w:pPr>
            <w:r>
              <w:rPr>
                <w:b w:val="0"/>
                <w:color w:val="000000"/>
              </w:rPr>
              <w:t>产品名称</w:t>
            </w:r>
          </w:p>
        </w:tc>
        <w:tc>
          <w:tcPr>
            <w:tcW w:w="881" w:type="pct"/>
            <w:tcBorders>
              <w:top w:val="single" w:color="000000" w:sz="12" w:space="0"/>
            </w:tcBorders>
            <w:shd w:val="clear" w:color="auto" w:fill="FFFFFF"/>
            <w:vAlign w:val="center"/>
          </w:tcPr>
          <w:p w14:paraId="5A45E1C8">
            <w:pPr>
              <w:pStyle w:val="59"/>
              <w:bidi w:val="0"/>
              <w:jc w:val="center"/>
              <w:rPr>
                <w:b w:val="0"/>
                <w:color w:val="000000"/>
              </w:rPr>
            </w:pPr>
            <w:r>
              <w:rPr>
                <w:b w:val="0"/>
                <w:color w:val="000000"/>
              </w:rPr>
              <w:t>年产量（t/a）</w:t>
            </w:r>
          </w:p>
        </w:tc>
        <w:tc>
          <w:tcPr>
            <w:tcW w:w="1597" w:type="pct"/>
            <w:tcBorders>
              <w:top w:val="single" w:color="000000" w:sz="12" w:space="0"/>
            </w:tcBorders>
            <w:shd w:val="clear" w:color="auto" w:fill="FFFFFF"/>
            <w:vAlign w:val="center"/>
          </w:tcPr>
          <w:p w14:paraId="3C803B92">
            <w:pPr>
              <w:pStyle w:val="59"/>
              <w:bidi w:val="0"/>
              <w:jc w:val="center"/>
              <w:rPr>
                <w:rFonts w:hint="default" w:eastAsia="宋体"/>
                <w:b w:val="0"/>
                <w:color w:val="000000"/>
                <w:lang w:val="en-US" w:eastAsia="zh-CN"/>
              </w:rPr>
            </w:pPr>
            <w:r>
              <w:rPr>
                <w:rFonts w:hint="eastAsia"/>
                <w:b w:val="0"/>
                <w:color w:val="000000"/>
                <w:lang w:val="en-US" w:eastAsia="zh-CN"/>
              </w:rPr>
              <w:t>产品照片</w:t>
            </w:r>
          </w:p>
        </w:tc>
        <w:tc>
          <w:tcPr>
            <w:tcW w:w="1102" w:type="pct"/>
            <w:tcBorders>
              <w:top w:val="single" w:color="000000" w:sz="12" w:space="0"/>
              <w:right w:val="nil"/>
            </w:tcBorders>
            <w:shd w:val="clear" w:color="auto" w:fill="FFFFFF"/>
            <w:vAlign w:val="center"/>
          </w:tcPr>
          <w:p w14:paraId="635C909F">
            <w:pPr>
              <w:pStyle w:val="59"/>
              <w:bidi w:val="0"/>
              <w:jc w:val="center"/>
              <w:rPr>
                <w:rFonts w:hint="default" w:eastAsia="宋体"/>
                <w:b w:val="0"/>
                <w:color w:val="000000"/>
                <w:lang w:val="en-US" w:eastAsia="zh-CN"/>
              </w:rPr>
            </w:pPr>
            <w:r>
              <w:rPr>
                <w:rFonts w:hint="eastAsia"/>
                <w:b w:val="0"/>
                <w:color w:val="000000"/>
                <w:lang w:val="en-US" w:eastAsia="zh-CN"/>
              </w:rPr>
              <w:t>产品用途</w:t>
            </w:r>
          </w:p>
        </w:tc>
      </w:tr>
      <w:tr w14:paraId="4BF50C5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9" w:type="pct"/>
            <w:tcBorders>
              <w:left w:val="nil"/>
            </w:tcBorders>
            <w:shd w:val="clear" w:color="auto" w:fill="FFFFFF"/>
            <w:vAlign w:val="center"/>
          </w:tcPr>
          <w:p w14:paraId="24F4C645">
            <w:pPr>
              <w:pStyle w:val="59"/>
              <w:bidi w:val="0"/>
              <w:jc w:val="center"/>
              <w:rPr>
                <w:b w:val="0"/>
                <w:color w:val="000000"/>
              </w:rPr>
            </w:pPr>
            <w:r>
              <w:rPr>
                <w:b w:val="0"/>
                <w:color w:val="000000"/>
              </w:rPr>
              <w:t>1</w:t>
            </w:r>
          </w:p>
        </w:tc>
        <w:tc>
          <w:tcPr>
            <w:tcW w:w="860" w:type="pct"/>
            <w:shd w:val="clear" w:color="auto" w:fill="FFFFFF"/>
            <w:vAlign w:val="center"/>
          </w:tcPr>
          <w:p w14:paraId="5AB03579">
            <w:pPr>
              <w:pStyle w:val="59"/>
              <w:bidi w:val="0"/>
              <w:rPr>
                <w:rFonts w:hint="default"/>
                <w:b w:val="0"/>
                <w:color w:val="000000"/>
                <w:lang w:val="en-US"/>
              </w:rPr>
            </w:pPr>
            <w:r>
              <w:rPr>
                <w:rFonts w:hint="default"/>
                <w:b w:val="0"/>
                <w:color w:val="000000"/>
                <w:lang w:val="en-US" w:eastAsia="zh-CN"/>
              </w:rPr>
              <w:t>PVC</w:t>
            </w:r>
            <w:r>
              <w:rPr>
                <w:rFonts w:hint="eastAsia"/>
                <w:b w:val="0"/>
                <w:color w:val="000000"/>
                <w:lang w:val="en-US" w:eastAsia="zh-CN"/>
              </w:rPr>
              <w:t>膜</w:t>
            </w:r>
          </w:p>
        </w:tc>
        <w:tc>
          <w:tcPr>
            <w:tcW w:w="1598" w:type="dxa"/>
            <w:shd w:val="clear" w:color="auto" w:fill="FFFFFF"/>
            <w:vAlign w:val="center"/>
          </w:tcPr>
          <w:p w14:paraId="2AC9A15E">
            <w:pPr>
              <w:pStyle w:val="59"/>
              <w:bidi w:val="0"/>
            </w:pPr>
            <w:r>
              <w:rPr>
                <w:rFonts w:hint="default"/>
                <w:lang w:val="en-US" w:eastAsia="zh-CN"/>
              </w:rPr>
              <w:t xml:space="preserve">247.8 </w:t>
            </w:r>
          </w:p>
        </w:tc>
        <w:tc>
          <w:tcPr>
            <w:tcW w:w="1597" w:type="pct"/>
            <w:shd w:val="clear" w:color="auto" w:fill="FFFFFF"/>
            <w:vAlign w:val="center"/>
          </w:tcPr>
          <w:p w14:paraId="13618F1A">
            <w:pPr>
              <w:pStyle w:val="59"/>
              <w:bidi w:val="0"/>
              <w:rPr>
                <w:rFonts w:hint="eastAsia" w:eastAsia="宋体"/>
                <w:b w:val="0"/>
                <w:color w:val="000000"/>
                <w:lang w:eastAsia="zh-CN"/>
              </w:rPr>
            </w:pPr>
            <w:r>
              <w:rPr>
                <w:rFonts w:hint="eastAsia" w:eastAsia="宋体"/>
                <w:b w:val="0"/>
                <w:color w:val="000000"/>
                <w:lang w:eastAsia="zh-CN"/>
              </w:rPr>
              <w:drawing>
                <wp:inline distT="0" distB="0" distL="114300" distR="114300">
                  <wp:extent cx="1558290" cy="1442085"/>
                  <wp:effectExtent l="0" t="0" r="3810" b="5715"/>
                  <wp:docPr id="276" name="图片 276" descr="IMG_20260320_16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descr="IMG_20260320_163525"/>
                          <pic:cNvPicPr>
                            <a:picLocks noChangeAspect="1"/>
                          </pic:cNvPicPr>
                        </pic:nvPicPr>
                        <pic:blipFill>
                          <a:blip r:embed="rId55"/>
                          <a:srcRect l="32509" t="30144" r="23554" b="15653"/>
                          <a:stretch>
                            <a:fillRect/>
                          </a:stretch>
                        </pic:blipFill>
                        <pic:spPr>
                          <a:xfrm>
                            <a:off x="0" y="0"/>
                            <a:ext cx="1558290" cy="1442085"/>
                          </a:xfrm>
                          <a:prstGeom prst="rect">
                            <a:avLst/>
                          </a:prstGeom>
                        </pic:spPr>
                      </pic:pic>
                    </a:graphicData>
                  </a:graphic>
                </wp:inline>
              </w:drawing>
            </w:r>
          </w:p>
        </w:tc>
        <w:tc>
          <w:tcPr>
            <w:tcW w:w="1102" w:type="pct"/>
            <w:tcBorders>
              <w:right w:val="nil"/>
            </w:tcBorders>
            <w:shd w:val="clear" w:color="auto" w:fill="FFFFFF"/>
            <w:vAlign w:val="center"/>
          </w:tcPr>
          <w:p w14:paraId="5419AE79">
            <w:pPr>
              <w:pStyle w:val="59"/>
              <w:bidi w:val="0"/>
              <w:rPr>
                <w:b w:val="0"/>
                <w:color w:val="000000"/>
              </w:rPr>
            </w:pPr>
            <w:r>
              <w:rPr>
                <w:rFonts w:hint="eastAsia"/>
                <w:b w:val="0"/>
                <w:color w:val="000000"/>
                <w:lang w:val="en-US" w:eastAsia="zh-CN"/>
              </w:rPr>
              <w:t>主要用于东古品牌的酱油瓶、腐乳、醋等食品包装头套，</w:t>
            </w:r>
            <w:r>
              <w:rPr>
                <w:b w:val="0"/>
                <w:color w:val="000000"/>
              </w:rPr>
              <w:t>无固定的规格尺寸</w:t>
            </w:r>
          </w:p>
        </w:tc>
      </w:tr>
      <w:tr w14:paraId="5D41FDF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9" w:type="pct"/>
            <w:tcBorders>
              <w:left w:val="nil"/>
            </w:tcBorders>
            <w:shd w:val="clear" w:color="auto" w:fill="FFFFFF"/>
            <w:vAlign w:val="center"/>
          </w:tcPr>
          <w:p w14:paraId="643BC7BC">
            <w:pPr>
              <w:pStyle w:val="59"/>
              <w:bidi w:val="0"/>
              <w:jc w:val="center"/>
              <w:rPr>
                <w:b w:val="0"/>
                <w:color w:val="000000"/>
              </w:rPr>
            </w:pPr>
            <w:r>
              <w:rPr>
                <w:b w:val="0"/>
                <w:color w:val="000000"/>
              </w:rPr>
              <w:t>2</w:t>
            </w:r>
          </w:p>
        </w:tc>
        <w:tc>
          <w:tcPr>
            <w:tcW w:w="860" w:type="pct"/>
            <w:shd w:val="clear" w:color="auto" w:fill="FFFFFF"/>
            <w:vAlign w:val="center"/>
          </w:tcPr>
          <w:p w14:paraId="449EDDA0">
            <w:pPr>
              <w:pStyle w:val="59"/>
              <w:bidi w:val="0"/>
              <w:rPr>
                <w:b w:val="0"/>
                <w:color w:val="000000"/>
              </w:rPr>
            </w:pPr>
            <w:r>
              <w:rPr>
                <w:rFonts w:hint="default"/>
                <w:b w:val="0"/>
                <w:color w:val="000000"/>
                <w:lang w:val="en-US" w:eastAsia="zh-CN"/>
              </w:rPr>
              <w:t xml:space="preserve">PET </w:t>
            </w:r>
            <w:r>
              <w:rPr>
                <w:rFonts w:hint="eastAsia"/>
                <w:b w:val="0"/>
                <w:color w:val="000000"/>
                <w:lang w:val="en-US" w:eastAsia="zh-CN"/>
              </w:rPr>
              <w:t>膜</w:t>
            </w:r>
          </w:p>
        </w:tc>
        <w:tc>
          <w:tcPr>
            <w:tcW w:w="1598" w:type="dxa"/>
            <w:shd w:val="clear" w:color="auto" w:fill="FFFFFF"/>
            <w:vAlign w:val="center"/>
          </w:tcPr>
          <w:p w14:paraId="332BE3AF">
            <w:pPr>
              <w:pStyle w:val="59"/>
              <w:bidi w:val="0"/>
              <w:rPr>
                <w:rFonts w:hint="default"/>
                <w:lang w:val="en-US" w:eastAsia="zh-CN"/>
              </w:rPr>
            </w:pPr>
            <w:r>
              <w:rPr>
                <w:rFonts w:hint="default"/>
                <w:lang w:val="en-US" w:eastAsia="zh-CN"/>
              </w:rPr>
              <w:t xml:space="preserve">21.0 </w:t>
            </w:r>
          </w:p>
        </w:tc>
        <w:tc>
          <w:tcPr>
            <w:tcW w:w="1597" w:type="pct"/>
            <w:shd w:val="clear" w:color="auto" w:fill="FFFFFF"/>
            <w:vAlign w:val="center"/>
          </w:tcPr>
          <w:p w14:paraId="1CEA674D">
            <w:pPr>
              <w:pStyle w:val="59"/>
              <w:bidi w:val="0"/>
              <w:rPr>
                <w:rFonts w:hint="eastAsia" w:eastAsia="宋体"/>
                <w:b w:val="0"/>
                <w:color w:val="000000"/>
                <w:lang w:eastAsia="zh-CN"/>
              </w:rPr>
            </w:pPr>
            <w:r>
              <w:rPr>
                <w:rFonts w:hint="eastAsia" w:eastAsia="宋体"/>
                <w:b w:val="0"/>
                <w:color w:val="000000"/>
                <w:lang w:eastAsia="zh-CN"/>
              </w:rPr>
              <w:drawing>
                <wp:inline distT="0" distB="0" distL="114300" distR="114300">
                  <wp:extent cx="1607185" cy="1205230"/>
                  <wp:effectExtent l="0" t="0" r="2540" b="4445"/>
                  <wp:docPr id="275" name="图片 275" descr="b80d62a8ff7b0e7c0c1ab557275e8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descr="b80d62a8ff7b0e7c0c1ab557275e896b"/>
                          <pic:cNvPicPr>
                            <a:picLocks noChangeAspect="1"/>
                          </pic:cNvPicPr>
                        </pic:nvPicPr>
                        <pic:blipFill>
                          <a:blip r:embed="rId56"/>
                          <a:stretch>
                            <a:fillRect/>
                          </a:stretch>
                        </pic:blipFill>
                        <pic:spPr>
                          <a:xfrm>
                            <a:off x="0" y="0"/>
                            <a:ext cx="1607185" cy="1205230"/>
                          </a:xfrm>
                          <a:prstGeom prst="rect">
                            <a:avLst/>
                          </a:prstGeom>
                        </pic:spPr>
                      </pic:pic>
                    </a:graphicData>
                  </a:graphic>
                </wp:inline>
              </w:drawing>
            </w:r>
          </w:p>
        </w:tc>
        <w:tc>
          <w:tcPr>
            <w:tcW w:w="1102" w:type="pct"/>
            <w:tcBorders>
              <w:right w:val="nil"/>
            </w:tcBorders>
            <w:shd w:val="clear" w:color="auto" w:fill="FFFFFF"/>
            <w:vAlign w:val="center"/>
          </w:tcPr>
          <w:p w14:paraId="5ED6E5F2">
            <w:pPr>
              <w:pStyle w:val="59"/>
              <w:bidi w:val="0"/>
              <w:rPr>
                <w:b w:val="0"/>
                <w:color w:val="000000"/>
              </w:rPr>
            </w:pPr>
            <w:r>
              <w:rPr>
                <w:rFonts w:hint="eastAsia"/>
                <w:b w:val="0"/>
                <w:color w:val="000000"/>
                <w:lang w:val="en-US" w:eastAsia="zh-CN"/>
              </w:rPr>
              <w:t>主要用于东古品牌的异形食品包装标签，</w:t>
            </w:r>
            <w:r>
              <w:rPr>
                <w:b w:val="0"/>
                <w:color w:val="000000"/>
              </w:rPr>
              <w:t>无固定的规格尺寸</w:t>
            </w:r>
          </w:p>
        </w:tc>
      </w:tr>
      <w:tr w14:paraId="22A365F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9" w:type="pct"/>
            <w:tcBorders>
              <w:left w:val="nil"/>
            </w:tcBorders>
            <w:shd w:val="clear" w:color="auto" w:fill="FFFFFF"/>
            <w:vAlign w:val="center"/>
          </w:tcPr>
          <w:p w14:paraId="249EBCE4">
            <w:pPr>
              <w:pStyle w:val="59"/>
              <w:bidi w:val="0"/>
              <w:jc w:val="center"/>
              <w:rPr>
                <w:b w:val="0"/>
                <w:color w:val="000000"/>
              </w:rPr>
            </w:pPr>
            <w:r>
              <w:rPr>
                <w:b w:val="0"/>
                <w:color w:val="000000"/>
              </w:rPr>
              <w:t>3</w:t>
            </w:r>
          </w:p>
        </w:tc>
        <w:tc>
          <w:tcPr>
            <w:tcW w:w="860" w:type="pct"/>
            <w:shd w:val="clear" w:color="auto" w:fill="FFFFFF"/>
            <w:vAlign w:val="center"/>
          </w:tcPr>
          <w:p w14:paraId="63CA0138">
            <w:pPr>
              <w:pStyle w:val="59"/>
              <w:bidi w:val="0"/>
              <w:rPr>
                <w:b w:val="0"/>
                <w:color w:val="000000"/>
              </w:rPr>
            </w:pPr>
            <w:r>
              <w:rPr>
                <w:rFonts w:hint="eastAsia"/>
                <w:b w:val="0"/>
                <w:color w:val="000000"/>
                <w:lang w:val="en-US" w:eastAsia="zh-CN"/>
              </w:rPr>
              <w:t>OPP珠光复合膜</w:t>
            </w:r>
          </w:p>
        </w:tc>
        <w:tc>
          <w:tcPr>
            <w:tcW w:w="1598" w:type="dxa"/>
            <w:shd w:val="clear" w:color="auto" w:fill="FFFFFF"/>
            <w:vAlign w:val="center"/>
          </w:tcPr>
          <w:p w14:paraId="7D808E68">
            <w:pPr>
              <w:pStyle w:val="59"/>
              <w:bidi w:val="0"/>
              <w:rPr>
                <w:rFonts w:hint="default"/>
                <w:lang w:val="en-US" w:eastAsia="zh-CN"/>
              </w:rPr>
            </w:pPr>
            <w:r>
              <w:rPr>
                <w:rFonts w:hint="default"/>
                <w:lang w:val="en-US" w:eastAsia="zh-CN"/>
              </w:rPr>
              <w:t xml:space="preserve">153.7 </w:t>
            </w:r>
          </w:p>
        </w:tc>
        <w:tc>
          <w:tcPr>
            <w:tcW w:w="1597" w:type="pct"/>
            <w:shd w:val="clear" w:color="auto" w:fill="FFFFFF"/>
            <w:vAlign w:val="center"/>
          </w:tcPr>
          <w:p w14:paraId="2784BC44">
            <w:pPr>
              <w:pStyle w:val="59"/>
              <w:bidi w:val="0"/>
              <w:rPr>
                <w:rFonts w:hint="eastAsia" w:eastAsia="宋体"/>
                <w:b w:val="0"/>
                <w:color w:val="000000"/>
                <w:lang w:eastAsia="zh-CN"/>
              </w:rPr>
            </w:pPr>
            <w:r>
              <w:rPr>
                <w:rFonts w:hint="eastAsia" w:eastAsia="宋体"/>
                <w:b w:val="0"/>
                <w:color w:val="000000"/>
                <w:lang w:eastAsia="zh-CN"/>
              </w:rPr>
              <w:drawing>
                <wp:inline distT="0" distB="0" distL="114300" distR="114300">
                  <wp:extent cx="1657350" cy="1243965"/>
                  <wp:effectExtent l="0" t="0" r="0" b="3810"/>
                  <wp:docPr id="274" name="图片 274" descr="IMG_20260320_16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descr="IMG_20260320_163325"/>
                          <pic:cNvPicPr>
                            <a:picLocks noChangeAspect="1"/>
                          </pic:cNvPicPr>
                        </pic:nvPicPr>
                        <pic:blipFill>
                          <a:blip r:embed="rId57"/>
                          <a:stretch>
                            <a:fillRect/>
                          </a:stretch>
                        </pic:blipFill>
                        <pic:spPr>
                          <a:xfrm>
                            <a:off x="0" y="0"/>
                            <a:ext cx="1657350" cy="1243965"/>
                          </a:xfrm>
                          <a:prstGeom prst="rect">
                            <a:avLst/>
                          </a:prstGeom>
                        </pic:spPr>
                      </pic:pic>
                    </a:graphicData>
                  </a:graphic>
                </wp:inline>
              </w:drawing>
            </w:r>
          </w:p>
        </w:tc>
        <w:tc>
          <w:tcPr>
            <w:tcW w:w="1102" w:type="pct"/>
            <w:tcBorders>
              <w:right w:val="nil"/>
            </w:tcBorders>
            <w:shd w:val="clear" w:color="auto" w:fill="FFFFFF"/>
            <w:vAlign w:val="center"/>
          </w:tcPr>
          <w:p w14:paraId="57700BDA">
            <w:pPr>
              <w:pStyle w:val="59"/>
              <w:bidi w:val="0"/>
              <w:rPr>
                <w:rFonts w:hint="eastAsia"/>
                <w:b w:val="0"/>
                <w:color w:val="000000"/>
                <w:lang w:val="en-US" w:eastAsia="zh-CN"/>
              </w:rPr>
            </w:pPr>
            <w:r>
              <w:rPr>
                <w:rFonts w:hint="eastAsia"/>
                <w:b w:val="0"/>
                <w:color w:val="000000"/>
                <w:lang w:val="en-US" w:eastAsia="zh-CN"/>
              </w:rPr>
              <w:t>主要用于东古品牌的酱油瓶、腐乳、醋等食品包装标签，</w:t>
            </w:r>
            <w:r>
              <w:rPr>
                <w:b w:val="0"/>
                <w:color w:val="000000"/>
              </w:rPr>
              <w:t>无固定的规格尺寸</w:t>
            </w:r>
          </w:p>
        </w:tc>
      </w:tr>
      <w:tr w14:paraId="4A94A30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9" w:type="pct"/>
            <w:tcBorders>
              <w:left w:val="nil"/>
            </w:tcBorders>
            <w:shd w:val="clear" w:color="auto" w:fill="FFFFFF"/>
            <w:vAlign w:val="center"/>
          </w:tcPr>
          <w:p w14:paraId="0C3D451E">
            <w:pPr>
              <w:pStyle w:val="59"/>
              <w:bidi w:val="0"/>
              <w:jc w:val="center"/>
              <w:rPr>
                <w:rFonts w:hint="eastAsia" w:eastAsia="宋体"/>
                <w:b w:val="0"/>
                <w:color w:val="000000"/>
                <w:lang w:val="en-US" w:eastAsia="zh-CN"/>
              </w:rPr>
            </w:pPr>
            <w:r>
              <w:rPr>
                <w:rFonts w:hint="eastAsia"/>
                <w:b w:val="0"/>
                <w:color w:val="000000"/>
                <w:lang w:val="en-US" w:eastAsia="zh-CN"/>
              </w:rPr>
              <w:t>4</w:t>
            </w:r>
          </w:p>
        </w:tc>
        <w:tc>
          <w:tcPr>
            <w:tcW w:w="860" w:type="pct"/>
            <w:shd w:val="clear" w:color="auto" w:fill="FFFFFF"/>
            <w:vAlign w:val="center"/>
          </w:tcPr>
          <w:p w14:paraId="2E6C0622">
            <w:pPr>
              <w:pStyle w:val="59"/>
              <w:bidi w:val="0"/>
              <w:rPr>
                <w:rFonts w:hint="default"/>
                <w:b w:val="0"/>
                <w:color w:val="000000"/>
                <w:lang w:val="en-US" w:eastAsia="zh-CN"/>
              </w:rPr>
            </w:pPr>
            <w:r>
              <w:rPr>
                <w:rFonts w:hint="eastAsia"/>
                <w:b w:val="0"/>
                <w:color w:val="000000"/>
                <w:lang w:val="en-US" w:eastAsia="zh-CN"/>
              </w:rPr>
              <w:t>珠光膜</w:t>
            </w:r>
          </w:p>
        </w:tc>
        <w:tc>
          <w:tcPr>
            <w:tcW w:w="1598" w:type="dxa"/>
            <w:shd w:val="clear" w:color="auto" w:fill="FFFFFF"/>
            <w:vAlign w:val="center"/>
          </w:tcPr>
          <w:p w14:paraId="019EA0EE">
            <w:pPr>
              <w:pStyle w:val="59"/>
              <w:bidi w:val="0"/>
              <w:rPr>
                <w:rFonts w:hint="default"/>
                <w:lang w:val="en-US" w:eastAsia="zh-CN"/>
              </w:rPr>
            </w:pPr>
            <w:r>
              <w:rPr>
                <w:rFonts w:hint="default"/>
                <w:lang w:val="en-US" w:eastAsia="zh-CN"/>
              </w:rPr>
              <w:t xml:space="preserve">27.4 </w:t>
            </w:r>
          </w:p>
        </w:tc>
        <w:tc>
          <w:tcPr>
            <w:tcW w:w="1597" w:type="pct"/>
            <w:shd w:val="clear" w:color="auto" w:fill="FFFFFF"/>
            <w:vAlign w:val="center"/>
          </w:tcPr>
          <w:p w14:paraId="0A5B0A55">
            <w:pPr>
              <w:pStyle w:val="59"/>
              <w:bidi w:val="0"/>
              <w:rPr>
                <w:rFonts w:hint="eastAsia" w:eastAsia="宋体"/>
                <w:b w:val="0"/>
                <w:color w:val="000000"/>
                <w:lang w:eastAsia="zh-CN"/>
              </w:rPr>
            </w:pPr>
            <w:r>
              <w:rPr>
                <w:rFonts w:hint="eastAsia" w:eastAsia="宋体"/>
                <w:b w:val="0"/>
                <w:color w:val="000000"/>
                <w:lang w:eastAsia="zh-CN"/>
              </w:rPr>
              <w:drawing>
                <wp:inline distT="0" distB="0" distL="114300" distR="114300">
                  <wp:extent cx="1749425" cy="1312545"/>
                  <wp:effectExtent l="0" t="0" r="3175" b="1905"/>
                  <wp:docPr id="273" name="图片 273" descr="IMG_20260320_17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descr="IMG_20260320_170918"/>
                          <pic:cNvPicPr>
                            <a:picLocks noChangeAspect="1"/>
                          </pic:cNvPicPr>
                        </pic:nvPicPr>
                        <pic:blipFill>
                          <a:blip r:embed="rId58"/>
                          <a:stretch>
                            <a:fillRect/>
                          </a:stretch>
                        </pic:blipFill>
                        <pic:spPr>
                          <a:xfrm>
                            <a:off x="0" y="0"/>
                            <a:ext cx="1749425" cy="1312545"/>
                          </a:xfrm>
                          <a:prstGeom prst="rect">
                            <a:avLst/>
                          </a:prstGeom>
                        </pic:spPr>
                      </pic:pic>
                    </a:graphicData>
                  </a:graphic>
                </wp:inline>
              </w:drawing>
            </w:r>
          </w:p>
        </w:tc>
        <w:tc>
          <w:tcPr>
            <w:tcW w:w="1102" w:type="pct"/>
            <w:tcBorders>
              <w:right w:val="nil"/>
            </w:tcBorders>
            <w:shd w:val="clear" w:color="auto" w:fill="FFFFFF"/>
            <w:vAlign w:val="center"/>
          </w:tcPr>
          <w:p w14:paraId="46CD6EB4">
            <w:pPr>
              <w:pStyle w:val="59"/>
              <w:bidi w:val="0"/>
              <w:rPr>
                <w:rFonts w:hint="eastAsia"/>
                <w:b w:val="0"/>
                <w:color w:val="000000"/>
                <w:lang w:val="en-US" w:eastAsia="zh-CN"/>
              </w:rPr>
            </w:pPr>
            <w:r>
              <w:rPr>
                <w:rFonts w:hint="eastAsia"/>
                <w:b w:val="0"/>
                <w:color w:val="000000"/>
                <w:lang w:val="en-US" w:eastAsia="zh-CN"/>
              </w:rPr>
              <w:t>主要用于东古品牌的酱油瓶、腐乳、醋等食品包装标签，</w:t>
            </w:r>
            <w:r>
              <w:rPr>
                <w:b w:val="0"/>
                <w:color w:val="000000"/>
              </w:rPr>
              <w:t>无固定的规格尺寸</w:t>
            </w:r>
          </w:p>
        </w:tc>
      </w:tr>
      <w:tr w14:paraId="1CAEA3A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19" w:type="pct"/>
            <w:gridSpan w:val="2"/>
            <w:tcBorders>
              <w:left w:val="nil"/>
              <w:bottom w:val="single" w:color="000000" w:sz="12" w:space="0"/>
            </w:tcBorders>
            <w:shd w:val="clear" w:color="auto" w:fill="FFFFFF"/>
            <w:vAlign w:val="center"/>
          </w:tcPr>
          <w:p w14:paraId="17A7A930">
            <w:pPr>
              <w:pStyle w:val="59"/>
              <w:bidi w:val="0"/>
              <w:jc w:val="center"/>
              <w:rPr>
                <w:b w:val="0"/>
                <w:color w:val="000000"/>
              </w:rPr>
            </w:pPr>
            <w:r>
              <w:rPr>
                <w:b w:val="0"/>
                <w:color w:val="000000"/>
              </w:rPr>
              <w:t>合计</w:t>
            </w:r>
          </w:p>
        </w:tc>
        <w:tc>
          <w:tcPr>
            <w:tcW w:w="1598" w:type="dxa"/>
            <w:tcBorders>
              <w:bottom w:val="single" w:color="000000" w:sz="12" w:space="0"/>
            </w:tcBorders>
            <w:shd w:val="clear" w:color="auto" w:fill="FFFFFF"/>
            <w:vAlign w:val="center"/>
          </w:tcPr>
          <w:p w14:paraId="55B5D9E3">
            <w:pPr>
              <w:pStyle w:val="59"/>
              <w:bidi w:val="0"/>
              <w:rPr>
                <w:rFonts w:hint="default"/>
                <w:lang w:val="en-US" w:eastAsia="zh-CN"/>
              </w:rPr>
            </w:pPr>
            <w:r>
              <w:rPr>
                <w:rFonts w:hint="default"/>
                <w:lang w:val="en-US" w:eastAsia="zh-CN"/>
              </w:rPr>
              <w:t xml:space="preserve">449.9 </w:t>
            </w:r>
          </w:p>
        </w:tc>
        <w:tc>
          <w:tcPr>
            <w:tcW w:w="1597" w:type="pct"/>
            <w:tcBorders>
              <w:bottom w:val="single" w:color="000000" w:sz="12" w:space="0"/>
            </w:tcBorders>
            <w:shd w:val="clear" w:color="auto" w:fill="FFFFFF"/>
            <w:vAlign w:val="center"/>
          </w:tcPr>
          <w:p w14:paraId="34095B57">
            <w:pPr>
              <w:pStyle w:val="59"/>
              <w:bidi w:val="0"/>
              <w:rPr>
                <w:b w:val="0"/>
                <w:color w:val="000000"/>
              </w:rPr>
            </w:pPr>
          </w:p>
        </w:tc>
        <w:tc>
          <w:tcPr>
            <w:tcW w:w="1102" w:type="pct"/>
            <w:tcBorders>
              <w:bottom w:val="single" w:color="000000" w:sz="12" w:space="0"/>
              <w:right w:val="nil"/>
            </w:tcBorders>
            <w:shd w:val="clear" w:color="auto" w:fill="FFFFFF"/>
            <w:vAlign w:val="center"/>
          </w:tcPr>
          <w:p w14:paraId="722400BB">
            <w:pPr>
              <w:pStyle w:val="59"/>
              <w:bidi w:val="0"/>
              <w:rPr>
                <w:b w:val="0"/>
                <w:color w:val="000000"/>
              </w:rPr>
            </w:pPr>
          </w:p>
        </w:tc>
      </w:tr>
    </w:tbl>
    <w:p w14:paraId="3EA5C303">
      <w:pPr>
        <w:pStyle w:val="62"/>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lang w:val="en-US" w:eastAsia="zh-CN"/>
        </w:rPr>
      </w:pPr>
    </w:p>
    <w:p w14:paraId="6E4A559E">
      <w:pPr>
        <w:pStyle w:val="62"/>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lang w:val="en-US" w:eastAsia="zh-CN"/>
        </w:rPr>
      </w:pPr>
    </w:p>
    <w:p w14:paraId="5F21FDCB">
      <w:pPr>
        <w:pStyle w:val="62"/>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eastAsia="宋体"/>
          <w:lang w:val="en-US" w:eastAsia="zh-CN"/>
        </w:rPr>
      </w:pPr>
      <w:r>
        <w:rPr>
          <w:rFonts w:hint="eastAsia"/>
          <w:lang w:val="en-US" w:eastAsia="zh-CN"/>
        </w:rPr>
        <w:t xml:space="preserve">表2.3-2  </w:t>
      </w:r>
      <w:r>
        <w:t>本项目</w:t>
      </w:r>
      <w:r>
        <w:rPr>
          <w:rFonts w:hint="eastAsia"/>
          <w:lang w:val="en-US" w:eastAsia="zh-CN"/>
        </w:rPr>
        <w:t>印刷、复合面积一览表</w:t>
      </w:r>
    </w:p>
    <w:p w14:paraId="5C4CBAD3">
      <w:pPr>
        <w:spacing w:line="144" w:lineRule="exact"/>
      </w:pPr>
    </w:p>
    <w:tbl>
      <w:tblPr>
        <w:tblStyle w:val="38"/>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2"/>
        <w:gridCol w:w="1416"/>
        <w:gridCol w:w="1159"/>
        <w:gridCol w:w="1159"/>
        <w:gridCol w:w="1159"/>
        <w:gridCol w:w="1358"/>
        <w:gridCol w:w="960"/>
        <w:gridCol w:w="1168"/>
      </w:tblGrid>
      <w:tr w14:paraId="5FA42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85" w:type="pct"/>
            <w:tcBorders>
              <w:top w:val="single" w:color="000000" w:sz="12" w:space="0"/>
              <w:left w:val="nil"/>
              <w:bottom w:val="single" w:color="auto" w:sz="4" w:space="0"/>
              <w:right w:val="single" w:color="auto" w:sz="4" w:space="0"/>
              <w:tl2br w:val="nil"/>
            </w:tcBorders>
            <w:shd w:val="clear" w:color="auto" w:fill="FFFFFF"/>
            <w:vAlign w:val="center"/>
          </w:tcPr>
          <w:p w14:paraId="5F34214A">
            <w:pPr>
              <w:pStyle w:val="59"/>
              <w:bidi w:val="0"/>
              <w:rPr>
                <w:rFonts w:hint="eastAsia"/>
                <w:b w:val="0"/>
                <w:color w:val="000000"/>
              </w:rPr>
            </w:pPr>
            <w:r>
              <w:rPr>
                <w:rFonts w:hint="eastAsia"/>
                <w:b w:val="0"/>
                <w:color w:val="000000"/>
                <w:lang w:val="en-US" w:eastAsia="zh-CN"/>
              </w:rPr>
              <w:t>序号</w:t>
            </w:r>
          </w:p>
        </w:tc>
        <w:tc>
          <w:tcPr>
            <w:tcW w:w="762" w:type="pct"/>
            <w:tcBorders>
              <w:top w:val="single" w:color="000000" w:sz="12" w:space="0"/>
              <w:left w:val="single" w:color="auto" w:sz="4" w:space="0"/>
              <w:bottom w:val="single" w:color="auto" w:sz="4" w:space="0"/>
              <w:right w:val="single" w:color="auto" w:sz="4" w:space="0"/>
            </w:tcBorders>
            <w:shd w:val="clear" w:color="auto" w:fill="FFFFFF"/>
            <w:vAlign w:val="center"/>
          </w:tcPr>
          <w:p w14:paraId="426E7183">
            <w:pPr>
              <w:pStyle w:val="59"/>
              <w:bidi w:val="0"/>
              <w:rPr>
                <w:rFonts w:hint="eastAsia"/>
                <w:b w:val="0"/>
                <w:color w:val="000000"/>
              </w:rPr>
            </w:pPr>
            <w:r>
              <w:rPr>
                <w:rFonts w:hint="eastAsia"/>
                <w:b w:val="0"/>
                <w:color w:val="000000"/>
                <w:lang w:val="en-US" w:eastAsia="zh-CN"/>
              </w:rPr>
              <w:t>基材</w:t>
            </w:r>
          </w:p>
        </w:tc>
        <w:tc>
          <w:tcPr>
            <w:tcW w:w="624" w:type="pct"/>
            <w:tcBorders>
              <w:top w:val="single" w:color="000000" w:sz="12" w:space="0"/>
              <w:left w:val="single" w:color="auto" w:sz="4" w:space="0"/>
              <w:bottom w:val="single" w:color="auto" w:sz="4" w:space="0"/>
              <w:right w:val="single" w:color="auto" w:sz="4" w:space="0"/>
            </w:tcBorders>
            <w:shd w:val="clear" w:color="auto" w:fill="FFFFFF"/>
            <w:vAlign w:val="center"/>
          </w:tcPr>
          <w:p w14:paraId="6A62DA39">
            <w:pPr>
              <w:pStyle w:val="59"/>
              <w:bidi w:val="0"/>
              <w:rPr>
                <w:rFonts w:hint="eastAsia"/>
                <w:b w:val="0"/>
                <w:color w:val="000000"/>
              </w:rPr>
            </w:pPr>
            <w:r>
              <w:rPr>
                <w:rFonts w:hint="eastAsia"/>
                <w:b w:val="0"/>
                <w:color w:val="000000"/>
                <w:lang w:val="en-US" w:eastAsia="zh-CN"/>
              </w:rPr>
              <w:t>年用量（</w:t>
            </w:r>
            <w:r>
              <w:rPr>
                <w:rFonts w:hint="default"/>
                <w:b w:val="0"/>
                <w:color w:val="000000"/>
                <w:lang w:val="en-US" w:eastAsia="zh-CN"/>
              </w:rPr>
              <w:t>t/a</w:t>
            </w:r>
            <w:r>
              <w:rPr>
                <w:rFonts w:hint="eastAsia"/>
                <w:b w:val="0"/>
                <w:color w:val="000000"/>
                <w:lang w:val="en-US" w:eastAsia="zh-CN"/>
              </w:rPr>
              <w:t>）</w:t>
            </w:r>
          </w:p>
        </w:tc>
        <w:tc>
          <w:tcPr>
            <w:tcW w:w="624" w:type="pct"/>
            <w:tcBorders>
              <w:top w:val="single" w:color="000000" w:sz="12" w:space="0"/>
              <w:left w:val="single" w:color="auto" w:sz="4" w:space="0"/>
              <w:bottom w:val="single" w:color="auto" w:sz="4" w:space="0"/>
              <w:right w:val="single" w:color="auto" w:sz="4" w:space="0"/>
            </w:tcBorders>
            <w:shd w:val="clear" w:color="auto" w:fill="FFFFFF"/>
            <w:vAlign w:val="center"/>
          </w:tcPr>
          <w:p w14:paraId="1F9A595C">
            <w:pPr>
              <w:pStyle w:val="59"/>
              <w:bidi w:val="0"/>
              <w:rPr>
                <w:rFonts w:hint="eastAsia"/>
                <w:b w:val="0"/>
                <w:color w:val="000000"/>
              </w:rPr>
            </w:pPr>
            <w:r>
              <w:rPr>
                <w:rFonts w:hint="eastAsia"/>
                <w:b w:val="0"/>
                <w:color w:val="000000"/>
                <w:lang w:val="en-US" w:eastAsia="zh-CN"/>
              </w:rPr>
              <w:t>单面印刷面积（</w:t>
            </w:r>
            <w:r>
              <w:rPr>
                <w:rFonts w:hint="default"/>
                <w:b w:val="0"/>
                <w:color w:val="000000"/>
                <w:lang w:val="en-US" w:eastAsia="zh-CN"/>
              </w:rPr>
              <w:t>m</w:t>
            </w:r>
            <w:r>
              <w:rPr>
                <w:rFonts w:hint="default"/>
                <w:b w:val="0"/>
                <w:color w:val="000000"/>
                <w:vertAlign w:val="superscript"/>
                <w:lang w:val="en-US" w:eastAsia="zh-CN"/>
              </w:rPr>
              <w:t>2/</w:t>
            </w:r>
            <w:r>
              <w:rPr>
                <w:rFonts w:hint="default"/>
                <w:b w:val="0"/>
                <w:color w:val="000000"/>
                <w:lang w:val="en-US" w:eastAsia="zh-CN"/>
              </w:rPr>
              <w:t>a</w:t>
            </w:r>
            <w:r>
              <w:rPr>
                <w:rFonts w:hint="eastAsia"/>
                <w:b w:val="0"/>
                <w:color w:val="000000"/>
                <w:lang w:val="en-US" w:eastAsia="zh-CN"/>
              </w:rPr>
              <w:t>）</w:t>
            </w:r>
          </w:p>
        </w:tc>
        <w:tc>
          <w:tcPr>
            <w:tcW w:w="624" w:type="pct"/>
            <w:tcBorders>
              <w:top w:val="single" w:color="000000" w:sz="12" w:space="0"/>
              <w:left w:val="single" w:color="auto" w:sz="4" w:space="0"/>
              <w:bottom w:val="single" w:color="auto" w:sz="4" w:space="0"/>
              <w:right w:val="single" w:color="auto" w:sz="4" w:space="0"/>
            </w:tcBorders>
            <w:shd w:val="clear" w:color="auto" w:fill="FFFFFF"/>
            <w:vAlign w:val="center"/>
          </w:tcPr>
          <w:p w14:paraId="6283BA31">
            <w:pPr>
              <w:pStyle w:val="59"/>
              <w:bidi w:val="0"/>
              <w:rPr>
                <w:rFonts w:hint="eastAsia"/>
                <w:b w:val="0"/>
                <w:color w:val="000000"/>
              </w:rPr>
            </w:pPr>
            <w:r>
              <w:rPr>
                <w:rFonts w:hint="eastAsia"/>
                <w:b w:val="0"/>
                <w:color w:val="000000"/>
                <w:lang w:val="en-US" w:eastAsia="zh-CN"/>
              </w:rPr>
              <w:t>复合面积（</w:t>
            </w:r>
            <w:r>
              <w:rPr>
                <w:rFonts w:hint="default"/>
                <w:b w:val="0"/>
                <w:color w:val="000000"/>
                <w:lang w:val="en-US" w:eastAsia="zh-CN"/>
              </w:rPr>
              <w:t>m</w:t>
            </w:r>
            <w:r>
              <w:rPr>
                <w:rFonts w:hint="default"/>
                <w:b w:val="0"/>
                <w:color w:val="000000"/>
                <w:vertAlign w:val="superscript"/>
                <w:lang w:val="en-US" w:eastAsia="zh-CN"/>
              </w:rPr>
              <w:t>2</w:t>
            </w:r>
            <w:r>
              <w:rPr>
                <w:rFonts w:hint="default"/>
                <w:b w:val="0"/>
                <w:color w:val="000000"/>
                <w:lang w:val="en-US" w:eastAsia="zh-CN"/>
              </w:rPr>
              <w:t>/a</w:t>
            </w:r>
            <w:r>
              <w:rPr>
                <w:rFonts w:hint="eastAsia"/>
                <w:b w:val="0"/>
                <w:color w:val="000000"/>
                <w:lang w:val="en-US" w:eastAsia="zh-CN"/>
              </w:rPr>
              <w:t>）</w:t>
            </w:r>
          </w:p>
        </w:tc>
        <w:tc>
          <w:tcPr>
            <w:tcW w:w="731" w:type="pct"/>
            <w:tcBorders>
              <w:top w:val="single" w:color="000000" w:sz="12" w:space="0"/>
              <w:left w:val="single" w:color="auto" w:sz="4" w:space="0"/>
              <w:bottom w:val="single" w:color="auto" w:sz="4" w:space="0"/>
              <w:right w:val="single" w:color="auto" w:sz="4" w:space="0"/>
            </w:tcBorders>
            <w:shd w:val="clear" w:color="auto" w:fill="FFFFFF"/>
            <w:vAlign w:val="center"/>
          </w:tcPr>
          <w:p w14:paraId="08C25916">
            <w:pPr>
              <w:pStyle w:val="59"/>
              <w:bidi w:val="0"/>
              <w:rPr>
                <w:rFonts w:hint="eastAsia"/>
                <w:b w:val="0"/>
                <w:color w:val="000000"/>
              </w:rPr>
            </w:pPr>
            <w:r>
              <w:rPr>
                <w:rFonts w:hint="eastAsia"/>
                <w:b w:val="0"/>
                <w:color w:val="000000"/>
                <w:lang w:val="en-US" w:eastAsia="zh-CN"/>
              </w:rPr>
              <w:t>印刷工艺</w:t>
            </w:r>
          </w:p>
        </w:tc>
        <w:tc>
          <w:tcPr>
            <w:tcW w:w="517" w:type="pct"/>
            <w:tcBorders>
              <w:top w:val="single" w:color="000000" w:sz="12" w:space="0"/>
              <w:left w:val="single" w:color="auto" w:sz="4" w:space="0"/>
              <w:bottom w:val="single" w:color="auto" w:sz="4" w:space="0"/>
              <w:right w:val="single" w:color="auto" w:sz="4" w:space="0"/>
            </w:tcBorders>
            <w:shd w:val="clear" w:color="auto" w:fill="FFFFFF"/>
            <w:noWrap/>
            <w:vAlign w:val="center"/>
          </w:tcPr>
          <w:p w14:paraId="7F2173A8">
            <w:pPr>
              <w:pStyle w:val="59"/>
              <w:bidi w:val="0"/>
              <w:rPr>
                <w:rFonts w:hint="eastAsia"/>
                <w:b w:val="0"/>
                <w:color w:val="000000"/>
              </w:rPr>
            </w:pPr>
            <w:r>
              <w:rPr>
                <w:rFonts w:hint="eastAsia"/>
                <w:b w:val="0"/>
                <w:color w:val="000000"/>
                <w:lang w:val="en-US" w:eastAsia="zh-CN"/>
              </w:rPr>
              <w:t>密度t/m</w:t>
            </w:r>
            <w:r>
              <w:rPr>
                <w:rFonts w:hint="eastAsia"/>
                <w:b w:val="0"/>
                <w:color w:val="000000"/>
                <w:vertAlign w:val="superscript"/>
                <w:lang w:val="en-US" w:eastAsia="zh-CN"/>
              </w:rPr>
              <w:t>3</w:t>
            </w:r>
          </w:p>
        </w:tc>
        <w:tc>
          <w:tcPr>
            <w:tcW w:w="629" w:type="pct"/>
            <w:tcBorders>
              <w:top w:val="single" w:color="000000" w:sz="12" w:space="0"/>
              <w:left w:val="single" w:color="auto" w:sz="4" w:space="0"/>
              <w:bottom w:val="single" w:color="auto" w:sz="4" w:space="0"/>
              <w:right w:val="nil"/>
            </w:tcBorders>
            <w:shd w:val="clear" w:color="auto" w:fill="FFFFFF"/>
            <w:noWrap/>
            <w:vAlign w:val="center"/>
          </w:tcPr>
          <w:p w14:paraId="19571A1D">
            <w:pPr>
              <w:pStyle w:val="59"/>
              <w:bidi w:val="0"/>
              <w:rPr>
                <w:rFonts w:hint="eastAsia"/>
                <w:b w:val="0"/>
                <w:color w:val="000000"/>
              </w:rPr>
            </w:pPr>
            <w:r>
              <w:rPr>
                <w:rFonts w:hint="eastAsia"/>
                <w:b w:val="0"/>
                <w:color w:val="000000"/>
                <w:lang w:val="en-US" w:eastAsia="zh-CN"/>
              </w:rPr>
              <w:t>厚度mm</w:t>
            </w:r>
          </w:p>
        </w:tc>
      </w:tr>
      <w:tr w14:paraId="268C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5" w:type="pct"/>
            <w:tcBorders>
              <w:top w:val="single" w:color="auto" w:sz="4" w:space="0"/>
              <w:left w:val="nil"/>
              <w:bottom w:val="single" w:color="auto" w:sz="4" w:space="0"/>
              <w:right w:val="single" w:color="auto" w:sz="4" w:space="0"/>
            </w:tcBorders>
            <w:shd w:val="clear" w:color="auto" w:fill="FFFFFF"/>
            <w:vAlign w:val="center"/>
          </w:tcPr>
          <w:p w14:paraId="63DDEE90">
            <w:pPr>
              <w:pStyle w:val="59"/>
              <w:bidi w:val="0"/>
              <w:rPr>
                <w:rFonts w:hint="default"/>
                <w:b w:val="0"/>
                <w:color w:val="000000"/>
              </w:rPr>
            </w:pPr>
            <w:r>
              <w:rPr>
                <w:rFonts w:hint="default"/>
                <w:b w:val="0"/>
                <w:color w:val="000000"/>
                <w:lang w:val="en-US" w:eastAsia="zh-CN"/>
              </w:rPr>
              <w:t>1</w:t>
            </w:r>
          </w:p>
        </w:tc>
        <w:tc>
          <w:tcPr>
            <w:tcW w:w="762" w:type="pct"/>
            <w:tcBorders>
              <w:top w:val="single" w:color="auto" w:sz="4" w:space="0"/>
              <w:left w:val="single" w:color="auto" w:sz="4" w:space="0"/>
              <w:bottom w:val="single" w:color="auto" w:sz="4" w:space="0"/>
              <w:right w:val="single" w:color="auto" w:sz="4" w:space="0"/>
            </w:tcBorders>
            <w:shd w:val="clear" w:color="auto" w:fill="FFFFFF"/>
            <w:vAlign w:val="center"/>
          </w:tcPr>
          <w:p w14:paraId="4E343F83">
            <w:pPr>
              <w:pStyle w:val="59"/>
              <w:bidi w:val="0"/>
              <w:jc w:val="center"/>
              <w:rPr>
                <w:rFonts w:hint="default"/>
              </w:rPr>
            </w:pPr>
            <w:r>
              <w:rPr>
                <w:rFonts w:hint="default"/>
                <w:lang w:val="en-US" w:eastAsia="zh-CN"/>
              </w:rPr>
              <w:t>PVC 膜</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00C85880">
            <w:pPr>
              <w:pStyle w:val="59"/>
              <w:bidi w:val="0"/>
              <w:rPr>
                <w:rFonts w:hint="default"/>
              </w:rPr>
            </w:pPr>
            <w:r>
              <w:rPr>
                <w:rFonts w:hint="default"/>
                <w:lang w:val="en-US" w:eastAsia="zh-CN"/>
              </w:rPr>
              <w:t>235</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41B3448E">
            <w:pPr>
              <w:pStyle w:val="59"/>
              <w:bidi w:val="0"/>
              <w:rPr>
                <w:rFonts w:hint="default"/>
              </w:rPr>
            </w:pPr>
            <w:r>
              <w:rPr>
                <w:rFonts w:hint="default"/>
                <w:lang w:val="en-US" w:eastAsia="zh-CN"/>
              </w:rPr>
              <w:t xml:space="preserve">4017094 </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767C9168">
            <w:pPr>
              <w:pStyle w:val="59"/>
              <w:bidi w:val="0"/>
              <w:rPr>
                <w:rFonts w:hint="default"/>
              </w:rPr>
            </w:pPr>
            <w:r>
              <w:rPr>
                <w:rFonts w:hint="default"/>
                <w:lang w:val="en-US" w:eastAsia="zh-CN"/>
              </w:rPr>
              <w:t>0</w:t>
            </w:r>
          </w:p>
        </w:tc>
        <w:tc>
          <w:tcPr>
            <w:tcW w:w="1358" w:type="dxa"/>
            <w:tcBorders>
              <w:top w:val="single" w:color="auto" w:sz="4" w:space="0"/>
              <w:left w:val="single" w:color="auto" w:sz="4" w:space="0"/>
              <w:bottom w:val="single" w:color="auto" w:sz="4" w:space="0"/>
              <w:right w:val="single" w:color="auto" w:sz="4" w:space="0"/>
            </w:tcBorders>
            <w:shd w:val="clear" w:color="auto" w:fill="FFFFFF"/>
            <w:vAlign w:val="center"/>
          </w:tcPr>
          <w:p w14:paraId="7B014284">
            <w:pPr>
              <w:pStyle w:val="59"/>
              <w:bidi w:val="0"/>
              <w:rPr>
                <w:rFonts w:hint="eastAsia"/>
              </w:rPr>
            </w:pPr>
            <w:r>
              <w:rPr>
                <w:rFonts w:hint="eastAsia"/>
                <w:lang w:val="en-US" w:eastAsia="zh-CN"/>
              </w:rPr>
              <w:t>凹印、里印</w:t>
            </w:r>
          </w:p>
        </w:tc>
        <w:tc>
          <w:tcPr>
            <w:tcW w:w="9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C4CBBD">
            <w:pPr>
              <w:pStyle w:val="59"/>
              <w:bidi w:val="0"/>
              <w:rPr>
                <w:rFonts w:hint="eastAsia"/>
              </w:rPr>
            </w:pPr>
            <w:r>
              <w:rPr>
                <w:rFonts w:hint="eastAsia"/>
                <w:lang w:val="en-US" w:eastAsia="zh-CN"/>
              </w:rPr>
              <w:t>1.3</w:t>
            </w:r>
          </w:p>
        </w:tc>
        <w:tc>
          <w:tcPr>
            <w:tcW w:w="1168" w:type="dxa"/>
            <w:tcBorders>
              <w:top w:val="single" w:color="auto" w:sz="4" w:space="0"/>
              <w:left w:val="single" w:color="auto" w:sz="4" w:space="0"/>
              <w:bottom w:val="single" w:color="auto" w:sz="4" w:space="0"/>
              <w:right w:val="nil"/>
            </w:tcBorders>
            <w:shd w:val="clear" w:color="auto" w:fill="FFFFFF"/>
            <w:noWrap/>
            <w:vAlign w:val="center"/>
          </w:tcPr>
          <w:p w14:paraId="5F359A5E">
            <w:pPr>
              <w:pStyle w:val="59"/>
              <w:bidi w:val="0"/>
              <w:rPr>
                <w:rFonts w:hint="eastAsia"/>
              </w:rPr>
            </w:pPr>
            <w:r>
              <w:rPr>
                <w:rFonts w:hint="eastAsia"/>
                <w:lang w:val="en-US" w:eastAsia="zh-CN"/>
              </w:rPr>
              <w:t>0.045</w:t>
            </w:r>
          </w:p>
        </w:tc>
      </w:tr>
      <w:tr w14:paraId="0D975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5" w:type="pct"/>
            <w:tcBorders>
              <w:top w:val="single" w:color="auto" w:sz="4" w:space="0"/>
              <w:left w:val="nil"/>
              <w:bottom w:val="single" w:color="auto" w:sz="4" w:space="0"/>
              <w:right w:val="single" w:color="auto" w:sz="4" w:space="0"/>
            </w:tcBorders>
            <w:shd w:val="clear" w:color="auto" w:fill="FFFFFF"/>
            <w:vAlign w:val="center"/>
          </w:tcPr>
          <w:p w14:paraId="18E249AB">
            <w:pPr>
              <w:pStyle w:val="59"/>
              <w:bidi w:val="0"/>
              <w:rPr>
                <w:rFonts w:hint="default"/>
                <w:b w:val="0"/>
                <w:color w:val="000000"/>
              </w:rPr>
            </w:pPr>
            <w:r>
              <w:rPr>
                <w:rFonts w:hint="default"/>
                <w:b w:val="0"/>
                <w:color w:val="000000"/>
                <w:lang w:val="en-US" w:eastAsia="zh-CN"/>
              </w:rPr>
              <w:t>2</w:t>
            </w:r>
          </w:p>
        </w:tc>
        <w:tc>
          <w:tcPr>
            <w:tcW w:w="762" w:type="pct"/>
            <w:tcBorders>
              <w:top w:val="single" w:color="auto" w:sz="4" w:space="0"/>
              <w:left w:val="single" w:color="auto" w:sz="4" w:space="0"/>
              <w:bottom w:val="single" w:color="auto" w:sz="4" w:space="0"/>
              <w:right w:val="single" w:color="auto" w:sz="4" w:space="0"/>
            </w:tcBorders>
            <w:shd w:val="clear" w:color="auto" w:fill="FFFFFF"/>
            <w:vAlign w:val="center"/>
          </w:tcPr>
          <w:p w14:paraId="17E1D457">
            <w:pPr>
              <w:pStyle w:val="59"/>
              <w:bidi w:val="0"/>
              <w:jc w:val="center"/>
              <w:rPr>
                <w:rFonts w:hint="default"/>
              </w:rPr>
            </w:pPr>
            <w:r>
              <w:rPr>
                <w:rFonts w:hint="default"/>
                <w:lang w:val="en-US" w:eastAsia="zh-CN"/>
              </w:rPr>
              <w:t>PET 膜</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315CE586">
            <w:pPr>
              <w:pStyle w:val="59"/>
              <w:bidi w:val="0"/>
              <w:rPr>
                <w:rFonts w:hint="default"/>
              </w:rPr>
            </w:pPr>
            <w:r>
              <w:rPr>
                <w:rFonts w:hint="default"/>
                <w:lang w:val="en-US" w:eastAsia="zh-CN"/>
              </w:rPr>
              <w:t>20</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159E5A03">
            <w:pPr>
              <w:pStyle w:val="59"/>
              <w:bidi w:val="0"/>
              <w:rPr>
                <w:rFonts w:hint="default"/>
              </w:rPr>
            </w:pPr>
            <w:r>
              <w:rPr>
                <w:rFonts w:hint="default"/>
                <w:lang w:val="en-US" w:eastAsia="zh-CN"/>
              </w:rPr>
              <w:t xml:space="preserve">317460 </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3775FD4C">
            <w:pPr>
              <w:pStyle w:val="59"/>
              <w:bidi w:val="0"/>
              <w:rPr>
                <w:rFonts w:hint="default"/>
              </w:rPr>
            </w:pPr>
            <w:r>
              <w:rPr>
                <w:rFonts w:hint="default"/>
                <w:lang w:val="en-US" w:eastAsia="zh-CN"/>
              </w:rPr>
              <w:t>0</w:t>
            </w:r>
          </w:p>
        </w:tc>
        <w:tc>
          <w:tcPr>
            <w:tcW w:w="1358" w:type="dxa"/>
            <w:tcBorders>
              <w:top w:val="single" w:color="auto" w:sz="4" w:space="0"/>
              <w:left w:val="single" w:color="auto" w:sz="4" w:space="0"/>
              <w:bottom w:val="single" w:color="auto" w:sz="4" w:space="0"/>
              <w:right w:val="single" w:color="auto" w:sz="4" w:space="0"/>
            </w:tcBorders>
            <w:shd w:val="clear" w:color="auto" w:fill="FFFFFF"/>
            <w:vAlign w:val="center"/>
          </w:tcPr>
          <w:p w14:paraId="5E2B6368">
            <w:pPr>
              <w:pStyle w:val="59"/>
              <w:bidi w:val="0"/>
              <w:rPr>
                <w:rFonts w:hint="eastAsia"/>
              </w:rPr>
            </w:pPr>
            <w:r>
              <w:rPr>
                <w:rFonts w:hint="eastAsia"/>
                <w:lang w:val="en-US" w:eastAsia="zh-CN"/>
              </w:rPr>
              <w:t>凹印、里印</w:t>
            </w:r>
          </w:p>
        </w:tc>
        <w:tc>
          <w:tcPr>
            <w:tcW w:w="9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947F04">
            <w:pPr>
              <w:pStyle w:val="59"/>
              <w:bidi w:val="0"/>
              <w:rPr>
                <w:rFonts w:hint="eastAsia"/>
              </w:rPr>
            </w:pPr>
            <w:r>
              <w:rPr>
                <w:rFonts w:hint="eastAsia"/>
                <w:lang w:val="en-US" w:eastAsia="zh-CN"/>
              </w:rPr>
              <w:t>1.4</w:t>
            </w:r>
          </w:p>
        </w:tc>
        <w:tc>
          <w:tcPr>
            <w:tcW w:w="1168" w:type="dxa"/>
            <w:tcBorders>
              <w:top w:val="single" w:color="auto" w:sz="4" w:space="0"/>
              <w:left w:val="single" w:color="auto" w:sz="4" w:space="0"/>
              <w:bottom w:val="single" w:color="auto" w:sz="4" w:space="0"/>
              <w:right w:val="nil"/>
            </w:tcBorders>
            <w:shd w:val="clear" w:color="auto" w:fill="FFFFFF"/>
            <w:noWrap/>
            <w:vAlign w:val="center"/>
          </w:tcPr>
          <w:p w14:paraId="24A2A54E">
            <w:pPr>
              <w:pStyle w:val="59"/>
              <w:bidi w:val="0"/>
              <w:rPr>
                <w:rFonts w:hint="eastAsia"/>
              </w:rPr>
            </w:pPr>
            <w:r>
              <w:rPr>
                <w:rFonts w:hint="eastAsia"/>
                <w:lang w:val="en-US" w:eastAsia="zh-CN"/>
              </w:rPr>
              <w:t>0.045</w:t>
            </w:r>
          </w:p>
        </w:tc>
      </w:tr>
      <w:tr w14:paraId="0455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5" w:type="pct"/>
            <w:tcBorders>
              <w:top w:val="single" w:color="auto" w:sz="4" w:space="0"/>
              <w:left w:val="nil"/>
              <w:bottom w:val="single" w:color="auto" w:sz="4" w:space="0"/>
              <w:right w:val="single" w:color="auto" w:sz="4" w:space="0"/>
            </w:tcBorders>
            <w:shd w:val="clear" w:color="auto" w:fill="FFFFFF"/>
            <w:vAlign w:val="center"/>
          </w:tcPr>
          <w:p w14:paraId="4F683E3B">
            <w:pPr>
              <w:pStyle w:val="59"/>
              <w:bidi w:val="0"/>
              <w:rPr>
                <w:rFonts w:hint="default"/>
                <w:b w:val="0"/>
                <w:color w:val="000000"/>
              </w:rPr>
            </w:pPr>
            <w:r>
              <w:rPr>
                <w:rFonts w:hint="default"/>
                <w:b w:val="0"/>
                <w:color w:val="000000"/>
                <w:lang w:val="en-US" w:eastAsia="zh-CN"/>
              </w:rPr>
              <w:t>3</w:t>
            </w:r>
          </w:p>
        </w:tc>
        <w:tc>
          <w:tcPr>
            <w:tcW w:w="762" w:type="pct"/>
            <w:tcBorders>
              <w:top w:val="single" w:color="auto" w:sz="4" w:space="0"/>
              <w:left w:val="single" w:color="auto" w:sz="4" w:space="0"/>
              <w:bottom w:val="single" w:color="auto" w:sz="4" w:space="0"/>
              <w:right w:val="single" w:color="auto" w:sz="4" w:space="0"/>
            </w:tcBorders>
            <w:shd w:val="clear" w:color="auto" w:fill="FFFFFF"/>
            <w:vAlign w:val="center"/>
          </w:tcPr>
          <w:p w14:paraId="7BB008B3">
            <w:pPr>
              <w:pStyle w:val="59"/>
              <w:bidi w:val="0"/>
              <w:jc w:val="center"/>
              <w:rPr>
                <w:rFonts w:hint="eastAsia"/>
              </w:rPr>
            </w:pPr>
            <w:r>
              <w:rPr>
                <w:rFonts w:hint="eastAsia"/>
                <w:lang w:val="en-US" w:eastAsia="zh-CN"/>
              </w:rPr>
              <w:t>OPP 膜</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2A93779D">
            <w:pPr>
              <w:pStyle w:val="59"/>
              <w:bidi w:val="0"/>
              <w:rPr>
                <w:rFonts w:hint="default"/>
              </w:rPr>
            </w:pPr>
            <w:r>
              <w:rPr>
                <w:rFonts w:hint="default"/>
                <w:lang w:val="en-US" w:eastAsia="zh-CN"/>
              </w:rPr>
              <w:t>80</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444FD9AD">
            <w:pPr>
              <w:pStyle w:val="59"/>
              <w:bidi w:val="0"/>
              <w:rPr>
                <w:rFonts w:hint="eastAsia"/>
                <w:lang w:val="en-US" w:eastAsia="zh-CN"/>
              </w:rPr>
            </w:pPr>
            <w:r>
              <w:rPr>
                <w:rFonts w:hint="default"/>
                <w:lang w:val="en-US" w:eastAsia="zh-CN"/>
              </w:rPr>
              <w:t xml:space="preserve">2313476 </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641526A9">
            <w:pPr>
              <w:pStyle w:val="59"/>
              <w:bidi w:val="0"/>
              <w:rPr>
                <w:rFonts w:hint="default"/>
              </w:rPr>
            </w:pPr>
            <w:r>
              <w:rPr>
                <w:rFonts w:hint="default"/>
                <w:lang w:val="en-US" w:eastAsia="zh-CN"/>
              </w:rPr>
              <w:t xml:space="preserve">0 </w:t>
            </w:r>
          </w:p>
        </w:tc>
        <w:tc>
          <w:tcPr>
            <w:tcW w:w="1358" w:type="dxa"/>
            <w:tcBorders>
              <w:top w:val="single" w:color="auto" w:sz="4" w:space="0"/>
              <w:left w:val="single" w:color="auto" w:sz="4" w:space="0"/>
              <w:bottom w:val="single" w:color="auto" w:sz="4" w:space="0"/>
              <w:right w:val="single" w:color="auto" w:sz="4" w:space="0"/>
            </w:tcBorders>
            <w:shd w:val="clear" w:color="auto" w:fill="FFFFFF"/>
            <w:vAlign w:val="center"/>
          </w:tcPr>
          <w:p w14:paraId="46DB4C36">
            <w:pPr>
              <w:pStyle w:val="59"/>
              <w:bidi w:val="0"/>
              <w:rPr>
                <w:rFonts w:hint="eastAsia"/>
              </w:rPr>
            </w:pPr>
            <w:r>
              <w:rPr>
                <w:rFonts w:hint="eastAsia"/>
                <w:lang w:val="en-US" w:eastAsia="zh-CN"/>
              </w:rPr>
              <w:t>凹印、里印</w:t>
            </w:r>
          </w:p>
        </w:tc>
        <w:tc>
          <w:tcPr>
            <w:tcW w:w="9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B381BBF">
            <w:pPr>
              <w:pStyle w:val="59"/>
              <w:bidi w:val="0"/>
              <w:rPr>
                <w:rFonts w:hint="eastAsia"/>
              </w:rPr>
            </w:pPr>
            <w:r>
              <w:rPr>
                <w:rFonts w:hint="eastAsia"/>
                <w:lang w:val="en-US" w:eastAsia="zh-CN"/>
              </w:rPr>
              <w:t>0.91</w:t>
            </w:r>
          </w:p>
        </w:tc>
        <w:tc>
          <w:tcPr>
            <w:tcW w:w="1168" w:type="dxa"/>
            <w:tcBorders>
              <w:top w:val="single" w:color="auto" w:sz="4" w:space="0"/>
              <w:left w:val="single" w:color="auto" w:sz="4" w:space="0"/>
              <w:bottom w:val="single" w:color="auto" w:sz="4" w:space="0"/>
              <w:right w:val="nil"/>
            </w:tcBorders>
            <w:shd w:val="clear" w:color="auto" w:fill="FFFFFF"/>
            <w:noWrap/>
            <w:vAlign w:val="center"/>
          </w:tcPr>
          <w:p w14:paraId="7ED8E499">
            <w:pPr>
              <w:pStyle w:val="59"/>
              <w:bidi w:val="0"/>
              <w:rPr>
                <w:rFonts w:hint="eastAsia"/>
              </w:rPr>
            </w:pPr>
            <w:r>
              <w:rPr>
                <w:rFonts w:hint="eastAsia"/>
                <w:lang w:val="en-US" w:eastAsia="zh-CN"/>
              </w:rPr>
              <w:t>0.038</w:t>
            </w:r>
          </w:p>
        </w:tc>
      </w:tr>
      <w:tr w14:paraId="59442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5" w:type="pct"/>
            <w:tcBorders>
              <w:top w:val="single" w:color="auto" w:sz="4" w:space="0"/>
              <w:left w:val="nil"/>
              <w:bottom w:val="single" w:color="auto" w:sz="4" w:space="0"/>
              <w:right w:val="single" w:color="auto" w:sz="4" w:space="0"/>
            </w:tcBorders>
            <w:shd w:val="clear" w:color="auto" w:fill="FFFFFF"/>
            <w:vAlign w:val="center"/>
          </w:tcPr>
          <w:p w14:paraId="57D2C667">
            <w:pPr>
              <w:pStyle w:val="59"/>
              <w:bidi w:val="0"/>
              <w:rPr>
                <w:rFonts w:hint="default"/>
                <w:b w:val="0"/>
                <w:color w:val="000000"/>
              </w:rPr>
            </w:pPr>
            <w:r>
              <w:rPr>
                <w:rFonts w:hint="default"/>
                <w:b w:val="0"/>
                <w:color w:val="000000"/>
                <w:lang w:val="en-US" w:eastAsia="zh-CN"/>
              </w:rPr>
              <w:t>4</w:t>
            </w:r>
          </w:p>
        </w:tc>
        <w:tc>
          <w:tcPr>
            <w:tcW w:w="76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62B3CCF">
            <w:pPr>
              <w:pStyle w:val="59"/>
              <w:bidi w:val="0"/>
              <w:jc w:val="center"/>
              <w:rPr>
                <w:rFonts w:hint="eastAsia"/>
              </w:rPr>
            </w:pPr>
            <w:r>
              <w:rPr>
                <w:rFonts w:hint="eastAsia"/>
                <w:lang w:val="en-US" w:eastAsia="zh-CN"/>
              </w:rPr>
              <w:t>珠光膜</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2BD2E70B">
            <w:pPr>
              <w:pStyle w:val="59"/>
              <w:bidi w:val="0"/>
              <w:rPr>
                <w:rFonts w:hint="default"/>
              </w:rPr>
            </w:pPr>
            <w:r>
              <w:rPr>
                <w:rFonts w:hint="default"/>
                <w:lang w:val="en-US" w:eastAsia="zh-CN"/>
              </w:rPr>
              <w:t xml:space="preserve">61.5 </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1D67E048">
            <w:pPr>
              <w:pStyle w:val="59"/>
              <w:bidi w:val="0"/>
              <w:rPr>
                <w:rFonts w:hint="default"/>
              </w:rPr>
            </w:pPr>
            <w:r>
              <w:rPr>
                <w:rFonts w:hint="default"/>
                <w:lang w:val="en-US" w:eastAsia="zh-CN"/>
              </w:rPr>
              <w:t xml:space="preserve">0 </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4A1A3CCC">
            <w:pPr>
              <w:pStyle w:val="59"/>
              <w:bidi w:val="0"/>
              <w:rPr>
                <w:rFonts w:hint="default"/>
              </w:rPr>
            </w:pPr>
            <w:r>
              <w:rPr>
                <w:rFonts w:hint="default"/>
                <w:lang w:val="en-US" w:eastAsia="zh-CN"/>
              </w:rPr>
              <w:t xml:space="preserve">2313476 </w:t>
            </w:r>
          </w:p>
        </w:tc>
        <w:tc>
          <w:tcPr>
            <w:tcW w:w="1358" w:type="dxa"/>
            <w:tcBorders>
              <w:top w:val="single" w:color="auto" w:sz="4" w:space="0"/>
              <w:left w:val="single" w:color="auto" w:sz="4" w:space="0"/>
              <w:bottom w:val="single" w:color="auto" w:sz="4" w:space="0"/>
              <w:right w:val="single" w:color="auto" w:sz="4" w:space="0"/>
            </w:tcBorders>
            <w:shd w:val="clear" w:color="auto" w:fill="FFFFFF"/>
            <w:vAlign w:val="center"/>
          </w:tcPr>
          <w:p w14:paraId="368E26C0">
            <w:pPr>
              <w:pStyle w:val="59"/>
              <w:bidi w:val="0"/>
              <w:rPr>
                <w:rFonts w:hint="eastAsia"/>
              </w:rPr>
            </w:pPr>
            <w:r>
              <w:rPr>
                <w:rFonts w:hint="eastAsia"/>
                <w:lang w:val="en-US" w:eastAsia="zh-CN"/>
              </w:rPr>
              <w:t>不需印刷</w:t>
            </w:r>
          </w:p>
        </w:tc>
        <w:tc>
          <w:tcPr>
            <w:tcW w:w="9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254E17">
            <w:pPr>
              <w:pStyle w:val="59"/>
              <w:bidi w:val="0"/>
              <w:rPr>
                <w:rFonts w:hint="eastAsia"/>
              </w:rPr>
            </w:pPr>
            <w:r>
              <w:rPr>
                <w:rFonts w:hint="eastAsia"/>
                <w:lang w:val="en-US" w:eastAsia="zh-CN"/>
              </w:rPr>
              <w:t>0.7</w:t>
            </w:r>
          </w:p>
        </w:tc>
        <w:tc>
          <w:tcPr>
            <w:tcW w:w="1168" w:type="dxa"/>
            <w:tcBorders>
              <w:top w:val="single" w:color="auto" w:sz="4" w:space="0"/>
              <w:left w:val="single" w:color="auto" w:sz="4" w:space="0"/>
              <w:bottom w:val="single" w:color="auto" w:sz="4" w:space="0"/>
              <w:right w:val="nil"/>
            </w:tcBorders>
            <w:shd w:val="clear" w:color="auto" w:fill="FFFFFF"/>
            <w:noWrap/>
            <w:vAlign w:val="center"/>
          </w:tcPr>
          <w:p w14:paraId="74051F76">
            <w:pPr>
              <w:pStyle w:val="59"/>
              <w:bidi w:val="0"/>
              <w:rPr>
                <w:rFonts w:hint="eastAsia"/>
              </w:rPr>
            </w:pPr>
            <w:r>
              <w:rPr>
                <w:rFonts w:hint="eastAsia"/>
                <w:lang w:val="en-US" w:eastAsia="zh-CN"/>
              </w:rPr>
              <w:t>0.025</w:t>
            </w:r>
          </w:p>
        </w:tc>
      </w:tr>
      <w:tr w14:paraId="5A6D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5" w:type="pct"/>
            <w:tcBorders>
              <w:top w:val="single" w:color="auto" w:sz="4" w:space="0"/>
              <w:left w:val="nil"/>
              <w:bottom w:val="single" w:color="auto" w:sz="4" w:space="0"/>
              <w:right w:val="single" w:color="auto" w:sz="4" w:space="0"/>
            </w:tcBorders>
            <w:shd w:val="clear" w:color="auto" w:fill="FFFFFF"/>
            <w:vAlign w:val="center"/>
          </w:tcPr>
          <w:p w14:paraId="0F8CE050">
            <w:pPr>
              <w:pStyle w:val="59"/>
              <w:bidi w:val="0"/>
              <w:rPr>
                <w:rFonts w:hint="default"/>
                <w:b w:val="0"/>
                <w:color w:val="000000"/>
                <w:lang w:val="en-US" w:eastAsia="zh-CN"/>
              </w:rPr>
            </w:pPr>
            <w:r>
              <w:rPr>
                <w:rFonts w:hint="eastAsia"/>
                <w:b w:val="0"/>
                <w:color w:val="000000"/>
                <w:lang w:val="en-US" w:eastAsia="zh-CN"/>
              </w:rPr>
              <w:t>5</w:t>
            </w:r>
          </w:p>
        </w:tc>
        <w:tc>
          <w:tcPr>
            <w:tcW w:w="76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A95FAD">
            <w:pPr>
              <w:pStyle w:val="59"/>
              <w:bidi w:val="0"/>
              <w:jc w:val="center"/>
              <w:rPr>
                <w:rFonts w:hint="eastAsia"/>
                <w:lang w:val="en-US" w:eastAsia="zh-CN"/>
              </w:rPr>
            </w:pPr>
            <w:r>
              <w:rPr>
                <w:rFonts w:hint="eastAsia"/>
                <w:lang w:val="en-US" w:eastAsia="zh-CN"/>
              </w:rPr>
              <w:t>珠光膜</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29E70CFC">
            <w:pPr>
              <w:pStyle w:val="59"/>
              <w:bidi w:val="0"/>
              <w:rPr>
                <w:rFonts w:hint="default"/>
                <w:lang w:val="en-US" w:eastAsia="zh-CN"/>
              </w:rPr>
            </w:pPr>
            <w:r>
              <w:rPr>
                <w:rFonts w:hint="default"/>
                <w:lang w:val="en-US" w:eastAsia="zh-CN"/>
              </w:rPr>
              <w:t>25.5</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2D15AF0C">
            <w:pPr>
              <w:pStyle w:val="59"/>
              <w:bidi w:val="0"/>
              <w:rPr>
                <w:rFonts w:hint="default"/>
                <w:lang w:val="en-US" w:eastAsia="zh-CN"/>
              </w:rPr>
            </w:pPr>
            <w:r>
              <w:rPr>
                <w:rFonts w:hint="default"/>
                <w:lang w:val="en-US" w:eastAsia="zh-CN"/>
              </w:rPr>
              <w:t xml:space="preserve">520408 </w:t>
            </w:r>
          </w:p>
        </w:tc>
        <w:tc>
          <w:tcPr>
            <w:tcW w:w="1159" w:type="dxa"/>
            <w:tcBorders>
              <w:top w:val="single" w:color="auto" w:sz="4" w:space="0"/>
              <w:left w:val="single" w:color="auto" w:sz="4" w:space="0"/>
              <w:bottom w:val="single" w:color="auto" w:sz="4" w:space="0"/>
              <w:right w:val="single" w:color="auto" w:sz="4" w:space="0"/>
            </w:tcBorders>
            <w:shd w:val="clear" w:color="auto" w:fill="FFFFFF"/>
            <w:vAlign w:val="center"/>
          </w:tcPr>
          <w:p w14:paraId="252CAFA1">
            <w:pPr>
              <w:pStyle w:val="59"/>
              <w:bidi w:val="0"/>
              <w:rPr>
                <w:rFonts w:hint="default"/>
                <w:lang w:val="en-US" w:eastAsia="zh-CN"/>
              </w:rPr>
            </w:pPr>
            <w:r>
              <w:rPr>
                <w:rFonts w:hint="default"/>
                <w:lang w:val="en-US" w:eastAsia="zh-CN"/>
              </w:rPr>
              <w:t xml:space="preserve">0 </w:t>
            </w:r>
          </w:p>
        </w:tc>
        <w:tc>
          <w:tcPr>
            <w:tcW w:w="1358" w:type="dxa"/>
            <w:tcBorders>
              <w:top w:val="single" w:color="auto" w:sz="4" w:space="0"/>
              <w:left w:val="single" w:color="auto" w:sz="4" w:space="0"/>
              <w:bottom w:val="single" w:color="auto" w:sz="4" w:space="0"/>
              <w:right w:val="single" w:color="auto" w:sz="4" w:space="0"/>
            </w:tcBorders>
            <w:shd w:val="clear" w:color="auto" w:fill="FFFFFF"/>
            <w:vAlign w:val="center"/>
          </w:tcPr>
          <w:p w14:paraId="1F889062">
            <w:pPr>
              <w:pStyle w:val="59"/>
              <w:bidi w:val="0"/>
              <w:rPr>
                <w:rFonts w:hint="eastAsia"/>
                <w:lang w:val="en-US" w:eastAsia="zh-CN"/>
              </w:rPr>
            </w:pPr>
            <w:r>
              <w:rPr>
                <w:rFonts w:hint="eastAsia"/>
                <w:lang w:val="en-US" w:eastAsia="zh-CN"/>
              </w:rPr>
              <w:t>凹印、表印</w:t>
            </w:r>
          </w:p>
        </w:tc>
        <w:tc>
          <w:tcPr>
            <w:tcW w:w="9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44D765">
            <w:pPr>
              <w:pStyle w:val="59"/>
              <w:bidi w:val="0"/>
              <w:rPr>
                <w:rFonts w:hint="eastAsia"/>
                <w:lang w:val="en-US" w:eastAsia="zh-CN"/>
              </w:rPr>
            </w:pPr>
            <w:r>
              <w:rPr>
                <w:rFonts w:hint="eastAsia"/>
                <w:lang w:val="en-US" w:eastAsia="zh-CN"/>
              </w:rPr>
              <w:t>0.7</w:t>
            </w:r>
          </w:p>
        </w:tc>
        <w:tc>
          <w:tcPr>
            <w:tcW w:w="1168" w:type="dxa"/>
            <w:tcBorders>
              <w:top w:val="single" w:color="auto" w:sz="4" w:space="0"/>
              <w:left w:val="single" w:color="auto" w:sz="4" w:space="0"/>
              <w:bottom w:val="single" w:color="auto" w:sz="4" w:space="0"/>
              <w:right w:val="nil"/>
            </w:tcBorders>
            <w:shd w:val="clear" w:color="auto" w:fill="FFFFFF"/>
            <w:noWrap/>
            <w:vAlign w:val="center"/>
          </w:tcPr>
          <w:p w14:paraId="078B06ED">
            <w:pPr>
              <w:pStyle w:val="59"/>
              <w:bidi w:val="0"/>
              <w:rPr>
                <w:rFonts w:hint="default"/>
                <w:lang w:val="en-US" w:eastAsia="zh-CN"/>
              </w:rPr>
            </w:pPr>
            <w:r>
              <w:rPr>
                <w:rFonts w:hint="eastAsia"/>
                <w:lang w:val="en-US" w:eastAsia="zh-CN"/>
              </w:rPr>
              <w:t>0.07</w:t>
            </w:r>
          </w:p>
        </w:tc>
      </w:tr>
      <w:tr w14:paraId="1C0F2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5" w:type="pct"/>
            <w:tcBorders>
              <w:top w:val="single" w:color="auto" w:sz="4" w:space="0"/>
              <w:left w:val="nil"/>
              <w:bottom w:val="single" w:color="000000" w:sz="12" w:space="0"/>
              <w:right w:val="single" w:color="auto" w:sz="4" w:space="0"/>
            </w:tcBorders>
            <w:shd w:val="clear" w:color="auto" w:fill="FFFFFF"/>
            <w:vAlign w:val="center"/>
          </w:tcPr>
          <w:p w14:paraId="0120AF66">
            <w:pPr>
              <w:pStyle w:val="59"/>
              <w:bidi w:val="0"/>
              <w:rPr>
                <w:rFonts w:hint="eastAsia"/>
                <w:b w:val="0"/>
                <w:color w:val="000000"/>
              </w:rPr>
            </w:pPr>
          </w:p>
        </w:tc>
        <w:tc>
          <w:tcPr>
            <w:tcW w:w="762" w:type="pct"/>
            <w:tcBorders>
              <w:top w:val="single" w:color="auto" w:sz="4" w:space="0"/>
              <w:left w:val="nil"/>
              <w:bottom w:val="single" w:color="000000" w:sz="12" w:space="0"/>
              <w:right w:val="single" w:color="auto" w:sz="4" w:space="0"/>
            </w:tcBorders>
            <w:shd w:val="clear" w:color="auto" w:fill="FFFFFF"/>
            <w:vAlign w:val="center"/>
          </w:tcPr>
          <w:p w14:paraId="4FBD1367">
            <w:pPr>
              <w:pStyle w:val="59"/>
              <w:bidi w:val="0"/>
              <w:jc w:val="center"/>
              <w:rPr>
                <w:rFonts w:hint="eastAsia"/>
                <w:lang w:val="en-US" w:eastAsia="zh-CN"/>
              </w:rPr>
            </w:pPr>
            <w:r>
              <w:rPr>
                <w:rFonts w:hint="eastAsia"/>
                <w:lang w:val="en-US" w:eastAsia="zh-CN"/>
              </w:rPr>
              <w:t>合计</w:t>
            </w:r>
          </w:p>
        </w:tc>
        <w:tc>
          <w:tcPr>
            <w:tcW w:w="1159" w:type="dxa"/>
            <w:tcBorders>
              <w:top w:val="single" w:color="auto" w:sz="4" w:space="0"/>
              <w:left w:val="single" w:color="auto" w:sz="4" w:space="0"/>
              <w:bottom w:val="single" w:color="000000" w:sz="12" w:space="0"/>
              <w:right w:val="single" w:color="auto" w:sz="4" w:space="0"/>
            </w:tcBorders>
            <w:shd w:val="clear" w:color="auto" w:fill="FFFFFF"/>
            <w:vAlign w:val="center"/>
          </w:tcPr>
          <w:p w14:paraId="2710E9E5">
            <w:pPr>
              <w:pStyle w:val="59"/>
              <w:bidi w:val="0"/>
              <w:rPr>
                <w:rFonts w:hint="default"/>
              </w:rPr>
            </w:pPr>
            <w:r>
              <w:rPr>
                <w:rFonts w:hint="default"/>
                <w:lang w:val="en-US" w:eastAsia="zh-CN"/>
              </w:rPr>
              <w:t xml:space="preserve">422.0 </w:t>
            </w:r>
          </w:p>
        </w:tc>
        <w:tc>
          <w:tcPr>
            <w:tcW w:w="1159" w:type="dxa"/>
            <w:tcBorders>
              <w:top w:val="single" w:color="auto" w:sz="4" w:space="0"/>
              <w:left w:val="single" w:color="auto" w:sz="4" w:space="0"/>
              <w:bottom w:val="single" w:color="000000" w:sz="12" w:space="0"/>
              <w:right w:val="single" w:color="auto" w:sz="4" w:space="0"/>
            </w:tcBorders>
            <w:shd w:val="clear" w:color="auto" w:fill="FFFFFF"/>
            <w:vAlign w:val="center"/>
          </w:tcPr>
          <w:p w14:paraId="63055E3E">
            <w:pPr>
              <w:pStyle w:val="59"/>
              <w:bidi w:val="0"/>
              <w:rPr>
                <w:rFonts w:hint="default"/>
              </w:rPr>
            </w:pPr>
            <w:r>
              <w:rPr>
                <w:rFonts w:hint="default"/>
                <w:lang w:val="en-US" w:eastAsia="zh-CN"/>
              </w:rPr>
              <w:t xml:space="preserve">7168438 </w:t>
            </w:r>
          </w:p>
        </w:tc>
        <w:tc>
          <w:tcPr>
            <w:tcW w:w="1159" w:type="dxa"/>
            <w:tcBorders>
              <w:top w:val="single" w:color="auto" w:sz="4" w:space="0"/>
              <w:left w:val="single" w:color="auto" w:sz="4" w:space="0"/>
              <w:bottom w:val="single" w:color="000000" w:sz="12" w:space="0"/>
              <w:right w:val="single" w:color="auto" w:sz="4" w:space="0"/>
            </w:tcBorders>
            <w:shd w:val="clear" w:color="auto" w:fill="FFFFFF"/>
            <w:vAlign w:val="center"/>
          </w:tcPr>
          <w:p w14:paraId="544580A2">
            <w:pPr>
              <w:pStyle w:val="59"/>
              <w:bidi w:val="0"/>
              <w:rPr>
                <w:rFonts w:hint="default"/>
              </w:rPr>
            </w:pPr>
            <w:r>
              <w:rPr>
                <w:rFonts w:hint="default"/>
                <w:lang w:val="en-US" w:eastAsia="zh-CN"/>
              </w:rPr>
              <w:t xml:space="preserve">2313476 </w:t>
            </w:r>
          </w:p>
        </w:tc>
        <w:tc>
          <w:tcPr>
            <w:tcW w:w="1358" w:type="dxa"/>
            <w:tcBorders>
              <w:top w:val="single" w:color="auto" w:sz="4" w:space="0"/>
              <w:left w:val="single" w:color="auto" w:sz="4" w:space="0"/>
              <w:bottom w:val="single" w:color="000000" w:sz="12" w:space="0"/>
              <w:right w:val="single" w:color="auto" w:sz="4" w:space="0"/>
            </w:tcBorders>
            <w:shd w:val="clear" w:color="auto" w:fill="FFFFFF"/>
            <w:noWrap/>
            <w:vAlign w:val="center"/>
          </w:tcPr>
          <w:p w14:paraId="6DF615F3">
            <w:pPr>
              <w:pStyle w:val="59"/>
              <w:bidi w:val="0"/>
              <w:rPr>
                <w:rFonts w:hint="eastAsia"/>
              </w:rPr>
            </w:pPr>
          </w:p>
        </w:tc>
        <w:tc>
          <w:tcPr>
            <w:tcW w:w="960" w:type="dxa"/>
            <w:tcBorders>
              <w:top w:val="single" w:color="auto" w:sz="4" w:space="0"/>
              <w:left w:val="single" w:color="auto" w:sz="4" w:space="0"/>
              <w:bottom w:val="single" w:color="000000" w:sz="12" w:space="0"/>
              <w:right w:val="single" w:color="auto" w:sz="4" w:space="0"/>
            </w:tcBorders>
            <w:shd w:val="clear" w:color="auto" w:fill="FFFFFF"/>
            <w:noWrap/>
            <w:vAlign w:val="center"/>
          </w:tcPr>
          <w:p w14:paraId="6E7D7960">
            <w:pPr>
              <w:pStyle w:val="59"/>
              <w:bidi w:val="0"/>
              <w:rPr>
                <w:rFonts w:hint="eastAsia"/>
              </w:rPr>
            </w:pPr>
          </w:p>
        </w:tc>
        <w:tc>
          <w:tcPr>
            <w:tcW w:w="1168" w:type="dxa"/>
            <w:tcBorders>
              <w:top w:val="single" w:color="auto" w:sz="4" w:space="0"/>
              <w:left w:val="single" w:color="auto" w:sz="4" w:space="0"/>
              <w:bottom w:val="single" w:color="000000" w:sz="12" w:space="0"/>
              <w:right w:val="nil"/>
            </w:tcBorders>
            <w:shd w:val="clear" w:color="auto" w:fill="FFFFFF"/>
            <w:noWrap/>
            <w:vAlign w:val="center"/>
          </w:tcPr>
          <w:p w14:paraId="1E065A0E">
            <w:pPr>
              <w:pStyle w:val="59"/>
              <w:bidi w:val="0"/>
              <w:rPr>
                <w:rFonts w:hint="eastAsia"/>
              </w:rPr>
            </w:pPr>
          </w:p>
        </w:tc>
      </w:tr>
    </w:tbl>
    <w:p w14:paraId="6AFABCAE">
      <w:pPr>
        <w:bidi w:val="0"/>
        <w:rPr>
          <w:rFonts w:hint="eastAsia" w:eastAsia="宋体"/>
          <w:color w:val="auto"/>
          <w:lang w:val="en-US" w:eastAsia="zh-CN"/>
        </w:rPr>
      </w:pPr>
      <w:r>
        <w:rPr>
          <w:color w:val="auto"/>
        </w:rPr>
        <w:t>本项目薄膜均为单面印刷，均为根据客户需求定制的产品。</w:t>
      </w:r>
      <w:r>
        <w:rPr>
          <w:rFonts w:ascii="宋体" w:hAnsi="宋体" w:eastAsia="宋体" w:cs="宋体"/>
          <w:spacing w:val="-3"/>
          <w:sz w:val="24"/>
          <w:szCs w:val="24"/>
        </w:rPr>
        <w:t>塑料膜印刷比例大致</w:t>
      </w:r>
      <w:r>
        <w:rPr>
          <w:rFonts w:hint="eastAsia" w:ascii="宋体" w:hAnsi="宋体" w:eastAsia="宋体" w:cs="宋体"/>
          <w:spacing w:val="-3"/>
          <w:sz w:val="24"/>
          <w:szCs w:val="24"/>
          <w:lang w:val="en-US" w:eastAsia="zh-CN"/>
        </w:rPr>
        <w:t>约为全幅</w:t>
      </w:r>
      <w:r>
        <w:rPr>
          <w:rFonts w:ascii="Times New Roman" w:hAnsi="Times New Roman" w:eastAsia="Times New Roman" w:cs="Times New Roman"/>
          <w:spacing w:val="-3"/>
          <w:sz w:val="24"/>
          <w:szCs w:val="24"/>
        </w:rPr>
        <w:t>10</w:t>
      </w:r>
      <w:r>
        <w:rPr>
          <w:rFonts w:hint="eastAsia" w:eastAsia="宋体" w:cs="Times New Roman"/>
          <w:spacing w:val="-3"/>
          <w:sz w:val="24"/>
          <w:szCs w:val="24"/>
          <w:lang w:val="en-US" w:eastAsia="zh-CN"/>
        </w:rPr>
        <w:t>0</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3"/>
          <w:sz w:val="24"/>
          <w:szCs w:val="24"/>
        </w:rPr>
        <w:t xml:space="preserve"> </w:t>
      </w:r>
      <w:r>
        <w:rPr>
          <w:rFonts w:hint="eastAsia" w:eastAsia="宋体" w:cs="Times New Roman"/>
          <w:spacing w:val="-33"/>
          <w:sz w:val="24"/>
          <w:szCs w:val="24"/>
          <w:lang w:eastAsia="zh-CN"/>
        </w:rPr>
        <w:t>。</w:t>
      </w:r>
    </w:p>
    <w:p w14:paraId="4457DCF8">
      <w:pPr>
        <w:bidi w:val="0"/>
      </w:pPr>
      <w:r>
        <w:rPr>
          <w:rFonts w:hint="eastAsia"/>
          <w:lang w:val="en-US" w:eastAsia="zh-CN"/>
        </w:rPr>
        <w:t>印刷面积</w:t>
      </w:r>
      <w:r>
        <w:t>(m²/a)= 产量(t/a)÷塑料膜密度(</w:t>
      </w:r>
      <w:r>
        <w:rPr>
          <w:rFonts w:hint="eastAsia"/>
          <w:lang w:val="en-US" w:eastAsia="zh-CN"/>
        </w:rPr>
        <w:t>t</w:t>
      </w:r>
      <w:r>
        <w:t>/m³)÷塑料膜密度(μm)×10</w:t>
      </w:r>
      <w:r>
        <w:rPr>
          <w:rFonts w:hint="eastAsia"/>
          <w:vertAlign w:val="superscript"/>
          <w:lang w:val="en-US" w:eastAsia="zh-CN"/>
        </w:rPr>
        <w:t>3</w:t>
      </w:r>
      <w:r>
        <w:t>。</w:t>
      </w:r>
    </w:p>
    <w:p w14:paraId="7D34BF8A">
      <w:pPr>
        <w:bidi w:val="0"/>
        <w:rPr>
          <w:rFonts w:hint="default"/>
          <w:lang w:val="en-US" w:eastAsia="zh-CN"/>
        </w:rPr>
      </w:pPr>
      <w:r>
        <w:t>OPP</w:t>
      </w:r>
      <w:r>
        <w:rPr>
          <w:rFonts w:hint="eastAsia"/>
          <w:lang w:val="en-US" w:eastAsia="zh-CN"/>
        </w:rPr>
        <w:t>珠光复合膜的复合结构顺序是：OPP外层 → 油墨层 → 胶水层 → 珠光膜内层，珠光膜不需印刷。</w:t>
      </w:r>
    </w:p>
    <w:p w14:paraId="0A7DB31C">
      <w:pPr>
        <w:pStyle w:val="67"/>
        <w:numPr>
          <w:ilvl w:val="1"/>
          <w:numId w:val="8"/>
        </w:numPr>
        <w:bidi w:val="0"/>
        <w:ind w:left="567" w:leftChars="0" w:hanging="567" w:firstLineChars="0"/>
        <w:rPr>
          <w:rFonts w:hint="eastAsia" w:ascii="Times New Roman" w:hAnsi="Times New Roman" w:eastAsia="宋体" w:cs="Times New Roman"/>
          <w:color w:val="auto"/>
        </w:rPr>
      </w:pPr>
      <w:bookmarkStart w:id="61" w:name="_Toc18165"/>
      <w:r>
        <w:rPr>
          <w:rFonts w:hint="eastAsia" w:ascii="Times New Roman" w:hAnsi="Times New Roman" w:eastAsia="宋体" w:cs="Times New Roman"/>
          <w:color w:val="auto"/>
        </w:rPr>
        <w:t>主要生产设备</w:t>
      </w:r>
      <w:bookmarkEnd w:id="61"/>
    </w:p>
    <w:p w14:paraId="0953FBD7">
      <w:pPr>
        <w:ind w:firstLine="480"/>
        <w:rPr>
          <w:color w:val="auto"/>
        </w:rPr>
      </w:pPr>
      <w:r>
        <w:rPr>
          <w:color w:val="auto"/>
        </w:rPr>
        <w:t>项目主要生产设备见</w:t>
      </w:r>
      <w:r>
        <w:rPr>
          <w:rFonts w:hint="eastAsia"/>
          <w:color w:val="auto"/>
          <w:lang w:eastAsia="zh-CN"/>
        </w:rPr>
        <w:t>表</w:t>
      </w:r>
      <w:r>
        <w:rPr>
          <w:rFonts w:hint="eastAsia"/>
          <w:color w:val="auto"/>
          <w:lang w:val="en-US" w:eastAsia="zh-CN"/>
        </w:rPr>
        <w:t>2</w:t>
      </w:r>
      <w:r>
        <w:rPr>
          <w:rFonts w:hint="eastAsia"/>
          <w:color w:val="auto"/>
        </w:rPr>
        <w:t>.4-1</w:t>
      </w:r>
      <w:r>
        <w:rPr>
          <w:color w:val="auto"/>
        </w:rPr>
        <w:t>。</w:t>
      </w:r>
    </w:p>
    <w:p w14:paraId="1C6A94D0">
      <w:pPr>
        <w:pStyle w:val="62"/>
        <w:rPr>
          <w:color w:val="auto"/>
        </w:rPr>
      </w:pPr>
      <w:r>
        <w:rPr>
          <w:rFonts w:hint="eastAsia"/>
          <w:color w:val="auto"/>
          <w:lang w:eastAsia="zh-CN"/>
        </w:rPr>
        <w:t>表</w:t>
      </w:r>
      <w:r>
        <w:rPr>
          <w:rFonts w:hint="eastAsia"/>
          <w:color w:val="auto"/>
          <w:lang w:val="en-US" w:eastAsia="zh-CN"/>
        </w:rPr>
        <w:t>2</w:t>
      </w:r>
      <w:r>
        <w:rPr>
          <w:rFonts w:hint="eastAsia"/>
          <w:color w:val="auto"/>
        </w:rPr>
        <w:t>.4-1</w:t>
      </w:r>
      <w:r>
        <w:rPr>
          <w:color w:val="auto"/>
        </w:rPr>
        <w:t xml:space="preserve">  项目主要生产设备</w:t>
      </w:r>
      <w:r>
        <w:rPr>
          <w:rFonts w:hint="eastAsia"/>
          <w:color w:val="auto"/>
          <w:lang w:val="en-US" w:eastAsia="zh-CN"/>
        </w:rPr>
        <w:t>/设施</w:t>
      </w:r>
      <w:r>
        <w:rPr>
          <w:color w:val="auto"/>
        </w:rPr>
        <w:t>一览表</w:t>
      </w:r>
    </w:p>
    <w:tbl>
      <w:tblPr>
        <w:tblStyle w:val="38"/>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644"/>
        <w:gridCol w:w="1644"/>
        <w:gridCol w:w="1761"/>
        <w:gridCol w:w="999"/>
        <w:gridCol w:w="1302"/>
        <w:gridCol w:w="1205"/>
      </w:tblGrid>
      <w:tr w14:paraId="4F1C71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91" w:type="pct"/>
            <w:vAlign w:val="center"/>
          </w:tcPr>
          <w:p w14:paraId="47D71256">
            <w:pPr>
              <w:pStyle w:val="59"/>
              <w:bidi w:val="0"/>
            </w:pPr>
            <w:r>
              <w:rPr>
                <w:rFonts w:hint="eastAsia"/>
              </w:rPr>
              <w:t>序号</w:t>
            </w:r>
          </w:p>
        </w:tc>
        <w:tc>
          <w:tcPr>
            <w:tcW w:w="885" w:type="pct"/>
            <w:vAlign w:val="center"/>
          </w:tcPr>
          <w:p w14:paraId="6D61A2CD">
            <w:pPr>
              <w:pStyle w:val="59"/>
              <w:bidi w:val="0"/>
              <w:rPr>
                <w:rFonts w:hint="eastAsia"/>
              </w:rPr>
            </w:pPr>
            <w:r>
              <w:rPr>
                <w:b/>
                <w:bCs/>
                <w:spacing w:val="-4"/>
              </w:rPr>
              <w:t>生产单元</w:t>
            </w:r>
          </w:p>
        </w:tc>
        <w:tc>
          <w:tcPr>
            <w:tcW w:w="885" w:type="pct"/>
            <w:vAlign w:val="center"/>
          </w:tcPr>
          <w:p w14:paraId="3F68D314">
            <w:pPr>
              <w:pStyle w:val="59"/>
              <w:bidi w:val="0"/>
            </w:pPr>
            <w:r>
              <w:rPr>
                <w:rFonts w:hint="eastAsia"/>
              </w:rPr>
              <w:t>设备名称</w:t>
            </w:r>
          </w:p>
        </w:tc>
        <w:tc>
          <w:tcPr>
            <w:tcW w:w="948" w:type="pct"/>
            <w:vAlign w:val="center"/>
          </w:tcPr>
          <w:p w14:paraId="4864EED6">
            <w:pPr>
              <w:pStyle w:val="59"/>
              <w:bidi w:val="0"/>
            </w:pPr>
            <w:r>
              <w:rPr>
                <w:rFonts w:hint="eastAsia"/>
              </w:rPr>
              <w:t>规格型号</w:t>
            </w:r>
          </w:p>
        </w:tc>
        <w:tc>
          <w:tcPr>
            <w:tcW w:w="538" w:type="pct"/>
            <w:vAlign w:val="center"/>
          </w:tcPr>
          <w:p w14:paraId="2765B3BB">
            <w:pPr>
              <w:pStyle w:val="59"/>
              <w:bidi w:val="0"/>
            </w:pPr>
            <w:r>
              <w:rPr>
                <w:rFonts w:hint="eastAsia"/>
              </w:rPr>
              <w:t>数量（台）</w:t>
            </w:r>
          </w:p>
        </w:tc>
        <w:tc>
          <w:tcPr>
            <w:tcW w:w="701" w:type="pct"/>
            <w:vAlign w:val="center"/>
          </w:tcPr>
          <w:p w14:paraId="5AF939E8">
            <w:pPr>
              <w:pStyle w:val="59"/>
              <w:bidi w:val="0"/>
              <w:rPr>
                <w:rFonts w:hint="default" w:eastAsia="宋体"/>
                <w:lang w:val="en-US" w:eastAsia="zh-CN"/>
              </w:rPr>
            </w:pPr>
            <w:r>
              <w:rPr>
                <w:rFonts w:hint="eastAsia"/>
                <w:lang w:val="en-US" w:eastAsia="zh-CN"/>
              </w:rPr>
              <w:t>主要工艺</w:t>
            </w:r>
          </w:p>
        </w:tc>
        <w:tc>
          <w:tcPr>
            <w:tcW w:w="649" w:type="pct"/>
            <w:vAlign w:val="center"/>
          </w:tcPr>
          <w:p w14:paraId="335C3764">
            <w:pPr>
              <w:pStyle w:val="59"/>
              <w:bidi w:val="0"/>
            </w:pPr>
            <w:r>
              <w:rPr>
                <w:rFonts w:hint="eastAsia"/>
              </w:rPr>
              <w:t>所属车间</w:t>
            </w:r>
          </w:p>
        </w:tc>
      </w:tr>
      <w:tr w14:paraId="073C0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5A638B06">
            <w:pPr>
              <w:pStyle w:val="59"/>
              <w:numPr>
                <w:ilvl w:val="0"/>
                <w:numId w:val="20"/>
              </w:numPr>
              <w:bidi w:val="0"/>
              <w:ind w:left="425" w:leftChars="0" w:hanging="425" w:firstLineChars="0"/>
              <w:rPr>
                <w:rFonts w:hint="eastAsia"/>
              </w:rPr>
            </w:pPr>
          </w:p>
        </w:tc>
        <w:tc>
          <w:tcPr>
            <w:tcW w:w="885" w:type="pct"/>
            <w:vMerge w:val="restart"/>
            <w:vAlign w:val="center"/>
          </w:tcPr>
          <w:p w14:paraId="1617B85E">
            <w:pPr>
              <w:pStyle w:val="59"/>
              <w:bidi w:val="0"/>
              <w:rPr>
                <w:rFonts w:hint="default" w:eastAsia="宋体"/>
                <w:lang w:val="en-US" w:eastAsia="zh-CN"/>
              </w:rPr>
            </w:pPr>
            <w:r>
              <w:rPr>
                <w:rFonts w:hint="eastAsia"/>
                <w:lang w:val="en-US" w:eastAsia="zh-CN"/>
              </w:rPr>
              <w:t>印前加工</w:t>
            </w:r>
          </w:p>
        </w:tc>
        <w:tc>
          <w:tcPr>
            <w:tcW w:w="885" w:type="pct"/>
            <w:vAlign w:val="center"/>
          </w:tcPr>
          <w:p w14:paraId="4D9193BF">
            <w:pPr>
              <w:pStyle w:val="59"/>
              <w:bidi w:val="0"/>
              <w:rPr>
                <w:rFonts w:hint="default"/>
                <w:lang w:val="en-US" w:eastAsia="zh-CN"/>
              </w:rPr>
            </w:pPr>
            <w:r>
              <w:rPr>
                <w:rFonts w:hint="eastAsia"/>
                <w:lang w:val="en-US" w:eastAsia="zh-CN"/>
              </w:rPr>
              <w:t>墨泵</w:t>
            </w:r>
          </w:p>
        </w:tc>
        <w:tc>
          <w:tcPr>
            <w:tcW w:w="948" w:type="pct"/>
            <w:vAlign w:val="center"/>
          </w:tcPr>
          <w:p w14:paraId="7E91079B">
            <w:pPr>
              <w:pStyle w:val="59"/>
              <w:bidi w:val="0"/>
              <w:rPr>
                <w:rFonts w:hint="eastAsia" w:eastAsia="宋体"/>
                <w:lang w:val="en-US" w:eastAsia="zh-CN"/>
              </w:rPr>
            </w:pPr>
            <w:r>
              <w:rPr>
                <w:rFonts w:hint="eastAsia"/>
                <w:lang w:val="en-US" w:eastAsia="zh-CN"/>
              </w:rPr>
              <w:t>/</w:t>
            </w:r>
          </w:p>
        </w:tc>
        <w:tc>
          <w:tcPr>
            <w:tcW w:w="538" w:type="pct"/>
            <w:vAlign w:val="center"/>
          </w:tcPr>
          <w:p w14:paraId="1156D1FF">
            <w:pPr>
              <w:pStyle w:val="59"/>
              <w:bidi w:val="0"/>
              <w:rPr>
                <w:rFonts w:hint="default" w:eastAsia="宋体"/>
                <w:lang w:val="en-US" w:eastAsia="zh-CN"/>
              </w:rPr>
            </w:pPr>
            <w:r>
              <w:rPr>
                <w:rFonts w:hint="eastAsia"/>
                <w:lang w:val="en-US" w:eastAsia="zh-CN"/>
              </w:rPr>
              <w:t>21</w:t>
            </w:r>
          </w:p>
        </w:tc>
        <w:tc>
          <w:tcPr>
            <w:tcW w:w="701" w:type="pct"/>
            <w:vMerge w:val="restart"/>
            <w:vAlign w:val="center"/>
          </w:tcPr>
          <w:p w14:paraId="2047AAEF">
            <w:pPr>
              <w:pStyle w:val="59"/>
              <w:bidi w:val="0"/>
              <w:rPr>
                <w:rFonts w:hint="eastAsia"/>
              </w:rPr>
            </w:pPr>
            <w:r>
              <w:t>调墨、供墨系统</w:t>
            </w:r>
          </w:p>
        </w:tc>
        <w:tc>
          <w:tcPr>
            <w:tcW w:w="649" w:type="pct"/>
            <w:vAlign w:val="center"/>
          </w:tcPr>
          <w:p w14:paraId="4F027F6A">
            <w:pPr>
              <w:pStyle w:val="59"/>
              <w:bidi w:val="0"/>
              <w:rPr>
                <w:rFonts w:hint="default" w:eastAsia="宋体"/>
                <w:lang w:val="en-US" w:eastAsia="zh-CN"/>
              </w:rPr>
            </w:pPr>
            <w:r>
              <w:rPr>
                <w:rFonts w:hint="eastAsia"/>
                <w:lang w:val="en-US" w:eastAsia="zh-CN"/>
              </w:rPr>
              <w:t>1F、2F</w:t>
            </w:r>
          </w:p>
        </w:tc>
      </w:tr>
      <w:tr w14:paraId="6C7A31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6F868AE5">
            <w:pPr>
              <w:pStyle w:val="59"/>
              <w:numPr>
                <w:ilvl w:val="0"/>
                <w:numId w:val="20"/>
              </w:numPr>
              <w:bidi w:val="0"/>
              <w:ind w:left="425" w:leftChars="0" w:hanging="425" w:firstLineChars="0"/>
              <w:rPr>
                <w:rFonts w:hint="eastAsia"/>
              </w:rPr>
            </w:pPr>
          </w:p>
        </w:tc>
        <w:tc>
          <w:tcPr>
            <w:tcW w:w="885" w:type="pct"/>
            <w:vMerge w:val="continue"/>
            <w:vAlign w:val="center"/>
          </w:tcPr>
          <w:p w14:paraId="7B5D13CF">
            <w:pPr>
              <w:pStyle w:val="59"/>
              <w:bidi w:val="0"/>
            </w:pPr>
          </w:p>
        </w:tc>
        <w:tc>
          <w:tcPr>
            <w:tcW w:w="885" w:type="pct"/>
            <w:shd w:val="clear" w:color="auto" w:fill="auto"/>
            <w:vAlign w:val="center"/>
          </w:tcPr>
          <w:p w14:paraId="319FCB20">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调墨房</w:t>
            </w:r>
          </w:p>
        </w:tc>
        <w:tc>
          <w:tcPr>
            <w:tcW w:w="948" w:type="pct"/>
            <w:shd w:val="clear" w:color="auto" w:fill="auto"/>
            <w:vAlign w:val="center"/>
          </w:tcPr>
          <w:p w14:paraId="07FDEBD6">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面积：15m</w:t>
            </w:r>
            <w:r>
              <w:rPr>
                <w:rFonts w:hint="eastAsia"/>
                <w:vertAlign w:val="superscript"/>
                <w:lang w:val="en-US" w:eastAsia="zh-CN"/>
              </w:rPr>
              <w:t>2</w:t>
            </w:r>
          </w:p>
        </w:tc>
        <w:tc>
          <w:tcPr>
            <w:tcW w:w="538" w:type="pct"/>
            <w:shd w:val="clear" w:color="auto" w:fill="auto"/>
            <w:vAlign w:val="center"/>
          </w:tcPr>
          <w:p w14:paraId="390276A5">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1</w:t>
            </w:r>
          </w:p>
        </w:tc>
        <w:tc>
          <w:tcPr>
            <w:tcW w:w="701" w:type="pct"/>
            <w:vMerge w:val="continue"/>
            <w:shd w:val="clear" w:color="auto" w:fill="auto"/>
            <w:vAlign w:val="center"/>
          </w:tcPr>
          <w:p w14:paraId="515C0932">
            <w:pPr>
              <w:pStyle w:val="59"/>
              <w:bidi w:val="0"/>
              <w:ind w:firstLine="0" w:firstLineChars="0"/>
              <w:rPr>
                <w:rFonts w:hint="eastAsia" w:ascii="Times New Roman" w:hAnsi="Times New Roman" w:eastAsia="宋体" w:cs="Times New Roman"/>
                <w:kern w:val="0"/>
                <w:sz w:val="21"/>
                <w:szCs w:val="20"/>
                <w:lang w:val="en-US" w:eastAsia="zh-CN" w:bidi="ar-SA"/>
              </w:rPr>
            </w:pPr>
          </w:p>
        </w:tc>
        <w:tc>
          <w:tcPr>
            <w:tcW w:w="649" w:type="pct"/>
            <w:vAlign w:val="center"/>
          </w:tcPr>
          <w:p w14:paraId="11A6E582">
            <w:pPr>
              <w:pStyle w:val="59"/>
              <w:bidi w:val="0"/>
              <w:rPr>
                <w:rFonts w:hint="eastAsia"/>
              </w:rPr>
            </w:pPr>
            <w:r>
              <w:rPr>
                <w:rFonts w:hint="eastAsia"/>
                <w:lang w:val="en-US" w:eastAsia="zh-CN"/>
              </w:rPr>
              <w:t>1F</w:t>
            </w:r>
          </w:p>
        </w:tc>
      </w:tr>
      <w:tr w14:paraId="30A557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310A2162">
            <w:pPr>
              <w:pStyle w:val="59"/>
              <w:numPr>
                <w:ilvl w:val="0"/>
                <w:numId w:val="20"/>
              </w:numPr>
              <w:bidi w:val="0"/>
              <w:ind w:left="425" w:leftChars="0" w:hanging="425" w:firstLineChars="0"/>
              <w:rPr>
                <w:rFonts w:hint="eastAsia"/>
              </w:rPr>
            </w:pPr>
          </w:p>
        </w:tc>
        <w:tc>
          <w:tcPr>
            <w:tcW w:w="885" w:type="pct"/>
            <w:vMerge w:val="continue"/>
            <w:vAlign w:val="center"/>
          </w:tcPr>
          <w:p w14:paraId="70982144">
            <w:pPr>
              <w:pStyle w:val="59"/>
              <w:bidi w:val="0"/>
            </w:pPr>
          </w:p>
        </w:tc>
        <w:tc>
          <w:tcPr>
            <w:tcW w:w="885" w:type="pct"/>
            <w:shd w:val="clear" w:color="auto" w:fill="auto"/>
            <w:vAlign w:val="center"/>
          </w:tcPr>
          <w:p w14:paraId="306E9750">
            <w:pPr>
              <w:pStyle w:val="59"/>
              <w:bidi w:val="0"/>
              <w:ind w:firstLine="0" w:firstLineChars="0"/>
              <w:rPr>
                <w:rFonts w:hint="default"/>
                <w:lang w:val="en-US" w:eastAsia="zh-CN"/>
              </w:rPr>
            </w:pPr>
            <w:r>
              <w:rPr>
                <w:rFonts w:hint="eastAsia"/>
                <w:lang w:val="en-US" w:eastAsia="zh-CN"/>
              </w:rPr>
              <w:t>中央供稀释剂系统</w:t>
            </w:r>
          </w:p>
        </w:tc>
        <w:tc>
          <w:tcPr>
            <w:tcW w:w="948" w:type="pct"/>
            <w:shd w:val="clear" w:color="auto" w:fill="auto"/>
            <w:vAlign w:val="center"/>
          </w:tcPr>
          <w:p w14:paraId="29E45916">
            <w:pPr>
              <w:pStyle w:val="59"/>
              <w:bidi w:val="0"/>
              <w:ind w:firstLine="0" w:firstLineChars="0"/>
              <w:rPr>
                <w:rFonts w:hint="eastAsia"/>
                <w:lang w:val="en-US" w:eastAsia="zh-CN"/>
              </w:rPr>
            </w:pPr>
            <w:r>
              <w:rPr>
                <w:rFonts w:hint="eastAsia"/>
                <w:lang w:val="en-US" w:eastAsia="zh-CN"/>
              </w:rPr>
              <w:t>/</w:t>
            </w:r>
          </w:p>
        </w:tc>
        <w:tc>
          <w:tcPr>
            <w:tcW w:w="538" w:type="pct"/>
            <w:shd w:val="clear" w:color="auto" w:fill="auto"/>
            <w:vAlign w:val="center"/>
          </w:tcPr>
          <w:p w14:paraId="5599E661">
            <w:pPr>
              <w:pStyle w:val="59"/>
              <w:bidi w:val="0"/>
              <w:ind w:firstLine="0" w:firstLineChars="0"/>
              <w:rPr>
                <w:rFonts w:hint="default"/>
                <w:lang w:val="en-US" w:eastAsia="zh-CN"/>
              </w:rPr>
            </w:pPr>
            <w:r>
              <w:rPr>
                <w:rFonts w:hint="eastAsia"/>
                <w:lang w:val="en-US" w:eastAsia="zh-CN"/>
              </w:rPr>
              <w:t>1</w:t>
            </w:r>
          </w:p>
        </w:tc>
        <w:tc>
          <w:tcPr>
            <w:tcW w:w="701" w:type="pct"/>
            <w:vMerge w:val="continue"/>
            <w:shd w:val="clear" w:color="auto" w:fill="auto"/>
            <w:vAlign w:val="center"/>
          </w:tcPr>
          <w:p w14:paraId="75D79319">
            <w:pPr>
              <w:pStyle w:val="59"/>
              <w:bidi w:val="0"/>
              <w:ind w:firstLine="0" w:firstLineChars="0"/>
              <w:rPr>
                <w:rFonts w:hint="eastAsia" w:ascii="Times New Roman" w:hAnsi="Times New Roman" w:eastAsia="宋体" w:cs="Times New Roman"/>
                <w:kern w:val="0"/>
                <w:sz w:val="21"/>
                <w:szCs w:val="20"/>
                <w:lang w:val="en-US" w:eastAsia="zh-CN" w:bidi="ar-SA"/>
              </w:rPr>
            </w:pPr>
          </w:p>
        </w:tc>
        <w:tc>
          <w:tcPr>
            <w:tcW w:w="649" w:type="pct"/>
            <w:vAlign w:val="center"/>
          </w:tcPr>
          <w:p w14:paraId="13A9EA14">
            <w:pPr>
              <w:pStyle w:val="59"/>
              <w:bidi w:val="0"/>
              <w:rPr>
                <w:rFonts w:hint="eastAsia"/>
                <w:lang w:val="en-US" w:eastAsia="zh-CN"/>
              </w:rPr>
            </w:pPr>
            <w:r>
              <w:rPr>
                <w:rFonts w:hint="eastAsia"/>
                <w:lang w:val="en-US" w:eastAsia="zh-CN"/>
              </w:rPr>
              <w:t>1F</w:t>
            </w:r>
          </w:p>
        </w:tc>
      </w:tr>
      <w:tr w14:paraId="1C8164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1D1595CC">
            <w:pPr>
              <w:pStyle w:val="59"/>
              <w:numPr>
                <w:ilvl w:val="0"/>
                <w:numId w:val="20"/>
              </w:numPr>
              <w:bidi w:val="0"/>
              <w:ind w:left="425" w:leftChars="0" w:hanging="425" w:firstLineChars="0"/>
              <w:rPr>
                <w:lang w:val="en-US" w:eastAsia="zh-CN"/>
              </w:rPr>
            </w:pPr>
          </w:p>
        </w:tc>
        <w:tc>
          <w:tcPr>
            <w:tcW w:w="885" w:type="pct"/>
            <w:vMerge w:val="restart"/>
            <w:vAlign w:val="center"/>
          </w:tcPr>
          <w:p w14:paraId="7F1F8376">
            <w:pPr>
              <w:pStyle w:val="59"/>
              <w:bidi w:val="0"/>
              <w:rPr>
                <w:rFonts w:hint="default"/>
                <w:lang w:val="en-US" w:eastAsia="zh-CN"/>
              </w:rPr>
            </w:pPr>
            <w:r>
              <w:rPr>
                <w:rFonts w:hint="eastAsia"/>
                <w:lang w:val="en-US" w:eastAsia="zh-CN"/>
              </w:rPr>
              <w:t>印刷</w:t>
            </w:r>
          </w:p>
        </w:tc>
        <w:tc>
          <w:tcPr>
            <w:tcW w:w="885" w:type="pct"/>
            <w:vAlign w:val="center"/>
          </w:tcPr>
          <w:p w14:paraId="47F1D097">
            <w:pPr>
              <w:pStyle w:val="59"/>
              <w:bidi w:val="0"/>
            </w:pPr>
            <w:r>
              <w:rPr>
                <w:rFonts w:hint="eastAsia"/>
                <w:lang w:val="en-US" w:eastAsia="zh-CN"/>
              </w:rPr>
              <w:t>十一色印刷机</w:t>
            </w:r>
          </w:p>
        </w:tc>
        <w:tc>
          <w:tcPr>
            <w:tcW w:w="948" w:type="pct"/>
            <w:vAlign w:val="center"/>
          </w:tcPr>
          <w:p w14:paraId="7C080005">
            <w:pPr>
              <w:pStyle w:val="59"/>
              <w:bidi w:val="0"/>
              <w:rPr>
                <w:rFonts w:hint="default"/>
                <w:lang w:val="en-US"/>
              </w:rPr>
            </w:pPr>
            <w:r>
              <w:rPr>
                <w:rFonts w:hint="eastAsia"/>
                <w:lang w:val="en-US" w:eastAsia="zh-CN"/>
              </w:rPr>
              <w:t>印刷速度350m/min</w:t>
            </w:r>
          </w:p>
        </w:tc>
        <w:tc>
          <w:tcPr>
            <w:tcW w:w="538" w:type="pct"/>
            <w:vAlign w:val="center"/>
          </w:tcPr>
          <w:p w14:paraId="20078049">
            <w:pPr>
              <w:pStyle w:val="59"/>
              <w:bidi w:val="0"/>
              <w:rPr>
                <w:rFonts w:hint="eastAsia"/>
                <w:lang w:val="en-US" w:eastAsia="zh-CN"/>
              </w:rPr>
            </w:pPr>
            <w:r>
              <w:rPr>
                <w:rFonts w:hint="eastAsia"/>
                <w:lang w:val="en-US" w:eastAsia="zh-CN"/>
              </w:rPr>
              <w:t>1</w:t>
            </w:r>
          </w:p>
        </w:tc>
        <w:tc>
          <w:tcPr>
            <w:tcW w:w="701" w:type="pct"/>
            <w:vAlign w:val="center"/>
          </w:tcPr>
          <w:p w14:paraId="0CF820AB">
            <w:pPr>
              <w:pStyle w:val="59"/>
              <w:bidi w:val="0"/>
              <w:rPr>
                <w:rFonts w:hint="eastAsia"/>
                <w:lang w:eastAsia="zh-CN"/>
              </w:rPr>
            </w:pPr>
            <w:r>
              <w:rPr>
                <w:rFonts w:hint="eastAsia"/>
                <w:lang w:val="en-US" w:eastAsia="zh-CN"/>
              </w:rPr>
              <w:t>凹版印刷</w:t>
            </w:r>
          </w:p>
        </w:tc>
        <w:tc>
          <w:tcPr>
            <w:tcW w:w="649" w:type="pct"/>
            <w:vAlign w:val="center"/>
          </w:tcPr>
          <w:p w14:paraId="756D1A78">
            <w:pPr>
              <w:pStyle w:val="59"/>
              <w:bidi w:val="0"/>
              <w:rPr>
                <w:rFonts w:hint="default"/>
                <w:lang w:val="en-US" w:eastAsia="zh-CN"/>
              </w:rPr>
            </w:pPr>
            <w:r>
              <w:rPr>
                <w:rFonts w:hint="eastAsia"/>
                <w:lang w:val="en-US" w:eastAsia="zh-CN"/>
              </w:rPr>
              <w:t>1F</w:t>
            </w:r>
          </w:p>
        </w:tc>
      </w:tr>
      <w:tr w14:paraId="445C3C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1E150FC4">
            <w:pPr>
              <w:pStyle w:val="59"/>
              <w:numPr>
                <w:ilvl w:val="0"/>
                <w:numId w:val="20"/>
              </w:numPr>
              <w:bidi w:val="0"/>
              <w:ind w:left="425" w:leftChars="0" w:hanging="425" w:firstLineChars="0"/>
              <w:rPr>
                <w:lang w:val="en-US" w:eastAsia="zh-CN"/>
              </w:rPr>
            </w:pPr>
          </w:p>
        </w:tc>
        <w:tc>
          <w:tcPr>
            <w:tcW w:w="885" w:type="pct"/>
            <w:vMerge w:val="continue"/>
            <w:vAlign w:val="center"/>
          </w:tcPr>
          <w:p w14:paraId="5F44CD0D">
            <w:pPr>
              <w:pStyle w:val="59"/>
              <w:bidi w:val="0"/>
              <w:rPr>
                <w:rFonts w:hint="eastAsia"/>
                <w:lang w:val="en-US" w:eastAsia="zh-CN"/>
              </w:rPr>
            </w:pPr>
          </w:p>
        </w:tc>
        <w:tc>
          <w:tcPr>
            <w:tcW w:w="885" w:type="pct"/>
            <w:vAlign w:val="center"/>
          </w:tcPr>
          <w:p w14:paraId="6CA56118">
            <w:pPr>
              <w:pStyle w:val="59"/>
              <w:bidi w:val="0"/>
            </w:pPr>
            <w:r>
              <w:rPr>
                <w:rFonts w:hint="eastAsia"/>
                <w:lang w:val="en-US" w:eastAsia="zh-CN"/>
              </w:rPr>
              <w:t>十色印刷机</w:t>
            </w:r>
          </w:p>
        </w:tc>
        <w:tc>
          <w:tcPr>
            <w:tcW w:w="948" w:type="pct"/>
            <w:vAlign w:val="center"/>
          </w:tcPr>
          <w:p w14:paraId="0BC63127">
            <w:pPr>
              <w:pStyle w:val="59"/>
              <w:bidi w:val="0"/>
              <w:rPr>
                <w:rFonts w:hint="eastAsia"/>
                <w:lang w:val="en-US" w:eastAsia="zh-CN"/>
              </w:rPr>
            </w:pPr>
            <w:r>
              <w:rPr>
                <w:rFonts w:hint="eastAsia"/>
                <w:lang w:val="en-US" w:eastAsia="zh-CN"/>
              </w:rPr>
              <w:t>印刷速度200m/min</w:t>
            </w:r>
          </w:p>
        </w:tc>
        <w:tc>
          <w:tcPr>
            <w:tcW w:w="538" w:type="pct"/>
            <w:vAlign w:val="center"/>
          </w:tcPr>
          <w:p w14:paraId="1DB9544E">
            <w:pPr>
              <w:pStyle w:val="59"/>
              <w:bidi w:val="0"/>
              <w:rPr>
                <w:rFonts w:hint="eastAsia"/>
                <w:lang w:val="en-US" w:eastAsia="zh-CN"/>
              </w:rPr>
            </w:pPr>
            <w:r>
              <w:rPr>
                <w:rFonts w:hint="eastAsia"/>
                <w:lang w:val="en-US" w:eastAsia="zh-CN"/>
              </w:rPr>
              <w:t>1</w:t>
            </w:r>
          </w:p>
        </w:tc>
        <w:tc>
          <w:tcPr>
            <w:tcW w:w="701" w:type="pct"/>
            <w:vAlign w:val="center"/>
          </w:tcPr>
          <w:p w14:paraId="2C5808B4">
            <w:pPr>
              <w:pStyle w:val="59"/>
              <w:bidi w:val="0"/>
            </w:pPr>
            <w:r>
              <w:rPr>
                <w:rFonts w:hint="eastAsia"/>
                <w:lang w:val="en-US" w:eastAsia="zh-CN"/>
              </w:rPr>
              <w:t>凹版印刷</w:t>
            </w:r>
          </w:p>
        </w:tc>
        <w:tc>
          <w:tcPr>
            <w:tcW w:w="649" w:type="pct"/>
            <w:vAlign w:val="center"/>
          </w:tcPr>
          <w:p w14:paraId="48AACD55">
            <w:pPr>
              <w:pStyle w:val="59"/>
              <w:bidi w:val="0"/>
              <w:rPr>
                <w:rFonts w:hint="default"/>
                <w:lang w:val="en-US" w:eastAsia="zh-CN"/>
              </w:rPr>
            </w:pPr>
            <w:r>
              <w:rPr>
                <w:rFonts w:hint="eastAsia"/>
                <w:lang w:val="en-US" w:eastAsia="zh-CN"/>
              </w:rPr>
              <w:t>2F</w:t>
            </w:r>
          </w:p>
        </w:tc>
      </w:tr>
      <w:tr w14:paraId="54DCD5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702FD96E">
            <w:pPr>
              <w:pStyle w:val="59"/>
              <w:numPr>
                <w:ilvl w:val="0"/>
                <w:numId w:val="20"/>
              </w:numPr>
              <w:bidi w:val="0"/>
              <w:ind w:left="425" w:leftChars="0" w:hanging="425" w:firstLineChars="0"/>
              <w:rPr>
                <w:lang w:val="en-US" w:eastAsia="zh-CN"/>
              </w:rPr>
            </w:pPr>
          </w:p>
        </w:tc>
        <w:tc>
          <w:tcPr>
            <w:tcW w:w="885" w:type="pct"/>
            <w:vMerge w:val="restart"/>
            <w:vAlign w:val="center"/>
          </w:tcPr>
          <w:p w14:paraId="6940826E">
            <w:pPr>
              <w:pStyle w:val="59"/>
              <w:bidi w:val="0"/>
              <w:rPr>
                <w:rFonts w:hint="default"/>
                <w:lang w:val="en-US" w:eastAsia="zh-CN"/>
              </w:rPr>
            </w:pPr>
            <w:r>
              <w:rPr>
                <w:rFonts w:hint="eastAsia"/>
                <w:lang w:val="en-US" w:eastAsia="zh-CN"/>
              </w:rPr>
              <w:t>其他加工</w:t>
            </w:r>
          </w:p>
        </w:tc>
        <w:tc>
          <w:tcPr>
            <w:tcW w:w="885" w:type="pct"/>
            <w:vAlign w:val="center"/>
          </w:tcPr>
          <w:p w14:paraId="77D4E2EB">
            <w:pPr>
              <w:pStyle w:val="59"/>
              <w:bidi w:val="0"/>
            </w:pPr>
            <w:r>
              <w:rPr>
                <w:rFonts w:hint="eastAsia"/>
                <w:lang w:val="en-US" w:eastAsia="zh-CN"/>
              </w:rPr>
              <w:t>分切机</w:t>
            </w:r>
          </w:p>
        </w:tc>
        <w:tc>
          <w:tcPr>
            <w:tcW w:w="948" w:type="pct"/>
            <w:vAlign w:val="center"/>
          </w:tcPr>
          <w:p w14:paraId="22F26802">
            <w:pPr>
              <w:pStyle w:val="59"/>
              <w:bidi w:val="0"/>
            </w:pPr>
            <w:r>
              <w:rPr>
                <w:rFonts w:hint="eastAsia"/>
                <w:lang w:val="en-US" w:eastAsia="zh-CN"/>
              </w:rPr>
              <w:t>/</w:t>
            </w:r>
          </w:p>
        </w:tc>
        <w:tc>
          <w:tcPr>
            <w:tcW w:w="538" w:type="pct"/>
            <w:vAlign w:val="center"/>
          </w:tcPr>
          <w:p w14:paraId="50A0D700">
            <w:pPr>
              <w:pStyle w:val="59"/>
              <w:bidi w:val="0"/>
              <w:rPr>
                <w:rFonts w:hint="eastAsia"/>
                <w:lang w:val="en-US" w:eastAsia="zh-CN"/>
              </w:rPr>
            </w:pPr>
            <w:r>
              <w:rPr>
                <w:rFonts w:hint="eastAsia"/>
                <w:lang w:val="en-US" w:eastAsia="zh-CN"/>
              </w:rPr>
              <w:t>5</w:t>
            </w:r>
          </w:p>
        </w:tc>
        <w:tc>
          <w:tcPr>
            <w:tcW w:w="701" w:type="pct"/>
            <w:vAlign w:val="center"/>
          </w:tcPr>
          <w:p w14:paraId="5F2D2365">
            <w:pPr>
              <w:pStyle w:val="59"/>
              <w:bidi w:val="0"/>
            </w:pPr>
            <w:r>
              <w:rPr>
                <w:rFonts w:hint="eastAsia"/>
                <w:lang w:val="en-US" w:eastAsia="zh-CN"/>
              </w:rPr>
              <w:t>分切</w:t>
            </w:r>
          </w:p>
        </w:tc>
        <w:tc>
          <w:tcPr>
            <w:tcW w:w="649" w:type="pct"/>
            <w:vAlign w:val="center"/>
          </w:tcPr>
          <w:p w14:paraId="19C7EC86">
            <w:pPr>
              <w:pStyle w:val="59"/>
              <w:bidi w:val="0"/>
            </w:pPr>
            <w:r>
              <w:rPr>
                <w:rFonts w:hint="eastAsia"/>
                <w:lang w:val="en-US" w:eastAsia="zh-CN"/>
              </w:rPr>
              <w:t>2F</w:t>
            </w:r>
          </w:p>
        </w:tc>
      </w:tr>
      <w:tr w14:paraId="0C2E37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5764A07B">
            <w:pPr>
              <w:pStyle w:val="59"/>
              <w:numPr>
                <w:ilvl w:val="0"/>
                <w:numId w:val="20"/>
              </w:numPr>
              <w:bidi w:val="0"/>
              <w:ind w:left="425" w:leftChars="0" w:hanging="425" w:firstLineChars="0"/>
              <w:rPr>
                <w:lang w:val="en-US" w:eastAsia="zh-CN"/>
              </w:rPr>
            </w:pPr>
          </w:p>
        </w:tc>
        <w:tc>
          <w:tcPr>
            <w:tcW w:w="885" w:type="pct"/>
            <w:vMerge w:val="continue"/>
            <w:vAlign w:val="center"/>
          </w:tcPr>
          <w:p w14:paraId="1E4BA706">
            <w:pPr>
              <w:pStyle w:val="59"/>
              <w:bidi w:val="0"/>
              <w:rPr>
                <w:rFonts w:hint="eastAsia"/>
                <w:lang w:val="en-US" w:eastAsia="zh-CN"/>
              </w:rPr>
            </w:pPr>
          </w:p>
        </w:tc>
        <w:tc>
          <w:tcPr>
            <w:tcW w:w="885" w:type="pct"/>
            <w:vAlign w:val="center"/>
          </w:tcPr>
          <w:p w14:paraId="76A5914F">
            <w:pPr>
              <w:pStyle w:val="59"/>
              <w:bidi w:val="0"/>
              <w:rPr>
                <w:rFonts w:hint="default"/>
                <w:lang w:val="en-US" w:eastAsia="zh-CN"/>
              </w:rPr>
            </w:pPr>
            <w:r>
              <w:rPr>
                <w:rFonts w:hint="eastAsia"/>
                <w:lang w:val="en-US" w:eastAsia="zh-CN"/>
              </w:rPr>
              <w:t>胶水搅拌机</w:t>
            </w:r>
          </w:p>
        </w:tc>
        <w:tc>
          <w:tcPr>
            <w:tcW w:w="948" w:type="pct"/>
            <w:vAlign w:val="center"/>
          </w:tcPr>
          <w:p w14:paraId="404CA28D">
            <w:pPr>
              <w:pStyle w:val="59"/>
              <w:bidi w:val="0"/>
              <w:rPr>
                <w:rFonts w:hint="eastAsia"/>
                <w:lang w:val="en-US" w:eastAsia="zh-CN"/>
              </w:rPr>
            </w:pPr>
            <w:r>
              <w:rPr>
                <w:rFonts w:hint="eastAsia"/>
                <w:lang w:val="en-US" w:eastAsia="zh-CN"/>
              </w:rPr>
              <w:t>/</w:t>
            </w:r>
          </w:p>
        </w:tc>
        <w:tc>
          <w:tcPr>
            <w:tcW w:w="538" w:type="pct"/>
            <w:vAlign w:val="center"/>
          </w:tcPr>
          <w:p w14:paraId="286357B2">
            <w:pPr>
              <w:pStyle w:val="59"/>
              <w:bidi w:val="0"/>
              <w:rPr>
                <w:rFonts w:hint="default"/>
                <w:lang w:val="en-US" w:eastAsia="zh-CN"/>
              </w:rPr>
            </w:pPr>
            <w:r>
              <w:rPr>
                <w:rFonts w:hint="eastAsia"/>
                <w:lang w:val="en-US" w:eastAsia="zh-CN"/>
              </w:rPr>
              <w:t>1</w:t>
            </w:r>
          </w:p>
        </w:tc>
        <w:tc>
          <w:tcPr>
            <w:tcW w:w="701" w:type="pct"/>
            <w:vAlign w:val="center"/>
          </w:tcPr>
          <w:p w14:paraId="22BBDBF0">
            <w:pPr>
              <w:pStyle w:val="59"/>
              <w:bidi w:val="0"/>
              <w:rPr>
                <w:rFonts w:hint="default"/>
                <w:lang w:val="en-US" w:eastAsia="zh-CN"/>
              </w:rPr>
            </w:pPr>
            <w:r>
              <w:rPr>
                <w:rFonts w:hint="eastAsia"/>
                <w:lang w:val="en-US" w:eastAsia="zh-CN"/>
              </w:rPr>
              <w:t>胶水调配</w:t>
            </w:r>
          </w:p>
        </w:tc>
        <w:tc>
          <w:tcPr>
            <w:tcW w:w="649" w:type="pct"/>
            <w:vAlign w:val="center"/>
          </w:tcPr>
          <w:p w14:paraId="0B92F700">
            <w:pPr>
              <w:pStyle w:val="59"/>
              <w:bidi w:val="0"/>
              <w:rPr>
                <w:rFonts w:hint="eastAsia"/>
                <w:lang w:val="en-US" w:eastAsia="zh-CN"/>
              </w:rPr>
            </w:pPr>
            <w:r>
              <w:rPr>
                <w:rFonts w:hint="eastAsia"/>
                <w:lang w:val="en-US" w:eastAsia="zh-CN"/>
              </w:rPr>
              <w:t>1F</w:t>
            </w:r>
          </w:p>
        </w:tc>
      </w:tr>
      <w:tr w14:paraId="04245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5F1B199B">
            <w:pPr>
              <w:pStyle w:val="59"/>
              <w:numPr>
                <w:ilvl w:val="0"/>
                <w:numId w:val="20"/>
              </w:numPr>
              <w:bidi w:val="0"/>
              <w:ind w:left="425" w:leftChars="0" w:hanging="425" w:firstLineChars="0"/>
              <w:rPr>
                <w:lang w:val="en-US" w:eastAsia="zh-CN"/>
              </w:rPr>
            </w:pPr>
          </w:p>
        </w:tc>
        <w:tc>
          <w:tcPr>
            <w:tcW w:w="885" w:type="pct"/>
            <w:vMerge w:val="continue"/>
            <w:vAlign w:val="center"/>
          </w:tcPr>
          <w:p w14:paraId="02697489">
            <w:pPr>
              <w:pStyle w:val="59"/>
              <w:bidi w:val="0"/>
              <w:rPr>
                <w:rFonts w:hint="eastAsia"/>
                <w:lang w:val="en-US" w:eastAsia="zh-CN"/>
              </w:rPr>
            </w:pPr>
          </w:p>
        </w:tc>
        <w:tc>
          <w:tcPr>
            <w:tcW w:w="885" w:type="pct"/>
            <w:vAlign w:val="center"/>
          </w:tcPr>
          <w:p w14:paraId="4EE3FC91">
            <w:pPr>
              <w:pStyle w:val="59"/>
              <w:bidi w:val="0"/>
            </w:pPr>
            <w:r>
              <w:rPr>
                <w:rFonts w:hint="eastAsia"/>
                <w:lang w:val="en-US" w:eastAsia="zh-CN"/>
              </w:rPr>
              <w:t>无溶剂复合机</w:t>
            </w:r>
          </w:p>
        </w:tc>
        <w:tc>
          <w:tcPr>
            <w:tcW w:w="948" w:type="pct"/>
            <w:vAlign w:val="center"/>
          </w:tcPr>
          <w:p w14:paraId="6782B1BA">
            <w:pPr>
              <w:pStyle w:val="59"/>
              <w:bidi w:val="0"/>
            </w:pPr>
            <w:r>
              <w:rPr>
                <w:rFonts w:hint="eastAsia"/>
                <w:lang w:val="en-US" w:eastAsia="zh-CN"/>
              </w:rPr>
              <w:t>/</w:t>
            </w:r>
          </w:p>
        </w:tc>
        <w:tc>
          <w:tcPr>
            <w:tcW w:w="538" w:type="pct"/>
            <w:vAlign w:val="center"/>
          </w:tcPr>
          <w:p w14:paraId="750B95F5">
            <w:pPr>
              <w:pStyle w:val="59"/>
              <w:bidi w:val="0"/>
              <w:rPr>
                <w:rFonts w:hint="eastAsia"/>
                <w:lang w:val="en-US" w:eastAsia="zh-CN"/>
              </w:rPr>
            </w:pPr>
            <w:r>
              <w:rPr>
                <w:rFonts w:hint="eastAsia"/>
                <w:lang w:val="en-US" w:eastAsia="zh-CN"/>
              </w:rPr>
              <w:t>1</w:t>
            </w:r>
          </w:p>
        </w:tc>
        <w:tc>
          <w:tcPr>
            <w:tcW w:w="701" w:type="pct"/>
            <w:vAlign w:val="center"/>
          </w:tcPr>
          <w:p w14:paraId="67EA6982">
            <w:pPr>
              <w:pStyle w:val="59"/>
              <w:bidi w:val="0"/>
            </w:pPr>
            <w:r>
              <w:rPr>
                <w:rFonts w:hint="eastAsia"/>
                <w:lang w:val="en-US" w:eastAsia="zh-CN"/>
              </w:rPr>
              <w:t>复合</w:t>
            </w:r>
          </w:p>
        </w:tc>
        <w:tc>
          <w:tcPr>
            <w:tcW w:w="649" w:type="pct"/>
            <w:vAlign w:val="center"/>
          </w:tcPr>
          <w:p w14:paraId="774B5808">
            <w:pPr>
              <w:pStyle w:val="59"/>
              <w:bidi w:val="0"/>
            </w:pPr>
            <w:r>
              <w:rPr>
                <w:rFonts w:hint="eastAsia"/>
                <w:lang w:val="en-US" w:eastAsia="zh-CN"/>
              </w:rPr>
              <w:t>1F</w:t>
            </w:r>
          </w:p>
        </w:tc>
      </w:tr>
      <w:tr w14:paraId="48BF68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3F2E460D">
            <w:pPr>
              <w:pStyle w:val="59"/>
              <w:numPr>
                <w:ilvl w:val="0"/>
                <w:numId w:val="20"/>
              </w:numPr>
              <w:bidi w:val="0"/>
              <w:ind w:left="425" w:leftChars="0" w:hanging="425" w:firstLineChars="0"/>
              <w:rPr>
                <w:lang w:val="en-US" w:eastAsia="zh-CN"/>
              </w:rPr>
            </w:pPr>
          </w:p>
        </w:tc>
        <w:tc>
          <w:tcPr>
            <w:tcW w:w="885" w:type="pct"/>
            <w:vMerge w:val="continue"/>
            <w:vAlign w:val="center"/>
          </w:tcPr>
          <w:p w14:paraId="39C574DE">
            <w:pPr>
              <w:pStyle w:val="59"/>
              <w:bidi w:val="0"/>
              <w:rPr>
                <w:rFonts w:hint="eastAsia"/>
                <w:lang w:val="en-US" w:eastAsia="zh-CN"/>
              </w:rPr>
            </w:pPr>
          </w:p>
        </w:tc>
        <w:tc>
          <w:tcPr>
            <w:tcW w:w="885" w:type="pct"/>
            <w:vAlign w:val="center"/>
          </w:tcPr>
          <w:p w14:paraId="2C2FD01A">
            <w:pPr>
              <w:pStyle w:val="59"/>
              <w:bidi w:val="0"/>
              <w:rPr>
                <w:rFonts w:hint="eastAsia"/>
                <w:lang w:val="en-US" w:eastAsia="zh-CN"/>
              </w:rPr>
            </w:pPr>
            <w:r>
              <w:rPr>
                <w:rFonts w:hint="eastAsia"/>
              </w:rPr>
              <w:t>薄膜固化室</w:t>
            </w:r>
          </w:p>
        </w:tc>
        <w:tc>
          <w:tcPr>
            <w:tcW w:w="948" w:type="pct"/>
            <w:vAlign w:val="center"/>
          </w:tcPr>
          <w:p w14:paraId="20D90BA1">
            <w:pPr>
              <w:pStyle w:val="59"/>
              <w:bidi w:val="0"/>
            </w:pPr>
            <w:r>
              <w:rPr>
                <w:rFonts w:hint="eastAsia"/>
                <w:lang w:val="en-US" w:eastAsia="zh-CN"/>
              </w:rPr>
              <w:t>/</w:t>
            </w:r>
          </w:p>
        </w:tc>
        <w:tc>
          <w:tcPr>
            <w:tcW w:w="538" w:type="pct"/>
            <w:vAlign w:val="center"/>
          </w:tcPr>
          <w:p w14:paraId="4BE68DD9">
            <w:pPr>
              <w:pStyle w:val="59"/>
              <w:bidi w:val="0"/>
              <w:rPr>
                <w:rFonts w:hint="default"/>
                <w:lang w:val="en-US" w:eastAsia="zh-CN"/>
              </w:rPr>
            </w:pPr>
            <w:r>
              <w:rPr>
                <w:rFonts w:hint="eastAsia"/>
                <w:lang w:val="en-US" w:eastAsia="zh-CN"/>
              </w:rPr>
              <w:t>2</w:t>
            </w:r>
          </w:p>
        </w:tc>
        <w:tc>
          <w:tcPr>
            <w:tcW w:w="701" w:type="pct"/>
            <w:vAlign w:val="center"/>
          </w:tcPr>
          <w:p w14:paraId="3F17AF36">
            <w:pPr>
              <w:pStyle w:val="59"/>
              <w:bidi w:val="0"/>
              <w:rPr>
                <w:rFonts w:hint="default"/>
                <w:lang w:val="en-US" w:eastAsia="zh-CN"/>
              </w:rPr>
            </w:pPr>
            <w:r>
              <w:rPr>
                <w:rFonts w:hint="eastAsia"/>
                <w:lang w:val="en-US" w:eastAsia="zh-CN"/>
              </w:rPr>
              <w:t>熟化</w:t>
            </w:r>
          </w:p>
        </w:tc>
        <w:tc>
          <w:tcPr>
            <w:tcW w:w="649" w:type="pct"/>
            <w:vAlign w:val="center"/>
          </w:tcPr>
          <w:p w14:paraId="2F467992">
            <w:pPr>
              <w:pStyle w:val="59"/>
              <w:bidi w:val="0"/>
              <w:rPr>
                <w:rFonts w:hint="eastAsia"/>
                <w:lang w:val="en-US" w:eastAsia="zh-CN"/>
              </w:rPr>
            </w:pPr>
            <w:r>
              <w:rPr>
                <w:rFonts w:hint="eastAsia"/>
                <w:lang w:val="en-US" w:eastAsia="zh-CN"/>
              </w:rPr>
              <w:t>1F</w:t>
            </w:r>
          </w:p>
        </w:tc>
      </w:tr>
      <w:tr w14:paraId="6FB8A4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3052C1B8">
            <w:pPr>
              <w:pStyle w:val="59"/>
              <w:numPr>
                <w:ilvl w:val="0"/>
                <w:numId w:val="20"/>
              </w:numPr>
              <w:bidi w:val="0"/>
              <w:ind w:left="425" w:leftChars="0" w:hanging="425" w:firstLineChars="0"/>
              <w:rPr>
                <w:lang w:val="en-US" w:eastAsia="zh-CN"/>
              </w:rPr>
            </w:pPr>
          </w:p>
        </w:tc>
        <w:tc>
          <w:tcPr>
            <w:tcW w:w="885" w:type="pct"/>
            <w:vMerge w:val="continue"/>
            <w:vAlign w:val="center"/>
          </w:tcPr>
          <w:p w14:paraId="028ECF4C">
            <w:pPr>
              <w:pStyle w:val="59"/>
              <w:bidi w:val="0"/>
              <w:rPr>
                <w:rFonts w:hint="eastAsia"/>
                <w:lang w:val="en-US" w:eastAsia="zh-CN"/>
              </w:rPr>
            </w:pPr>
          </w:p>
        </w:tc>
        <w:tc>
          <w:tcPr>
            <w:tcW w:w="885" w:type="pct"/>
            <w:vAlign w:val="center"/>
          </w:tcPr>
          <w:p w14:paraId="225ED956">
            <w:pPr>
              <w:pStyle w:val="34"/>
              <w:keepNext w:val="0"/>
              <w:keepLines w:val="0"/>
              <w:widowControl/>
              <w:suppressLineNumbers w:val="0"/>
              <w:spacing w:before="0" w:beforeAutospacing="0" w:after="0" w:afterAutospacing="0"/>
              <w:ind w:left="0" w:right="0" w:firstLine="0"/>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品检机</w:t>
            </w:r>
          </w:p>
        </w:tc>
        <w:tc>
          <w:tcPr>
            <w:tcW w:w="948" w:type="pct"/>
            <w:vAlign w:val="center"/>
          </w:tcPr>
          <w:p w14:paraId="1F6C4292">
            <w:pPr>
              <w:pStyle w:val="59"/>
              <w:bidi w:val="0"/>
            </w:pPr>
            <w:r>
              <w:rPr>
                <w:rFonts w:hint="eastAsia"/>
                <w:lang w:val="en-US" w:eastAsia="zh-CN"/>
              </w:rPr>
              <w:t>/</w:t>
            </w:r>
          </w:p>
        </w:tc>
        <w:tc>
          <w:tcPr>
            <w:tcW w:w="538" w:type="pct"/>
            <w:vAlign w:val="center"/>
          </w:tcPr>
          <w:p w14:paraId="4A53AD01">
            <w:pPr>
              <w:pStyle w:val="59"/>
              <w:bidi w:val="0"/>
              <w:rPr>
                <w:rFonts w:hint="default"/>
                <w:lang w:val="en-US" w:eastAsia="zh-CN"/>
              </w:rPr>
            </w:pPr>
            <w:r>
              <w:rPr>
                <w:rFonts w:hint="eastAsia"/>
                <w:lang w:val="en-US" w:eastAsia="zh-CN"/>
              </w:rPr>
              <w:t>3</w:t>
            </w:r>
          </w:p>
        </w:tc>
        <w:tc>
          <w:tcPr>
            <w:tcW w:w="701" w:type="pct"/>
            <w:vAlign w:val="center"/>
          </w:tcPr>
          <w:p w14:paraId="377D2ADB">
            <w:pPr>
              <w:pStyle w:val="59"/>
              <w:bidi w:val="0"/>
              <w:rPr>
                <w:rFonts w:hint="eastAsia"/>
                <w:lang w:val="en-US" w:eastAsia="zh-CN"/>
              </w:rPr>
            </w:pPr>
            <w:r>
              <w:t>品质检验</w:t>
            </w:r>
            <w:r>
              <w:rPr>
                <w:rFonts w:hint="eastAsia"/>
                <w:lang w:val="en-US" w:eastAsia="zh-CN"/>
              </w:rPr>
              <w:t>/复检</w:t>
            </w:r>
          </w:p>
        </w:tc>
        <w:tc>
          <w:tcPr>
            <w:tcW w:w="649" w:type="pct"/>
            <w:vAlign w:val="center"/>
          </w:tcPr>
          <w:p w14:paraId="1CB63E2B">
            <w:pPr>
              <w:pStyle w:val="59"/>
              <w:bidi w:val="0"/>
              <w:rPr>
                <w:rFonts w:hint="eastAsia"/>
                <w:lang w:val="en-US" w:eastAsia="zh-CN"/>
              </w:rPr>
            </w:pPr>
            <w:r>
              <w:rPr>
                <w:rFonts w:hint="eastAsia"/>
                <w:lang w:val="en-US" w:eastAsia="zh-CN"/>
              </w:rPr>
              <w:t>1F、2F</w:t>
            </w:r>
          </w:p>
        </w:tc>
      </w:tr>
      <w:tr w14:paraId="106DAE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73A18535">
            <w:pPr>
              <w:pStyle w:val="59"/>
              <w:numPr>
                <w:ilvl w:val="0"/>
                <w:numId w:val="20"/>
              </w:numPr>
              <w:bidi w:val="0"/>
              <w:ind w:left="425" w:leftChars="0" w:hanging="425" w:firstLineChars="0"/>
              <w:rPr>
                <w:rFonts w:hint="eastAsia"/>
                <w:lang w:val="en-US" w:eastAsia="zh-CN"/>
              </w:rPr>
            </w:pPr>
          </w:p>
        </w:tc>
        <w:tc>
          <w:tcPr>
            <w:tcW w:w="885" w:type="pct"/>
            <w:vMerge w:val="continue"/>
            <w:vAlign w:val="center"/>
          </w:tcPr>
          <w:p w14:paraId="67ADA41D">
            <w:pPr>
              <w:pStyle w:val="59"/>
              <w:bidi w:val="0"/>
              <w:rPr>
                <w:rFonts w:hint="eastAsia"/>
                <w:lang w:val="en-US" w:eastAsia="zh-CN"/>
              </w:rPr>
            </w:pPr>
          </w:p>
        </w:tc>
        <w:tc>
          <w:tcPr>
            <w:tcW w:w="885" w:type="pct"/>
            <w:vAlign w:val="center"/>
          </w:tcPr>
          <w:p w14:paraId="69A9613F">
            <w:pPr>
              <w:pStyle w:val="59"/>
              <w:bidi w:val="0"/>
              <w:rPr>
                <w:rFonts w:hint="eastAsia"/>
                <w:lang w:val="en-US" w:eastAsia="zh-CN"/>
              </w:rPr>
            </w:pPr>
            <w:r>
              <w:rPr>
                <w:rFonts w:hint="eastAsia"/>
                <w:lang w:val="en-US" w:eastAsia="zh-CN"/>
              </w:rPr>
              <w:t>打孔机</w:t>
            </w:r>
          </w:p>
        </w:tc>
        <w:tc>
          <w:tcPr>
            <w:tcW w:w="948" w:type="pct"/>
            <w:vAlign w:val="center"/>
          </w:tcPr>
          <w:p w14:paraId="7749F49C">
            <w:pPr>
              <w:pStyle w:val="59"/>
              <w:bidi w:val="0"/>
              <w:rPr>
                <w:rFonts w:hint="eastAsia"/>
                <w:lang w:val="en-US" w:eastAsia="zh-CN"/>
              </w:rPr>
            </w:pPr>
            <w:r>
              <w:rPr>
                <w:rFonts w:hint="eastAsia"/>
                <w:lang w:val="en-US" w:eastAsia="zh-CN"/>
              </w:rPr>
              <w:t>/</w:t>
            </w:r>
          </w:p>
        </w:tc>
        <w:tc>
          <w:tcPr>
            <w:tcW w:w="538" w:type="pct"/>
            <w:vAlign w:val="center"/>
          </w:tcPr>
          <w:p w14:paraId="2EC0D4CF">
            <w:pPr>
              <w:pStyle w:val="59"/>
              <w:bidi w:val="0"/>
              <w:rPr>
                <w:rFonts w:hint="default"/>
                <w:lang w:val="en-US" w:eastAsia="zh-CN"/>
              </w:rPr>
            </w:pPr>
            <w:r>
              <w:rPr>
                <w:rFonts w:hint="eastAsia"/>
                <w:lang w:val="en-US" w:eastAsia="zh-CN"/>
              </w:rPr>
              <w:t>1</w:t>
            </w:r>
          </w:p>
        </w:tc>
        <w:tc>
          <w:tcPr>
            <w:tcW w:w="701" w:type="pct"/>
            <w:vAlign w:val="center"/>
          </w:tcPr>
          <w:p w14:paraId="1C0EAE0C">
            <w:pPr>
              <w:pStyle w:val="59"/>
              <w:bidi w:val="0"/>
              <w:rPr>
                <w:rFonts w:hint="eastAsia"/>
                <w:lang w:val="en-US" w:eastAsia="zh-CN"/>
              </w:rPr>
            </w:pPr>
            <w:r>
              <w:rPr>
                <w:rFonts w:hint="eastAsia"/>
                <w:lang w:val="en-US" w:eastAsia="zh-CN"/>
              </w:rPr>
              <w:t>打孔</w:t>
            </w:r>
          </w:p>
        </w:tc>
        <w:tc>
          <w:tcPr>
            <w:tcW w:w="649" w:type="pct"/>
            <w:vAlign w:val="center"/>
          </w:tcPr>
          <w:p w14:paraId="1C11D213">
            <w:pPr>
              <w:pStyle w:val="59"/>
              <w:bidi w:val="0"/>
              <w:rPr>
                <w:lang w:val="en-US" w:eastAsia="zh-CN"/>
              </w:rPr>
            </w:pPr>
            <w:r>
              <w:rPr>
                <w:rFonts w:hint="eastAsia"/>
                <w:lang w:val="en-US" w:eastAsia="zh-CN"/>
              </w:rPr>
              <w:t>2F</w:t>
            </w:r>
          </w:p>
        </w:tc>
      </w:tr>
      <w:tr w14:paraId="6A4DA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58C4538B">
            <w:pPr>
              <w:pStyle w:val="59"/>
              <w:numPr>
                <w:ilvl w:val="0"/>
                <w:numId w:val="20"/>
              </w:numPr>
              <w:bidi w:val="0"/>
              <w:ind w:left="425" w:leftChars="0" w:hanging="425" w:firstLineChars="0"/>
              <w:rPr>
                <w:rFonts w:hint="eastAsia"/>
              </w:rPr>
            </w:pPr>
          </w:p>
        </w:tc>
        <w:tc>
          <w:tcPr>
            <w:tcW w:w="885" w:type="pct"/>
            <w:vMerge w:val="continue"/>
            <w:vAlign w:val="center"/>
          </w:tcPr>
          <w:p w14:paraId="1B5F2147">
            <w:pPr>
              <w:pStyle w:val="59"/>
              <w:bidi w:val="0"/>
              <w:rPr>
                <w:rFonts w:hint="default" w:ascii="Times New Roman" w:hAnsi="Times New Roman" w:cs="Times New Roman"/>
                <w:color w:val="auto"/>
                <w:szCs w:val="28"/>
                <w:u w:val="none" w:color="auto"/>
              </w:rPr>
            </w:pPr>
          </w:p>
        </w:tc>
        <w:tc>
          <w:tcPr>
            <w:tcW w:w="885" w:type="pct"/>
            <w:vAlign w:val="center"/>
          </w:tcPr>
          <w:p w14:paraId="20E47294">
            <w:pPr>
              <w:pStyle w:val="59"/>
              <w:bidi w:val="0"/>
              <w:rPr>
                <w:rFonts w:hint="default" w:eastAsia="宋体"/>
                <w:lang w:val="en-US" w:eastAsia="zh-CN"/>
              </w:rPr>
            </w:pPr>
            <w:r>
              <w:rPr>
                <w:rFonts w:hint="eastAsia"/>
                <w:lang w:val="en-US" w:eastAsia="zh-CN"/>
              </w:rPr>
              <w:t>合掌机</w:t>
            </w:r>
          </w:p>
        </w:tc>
        <w:tc>
          <w:tcPr>
            <w:tcW w:w="948" w:type="pct"/>
            <w:vAlign w:val="center"/>
          </w:tcPr>
          <w:p w14:paraId="5E11758C">
            <w:pPr>
              <w:pStyle w:val="59"/>
              <w:bidi w:val="0"/>
              <w:rPr>
                <w:rFonts w:hint="eastAsia"/>
                <w:lang w:val="en-US" w:eastAsia="zh-CN"/>
              </w:rPr>
            </w:pPr>
            <w:r>
              <w:rPr>
                <w:rFonts w:hint="eastAsia"/>
                <w:lang w:val="en-US" w:eastAsia="zh-CN"/>
              </w:rPr>
              <w:t>/</w:t>
            </w:r>
          </w:p>
        </w:tc>
        <w:tc>
          <w:tcPr>
            <w:tcW w:w="538" w:type="pct"/>
            <w:vAlign w:val="center"/>
          </w:tcPr>
          <w:p w14:paraId="6FA08A5E">
            <w:pPr>
              <w:pStyle w:val="59"/>
              <w:bidi w:val="0"/>
              <w:rPr>
                <w:rFonts w:hint="default"/>
                <w:lang w:val="en-US" w:eastAsia="zh-CN"/>
              </w:rPr>
            </w:pPr>
            <w:r>
              <w:rPr>
                <w:rFonts w:hint="eastAsia"/>
                <w:lang w:val="en-US" w:eastAsia="zh-CN"/>
              </w:rPr>
              <w:t>5</w:t>
            </w:r>
          </w:p>
        </w:tc>
        <w:tc>
          <w:tcPr>
            <w:tcW w:w="701" w:type="pct"/>
            <w:vAlign w:val="center"/>
          </w:tcPr>
          <w:p w14:paraId="6C16D493">
            <w:pPr>
              <w:pStyle w:val="59"/>
              <w:bidi w:val="0"/>
              <w:rPr>
                <w:rFonts w:hint="eastAsia"/>
                <w:lang w:val="en-US" w:eastAsia="zh-CN"/>
              </w:rPr>
            </w:pPr>
            <w:r>
              <w:rPr>
                <w:rFonts w:hint="eastAsia"/>
                <w:lang w:val="en-US" w:eastAsia="zh-CN"/>
              </w:rPr>
              <w:t>合掌</w:t>
            </w:r>
          </w:p>
        </w:tc>
        <w:tc>
          <w:tcPr>
            <w:tcW w:w="649" w:type="pct"/>
            <w:vAlign w:val="center"/>
          </w:tcPr>
          <w:p w14:paraId="46812B53">
            <w:pPr>
              <w:pStyle w:val="59"/>
              <w:bidi w:val="0"/>
              <w:rPr>
                <w:lang w:val="en-US" w:eastAsia="zh-CN"/>
              </w:rPr>
            </w:pPr>
            <w:r>
              <w:rPr>
                <w:rFonts w:hint="eastAsia"/>
                <w:lang w:val="en-US" w:eastAsia="zh-CN"/>
              </w:rPr>
              <w:t>2F</w:t>
            </w:r>
          </w:p>
        </w:tc>
      </w:tr>
      <w:tr w14:paraId="645355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1" w:type="pct"/>
            <w:vAlign w:val="center"/>
          </w:tcPr>
          <w:p w14:paraId="5EC59BBD">
            <w:pPr>
              <w:pStyle w:val="59"/>
              <w:numPr>
                <w:ilvl w:val="0"/>
                <w:numId w:val="20"/>
              </w:numPr>
              <w:bidi w:val="0"/>
              <w:ind w:left="425" w:leftChars="0" w:hanging="425" w:firstLineChars="0"/>
              <w:rPr>
                <w:rFonts w:hint="eastAsia"/>
              </w:rPr>
            </w:pPr>
          </w:p>
        </w:tc>
        <w:tc>
          <w:tcPr>
            <w:tcW w:w="885" w:type="pct"/>
            <w:vMerge w:val="continue"/>
            <w:vAlign w:val="center"/>
          </w:tcPr>
          <w:p w14:paraId="744191CD">
            <w:pPr>
              <w:pStyle w:val="59"/>
              <w:bidi w:val="0"/>
              <w:rPr>
                <w:rFonts w:hint="default" w:ascii="Times New Roman" w:hAnsi="Times New Roman" w:cs="Times New Roman"/>
                <w:color w:val="auto"/>
                <w:szCs w:val="28"/>
                <w:u w:val="none" w:color="auto"/>
              </w:rPr>
            </w:pPr>
          </w:p>
        </w:tc>
        <w:tc>
          <w:tcPr>
            <w:tcW w:w="885" w:type="pct"/>
            <w:vAlign w:val="center"/>
          </w:tcPr>
          <w:p w14:paraId="466753F3">
            <w:pPr>
              <w:pStyle w:val="59"/>
              <w:bidi w:val="0"/>
              <w:rPr>
                <w:rFonts w:hint="default"/>
                <w:lang w:val="en-US" w:eastAsia="zh-CN"/>
              </w:rPr>
            </w:pPr>
            <w:r>
              <w:rPr>
                <w:rFonts w:hint="eastAsia"/>
                <w:lang w:val="en-US" w:eastAsia="zh-CN"/>
              </w:rPr>
              <w:t>PVC定型机</w:t>
            </w:r>
          </w:p>
        </w:tc>
        <w:tc>
          <w:tcPr>
            <w:tcW w:w="948" w:type="pct"/>
            <w:vAlign w:val="center"/>
          </w:tcPr>
          <w:p w14:paraId="444542CD">
            <w:pPr>
              <w:pStyle w:val="59"/>
              <w:bidi w:val="0"/>
              <w:rPr>
                <w:rFonts w:hint="eastAsia"/>
                <w:lang w:val="en-US" w:eastAsia="zh-CN"/>
              </w:rPr>
            </w:pPr>
            <w:r>
              <w:rPr>
                <w:rFonts w:hint="eastAsia"/>
                <w:lang w:val="en-US" w:eastAsia="zh-CN"/>
              </w:rPr>
              <w:t>/</w:t>
            </w:r>
          </w:p>
        </w:tc>
        <w:tc>
          <w:tcPr>
            <w:tcW w:w="538" w:type="pct"/>
            <w:vAlign w:val="center"/>
          </w:tcPr>
          <w:p w14:paraId="27633EA0">
            <w:pPr>
              <w:pStyle w:val="59"/>
              <w:bidi w:val="0"/>
              <w:rPr>
                <w:rFonts w:hint="default"/>
                <w:lang w:val="en-US" w:eastAsia="zh-CN"/>
              </w:rPr>
            </w:pPr>
            <w:r>
              <w:rPr>
                <w:rFonts w:hint="eastAsia"/>
                <w:lang w:val="en-US" w:eastAsia="zh-CN"/>
              </w:rPr>
              <w:t>5</w:t>
            </w:r>
          </w:p>
        </w:tc>
        <w:tc>
          <w:tcPr>
            <w:tcW w:w="701" w:type="pct"/>
            <w:vAlign w:val="center"/>
          </w:tcPr>
          <w:p w14:paraId="5AA0E019">
            <w:pPr>
              <w:pStyle w:val="59"/>
              <w:bidi w:val="0"/>
              <w:rPr>
                <w:rFonts w:hint="eastAsia"/>
                <w:lang w:val="en-US" w:eastAsia="zh-CN"/>
              </w:rPr>
            </w:pPr>
            <w:r>
              <w:rPr>
                <w:rFonts w:hint="eastAsia"/>
                <w:lang w:val="en-US" w:eastAsia="zh-CN"/>
              </w:rPr>
              <w:t>定型</w:t>
            </w:r>
          </w:p>
        </w:tc>
        <w:tc>
          <w:tcPr>
            <w:tcW w:w="649" w:type="pct"/>
            <w:vAlign w:val="center"/>
          </w:tcPr>
          <w:p w14:paraId="0083FCE8">
            <w:pPr>
              <w:pStyle w:val="59"/>
              <w:bidi w:val="0"/>
              <w:rPr>
                <w:rFonts w:hint="eastAsia"/>
                <w:lang w:val="en-US" w:eastAsia="zh-CN"/>
              </w:rPr>
            </w:pPr>
            <w:r>
              <w:rPr>
                <w:rFonts w:hint="eastAsia"/>
                <w:lang w:val="en-US" w:eastAsia="zh-CN"/>
              </w:rPr>
              <w:t>2F</w:t>
            </w:r>
          </w:p>
        </w:tc>
      </w:tr>
    </w:tbl>
    <w:p w14:paraId="0CE8BB10">
      <w:pPr>
        <w:keepNext w:val="0"/>
        <w:keepLines w:val="0"/>
        <w:pageBreakBefore w:val="0"/>
        <w:widowControl w:val="0"/>
        <w:kinsoku/>
        <w:wordWrap/>
        <w:overflowPunct/>
        <w:topLinePunct w:val="0"/>
        <w:autoSpaceDE/>
        <w:autoSpaceDN/>
        <w:bidi w:val="0"/>
        <w:adjustRightInd/>
        <w:snapToGrid/>
        <w:spacing w:before="157" w:beforeLines="50"/>
        <w:textAlignment w:val="auto"/>
      </w:pPr>
      <w:r>
        <w:rPr>
          <w:rFonts w:hint="eastAsia"/>
          <w:lang w:val="en-US" w:eastAsia="zh-CN"/>
        </w:rPr>
        <w:t>1、</w:t>
      </w:r>
      <w:r>
        <w:rPr>
          <w:lang w:val="en-US" w:eastAsia="zh-CN"/>
        </w:rPr>
        <w:t xml:space="preserve">印刷机设计产能可按以下公式进行核算： </w:t>
      </w:r>
    </w:p>
    <w:p w14:paraId="375E3EA2">
      <w:pPr>
        <w:bidi w:val="0"/>
      </w:pPr>
      <w:r>
        <w:rPr>
          <w:rFonts w:hint="default"/>
          <w:lang w:val="en-US" w:eastAsia="zh-CN"/>
        </w:rPr>
        <w:t xml:space="preserve">P=60×S×V×T </w:t>
      </w:r>
    </w:p>
    <w:p w14:paraId="0473C1B2">
      <w:pPr>
        <w:bidi w:val="0"/>
      </w:pPr>
      <w:r>
        <w:rPr>
          <w:lang w:val="en-US" w:eastAsia="zh-CN"/>
        </w:rPr>
        <w:t>公式中：</w:t>
      </w:r>
      <w:r>
        <w:rPr>
          <w:rFonts w:hint="default"/>
          <w:lang w:val="en-US" w:eastAsia="zh-CN"/>
        </w:rPr>
        <w:t>P——</w:t>
      </w:r>
      <w:r>
        <w:rPr>
          <w:lang w:val="en-US" w:eastAsia="zh-CN"/>
        </w:rPr>
        <w:t>印刷机设计产能，</w:t>
      </w:r>
      <w:r>
        <w:rPr>
          <w:rFonts w:hint="default"/>
          <w:lang w:val="en-US" w:eastAsia="zh-CN"/>
        </w:rPr>
        <w:t>m</w:t>
      </w:r>
      <w:r>
        <w:rPr>
          <w:rFonts w:hint="default"/>
          <w:vertAlign w:val="superscript"/>
          <w:lang w:val="en-US" w:eastAsia="zh-CN"/>
        </w:rPr>
        <w:t>2</w:t>
      </w:r>
      <w:r>
        <w:rPr>
          <w:rFonts w:hint="default"/>
          <w:lang w:val="en-US" w:eastAsia="zh-CN"/>
        </w:rPr>
        <w:t xml:space="preserve"> /a</w:t>
      </w:r>
      <w:r>
        <w:rPr>
          <w:lang w:val="en-US" w:eastAsia="zh-CN"/>
        </w:rPr>
        <w:t xml:space="preserve">； </w:t>
      </w:r>
    </w:p>
    <w:p w14:paraId="63270474">
      <w:pPr>
        <w:bidi w:val="0"/>
      </w:pPr>
      <w:r>
        <w:rPr>
          <w:rFonts w:hint="default"/>
          <w:lang w:val="en-US" w:eastAsia="zh-CN"/>
        </w:rPr>
        <w:t>S——</w:t>
      </w:r>
      <w:r>
        <w:rPr>
          <w:lang w:val="en-US" w:eastAsia="zh-CN"/>
        </w:rPr>
        <w:t>印刷面积，</w:t>
      </w:r>
      <w:r>
        <w:rPr>
          <w:rFonts w:hint="default"/>
          <w:lang w:val="en-US" w:eastAsia="zh-CN"/>
        </w:rPr>
        <w:t>m</w:t>
      </w:r>
      <w:r>
        <w:rPr>
          <w:rFonts w:hint="default"/>
          <w:vertAlign w:val="superscript"/>
          <w:lang w:val="en-US" w:eastAsia="zh-CN"/>
        </w:rPr>
        <w:t>2</w:t>
      </w:r>
      <w:r>
        <w:rPr>
          <w:lang w:val="en-US" w:eastAsia="zh-CN"/>
        </w:rPr>
        <w:t xml:space="preserve">； </w:t>
      </w:r>
      <w:r>
        <w:t xml:space="preserve">产品宽度为 </w:t>
      </w:r>
      <w:r>
        <w:rPr>
          <w:rFonts w:hint="eastAsia"/>
          <w:lang w:val="en-US" w:eastAsia="zh-CN"/>
        </w:rPr>
        <w:t>4</w:t>
      </w:r>
      <w:r>
        <w:t>00~</w:t>
      </w:r>
      <w:r>
        <w:rPr>
          <w:rFonts w:hint="eastAsia"/>
          <w:lang w:val="en-US" w:eastAsia="zh-CN"/>
        </w:rPr>
        <w:t>8</w:t>
      </w:r>
      <w:r>
        <w:t>00mm，按宽度为600mm 计。</w:t>
      </w:r>
    </w:p>
    <w:p w14:paraId="73EEFB89">
      <w:pPr>
        <w:bidi w:val="0"/>
      </w:pPr>
      <w:r>
        <w:rPr>
          <w:rFonts w:hint="default"/>
          <w:lang w:val="en-US" w:eastAsia="zh-CN"/>
        </w:rPr>
        <w:t>V——</w:t>
      </w:r>
      <w:r>
        <w:rPr>
          <w:lang w:val="en-US" w:eastAsia="zh-CN"/>
        </w:rPr>
        <w:t>印刷速度，印次</w:t>
      </w:r>
      <w:r>
        <w:rPr>
          <w:rFonts w:hint="default"/>
          <w:lang w:val="en-US" w:eastAsia="zh-CN"/>
        </w:rPr>
        <w:t>/min</w:t>
      </w:r>
      <w:r>
        <w:rPr>
          <w:lang w:val="en-US" w:eastAsia="zh-CN"/>
        </w:rPr>
        <w:t>；不同的印刷方式，其印刷速度的计量方式可根据实际调整</w:t>
      </w:r>
      <w:r>
        <w:rPr>
          <w:rFonts w:hint="eastAsia"/>
          <w:lang w:val="en-US" w:eastAsia="zh-CN"/>
        </w:rPr>
        <w:t>，实际印刷速度按机器的最大速度的30%计</w:t>
      </w:r>
      <w:r>
        <w:rPr>
          <w:lang w:val="en-US" w:eastAsia="zh-CN"/>
        </w:rPr>
        <w:t xml:space="preserve">。 </w:t>
      </w:r>
    </w:p>
    <w:p w14:paraId="574A5766">
      <w:pPr>
        <w:bidi w:val="0"/>
      </w:pPr>
      <w:r>
        <w:rPr>
          <w:rFonts w:hint="default"/>
          <w:lang w:val="en-US" w:eastAsia="zh-CN"/>
        </w:rPr>
        <w:t>T——</w:t>
      </w:r>
      <w:r>
        <w:rPr>
          <w:lang w:val="en-US" w:eastAsia="zh-CN"/>
        </w:rPr>
        <w:t>年生产时间，</w:t>
      </w:r>
      <w:r>
        <w:rPr>
          <w:rFonts w:hint="default"/>
          <w:lang w:val="en-US" w:eastAsia="zh-CN"/>
        </w:rPr>
        <w:t>h/a</w:t>
      </w:r>
      <w:r>
        <w:rPr>
          <w:lang w:val="en-US" w:eastAsia="zh-CN"/>
        </w:rPr>
        <w:t>。</w:t>
      </w:r>
    </w:p>
    <w:p w14:paraId="317DCC74">
      <w:pPr>
        <w:pStyle w:val="62"/>
        <w:bidi w:val="0"/>
      </w:pPr>
      <w:r>
        <w:rPr>
          <w:rFonts w:hint="eastAsia"/>
          <w:lang w:val="en-US" w:eastAsia="zh-CN"/>
        </w:rPr>
        <w:t xml:space="preserve">表2.4-2  </w:t>
      </w:r>
      <w:r>
        <w:t>项目印刷设备产能核算一览表</w:t>
      </w:r>
    </w:p>
    <w:tbl>
      <w:tblPr>
        <w:tblStyle w:val="105"/>
        <w:tblW w:w="9248" w:type="dxa"/>
        <w:tblInd w:w="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924"/>
        <w:gridCol w:w="924"/>
        <w:gridCol w:w="924"/>
        <w:gridCol w:w="924"/>
        <w:gridCol w:w="924"/>
        <w:gridCol w:w="924"/>
        <w:gridCol w:w="924"/>
        <w:gridCol w:w="924"/>
        <w:gridCol w:w="932"/>
      </w:tblGrid>
      <w:tr w14:paraId="5ED24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24" w:type="dxa"/>
            <w:tcBorders>
              <w:top w:val="single" w:color="000000" w:sz="12" w:space="0"/>
              <w:left w:val="nil"/>
              <w:bottom w:val="single" w:color="auto" w:sz="4" w:space="0"/>
              <w:right w:val="single" w:color="auto" w:sz="4" w:space="0"/>
              <w:tl2br w:val="nil"/>
            </w:tcBorders>
            <w:shd w:val="clear" w:color="auto" w:fill="FFFFFF"/>
            <w:vAlign w:val="center"/>
          </w:tcPr>
          <w:p w14:paraId="6C589CBA">
            <w:pPr>
              <w:pStyle w:val="59"/>
              <w:bidi w:val="0"/>
              <w:jc w:val="center"/>
              <w:rPr>
                <w:b w:val="0"/>
                <w:color w:val="000000"/>
              </w:rPr>
            </w:pPr>
            <w:r>
              <w:rPr>
                <w:b w:val="0"/>
                <w:color w:val="000000"/>
              </w:rPr>
              <w:t>设备名称</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4A4922C5">
            <w:pPr>
              <w:pStyle w:val="59"/>
              <w:bidi w:val="0"/>
              <w:jc w:val="center"/>
              <w:rPr>
                <w:b w:val="0"/>
                <w:color w:val="000000"/>
              </w:rPr>
            </w:pPr>
            <w:r>
              <w:rPr>
                <w:b w:val="0"/>
                <w:color w:val="000000"/>
              </w:rPr>
              <w:t>印刷宽度（m)</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4AE575E8">
            <w:pPr>
              <w:pStyle w:val="59"/>
              <w:bidi w:val="0"/>
              <w:jc w:val="center"/>
              <w:rPr>
                <w:b w:val="0"/>
                <w:color w:val="000000"/>
              </w:rPr>
            </w:pPr>
            <w:r>
              <w:rPr>
                <w:b w:val="0"/>
                <w:color w:val="000000"/>
              </w:rPr>
              <w:t>印刷速度（</w:t>
            </w:r>
            <w:r>
              <w:rPr>
                <w:rFonts w:hint="eastAsia"/>
                <w:b w:val="0"/>
                <w:color w:val="000000"/>
                <w:lang w:val="en-US" w:eastAsia="zh-CN"/>
              </w:rPr>
              <w:t>m</w:t>
            </w:r>
            <w:r>
              <w:rPr>
                <w:b w:val="0"/>
                <w:color w:val="000000"/>
              </w:rPr>
              <w:t>/min）</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1AE7A802">
            <w:pPr>
              <w:pStyle w:val="59"/>
              <w:bidi w:val="0"/>
              <w:jc w:val="center"/>
              <w:rPr>
                <w:b w:val="0"/>
                <w:color w:val="000000"/>
              </w:rPr>
            </w:pPr>
            <w:r>
              <w:rPr>
                <w:b w:val="0"/>
                <w:color w:val="000000"/>
              </w:rPr>
              <w:t>设备数量（台)</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18E91D41">
            <w:pPr>
              <w:pStyle w:val="59"/>
              <w:bidi w:val="0"/>
              <w:jc w:val="center"/>
              <w:rPr>
                <w:b w:val="0"/>
                <w:color w:val="000000"/>
              </w:rPr>
            </w:pPr>
            <w:r>
              <w:rPr>
                <w:b w:val="0"/>
                <w:color w:val="000000"/>
              </w:rPr>
              <w:t>印刷时间（h/a)</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4C418AD8">
            <w:pPr>
              <w:pStyle w:val="59"/>
              <w:bidi w:val="0"/>
              <w:jc w:val="center"/>
              <w:rPr>
                <w:b w:val="0"/>
                <w:color w:val="000000"/>
              </w:rPr>
            </w:pPr>
            <w:r>
              <w:rPr>
                <w:b w:val="0"/>
                <w:color w:val="000000"/>
              </w:rPr>
              <w:t>印刷方式</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1F09639E">
            <w:pPr>
              <w:pStyle w:val="59"/>
              <w:bidi w:val="0"/>
              <w:jc w:val="center"/>
              <w:rPr>
                <w:b w:val="0"/>
                <w:color w:val="000000"/>
              </w:rPr>
            </w:pPr>
            <w:r>
              <w:rPr>
                <w:b w:val="0"/>
                <w:color w:val="000000"/>
              </w:rPr>
              <w:t>设计产能（</w:t>
            </w:r>
            <w:r>
              <w:rPr>
                <w:rFonts w:hint="default"/>
                <w:b w:val="0"/>
                <w:color w:val="000000"/>
                <w:lang w:val="en-US" w:eastAsia="zh-CN"/>
              </w:rPr>
              <w:t>m</w:t>
            </w:r>
            <w:r>
              <w:rPr>
                <w:rFonts w:hint="default"/>
                <w:b w:val="0"/>
                <w:color w:val="000000"/>
                <w:vertAlign w:val="superscript"/>
                <w:lang w:val="en-US" w:eastAsia="zh-CN"/>
              </w:rPr>
              <w:t>2</w:t>
            </w:r>
            <w:r>
              <w:rPr>
                <w:b w:val="0"/>
                <w:color w:val="000000"/>
              </w:rPr>
              <w:t>/a）</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7FFE8F11">
            <w:pPr>
              <w:pStyle w:val="59"/>
              <w:bidi w:val="0"/>
              <w:jc w:val="center"/>
              <w:rPr>
                <w:b w:val="0"/>
                <w:color w:val="000000"/>
              </w:rPr>
            </w:pPr>
            <w:r>
              <w:rPr>
                <w:b w:val="0"/>
                <w:color w:val="000000"/>
              </w:rPr>
              <w:t>本项目报批生产能力（</w:t>
            </w:r>
            <w:r>
              <w:rPr>
                <w:rFonts w:hint="default"/>
                <w:b w:val="0"/>
                <w:color w:val="000000"/>
                <w:lang w:val="en-US" w:eastAsia="zh-CN"/>
              </w:rPr>
              <w:t>m</w:t>
            </w:r>
            <w:r>
              <w:rPr>
                <w:rFonts w:hint="default"/>
                <w:b w:val="0"/>
                <w:color w:val="000000"/>
                <w:vertAlign w:val="superscript"/>
                <w:lang w:val="en-US" w:eastAsia="zh-CN"/>
              </w:rPr>
              <w:t>2</w:t>
            </w:r>
            <w:r>
              <w:rPr>
                <w:b w:val="0"/>
                <w:color w:val="000000"/>
              </w:rPr>
              <w:t>/a）</w:t>
            </w:r>
          </w:p>
        </w:tc>
        <w:tc>
          <w:tcPr>
            <w:tcW w:w="924" w:type="dxa"/>
            <w:tcBorders>
              <w:top w:val="single" w:color="000000" w:sz="12" w:space="0"/>
              <w:left w:val="single" w:color="auto" w:sz="4" w:space="0"/>
              <w:bottom w:val="single" w:color="auto" w:sz="4" w:space="0"/>
              <w:right w:val="single" w:color="auto" w:sz="4" w:space="0"/>
            </w:tcBorders>
            <w:shd w:val="clear" w:color="auto" w:fill="FFFFFF"/>
            <w:vAlign w:val="center"/>
          </w:tcPr>
          <w:p w14:paraId="493F56E8">
            <w:pPr>
              <w:pStyle w:val="59"/>
              <w:bidi w:val="0"/>
              <w:jc w:val="center"/>
              <w:rPr>
                <w:b w:val="0"/>
                <w:color w:val="000000"/>
              </w:rPr>
            </w:pPr>
            <w:r>
              <w:rPr>
                <w:b w:val="0"/>
                <w:color w:val="000000"/>
              </w:rPr>
              <w:t>产能利用率</w:t>
            </w:r>
          </w:p>
        </w:tc>
        <w:tc>
          <w:tcPr>
            <w:tcW w:w="932" w:type="dxa"/>
            <w:tcBorders>
              <w:top w:val="single" w:color="000000" w:sz="12" w:space="0"/>
              <w:left w:val="single" w:color="auto" w:sz="4" w:space="0"/>
              <w:bottom w:val="single" w:color="auto" w:sz="4" w:space="0"/>
              <w:right w:val="nil"/>
            </w:tcBorders>
            <w:shd w:val="clear" w:color="auto" w:fill="FFFFFF"/>
            <w:vAlign w:val="center"/>
          </w:tcPr>
          <w:p w14:paraId="36DFD615">
            <w:pPr>
              <w:pStyle w:val="59"/>
              <w:bidi w:val="0"/>
              <w:jc w:val="center"/>
              <w:rPr>
                <w:b w:val="0"/>
                <w:color w:val="000000"/>
              </w:rPr>
            </w:pPr>
            <w:r>
              <w:rPr>
                <w:b w:val="0"/>
                <w:color w:val="000000"/>
              </w:rPr>
              <w:t>是否匹配</w:t>
            </w:r>
          </w:p>
        </w:tc>
      </w:tr>
      <w:tr w14:paraId="14E24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24" w:type="dxa"/>
            <w:tcBorders>
              <w:top w:val="single" w:color="auto" w:sz="4" w:space="0"/>
              <w:left w:val="nil"/>
              <w:bottom w:val="single" w:color="auto" w:sz="4" w:space="0"/>
              <w:right w:val="single" w:color="auto" w:sz="4" w:space="0"/>
            </w:tcBorders>
            <w:shd w:val="clear" w:color="auto" w:fill="FFFFFF"/>
            <w:vAlign w:val="center"/>
          </w:tcPr>
          <w:p w14:paraId="68B7B282">
            <w:pPr>
              <w:pStyle w:val="59"/>
              <w:bidi w:val="0"/>
              <w:jc w:val="center"/>
              <w:rPr>
                <w:lang w:val="en-US" w:eastAsia="zh-CN"/>
              </w:rPr>
            </w:pPr>
            <w:r>
              <w:rPr>
                <w:rFonts w:hint="eastAsia"/>
                <w:lang w:val="en-US" w:eastAsia="zh-CN"/>
              </w:rPr>
              <w:t>十一色印刷机</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1590A9C1">
            <w:pPr>
              <w:pStyle w:val="59"/>
              <w:bidi w:val="0"/>
              <w:jc w:val="center"/>
            </w:pPr>
            <w:r>
              <w:rPr>
                <w:rFonts w:hint="default"/>
                <w:lang w:val="en-US" w:eastAsia="zh-CN"/>
              </w:rPr>
              <w:t>0.6</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335FECFF">
            <w:pPr>
              <w:pStyle w:val="59"/>
              <w:bidi w:val="0"/>
              <w:jc w:val="center"/>
              <w:rPr>
                <w:rFonts w:hint="default"/>
                <w:lang w:val="en-US" w:eastAsia="zh-CN"/>
              </w:rPr>
            </w:pPr>
            <w:r>
              <w:rPr>
                <w:rFonts w:hint="default"/>
                <w:lang w:val="en-US" w:eastAsia="zh-CN"/>
              </w:rPr>
              <w:t>105</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41BA9F55">
            <w:pPr>
              <w:pStyle w:val="59"/>
              <w:bidi w:val="0"/>
              <w:jc w:val="center"/>
              <w:rPr>
                <w:rFonts w:hint="eastAsia"/>
                <w:lang w:eastAsia="zh-CN"/>
              </w:rPr>
            </w:pPr>
            <w:r>
              <w:rPr>
                <w:rFonts w:hint="default"/>
                <w:lang w:val="en-US" w:eastAsia="zh-CN"/>
              </w:rPr>
              <w:t>1</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28F63F6A">
            <w:pPr>
              <w:pStyle w:val="59"/>
              <w:bidi w:val="0"/>
              <w:jc w:val="center"/>
            </w:pPr>
            <w:r>
              <w:rPr>
                <w:rFonts w:hint="default"/>
                <w:lang w:val="en-US" w:eastAsia="zh-CN"/>
              </w:rPr>
              <w:t>2400</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40E8439">
            <w:pPr>
              <w:pStyle w:val="59"/>
              <w:bidi w:val="0"/>
              <w:jc w:val="center"/>
            </w:pPr>
            <w:r>
              <w:rPr>
                <w:rFonts w:hint="eastAsia"/>
                <w:lang w:val="en-US" w:eastAsia="zh-CN"/>
              </w:rPr>
              <w:t>凹版</w:t>
            </w:r>
          </w:p>
        </w:tc>
        <w:tc>
          <w:tcPr>
            <w:tcW w:w="924" w:type="dxa"/>
            <w:tcBorders>
              <w:top w:val="single" w:color="auto" w:sz="4" w:space="0"/>
              <w:left w:val="single" w:color="auto" w:sz="4" w:space="0"/>
              <w:bottom w:val="single" w:color="auto" w:sz="4" w:space="0"/>
              <w:right w:val="single" w:color="auto" w:sz="4" w:space="0"/>
            </w:tcBorders>
            <w:shd w:val="clear" w:color="auto" w:fill="FFFFFF"/>
            <w:vAlign w:val="center"/>
          </w:tcPr>
          <w:p w14:paraId="5F0042C4">
            <w:pPr>
              <w:pStyle w:val="59"/>
              <w:bidi w:val="0"/>
              <w:jc w:val="center"/>
            </w:pPr>
            <w:r>
              <w:rPr>
                <w:rFonts w:hint="default"/>
                <w:lang w:val="en-US" w:eastAsia="zh-CN"/>
              </w:rPr>
              <w:t>907.2</w:t>
            </w:r>
          </w:p>
        </w:tc>
        <w:tc>
          <w:tcPr>
            <w:tcW w:w="92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8CBC934">
            <w:pPr>
              <w:pStyle w:val="59"/>
              <w:bidi w:val="0"/>
              <w:jc w:val="center"/>
            </w:pPr>
            <w:r>
              <w:rPr>
                <w:rFonts w:hint="default"/>
                <w:lang w:val="en-US" w:eastAsia="zh-CN"/>
              </w:rPr>
              <w:t>717</w:t>
            </w:r>
          </w:p>
        </w:tc>
        <w:tc>
          <w:tcPr>
            <w:tcW w:w="92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2F76644">
            <w:pPr>
              <w:pStyle w:val="59"/>
              <w:bidi w:val="0"/>
              <w:jc w:val="center"/>
            </w:pPr>
            <w:r>
              <w:rPr>
                <w:rFonts w:hint="default"/>
                <w:lang w:val="en-US" w:eastAsia="zh-CN"/>
              </w:rPr>
              <w:t>50.28%</w:t>
            </w:r>
          </w:p>
        </w:tc>
        <w:tc>
          <w:tcPr>
            <w:tcW w:w="932" w:type="dxa"/>
            <w:tcBorders>
              <w:top w:val="single" w:color="auto" w:sz="4" w:space="0"/>
              <w:left w:val="single" w:color="auto" w:sz="4" w:space="0"/>
              <w:bottom w:val="single" w:color="auto" w:sz="4" w:space="0"/>
              <w:right w:val="nil"/>
            </w:tcBorders>
            <w:shd w:val="clear" w:color="auto" w:fill="FFFFFF"/>
            <w:vAlign w:val="center"/>
          </w:tcPr>
          <w:p w14:paraId="1D72CB02">
            <w:pPr>
              <w:pStyle w:val="59"/>
              <w:bidi w:val="0"/>
              <w:jc w:val="center"/>
            </w:pPr>
            <w:r>
              <w:rPr>
                <w:rFonts w:hint="eastAsia"/>
                <w:lang w:val="en-US" w:eastAsia="zh-CN"/>
              </w:rPr>
              <w:t>是</w:t>
            </w:r>
          </w:p>
        </w:tc>
      </w:tr>
      <w:tr w14:paraId="75E6C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24" w:type="dxa"/>
            <w:tcBorders>
              <w:top w:val="single" w:color="auto" w:sz="4" w:space="0"/>
              <w:left w:val="nil"/>
              <w:bottom w:val="single" w:color="000000" w:sz="12" w:space="0"/>
              <w:right w:val="single" w:color="auto" w:sz="4" w:space="0"/>
            </w:tcBorders>
            <w:shd w:val="clear" w:color="auto" w:fill="FFFFFF"/>
            <w:vAlign w:val="center"/>
          </w:tcPr>
          <w:p w14:paraId="479B79CE">
            <w:pPr>
              <w:pStyle w:val="59"/>
              <w:bidi w:val="0"/>
              <w:jc w:val="center"/>
              <w:rPr>
                <w:lang w:val="en-US" w:eastAsia="zh-CN"/>
              </w:rPr>
            </w:pPr>
            <w:r>
              <w:rPr>
                <w:rFonts w:hint="eastAsia"/>
                <w:lang w:val="en-US" w:eastAsia="zh-CN"/>
              </w:rPr>
              <w:t>十色印刷机</w:t>
            </w:r>
          </w:p>
        </w:tc>
        <w:tc>
          <w:tcPr>
            <w:tcW w:w="924" w:type="dxa"/>
            <w:tcBorders>
              <w:top w:val="single" w:color="auto" w:sz="4" w:space="0"/>
              <w:left w:val="single" w:color="auto" w:sz="4" w:space="0"/>
              <w:bottom w:val="single" w:color="000000" w:sz="12" w:space="0"/>
              <w:right w:val="single" w:color="auto" w:sz="4" w:space="0"/>
            </w:tcBorders>
            <w:shd w:val="clear" w:color="auto" w:fill="FFFFFF"/>
            <w:vAlign w:val="center"/>
          </w:tcPr>
          <w:p w14:paraId="5E41A4DD">
            <w:pPr>
              <w:pStyle w:val="59"/>
              <w:bidi w:val="0"/>
              <w:jc w:val="center"/>
              <w:rPr>
                <w:rFonts w:hint="default"/>
                <w:lang w:val="en-US" w:eastAsia="zh-CN"/>
              </w:rPr>
            </w:pPr>
            <w:r>
              <w:rPr>
                <w:rFonts w:hint="default"/>
                <w:lang w:val="en-US" w:eastAsia="zh-CN"/>
              </w:rPr>
              <w:t>0.6</w:t>
            </w:r>
          </w:p>
        </w:tc>
        <w:tc>
          <w:tcPr>
            <w:tcW w:w="924" w:type="dxa"/>
            <w:tcBorders>
              <w:top w:val="single" w:color="auto" w:sz="4" w:space="0"/>
              <w:left w:val="single" w:color="auto" w:sz="4" w:space="0"/>
              <w:bottom w:val="single" w:color="000000" w:sz="12" w:space="0"/>
              <w:right w:val="single" w:color="auto" w:sz="4" w:space="0"/>
            </w:tcBorders>
            <w:shd w:val="clear" w:color="auto" w:fill="FFFFFF"/>
            <w:vAlign w:val="center"/>
          </w:tcPr>
          <w:p w14:paraId="34A747A8">
            <w:pPr>
              <w:pStyle w:val="59"/>
              <w:bidi w:val="0"/>
              <w:jc w:val="center"/>
              <w:rPr>
                <w:rFonts w:hint="default"/>
                <w:lang w:val="en-US" w:eastAsia="zh-CN"/>
              </w:rPr>
            </w:pPr>
            <w:r>
              <w:rPr>
                <w:rFonts w:hint="default"/>
                <w:lang w:val="en-US" w:eastAsia="zh-CN"/>
              </w:rPr>
              <w:t>60</w:t>
            </w:r>
          </w:p>
        </w:tc>
        <w:tc>
          <w:tcPr>
            <w:tcW w:w="924" w:type="dxa"/>
            <w:tcBorders>
              <w:top w:val="single" w:color="auto" w:sz="4" w:space="0"/>
              <w:left w:val="single" w:color="auto" w:sz="4" w:space="0"/>
              <w:bottom w:val="single" w:color="000000" w:sz="12" w:space="0"/>
              <w:right w:val="single" w:color="auto" w:sz="4" w:space="0"/>
            </w:tcBorders>
            <w:shd w:val="clear" w:color="auto" w:fill="FFFFFF"/>
            <w:vAlign w:val="center"/>
          </w:tcPr>
          <w:p w14:paraId="574C6C31">
            <w:pPr>
              <w:pStyle w:val="59"/>
              <w:bidi w:val="0"/>
              <w:jc w:val="center"/>
              <w:rPr>
                <w:rFonts w:hint="eastAsia"/>
                <w:lang w:val="en-US" w:eastAsia="zh-CN"/>
              </w:rPr>
            </w:pPr>
            <w:r>
              <w:rPr>
                <w:rFonts w:hint="default"/>
                <w:lang w:val="en-US" w:eastAsia="zh-CN"/>
              </w:rPr>
              <w:t>1</w:t>
            </w:r>
          </w:p>
        </w:tc>
        <w:tc>
          <w:tcPr>
            <w:tcW w:w="924" w:type="dxa"/>
            <w:tcBorders>
              <w:top w:val="single" w:color="auto" w:sz="4" w:space="0"/>
              <w:left w:val="single" w:color="auto" w:sz="4" w:space="0"/>
              <w:bottom w:val="single" w:color="000000" w:sz="12" w:space="0"/>
              <w:right w:val="single" w:color="auto" w:sz="4" w:space="0"/>
            </w:tcBorders>
            <w:shd w:val="clear" w:color="auto" w:fill="FFFFFF"/>
            <w:vAlign w:val="center"/>
          </w:tcPr>
          <w:p w14:paraId="346670EF">
            <w:pPr>
              <w:pStyle w:val="59"/>
              <w:bidi w:val="0"/>
              <w:jc w:val="center"/>
            </w:pPr>
            <w:r>
              <w:rPr>
                <w:rFonts w:hint="default"/>
                <w:lang w:val="en-US" w:eastAsia="zh-CN"/>
              </w:rPr>
              <w:t>2400</w:t>
            </w:r>
          </w:p>
        </w:tc>
        <w:tc>
          <w:tcPr>
            <w:tcW w:w="924" w:type="dxa"/>
            <w:tcBorders>
              <w:top w:val="single" w:color="auto" w:sz="4" w:space="0"/>
              <w:left w:val="single" w:color="auto" w:sz="4" w:space="0"/>
              <w:bottom w:val="single" w:color="000000" w:sz="12" w:space="0"/>
              <w:right w:val="single" w:color="auto" w:sz="4" w:space="0"/>
            </w:tcBorders>
            <w:shd w:val="clear" w:color="auto" w:fill="FFFFFF"/>
            <w:vAlign w:val="center"/>
          </w:tcPr>
          <w:p w14:paraId="604395AA">
            <w:pPr>
              <w:pStyle w:val="59"/>
              <w:bidi w:val="0"/>
              <w:jc w:val="center"/>
            </w:pPr>
            <w:r>
              <w:rPr>
                <w:rFonts w:hint="eastAsia"/>
                <w:lang w:val="en-US" w:eastAsia="zh-CN"/>
              </w:rPr>
              <w:t>凹版</w:t>
            </w:r>
          </w:p>
        </w:tc>
        <w:tc>
          <w:tcPr>
            <w:tcW w:w="924" w:type="dxa"/>
            <w:tcBorders>
              <w:top w:val="single" w:color="auto" w:sz="4" w:space="0"/>
              <w:left w:val="single" w:color="auto" w:sz="4" w:space="0"/>
              <w:bottom w:val="single" w:color="000000" w:sz="12" w:space="0"/>
              <w:right w:val="single" w:color="auto" w:sz="4" w:space="0"/>
            </w:tcBorders>
            <w:shd w:val="clear" w:color="auto" w:fill="FFFFFF"/>
            <w:vAlign w:val="center"/>
          </w:tcPr>
          <w:p w14:paraId="3A593B40">
            <w:pPr>
              <w:pStyle w:val="59"/>
              <w:bidi w:val="0"/>
              <w:jc w:val="center"/>
            </w:pPr>
            <w:r>
              <w:rPr>
                <w:rFonts w:hint="default"/>
                <w:lang w:val="en-US" w:eastAsia="zh-CN"/>
              </w:rPr>
              <w:t>518.4</w:t>
            </w:r>
          </w:p>
        </w:tc>
        <w:tc>
          <w:tcPr>
            <w:tcW w:w="924" w:type="dxa"/>
            <w:vMerge w:val="continue"/>
            <w:tcBorders>
              <w:top w:val="single" w:color="auto" w:sz="4" w:space="0"/>
              <w:left w:val="single" w:color="auto" w:sz="4" w:space="0"/>
              <w:bottom w:val="single" w:color="000000" w:sz="12" w:space="0"/>
              <w:right w:val="single" w:color="auto" w:sz="4" w:space="0"/>
            </w:tcBorders>
            <w:shd w:val="clear" w:color="auto" w:fill="FFFFFF"/>
            <w:vAlign w:val="center"/>
          </w:tcPr>
          <w:p w14:paraId="695F34BE">
            <w:pPr>
              <w:pStyle w:val="59"/>
              <w:bidi w:val="0"/>
              <w:jc w:val="center"/>
            </w:pPr>
          </w:p>
        </w:tc>
        <w:tc>
          <w:tcPr>
            <w:tcW w:w="924" w:type="dxa"/>
            <w:vMerge w:val="continue"/>
            <w:tcBorders>
              <w:top w:val="single" w:color="auto" w:sz="4" w:space="0"/>
              <w:left w:val="single" w:color="auto" w:sz="4" w:space="0"/>
              <w:bottom w:val="single" w:color="000000" w:sz="12" w:space="0"/>
              <w:right w:val="single" w:color="auto" w:sz="4" w:space="0"/>
            </w:tcBorders>
            <w:shd w:val="clear" w:color="auto" w:fill="FFFFFF"/>
            <w:vAlign w:val="center"/>
          </w:tcPr>
          <w:p w14:paraId="39AFCA65">
            <w:pPr>
              <w:pStyle w:val="59"/>
              <w:bidi w:val="0"/>
              <w:jc w:val="center"/>
            </w:pPr>
          </w:p>
        </w:tc>
        <w:tc>
          <w:tcPr>
            <w:tcW w:w="932" w:type="dxa"/>
            <w:tcBorders>
              <w:top w:val="single" w:color="auto" w:sz="4" w:space="0"/>
              <w:left w:val="single" w:color="auto" w:sz="4" w:space="0"/>
              <w:bottom w:val="single" w:color="000000" w:sz="12" w:space="0"/>
              <w:right w:val="nil"/>
            </w:tcBorders>
            <w:shd w:val="clear" w:color="auto" w:fill="FFFFFF"/>
            <w:vAlign w:val="center"/>
          </w:tcPr>
          <w:p w14:paraId="4F931D4F">
            <w:pPr>
              <w:pStyle w:val="59"/>
              <w:bidi w:val="0"/>
              <w:jc w:val="center"/>
            </w:pPr>
            <w:r>
              <w:rPr>
                <w:rFonts w:hint="eastAsia"/>
                <w:lang w:val="en-US" w:eastAsia="zh-CN"/>
              </w:rPr>
              <w:t>是</w:t>
            </w:r>
          </w:p>
        </w:tc>
      </w:tr>
    </w:tbl>
    <w:p w14:paraId="53139EEC">
      <w:pPr>
        <w:keepNext w:val="0"/>
        <w:keepLines w:val="0"/>
        <w:pageBreakBefore w:val="0"/>
        <w:widowControl w:val="0"/>
        <w:numPr>
          <w:ilvl w:val="0"/>
          <w:numId w:val="21"/>
        </w:numPr>
        <w:kinsoku/>
        <w:wordWrap/>
        <w:overflowPunct/>
        <w:topLinePunct w:val="0"/>
        <w:autoSpaceDE/>
        <w:autoSpaceDN/>
        <w:bidi w:val="0"/>
        <w:adjustRightInd/>
        <w:snapToGrid/>
        <w:spacing w:before="157" w:beforeLines="50"/>
        <w:textAlignment w:val="auto"/>
        <w:rPr>
          <w:rFonts w:hint="eastAsia" w:ascii="Times New Roman" w:hAnsi="Times New Roman" w:eastAsia="宋体" w:cs="Times New Roman"/>
          <w:lang w:val="en-US" w:eastAsia="zh-CN"/>
        </w:rPr>
      </w:pPr>
      <w:bookmarkStart w:id="62" w:name="_Toc10255"/>
      <w:r>
        <w:rPr>
          <w:rFonts w:hint="eastAsia" w:ascii="Times New Roman" w:hAnsi="Times New Roman" w:eastAsia="宋体" w:cs="Times New Roman"/>
          <w:lang w:val="en-US" w:eastAsia="zh-CN"/>
        </w:rPr>
        <w:t>复合机产能核算</w:t>
      </w:r>
    </w:p>
    <w:p w14:paraId="662851F0">
      <w:pPr>
        <w:pStyle w:val="62"/>
        <w:bidi w:val="0"/>
      </w:pPr>
      <w:r>
        <w:rPr>
          <w:rFonts w:hint="eastAsia"/>
          <w:lang w:val="en-US" w:eastAsia="zh-CN"/>
        </w:rPr>
        <w:t>表2.4-3  复合机</w:t>
      </w:r>
      <w:r>
        <w:t>产能核算一览表</w:t>
      </w:r>
    </w:p>
    <w:tbl>
      <w:tblPr>
        <w:tblStyle w:val="38"/>
        <w:tblW w:w="4996"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30"/>
        <w:gridCol w:w="1031"/>
        <w:gridCol w:w="1166"/>
        <w:gridCol w:w="896"/>
        <w:gridCol w:w="1031"/>
        <w:gridCol w:w="1031"/>
        <w:gridCol w:w="1190"/>
        <w:gridCol w:w="872"/>
        <w:gridCol w:w="1035"/>
      </w:tblGrid>
      <w:tr w14:paraId="4CD43C2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0" w:hRule="atLeast"/>
        </w:trPr>
        <w:tc>
          <w:tcPr>
            <w:tcW w:w="554" w:type="pct"/>
            <w:tcBorders>
              <w:top w:val="single" w:color="000000" w:sz="12" w:space="0"/>
              <w:tl2br w:val="nil"/>
            </w:tcBorders>
            <w:shd w:val="clear" w:color="auto" w:fill="FFFFFF"/>
            <w:vAlign w:val="center"/>
          </w:tcPr>
          <w:p w14:paraId="17005D18">
            <w:pPr>
              <w:pStyle w:val="59"/>
              <w:bidi w:val="0"/>
              <w:rPr>
                <w:rFonts w:hint="eastAsia"/>
                <w:b w:val="0"/>
                <w:color w:val="000000"/>
              </w:rPr>
            </w:pPr>
            <w:r>
              <w:rPr>
                <w:rFonts w:hint="eastAsia"/>
                <w:b w:val="0"/>
                <w:color w:val="000000"/>
                <w:lang w:val="en-US" w:eastAsia="zh-CN"/>
              </w:rPr>
              <w:t>设备名称</w:t>
            </w:r>
          </w:p>
        </w:tc>
        <w:tc>
          <w:tcPr>
            <w:tcW w:w="555" w:type="pct"/>
            <w:tcBorders>
              <w:top w:val="single" w:color="000000" w:sz="12" w:space="0"/>
            </w:tcBorders>
            <w:shd w:val="clear" w:color="auto" w:fill="FFFFFF"/>
            <w:vAlign w:val="center"/>
          </w:tcPr>
          <w:p w14:paraId="0437B304">
            <w:pPr>
              <w:pStyle w:val="59"/>
              <w:bidi w:val="0"/>
              <w:rPr>
                <w:rFonts w:hint="eastAsia"/>
                <w:b w:val="0"/>
                <w:color w:val="000000"/>
              </w:rPr>
            </w:pPr>
            <w:r>
              <w:rPr>
                <w:rFonts w:hint="eastAsia"/>
                <w:b w:val="0"/>
                <w:color w:val="000000"/>
                <w:lang w:val="en-US" w:eastAsia="zh-CN"/>
              </w:rPr>
              <w:t>复合宽度（</w:t>
            </w:r>
            <w:r>
              <w:rPr>
                <w:rFonts w:hint="default"/>
                <w:b w:val="0"/>
                <w:color w:val="000000"/>
                <w:lang w:val="en-US" w:eastAsia="zh-CN"/>
              </w:rPr>
              <w:t>m)</w:t>
            </w:r>
          </w:p>
        </w:tc>
        <w:tc>
          <w:tcPr>
            <w:tcW w:w="628" w:type="pct"/>
            <w:tcBorders>
              <w:top w:val="single" w:color="000000" w:sz="12" w:space="0"/>
            </w:tcBorders>
            <w:shd w:val="clear" w:color="auto" w:fill="FFFFFF"/>
            <w:vAlign w:val="center"/>
          </w:tcPr>
          <w:p w14:paraId="40348B3C">
            <w:pPr>
              <w:pStyle w:val="59"/>
              <w:bidi w:val="0"/>
              <w:rPr>
                <w:rFonts w:hint="eastAsia"/>
                <w:b w:val="0"/>
                <w:color w:val="000000"/>
              </w:rPr>
            </w:pPr>
            <w:r>
              <w:rPr>
                <w:rFonts w:hint="eastAsia"/>
                <w:b w:val="0"/>
                <w:color w:val="000000"/>
                <w:lang w:val="en-US" w:eastAsia="zh-CN"/>
              </w:rPr>
              <w:t>复合速度（m</w:t>
            </w:r>
            <w:r>
              <w:rPr>
                <w:rFonts w:hint="default"/>
                <w:b w:val="0"/>
                <w:color w:val="000000"/>
                <w:lang w:val="en-US" w:eastAsia="zh-CN"/>
              </w:rPr>
              <w:t>/min</w:t>
            </w:r>
            <w:r>
              <w:rPr>
                <w:rFonts w:hint="eastAsia"/>
                <w:b w:val="0"/>
                <w:color w:val="000000"/>
                <w:lang w:val="en-US" w:eastAsia="zh-CN"/>
              </w:rPr>
              <w:t>）</w:t>
            </w:r>
          </w:p>
        </w:tc>
        <w:tc>
          <w:tcPr>
            <w:tcW w:w="482" w:type="pct"/>
            <w:tcBorders>
              <w:top w:val="single" w:color="000000" w:sz="12" w:space="0"/>
            </w:tcBorders>
            <w:shd w:val="clear" w:color="auto" w:fill="FFFFFF"/>
            <w:vAlign w:val="center"/>
          </w:tcPr>
          <w:p w14:paraId="28B5EF57">
            <w:pPr>
              <w:pStyle w:val="59"/>
              <w:bidi w:val="0"/>
              <w:rPr>
                <w:rFonts w:hint="eastAsia"/>
                <w:b w:val="0"/>
                <w:color w:val="000000"/>
              </w:rPr>
            </w:pPr>
            <w:r>
              <w:rPr>
                <w:rFonts w:hint="eastAsia"/>
                <w:b w:val="0"/>
                <w:color w:val="000000"/>
                <w:lang w:val="en-US" w:eastAsia="zh-CN"/>
              </w:rPr>
              <w:t>设备数量（台</w:t>
            </w:r>
            <w:r>
              <w:rPr>
                <w:rFonts w:hint="default"/>
                <w:b w:val="0"/>
                <w:color w:val="000000"/>
                <w:lang w:val="en-US" w:eastAsia="zh-CN"/>
              </w:rPr>
              <w:t>)</w:t>
            </w:r>
          </w:p>
        </w:tc>
        <w:tc>
          <w:tcPr>
            <w:tcW w:w="555" w:type="pct"/>
            <w:tcBorders>
              <w:top w:val="single" w:color="000000" w:sz="12" w:space="0"/>
            </w:tcBorders>
            <w:shd w:val="clear" w:color="auto" w:fill="FFFFFF"/>
            <w:vAlign w:val="center"/>
          </w:tcPr>
          <w:p w14:paraId="205D9191">
            <w:pPr>
              <w:pStyle w:val="59"/>
              <w:bidi w:val="0"/>
              <w:rPr>
                <w:rFonts w:hint="eastAsia"/>
                <w:b w:val="0"/>
                <w:color w:val="000000"/>
              </w:rPr>
            </w:pPr>
            <w:r>
              <w:rPr>
                <w:rFonts w:hint="eastAsia"/>
                <w:b w:val="0"/>
                <w:color w:val="000000"/>
                <w:lang w:val="en-US" w:eastAsia="zh-CN"/>
              </w:rPr>
              <w:t>复合时间（</w:t>
            </w:r>
            <w:r>
              <w:rPr>
                <w:rFonts w:hint="default"/>
                <w:b w:val="0"/>
                <w:color w:val="000000"/>
                <w:lang w:val="en-US" w:eastAsia="zh-CN"/>
              </w:rPr>
              <w:t>h/a)</w:t>
            </w:r>
          </w:p>
        </w:tc>
        <w:tc>
          <w:tcPr>
            <w:tcW w:w="555" w:type="pct"/>
            <w:tcBorders>
              <w:top w:val="single" w:color="000000" w:sz="12" w:space="0"/>
            </w:tcBorders>
            <w:shd w:val="clear" w:color="auto" w:fill="FFFFFF"/>
            <w:vAlign w:val="center"/>
          </w:tcPr>
          <w:p w14:paraId="16BCC9BB">
            <w:pPr>
              <w:pStyle w:val="59"/>
              <w:bidi w:val="0"/>
              <w:rPr>
                <w:rFonts w:hint="eastAsia"/>
                <w:b w:val="0"/>
                <w:color w:val="000000"/>
              </w:rPr>
            </w:pPr>
            <w:r>
              <w:rPr>
                <w:rFonts w:hint="eastAsia"/>
                <w:b w:val="0"/>
                <w:color w:val="000000"/>
                <w:lang w:val="en-US" w:eastAsia="zh-CN"/>
              </w:rPr>
              <w:t>设计产能（万</w:t>
            </w:r>
            <w:r>
              <w:rPr>
                <w:rFonts w:hint="default"/>
                <w:b w:val="0"/>
                <w:color w:val="000000"/>
                <w:lang w:val="en-US" w:eastAsia="zh-CN"/>
              </w:rPr>
              <w:t>m</w:t>
            </w:r>
            <w:r>
              <w:rPr>
                <w:rFonts w:hint="default"/>
                <w:b w:val="0"/>
                <w:color w:val="000000"/>
                <w:vertAlign w:val="superscript"/>
                <w:lang w:val="en-US" w:eastAsia="zh-CN"/>
              </w:rPr>
              <w:t>2</w:t>
            </w:r>
            <w:r>
              <w:rPr>
                <w:rFonts w:hint="default"/>
                <w:b w:val="0"/>
                <w:color w:val="000000"/>
                <w:lang w:val="en-US" w:eastAsia="zh-CN"/>
              </w:rPr>
              <w:t>/a</w:t>
            </w:r>
            <w:r>
              <w:rPr>
                <w:rFonts w:hint="eastAsia"/>
                <w:b w:val="0"/>
                <w:color w:val="000000"/>
                <w:lang w:val="en-US" w:eastAsia="zh-CN"/>
              </w:rPr>
              <w:t>）</w:t>
            </w:r>
          </w:p>
        </w:tc>
        <w:tc>
          <w:tcPr>
            <w:tcW w:w="641" w:type="pct"/>
            <w:tcBorders>
              <w:top w:val="single" w:color="000000" w:sz="12" w:space="0"/>
            </w:tcBorders>
            <w:shd w:val="clear" w:color="auto" w:fill="FFFFFF"/>
            <w:vAlign w:val="center"/>
          </w:tcPr>
          <w:p w14:paraId="2E7054DE">
            <w:pPr>
              <w:pStyle w:val="59"/>
              <w:bidi w:val="0"/>
              <w:rPr>
                <w:rFonts w:hint="eastAsia"/>
                <w:b w:val="0"/>
                <w:color w:val="000000"/>
              </w:rPr>
            </w:pPr>
            <w:r>
              <w:rPr>
                <w:rFonts w:hint="eastAsia"/>
                <w:b w:val="0"/>
                <w:color w:val="000000"/>
                <w:lang w:val="en-US" w:eastAsia="zh-CN"/>
              </w:rPr>
              <w:t>本项目报批生产能力（万</w:t>
            </w:r>
            <w:r>
              <w:rPr>
                <w:rFonts w:hint="default"/>
                <w:b w:val="0"/>
                <w:color w:val="000000"/>
                <w:lang w:val="en-US" w:eastAsia="zh-CN"/>
              </w:rPr>
              <w:t>m</w:t>
            </w:r>
            <w:r>
              <w:rPr>
                <w:rFonts w:hint="default"/>
                <w:b w:val="0"/>
                <w:color w:val="000000"/>
                <w:vertAlign w:val="superscript"/>
                <w:lang w:val="en-US" w:eastAsia="zh-CN"/>
              </w:rPr>
              <w:t>2</w:t>
            </w:r>
            <w:r>
              <w:rPr>
                <w:rFonts w:hint="default"/>
                <w:b w:val="0"/>
                <w:color w:val="000000"/>
                <w:lang w:val="en-US" w:eastAsia="zh-CN"/>
              </w:rPr>
              <w:t>/a</w:t>
            </w:r>
            <w:r>
              <w:rPr>
                <w:rFonts w:hint="eastAsia"/>
                <w:b w:val="0"/>
                <w:color w:val="000000"/>
                <w:lang w:val="en-US" w:eastAsia="zh-CN"/>
              </w:rPr>
              <w:t>）</w:t>
            </w:r>
          </w:p>
        </w:tc>
        <w:tc>
          <w:tcPr>
            <w:tcW w:w="469" w:type="pct"/>
            <w:tcBorders>
              <w:top w:val="single" w:color="000000" w:sz="12" w:space="0"/>
            </w:tcBorders>
            <w:shd w:val="clear" w:color="auto" w:fill="FFFFFF"/>
            <w:vAlign w:val="center"/>
          </w:tcPr>
          <w:p w14:paraId="1ED74F2B">
            <w:pPr>
              <w:pStyle w:val="59"/>
              <w:bidi w:val="0"/>
              <w:rPr>
                <w:rFonts w:hint="eastAsia"/>
                <w:b w:val="0"/>
                <w:color w:val="000000"/>
              </w:rPr>
            </w:pPr>
            <w:r>
              <w:rPr>
                <w:rFonts w:hint="eastAsia"/>
                <w:b w:val="0"/>
                <w:color w:val="000000"/>
                <w:lang w:val="en-US" w:eastAsia="zh-CN"/>
              </w:rPr>
              <w:t>产能利用率</w:t>
            </w:r>
          </w:p>
        </w:tc>
        <w:tc>
          <w:tcPr>
            <w:tcW w:w="557" w:type="pct"/>
            <w:tcBorders>
              <w:top w:val="single" w:color="000000" w:sz="12" w:space="0"/>
            </w:tcBorders>
            <w:shd w:val="clear" w:color="auto" w:fill="FFFFFF"/>
            <w:vAlign w:val="center"/>
          </w:tcPr>
          <w:p w14:paraId="0CE5E6B0">
            <w:pPr>
              <w:pStyle w:val="59"/>
              <w:bidi w:val="0"/>
              <w:rPr>
                <w:rFonts w:hint="eastAsia"/>
                <w:b w:val="0"/>
                <w:color w:val="000000"/>
              </w:rPr>
            </w:pPr>
            <w:r>
              <w:rPr>
                <w:rFonts w:hint="eastAsia"/>
                <w:b w:val="0"/>
                <w:color w:val="000000"/>
                <w:lang w:val="en-US" w:eastAsia="zh-CN"/>
              </w:rPr>
              <w:t>是否匹配</w:t>
            </w:r>
          </w:p>
        </w:tc>
      </w:tr>
      <w:tr w14:paraId="61763CC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54" w:type="pct"/>
            <w:tcBorders>
              <w:bottom w:val="single" w:color="000000" w:sz="12" w:space="0"/>
            </w:tcBorders>
            <w:shd w:val="clear" w:color="auto" w:fill="FFFFFF"/>
            <w:vAlign w:val="center"/>
          </w:tcPr>
          <w:p w14:paraId="539B904D">
            <w:pPr>
              <w:pStyle w:val="59"/>
              <w:bidi w:val="0"/>
              <w:rPr>
                <w:rFonts w:hint="eastAsia"/>
                <w:b w:val="0"/>
                <w:color w:val="000000"/>
              </w:rPr>
            </w:pPr>
            <w:r>
              <w:rPr>
                <w:rFonts w:hint="eastAsia"/>
                <w:b w:val="0"/>
                <w:color w:val="000000"/>
                <w:lang w:val="en-US" w:eastAsia="zh-CN"/>
              </w:rPr>
              <w:t>复合机</w:t>
            </w:r>
          </w:p>
        </w:tc>
        <w:tc>
          <w:tcPr>
            <w:tcW w:w="555" w:type="pct"/>
            <w:tcBorders>
              <w:bottom w:val="single" w:color="000000" w:sz="12" w:space="0"/>
            </w:tcBorders>
            <w:shd w:val="clear" w:color="auto" w:fill="FFFFFF"/>
            <w:vAlign w:val="center"/>
          </w:tcPr>
          <w:p w14:paraId="15046261">
            <w:pPr>
              <w:pStyle w:val="59"/>
              <w:bidi w:val="0"/>
              <w:rPr>
                <w:rFonts w:hint="default"/>
                <w:b w:val="0"/>
                <w:color w:val="000000"/>
              </w:rPr>
            </w:pPr>
            <w:r>
              <w:rPr>
                <w:rFonts w:hint="default"/>
                <w:b w:val="0"/>
                <w:color w:val="000000"/>
                <w:lang w:val="en-US" w:eastAsia="zh-CN"/>
              </w:rPr>
              <w:t>0.6</w:t>
            </w:r>
          </w:p>
        </w:tc>
        <w:tc>
          <w:tcPr>
            <w:tcW w:w="628" w:type="pct"/>
            <w:tcBorders>
              <w:bottom w:val="single" w:color="000000" w:sz="12" w:space="0"/>
            </w:tcBorders>
            <w:shd w:val="clear" w:color="auto" w:fill="FFFFFF"/>
            <w:vAlign w:val="center"/>
          </w:tcPr>
          <w:p w14:paraId="3721F075">
            <w:pPr>
              <w:pStyle w:val="59"/>
              <w:bidi w:val="0"/>
              <w:rPr>
                <w:rFonts w:hint="default"/>
                <w:b w:val="0"/>
                <w:color w:val="000000"/>
              </w:rPr>
            </w:pPr>
            <w:r>
              <w:rPr>
                <w:rFonts w:hint="default"/>
                <w:b w:val="0"/>
                <w:color w:val="000000"/>
                <w:lang w:val="en-US" w:eastAsia="zh-CN"/>
              </w:rPr>
              <w:t>100</w:t>
            </w:r>
          </w:p>
        </w:tc>
        <w:tc>
          <w:tcPr>
            <w:tcW w:w="482" w:type="pct"/>
            <w:tcBorders>
              <w:bottom w:val="single" w:color="000000" w:sz="12" w:space="0"/>
            </w:tcBorders>
            <w:shd w:val="clear" w:color="auto" w:fill="FFFFFF"/>
            <w:vAlign w:val="center"/>
          </w:tcPr>
          <w:p w14:paraId="52A82EDA">
            <w:pPr>
              <w:pStyle w:val="59"/>
              <w:bidi w:val="0"/>
              <w:rPr>
                <w:rFonts w:hint="default"/>
                <w:b w:val="0"/>
                <w:color w:val="000000"/>
              </w:rPr>
            </w:pPr>
            <w:r>
              <w:rPr>
                <w:rFonts w:hint="default"/>
                <w:b w:val="0"/>
                <w:color w:val="000000"/>
                <w:lang w:val="en-US" w:eastAsia="zh-CN"/>
              </w:rPr>
              <w:t>1</w:t>
            </w:r>
          </w:p>
        </w:tc>
        <w:tc>
          <w:tcPr>
            <w:tcW w:w="555" w:type="pct"/>
            <w:tcBorders>
              <w:bottom w:val="single" w:color="000000" w:sz="12" w:space="0"/>
            </w:tcBorders>
            <w:shd w:val="clear" w:color="auto" w:fill="FFFFFF"/>
            <w:vAlign w:val="center"/>
          </w:tcPr>
          <w:p w14:paraId="36C86D6D">
            <w:pPr>
              <w:pStyle w:val="59"/>
              <w:bidi w:val="0"/>
              <w:rPr>
                <w:rFonts w:hint="default"/>
                <w:b w:val="0"/>
                <w:color w:val="000000"/>
              </w:rPr>
            </w:pPr>
            <w:r>
              <w:rPr>
                <w:rFonts w:hint="default"/>
                <w:b w:val="0"/>
                <w:color w:val="000000"/>
                <w:lang w:val="en-US" w:eastAsia="zh-CN"/>
              </w:rPr>
              <w:t>2400</w:t>
            </w:r>
          </w:p>
        </w:tc>
        <w:tc>
          <w:tcPr>
            <w:tcW w:w="555" w:type="pct"/>
            <w:tcBorders>
              <w:bottom w:val="single" w:color="000000" w:sz="12" w:space="0"/>
            </w:tcBorders>
            <w:shd w:val="clear" w:color="auto" w:fill="FFFFFF"/>
            <w:vAlign w:val="center"/>
          </w:tcPr>
          <w:p w14:paraId="7752A8F2">
            <w:pPr>
              <w:pStyle w:val="59"/>
              <w:bidi w:val="0"/>
              <w:rPr>
                <w:rFonts w:hint="default"/>
                <w:b w:val="0"/>
                <w:color w:val="000000"/>
              </w:rPr>
            </w:pPr>
            <w:r>
              <w:rPr>
                <w:rFonts w:hint="default"/>
                <w:b w:val="0"/>
                <w:color w:val="000000"/>
                <w:lang w:val="en-US" w:eastAsia="zh-CN"/>
              </w:rPr>
              <w:t>2304</w:t>
            </w:r>
          </w:p>
        </w:tc>
        <w:tc>
          <w:tcPr>
            <w:tcW w:w="641" w:type="pct"/>
            <w:tcBorders>
              <w:bottom w:val="single" w:color="000000" w:sz="12" w:space="0"/>
            </w:tcBorders>
            <w:shd w:val="clear" w:color="auto" w:fill="FFFFFF"/>
            <w:vAlign w:val="center"/>
          </w:tcPr>
          <w:p w14:paraId="41D954E3">
            <w:pPr>
              <w:pStyle w:val="59"/>
              <w:bidi w:val="0"/>
              <w:rPr>
                <w:rFonts w:hint="default"/>
                <w:b w:val="0"/>
                <w:color w:val="000000"/>
              </w:rPr>
            </w:pPr>
            <w:r>
              <w:rPr>
                <w:rFonts w:hint="default"/>
                <w:b w:val="0"/>
                <w:color w:val="000000"/>
                <w:lang w:val="en-US" w:eastAsia="zh-CN"/>
              </w:rPr>
              <w:t xml:space="preserve">231 </w:t>
            </w:r>
          </w:p>
        </w:tc>
        <w:tc>
          <w:tcPr>
            <w:tcW w:w="469" w:type="pct"/>
            <w:tcBorders>
              <w:bottom w:val="single" w:color="000000" w:sz="12" w:space="0"/>
            </w:tcBorders>
            <w:shd w:val="clear" w:color="auto" w:fill="FFFFFF"/>
            <w:vAlign w:val="center"/>
          </w:tcPr>
          <w:p w14:paraId="78E28AEE">
            <w:pPr>
              <w:pStyle w:val="59"/>
              <w:bidi w:val="0"/>
              <w:rPr>
                <w:rFonts w:hint="default"/>
                <w:b w:val="0"/>
                <w:color w:val="000000"/>
              </w:rPr>
            </w:pPr>
            <w:r>
              <w:rPr>
                <w:rFonts w:hint="default"/>
                <w:b w:val="0"/>
                <w:color w:val="000000"/>
                <w:lang w:val="en-US" w:eastAsia="zh-CN"/>
              </w:rPr>
              <w:t>10.04%</w:t>
            </w:r>
          </w:p>
        </w:tc>
        <w:tc>
          <w:tcPr>
            <w:tcW w:w="557" w:type="pct"/>
            <w:tcBorders>
              <w:bottom w:val="single" w:color="000000" w:sz="12" w:space="0"/>
            </w:tcBorders>
            <w:shd w:val="clear" w:color="auto" w:fill="FFFFFF"/>
            <w:vAlign w:val="center"/>
          </w:tcPr>
          <w:p w14:paraId="6C27D202">
            <w:pPr>
              <w:pStyle w:val="59"/>
              <w:bidi w:val="0"/>
              <w:rPr>
                <w:rFonts w:hint="eastAsia"/>
                <w:b w:val="0"/>
                <w:color w:val="000000"/>
              </w:rPr>
            </w:pPr>
            <w:r>
              <w:rPr>
                <w:rFonts w:hint="eastAsia"/>
                <w:b w:val="0"/>
                <w:color w:val="000000"/>
                <w:lang w:val="en-US" w:eastAsia="zh-CN"/>
              </w:rPr>
              <w:t>是</w:t>
            </w:r>
          </w:p>
        </w:tc>
      </w:tr>
    </w:tbl>
    <w:p w14:paraId="1F313EEA">
      <w:pPr>
        <w:keepNext w:val="0"/>
        <w:keepLines w:val="0"/>
        <w:pageBreakBefore w:val="0"/>
        <w:widowControl w:val="0"/>
        <w:numPr>
          <w:ilvl w:val="0"/>
          <w:numId w:val="21"/>
        </w:numPr>
        <w:kinsoku/>
        <w:wordWrap/>
        <w:overflowPunct/>
        <w:topLinePunct w:val="0"/>
        <w:autoSpaceDE/>
        <w:autoSpaceDN/>
        <w:bidi w:val="0"/>
        <w:adjustRightInd/>
        <w:snapToGrid/>
        <w:spacing w:before="157" w:beforeLines="50"/>
        <w:textAlignment w:val="auto"/>
        <w:rPr>
          <w:rFonts w:hint="eastAsia" w:ascii="Times New Roman" w:hAnsi="Times New Roman" w:eastAsia="宋体" w:cs="Times New Roman"/>
          <w:lang w:val="en-US" w:eastAsia="zh-CN"/>
        </w:rPr>
      </w:pPr>
      <w:r>
        <w:rPr>
          <w:rFonts w:hint="eastAsia"/>
          <w:lang w:val="en-US" w:eastAsia="zh-CN"/>
        </w:rPr>
        <w:t>合掌机</w:t>
      </w:r>
      <w:r>
        <w:rPr>
          <w:rFonts w:hint="eastAsia" w:ascii="Times New Roman" w:hAnsi="Times New Roman" w:eastAsia="宋体" w:cs="Times New Roman"/>
          <w:lang w:val="en-US" w:eastAsia="zh-CN"/>
        </w:rPr>
        <w:t>产能核算</w:t>
      </w:r>
    </w:p>
    <w:p w14:paraId="20BB10D5">
      <w:pPr>
        <w:bidi w:val="0"/>
        <w:rPr>
          <w:rFonts w:hint="eastAsia" w:eastAsia="宋体"/>
          <w:lang w:val="en-US" w:eastAsia="zh-CN"/>
        </w:rPr>
      </w:pPr>
      <w:r>
        <w:rPr>
          <w:rFonts w:hint="eastAsia"/>
          <w:lang w:val="en-US" w:eastAsia="zh-CN"/>
        </w:rPr>
        <w:t>合掌机主要用于PVC卷膜的合掌，PVC卷膜印刷面积4017094m</w:t>
      </w:r>
      <w:r>
        <w:rPr>
          <w:rFonts w:hint="eastAsia"/>
          <w:vertAlign w:val="superscript"/>
          <w:lang w:val="en-US" w:eastAsia="zh-CN"/>
        </w:rPr>
        <w:t>2</w:t>
      </w:r>
      <w:r>
        <w:rPr>
          <w:rFonts w:hint="eastAsia"/>
          <w:lang w:val="en-US" w:eastAsia="zh-CN"/>
        </w:rPr>
        <w:t>，约97.5%成品率，主流产品的合掌宽度约为4.5cm，因此合掌产能约为</w:t>
      </w:r>
      <w:r>
        <w:rPr>
          <w:rFonts w:hint="default"/>
          <w:lang w:val="en-US" w:eastAsia="zh-CN"/>
        </w:rPr>
        <w:t xml:space="preserve">8703.7 </w:t>
      </w:r>
      <w:r>
        <w:rPr>
          <w:rFonts w:hint="eastAsia"/>
          <w:lang w:val="en-US" w:eastAsia="zh-CN"/>
        </w:rPr>
        <w:t>万</w:t>
      </w:r>
      <w:r>
        <w:t>m/a</w:t>
      </w:r>
      <w:r>
        <w:rPr>
          <w:rFonts w:hint="eastAsia"/>
          <w:lang w:eastAsia="zh-CN"/>
        </w:rPr>
        <w:t>。</w:t>
      </w:r>
    </w:p>
    <w:p w14:paraId="244F0B99">
      <w:pPr>
        <w:pStyle w:val="62"/>
        <w:bidi w:val="0"/>
        <w:rPr>
          <w:rFonts w:hint="eastAsia" w:ascii="Times New Roman" w:hAnsi="Times New Roman" w:eastAsia="宋体" w:cs="Times New Roman"/>
          <w:lang w:val="en-US" w:eastAsia="zh-CN"/>
        </w:rPr>
      </w:pPr>
      <w:r>
        <w:rPr>
          <w:rFonts w:hint="eastAsia"/>
          <w:lang w:val="en-US" w:eastAsia="zh-CN"/>
        </w:rPr>
        <w:t xml:space="preserve">表2.4-4  </w:t>
      </w:r>
      <w:r>
        <w:rPr>
          <w:rFonts w:hint="eastAsia" w:ascii="Times New Roman" w:hAnsi="Times New Roman" w:eastAsia="宋体" w:cs="Times New Roman"/>
          <w:lang w:val="en-US" w:eastAsia="zh-CN"/>
        </w:rPr>
        <w:t>项目合掌设备产能核算一览表</w:t>
      </w:r>
    </w:p>
    <w:tbl>
      <w:tblPr>
        <w:tblStyle w:val="105"/>
        <w:tblW w:w="934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8"/>
        <w:gridCol w:w="1038"/>
        <w:gridCol w:w="1038"/>
        <w:gridCol w:w="1038"/>
        <w:gridCol w:w="1038"/>
        <w:gridCol w:w="1038"/>
        <w:gridCol w:w="1038"/>
        <w:gridCol w:w="1038"/>
        <w:gridCol w:w="1045"/>
      </w:tblGrid>
      <w:tr w14:paraId="201FA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3" w:hRule="atLeast"/>
        </w:trPr>
        <w:tc>
          <w:tcPr>
            <w:tcW w:w="1038" w:type="dxa"/>
            <w:tcBorders>
              <w:top w:val="single" w:color="000000" w:sz="16" w:space="0"/>
              <w:left w:val="nil"/>
            </w:tcBorders>
            <w:vAlign w:val="center"/>
          </w:tcPr>
          <w:p w14:paraId="6F11D456">
            <w:pPr>
              <w:pStyle w:val="59"/>
              <w:bidi w:val="0"/>
              <w:jc w:val="center"/>
            </w:pPr>
            <w:r>
              <w:t>设备名称</w:t>
            </w:r>
          </w:p>
        </w:tc>
        <w:tc>
          <w:tcPr>
            <w:tcW w:w="1038" w:type="dxa"/>
            <w:tcBorders>
              <w:top w:val="single" w:color="000000" w:sz="16" w:space="0"/>
            </w:tcBorders>
            <w:vAlign w:val="center"/>
          </w:tcPr>
          <w:p w14:paraId="14F78A17">
            <w:pPr>
              <w:pStyle w:val="59"/>
              <w:bidi w:val="0"/>
              <w:jc w:val="center"/>
            </w:pPr>
            <w:r>
              <w:t>合掌加工速度（m/min）</w:t>
            </w:r>
          </w:p>
        </w:tc>
        <w:tc>
          <w:tcPr>
            <w:tcW w:w="1038" w:type="dxa"/>
            <w:tcBorders>
              <w:top w:val="single" w:color="000000" w:sz="16" w:space="0"/>
            </w:tcBorders>
            <w:vAlign w:val="center"/>
          </w:tcPr>
          <w:p w14:paraId="706EDC81">
            <w:pPr>
              <w:pStyle w:val="59"/>
              <w:bidi w:val="0"/>
              <w:jc w:val="center"/>
            </w:pPr>
            <w:r>
              <w:t>设备数</w:t>
            </w:r>
          </w:p>
          <w:p w14:paraId="2DD7FB53">
            <w:pPr>
              <w:pStyle w:val="59"/>
              <w:bidi w:val="0"/>
              <w:jc w:val="center"/>
            </w:pPr>
            <w:r>
              <w:t>量（台）</w:t>
            </w:r>
          </w:p>
        </w:tc>
        <w:tc>
          <w:tcPr>
            <w:tcW w:w="1038" w:type="dxa"/>
            <w:tcBorders>
              <w:top w:val="single" w:color="000000" w:sz="16" w:space="0"/>
            </w:tcBorders>
            <w:vAlign w:val="center"/>
          </w:tcPr>
          <w:p w14:paraId="107FD825">
            <w:pPr>
              <w:pStyle w:val="59"/>
              <w:bidi w:val="0"/>
              <w:jc w:val="center"/>
            </w:pPr>
            <w:r>
              <w:t>合掌时间</w:t>
            </w:r>
          </w:p>
          <w:p w14:paraId="15E9D867">
            <w:pPr>
              <w:pStyle w:val="59"/>
              <w:bidi w:val="0"/>
              <w:jc w:val="center"/>
            </w:pPr>
            <w:r>
              <w:t>（h/a）</w:t>
            </w:r>
          </w:p>
        </w:tc>
        <w:tc>
          <w:tcPr>
            <w:tcW w:w="1038" w:type="dxa"/>
            <w:tcBorders>
              <w:top w:val="single" w:color="000000" w:sz="16" w:space="0"/>
            </w:tcBorders>
            <w:vAlign w:val="center"/>
          </w:tcPr>
          <w:p w14:paraId="116E6C2A">
            <w:pPr>
              <w:pStyle w:val="59"/>
              <w:bidi w:val="0"/>
              <w:jc w:val="center"/>
            </w:pPr>
            <w:r>
              <w:t>合掌方式</w:t>
            </w:r>
          </w:p>
        </w:tc>
        <w:tc>
          <w:tcPr>
            <w:tcW w:w="1038" w:type="dxa"/>
            <w:tcBorders>
              <w:top w:val="single" w:color="000000" w:sz="16" w:space="0"/>
            </w:tcBorders>
            <w:vAlign w:val="center"/>
          </w:tcPr>
          <w:p w14:paraId="24F7DFE9">
            <w:pPr>
              <w:pStyle w:val="59"/>
              <w:bidi w:val="0"/>
              <w:jc w:val="center"/>
            </w:pPr>
            <w:r>
              <w:t>合掌机</w:t>
            </w:r>
            <w:r>
              <w:rPr>
                <w:rFonts w:hint="eastAsia"/>
                <w:lang w:val="en-US" w:eastAsia="zh-CN"/>
              </w:rPr>
              <w:t>最大</w:t>
            </w:r>
            <w:r>
              <w:t>产能</w:t>
            </w:r>
          </w:p>
          <w:p w14:paraId="415EE3F0">
            <w:pPr>
              <w:pStyle w:val="59"/>
              <w:bidi w:val="0"/>
              <w:jc w:val="center"/>
            </w:pPr>
            <w:r>
              <w:t>（</w:t>
            </w:r>
            <w:r>
              <w:rPr>
                <w:rFonts w:hint="eastAsia"/>
                <w:lang w:val="en-US" w:eastAsia="zh-CN"/>
              </w:rPr>
              <w:t>万</w:t>
            </w:r>
            <w:r>
              <w:t>m/a）</w:t>
            </w:r>
          </w:p>
        </w:tc>
        <w:tc>
          <w:tcPr>
            <w:tcW w:w="1038" w:type="dxa"/>
            <w:tcBorders>
              <w:top w:val="single" w:color="000000" w:sz="16" w:space="0"/>
            </w:tcBorders>
            <w:vAlign w:val="center"/>
          </w:tcPr>
          <w:p w14:paraId="6FF4AEF2">
            <w:pPr>
              <w:pStyle w:val="59"/>
              <w:bidi w:val="0"/>
              <w:jc w:val="center"/>
            </w:pPr>
            <w:r>
              <w:t>本项目报批生产能力（</w:t>
            </w:r>
            <w:r>
              <w:rPr>
                <w:rFonts w:hint="eastAsia"/>
                <w:lang w:val="en-US" w:eastAsia="zh-CN"/>
              </w:rPr>
              <w:t>万</w:t>
            </w:r>
            <w:r>
              <w:t>m/a）</w:t>
            </w:r>
          </w:p>
        </w:tc>
        <w:tc>
          <w:tcPr>
            <w:tcW w:w="1038" w:type="dxa"/>
            <w:tcBorders>
              <w:top w:val="single" w:color="000000" w:sz="16" w:space="0"/>
            </w:tcBorders>
            <w:vAlign w:val="center"/>
          </w:tcPr>
          <w:p w14:paraId="74EA0E96">
            <w:pPr>
              <w:pStyle w:val="59"/>
              <w:bidi w:val="0"/>
              <w:jc w:val="center"/>
            </w:pPr>
            <w:r>
              <w:t>产能利用率</w:t>
            </w:r>
          </w:p>
        </w:tc>
        <w:tc>
          <w:tcPr>
            <w:tcW w:w="1045" w:type="dxa"/>
            <w:tcBorders>
              <w:top w:val="single" w:color="000000" w:sz="16" w:space="0"/>
              <w:right w:val="nil"/>
            </w:tcBorders>
            <w:vAlign w:val="center"/>
          </w:tcPr>
          <w:p w14:paraId="3538A8BD">
            <w:pPr>
              <w:pStyle w:val="59"/>
              <w:bidi w:val="0"/>
              <w:jc w:val="center"/>
            </w:pPr>
            <w:r>
              <w:t>是否匹配</w:t>
            </w:r>
          </w:p>
        </w:tc>
      </w:tr>
      <w:tr w14:paraId="6C88A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038" w:type="dxa"/>
            <w:tcBorders>
              <w:left w:val="nil"/>
              <w:bottom w:val="single" w:color="000000" w:sz="16" w:space="0"/>
            </w:tcBorders>
            <w:vAlign w:val="center"/>
          </w:tcPr>
          <w:p w14:paraId="4302C419">
            <w:pPr>
              <w:pStyle w:val="69"/>
              <w:bidi w:val="0"/>
            </w:pPr>
            <w:r>
              <w:rPr>
                <w:rFonts w:hint="eastAsia"/>
                <w:lang w:val="en-US" w:eastAsia="zh-CN"/>
              </w:rPr>
              <w:t>高速合掌机</w:t>
            </w:r>
          </w:p>
        </w:tc>
        <w:tc>
          <w:tcPr>
            <w:tcW w:w="1038" w:type="dxa"/>
            <w:tcBorders>
              <w:bottom w:val="single" w:color="000000" w:sz="16" w:space="0"/>
            </w:tcBorders>
            <w:vAlign w:val="center"/>
          </w:tcPr>
          <w:p w14:paraId="3AB8DD44">
            <w:pPr>
              <w:pStyle w:val="69"/>
              <w:bidi w:val="0"/>
            </w:pPr>
            <w:r>
              <w:rPr>
                <w:rFonts w:hint="default"/>
                <w:lang w:val="en-US" w:eastAsia="zh-CN"/>
              </w:rPr>
              <w:t>120</w:t>
            </w:r>
          </w:p>
        </w:tc>
        <w:tc>
          <w:tcPr>
            <w:tcW w:w="1038" w:type="dxa"/>
            <w:tcBorders>
              <w:bottom w:val="single" w:color="000000" w:sz="16" w:space="0"/>
            </w:tcBorders>
            <w:vAlign w:val="center"/>
          </w:tcPr>
          <w:p w14:paraId="352759A2">
            <w:pPr>
              <w:pStyle w:val="69"/>
              <w:bidi w:val="0"/>
              <w:rPr>
                <w:rFonts w:hint="eastAsia"/>
                <w:lang w:eastAsia="zh-CN"/>
              </w:rPr>
            </w:pPr>
            <w:r>
              <w:rPr>
                <w:rFonts w:hint="default"/>
                <w:lang w:val="en-US" w:eastAsia="zh-CN"/>
              </w:rPr>
              <w:t>5</w:t>
            </w:r>
          </w:p>
        </w:tc>
        <w:tc>
          <w:tcPr>
            <w:tcW w:w="1038" w:type="dxa"/>
            <w:tcBorders>
              <w:bottom w:val="single" w:color="000000" w:sz="16" w:space="0"/>
            </w:tcBorders>
            <w:vAlign w:val="center"/>
          </w:tcPr>
          <w:p w14:paraId="54068516">
            <w:pPr>
              <w:pStyle w:val="69"/>
              <w:bidi w:val="0"/>
            </w:pPr>
            <w:r>
              <w:rPr>
                <w:rFonts w:hint="default"/>
                <w:lang w:val="en-US" w:eastAsia="zh-CN"/>
              </w:rPr>
              <w:t>2400</w:t>
            </w:r>
          </w:p>
        </w:tc>
        <w:tc>
          <w:tcPr>
            <w:tcW w:w="1038" w:type="dxa"/>
            <w:tcBorders>
              <w:bottom w:val="single" w:color="000000" w:sz="16" w:space="0"/>
            </w:tcBorders>
            <w:vAlign w:val="center"/>
          </w:tcPr>
          <w:p w14:paraId="2F74322E">
            <w:pPr>
              <w:pStyle w:val="69"/>
              <w:bidi w:val="0"/>
            </w:pPr>
            <w:r>
              <w:rPr>
                <w:rFonts w:hint="eastAsia"/>
                <w:lang w:val="en-US" w:eastAsia="zh-CN"/>
              </w:rPr>
              <w:t>溶剂粘结</w:t>
            </w:r>
          </w:p>
        </w:tc>
        <w:tc>
          <w:tcPr>
            <w:tcW w:w="1038" w:type="dxa"/>
            <w:tcBorders>
              <w:bottom w:val="single" w:color="000000" w:sz="16" w:space="0"/>
            </w:tcBorders>
            <w:vAlign w:val="center"/>
          </w:tcPr>
          <w:p w14:paraId="2CE30E6A">
            <w:pPr>
              <w:pStyle w:val="69"/>
              <w:bidi w:val="0"/>
            </w:pPr>
            <w:r>
              <w:rPr>
                <w:rFonts w:hint="default"/>
                <w:lang w:val="en-US" w:eastAsia="zh-CN"/>
              </w:rPr>
              <w:t>8640</w:t>
            </w:r>
          </w:p>
        </w:tc>
        <w:tc>
          <w:tcPr>
            <w:tcW w:w="1038" w:type="dxa"/>
            <w:tcBorders>
              <w:bottom w:val="single" w:color="000000" w:sz="16" w:space="0"/>
            </w:tcBorders>
            <w:vAlign w:val="center"/>
          </w:tcPr>
          <w:p w14:paraId="708ADDBB">
            <w:pPr>
              <w:pStyle w:val="69"/>
              <w:bidi w:val="0"/>
            </w:pPr>
            <w:r>
              <w:rPr>
                <w:rFonts w:hint="default"/>
                <w:lang w:val="en-US" w:eastAsia="zh-CN"/>
              </w:rPr>
              <w:t xml:space="preserve">8703.7 </w:t>
            </w:r>
          </w:p>
        </w:tc>
        <w:tc>
          <w:tcPr>
            <w:tcW w:w="1038" w:type="dxa"/>
            <w:tcBorders>
              <w:bottom w:val="single" w:color="000000" w:sz="16" w:space="0"/>
            </w:tcBorders>
            <w:vAlign w:val="center"/>
          </w:tcPr>
          <w:p w14:paraId="41F78F4A">
            <w:pPr>
              <w:pStyle w:val="69"/>
              <w:bidi w:val="0"/>
            </w:pPr>
            <w:r>
              <w:rPr>
                <w:rFonts w:hint="default"/>
                <w:lang w:val="en-US" w:eastAsia="zh-CN"/>
              </w:rPr>
              <w:t>100.7%</w:t>
            </w:r>
          </w:p>
        </w:tc>
        <w:tc>
          <w:tcPr>
            <w:tcW w:w="1045" w:type="dxa"/>
            <w:tcBorders>
              <w:bottom w:val="single" w:color="000000" w:sz="16" w:space="0"/>
              <w:right w:val="nil"/>
            </w:tcBorders>
            <w:vAlign w:val="center"/>
          </w:tcPr>
          <w:p w14:paraId="440920DD">
            <w:pPr>
              <w:pStyle w:val="69"/>
              <w:bidi w:val="0"/>
            </w:pPr>
            <w:r>
              <w:rPr>
                <w:rFonts w:hint="eastAsia"/>
                <w:lang w:val="en-US" w:eastAsia="zh-CN"/>
              </w:rPr>
              <w:t>是</w:t>
            </w:r>
          </w:p>
        </w:tc>
      </w:tr>
    </w:tbl>
    <w:p w14:paraId="223E38E6">
      <w:pPr>
        <w:pStyle w:val="67"/>
        <w:numPr>
          <w:ilvl w:val="1"/>
          <w:numId w:val="8"/>
        </w:numPr>
        <w:bidi w:val="0"/>
        <w:ind w:left="567" w:leftChars="0" w:hanging="567"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主要原辅材料及资源能源消耗</w:t>
      </w:r>
      <w:bookmarkEnd w:id="62"/>
    </w:p>
    <w:p w14:paraId="4C95B11E">
      <w:pPr>
        <w:pStyle w:val="64"/>
        <w:numPr>
          <w:ilvl w:val="2"/>
          <w:numId w:val="8"/>
        </w:numPr>
        <w:spacing w:before="156" w:after="156"/>
        <w:ind w:left="709" w:leftChars="0" w:hanging="709" w:firstLineChars="0"/>
        <w:rPr>
          <w:color w:val="auto"/>
        </w:rPr>
      </w:pPr>
      <w:r>
        <w:rPr>
          <w:rFonts w:hint="eastAsia"/>
          <w:color w:val="auto"/>
        </w:rPr>
        <w:t>主要原辅材料</w:t>
      </w:r>
    </w:p>
    <w:p w14:paraId="24FEA818">
      <w:pPr>
        <w:ind w:firstLine="480"/>
        <w:rPr>
          <w:color w:val="auto"/>
        </w:rPr>
      </w:pPr>
      <w:r>
        <w:rPr>
          <w:rFonts w:hint="eastAsia"/>
          <w:color w:val="auto"/>
        </w:rPr>
        <w:t>见</w:t>
      </w:r>
      <w:r>
        <w:rPr>
          <w:rFonts w:hint="eastAsia"/>
          <w:color w:val="auto"/>
          <w:lang w:eastAsia="zh-CN"/>
        </w:rPr>
        <w:t>表</w:t>
      </w:r>
      <w:r>
        <w:rPr>
          <w:rFonts w:hint="eastAsia"/>
          <w:color w:val="auto"/>
          <w:lang w:val="en-US" w:eastAsia="zh-CN"/>
        </w:rPr>
        <w:t>2</w:t>
      </w:r>
      <w:r>
        <w:rPr>
          <w:rFonts w:hint="eastAsia"/>
          <w:color w:val="auto"/>
        </w:rPr>
        <w:t>.5-1。</w:t>
      </w:r>
    </w:p>
    <w:p w14:paraId="4B78E0FE">
      <w:pPr>
        <w:pStyle w:val="62"/>
        <w:numPr>
          <w:ilvl w:val="0"/>
          <w:numId w:val="22"/>
        </w:numPr>
        <w:ind w:left="0" w:leftChars="0" w:firstLine="0" w:firstLineChars="0"/>
        <w:rPr>
          <w:color w:val="auto"/>
        </w:rPr>
      </w:pPr>
      <w:r>
        <w:rPr>
          <w:rFonts w:hint="eastAsia"/>
          <w:color w:val="auto"/>
        </w:rPr>
        <w:t>建设项目原辅材料</w:t>
      </w:r>
      <w:r>
        <w:rPr>
          <w:rFonts w:hint="eastAsia"/>
          <w:color w:val="auto"/>
          <w:lang w:val="en-US" w:eastAsia="zh-CN"/>
        </w:rPr>
        <w:t>用量</w:t>
      </w:r>
      <w:r>
        <w:rPr>
          <w:rFonts w:hint="eastAsia"/>
          <w:color w:val="auto"/>
        </w:rPr>
        <w:t>一览表</w:t>
      </w:r>
    </w:p>
    <w:tbl>
      <w:tblPr>
        <w:tblStyle w:val="105"/>
        <w:tblW w:w="9042" w:type="dxa"/>
        <w:tblInd w:w="14"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fixed"/>
        <w:tblCellMar>
          <w:top w:w="0" w:type="dxa"/>
          <w:left w:w="0" w:type="dxa"/>
          <w:bottom w:w="0" w:type="dxa"/>
          <w:right w:w="0" w:type="dxa"/>
        </w:tblCellMar>
      </w:tblPr>
      <w:tblGrid>
        <w:gridCol w:w="494"/>
        <w:gridCol w:w="425"/>
        <w:gridCol w:w="986"/>
        <w:gridCol w:w="960"/>
        <w:gridCol w:w="1077"/>
        <w:gridCol w:w="1036"/>
        <w:gridCol w:w="850"/>
        <w:gridCol w:w="1226"/>
        <w:gridCol w:w="1988"/>
      </w:tblGrid>
      <w:tr w14:paraId="470FDCA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22" w:hRule="atLeast"/>
          <w:tblHeader/>
        </w:trPr>
        <w:tc>
          <w:tcPr>
            <w:tcW w:w="494" w:type="dxa"/>
            <w:tcBorders>
              <w:top w:val="single" w:color="000000" w:sz="16" w:space="0"/>
              <w:left w:val="nil"/>
            </w:tcBorders>
            <w:textDirection w:val="tbRlV"/>
            <w:vAlign w:val="center"/>
          </w:tcPr>
          <w:p w14:paraId="336A2E0E">
            <w:pPr>
              <w:pStyle w:val="59"/>
              <w:bidi w:val="0"/>
              <w:jc w:val="center"/>
            </w:pPr>
            <w:bookmarkStart w:id="63" w:name="_Toc1059"/>
            <w:r>
              <w:t>序 号</w:t>
            </w:r>
          </w:p>
        </w:tc>
        <w:tc>
          <w:tcPr>
            <w:tcW w:w="1411" w:type="dxa"/>
            <w:gridSpan w:val="2"/>
            <w:tcBorders>
              <w:top w:val="single" w:color="000000" w:sz="16" w:space="0"/>
            </w:tcBorders>
            <w:vAlign w:val="center"/>
          </w:tcPr>
          <w:p w14:paraId="1B97D3E4">
            <w:pPr>
              <w:pStyle w:val="59"/>
              <w:bidi w:val="0"/>
              <w:jc w:val="center"/>
            </w:pPr>
            <w:r>
              <w:t>主要原辅材料名称</w:t>
            </w:r>
          </w:p>
        </w:tc>
        <w:tc>
          <w:tcPr>
            <w:tcW w:w="960" w:type="dxa"/>
            <w:tcBorders>
              <w:top w:val="single" w:color="000000" w:sz="16" w:space="0"/>
            </w:tcBorders>
            <w:vAlign w:val="center"/>
          </w:tcPr>
          <w:p w14:paraId="5073876B">
            <w:pPr>
              <w:pStyle w:val="59"/>
              <w:bidi w:val="0"/>
              <w:jc w:val="center"/>
            </w:pPr>
            <w:r>
              <w:t>形态</w:t>
            </w:r>
          </w:p>
        </w:tc>
        <w:tc>
          <w:tcPr>
            <w:tcW w:w="1077" w:type="dxa"/>
            <w:tcBorders>
              <w:top w:val="single" w:color="000000" w:sz="16" w:space="0"/>
            </w:tcBorders>
            <w:vAlign w:val="center"/>
          </w:tcPr>
          <w:p w14:paraId="1CBF846B">
            <w:pPr>
              <w:pStyle w:val="59"/>
              <w:bidi w:val="0"/>
              <w:jc w:val="center"/>
            </w:pPr>
            <w:r>
              <w:t>使用量（吨/年）</w:t>
            </w:r>
          </w:p>
        </w:tc>
        <w:tc>
          <w:tcPr>
            <w:tcW w:w="1036" w:type="dxa"/>
            <w:tcBorders>
              <w:top w:val="single" w:color="000000" w:sz="16" w:space="0"/>
            </w:tcBorders>
            <w:vAlign w:val="center"/>
          </w:tcPr>
          <w:p w14:paraId="111E0087">
            <w:pPr>
              <w:pStyle w:val="59"/>
              <w:bidi w:val="0"/>
              <w:jc w:val="center"/>
            </w:pPr>
            <w:r>
              <w:t>包装规格</w:t>
            </w:r>
          </w:p>
        </w:tc>
        <w:tc>
          <w:tcPr>
            <w:tcW w:w="850" w:type="dxa"/>
            <w:tcBorders>
              <w:top w:val="single" w:color="000000" w:sz="16" w:space="0"/>
            </w:tcBorders>
            <w:vAlign w:val="center"/>
          </w:tcPr>
          <w:p w14:paraId="25D3B24C">
            <w:pPr>
              <w:pStyle w:val="59"/>
              <w:bidi w:val="0"/>
              <w:jc w:val="center"/>
            </w:pPr>
            <w:r>
              <w:t>最大储存量（吨）</w:t>
            </w:r>
          </w:p>
        </w:tc>
        <w:tc>
          <w:tcPr>
            <w:tcW w:w="1226" w:type="dxa"/>
            <w:tcBorders>
              <w:top w:val="single" w:color="000000" w:sz="16" w:space="0"/>
            </w:tcBorders>
            <w:vAlign w:val="center"/>
          </w:tcPr>
          <w:p w14:paraId="34D5BAD1">
            <w:pPr>
              <w:pStyle w:val="59"/>
              <w:bidi w:val="0"/>
              <w:jc w:val="center"/>
            </w:pPr>
            <w:r>
              <w:t>储存位置</w:t>
            </w:r>
          </w:p>
        </w:tc>
        <w:tc>
          <w:tcPr>
            <w:tcW w:w="1988" w:type="dxa"/>
            <w:tcBorders>
              <w:top w:val="single" w:color="000000" w:sz="16" w:space="0"/>
              <w:right w:val="nil"/>
            </w:tcBorders>
            <w:vAlign w:val="center"/>
          </w:tcPr>
          <w:p w14:paraId="433A3D43">
            <w:pPr>
              <w:pStyle w:val="59"/>
              <w:bidi w:val="0"/>
              <w:jc w:val="center"/>
            </w:pPr>
            <w:r>
              <w:t>备注</w:t>
            </w:r>
          </w:p>
        </w:tc>
      </w:tr>
      <w:tr w14:paraId="5F0CAFA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494" w:type="dxa"/>
            <w:tcBorders>
              <w:left w:val="nil"/>
            </w:tcBorders>
            <w:vAlign w:val="center"/>
          </w:tcPr>
          <w:p w14:paraId="4A6B09C3">
            <w:pPr>
              <w:pStyle w:val="59"/>
              <w:numPr>
                <w:ilvl w:val="0"/>
                <w:numId w:val="23"/>
              </w:numPr>
              <w:bidi w:val="0"/>
              <w:ind w:left="425" w:leftChars="0" w:hanging="425" w:firstLineChars="0"/>
              <w:jc w:val="center"/>
            </w:pPr>
          </w:p>
        </w:tc>
        <w:tc>
          <w:tcPr>
            <w:tcW w:w="1411" w:type="dxa"/>
            <w:gridSpan w:val="2"/>
            <w:shd w:val="clear" w:color="auto" w:fill="auto"/>
            <w:vAlign w:val="center"/>
          </w:tcPr>
          <w:p w14:paraId="6679251C">
            <w:pPr>
              <w:pStyle w:val="59"/>
              <w:bidi w:val="0"/>
              <w:ind w:firstLine="0" w:firstLineChars="0"/>
              <w:jc w:val="center"/>
              <w:rPr>
                <w:rFonts w:ascii="Times New Roman" w:hAnsi="Times New Roman" w:eastAsia="宋体" w:cs="Times New Roman"/>
                <w:kern w:val="0"/>
                <w:sz w:val="21"/>
                <w:szCs w:val="20"/>
                <w:lang w:val="en-US" w:eastAsia="zh-CN" w:bidi="ar-SA"/>
              </w:rPr>
            </w:pPr>
            <w:r>
              <w:t>PVC 膜</w:t>
            </w:r>
          </w:p>
        </w:tc>
        <w:tc>
          <w:tcPr>
            <w:tcW w:w="960" w:type="dxa"/>
            <w:vAlign w:val="center"/>
          </w:tcPr>
          <w:p w14:paraId="07EE21A5">
            <w:pPr>
              <w:pStyle w:val="59"/>
              <w:bidi w:val="0"/>
              <w:jc w:val="center"/>
            </w:pPr>
            <w:r>
              <w:t>塑料薄膜</w:t>
            </w:r>
          </w:p>
        </w:tc>
        <w:tc>
          <w:tcPr>
            <w:tcW w:w="1077" w:type="dxa"/>
            <w:vAlign w:val="center"/>
          </w:tcPr>
          <w:p w14:paraId="70B1FF2B">
            <w:pPr>
              <w:pStyle w:val="59"/>
              <w:bidi w:val="0"/>
            </w:pPr>
            <w:r>
              <w:rPr>
                <w:rFonts w:hint="default"/>
                <w:lang w:val="en-US" w:eastAsia="zh-CN"/>
              </w:rPr>
              <w:t>235</w:t>
            </w:r>
          </w:p>
        </w:tc>
        <w:tc>
          <w:tcPr>
            <w:tcW w:w="1036" w:type="dxa"/>
            <w:vAlign w:val="center"/>
          </w:tcPr>
          <w:p w14:paraId="46EF9916">
            <w:pPr>
              <w:pStyle w:val="59"/>
              <w:bidi w:val="0"/>
            </w:pPr>
            <w:r>
              <w:rPr>
                <w:rFonts w:hint="eastAsia"/>
                <w:lang w:val="en-US" w:eastAsia="zh-CN"/>
              </w:rPr>
              <w:t>纸箱装</w:t>
            </w:r>
          </w:p>
        </w:tc>
        <w:tc>
          <w:tcPr>
            <w:tcW w:w="850" w:type="dxa"/>
            <w:vAlign w:val="center"/>
          </w:tcPr>
          <w:p w14:paraId="715B2805">
            <w:pPr>
              <w:pStyle w:val="59"/>
              <w:bidi w:val="0"/>
            </w:pPr>
            <w:r>
              <w:rPr>
                <w:rFonts w:hint="default"/>
                <w:lang w:val="en-US" w:eastAsia="zh-CN"/>
              </w:rPr>
              <w:t xml:space="preserve">9.8 </w:t>
            </w:r>
          </w:p>
        </w:tc>
        <w:tc>
          <w:tcPr>
            <w:tcW w:w="1226" w:type="dxa"/>
            <w:vMerge w:val="restart"/>
            <w:vAlign w:val="center"/>
          </w:tcPr>
          <w:p w14:paraId="78BD2AB9">
            <w:pPr>
              <w:pStyle w:val="59"/>
              <w:bidi w:val="0"/>
              <w:jc w:val="center"/>
              <w:rPr>
                <w:rFonts w:hint="eastAsia" w:eastAsia="宋体"/>
                <w:lang w:eastAsia="zh-CN"/>
              </w:rPr>
            </w:pPr>
            <w:r>
              <w:t>原材料</w:t>
            </w:r>
            <w:r>
              <w:rPr>
                <w:rFonts w:hint="eastAsia"/>
                <w:lang w:val="en-US" w:eastAsia="zh-CN"/>
              </w:rPr>
              <w:t>堆放区</w:t>
            </w:r>
          </w:p>
        </w:tc>
        <w:tc>
          <w:tcPr>
            <w:tcW w:w="1988" w:type="dxa"/>
            <w:tcBorders>
              <w:right w:val="nil"/>
            </w:tcBorders>
            <w:vAlign w:val="center"/>
          </w:tcPr>
          <w:p w14:paraId="40FB2F0D">
            <w:pPr>
              <w:pStyle w:val="59"/>
              <w:bidi w:val="0"/>
              <w:jc w:val="center"/>
            </w:pPr>
            <w:r>
              <w:t>聚氯乙烯塑料薄膜，用作印刷基材</w:t>
            </w:r>
          </w:p>
        </w:tc>
      </w:tr>
      <w:tr w14:paraId="28EBFC4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494" w:type="dxa"/>
            <w:tcBorders>
              <w:left w:val="nil"/>
            </w:tcBorders>
            <w:vAlign w:val="center"/>
          </w:tcPr>
          <w:p w14:paraId="1928486B">
            <w:pPr>
              <w:pStyle w:val="59"/>
              <w:numPr>
                <w:ilvl w:val="0"/>
                <w:numId w:val="23"/>
              </w:numPr>
              <w:bidi w:val="0"/>
              <w:ind w:left="425" w:leftChars="0" w:hanging="425" w:firstLineChars="0"/>
              <w:jc w:val="center"/>
            </w:pPr>
          </w:p>
        </w:tc>
        <w:tc>
          <w:tcPr>
            <w:tcW w:w="1411" w:type="dxa"/>
            <w:gridSpan w:val="2"/>
            <w:shd w:val="clear" w:color="auto" w:fill="auto"/>
            <w:vAlign w:val="center"/>
          </w:tcPr>
          <w:p w14:paraId="641F3EE5">
            <w:pPr>
              <w:pStyle w:val="59"/>
              <w:bidi w:val="0"/>
              <w:ind w:firstLine="0" w:firstLineChars="0"/>
              <w:jc w:val="center"/>
              <w:rPr>
                <w:rFonts w:ascii="Times New Roman" w:hAnsi="Times New Roman" w:eastAsia="宋体" w:cs="Times New Roman"/>
                <w:kern w:val="0"/>
                <w:sz w:val="21"/>
                <w:szCs w:val="20"/>
                <w:lang w:val="en-US" w:eastAsia="zh-CN" w:bidi="ar-SA"/>
              </w:rPr>
            </w:pPr>
            <w:r>
              <w:t>PET 膜</w:t>
            </w:r>
          </w:p>
        </w:tc>
        <w:tc>
          <w:tcPr>
            <w:tcW w:w="960" w:type="dxa"/>
            <w:vAlign w:val="center"/>
          </w:tcPr>
          <w:p w14:paraId="62B20C57">
            <w:pPr>
              <w:pStyle w:val="59"/>
              <w:bidi w:val="0"/>
            </w:pPr>
            <w:r>
              <w:t>塑料薄膜</w:t>
            </w:r>
          </w:p>
        </w:tc>
        <w:tc>
          <w:tcPr>
            <w:tcW w:w="1077" w:type="dxa"/>
            <w:vAlign w:val="center"/>
          </w:tcPr>
          <w:p w14:paraId="62145AD6">
            <w:pPr>
              <w:pStyle w:val="59"/>
              <w:bidi w:val="0"/>
            </w:pPr>
            <w:r>
              <w:rPr>
                <w:rFonts w:hint="default"/>
                <w:lang w:val="en-US" w:eastAsia="zh-CN"/>
              </w:rPr>
              <w:t>20</w:t>
            </w:r>
          </w:p>
        </w:tc>
        <w:tc>
          <w:tcPr>
            <w:tcW w:w="1036" w:type="dxa"/>
            <w:vAlign w:val="center"/>
          </w:tcPr>
          <w:p w14:paraId="3FAE5456">
            <w:pPr>
              <w:pStyle w:val="59"/>
              <w:bidi w:val="0"/>
            </w:pPr>
            <w:r>
              <w:rPr>
                <w:rFonts w:hint="eastAsia"/>
                <w:lang w:val="en-US" w:eastAsia="zh-CN"/>
              </w:rPr>
              <w:t>纸箱装</w:t>
            </w:r>
          </w:p>
        </w:tc>
        <w:tc>
          <w:tcPr>
            <w:tcW w:w="850" w:type="dxa"/>
            <w:vAlign w:val="center"/>
          </w:tcPr>
          <w:p w14:paraId="0A326ECF">
            <w:pPr>
              <w:pStyle w:val="59"/>
              <w:bidi w:val="0"/>
            </w:pPr>
            <w:r>
              <w:rPr>
                <w:rFonts w:hint="default"/>
                <w:lang w:val="en-US" w:eastAsia="zh-CN"/>
              </w:rPr>
              <w:t xml:space="preserve">0.8 </w:t>
            </w:r>
          </w:p>
        </w:tc>
        <w:tc>
          <w:tcPr>
            <w:tcW w:w="1226" w:type="dxa"/>
            <w:vMerge w:val="continue"/>
            <w:vAlign w:val="center"/>
          </w:tcPr>
          <w:p w14:paraId="16F6A878">
            <w:pPr>
              <w:pStyle w:val="59"/>
              <w:bidi w:val="0"/>
              <w:jc w:val="center"/>
            </w:pPr>
          </w:p>
        </w:tc>
        <w:tc>
          <w:tcPr>
            <w:tcW w:w="1988" w:type="dxa"/>
            <w:tcBorders>
              <w:right w:val="nil"/>
            </w:tcBorders>
            <w:vAlign w:val="center"/>
          </w:tcPr>
          <w:p w14:paraId="20C1B3B8">
            <w:pPr>
              <w:pStyle w:val="59"/>
              <w:bidi w:val="0"/>
              <w:jc w:val="center"/>
            </w:pPr>
            <w:r>
              <w:t>聚酯塑料薄膜，用作印刷基材</w:t>
            </w:r>
          </w:p>
        </w:tc>
      </w:tr>
      <w:tr w14:paraId="65C3913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494" w:type="dxa"/>
            <w:tcBorders>
              <w:left w:val="nil"/>
            </w:tcBorders>
            <w:vAlign w:val="center"/>
          </w:tcPr>
          <w:p w14:paraId="10A17384">
            <w:pPr>
              <w:pStyle w:val="59"/>
              <w:numPr>
                <w:ilvl w:val="0"/>
                <w:numId w:val="23"/>
              </w:numPr>
              <w:bidi w:val="0"/>
              <w:ind w:left="425" w:leftChars="0" w:hanging="425" w:firstLineChars="0"/>
              <w:jc w:val="center"/>
            </w:pPr>
          </w:p>
        </w:tc>
        <w:tc>
          <w:tcPr>
            <w:tcW w:w="1411" w:type="dxa"/>
            <w:gridSpan w:val="2"/>
            <w:shd w:val="clear" w:color="auto" w:fill="auto"/>
            <w:vAlign w:val="center"/>
          </w:tcPr>
          <w:p w14:paraId="324F6939">
            <w:pPr>
              <w:pStyle w:val="59"/>
              <w:bidi w:val="0"/>
              <w:ind w:firstLine="0" w:firstLineChars="0"/>
              <w:jc w:val="center"/>
              <w:rPr>
                <w:rFonts w:ascii="Times New Roman" w:hAnsi="Times New Roman" w:eastAsia="宋体" w:cs="Times New Roman"/>
                <w:kern w:val="0"/>
                <w:sz w:val="21"/>
                <w:szCs w:val="20"/>
                <w:lang w:val="en-US" w:eastAsia="zh-CN" w:bidi="ar-SA"/>
              </w:rPr>
            </w:pPr>
            <w:r>
              <w:t>OPP 膜</w:t>
            </w:r>
          </w:p>
        </w:tc>
        <w:tc>
          <w:tcPr>
            <w:tcW w:w="960" w:type="dxa"/>
            <w:vAlign w:val="center"/>
          </w:tcPr>
          <w:p w14:paraId="11169981">
            <w:pPr>
              <w:pStyle w:val="59"/>
              <w:bidi w:val="0"/>
            </w:pPr>
            <w:r>
              <w:t>塑料薄膜</w:t>
            </w:r>
          </w:p>
        </w:tc>
        <w:tc>
          <w:tcPr>
            <w:tcW w:w="1077" w:type="dxa"/>
            <w:vAlign w:val="center"/>
          </w:tcPr>
          <w:p w14:paraId="0DD60EBE">
            <w:pPr>
              <w:pStyle w:val="59"/>
              <w:bidi w:val="0"/>
            </w:pPr>
            <w:r>
              <w:rPr>
                <w:rFonts w:hint="default"/>
                <w:lang w:val="en-US" w:eastAsia="zh-CN"/>
              </w:rPr>
              <w:t>80</w:t>
            </w:r>
          </w:p>
        </w:tc>
        <w:tc>
          <w:tcPr>
            <w:tcW w:w="1036" w:type="dxa"/>
            <w:vAlign w:val="center"/>
          </w:tcPr>
          <w:p w14:paraId="26542220">
            <w:pPr>
              <w:pStyle w:val="59"/>
              <w:bidi w:val="0"/>
            </w:pPr>
            <w:r>
              <w:rPr>
                <w:rFonts w:hint="eastAsia"/>
                <w:lang w:val="en-US" w:eastAsia="zh-CN"/>
              </w:rPr>
              <w:t>纸箱装</w:t>
            </w:r>
          </w:p>
        </w:tc>
        <w:tc>
          <w:tcPr>
            <w:tcW w:w="850" w:type="dxa"/>
            <w:vAlign w:val="center"/>
          </w:tcPr>
          <w:p w14:paraId="6616DD09">
            <w:pPr>
              <w:pStyle w:val="59"/>
              <w:bidi w:val="0"/>
            </w:pPr>
            <w:r>
              <w:rPr>
                <w:rFonts w:hint="default"/>
                <w:lang w:val="en-US" w:eastAsia="zh-CN"/>
              </w:rPr>
              <w:t xml:space="preserve">3.3 </w:t>
            </w:r>
          </w:p>
        </w:tc>
        <w:tc>
          <w:tcPr>
            <w:tcW w:w="1226" w:type="dxa"/>
            <w:vMerge w:val="continue"/>
            <w:vAlign w:val="center"/>
          </w:tcPr>
          <w:p w14:paraId="1E7CA4D5">
            <w:pPr>
              <w:pStyle w:val="59"/>
              <w:bidi w:val="0"/>
              <w:jc w:val="center"/>
            </w:pPr>
          </w:p>
        </w:tc>
        <w:tc>
          <w:tcPr>
            <w:tcW w:w="1988" w:type="dxa"/>
            <w:tcBorders>
              <w:right w:val="nil"/>
            </w:tcBorders>
            <w:vAlign w:val="center"/>
          </w:tcPr>
          <w:p w14:paraId="13925E05">
            <w:pPr>
              <w:pStyle w:val="59"/>
              <w:bidi w:val="0"/>
              <w:jc w:val="center"/>
            </w:pPr>
            <w:r>
              <w:t>聚丙烯消光膜，用作印刷</w:t>
            </w:r>
            <w:r>
              <w:rPr>
                <w:rFonts w:hint="eastAsia"/>
                <w:lang w:eastAsia="zh-CN"/>
              </w:rPr>
              <w:t>、</w:t>
            </w:r>
            <w:r>
              <w:rPr>
                <w:rFonts w:hint="eastAsia"/>
                <w:lang w:val="en-US" w:eastAsia="zh-CN"/>
              </w:rPr>
              <w:t>复合</w:t>
            </w:r>
            <w:r>
              <w:t>基材</w:t>
            </w:r>
          </w:p>
        </w:tc>
      </w:tr>
      <w:tr w14:paraId="182EA7C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494" w:type="dxa"/>
            <w:tcBorders>
              <w:left w:val="nil"/>
            </w:tcBorders>
            <w:vAlign w:val="center"/>
          </w:tcPr>
          <w:p w14:paraId="0500FA06">
            <w:pPr>
              <w:pStyle w:val="59"/>
              <w:numPr>
                <w:ilvl w:val="0"/>
                <w:numId w:val="23"/>
              </w:numPr>
              <w:bidi w:val="0"/>
              <w:ind w:left="425" w:leftChars="0" w:hanging="425" w:firstLineChars="0"/>
              <w:jc w:val="center"/>
            </w:pPr>
          </w:p>
        </w:tc>
        <w:tc>
          <w:tcPr>
            <w:tcW w:w="1411" w:type="dxa"/>
            <w:gridSpan w:val="2"/>
            <w:shd w:val="clear" w:color="auto" w:fill="auto"/>
            <w:vAlign w:val="center"/>
          </w:tcPr>
          <w:p w14:paraId="6AAB581B">
            <w:pPr>
              <w:pStyle w:val="59"/>
              <w:bidi w:val="0"/>
              <w:ind w:firstLine="0" w:firstLineChars="0"/>
              <w:jc w:val="center"/>
              <w:rPr>
                <w:rFonts w:hint="eastAsia" w:ascii="Times New Roman" w:hAnsi="Times New Roman" w:eastAsia="宋体" w:cs="Times New Roman"/>
                <w:kern w:val="0"/>
                <w:sz w:val="21"/>
                <w:szCs w:val="20"/>
                <w:lang w:val="en-US" w:eastAsia="zh-CN" w:bidi="ar-SA"/>
              </w:rPr>
            </w:pPr>
            <w:r>
              <w:rPr>
                <w:rFonts w:hint="eastAsia"/>
                <w:lang w:val="en-US" w:eastAsia="zh-CN"/>
              </w:rPr>
              <w:t>珠光膜</w:t>
            </w:r>
          </w:p>
        </w:tc>
        <w:tc>
          <w:tcPr>
            <w:tcW w:w="960" w:type="dxa"/>
            <w:vAlign w:val="center"/>
          </w:tcPr>
          <w:p w14:paraId="03172129">
            <w:pPr>
              <w:pStyle w:val="59"/>
              <w:bidi w:val="0"/>
            </w:pPr>
            <w:r>
              <w:t>塑料薄膜</w:t>
            </w:r>
          </w:p>
        </w:tc>
        <w:tc>
          <w:tcPr>
            <w:tcW w:w="1077" w:type="dxa"/>
            <w:vAlign w:val="center"/>
          </w:tcPr>
          <w:p w14:paraId="7BF5F0A8">
            <w:pPr>
              <w:pStyle w:val="59"/>
              <w:bidi w:val="0"/>
            </w:pPr>
            <w:r>
              <w:rPr>
                <w:rFonts w:hint="default"/>
                <w:lang w:val="en-US" w:eastAsia="zh-CN"/>
              </w:rPr>
              <w:t xml:space="preserve">87.0 </w:t>
            </w:r>
          </w:p>
        </w:tc>
        <w:tc>
          <w:tcPr>
            <w:tcW w:w="1036" w:type="dxa"/>
            <w:vAlign w:val="center"/>
          </w:tcPr>
          <w:p w14:paraId="026E72A3">
            <w:pPr>
              <w:pStyle w:val="59"/>
              <w:bidi w:val="0"/>
            </w:pPr>
            <w:r>
              <w:rPr>
                <w:rFonts w:hint="eastAsia"/>
                <w:lang w:val="en-US" w:eastAsia="zh-CN"/>
              </w:rPr>
              <w:t>纸箱装</w:t>
            </w:r>
          </w:p>
        </w:tc>
        <w:tc>
          <w:tcPr>
            <w:tcW w:w="850" w:type="dxa"/>
            <w:vAlign w:val="center"/>
          </w:tcPr>
          <w:p w14:paraId="283153EF">
            <w:pPr>
              <w:pStyle w:val="59"/>
              <w:bidi w:val="0"/>
            </w:pPr>
            <w:r>
              <w:rPr>
                <w:rFonts w:hint="default"/>
                <w:lang w:val="en-US" w:eastAsia="zh-CN"/>
              </w:rPr>
              <w:t xml:space="preserve">3.6 </w:t>
            </w:r>
          </w:p>
        </w:tc>
        <w:tc>
          <w:tcPr>
            <w:tcW w:w="1226" w:type="dxa"/>
            <w:vMerge w:val="continue"/>
            <w:vAlign w:val="center"/>
          </w:tcPr>
          <w:p w14:paraId="717B3F3D">
            <w:pPr>
              <w:pStyle w:val="59"/>
              <w:bidi w:val="0"/>
              <w:jc w:val="center"/>
            </w:pPr>
          </w:p>
        </w:tc>
        <w:tc>
          <w:tcPr>
            <w:tcW w:w="1988" w:type="dxa"/>
            <w:tcBorders>
              <w:right w:val="nil"/>
            </w:tcBorders>
            <w:vAlign w:val="center"/>
          </w:tcPr>
          <w:p w14:paraId="30722913">
            <w:pPr>
              <w:pStyle w:val="59"/>
              <w:bidi w:val="0"/>
              <w:jc w:val="center"/>
            </w:pPr>
            <w:r>
              <w:rPr>
                <w:rFonts w:hint="eastAsia"/>
                <w:lang w:val="en-US" w:eastAsia="zh-CN"/>
              </w:rPr>
              <w:t>珠光膜</w:t>
            </w:r>
            <w:r>
              <w:t>，用作印刷</w:t>
            </w:r>
            <w:r>
              <w:rPr>
                <w:rFonts w:hint="eastAsia"/>
                <w:lang w:eastAsia="zh-CN"/>
              </w:rPr>
              <w:t>、</w:t>
            </w:r>
            <w:r>
              <w:rPr>
                <w:rFonts w:hint="eastAsia"/>
                <w:lang w:val="en-US" w:eastAsia="zh-CN"/>
              </w:rPr>
              <w:t>复合</w:t>
            </w:r>
            <w:r>
              <w:t>基材</w:t>
            </w:r>
          </w:p>
        </w:tc>
      </w:tr>
      <w:tr w14:paraId="66C73DB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15" w:hRule="atLeast"/>
        </w:trPr>
        <w:tc>
          <w:tcPr>
            <w:tcW w:w="494" w:type="dxa"/>
            <w:tcBorders>
              <w:left w:val="nil"/>
            </w:tcBorders>
            <w:vAlign w:val="center"/>
          </w:tcPr>
          <w:p w14:paraId="17FC051F">
            <w:pPr>
              <w:pStyle w:val="59"/>
              <w:numPr>
                <w:ilvl w:val="0"/>
                <w:numId w:val="23"/>
              </w:numPr>
              <w:bidi w:val="0"/>
              <w:ind w:left="425" w:leftChars="0" w:hanging="425" w:firstLineChars="0"/>
              <w:jc w:val="center"/>
            </w:pPr>
          </w:p>
        </w:tc>
        <w:tc>
          <w:tcPr>
            <w:tcW w:w="1411" w:type="dxa"/>
            <w:gridSpan w:val="2"/>
            <w:vAlign w:val="center"/>
          </w:tcPr>
          <w:p w14:paraId="41043E63">
            <w:pPr>
              <w:pStyle w:val="59"/>
              <w:bidi w:val="0"/>
              <w:jc w:val="center"/>
              <w:rPr>
                <w:rFonts w:hint="default"/>
                <w:lang w:val="en-US"/>
              </w:rPr>
            </w:pPr>
            <w:r>
              <w:rPr>
                <w:rFonts w:hint="eastAsia"/>
                <w:lang w:val="en-US" w:eastAsia="zh-CN"/>
              </w:rPr>
              <w:t>溶剂油墨</w:t>
            </w:r>
          </w:p>
        </w:tc>
        <w:tc>
          <w:tcPr>
            <w:tcW w:w="960" w:type="dxa"/>
            <w:vAlign w:val="center"/>
          </w:tcPr>
          <w:p w14:paraId="5370B1A9">
            <w:pPr>
              <w:pStyle w:val="59"/>
              <w:bidi w:val="0"/>
              <w:jc w:val="center"/>
            </w:pPr>
            <w:r>
              <w:t>液态</w:t>
            </w:r>
          </w:p>
        </w:tc>
        <w:tc>
          <w:tcPr>
            <w:tcW w:w="1077" w:type="dxa"/>
            <w:vAlign w:val="center"/>
          </w:tcPr>
          <w:p w14:paraId="7FE7BA42">
            <w:pPr>
              <w:pStyle w:val="59"/>
              <w:bidi w:val="0"/>
            </w:pPr>
            <w:r>
              <w:rPr>
                <w:rFonts w:hint="default"/>
                <w:lang w:val="en-US" w:eastAsia="zh-CN"/>
              </w:rPr>
              <w:t xml:space="preserve">74.80 </w:t>
            </w:r>
          </w:p>
        </w:tc>
        <w:tc>
          <w:tcPr>
            <w:tcW w:w="1036" w:type="dxa"/>
            <w:vAlign w:val="center"/>
          </w:tcPr>
          <w:p w14:paraId="07E7C306">
            <w:pPr>
              <w:pStyle w:val="59"/>
              <w:bidi w:val="0"/>
            </w:pPr>
            <w:r>
              <w:rPr>
                <w:rFonts w:hint="default"/>
                <w:lang w:val="en-US" w:eastAsia="zh-CN"/>
              </w:rPr>
              <w:t>18kg/</w:t>
            </w:r>
            <w:r>
              <w:rPr>
                <w:rFonts w:hint="eastAsia"/>
                <w:lang w:val="en-US" w:eastAsia="zh-CN"/>
              </w:rPr>
              <w:t>桶</w:t>
            </w:r>
          </w:p>
        </w:tc>
        <w:tc>
          <w:tcPr>
            <w:tcW w:w="850" w:type="dxa"/>
            <w:vAlign w:val="center"/>
          </w:tcPr>
          <w:p w14:paraId="31954122">
            <w:pPr>
              <w:pStyle w:val="59"/>
              <w:bidi w:val="0"/>
            </w:pPr>
            <w:r>
              <w:rPr>
                <w:rFonts w:hint="default"/>
                <w:lang w:val="en-US" w:eastAsia="zh-CN"/>
              </w:rPr>
              <w:t xml:space="preserve">3.6 </w:t>
            </w:r>
          </w:p>
        </w:tc>
        <w:tc>
          <w:tcPr>
            <w:tcW w:w="1226" w:type="dxa"/>
            <w:vAlign w:val="center"/>
          </w:tcPr>
          <w:p w14:paraId="0D908822">
            <w:pPr>
              <w:pStyle w:val="59"/>
              <w:bidi w:val="0"/>
              <w:jc w:val="center"/>
              <w:rPr>
                <w:rFonts w:hint="default" w:eastAsia="宋体"/>
                <w:lang w:val="en-US" w:eastAsia="zh-CN"/>
              </w:rPr>
            </w:pPr>
            <w:r>
              <w:rPr>
                <w:rFonts w:hint="eastAsia"/>
                <w:lang w:val="en-US" w:eastAsia="zh-CN"/>
              </w:rPr>
              <w:t>油墨仓库</w:t>
            </w:r>
          </w:p>
        </w:tc>
        <w:tc>
          <w:tcPr>
            <w:tcW w:w="1988" w:type="dxa"/>
            <w:tcBorders>
              <w:right w:val="nil"/>
            </w:tcBorders>
            <w:vAlign w:val="center"/>
          </w:tcPr>
          <w:p w14:paraId="2D1D31AD">
            <w:pPr>
              <w:pStyle w:val="59"/>
              <w:bidi w:val="0"/>
              <w:jc w:val="center"/>
            </w:pPr>
            <w:r>
              <w:t>用于印刷工序</w:t>
            </w:r>
          </w:p>
        </w:tc>
      </w:tr>
      <w:tr w14:paraId="4B86546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494" w:type="dxa"/>
            <w:vMerge w:val="restart"/>
            <w:tcBorders>
              <w:left w:val="nil"/>
            </w:tcBorders>
            <w:vAlign w:val="center"/>
          </w:tcPr>
          <w:p w14:paraId="75AD3891">
            <w:pPr>
              <w:pStyle w:val="59"/>
              <w:numPr>
                <w:ilvl w:val="0"/>
                <w:numId w:val="23"/>
              </w:numPr>
              <w:bidi w:val="0"/>
              <w:ind w:left="425" w:leftChars="0" w:hanging="425" w:firstLineChars="0"/>
              <w:jc w:val="center"/>
            </w:pPr>
          </w:p>
        </w:tc>
        <w:tc>
          <w:tcPr>
            <w:tcW w:w="425" w:type="dxa"/>
            <w:vMerge w:val="restart"/>
            <w:textDirection w:val="tbRlV"/>
            <w:vAlign w:val="center"/>
          </w:tcPr>
          <w:p w14:paraId="1086B33E">
            <w:pPr>
              <w:pStyle w:val="59"/>
              <w:bidi w:val="0"/>
              <w:jc w:val="center"/>
            </w:pPr>
            <w:r>
              <w:t>稀释剂</w:t>
            </w:r>
          </w:p>
        </w:tc>
        <w:tc>
          <w:tcPr>
            <w:tcW w:w="986" w:type="dxa"/>
            <w:vAlign w:val="center"/>
          </w:tcPr>
          <w:p w14:paraId="3CE7EEBD">
            <w:pPr>
              <w:pStyle w:val="59"/>
              <w:bidi w:val="0"/>
              <w:jc w:val="center"/>
            </w:pPr>
            <w:r>
              <w:t>乙酸乙酯</w:t>
            </w:r>
          </w:p>
        </w:tc>
        <w:tc>
          <w:tcPr>
            <w:tcW w:w="960" w:type="dxa"/>
            <w:vAlign w:val="center"/>
          </w:tcPr>
          <w:p w14:paraId="6BABF7AB">
            <w:pPr>
              <w:pStyle w:val="59"/>
              <w:bidi w:val="0"/>
              <w:jc w:val="center"/>
            </w:pPr>
            <w:r>
              <w:t>液态</w:t>
            </w:r>
          </w:p>
        </w:tc>
        <w:tc>
          <w:tcPr>
            <w:tcW w:w="1077" w:type="dxa"/>
            <w:vAlign w:val="center"/>
          </w:tcPr>
          <w:p w14:paraId="5DB3A72C">
            <w:pPr>
              <w:pStyle w:val="59"/>
              <w:bidi w:val="0"/>
            </w:pPr>
            <w:r>
              <w:rPr>
                <w:rFonts w:hint="default"/>
                <w:lang w:val="en-US" w:eastAsia="zh-CN"/>
              </w:rPr>
              <w:t xml:space="preserve">2.99 </w:t>
            </w:r>
          </w:p>
        </w:tc>
        <w:tc>
          <w:tcPr>
            <w:tcW w:w="1036" w:type="dxa"/>
            <w:vAlign w:val="center"/>
          </w:tcPr>
          <w:p w14:paraId="517ABF47">
            <w:pPr>
              <w:pStyle w:val="59"/>
              <w:bidi w:val="0"/>
            </w:pPr>
            <w:r>
              <w:rPr>
                <w:rFonts w:hint="default"/>
                <w:lang w:val="en-US" w:eastAsia="zh-CN"/>
              </w:rPr>
              <w:t>180kg/</w:t>
            </w:r>
            <w:r>
              <w:rPr>
                <w:rFonts w:hint="eastAsia"/>
                <w:lang w:val="en-US" w:eastAsia="zh-CN"/>
              </w:rPr>
              <w:t>桶</w:t>
            </w:r>
          </w:p>
        </w:tc>
        <w:tc>
          <w:tcPr>
            <w:tcW w:w="850" w:type="dxa"/>
            <w:vAlign w:val="center"/>
          </w:tcPr>
          <w:p w14:paraId="2A633C4C">
            <w:pPr>
              <w:pStyle w:val="59"/>
              <w:bidi w:val="0"/>
            </w:pPr>
            <w:r>
              <w:rPr>
                <w:rFonts w:hint="default"/>
                <w:lang w:val="en-US" w:eastAsia="zh-CN"/>
              </w:rPr>
              <w:t xml:space="preserve">0.9 </w:t>
            </w:r>
          </w:p>
        </w:tc>
        <w:tc>
          <w:tcPr>
            <w:tcW w:w="1226" w:type="dxa"/>
            <w:vAlign w:val="center"/>
          </w:tcPr>
          <w:p w14:paraId="02816BC9">
            <w:pPr>
              <w:pStyle w:val="59"/>
              <w:bidi w:val="0"/>
              <w:jc w:val="center"/>
              <w:rPr>
                <w:rFonts w:hint="default" w:eastAsia="宋体"/>
                <w:lang w:val="en-US" w:eastAsia="zh-CN"/>
              </w:rPr>
            </w:pPr>
            <w:r>
              <w:rPr>
                <w:rFonts w:hint="eastAsia"/>
                <w:lang w:val="en-US" w:eastAsia="zh-CN"/>
              </w:rPr>
              <w:t>溶剂仓库</w:t>
            </w:r>
          </w:p>
        </w:tc>
        <w:tc>
          <w:tcPr>
            <w:tcW w:w="1988" w:type="dxa"/>
            <w:tcBorders>
              <w:right w:val="nil"/>
            </w:tcBorders>
            <w:vAlign w:val="center"/>
          </w:tcPr>
          <w:p w14:paraId="0EE5301F">
            <w:pPr>
              <w:pStyle w:val="59"/>
              <w:bidi w:val="0"/>
              <w:jc w:val="center"/>
            </w:pPr>
            <w:r>
              <w:t>用于</w:t>
            </w:r>
            <w:r>
              <w:rPr>
                <w:rFonts w:hint="eastAsia"/>
                <w:lang w:val="en-US" w:eastAsia="zh-CN"/>
              </w:rPr>
              <w:t>溶剂油墨</w:t>
            </w:r>
            <w:r>
              <w:t>的调配</w:t>
            </w:r>
          </w:p>
        </w:tc>
      </w:tr>
      <w:tr w14:paraId="3F49B0AE">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7" w:hRule="atLeast"/>
        </w:trPr>
        <w:tc>
          <w:tcPr>
            <w:tcW w:w="494" w:type="dxa"/>
            <w:vMerge w:val="continue"/>
            <w:tcBorders>
              <w:left w:val="nil"/>
            </w:tcBorders>
            <w:vAlign w:val="center"/>
          </w:tcPr>
          <w:p w14:paraId="3A0CCB6E">
            <w:pPr>
              <w:pStyle w:val="59"/>
              <w:bidi w:val="0"/>
              <w:jc w:val="center"/>
            </w:pPr>
          </w:p>
        </w:tc>
        <w:tc>
          <w:tcPr>
            <w:tcW w:w="425" w:type="dxa"/>
            <w:vMerge w:val="continue"/>
            <w:textDirection w:val="tbRlV"/>
            <w:vAlign w:val="center"/>
          </w:tcPr>
          <w:p w14:paraId="56B4A9D5">
            <w:pPr>
              <w:pStyle w:val="59"/>
              <w:bidi w:val="0"/>
              <w:jc w:val="center"/>
            </w:pPr>
          </w:p>
        </w:tc>
        <w:tc>
          <w:tcPr>
            <w:tcW w:w="986" w:type="dxa"/>
            <w:vAlign w:val="center"/>
          </w:tcPr>
          <w:p w14:paraId="225F5A93">
            <w:pPr>
              <w:pStyle w:val="59"/>
              <w:bidi w:val="0"/>
              <w:jc w:val="center"/>
            </w:pPr>
            <w:r>
              <w:t>乙酸丙酯</w:t>
            </w:r>
          </w:p>
        </w:tc>
        <w:tc>
          <w:tcPr>
            <w:tcW w:w="960" w:type="dxa"/>
            <w:vAlign w:val="center"/>
          </w:tcPr>
          <w:p w14:paraId="60E51877">
            <w:pPr>
              <w:pStyle w:val="59"/>
              <w:bidi w:val="0"/>
              <w:jc w:val="center"/>
            </w:pPr>
            <w:r>
              <w:t>液态</w:t>
            </w:r>
          </w:p>
        </w:tc>
        <w:tc>
          <w:tcPr>
            <w:tcW w:w="1077" w:type="dxa"/>
            <w:vAlign w:val="center"/>
          </w:tcPr>
          <w:p w14:paraId="4B3A9986">
            <w:pPr>
              <w:pStyle w:val="59"/>
              <w:bidi w:val="0"/>
            </w:pPr>
            <w:r>
              <w:rPr>
                <w:rFonts w:hint="default"/>
                <w:lang w:val="en-US" w:eastAsia="zh-CN"/>
              </w:rPr>
              <w:t xml:space="preserve">8.98 </w:t>
            </w:r>
          </w:p>
        </w:tc>
        <w:tc>
          <w:tcPr>
            <w:tcW w:w="1036" w:type="dxa"/>
            <w:vAlign w:val="center"/>
          </w:tcPr>
          <w:p w14:paraId="0EEB1CF9">
            <w:pPr>
              <w:pStyle w:val="59"/>
              <w:bidi w:val="0"/>
            </w:pPr>
            <w:r>
              <w:rPr>
                <w:rFonts w:hint="default"/>
                <w:lang w:val="en-US" w:eastAsia="zh-CN"/>
              </w:rPr>
              <w:t>180kg/</w:t>
            </w:r>
            <w:r>
              <w:rPr>
                <w:rFonts w:hint="eastAsia"/>
                <w:lang w:val="en-US" w:eastAsia="zh-CN"/>
              </w:rPr>
              <w:t>桶</w:t>
            </w:r>
          </w:p>
        </w:tc>
        <w:tc>
          <w:tcPr>
            <w:tcW w:w="850" w:type="dxa"/>
            <w:vAlign w:val="center"/>
          </w:tcPr>
          <w:p w14:paraId="493F8C92">
            <w:pPr>
              <w:pStyle w:val="59"/>
              <w:bidi w:val="0"/>
            </w:pPr>
            <w:r>
              <w:rPr>
                <w:rFonts w:hint="default"/>
                <w:lang w:val="en-US" w:eastAsia="zh-CN"/>
              </w:rPr>
              <w:t xml:space="preserve">1.8 </w:t>
            </w:r>
          </w:p>
        </w:tc>
        <w:tc>
          <w:tcPr>
            <w:tcW w:w="1226" w:type="dxa"/>
            <w:vAlign w:val="center"/>
          </w:tcPr>
          <w:p w14:paraId="6D74C938">
            <w:pPr>
              <w:pStyle w:val="59"/>
              <w:bidi w:val="0"/>
              <w:jc w:val="center"/>
            </w:pPr>
            <w:r>
              <w:rPr>
                <w:rFonts w:hint="eastAsia"/>
                <w:lang w:val="en-US" w:eastAsia="zh-CN"/>
              </w:rPr>
              <w:t>溶剂仓库</w:t>
            </w:r>
          </w:p>
        </w:tc>
        <w:tc>
          <w:tcPr>
            <w:tcW w:w="1988" w:type="dxa"/>
            <w:tcBorders>
              <w:right w:val="nil"/>
            </w:tcBorders>
            <w:vAlign w:val="center"/>
          </w:tcPr>
          <w:p w14:paraId="0511997A">
            <w:pPr>
              <w:pStyle w:val="59"/>
              <w:bidi w:val="0"/>
              <w:jc w:val="center"/>
            </w:pPr>
            <w:r>
              <w:t>用于</w:t>
            </w:r>
            <w:r>
              <w:rPr>
                <w:rFonts w:hint="eastAsia"/>
                <w:lang w:val="en-US" w:eastAsia="zh-CN"/>
              </w:rPr>
              <w:t>溶剂油墨</w:t>
            </w:r>
            <w:r>
              <w:t>的调配</w:t>
            </w:r>
          </w:p>
        </w:tc>
      </w:tr>
      <w:tr w14:paraId="05CA11A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7" w:hRule="atLeast"/>
        </w:trPr>
        <w:tc>
          <w:tcPr>
            <w:tcW w:w="494" w:type="dxa"/>
            <w:vMerge w:val="continue"/>
            <w:tcBorders>
              <w:left w:val="nil"/>
            </w:tcBorders>
            <w:vAlign w:val="center"/>
          </w:tcPr>
          <w:p w14:paraId="5C68134B">
            <w:pPr>
              <w:pStyle w:val="59"/>
              <w:bidi w:val="0"/>
              <w:jc w:val="center"/>
            </w:pPr>
          </w:p>
        </w:tc>
        <w:tc>
          <w:tcPr>
            <w:tcW w:w="425" w:type="dxa"/>
            <w:vMerge w:val="continue"/>
            <w:textDirection w:val="tbRlV"/>
            <w:vAlign w:val="center"/>
          </w:tcPr>
          <w:p w14:paraId="3B0AB928">
            <w:pPr>
              <w:pStyle w:val="59"/>
              <w:bidi w:val="0"/>
              <w:jc w:val="center"/>
            </w:pPr>
          </w:p>
        </w:tc>
        <w:tc>
          <w:tcPr>
            <w:tcW w:w="986" w:type="dxa"/>
            <w:vAlign w:val="center"/>
          </w:tcPr>
          <w:p w14:paraId="3BF8A2E8">
            <w:pPr>
              <w:pStyle w:val="59"/>
              <w:bidi w:val="0"/>
              <w:jc w:val="center"/>
            </w:pPr>
            <w:r>
              <w:t>异丙醇</w:t>
            </w:r>
          </w:p>
        </w:tc>
        <w:tc>
          <w:tcPr>
            <w:tcW w:w="960" w:type="dxa"/>
            <w:vAlign w:val="center"/>
          </w:tcPr>
          <w:p w14:paraId="0EFA57F8">
            <w:pPr>
              <w:pStyle w:val="59"/>
              <w:bidi w:val="0"/>
              <w:jc w:val="center"/>
            </w:pPr>
            <w:r>
              <w:t>液态</w:t>
            </w:r>
          </w:p>
        </w:tc>
        <w:tc>
          <w:tcPr>
            <w:tcW w:w="1077" w:type="dxa"/>
            <w:vAlign w:val="center"/>
          </w:tcPr>
          <w:p w14:paraId="5AA72B5A">
            <w:pPr>
              <w:pStyle w:val="59"/>
              <w:bidi w:val="0"/>
            </w:pPr>
            <w:r>
              <w:rPr>
                <w:rFonts w:hint="default"/>
                <w:lang w:val="en-US" w:eastAsia="zh-CN"/>
              </w:rPr>
              <w:t xml:space="preserve">1.50 </w:t>
            </w:r>
          </w:p>
        </w:tc>
        <w:tc>
          <w:tcPr>
            <w:tcW w:w="1036" w:type="dxa"/>
            <w:vAlign w:val="center"/>
          </w:tcPr>
          <w:p w14:paraId="4D3AF0D4">
            <w:pPr>
              <w:pStyle w:val="59"/>
              <w:bidi w:val="0"/>
            </w:pPr>
            <w:r>
              <w:rPr>
                <w:rFonts w:hint="default"/>
                <w:lang w:val="en-US" w:eastAsia="zh-CN"/>
              </w:rPr>
              <w:t>160kg/</w:t>
            </w:r>
            <w:r>
              <w:rPr>
                <w:rFonts w:hint="eastAsia"/>
                <w:lang w:val="en-US" w:eastAsia="zh-CN"/>
              </w:rPr>
              <w:t>桶</w:t>
            </w:r>
          </w:p>
        </w:tc>
        <w:tc>
          <w:tcPr>
            <w:tcW w:w="850" w:type="dxa"/>
            <w:vAlign w:val="center"/>
          </w:tcPr>
          <w:p w14:paraId="38262FAC">
            <w:pPr>
              <w:pStyle w:val="59"/>
              <w:bidi w:val="0"/>
            </w:pPr>
            <w:r>
              <w:rPr>
                <w:rFonts w:hint="default"/>
                <w:lang w:val="en-US" w:eastAsia="zh-CN"/>
              </w:rPr>
              <w:t xml:space="preserve">0.3 </w:t>
            </w:r>
          </w:p>
        </w:tc>
        <w:tc>
          <w:tcPr>
            <w:tcW w:w="1226" w:type="dxa"/>
            <w:vAlign w:val="center"/>
          </w:tcPr>
          <w:p w14:paraId="40682084">
            <w:pPr>
              <w:pStyle w:val="59"/>
              <w:bidi w:val="0"/>
              <w:jc w:val="center"/>
            </w:pPr>
            <w:r>
              <w:rPr>
                <w:rFonts w:hint="eastAsia"/>
                <w:lang w:val="en-US" w:eastAsia="zh-CN"/>
              </w:rPr>
              <w:t>溶剂仓库</w:t>
            </w:r>
          </w:p>
        </w:tc>
        <w:tc>
          <w:tcPr>
            <w:tcW w:w="1988" w:type="dxa"/>
            <w:tcBorders>
              <w:right w:val="nil"/>
            </w:tcBorders>
            <w:vAlign w:val="center"/>
          </w:tcPr>
          <w:p w14:paraId="056FD13B">
            <w:pPr>
              <w:pStyle w:val="59"/>
              <w:bidi w:val="0"/>
              <w:jc w:val="center"/>
            </w:pPr>
            <w:r>
              <w:t>用于</w:t>
            </w:r>
            <w:r>
              <w:rPr>
                <w:rFonts w:hint="eastAsia"/>
                <w:lang w:val="en-US" w:eastAsia="zh-CN"/>
              </w:rPr>
              <w:t>溶剂油墨</w:t>
            </w:r>
            <w:r>
              <w:t>的调配</w:t>
            </w:r>
          </w:p>
        </w:tc>
      </w:tr>
      <w:tr w14:paraId="2DA232C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47" w:hRule="atLeast"/>
        </w:trPr>
        <w:tc>
          <w:tcPr>
            <w:tcW w:w="494" w:type="dxa"/>
            <w:vMerge w:val="continue"/>
            <w:tcBorders>
              <w:left w:val="nil"/>
            </w:tcBorders>
            <w:vAlign w:val="center"/>
          </w:tcPr>
          <w:p w14:paraId="76F2AD46">
            <w:pPr>
              <w:pStyle w:val="59"/>
              <w:bidi w:val="0"/>
              <w:jc w:val="center"/>
            </w:pPr>
          </w:p>
        </w:tc>
        <w:tc>
          <w:tcPr>
            <w:tcW w:w="425" w:type="dxa"/>
            <w:vMerge w:val="continue"/>
            <w:textDirection w:val="tbRlV"/>
            <w:vAlign w:val="center"/>
          </w:tcPr>
          <w:p w14:paraId="20A5C495">
            <w:pPr>
              <w:pStyle w:val="59"/>
              <w:bidi w:val="0"/>
              <w:jc w:val="center"/>
            </w:pPr>
          </w:p>
        </w:tc>
        <w:tc>
          <w:tcPr>
            <w:tcW w:w="986" w:type="dxa"/>
            <w:vAlign w:val="center"/>
          </w:tcPr>
          <w:p w14:paraId="3288BC61">
            <w:pPr>
              <w:pStyle w:val="59"/>
              <w:bidi w:val="0"/>
              <w:jc w:val="center"/>
            </w:pPr>
            <w:r>
              <w:t>乙酸丁酯</w:t>
            </w:r>
          </w:p>
        </w:tc>
        <w:tc>
          <w:tcPr>
            <w:tcW w:w="960" w:type="dxa"/>
            <w:vAlign w:val="center"/>
          </w:tcPr>
          <w:p w14:paraId="5987D36B">
            <w:pPr>
              <w:pStyle w:val="59"/>
              <w:bidi w:val="0"/>
              <w:jc w:val="center"/>
            </w:pPr>
            <w:r>
              <w:t>液态</w:t>
            </w:r>
          </w:p>
        </w:tc>
        <w:tc>
          <w:tcPr>
            <w:tcW w:w="1077" w:type="dxa"/>
            <w:vAlign w:val="center"/>
          </w:tcPr>
          <w:p w14:paraId="7A293A7A">
            <w:pPr>
              <w:pStyle w:val="59"/>
              <w:bidi w:val="0"/>
            </w:pPr>
            <w:r>
              <w:rPr>
                <w:rFonts w:hint="default"/>
                <w:lang w:val="en-US" w:eastAsia="zh-CN"/>
              </w:rPr>
              <w:t xml:space="preserve">1.50 </w:t>
            </w:r>
          </w:p>
        </w:tc>
        <w:tc>
          <w:tcPr>
            <w:tcW w:w="1036" w:type="dxa"/>
            <w:vAlign w:val="center"/>
          </w:tcPr>
          <w:p w14:paraId="51AAFCC3">
            <w:pPr>
              <w:pStyle w:val="59"/>
              <w:bidi w:val="0"/>
            </w:pPr>
            <w:r>
              <w:rPr>
                <w:rFonts w:hint="default"/>
                <w:lang w:val="en-US" w:eastAsia="zh-CN"/>
              </w:rPr>
              <w:t>25kg/</w:t>
            </w:r>
            <w:r>
              <w:rPr>
                <w:rFonts w:hint="eastAsia"/>
                <w:lang w:val="en-US" w:eastAsia="zh-CN"/>
              </w:rPr>
              <w:t>桶</w:t>
            </w:r>
          </w:p>
        </w:tc>
        <w:tc>
          <w:tcPr>
            <w:tcW w:w="850" w:type="dxa"/>
            <w:vAlign w:val="center"/>
          </w:tcPr>
          <w:p w14:paraId="4203DFA4">
            <w:pPr>
              <w:pStyle w:val="59"/>
              <w:bidi w:val="0"/>
            </w:pPr>
            <w:r>
              <w:rPr>
                <w:rFonts w:hint="default"/>
                <w:lang w:val="en-US" w:eastAsia="zh-CN"/>
              </w:rPr>
              <w:t xml:space="preserve">0.5 </w:t>
            </w:r>
          </w:p>
        </w:tc>
        <w:tc>
          <w:tcPr>
            <w:tcW w:w="1226" w:type="dxa"/>
            <w:vAlign w:val="center"/>
          </w:tcPr>
          <w:p w14:paraId="1900128B">
            <w:pPr>
              <w:pStyle w:val="59"/>
              <w:bidi w:val="0"/>
              <w:jc w:val="center"/>
            </w:pPr>
            <w:r>
              <w:rPr>
                <w:rFonts w:hint="eastAsia"/>
                <w:lang w:val="en-US" w:eastAsia="zh-CN"/>
              </w:rPr>
              <w:t>溶剂仓库</w:t>
            </w:r>
          </w:p>
        </w:tc>
        <w:tc>
          <w:tcPr>
            <w:tcW w:w="1988" w:type="dxa"/>
            <w:tcBorders>
              <w:right w:val="nil"/>
            </w:tcBorders>
            <w:vAlign w:val="center"/>
          </w:tcPr>
          <w:p w14:paraId="5292196D">
            <w:pPr>
              <w:pStyle w:val="59"/>
              <w:bidi w:val="0"/>
              <w:jc w:val="center"/>
            </w:pPr>
            <w:r>
              <w:t>用于</w:t>
            </w:r>
            <w:r>
              <w:rPr>
                <w:rFonts w:hint="eastAsia"/>
                <w:lang w:val="en-US" w:eastAsia="zh-CN"/>
              </w:rPr>
              <w:t>溶剂油墨</w:t>
            </w:r>
            <w:r>
              <w:t>的调配</w:t>
            </w:r>
          </w:p>
        </w:tc>
      </w:tr>
      <w:tr w14:paraId="2EA34F2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19" w:hRule="atLeast"/>
        </w:trPr>
        <w:tc>
          <w:tcPr>
            <w:tcW w:w="494" w:type="dxa"/>
            <w:tcBorders>
              <w:left w:val="nil"/>
            </w:tcBorders>
            <w:vAlign w:val="center"/>
          </w:tcPr>
          <w:p w14:paraId="0F5530DB">
            <w:pPr>
              <w:pStyle w:val="59"/>
              <w:numPr>
                <w:ilvl w:val="0"/>
                <w:numId w:val="23"/>
              </w:numPr>
              <w:bidi w:val="0"/>
              <w:ind w:left="425" w:leftChars="0" w:hanging="425" w:firstLineChars="0"/>
              <w:jc w:val="center"/>
            </w:pPr>
          </w:p>
        </w:tc>
        <w:tc>
          <w:tcPr>
            <w:tcW w:w="425" w:type="dxa"/>
            <w:textDirection w:val="tbRlV"/>
            <w:vAlign w:val="center"/>
          </w:tcPr>
          <w:p w14:paraId="2D8DBB04">
            <w:pPr>
              <w:pStyle w:val="59"/>
              <w:bidi w:val="0"/>
              <w:jc w:val="center"/>
            </w:pPr>
            <w:r>
              <w:t>清洗剂</w:t>
            </w:r>
          </w:p>
        </w:tc>
        <w:tc>
          <w:tcPr>
            <w:tcW w:w="986" w:type="dxa"/>
            <w:vAlign w:val="center"/>
          </w:tcPr>
          <w:p w14:paraId="215D3B1B">
            <w:pPr>
              <w:pStyle w:val="59"/>
              <w:bidi w:val="0"/>
              <w:jc w:val="center"/>
            </w:pPr>
            <w:r>
              <w:t>乙酸乙酯</w:t>
            </w:r>
          </w:p>
        </w:tc>
        <w:tc>
          <w:tcPr>
            <w:tcW w:w="960" w:type="dxa"/>
            <w:vAlign w:val="center"/>
          </w:tcPr>
          <w:p w14:paraId="7862F058">
            <w:pPr>
              <w:pStyle w:val="59"/>
              <w:bidi w:val="0"/>
              <w:jc w:val="center"/>
            </w:pPr>
            <w:r>
              <w:t>液态</w:t>
            </w:r>
          </w:p>
        </w:tc>
        <w:tc>
          <w:tcPr>
            <w:tcW w:w="1077" w:type="dxa"/>
            <w:vAlign w:val="center"/>
          </w:tcPr>
          <w:p w14:paraId="31317B1E">
            <w:pPr>
              <w:pStyle w:val="59"/>
              <w:bidi w:val="0"/>
            </w:pPr>
            <w:r>
              <w:rPr>
                <w:rFonts w:hint="default"/>
                <w:lang w:val="en-US" w:eastAsia="zh-CN"/>
              </w:rPr>
              <w:t xml:space="preserve">0.30 </w:t>
            </w:r>
          </w:p>
        </w:tc>
        <w:tc>
          <w:tcPr>
            <w:tcW w:w="1036" w:type="dxa"/>
            <w:vAlign w:val="center"/>
          </w:tcPr>
          <w:p w14:paraId="063C4DDC">
            <w:pPr>
              <w:pStyle w:val="59"/>
              <w:bidi w:val="0"/>
            </w:pPr>
            <w:r>
              <w:rPr>
                <w:rFonts w:hint="default"/>
                <w:lang w:val="en-US" w:eastAsia="zh-CN"/>
              </w:rPr>
              <w:t>160kg/桶</w:t>
            </w:r>
          </w:p>
        </w:tc>
        <w:tc>
          <w:tcPr>
            <w:tcW w:w="850" w:type="dxa"/>
            <w:vAlign w:val="center"/>
          </w:tcPr>
          <w:p w14:paraId="69229B1F">
            <w:pPr>
              <w:pStyle w:val="59"/>
              <w:bidi w:val="0"/>
            </w:pPr>
            <w:r>
              <w:rPr>
                <w:rFonts w:hint="default"/>
                <w:lang w:val="en-US" w:eastAsia="zh-CN"/>
              </w:rPr>
              <w:t>0.</w:t>
            </w:r>
            <w:r>
              <w:rPr>
                <w:rFonts w:hint="eastAsia"/>
                <w:lang w:val="en-US" w:eastAsia="zh-CN"/>
              </w:rPr>
              <w:t>9</w:t>
            </w:r>
          </w:p>
        </w:tc>
        <w:tc>
          <w:tcPr>
            <w:tcW w:w="1226" w:type="dxa"/>
            <w:vAlign w:val="center"/>
          </w:tcPr>
          <w:p w14:paraId="2541E268">
            <w:pPr>
              <w:pStyle w:val="59"/>
              <w:bidi w:val="0"/>
              <w:jc w:val="center"/>
            </w:pPr>
            <w:r>
              <w:rPr>
                <w:rFonts w:hint="eastAsia"/>
                <w:lang w:val="en-US" w:eastAsia="zh-CN"/>
              </w:rPr>
              <w:t>溶剂仓库</w:t>
            </w:r>
          </w:p>
        </w:tc>
        <w:tc>
          <w:tcPr>
            <w:tcW w:w="1988" w:type="dxa"/>
            <w:tcBorders>
              <w:right w:val="nil"/>
            </w:tcBorders>
            <w:vAlign w:val="center"/>
          </w:tcPr>
          <w:p w14:paraId="1F6E8043">
            <w:pPr>
              <w:pStyle w:val="59"/>
              <w:bidi w:val="0"/>
              <w:jc w:val="center"/>
              <w:rPr>
                <w:rFonts w:hint="eastAsia" w:eastAsia="宋体"/>
                <w:lang w:eastAsia="zh-CN"/>
              </w:rPr>
            </w:pPr>
            <w:r>
              <w:t>用于</w:t>
            </w:r>
            <w:r>
              <w:rPr>
                <w:rFonts w:hint="eastAsia"/>
                <w:lang w:val="en-US" w:eastAsia="zh-CN"/>
              </w:rPr>
              <w:t>洗机</w:t>
            </w:r>
          </w:p>
        </w:tc>
      </w:tr>
      <w:tr w14:paraId="1E6EEFA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494" w:type="dxa"/>
            <w:tcBorders>
              <w:left w:val="nil"/>
            </w:tcBorders>
            <w:vAlign w:val="center"/>
          </w:tcPr>
          <w:p w14:paraId="07D768AC">
            <w:pPr>
              <w:pStyle w:val="59"/>
              <w:numPr>
                <w:ilvl w:val="0"/>
                <w:numId w:val="23"/>
              </w:numPr>
              <w:bidi w:val="0"/>
              <w:ind w:left="425" w:leftChars="0" w:hanging="425" w:firstLineChars="0"/>
              <w:jc w:val="center"/>
            </w:pPr>
          </w:p>
        </w:tc>
        <w:tc>
          <w:tcPr>
            <w:tcW w:w="1411" w:type="dxa"/>
            <w:gridSpan w:val="2"/>
            <w:vAlign w:val="center"/>
          </w:tcPr>
          <w:p w14:paraId="69AEB053">
            <w:pPr>
              <w:pStyle w:val="59"/>
              <w:bidi w:val="0"/>
              <w:jc w:val="center"/>
              <w:rPr>
                <w:rFonts w:hint="default" w:eastAsia="宋体"/>
                <w:lang w:val="en-US" w:eastAsia="zh-CN"/>
              </w:rPr>
            </w:pPr>
            <w:r>
              <w:rPr>
                <w:rFonts w:hint="eastAsia"/>
                <w:lang w:val="en-US" w:eastAsia="zh-CN"/>
              </w:rPr>
              <w:t>无溶剂胶水</w:t>
            </w:r>
          </w:p>
        </w:tc>
        <w:tc>
          <w:tcPr>
            <w:tcW w:w="960" w:type="dxa"/>
            <w:vAlign w:val="center"/>
          </w:tcPr>
          <w:p w14:paraId="58E89BAA">
            <w:pPr>
              <w:pStyle w:val="59"/>
              <w:bidi w:val="0"/>
              <w:jc w:val="center"/>
            </w:pPr>
            <w:r>
              <w:t>液态</w:t>
            </w:r>
          </w:p>
        </w:tc>
        <w:tc>
          <w:tcPr>
            <w:tcW w:w="1077" w:type="dxa"/>
            <w:vAlign w:val="center"/>
          </w:tcPr>
          <w:p w14:paraId="6FE7A4E1">
            <w:pPr>
              <w:pStyle w:val="59"/>
              <w:bidi w:val="0"/>
            </w:pPr>
            <w:r>
              <w:rPr>
                <w:rFonts w:hint="default"/>
                <w:lang w:val="en-US" w:eastAsia="zh-CN"/>
              </w:rPr>
              <w:t xml:space="preserve">4.6 </w:t>
            </w:r>
          </w:p>
        </w:tc>
        <w:tc>
          <w:tcPr>
            <w:tcW w:w="1036" w:type="dxa"/>
            <w:vAlign w:val="center"/>
          </w:tcPr>
          <w:p w14:paraId="33B57FD8">
            <w:pPr>
              <w:pStyle w:val="59"/>
              <w:bidi w:val="0"/>
            </w:pPr>
            <w:r>
              <w:rPr>
                <w:rFonts w:hint="default"/>
                <w:lang w:val="en-US" w:eastAsia="zh-CN"/>
              </w:rPr>
              <w:t>25kg/</w:t>
            </w:r>
            <w:r>
              <w:rPr>
                <w:rFonts w:hint="eastAsia"/>
                <w:lang w:val="en-US" w:eastAsia="zh-CN"/>
              </w:rPr>
              <w:t>桶</w:t>
            </w:r>
          </w:p>
        </w:tc>
        <w:tc>
          <w:tcPr>
            <w:tcW w:w="850" w:type="dxa"/>
            <w:vAlign w:val="center"/>
          </w:tcPr>
          <w:p w14:paraId="15B41B0A">
            <w:pPr>
              <w:pStyle w:val="59"/>
              <w:bidi w:val="0"/>
              <w:rPr>
                <w:rFonts w:hint="default"/>
                <w:lang w:val="en-US"/>
              </w:rPr>
            </w:pPr>
            <w:r>
              <w:rPr>
                <w:rFonts w:hint="eastAsia"/>
                <w:lang w:val="en-US" w:eastAsia="zh-CN"/>
              </w:rPr>
              <w:t>1.0</w:t>
            </w:r>
          </w:p>
        </w:tc>
        <w:tc>
          <w:tcPr>
            <w:tcW w:w="1226" w:type="dxa"/>
            <w:vAlign w:val="center"/>
          </w:tcPr>
          <w:p w14:paraId="2312368D">
            <w:pPr>
              <w:pStyle w:val="59"/>
              <w:bidi w:val="0"/>
              <w:jc w:val="center"/>
            </w:pPr>
            <w:r>
              <w:rPr>
                <w:rFonts w:hint="eastAsia"/>
                <w:lang w:val="en-US" w:eastAsia="zh-CN"/>
              </w:rPr>
              <w:t>溶剂仓库</w:t>
            </w:r>
          </w:p>
        </w:tc>
        <w:tc>
          <w:tcPr>
            <w:tcW w:w="1988" w:type="dxa"/>
            <w:tcBorders>
              <w:right w:val="nil"/>
            </w:tcBorders>
            <w:vAlign w:val="center"/>
          </w:tcPr>
          <w:p w14:paraId="6B9119A1">
            <w:pPr>
              <w:pStyle w:val="59"/>
              <w:bidi w:val="0"/>
              <w:jc w:val="center"/>
              <w:rPr>
                <w:rFonts w:hint="default" w:eastAsia="宋体"/>
                <w:lang w:val="en-US" w:eastAsia="zh-CN"/>
              </w:rPr>
            </w:pPr>
            <w:r>
              <w:rPr>
                <w:rFonts w:hint="eastAsia"/>
                <w:lang w:val="en-US" w:eastAsia="zh-CN"/>
              </w:rPr>
              <w:t>亦称聚氨酯胶水，分为A胶、B胶，用于复合工序，使用时1.2：1调配</w:t>
            </w:r>
          </w:p>
        </w:tc>
      </w:tr>
      <w:tr w14:paraId="17ED2788">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494" w:type="dxa"/>
            <w:tcBorders>
              <w:left w:val="nil"/>
            </w:tcBorders>
            <w:vAlign w:val="center"/>
          </w:tcPr>
          <w:p w14:paraId="25A4BB52">
            <w:pPr>
              <w:pStyle w:val="59"/>
              <w:numPr>
                <w:ilvl w:val="0"/>
                <w:numId w:val="23"/>
              </w:numPr>
              <w:bidi w:val="0"/>
              <w:ind w:left="425" w:leftChars="0" w:hanging="425" w:firstLineChars="0"/>
              <w:jc w:val="center"/>
            </w:pPr>
          </w:p>
        </w:tc>
        <w:tc>
          <w:tcPr>
            <w:tcW w:w="1411" w:type="dxa"/>
            <w:gridSpan w:val="2"/>
            <w:vAlign w:val="center"/>
          </w:tcPr>
          <w:p w14:paraId="41A06B83">
            <w:pPr>
              <w:pStyle w:val="59"/>
              <w:bidi w:val="0"/>
              <w:jc w:val="center"/>
              <w:rPr>
                <w:rFonts w:hint="default"/>
                <w:lang w:val="en-US" w:eastAsia="zh-CN"/>
              </w:rPr>
            </w:pPr>
            <w:r>
              <w:rPr>
                <w:rFonts w:hint="eastAsia"/>
                <w:lang w:val="en-US" w:eastAsia="zh-CN"/>
              </w:rPr>
              <w:t>四氢呋喃</w:t>
            </w:r>
          </w:p>
        </w:tc>
        <w:tc>
          <w:tcPr>
            <w:tcW w:w="960" w:type="dxa"/>
            <w:vAlign w:val="center"/>
          </w:tcPr>
          <w:p w14:paraId="2B58B25F">
            <w:pPr>
              <w:pStyle w:val="59"/>
              <w:bidi w:val="0"/>
              <w:jc w:val="center"/>
            </w:pPr>
            <w:r>
              <w:t>液态</w:t>
            </w:r>
          </w:p>
        </w:tc>
        <w:tc>
          <w:tcPr>
            <w:tcW w:w="1077" w:type="dxa"/>
            <w:vAlign w:val="center"/>
          </w:tcPr>
          <w:p w14:paraId="1D5616E2">
            <w:pPr>
              <w:pStyle w:val="59"/>
              <w:bidi w:val="0"/>
              <w:rPr>
                <w:rFonts w:hint="default"/>
                <w:lang w:val="en-US" w:eastAsia="zh-CN"/>
              </w:rPr>
            </w:pPr>
            <w:r>
              <w:rPr>
                <w:rFonts w:hint="eastAsia"/>
                <w:lang w:val="en-US" w:eastAsia="zh-CN"/>
              </w:rPr>
              <w:t>0.870</w:t>
            </w:r>
          </w:p>
        </w:tc>
        <w:tc>
          <w:tcPr>
            <w:tcW w:w="1036" w:type="dxa"/>
            <w:vAlign w:val="center"/>
          </w:tcPr>
          <w:p w14:paraId="388E7171">
            <w:pPr>
              <w:pStyle w:val="59"/>
              <w:bidi w:val="0"/>
              <w:rPr>
                <w:rFonts w:hint="default"/>
                <w:lang w:val="en-US" w:eastAsia="zh-CN"/>
              </w:rPr>
            </w:pPr>
            <w:r>
              <w:rPr>
                <w:rFonts w:hint="default"/>
                <w:lang w:val="en-US" w:eastAsia="zh-CN"/>
              </w:rPr>
              <w:t>25kg/</w:t>
            </w:r>
            <w:r>
              <w:rPr>
                <w:rFonts w:hint="eastAsia"/>
                <w:lang w:val="en-US" w:eastAsia="zh-CN"/>
              </w:rPr>
              <w:t>桶</w:t>
            </w:r>
          </w:p>
        </w:tc>
        <w:tc>
          <w:tcPr>
            <w:tcW w:w="850" w:type="dxa"/>
            <w:vAlign w:val="center"/>
          </w:tcPr>
          <w:p w14:paraId="60FD50C5">
            <w:pPr>
              <w:pStyle w:val="59"/>
              <w:bidi w:val="0"/>
              <w:rPr>
                <w:rFonts w:hint="default"/>
                <w:lang w:val="en-US" w:eastAsia="zh-CN"/>
              </w:rPr>
            </w:pPr>
            <w:r>
              <w:rPr>
                <w:rFonts w:hint="eastAsia"/>
                <w:lang w:val="en-US" w:eastAsia="zh-CN"/>
              </w:rPr>
              <w:t>0.1</w:t>
            </w:r>
          </w:p>
        </w:tc>
        <w:tc>
          <w:tcPr>
            <w:tcW w:w="1226" w:type="dxa"/>
            <w:vAlign w:val="center"/>
          </w:tcPr>
          <w:p w14:paraId="45BAD639">
            <w:pPr>
              <w:pStyle w:val="59"/>
              <w:bidi w:val="0"/>
              <w:jc w:val="center"/>
            </w:pPr>
            <w:r>
              <w:rPr>
                <w:rFonts w:hint="eastAsia"/>
                <w:lang w:val="en-US" w:eastAsia="zh-CN"/>
              </w:rPr>
              <w:t>溶剂仓库</w:t>
            </w:r>
          </w:p>
        </w:tc>
        <w:tc>
          <w:tcPr>
            <w:tcW w:w="1988" w:type="dxa"/>
            <w:tcBorders>
              <w:right w:val="nil"/>
            </w:tcBorders>
            <w:vAlign w:val="center"/>
          </w:tcPr>
          <w:p w14:paraId="361B87F7">
            <w:pPr>
              <w:pStyle w:val="59"/>
              <w:bidi w:val="0"/>
              <w:jc w:val="center"/>
              <w:rPr>
                <w:rFonts w:hint="default"/>
                <w:lang w:val="en-US" w:eastAsia="zh-CN"/>
              </w:rPr>
            </w:pPr>
            <w:r>
              <w:rPr>
                <w:rFonts w:hint="eastAsia"/>
                <w:lang w:val="en-US" w:eastAsia="zh-CN"/>
              </w:rPr>
              <w:t>用于合掌工序</w:t>
            </w:r>
          </w:p>
        </w:tc>
      </w:tr>
      <w:tr w14:paraId="6707794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87" w:hRule="atLeast"/>
        </w:trPr>
        <w:tc>
          <w:tcPr>
            <w:tcW w:w="494" w:type="dxa"/>
            <w:tcBorders>
              <w:left w:val="nil"/>
              <w:bottom w:val="single" w:color="000000" w:sz="16" w:space="0"/>
            </w:tcBorders>
            <w:vAlign w:val="center"/>
          </w:tcPr>
          <w:p w14:paraId="210EF9B9">
            <w:pPr>
              <w:pStyle w:val="59"/>
              <w:numPr>
                <w:ilvl w:val="0"/>
                <w:numId w:val="23"/>
              </w:numPr>
              <w:bidi w:val="0"/>
              <w:ind w:left="425" w:leftChars="0" w:hanging="425" w:firstLineChars="0"/>
              <w:jc w:val="center"/>
            </w:pPr>
          </w:p>
        </w:tc>
        <w:tc>
          <w:tcPr>
            <w:tcW w:w="1411" w:type="dxa"/>
            <w:gridSpan w:val="2"/>
            <w:tcBorders>
              <w:bottom w:val="single" w:color="000000" w:sz="16" w:space="0"/>
            </w:tcBorders>
            <w:vAlign w:val="center"/>
          </w:tcPr>
          <w:p w14:paraId="052C8693">
            <w:pPr>
              <w:pStyle w:val="59"/>
              <w:bidi w:val="0"/>
              <w:jc w:val="center"/>
              <w:rPr>
                <w:rFonts w:hint="eastAsia" w:eastAsia="宋体"/>
                <w:lang w:eastAsia="zh-CN"/>
              </w:rPr>
            </w:pPr>
            <w:r>
              <w:rPr>
                <w:rFonts w:hint="eastAsia"/>
                <w:lang w:val="en-US" w:eastAsia="zh-CN"/>
              </w:rPr>
              <w:t>润滑油</w:t>
            </w:r>
          </w:p>
        </w:tc>
        <w:tc>
          <w:tcPr>
            <w:tcW w:w="960" w:type="dxa"/>
            <w:tcBorders>
              <w:bottom w:val="single" w:color="000000" w:sz="16" w:space="0"/>
            </w:tcBorders>
            <w:vAlign w:val="center"/>
          </w:tcPr>
          <w:p w14:paraId="4CE4347C">
            <w:pPr>
              <w:pStyle w:val="59"/>
              <w:bidi w:val="0"/>
              <w:jc w:val="center"/>
            </w:pPr>
            <w:r>
              <w:t>液态</w:t>
            </w:r>
          </w:p>
        </w:tc>
        <w:tc>
          <w:tcPr>
            <w:tcW w:w="1077" w:type="dxa"/>
            <w:tcBorders>
              <w:bottom w:val="single" w:color="000000" w:sz="16" w:space="0"/>
            </w:tcBorders>
            <w:vAlign w:val="center"/>
          </w:tcPr>
          <w:p w14:paraId="556F6127">
            <w:pPr>
              <w:pStyle w:val="59"/>
              <w:bidi w:val="0"/>
            </w:pPr>
            <w:r>
              <w:rPr>
                <w:rFonts w:hint="default"/>
                <w:lang w:val="en-US" w:eastAsia="zh-CN"/>
              </w:rPr>
              <w:t>0.36</w:t>
            </w:r>
          </w:p>
        </w:tc>
        <w:tc>
          <w:tcPr>
            <w:tcW w:w="1036" w:type="dxa"/>
            <w:tcBorders>
              <w:bottom w:val="single" w:color="000000" w:sz="16" w:space="0"/>
            </w:tcBorders>
            <w:vAlign w:val="center"/>
          </w:tcPr>
          <w:p w14:paraId="46C08F66">
            <w:pPr>
              <w:pStyle w:val="59"/>
              <w:bidi w:val="0"/>
            </w:pPr>
            <w:r>
              <w:rPr>
                <w:rFonts w:hint="default"/>
                <w:lang w:val="en-US" w:eastAsia="zh-CN"/>
              </w:rPr>
              <w:t>180kg/</w:t>
            </w:r>
            <w:r>
              <w:rPr>
                <w:rFonts w:hint="eastAsia"/>
                <w:lang w:val="en-US" w:eastAsia="zh-CN"/>
              </w:rPr>
              <w:t>桶</w:t>
            </w:r>
          </w:p>
        </w:tc>
        <w:tc>
          <w:tcPr>
            <w:tcW w:w="850" w:type="dxa"/>
            <w:tcBorders>
              <w:bottom w:val="single" w:color="000000" w:sz="16" w:space="0"/>
            </w:tcBorders>
            <w:vAlign w:val="center"/>
          </w:tcPr>
          <w:p w14:paraId="39130183">
            <w:pPr>
              <w:pStyle w:val="59"/>
              <w:bidi w:val="0"/>
            </w:pPr>
            <w:r>
              <w:rPr>
                <w:rFonts w:hint="default"/>
                <w:lang w:val="en-US" w:eastAsia="zh-CN"/>
              </w:rPr>
              <w:t>0.36</w:t>
            </w:r>
          </w:p>
        </w:tc>
        <w:tc>
          <w:tcPr>
            <w:tcW w:w="1226" w:type="dxa"/>
            <w:tcBorders>
              <w:bottom w:val="single" w:color="000000" w:sz="16" w:space="0"/>
            </w:tcBorders>
            <w:vAlign w:val="center"/>
          </w:tcPr>
          <w:p w14:paraId="4F1EB3BD">
            <w:pPr>
              <w:pStyle w:val="59"/>
              <w:bidi w:val="0"/>
              <w:jc w:val="center"/>
              <w:rPr>
                <w:rFonts w:hint="default" w:eastAsia="宋体"/>
                <w:lang w:val="en-US" w:eastAsia="zh-CN"/>
              </w:rPr>
            </w:pPr>
            <w:r>
              <w:t>生产车间</w:t>
            </w:r>
            <w:r>
              <w:rPr>
                <w:rFonts w:hint="eastAsia"/>
                <w:lang w:val="en-US" w:eastAsia="zh-CN"/>
              </w:rPr>
              <w:t>1F</w:t>
            </w:r>
          </w:p>
        </w:tc>
        <w:tc>
          <w:tcPr>
            <w:tcW w:w="1988" w:type="dxa"/>
            <w:tcBorders>
              <w:bottom w:val="single" w:color="000000" w:sz="16" w:space="0"/>
              <w:right w:val="nil"/>
            </w:tcBorders>
            <w:vAlign w:val="center"/>
          </w:tcPr>
          <w:p w14:paraId="731C327F">
            <w:pPr>
              <w:pStyle w:val="59"/>
              <w:bidi w:val="0"/>
              <w:jc w:val="center"/>
            </w:pPr>
            <w:r>
              <w:t>用于设备维修保养</w:t>
            </w:r>
          </w:p>
        </w:tc>
      </w:tr>
    </w:tbl>
    <w:p w14:paraId="3090B6DA">
      <w:pPr>
        <w:pStyle w:val="64"/>
        <w:numPr>
          <w:ilvl w:val="2"/>
          <w:numId w:val="8"/>
        </w:numPr>
        <w:spacing w:before="156" w:after="156"/>
        <w:ind w:left="709" w:leftChars="0" w:hanging="709" w:firstLineChars="0"/>
        <w:rPr>
          <w:color w:val="auto"/>
        </w:rPr>
      </w:pPr>
      <w:r>
        <w:rPr>
          <w:rFonts w:hint="eastAsia"/>
          <w:color w:val="auto"/>
          <w:lang w:val="en-US" w:eastAsia="zh-CN"/>
        </w:rPr>
        <w:t>辅料用量核算</w:t>
      </w:r>
    </w:p>
    <w:p w14:paraId="32066006">
      <w:pPr>
        <w:bidi w:val="0"/>
      </w:pPr>
      <w:r>
        <w:rPr>
          <w:rFonts w:hint="eastAsia"/>
          <w:lang w:val="en-US" w:eastAsia="zh-CN"/>
        </w:rPr>
        <w:t>1、</w:t>
      </w:r>
      <w:r>
        <w:t xml:space="preserve">油性油墨（含稀释剂）用量核算：参照《涂装工艺与设备》中公式核算油墨用量。 </w:t>
      </w:r>
    </w:p>
    <w:p w14:paraId="52EDA356">
      <w:pPr>
        <w:bidi w:val="0"/>
      </w:pPr>
      <w:r>
        <w:t>A=B×C÷（E×F）×G</w:t>
      </w:r>
    </w:p>
    <w:p w14:paraId="7AF7AE40">
      <w:pPr>
        <w:bidi w:val="0"/>
      </w:pPr>
      <w:r>
        <w:t>公式中：A—油墨的消耗量，g；</w:t>
      </w:r>
    </w:p>
    <w:p w14:paraId="06CA94A0">
      <w:pPr>
        <w:bidi w:val="0"/>
      </w:pPr>
      <w:r>
        <w:t>B—涂层厚度，μm；</w:t>
      </w:r>
    </w:p>
    <w:p w14:paraId="11E9E003">
      <w:pPr>
        <w:bidi w:val="0"/>
      </w:pPr>
      <w:r>
        <w:t>C—涂层密度，g/cm</w:t>
      </w:r>
      <w:r>
        <w:rPr>
          <w:vertAlign w:val="superscript"/>
        </w:rPr>
        <w:t>3</w:t>
      </w:r>
      <w:r>
        <w:t>；</w:t>
      </w:r>
    </w:p>
    <w:p w14:paraId="18CF0709">
      <w:pPr>
        <w:bidi w:val="0"/>
      </w:pPr>
      <w:r>
        <w:t>E—各印刷工艺油墨利用率；</w:t>
      </w:r>
    </w:p>
    <w:p w14:paraId="33857E6A">
      <w:pPr>
        <w:bidi w:val="0"/>
      </w:pPr>
      <w:r>
        <w:t>F—原料固体分；</w:t>
      </w:r>
    </w:p>
    <w:p w14:paraId="7087B7AF">
      <w:pPr>
        <w:bidi w:val="0"/>
      </w:pPr>
      <w:r>
        <w:t>G—印刷面积。</w:t>
      </w:r>
    </w:p>
    <w:p w14:paraId="5580B9E7">
      <w:pPr>
        <w:pStyle w:val="62"/>
        <w:numPr>
          <w:ilvl w:val="0"/>
          <w:numId w:val="22"/>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本项目油墨（含</w:t>
      </w:r>
      <w:r>
        <w:rPr>
          <w:rFonts w:hint="eastAsia" w:ascii="Times New Roman" w:hAnsi="Times New Roman" w:eastAsia="宋体" w:cs="Times New Roman"/>
          <w:color w:val="auto"/>
          <w:lang w:val="en-US" w:eastAsia="zh-CN"/>
        </w:rPr>
        <w:t>稀释剂</w:t>
      </w:r>
      <w:r>
        <w:rPr>
          <w:rFonts w:hint="eastAsia" w:ascii="Times New Roman" w:hAnsi="Times New Roman" w:eastAsia="宋体" w:cs="Times New Roman"/>
          <w:color w:val="auto"/>
        </w:rPr>
        <w:t>）核算一览表</w:t>
      </w:r>
    </w:p>
    <w:tbl>
      <w:tblPr>
        <w:tblStyle w:val="105"/>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48"/>
        <w:gridCol w:w="1248"/>
        <w:gridCol w:w="1379"/>
        <w:gridCol w:w="1561"/>
        <w:gridCol w:w="1210"/>
        <w:gridCol w:w="1211"/>
        <w:gridCol w:w="1211"/>
      </w:tblGrid>
      <w:tr w14:paraId="18FF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trPr>
        <w:tc>
          <w:tcPr>
            <w:tcW w:w="688" w:type="pct"/>
            <w:tcBorders>
              <w:top w:val="single" w:color="000000" w:sz="12" w:space="0"/>
              <w:left w:val="nil"/>
              <w:bottom w:val="single" w:color="auto" w:sz="4" w:space="0"/>
              <w:right w:val="single" w:color="auto" w:sz="4" w:space="0"/>
              <w:tl2br w:val="nil"/>
            </w:tcBorders>
            <w:shd w:val="clear" w:color="auto" w:fill="FFFFFF"/>
            <w:vAlign w:val="center"/>
          </w:tcPr>
          <w:p w14:paraId="223DD907">
            <w:pPr>
              <w:pStyle w:val="59"/>
              <w:bidi w:val="0"/>
              <w:jc w:val="center"/>
              <w:rPr>
                <w:rFonts w:hint="eastAsia" w:eastAsia="宋体"/>
                <w:lang w:val="en-US" w:eastAsia="zh-CN"/>
              </w:rPr>
            </w:pPr>
            <w:r>
              <w:rPr>
                <w:rFonts w:hint="eastAsia"/>
                <w:lang w:val="en-US" w:eastAsia="zh-CN"/>
              </w:rPr>
              <w:t>产品</w:t>
            </w:r>
          </w:p>
        </w:tc>
        <w:tc>
          <w:tcPr>
            <w:tcW w:w="688" w:type="pct"/>
            <w:tcBorders>
              <w:top w:val="single" w:color="000000" w:sz="12" w:space="0"/>
              <w:left w:val="nil"/>
              <w:bottom w:val="single" w:color="auto" w:sz="4" w:space="0"/>
              <w:right w:val="single" w:color="auto" w:sz="4" w:space="0"/>
              <w:tl2br w:val="nil"/>
            </w:tcBorders>
            <w:shd w:val="clear" w:color="auto" w:fill="FFFFFF"/>
            <w:vAlign w:val="center"/>
          </w:tcPr>
          <w:p w14:paraId="721ABACD">
            <w:pPr>
              <w:pStyle w:val="59"/>
              <w:bidi w:val="0"/>
              <w:jc w:val="center"/>
            </w:pPr>
            <w:r>
              <w:t>涂层厚度</w:t>
            </w:r>
          </w:p>
          <w:p w14:paraId="6AFA9F34">
            <w:pPr>
              <w:pStyle w:val="59"/>
              <w:bidi w:val="0"/>
              <w:jc w:val="center"/>
            </w:pPr>
            <w:r>
              <w:t>(μm）</w:t>
            </w:r>
          </w:p>
        </w:tc>
        <w:tc>
          <w:tcPr>
            <w:tcW w:w="760" w:type="pct"/>
            <w:tcBorders>
              <w:top w:val="single" w:color="000000" w:sz="12" w:space="0"/>
              <w:left w:val="single" w:color="auto" w:sz="4" w:space="0"/>
              <w:bottom w:val="single" w:color="auto" w:sz="4" w:space="0"/>
              <w:right w:val="single" w:color="auto" w:sz="4" w:space="0"/>
            </w:tcBorders>
            <w:shd w:val="clear" w:color="auto" w:fill="FFFFFF"/>
            <w:vAlign w:val="center"/>
          </w:tcPr>
          <w:p w14:paraId="50D8307C">
            <w:pPr>
              <w:pStyle w:val="59"/>
              <w:bidi w:val="0"/>
              <w:jc w:val="center"/>
            </w:pPr>
            <w:r>
              <w:t>涂层密度</w:t>
            </w:r>
          </w:p>
          <w:p w14:paraId="637559EE">
            <w:pPr>
              <w:pStyle w:val="59"/>
              <w:bidi w:val="0"/>
              <w:jc w:val="center"/>
            </w:pPr>
            <w:r>
              <w:t>（g/cm</w:t>
            </w:r>
            <w:r>
              <w:rPr>
                <w:vertAlign w:val="superscript"/>
              </w:rPr>
              <w:t>3</w:t>
            </w:r>
            <w:r>
              <w:t>）</w:t>
            </w:r>
          </w:p>
        </w:tc>
        <w:tc>
          <w:tcPr>
            <w:tcW w:w="860" w:type="pct"/>
            <w:tcBorders>
              <w:top w:val="single" w:color="000000" w:sz="12" w:space="0"/>
              <w:left w:val="single" w:color="auto" w:sz="4" w:space="0"/>
              <w:bottom w:val="single" w:color="auto" w:sz="4" w:space="0"/>
              <w:right w:val="single" w:color="auto" w:sz="4" w:space="0"/>
            </w:tcBorders>
            <w:shd w:val="clear" w:color="auto" w:fill="FFFFFF"/>
            <w:vAlign w:val="center"/>
          </w:tcPr>
          <w:p w14:paraId="28C78C61">
            <w:pPr>
              <w:pStyle w:val="59"/>
              <w:bidi w:val="0"/>
              <w:jc w:val="center"/>
            </w:pPr>
            <w:r>
              <w:t>油墨利用率</w:t>
            </w:r>
          </w:p>
        </w:tc>
        <w:tc>
          <w:tcPr>
            <w:tcW w:w="667" w:type="pct"/>
            <w:tcBorders>
              <w:top w:val="single" w:color="000000" w:sz="12" w:space="0"/>
              <w:left w:val="single" w:color="auto" w:sz="4" w:space="0"/>
              <w:bottom w:val="single" w:color="auto" w:sz="4" w:space="0"/>
              <w:right w:val="single" w:color="auto" w:sz="4" w:space="0"/>
            </w:tcBorders>
            <w:shd w:val="clear" w:color="auto" w:fill="FFFFFF"/>
            <w:vAlign w:val="center"/>
          </w:tcPr>
          <w:p w14:paraId="5FFF7BD8">
            <w:pPr>
              <w:pStyle w:val="59"/>
              <w:bidi w:val="0"/>
              <w:jc w:val="center"/>
            </w:pPr>
            <w:r>
              <w:t>固体分</w:t>
            </w:r>
          </w:p>
        </w:tc>
        <w:tc>
          <w:tcPr>
            <w:tcW w:w="667" w:type="pct"/>
            <w:tcBorders>
              <w:top w:val="single" w:color="000000" w:sz="12" w:space="0"/>
              <w:left w:val="single" w:color="auto" w:sz="4" w:space="0"/>
              <w:bottom w:val="single" w:color="auto" w:sz="4" w:space="0"/>
              <w:right w:val="single" w:color="auto" w:sz="4" w:space="0"/>
            </w:tcBorders>
            <w:shd w:val="clear" w:color="auto" w:fill="FFFFFF"/>
            <w:vAlign w:val="center"/>
          </w:tcPr>
          <w:p w14:paraId="43680679">
            <w:pPr>
              <w:pStyle w:val="59"/>
              <w:bidi w:val="0"/>
              <w:jc w:val="center"/>
            </w:pPr>
            <w:r>
              <w:t>印刷面积</w:t>
            </w:r>
          </w:p>
          <w:p w14:paraId="18C0A54F">
            <w:pPr>
              <w:pStyle w:val="59"/>
              <w:bidi w:val="0"/>
              <w:jc w:val="center"/>
            </w:pPr>
            <w:r>
              <w:t>（m</w:t>
            </w:r>
            <w:r>
              <w:rPr>
                <w:vertAlign w:val="superscript"/>
              </w:rPr>
              <w:t>2</w:t>
            </w:r>
            <w:r>
              <w:t>）</w:t>
            </w:r>
          </w:p>
        </w:tc>
        <w:tc>
          <w:tcPr>
            <w:tcW w:w="667" w:type="pct"/>
            <w:tcBorders>
              <w:top w:val="single" w:color="000000" w:sz="12" w:space="0"/>
              <w:left w:val="single" w:color="auto" w:sz="4" w:space="0"/>
              <w:bottom w:val="single" w:color="auto" w:sz="4" w:space="0"/>
              <w:right w:val="nil"/>
            </w:tcBorders>
            <w:shd w:val="clear" w:color="auto" w:fill="FFFFFF"/>
            <w:vAlign w:val="center"/>
          </w:tcPr>
          <w:p w14:paraId="0D838043">
            <w:pPr>
              <w:pStyle w:val="59"/>
              <w:bidi w:val="0"/>
              <w:jc w:val="center"/>
            </w:pPr>
            <w:r>
              <w:t>消耗量</w:t>
            </w:r>
          </w:p>
          <w:p w14:paraId="3ECF709F">
            <w:pPr>
              <w:pStyle w:val="59"/>
              <w:bidi w:val="0"/>
              <w:jc w:val="center"/>
            </w:pPr>
            <w:r>
              <w:t>（</w:t>
            </w:r>
            <w:r>
              <w:rPr>
                <w:rFonts w:hint="eastAsia"/>
                <w:lang w:val="en-US" w:eastAsia="zh-CN"/>
              </w:rPr>
              <w:t>t</w:t>
            </w:r>
            <w:r>
              <w:t>/a）</w:t>
            </w:r>
          </w:p>
        </w:tc>
      </w:tr>
      <w:tr w14:paraId="2EFC4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48" w:type="dxa"/>
            <w:tcBorders>
              <w:top w:val="single" w:color="auto" w:sz="4" w:space="0"/>
              <w:left w:val="nil"/>
              <w:bottom w:val="single" w:color="auto" w:sz="4" w:space="0"/>
              <w:right w:val="single" w:color="auto" w:sz="4" w:space="0"/>
            </w:tcBorders>
            <w:shd w:val="clear" w:color="auto" w:fill="FFFFFF"/>
            <w:vAlign w:val="center"/>
          </w:tcPr>
          <w:p w14:paraId="60725AD8">
            <w:pPr>
              <w:pStyle w:val="59"/>
              <w:bidi w:val="0"/>
            </w:pPr>
            <w:r>
              <w:rPr>
                <w:rFonts w:hint="eastAsia"/>
                <w:lang w:val="en-US" w:eastAsia="zh-CN"/>
              </w:rPr>
              <w:t>PVC 膜</w:t>
            </w:r>
          </w:p>
        </w:tc>
        <w:tc>
          <w:tcPr>
            <w:tcW w:w="1248" w:type="dxa"/>
            <w:tcBorders>
              <w:top w:val="single" w:color="auto" w:sz="4" w:space="0"/>
              <w:left w:val="nil"/>
              <w:bottom w:val="single" w:color="auto" w:sz="4" w:space="0"/>
              <w:right w:val="single" w:color="auto" w:sz="4" w:space="0"/>
            </w:tcBorders>
            <w:shd w:val="clear" w:color="auto" w:fill="FFFFFF"/>
            <w:vAlign w:val="top"/>
          </w:tcPr>
          <w:p w14:paraId="7EB0E84E">
            <w:pPr>
              <w:pStyle w:val="59"/>
              <w:bidi w:val="0"/>
            </w:pPr>
            <w:r>
              <w:rPr>
                <w:rFonts w:hint="default"/>
                <w:lang w:val="en-US" w:eastAsia="zh-CN"/>
              </w:rPr>
              <w:t>3.5</w:t>
            </w:r>
          </w:p>
        </w:tc>
        <w:tc>
          <w:tcPr>
            <w:tcW w:w="1379" w:type="dxa"/>
            <w:tcBorders>
              <w:top w:val="single" w:color="auto" w:sz="4" w:space="0"/>
              <w:left w:val="single" w:color="auto" w:sz="4" w:space="0"/>
              <w:bottom w:val="single" w:color="auto" w:sz="4" w:space="0"/>
              <w:right w:val="single" w:color="auto" w:sz="4" w:space="0"/>
            </w:tcBorders>
            <w:shd w:val="clear" w:color="auto" w:fill="FFFFFF"/>
            <w:vAlign w:val="top"/>
          </w:tcPr>
          <w:p w14:paraId="22911FCE">
            <w:pPr>
              <w:pStyle w:val="59"/>
              <w:bidi w:val="0"/>
            </w:pPr>
            <w:r>
              <w:rPr>
                <w:rFonts w:hint="default"/>
                <w:lang w:val="en-US" w:eastAsia="zh-CN"/>
              </w:rPr>
              <w:t>1.3</w:t>
            </w:r>
          </w:p>
        </w:tc>
        <w:tc>
          <w:tcPr>
            <w:tcW w:w="1561" w:type="dxa"/>
            <w:tcBorders>
              <w:top w:val="single" w:color="auto" w:sz="4" w:space="0"/>
              <w:left w:val="single" w:color="auto" w:sz="4" w:space="0"/>
              <w:bottom w:val="single" w:color="auto" w:sz="4" w:space="0"/>
              <w:right w:val="single" w:color="auto" w:sz="4" w:space="0"/>
            </w:tcBorders>
            <w:shd w:val="clear" w:color="auto" w:fill="FFFFFF"/>
            <w:vAlign w:val="top"/>
          </w:tcPr>
          <w:p w14:paraId="1008672F">
            <w:pPr>
              <w:pStyle w:val="59"/>
              <w:bidi w:val="0"/>
            </w:pPr>
            <w:r>
              <w:rPr>
                <w:rFonts w:hint="default"/>
                <w:lang w:val="en-US" w:eastAsia="zh-CN"/>
              </w:rPr>
              <w:t>95%</w:t>
            </w:r>
          </w:p>
        </w:tc>
        <w:tc>
          <w:tcPr>
            <w:tcW w:w="1210" w:type="dxa"/>
            <w:tcBorders>
              <w:top w:val="single" w:color="auto" w:sz="4" w:space="0"/>
              <w:left w:val="single" w:color="auto" w:sz="4" w:space="0"/>
              <w:bottom w:val="single" w:color="auto" w:sz="4" w:space="0"/>
              <w:right w:val="single" w:color="auto" w:sz="4" w:space="0"/>
            </w:tcBorders>
            <w:shd w:val="clear" w:color="auto" w:fill="FFFFFF"/>
            <w:vAlign w:val="center"/>
          </w:tcPr>
          <w:p w14:paraId="58569539">
            <w:pPr>
              <w:pStyle w:val="69"/>
              <w:bidi w:val="0"/>
              <w:ind w:firstLine="0" w:firstLineChars="0"/>
              <w:jc w:val="center"/>
              <w:rPr>
                <w:rFonts w:hint="default" w:eastAsia="宋体"/>
                <w:lang w:val="en-US" w:eastAsia="zh-CN"/>
              </w:rPr>
            </w:pPr>
            <w:r>
              <w:rPr>
                <w:rFonts w:hint="eastAsia"/>
                <w:lang w:val="en-US" w:eastAsia="zh-CN"/>
              </w:rPr>
              <w:t>38.3%</w:t>
            </w:r>
          </w:p>
        </w:tc>
        <w:tc>
          <w:tcPr>
            <w:tcW w:w="1211" w:type="dxa"/>
            <w:tcBorders>
              <w:top w:val="single" w:color="auto" w:sz="4" w:space="0"/>
              <w:left w:val="single" w:color="auto" w:sz="4" w:space="0"/>
              <w:bottom w:val="single" w:color="auto" w:sz="4" w:space="0"/>
              <w:right w:val="single" w:color="auto" w:sz="4" w:space="0"/>
            </w:tcBorders>
            <w:shd w:val="clear" w:color="auto" w:fill="FFFFFF"/>
            <w:vAlign w:val="center"/>
          </w:tcPr>
          <w:p w14:paraId="3669255E">
            <w:pPr>
              <w:pStyle w:val="59"/>
              <w:bidi w:val="0"/>
            </w:pPr>
            <w:r>
              <w:rPr>
                <w:rFonts w:hint="default"/>
                <w:lang w:val="en-US" w:eastAsia="zh-CN"/>
              </w:rPr>
              <w:t xml:space="preserve">4017094 </w:t>
            </w:r>
          </w:p>
        </w:tc>
        <w:tc>
          <w:tcPr>
            <w:tcW w:w="1211" w:type="dxa"/>
            <w:tcBorders>
              <w:top w:val="single" w:color="auto" w:sz="4" w:space="0"/>
              <w:left w:val="single" w:color="auto" w:sz="4" w:space="0"/>
              <w:bottom w:val="single" w:color="auto" w:sz="4" w:space="0"/>
              <w:right w:val="nil"/>
            </w:tcBorders>
            <w:shd w:val="clear" w:color="auto" w:fill="FFFFFF"/>
            <w:vAlign w:val="top"/>
          </w:tcPr>
          <w:p w14:paraId="018FCCC7">
            <w:pPr>
              <w:pStyle w:val="59"/>
              <w:bidi w:val="0"/>
            </w:pPr>
            <w:r>
              <w:rPr>
                <w:rFonts w:hint="default"/>
                <w:lang w:val="en-US" w:eastAsia="zh-CN"/>
              </w:rPr>
              <w:t xml:space="preserve">50.3 </w:t>
            </w:r>
          </w:p>
        </w:tc>
      </w:tr>
      <w:tr w14:paraId="68FCF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48" w:type="dxa"/>
            <w:tcBorders>
              <w:top w:val="single" w:color="auto" w:sz="4" w:space="0"/>
              <w:left w:val="nil"/>
              <w:bottom w:val="single" w:color="auto" w:sz="4" w:space="0"/>
              <w:right w:val="single" w:color="auto" w:sz="4" w:space="0"/>
            </w:tcBorders>
            <w:shd w:val="clear" w:color="auto" w:fill="FFFFFF"/>
            <w:vAlign w:val="center"/>
          </w:tcPr>
          <w:p w14:paraId="57DDAA3D">
            <w:pPr>
              <w:pStyle w:val="59"/>
              <w:bidi w:val="0"/>
              <w:rPr>
                <w:rFonts w:hint="eastAsia"/>
                <w:lang w:val="en-US" w:eastAsia="zh-CN"/>
              </w:rPr>
            </w:pPr>
            <w:r>
              <w:rPr>
                <w:rFonts w:hint="eastAsia"/>
                <w:lang w:val="en-US" w:eastAsia="zh-CN"/>
              </w:rPr>
              <w:t>PET 膜</w:t>
            </w:r>
          </w:p>
        </w:tc>
        <w:tc>
          <w:tcPr>
            <w:tcW w:w="1248" w:type="dxa"/>
            <w:tcBorders>
              <w:top w:val="single" w:color="auto" w:sz="4" w:space="0"/>
              <w:left w:val="nil"/>
              <w:bottom w:val="single" w:color="auto" w:sz="4" w:space="0"/>
              <w:right w:val="single" w:color="auto" w:sz="4" w:space="0"/>
            </w:tcBorders>
            <w:shd w:val="clear" w:color="auto" w:fill="FFFFFF"/>
            <w:vAlign w:val="top"/>
          </w:tcPr>
          <w:p w14:paraId="146C89EB">
            <w:pPr>
              <w:pStyle w:val="59"/>
              <w:bidi w:val="0"/>
              <w:rPr>
                <w:rFonts w:hint="default"/>
                <w:lang w:val="en-US" w:eastAsia="zh-CN"/>
              </w:rPr>
            </w:pPr>
            <w:r>
              <w:rPr>
                <w:rFonts w:hint="default"/>
                <w:lang w:val="en-US" w:eastAsia="zh-CN"/>
              </w:rPr>
              <w:t>3.5</w:t>
            </w:r>
          </w:p>
        </w:tc>
        <w:tc>
          <w:tcPr>
            <w:tcW w:w="1379" w:type="dxa"/>
            <w:tcBorders>
              <w:top w:val="single" w:color="auto" w:sz="4" w:space="0"/>
              <w:left w:val="single" w:color="auto" w:sz="4" w:space="0"/>
              <w:bottom w:val="single" w:color="auto" w:sz="4" w:space="0"/>
              <w:right w:val="single" w:color="auto" w:sz="4" w:space="0"/>
            </w:tcBorders>
            <w:shd w:val="clear" w:color="auto" w:fill="FFFFFF"/>
            <w:vAlign w:val="top"/>
          </w:tcPr>
          <w:p w14:paraId="7FDF83B9">
            <w:pPr>
              <w:pStyle w:val="59"/>
              <w:bidi w:val="0"/>
              <w:rPr>
                <w:rFonts w:hint="default"/>
                <w:lang w:val="en-US" w:eastAsia="zh-CN"/>
              </w:rPr>
            </w:pPr>
            <w:r>
              <w:rPr>
                <w:rFonts w:hint="default"/>
                <w:lang w:val="en-US" w:eastAsia="zh-CN"/>
              </w:rPr>
              <w:t>1.3</w:t>
            </w:r>
          </w:p>
        </w:tc>
        <w:tc>
          <w:tcPr>
            <w:tcW w:w="1561" w:type="dxa"/>
            <w:tcBorders>
              <w:top w:val="single" w:color="auto" w:sz="4" w:space="0"/>
              <w:left w:val="single" w:color="auto" w:sz="4" w:space="0"/>
              <w:bottom w:val="single" w:color="auto" w:sz="4" w:space="0"/>
              <w:right w:val="single" w:color="auto" w:sz="4" w:space="0"/>
            </w:tcBorders>
            <w:shd w:val="clear" w:color="auto" w:fill="FFFFFF"/>
            <w:vAlign w:val="top"/>
          </w:tcPr>
          <w:p w14:paraId="2270CAE7">
            <w:pPr>
              <w:pStyle w:val="59"/>
              <w:bidi w:val="0"/>
              <w:rPr>
                <w:rFonts w:hint="default"/>
                <w:lang w:val="en-US" w:eastAsia="zh-CN"/>
              </w:rPr>
            </w:pPr>
            <w:r>
              <w:rPr>
                <w:rFonts w:hint="default"/>
                <w:lang w:val="en-US" w:eastAsia="zh-CN"/>
              </w:rPr>
              <w:t>95%</w:t>
            </w:r>
          </w:p>
        </w:tc>
        <w:tc>
          <w:tcPr>
            <w:tcW w:w="1210" w:type="dxa"/>
            <w:tcBorders>
              <w:top w:val="single" w:color="auto" w:sz="4" w:space="0"/>
              <w:left w:val="single" w:color="auto" w:sz="4" w:space="0"/>
              <w:bottom w:val="single" w:color="auto" w:sz="4" w:space="0"/>
              <w:right w:val="single" w:color="auto" w:sz="4" w:space="0"/>
            </w:tcBorders>
            <w:shd w:val="clear" w:color="auto" w:fill="FFFFFF"/>
            <w:vAlign w:val="center"/>
          </w:tcPr>
          <w:p w14:paraId="5AB59805">
            <w:pPr>
              <w:pStyle w:val="69"/>
              <w:bidi w:val="0"/>
              <w:ind w:firstLine="0" w:firstLineChars="0"/>
              <w:jc w:val="center"/>
              <w:rPr>
                <w:rFonts w:hint="default"/>
                <w:lang w:val="en-US" w:eastAsia="zh-CN"/>
              </w:rPr>
            </w:pPr>
            <w:r>
              <w:rPr>
                <w:rFonts w:hint="eastAsia"/>
                <w:lang w:val="en-US" w:eastAsia="zh-CN"/>
              </w:rPr>
              <w:t>38.3%</w:t>
            </w:r>
          </w:p>
        </w:tc>
        <w:tc>
          <w:tcPr>
            <w:tcW w:w="1211" w:type="dxa"/>
            <w:tcBorders>
              <w:top w:val="single" w:color="auto" w:sz="4" w:space="0"/>
              <w:left w:val="single" w:color="auto" w:sz="4" w:space="0"/>
              <w:bottom w:val="single" w:color="auto" w:sz="4" w:space="0"/>
              <w:right w:val="single" w:color="auto" w:sz="4" w:space="0"/>
            </w:tcBorders>
            <w:shd w:val="clear" w:color="auto" w:fill="FFFFFF"/>
            <w:vAlign w:val="center"/>
          </w:tcPr>
          <w:p w14:paraId="33FCFA69">
            <w:pPr>
              <w:pStyle w:val="59"/>
              <w:bidi w:val="0"/>
              <w:rPr>
                <w:rFonts w:hint="default"/>
                <w:lang w:val="en-US" w:eastAsia="zh-CN"/>
              </w:rPr>
            </w:pPr>
            <w:r>
              <w:rPr>
                <w:rFonts w:hint="default"/>
                <w:lang w:val="en-US" w:eastAsia="zh-CN"/>
              </w:rPr>
              <w:t xml:space="preserve">317460 </w:t>
            </w:r>
          </w:p>
        </w:tc>
        <w:tc>
          <w:tcPr>
            <w:tcW w:w="1211" w:type="dxa"/>
            <w:tcBorders>
              <w:top w:val="single" w:color="auto" w:sz="4" w:space="0"/>
              <w:left w:val="single" w:color="auto" w:sz="4" w:space="0"/>
              <w:bottom w:val="single" w:color="auto" w:sz="4" w:space="0"/>
              <w:right w:val="nil"/>
            </w:tcBorders>
            <w:shd w:val="clear" w:color="auto" w:fill="FFFFFF"/>
            <w:vAlign w:val="top"/>
          </w:tcPr>
          <w:p w14:paraId="74E39337">
            <w:pPr>
              <w:pStyle w:val="59"/>
              <w:bidi w:val="0"/>
              <w:rPr>
                <w:rFonts w:hint="default"/>
                <w:lang w:val="en-US" w:eastAsia="zh-CN"/>
              </w:rPr>
            </w:pPr>
            <w:r>
              <w:rPr>
                <w:rFonts w:hint="default"/>
                <w:lang w:val="en-US" w:eastAsia="zh-CN"/>
              </w:rPr>
              <w:t xml:space="preserve">4.0 </w:t>
            </w:r>
          </w:p>
        </w:tc>
      </w:tr>
      <w:tr w14:paraId="7689D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48" w:type="dxa"/>
            <w:tcBorders>
              <w:top w:val="single" w:color="auto" w:sz="4" w:space="0"/>
              <w:left w:val="nil"/>
              <w:bottom w:val="single" w:color="auto" w:sz="4" w:space="0"/>
              <w:right w:val="single" w:color="auto" w:sz="4" w:space="0"/>
            </w:tcBorders>
            <w:shd w:val="clear" w:color="auto" w:fill="FFFFFF"/>
            <w:vAlign w:val="center"/>
          </w:tcPr>
          <w:p w14:paraId="75CD4960">
            <w:pPr>
              <w:pStyle w:val="59"/>
              <w:bidi w:val="0"/>
            </w:pPr>
            <w:r>
              <w:rPr>
                <w:rFonts w:hint="eastAsia"/>
                <w:lang w:val="en-US" w:eastAsia="zh-CN"/>
              </w:rPr>
              <w:t>OPP 膜</w:t>
            </w:r>
          </w:p>
        </w:tc>
        <w:tc>
          <w:tcPr>
            <w:tcW w:w="1248" w:type="dxa"/>
            <w:tcBorders>
              <w:top w:val="single" w:color="auto" w:sz="4" w:space="0"/>
              <w:left w:val="nil"/>
              <w:bottom w:val="single" w:color="auto" w:sz="4" w:space="0"/>
              <w:right w:val="single" w:color="auto" w:sz="4" w:space="0"/>
            </w:tcBorders>
            <w:shd w:val="clear" w:color="auto" w:fill="FFFFFF"/>
            <w:vAlign w:val="top"/>
          </w:tcPr>
          <w:p w14:paraId="51DCB9DE">
            <w:pPr>
              <w:pStyle w:val="59"/>
              <w:bidi w:val="0"/>
            </w:pPr>
            <w:r>
              <w:rPr>
                <w:rFonts w:hint="default"/>
                <w:lang w:val="en-US" w:eastAsia="zh-CN"/>
              </w:rPr>
              <w:t>3.5</w:t>
            </w:r>
          </w:p>
        </w:tc>
        <w:tc>
          <w:tcPr>
            <w:tcW w:w="1379" w:type="dxa"/>
            <w:tcBorders>
              <w:top w:val="single" w:color="auto" w:sz="4" w:space="0"/>
              <w:left w:val="single" w:color="auto" w:sz="4" w:space="0"/>
              <w:bottom w:val="single" w:color="auto" w:sz="4" w:space="0"/>
              <w:right w:val="single" w:color="auto" w:sz="4" w:space="0"/>
            </w:tcBorders>
            <w:shd w:val="clear" w:color="auto" w:fill="FFFFFF"/>
            <w:vAlign w:val="top"/>
          </w:tcPr>
          <w:p w14:paraId="23BA3C3B">
            <w:pPr>
              <w:pStyle w:val="59"/>
              <w:bidi w:val="0"/>
            </w:pPr>
            <w:r>
              <w:rPr>
                <w:rFonts w:hint="default"/>
                <w:lang w:val="en-US" w:eastAsia="zh-CN"/>
              </w:rPr>
              <w:t>1.3</w:t>
            </w:r>
          </w:p>
        </w:tc>
        <w:tc>
          <w:tcPr>
            <w:tcW w:w="1561" w:type="dxa"/>
            <w:tcBorders>
              <w:top w:val="single" w:color="auto" w:sz="4" w:space="0"/>
              <w:left w:val="single" w:color="auto" w:sz="4" w:space="0"/>
              <w:bottom w:val="single" w:color="auto" w:sz="4" w:space="0"/>
              <w:right w:val="single" w:color="auto" w:sz="4" w:space="0"/>
            </w:tcBorders>
            <w:shd w:val="clear" w:color="auto" w:fill="FFFFFF"/>
            <w:vAlign w:val="top"/>
          </w:tcPr>
          <w:p w14:paraId="790403B8">
            <w:pPr>
              <w:pStyle w:val="59"/>
              <w:bidi w:val="0"/>
            </w:pPr>
            <w:r>
              <w:rPr>
                <w:rFonts w:hint="default"/>
                <w:lang w:val="en-US" w:eastAsia="zh-CN"/>
              </w:rPr>
              <w:t>95%</w:t>
            </w:r>
          </w:p>
        </w:tc>
        <w:tc>
          <w:tcPr>
            <w:tcW w:w="1210" w:type="dxa"/>
            <w:tcBorders>
              <w:top w:val="single" w:color="auto" w:sz="4" w:space="0"/>
              <w:left w:val="single" w:color="auto" w:sz="4" w:space="0"/>
              <w:bottom w:val="single" w:color="auto" w:sz="4" w:space="0"/>
              <w:right w:val="single" w:color="auto" w:sz="4" w:space="0"/>
            </w:tcBorders>
            <w:shd w:val="clear" w:color="auto" w:fill="FFFFFF"/>
            <w:vAlign w:val="center"/>
          </w:tcPr>
          <w:p w14:paraId="2532F11C">
            <w:pPr>
              <w:pStyle w:val="69"/>
              <w:bidi w:val="0"/>
              <w:ind w:firstLine="0" w:firstLineChars="0"/>
              <w:jc w:val="center"/>
            </w:pPr>
            <w:r>
              <w:rPr>
                <w:rFonts w:hint="eastAsia"/>
                <w:lang w:val="en-US" w:eastAsia="zh-CN"/>
              </w:rPr>
              <w:t>38.3%</w:t>
            </w:r>
          </w:p>
        </w:tc>
        <w:tc>
          <w:tcPr>
            <w:tcW w:w="1211" w:type="dxa"/>
            <w:tcBorders>
              <w:top w:val="single" w:color="auto" w:sz="4" w:space="0"/>
              <w:left w:val="single" w:color="auto" w:sz="4" w:space="0"/>
              <w:bottom w:val="single" w:color="auto" w:sz="4" w:space="0"/>
              <w:right w:val="single" w:color="auto" w:sz="4" w:space="0"/>
            </w:tcBorders>
            <w:shd w:val="clear" w:color="auto" w:fill="FFFFFF"/>
            <w:vAlign w:val="center"/>
          </w:tcPr>
          <w:p w14:paraId="6495E48A">
            <w:pPr>
              <w:pStyle w:val="59"/>
              <w:bidi w:val="0"/>
            </w:pPr>
            <w:r>
              <w:rPr>
                <w:rFonts w:hint="default"/>
                <w:lang w:val="en-US" w:eastAsia="zh-CN"/>
              </w:rPr>
              <w:t xml:space="preserve">2313476 </w:t>
            </w:r>
          </w:p>
        </w:tc>
        <w:tc>
          <w:tcPr>
            <w:tcW w:w="1211" w:type="dxa"/>
            <w:tcBorders>
              <w:top w:val="single" w:color="auto" w:sz="4" w:space="0"/>
              <w:left w:val="single" w:color="auto" w:sz="4" w:space="0"/>
              <w:bottom w:val="single" w:color="auto" w:sz="4" w:space="0"/>
              <w:right w:val="nil"/>
            </w:tcBorders>
            <w:shd w:val="clear" w:color="auto" w:fill="FFFFFF"/>
            <w:vAlign w:val="top"/>
          </w:tcPr>
          <w:p w14:paraId="3C8A0EAE">
            <w:pPr>
              <w:pStyle w:val="59"/>
              <w:bidi w:val="0"/>
            </w:pPr>
            <w:r>
              <w:rPr>
                <w:rFonts w:hint="default"/>
                <w:lang w:val="en-US" w:eastAsia="zh-CN"/>
              </w:rPr>
              <w:t xml:space="preserve">29.0 </w:t>
            </w:r>
          </w:p>
        </w:tc>
      </w:tr>
      <w:tr w14:paraId="53281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48" w:type="dxa"/>
            <w:tcBorders>
              <w:top w:val="single" w:color="auto" w:sz="4" w:space="0"/>
              <w:left w:val="nil"/>
              <w:bottom w:val="single" w:color="auto" w:sz="4" w:space="0"/>
              <w:right w:val="single" w:color="auto" w:sz="4" w:space="0"/>
            </w:tcBorders>
            <w:shd w:val="clear" w:color="auto" w:fill="FFFFFF"/>
            <w:vAlign w:val="center"/>
          </w:tcPr>
          <w:p w14:paraId="18BD9632">
            <w:pPr>
              <w:pStyle w:val="59"/>
              <w:bidi w:val="0"/>
            </w:pPr>
            <w:r>
              <w:rPr>
                <w:rFonts w:hint="eastAsia"/>
                <w:lang w:val="en-US" w:eastAsia="zh-CN"/>
              </w:rPr>
              <w:t>珠光膜</w:t>
            </w:r>
          </w:p>
        </w:tc>
        <w:tc>
          <w:tcPr>
            <w:tcW w:w="1248" w:type="dxa"/>
            <w:tcBorders>
              <w:top w:val="single" w:color="auto" w:sz="4" w:space="0"/>
              <w:left w:val="nil"/>
              <w:bottom w:val="single" w:color="auto" w:sz="4" w:space="0"/>
              <w:right w:val="single" w:color="auto" w:sz="4" w:space="0"/>
            </w:tcBorders>
            <w:shd w:val="clear" w:color="auto" w:fill="FFFFFF"/>
            <w:vAlign w:val="top"/>
          </w:tcPr>
          <w:p w14:paraId="7DA89F1C">
            <w:pPr>
              <w:pStyle w:val="59"/>
              <w:bidi w:val="0"/>
            </w:pPr>
            <w:r>
              <w:rPr>
                <w:rFonts w:hint="default"/>
                <w:lang w:val="en-US" w:eastAsia="zh-CN"/>
              </w:rPr>
              <w:t>3.5</w:t>
            </w:r>
          </w:p>
        </w:tc>
        <w:tc>
          <w:tcPr>
            <w:tcW w:w="1379" w:type="dxa"/>
            <w:tcBorders>
              <w:top w:val="single" w:color="auto" w:sz="4" w:space="0"/>
              <w:left w:val="single" w:color="auto" w:sz="4" w:space="0"/>
              <w:bottom w:val="single" w:color="auto" w:sz="4" w:space="0"/>
              <w:right w:val="single" w:color="auto" w:sz="4" w:space="0"/>
            </w:tcBorders>
            <w:shd w:val="clear" w:color="auto" w:fill="FFFFFF"/>
            <w:vAlign w:val="top"/>
          </w:tcPr>
          <w:p w14:paraId="341496EE">
            <w:pPr>
              <w:pStyle w:val="59"/>
              <w:bidi w:val="0"/>
            </w:pPr>
            <w:r>
              <w:rPr>
                <w:rFonts w:hint="default"/>
                <w:lang w:val="en-US" w:eastAsia="zh-CN"/>
              </w:rPr>
              <w:t>1.3</w:t>
            </w:r>
          </w:p>
        </w:tc>
        <w:tc>
          <w:tcPr>
            <w:tcW w:w="1561" w:type="dxa"/>
            <w:tcBorders>
              <w:top w:val="single" w:color="auto" w:sz="4" w:space="0"/>
              <w:left w:val="single" w:color="auto" w:sz="4" w:space="0"/>
              <w:bottom w:val="single" w:color="auto" w:sz="4" w:space="0"/>
              <w:right w:val="single" w:color="auto" w:sz="4" w:space="0"/>
            </w:tcBorders>
            <w:shd w:val="clear" w:color="auto" w:fill="FFFFFF"/>
            <w:vAlign w:val="top"/>
          </w:tcPr>
          <w:p w14:paraId="4D020845">
            <w:pPr>
              <w:pStyle w:val="59"/>
              <w:bidi w:val="0"/>
            </w:pPr>
            <w:r>
              <w:rPr>
                <w:rFonts w:hint="default"/>
                <w:lang w:val="en-US" w:eastAsia="zh-CN"/>
              </w:rPr>
              <w:t>95%</w:t>
            </w:r>
          </w:p>
        </w:tc>
        <w:tc>
          <w:tcPr>
            <w:tcW w:w="1210" w:type="dxa"/>
            <w:tcBorders>
              <w:top w:val="single" w:color="auto" w:sz="4" w:space="0"/>
              <w:left w:val="single" w:color="auto" w:sz="4" w:space="0"/>
              <w:bottom w:val="single" w:color="auto" w:sz="4" w:space="0"/>
              <w:right w:val="single" w:color="auto" w:sz="4" w:space="0"/>
            </w:tcBorders>
            <w:shd w:val="clear" w:color="auto" w:fill="FFFFFF"/>
            <w:vAlign w:val="center"/>
          </w:tcPr>
          <w:p w14:paraId="7597F178">
            <w:pPr>
              <w:pStyle w:val="69"/>
              <w:bidi w:val="0"/>
              <w:ind w:firstLine="0" w:firstLineChars="0"/>
              <w:jc w:val="center"/>
            </w:pPr>
            <w:r>
              <w:rPr>
                <w:rFonts w:hint="eastAsia"/>
                <w:lang w:val="en-US" w:eastAsia="zh-CN"/>
              </w:rPr>
              <w:t>38.3%</w:t>
            </w:r>
          </w:p>
        </w:tc>
        <w:tc>
          <w:tcPr>
            <w:tcW w:w="1211" w:type="dxa"/>
            <w:tcBorders>
              <w:top w:val="single" w:color="auto" w:sz="4" w:space="0"/>
              <w:left w:val="single" w:color="auto" w:sz="4" w:space="0"/>
              <w:bottom w:val="single" w:color="auto" w:sz="4" w:space="0"/>
              <w:right w:val="single" w:color="auto" w:sz="4" w:space="0"/>
            </w:tcBorders>
            <w:shd w:val="clear" w:color="auto" w:fill="FFFFFF"/>
            <w:vAlign w:val="center"/>
          </w:tcPr>
          <w:p w14:paraId="422EDE13">
            <w:pPr>
              <w:pStyle w:val="59"/>
              <w:bidi w:val="0"/>
            </w:pPr>
            <w:r>
              <w:rPr>
                <w:rFonts w:hint="default"/>
                <w:lang w:val="en-US" w:eastAsia="zh-CN"/>
              </w:rPr>
              <w:t xml:space="preserve">520408 </w:t>
            </w:r>
          </w:p>
        </w:tc>
        <w:tc>
          <w:tcPr>
            <w:tcW w:w="1211" w:type="dxa"/>
            <w:tcBorders>
              <w:top w:val="single" w:color="auto" w:sz="4" w:space="0"/>
              <w:left w:val="single" w:color="auto" w:sz="4" w:space="0"/>
              <w:bottom w:val="single" w:color="auto" w:sz="4" w:space="0"/>
              <w:right w:val="nil"/>
            </w:tcBorders>
            <w:shd w:val="clear" w:color="auto" w:fill="FFFFFF"/>
            <w:vAlign w:val="top"/>
          </w:tcPr>
          <w:p w14:paraId="3F5D6D62">
            <w:pPr>
              <w:pStyle w:val="59"/>
              <w:bidi w:val="0"/>
            </w:pPr>
            <w:r>
              <w:rPr>
                <w:rFonts w:hint="default"/>
                <w:lang w:val="en-US" w:eastAsia="zh-CN"/>
              </w:rPr>
              <w:t xml:space="preserve">6.5 </w:t>
            </w:r>
          </w:p>
        </w:tc>
      </w:tr>
      <w:tr w14:paraId="7253E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48" w:type="dxa"/>
            <w:tcBorders>
              <w:top w:val="single" w:color="auto" w:sz="4" w:space="0"/>
              <w:left w:val="nil"/>
              <w:bottom w:val="single" w:color="000000" w:sz="12" w:space="0"/>
              <w:right w:val="single" w:color="auto" w:sz="4" w:space="0"/>
            </w:tcBorders>
            <w:shd w:val="clear" w:color="auto" w:fill="FFFFFF"/>
            <w:vAlign w:val="center"/>
          </w:tcPr>
          <w:p w14:paraId="0FABDFA5">
            <w:pPr>
              <w:pStyle w:val="59"/>
              <w:bidi w:val="0"/>
            </w:pPr>
          </w:p>
        </w:tc>
        <w:tc>
          <w:tcPr>
            <w:tcW w:w="1248" w:type="dxa"/>
            <w:tcBorders>
              <w:top w:val="single" w:color="auto" w:sz="4" w:space="0"/>
              <w:left w:val="nil"/>
              <w:bottom w:val="single" w:color="000000" w:sz="12" w:space="0"/>
              <w:right w:val="single" w:color="auto" w:sz="4" w:space="0"/>
            </w:tcBorders>
            <w:shd w:val="clear" w:color="auto" w:fill="FFFFFF"/>
            <w:vAlign w:val="center"/>
          </w:tcPr>
          <w:p w14:paraId="0D17C2C9">
            <w:pPr>
              <w:pStyle w:val="59"/>
              <w:bidi w:val="0"/>
            </w:pPr>
            <w:r>
              <w:rPr>
                <w:rFonts w:hint="eastAsia"/>
                <w:lang w:val="en-US" w:eastAsia="zh-CN"/>
              </w:rPr>
              <w:t>合计</w:t>
            </w:r>
          </w:p>
        </w:tc>
        <w:tc>
          <w:tcPr>
            <w:tcW w:w="1379" w:type="dxa"/>
            <w:tcBorders>
              <w:top w:val="single" w:color="auto" w:sz="4" w:space="0"/>
              <w:left w:val="single" w:color="auto" w:sz="4" w:space="0"/>
              <w:bottom w:val="single" w:color="000000" w:sz="12" w:space="0"/>
              <w:right w:val="single" w:color="auto" w:sz="4" w:space="0"/>
            </w:tcBorders>
            <w:shd w:val="clear" w:color="auto" w:fill="FFFFFF"/>
            <w:vAlign w:val="center"/>
          </w:tcPr>
          <w:p w14:paraId="7609FE69">
            <w:pPr>
              <w:pStyle w:val="59"/>
              <w:bidi w:val="0"/>
            </w:pPr>
          </w:p>
        </w:tc>
        <w:tc>
          <w:tcPr>
            <w:tcW w:w="1561" w:type="dxa"/>
            <w:tcBorders>
              <w:top w:val="single" w:color="auto" w:sz="4" w:space="0"/>
              <w:left w:val="single" w:color="auto" w:sz="4" w:space="0"/>
              <w:bottom w:val="single" w:color="000000" w:sz="12" w:space="0"/>
              <w:right w:val="single" w:color="auto" w:sz="4" w:space="0"/>
            </w:tcBorders>
            <w:shd w:val="clear" w:color="auto" w:fill="FFFFFF"/>
            <w:vAlign w:val="center"/>
          </w:tcPr>
          <w:p w14:paraId="25A9DDDC">
            <w:pPr>
              <w:pStyle w:val="59"/>
              <w:bidi w:val="0"/>
            </w:pPr>
          </w:p>
        </w:tc>
        <w:tc>
          <w:tcPr>
            <w:tcW w:w="1210" w:type="dxa"/>
            <w:tcBorders>
              <w:top w:val="single" w:color="auto" w:sz="4" w:space="0"/>
              <w:left w:val="single" w:color="auto" w:sz="4" w:space="0"/>
              <w:bottom w:val="single" w:color="000000" w:sz="12" w:space="0"/>
              <w:right w:val="single" w:color="auto" w:sz="4" w:space="0"/>
            </w:tcBorders>
            <w:shd w:val="clear" w:color="auto" w:fill="FFFFFF"/>
            <w:vAlign w:val="center"/>
          </w:tcPr>
          <w:p w14:paraId="49170134">
            <w:pPr>
              <w:pStyle w:val="59"/>
              <w:bidi w:val="0"/>
            </w:pPr>
          </w:p>
        </w:tc>
        <w:tc>
          <w:tcPr>
            <w:tcW w:w="1211" w:type="dxa"/>
            <w:tcBorders>
              <w:top w:val="single" w:color="auto" w:sz="4" w:space="0"/>
              <w:left w:val="single" w:color="auto" w:sz="4" w:space="0"/>
              <w:bottom w:val="single" w:color="000000" w:sz="12" w:space="0"/>
              <w:right w:val="single" w:color="auto" w:sz="4" w:space="0"/>
            </w:tcBorders>
            <w:shd w:val="clear" w:color="auto" w:fill="FFFFFF"/>
            <w:vAlign w:val="center"/>
          </w:tcPr>
          <w:p w14:paraId="26A1EE30">
            <w:pPr>
              <w:pStyle w:val="59"/>
              <w:bidi w:val="0"/>
            </w:pPr>
            <w:r>
              <w:rPr>
                <w:rFonts w:hint="default"/>
                <w:lang w:val="en-US" w:eastAsia="zh-CN"/>
              </w:rPr>
              <w:t xml:space="preserve">7168438 </w:t>
            </w:r>
          </w:p>
        </w:tc>
        <w:tc>
          <w:tcPr>
            <w:tcW w:w="1211" w:type="dxa"/>
            <w:tcBorders>
              <w:top w:val="single" w:color="auto" w:sz="4" w:space="0"/>
              <w:left w:val="single" w:color="auto" w:sz="4" w:space="0"/>
              <w:bottom w:val="single" w:color="000000" w:sz="12" w:space="0"/>
              <w:right w:val="nil"/>
            </w:tcBorders>
            <w:shd w:val="clear" w:color="auto" w:fill="FFFFFF"/>
            <w:vAlign w:val="center"/>
          </w:tcPr>
          <w:p w14:paraId="78D52576">
            <w:pPr>
              <w:pStyle w:val="59"/>
              <w:bidi w:val="0"/>
            </w:pPr>
            <w:r>
              <w:rPr>
                <w:rFonts w:hint="eastAsia"/>
                <w:lang w:val="en-US" w:eastAsia="zh-CN"/>
              </w:rPr>
              <w:t xml:space="preserve">89.8 </w:t>
            </w:r>
          </w:p>
        </w:tc>
      </w:tr>
    </w:tbl>
    <w:p w14:paraId="46D4A73C">
      <w:pPr>
        <w:pStyle w:val="19"/>
        <w:rPr>
          <w:sz w:val="21"/>
        </w:rPr>
      </w:pPr>
    </w:p>
    <w:p w14:paraId="3C84FB03">
      <w:pPr>
        <w:pStyle w:val="62"/>
        <w:numPr>
          <w:ilvl w:val="0"/>
          <w:numId w:val="22"/>
        </w:numPr>
        <w:bidi w:val="0"/>
        <w:rPr>
          <w:rFonts w:hint="eastAsia"/>
        </w:rPr>
      </w:pPr>
      <w:r>
        <w:rPr>
          <w:rFonts w:hint="eastAsia"/>
        </w:rPr>
        <w:t>本项目</w:t>
      </w:r>
      <w:r>
        <w:rPr>
          <w:rFonts w:hint="eastAsia"/>
          <w:lang w:val="en-US" w:eastAsia="zh-CN"/>
        </w:rPr>
        <w:t>凹印</w:t>
      </w:r>
      <w:r>
        <w:rPr>
          <w:rFonts w:hint="eastAsia"/>
        </w:rPr>
        <w:t>油墨</w:t>
      </w:r>
      <w:r>
        <w:rPr>
          <w:rFonts w:hint="eastAsia"/>
          <w:lang w:val="en-US" w:eastAsia="zh-CN"/>
        </w:rPr>
        <w:t>调配比例（质量比）</w:t>
      </w:r>
    </w:p>
    <w:tbl>
      <w:tblPr>
        <w:tblStyle w:val="105"/>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96"/>
        <w:gridCol w:w="1296"/>
        <w:gridCol w:w="1296"/>
        <w:gridCol w:w="1296"/>
        <w:gridCol w:w="1296"/>
        <w:gridCol w:w="1296"/>
        <w:gridCol w:w="1296"/>
      </w:tblGrid>
      <w:tr w14:paraId="114BF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428" w:type="pct"/>
            <w:gridSpan w:val="2"/>
            <w:tcBorders>
              <w:top w:val="single" w:color="000000" w:sz="12" w:space="0"/>
              <w:left w:val="nil"/>
              <w:bottom w:val="single" w:color="auto" w:sz="4" w:space="0"/>
              <w:right w:val="single" w:color="auto" w:sz="4" w:space="0"/>
              <w:tl2br w:val="nil"/>
            </w:tcBorders>
            <w:shd w:val="clear" w:color="auto" w:fill="FFFFFF"/>
            <w:vAlign w:val="center"/>
          </w:tcPr>
          <w:p w14:paraId="154F73D9">
            <w:pPr>
              <w:pStyle w:val="59"/>
              <w:bidi w:val="0"/>
              <w:jc w:val="center"/>
              <w:rPr>
                <w:rFonts w:hint="eastAsia"/>
                <w:b w:val="0"/>
                <w:color w:val="000000"/>
                <w:lang w:val="en-US" w:eastAsia="zh-CN"/>
              </w:rPr>
            </w:pPr>
            <w:r>
              <w:rPr>
                <w:rFonts w:hint="eastAsia"/>
                <w:b w:val="0"/>
                <w:color w:val="000000"/>
                <w:lang w:val="en-US" w:eastAsia="zh-CN"/>
              </w:rPr>
              <w:t>原料</w:t>
            </w:r>
          </w:p>
        </w:tc>
        <w:tc>
          <w:tcPr>
            <w:tcW w:w="714" w:type="pct"/>
            <w:tcBorders>
              <w:top w:val="single" w:color="000000" w:sz="12" w:space="0"/>
              <w:left w:val="single" w:color="auto" w:sz="4" w:space="0"/>
              <w:bottom w:val="single" w:color="auto" w:sz="4" w:space="0"/>
              <w:right w:val="single" w:color="auto" w:sz="4" w:space="0"/>
            </w:tcBorders>
            <w:shd w:val="clear" w:color="auto" w:fill="FFFFFF"/>
            <w:vAlign w:val="center"/>
          </w:tcPr>
          <w:p w14:paraId="449D2380">
            <w:pPr>
              <w:pStyle w:val="59"/>
              <w:bidi w:val="0"/>
              <w:jc w:val="center"/>
              <w:rPr>
                <w:rFonts w:hint="default"/>
                <w:b w:val="0"/>
                <w:color w:val="000000"/>
                <w:lang w:val="en-US" w:eastAsia="zh-CN"/>
              </w:rPr>
            </w:pPr>
            <w:r>
              <w:rPr>
                <w:rFonts w:hint="eastAsia"/>
                <w:b w:val="0"/>
                <w:color w:val="000000"/>
                <w:lang w:val="en-US" w:eastAsia="zh-CN"/>
              </w:rPr>
              <w:t>PVC油墨</w:t>
            </w:r>
          </w:p>
        </w:tc>
        <w:tc>
          <w:tcPr>
            <w:tcW w:w="714" w:type="pct"/>
            <w:tcBorders>
              <w:top w:val="single" w:color="000000" w:sz="12" w:space="0"/>
              <w:left w:val="single" w:color="auto" w:sz="4" w:space="0"/>
              <w:bottom w:val="single" w:color="auto" w:sz="4" w:space="0"/>
              <w:right w:val="single" w:color="auto" w:sz="4" w:space="0"/>
            </w:tcBorders>
            <w:shd w:val="clear" w:color="auto" w:fill="FFFFFF"/>
            <w:vAlign w:val="center"/>
          </w:tcPr>
          <w:p w14:paraId="4FB36362">
            <w:pPr>
              <w:pStyle w:val="59"/>
              <w:bidi w:val="0"/>
              <w:jc w:val="center"/>
              <w:rPr>
                <w:b w:val="0"/>
                <w:color w:val="000000"/>
              </w:rPr>
            </w:pPr>
            <w:r>
              <w:rPr>
                <w:b w:val="0"/>
                <w:color w:val="000000"/>
              </w:rPr>
              <w:t>乙酸乙酯</w:t>
            </w:r>
          </w:p>
        </w:tc>
        <w:tc>
          <w:tcPr>
            <w:tcW w:w="714" w:type="pct"/>
            <w:tcBorders>
              <w:top w:val="single" w:color="000000" w:sz="12" w:space="0"/>
              <w:left w:val="single" w:color="auto" w:sz="4" w:space="0"/>
              <w:bottom w:val="single" w:color="auto" w:sz="4" w:space="0"/>
              <w:right w:val="single" w:color="auto" w:sz="4" w:space="0"/>
            </w:tcBorders>
            <w:shd w:val="clear" w:color="auto" w:fill="FFFFFF"/>
            <w:vAlign w:val="center"/>
          </w:tcPr>
          <w:p w14:paraId="269BE83B">
            <w:pPr>
              <w:pStyle w:val="59"/>
              <w:bidi w:val="0"/>
              <w:jc w:val="center"/>
              <w:rPr>
                <w:b w:val="0"/>
                <w:color w:val="000000"/>
              </w:rPr>
            </w:pPr>
            <w:r>
              <w:rPr>
                <w:b w:val="0"/>
                <w:color w:val="000000"/>
              </w:rPr>
              <w:t>乙酸丙酯</w:t>
            </w:r>
          </w:p>
        </w:tc>
        <w:tc>
          <w:tcPr>
            <w:tcW w:w="714" w:type="pct"/>
            <w:tcBorders>
              <w:top w:val="single" w:color="000000" w:sz="12" w:space="0"/>
              <w:left w:val="single" w:color="auto" w:sz="4" w:space="0"/>
              <w:bottom w:val="single" w:color="auto" w:sz="4" w:space="0"/>
              <w:right w:val="single" w:color="auto" w:sz="4" w:space="0"/>
            </w:tcBorders>
            <w:shd w:val="clear" w:color="auto" w:fill="FFFFFF"/>
            <w:vAlign w:val="center"/>
          </w:tcPr>
          <w:p w14:paraId="27D5D518">
            <w:pPr>
              <w:pStyle w:val="59"/>
              <w:bidi w:val="0"/>
              <w:jc w:val="center"/>
              <w:rPr>
                <w:b w:val="0"/>
                <w:color w:val="000000"/>
              </w:rPr>
            </w:pPr>
            <w:r>
              <w:rPr>
                <w:b w:val="0"/>
                <w:color w:val="000000"/>
              </w:rPr>
              <w:t>异丙醇</w:t>
            </w:r>
          </w:p>
        </w:tc>
        <w:tc>
          <w:tcPr>
            <w:tcW w:w="714" w:type="pct"/>
            <w:tcBorders>
              <w:top w:val="single" w:color="000000" w:sz="12" w:space="0"/>
              <w:left w:val="single" w:color="auto" w:sz="4" w:space="0"/>
              <w:bottom w:val="single" w:color="auto" w:sz="4" w:space="0"/>
              <w:right w:val="nil"/>
            </w:tcBorders>
            <w:shd w:val="clear" w:color="auto" w:fill="FFFFFF"/>
            <w:vAlign w:val="center"/>
          </w:tcPr>
          <w:p w14:paraId="74FA8B93">
            <w:pPr>
              <w:pStyle w:val="59"/>
              <w:bidi w:val="0"/>
              <w:jc w:val="center"/>
              <w:rPr>
                <w:b w:val="0"/>
                <w:color w:val="000000"/>
              </w:rPr>
            </w:pPr>
            <w:r>
              <w:rPr>
                <w:rFonts w:hint="eastAsia"/>
                <w:b w:val="0"/>
                <w:color w:val="000000"/>
              </w:rPr>
              <w:t>乙酸丁酯</w:t>
            </w:r>
          </w:p>
        </w:tc>
      </w:tr>
      <w:tr w14:paraId="7C1C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4" w:type="pct"/>
            <w:vMerge w:val="restart"/>
            <w:tcBorders>
              <w:top w:val="single" w:color="auto" w:sz="4" w:space="0"/>
              <w:left w:val="nil"/>
              <w:bottom w:val="single" w:color="auto" w:sz="4" w:space="0"/>
              <w:right w:val="single" w:color="auto" w:sz="4" w:space="0"/>
            </w:tcBorders>
            <w:shd w:val="clear" w:color="auto" w:fill="FFFFFF"/>
            <w:vAlign w:val="center"/>
          </w:tcPr>
          <w:p w14:paraId="385B46E2">
            <w:pPr>
              <w:pStyle w:val="59"/>
              <w:bidi w:val="0"/>
              <w:jc w:val="center"/>
              <w:rPr>
                <w:rFonts w:hint="default"/>
                <w:b w:val="0"/>
                <w:color w:val="000000"/>
                <w:lang w:val="en-US" w:eastAsia="zh-CN"/>
              </w:rPr>
            </w:pPr>
            <w:r>
              <w:rPr>
                <w:rFonts w:hint="eastAsia"/>
                <w:b w:val="0"/>
                <w:color w:val="000000"/>
                <w:lang w:val="en-US" w:eastAsia="zh-CN"/>
              </w:rPr>
              <w:t>调配比例</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19A29AE3">
            <w:pPr>
              <w:pStyle w:val="59"/>
              <w:bidi w:val="0"/>
              <w:jc w:val="center"/>
              <w:rPr>
                <w:rFonts w:hint="default"/>
                <w:b w:val="0"/>
                <w:color w:val="000000"/>
                <w:lang w:val="en-US" w:eastAsia="zh-CN"/>
              </w:rPr>
            </w:pPr>
            <w:r>
              <w:rPr>
                <w:rFonts w:hint="eastAsia"/>
                <w:b w:val="0"/>
                <w:color w:val="000000"/>
                <w:lang w:val="en-US" w:eastAsia="zh-CN"/>
              </w:rPr>
              <w:t>快干</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7369A8D6">
            <w:pPr>
              <w:pStyle w:val="59"/>
              <w:bidi w:val="0"/>
              <w:jc w:val="center"/>
              <w:rPr>
                <w:rFonts w:hint="default" w:eastAsia="宋体"/>
                <w:b w:val="0"/>
                <w:color w:val="000000"/>
                <w:lang w:val="en-US" w:eastAsia="zh-CN"/>
              </w:rPr>
            </w:pPr>
            <w:r>
              <w:rPr>
                <w:rFonts w:hint="eastAsia"/>
                <w:b w:val="0"/>
                <w:color w:val="000000"/>
                <w:lang w:val="en-US" w:eastAsia="zh-CN"/>
              </w:rPr>
              <w:t>50</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4B451D20">
            <w:pPr>
              <w:pStyle w:val="59"/>
              <w:bidi w:val="0"/>
              <w:jc w:val="center"/>
              <w:rPr>
                <w:rFonts w:hint="eastAsia" w:eastAsia="宋体"/>
                <w:b w:val="0"/>
                <w:color w:val="000000"/>
                <w:lang w:val="en-US" w:eastAsia="zh-CN"/>
              </w:rPr>
            </w:pPr>
            <w:r>
              <w:rPr>
                <w:rFonts w:hint="eastAsia"/>
                <w:b w:val="0"/>
                <w:color w:val="000000"/>
                <w:lang w:val="en-US" w:eastAsia="zh-CN"/>
              </w:rPr>
              <w:t>4</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0D153AAB">
            <w:pPr>
              <w:pStyle w:val="59"/>
              <w:bidi w:val="0"/>
              <w:jc w:val="center"/>
              <w:rPr>
                <w:rFonts w:hint="default" w:eastAsia="宋体"/>
                <w:b w:val="0"/>
                <w:color w:val="000000"/>
                <w:lang w:val="en-US" w:eastAsia="zh-CN"/>
              </w:rPr>
            </w:pPr>
            <w:r>
              <w:rPr>
                <w:rFonts w:hint="eastAsia"/>
                <w:b w:val="0"/>
                <w:color w:val="000000"/>
                <w:lang w:val="en-US" w:eastAsia="zh-CN"/>
              </w:rPr>
              <w:t>5</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66232220">
            <w:pPr>
              <w:pStyle w:val="59"/>
              <w:bidi w:val="0"/>
              <w:jc w:val="center"/>
              <w:rPr>
                <w:rFonts w:hint="eastAsia" w:eastAsia="宋体"/>
                <w:b w:val="0"/>
                <w:color w:val="000000"/>
                <w:lang w:val="en-US" w:eastAsia="zh-CN"/>
              </w:rPr>
            </w:pPr>
            <w:r>
              <w:rPr>
                <w:rFonts w:hint="eastAsia"/>
                <w:b w:val="0"/>
                <w:color w:val="000000"/>
                <w:lang w:val="en-US" w:eastAsia="zh-CN"/>
              </w:rPr>
              <w:t>1</w:t>
            </w:r>
          </w:p>
        </w:tc>
        <w:tc>
          <w:tcPr>
            <w:tcW w:w="714" w:type="pct"/>
            <w:tcBorders>
              <w:top w:val="single" w:color="auto" w:sz="4" w:space="0"/>
              <w:left w:val="single" w:color="auto" w:sz="4" w:space="0"/>
              <w:bottom w:val="single" w:color="auto" w:sz="4" w:space="0"/>
              <w:right w:val="nil"/>
            </w:tcBorders>
            <w:shd w:val="clear" w:color="auto" w:fill="FFFFFF"/>
            <w:vAlign w:val="center"/>
          </w:tcPr>
          <w:p w14:paraId="6C2B07C3">
            <w:pPr>
              <w:pStyle w:val="59"/>
              <w:bidi w:val="0"/>
              <w:jc w:val="center"/>
              <w:rPr>
                <w:rFonts w:hint="eastAsia" w:eastAsia="宋体"/>
                <w:b w:val="0"/>
                <w:color w:val="000000"/>
                <w:lang w:val="en-US" w:eastAsia="zh-CN"/>
              </w:rPr>
            </w:pPr>
            <w:r>
              <w:rPr>
                <w:rFonts w:hint="eastAsia"/>
                <w:b w:val="0"/>
                <w:color w:val="000000"/>
                <w:lang w:val="en-US" w:eastAsia="zh-CN"/>
              </w:rPr>
              <w:t>/</w:t>
            </w:r>
          </w:p>
        </w:tc>
      </w:tr>
      <w:tr w14:paraId="6438F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4" w:type="pct"/>
            <w:vMerge w:val="continue"/>
            <w:tcBorders>
              <w:top w:val="single" w:color="auto" w:sz="4" w:space="0"/>
              <w:left w:val="nil"/>
              <w:bottom w:val="single" w:color="auto" w:sz="4" w:space="0"/>
              <w:right w:val="single" w:color="auto" w:sz="4" w:space="0"/>
            </w:tcBorders>
            <w:shd w:val="clear" w:color="auto" w:fill="FFFFFF"/>
            <w:vAlign w:val="center"/>
          </w:tcPr>
          <w:p w14:paraId="21461A65">
            <w:pPr>
              <w:pStyle w:val="59"/>
              <w:bidi w:val="0"/>
              <w:jc w:val="center"/>
              <w:rPr>
                <w:b w:val="0"/>
                <w:color w:val="000000"/>
              </w:rPr>
            </w:pP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44AD850E">
            <w:pPr>
              <w:pStyle w:val="59"/>
              <w:bidi w:val="0"/>
              <w:jc w:val="center"/>
              <w:rPr>
                <w:rFonts w:hint="eastAsia" w:eastAsia="宋体"/>
                <w:b w:val="0"/>
                <w:color w:val="000000"/>
                <w:lang w:val="en-US" w:eastAsia="zh-CN"/>
              </w:rPr>
            </w:pPr>
            <w:r>
              <w:rPr>
                <w:rFonts w:hint="eastAsia"/>
                <w:b w:val="0"/>
                <w:color w:val="000000"/>
                <w:lang w:val="en-US" w:eastAsia="zh-CN"/>
              </w:rPr>
              <w:t>中干</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40C3EA34">
            <w:pPr>
              <w:pStyle w:val="59"/>
              <w:bidi w:val="0"/>
              <w:jc w:val="center"/>
              <w:rPr>
                <w:rFonts w:hint="default" w:eastAsia="宋体"/>
                <w:b w:val="0"/>
                <w:color w:val="000000"/>
                <w:lang w:val="en-US" w:eastAsia="zh-CN"/>
              </w:rPr>
            </w:pPr>
            <w:r>
              <w:rPr>
                <w:rFonts w:hint="eastAsia"/>
                <w:b w:val="0"/>
                <w:color w:val="000000"/>
                <w:lang w:val="en-US" w:eastAsia="zh-CN"/>
              </w:rPr>
              <w:t>50</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5B98769E">
            <w:pPr>
              <w:pStyle w:val="59"/>
              <w:bidi w:val="0"/>
              <w:jc w:val="center"/>
              <w:rPr>
                <w:rFonts w:hint="eastAsia" w:eastAsia="宋体"/>
                <w:b w:val="0"/>
                <w:color w:val="000000"/>
                <w:lang w:val="en-US" w:eastAsia="zh-CN"/>
              </w:rPr>
            </w:pPr>
            <w:r>
              <w:rPr>
                <w:rFonts w:hint="eastAsia"/>
                <w:b w:val="0"/>
                <w:color w:val="000000"/>
                <w:lang w:val="en-US" w:eastAsia="zh-CN"/>
              </w:rPr>
              <w:t>/</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4056D4D8">
            <w:pPr>
              <w:pStyle w:val="59"/>
              <w:bidi w:val="0"/>
              <w:jc w:val="center"/>
              <w:rPr>
                <w:rFonts w:hint="default" w:eastAsia="宋体"/>
                <w:b w:val="0"/>
                <w:color w:val="000000"/>
                <w:lang w:val="en-US" w:eastAsia="zh-CN"/>
              </w:rPr>
            </w:pPr>
            <w:r>
              <w:rPr>
                <w:rFonts w:hint="eastAsia"/>
                <w:b w:val="0"/>
                <w:color w:val="000000"/>
                <w:lang w:val="en-US" w:eastAsia="zh-CN"/>
              </w:rPr>
              <w:t>9</w:t>
            </w:r>
          </w:p>
        </w:tc>
        <w:tc>
          <w:tcPr>
            <w:tcW w:w="714" w:type="pct"/>
            <w:tcBorders>
              <w:top w:val="single" w:color="auto" w:sz="4" w:space="0"/>
              <w:left w:val="single" w:color="auto" w:sz="4" w:space="0"/>
              <w:bottom w:val="single" w:color="auto" w:sz="4" w:space="0"/>
              <w:right w:val="single" w:color="auto" w:sz="4" w:space="0"/>
            </w:tcBorders>
            <w:shd w:val="clear" w:color="auto" w:fill="FFFFFF"/>
            <w:vAlign w:val="center"/>
          </w:tcPr>
          <w:p w14:paraId="2E76C817">
            <w:pPr>
              <w:pStyle w:val="59"/>
              <w:bidi w:val="0"/>
              <w:jc w:val="center"/>
              <w:rPr>
                <w:rFonts w:hint="eastAsia" w:eastAsia="宋体"/>
                <w:b w:val="0"/>
                <w:color w:val="000000"/>
                <w:lang w:val="en-US" w:eastAsia="zh-CN"/>
              </w:rPr>
            </w:pPr>
            <w:r>
              <w:rPr>
                <w:rFonts w:hint="eastAsia"/>
                <w:b w:val="0"/>
                <w:color w:val="000000"/>
                <w:lang w:val="en-US" w:eastAsia="zh-CN"/>
              </w:rPr>
              <w:t>1</w:t>
            </w:r>
          </w:p>
        </w:tc>
        <w:tc>
          <w:tcPr>
            <w:tcW w:w="714" w:type="pct"/>
            <w:tcBorders>
              <w:top w:val="single" w:color="auto" w:sz="4" w:space="0"/>
              <w:left w:val="single" w:color="auto" w:sz="4" w:space="0"/>
              <w:bottom w:val="single" w:color="auto" w:sz="4" w:space="0"/>
              <w:right w:val="nil"/>
            </w:tcBorders>
            <w:shd w:val="clear" w:color="auto" w:fill="FFFFFF"/>
            <w:vAlign w:val="center"/>
          </w:tcPr>
          <w:p w14:paraId="2863CDC8">
            <w:pPr>
              <w:pStyle w:val="59"/>
              <w:bidi w:val="0"/>
              <w:jc w:val="center"/>
              <w:rPr>
                <w:rFonts w:hint="eastAsia" w:eastAsia="宋体"/>
                <w:b w:val="0"/>
                <w:color w:val="000000"/>
                <w:lang w:val="en-US" w:eastAsia="zh-CN"/>
              </w:rPr>
            </w:pPr>
            <w:r>
              <w:rPr>
                <w:rFonts w:hint="eastAsia"/>
                <w:b w:val="0"/>
                <w:color w:val="000000"/>
                <w:lang w:val="en-US" w:eastAsia="zh-CN"/>
              </w:rPr>
              <w:t>/</w:t>
            </w:r>
          </w:p>
        </w:tc>
      </w:tr>
      <w:tr w14:paraId="4C68F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4" w:type="pct"/>
            <w:vMerge w:val="continue"/>
            <w:tcBorders>
              <w:top w:val="single" w:color="auto" w:sz="4" w:space="0"/>
              <w:left w:val="nil"/>
              <w:bottom w:val="single" w:color="000000" w:sz="12" w:space="0"/>
              <w:right w:val="single" w:color="auto" w:sz="4" w:space="0"/>
            </w:tcBorders>
            <w:shd w:val="clear" w:color="auto" w:fill="FFFFFF"/>
            <w:vAlign w:val="center"/>
          </w:tcPr>
          <w:p w14:paraId="732839E7">
            <w:pPr>
              <w:pStyle w:val="59"/>
              <w:bidi w:val="0"/>
              <w:jc w:val="center"/>
              <w:rPr>
                <w:b w:val="0"/>
                <w:color w:val="000000"/>
              </w:rPr>
            </w:pPr>
          </w:p>
        </w:tc>
        <w:tc>
          <w:tcPr>
            <w:tcW w:w="714" w:type="pct"/>
            <w:tcBorders>
              <w:top w:val="single" w:color="auto" w:sz="4" w:space="0"/>
              <w:left w:val="single" w:color="auto" w:sz="4" w:space="0"/>
              <w:bottom w:val="single" w:color="000000" w:sz="12" w:space="0"/>
              <w:right w:val="single" w:color="auto" w:sz="4" w:space="0"/>
            </w:tcBorders>
            <w:shd w:val="clear" w:color="auto" w:fill="FFFFFF"/>
            <w:vAlign w:val="center"/>
          </w:tcPr>
          <w:p w14:paraId="6CCDE72B">
            <w:pPr>
              <w:pStyle w:val="59"/>
              <w:bidi w:val="0"/>
              <w:jc w:val="center"/>
              <w:rPr>
                <w:rFonts w:hint="eastAsia" w:eastAsia="宋体"/>
                <w:b w:val="0"/>
                <w:color w:val="000000"/>
                <w:lang w:val="en-US" w:eastAsia="zh-CN"/>
              </w:rPr>
            </w:pPr>
            <w:r>
              <w:rPr>
                <w:rFonts w:hint="eastAsia"/>
                <w:b w:val="0"/>
                <w:color w:val="000000"/>
                <w:lang w:val="en-US" w:eastAsia="zh-CN"/>
              </w:rPr>
              <w:t>慢干</w:t>
            </w:r>
          </w:p>
        </w:tc>
        <w:tc>
          <w:tcPr>
            <w:tcW w:w="714" w:type="pct"/>
            <w:tcBorders>
              <w:top w:val="single" w:color="auto" w:sz="4" w:space="0"/>
              <w:left w:val="single" w:color="auto" w:sz="4" w:space="0"/>
              <w:bottom w:val="single" w:color="000000" w:sz="12" w:space="0"/>
              <w:right w:val="single" w:color="auto" w:sz="4" w:space="0"/>
            </w:tcBorders>
            <w:shd w:val="clear" w:color="auto" w:fill="FFFFFF"/>
            <w:vAlign w:val="center"/>
          </w:tcPr>
          <w:p w14:paraId="5C290C56">
            <w:pPr>
              <w:pStyle w:val="59"/>
              <w:bidi w:val="0"/>
              <w:jc w:val="center"/>
              <w:rPr>
                <w:rFonts w:hint="default" w:eastAsia="宋体"/>
                <w:b w:val="0"/>
                <w:color w:val="000000"/>
                <w:lang w:val="en-US" w:eastAsia="zh-CN"/>
              </w:rPr>
            </w:pPr>
            <w:r>
              <w:rPr>
                <w:rFonts w:hint="eastAsia"/>
                <w:b w:val="0"/>
                <w:color w:val="000000"/>
                <w:lang w:val="en-US" w:eastAsia="zh-CN"/>
              </w:rPr>
              <w:t>50</w:t>
            </w:r>
          </w:p>
        </w:tc>
        <w:tc>
          <w:tcPr>
            <w:tcW w:w="714" w:type="pct"/>
            <w:tcBorders>
              <w:top w:val="single" w:color="auto" w:sz="4" w:space="0"/>
              <w:left w:val="single" w:color="auto" w:sz="4" w:space="0"/>
              <w:bottom w:val="single" w:color="000000" w:sz="12" w:space="0"/>
              <w:right w:val="single" w:color="auto" w:sz="4" w:space="0"/>
            </w:tcBorders>
            <w:shd w:val="clear" w:color="auto" w:fill="FFFFFF"/>
            <w:vAlign w:val="center"/>
          </w:tcPr>
          <w:p w14:paraId="553E527D">
            <w:pPr>
              <w:pStyle w:val="59"/>
              <w:bidi w:val="0"/>
              <w:jc w:val="center"/>
              <w:rPr>
                <w:rFonts w:hint="eastAsia" w:eastAsia="宋体"/>
                <w:b w:val="0"/>
                <w:color w:val="000000"/>
                <w:lang w:val="en-US" w:eastAsia="zh-CN"/>
              </w:rPr>
            </w:pPr>
            <w:r>
              <w:rPr>
                <w:rFonts w:hint="eastAsia"/>
                <w:b w:val="0"/>
                <w:color w:val="000000"/>
                <w:lang w:val="en-US" w:eastAsia="zh-CN"/>
              </w:rPr>
              <w:t>/</w:t>
            </w:r>
          </w:p>
        </w:tc>
        <w:tc>
          <w:tcPr>
            <w:tcW w:w="714" w:type="pct"/>
            <w:tcBorders>
              <w:top w:val="single" w:color="auto" w:sz="4" w:space="0"/>
              <w:left w:val="single" w:color="auto" w:sz="4" w:space="0"/>
              <w:bottom w:val="single" w:color="000000" w:sz="12" w:space="0"/>
              <w:right w:val="single" w:color="auto" w:sz="4" w:space="0"/>
            </w:tcBorders>
            <w:shd w:val="clear" w:color="auto" w:fill="FFFFFF"/>
            <w:vAlign w:val="center"/>
          </w:tcPr>
          <w:p w14:paraId="372F6C8F">
            <w:pPr>
              <w:pStyle w:val="59"/>
              <w:bidi w:val="0"/>
              <w:jc w:val="center"/>
              <w:rPr>
                <w:rFonts w:hint="default" w:eastAsia="宋体"/>
                <w:b w:val="0"/>
                <w:color w:val="000000"/>
                <w:lang w:val="en-US" w:eastAsia="zh-CN"/>
              </w:rPr>
            </w:pPr>
            <w:r>
              <w:rPr>
                <w:rFonts w:hint="eastAsia"/>
                <w:b w:val="0"/>
                <w:color w:val="000000"/>
                <w:lang w:val="en-US" w:eastAsia="zh-CN"/>
              </w:rPr>
              <w:t>7</w:t>
            </w:r>
          </w:p>
        </w:tc>
        <w:tc>
          <w:tcPr>
            <w:tcW w:w="714" w:type="pct"/>
            <w:tcBorders>
              <w:top w:val="single" w:color="auto" w:sz="4" w:space="0"/>
              <w:left w:val="single" w:color="auto" w:sz="4" w:space="0"/>
              <w:bottom w:val="single" w:color="000000" w:sz="12" w:space="0"/>
              <w:right w:val="single" w:color="auto" w:sz="4" w:space="0"/>
            </w:tcBorders>
            <w:shd w:val="clear" w:color="auto" w:fill="FFFFFF"/>
            <w:vAlign w:val="center"/>
          </w:tcPr>
          <w:p w14:paraId="12FED15A">
            <w:pPr>
              <w:pStyle w:val="59"/>
              <w:bidi w:val="0"/>
              <w:jc w:val="center"/>
              <w:rPr>
                <w:rFonts w:hint="eastAsia" w:eastAsia="宋体"/>
                <w:b w:val="0"/>
                <w:color w:val="000000"/>
                <w:lang w:val="en-US" w:eastAsia="zh-CN"/>
              </w:rPr>
            </w:pPr>
            <w:r>
              <w:rPr>
                <w:rFonts w:hint="eastAsia"/>
                <w:b w:val="0"/>
                <w:color w:val="000000"/>
                <w:lang w:val="en-US" w:eastAsia="zh-CN"/>
              </w:rPr>
              <w:t>1</w:t>
            </w:r>
          </w:p>
        </w:tc>
        <w:tc>
          <w:tcPr>
            <w:tcW w:w="714" w:type="pct"/>
            <w:tcBorders>
              <w:top w:val="single" w:color="auto" w:sz="4" w:space="0"/>
              <w:left w:val="single" w:color="auto" w:sz="4" w:space="0"/>
              <w:bottom w:val="single" w:color="000000" w:sz="12" w:space="0"/>
              <w:right w:val="nil"/>
            </w:tcBorders>
            <w:shd w:val="clear" w:color="auto" w:fill="FFFFFF"/>
            <w:vAlign w:val="center"/>
          </w:tcPr>
          <w:p w14:paraId="6E87C8B3">
            <w:pPr>
              <w:pStyle w:val="59"/>
              <w:bidi w:val="0"/>
              <w:jc w:val="center"/>
              <w:rPr>
                <w:rFonts w:hint="eastAsia" w:eastAsia="宋体"/>
                <w:b w:val="0"/>
                <w:color w:val="000000"/>
                <w:lang w:val="en-US" w:eastAsia="zh-CN"/>
              </w:rPr>
            </w:pPr>
            <w:r>
              <w:rPr>
                <w:rFonts w:hint="eastAsia"/>
                <w:b w:val="0"/>
                <w:color w:val="000000"/>
                <w:lang w:val="en-US" w:eastAsia="zh-CN"/>
              </w:rPr>
              <w:t>2</w:t>
            </w:r>
          </w:p>
        </w:tc>
      </w:tr>
    </w:tbl>
    <w:p w14:paraId="3F915414">
      <w:pPr>
        <w:keepNext w:val="0"/>
        <w:keepLines w:val="0"/>
        <w:pageBreakBefore w:val="0"/>
        <w:widowControl w:val="0"/>
        <w:kinsoku/>
        <w:wordWrap/>
        <w:overflowPunct/>
        <w:topLinePunct w:val="0"/>
        <w:autoSpaceDE/>
        <w:autoSpaceDN/>
        <w:bidi w:val="0"/>
        <w:adjustRightInd/>
        <w:snapToGrid/>
        <w:spacing w:before="157" w:beforeLines="50"/>
        <w:textAlignment w:val="auto"/>
      </w:pPr>
      <w:r>
        <w:rPr>
          <w:rFonts w:hint="eastAsia"/>
          <w:lang w:val="en-US" w:eastAsia="zh-CN"/>
        </w:rPr>
        <w:t>2、复合</w:t>
      </w:r>
      <w:r>
        <w:t>胶水用量核算：</w:t>
      </w:r>
    </w:p>
    <w:p w14:paraId="34C96A4F">
      <w:pPr>
        <w:bidi w:val="0"/>
      </w:pPr>
      <w:r>
        <w:t>A=H×G</w:t>
      </w:r>
    </w:p>
    <w:p w14:paraId="36A7646D">
      <w:pPr>
        <w:bidi w:val="0"/>
      </w:pPr>
      <w:r>
        <w:t>公式中：</w:t>
      </w:r>
      <w:r>
        <w:rPr>
          <w:rFonts w:hint="eastAsia"/>
          <w:lang w:val="en-US" w:eastAsia="zh-CN"/>
        </w:rPr>
        <w:t>复合胶水</w:t>
      </w:r>
      <w:r>
        <w:t>的消耗量，g；</w:t>
      </w:r>
    </w:p>
    <w:p w14:paraId="76506CE8">
      <w:pPr>
        <w:bidi w:val="0"/>
      </w:pPr>
      <w:r>
        <w:t>H—单位面积</w:t>
      </w:r>
      <w:r>
        <w:rPr>
          <w:rFonts w:hint="eastAsia"/>
          <w:lang w:val="en-US" w:eastAsia="zh-CN"/>
        </w:rPr>
        <w:t>胶水</w:t>
      </w:r>
      <w:r>
        <w:t>的消耗量，g/m</w:t>
      </w:r>
      <w:r>
        <w:rPr>
          <w:vertAlign w:val="superscript"/>
        </w:rPr>
        <w:t>2</w:t>
      </w:r>
      <w:r>
        <w:t xml:space="preserve"> ；根据建设单位提供资料，单位面积</w:t>
      </w:r>
      <w:r>
        <w:rPr>
          <w:rFonts w:hint="eastAsia"/>
          <w:lang w:val="en-US" w:eastAsia="zh-CN"/>
        </w:rPr>
        <w:t>复合胶水</w:t>
      </w:r>
      <w:r>
        <w:t>的消耗量为2g/m</w:t>
      </w:r>
      <w:r>
        <w:rPr>
          <w:vertAlign w:val="superscript"/>
        </w:rPr>
        <w:t>2</w:t>
      </w:r>
      <w:r>
        <w:t>。</w:t>
      </w:r>
    </w:p>
    <w:p w14:paraId="41238043">
      <w:pPr>
        <w:bidi w:val="0"/>
      </w:pPr>
      <w:r>
        <w:t>G—</w:t>
      </w:r>
      <w:r>
        <w:rPr>
          <w:rFonts w:hint="eastAsia"/>
          <w:lang w:val="en-US" w:eastAsia="zh-CN"/>
        </w:rPr>
        <w:t>复合</w:t>
      </w:r>
      <w:r>
        <w:t>面积，m</w:t>
      </w:r>
      <w:r>
        <w:rPr>
          <w:vertAlign w:val="superscript"/>
        </w:rPr>
        <w:t>2</w:t>
      </w:r>
      <w:r>
        <w:t>。</w:t>
      </w:r>
    </w:p>
    <w:p w14:paraId="6CD21B4F">
      <w:pPr>
        <w:pStyle w:val="62"/>
        <w:numPr>
          <w:ilvl w:val="0"/>
          <w:numId w:val="22"/>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w:t>
      </w:r>
      <w:r>
        <w:rPr>
          <w:rFonts w:hint="eastAsia" w:ascii="Times New Roman" w:hAnsi="Times New Roman" w:eastAsia="宋体" w:cs="Times New Roman"/>
          <w:color w:val="auto"/>
          <w:lang w:val="en-US" w:eastAsia="zh-CN"/>
        </w:rPr>
        <w:t>聚氨酯胶水</w:t>
      </w:r>
      <w:r>
        <w:rPr>
          <w:rFonts w:hint="eastAsia" w:ascii="Times New Roman" w:hAnsi="Times New Roman" w:eastAsia="宋体" w:cs="Times New Roman"/>
          <w:color w:val="auto"/>
        </w:rPr>
        <w:t>核算一览表</w:t>
      </w:r>
    </w:p>
    <w:tbl>
      <w:tblPr>
        <w:tblStyle w:val="105"/>
        <w:tblW w:w="8996"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1870"/>
        <w:gridCol w:w="2084"/>
        <w:gridCol w:w="2359"/>
        <w:gridCol w:w="1829"/>
      </w:tblGrid>
      <w:tr w14:paraId="33D53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54" w:type="dxa"/>
            <w:tcBorders>
              <w:top w:val="single" w:color="000000" w:sz="12" w:space="0"/>
              <w:left w:val="nil"/>
              <w:bottom w:val="single" w:color="auto" w:sz="4" w:space="0"/>
              <w:right w:val="single" w:color="auto" w:sz="4" w:space="0"/>
              <w:tl2br w:val="nil"/>
            </w:tcBorders>
            <w:shd w:val="clear" w:color="auto" w:fill="FFFFFF"/>
            <w:vAlign w:val="center"/>
          </w:tcPr>
          <w:p w14:paraId="30B232E4">
            <w:pPr>
              <w:pStyle w:val="59"/>
              <w:bidi w:val="0"/>
              <w:jc w:val="center"/>
            </w:pPr>
            <w:r>
              <w:t>序号</w:t>
            </w:r>
          </w:p>
        </w:tc>
        <w:tc>
          <w:tcPr>
            <w:tcW w:w="1870" w:type="dxa"/>
            <w:tcBorders>
              <w:top w:val="single" w:color="000000" w:sz="12" w:space="0"/>
              <w:left w:val="single" w:color="auto" w:sz="4" w:space="0"/>
              <w:bottom w:val="single" w:color="auto" w:sz="4" w:space="0"/>
              <w:right w:val="single" w:color="auto" w:sz="4" w:space="0"/>
            </w:tcBorders>
            <w:shd w:val="clear" w:color="auto" w:fill="FFFFFF"/>
            <w:vAlign w:val="center"/>
          </w:tcPr>
          <w:p w14:paraId="18043014">
            <w:pPr>
              <w:pStyle w:val="59"/>
              <w:bidi w:val="0"/>
              <w:jc w:val="center"/>
            </w:pPr>
            <w:r>
              <w:t>原材料</w:t>
            </w:r>
          </w:p>
        </w:tc>
        <w:tc>
          <w:tcPr>
            <w:tcW w:w="2084" w:type="dxa"/>
            <w:tcBorders>
              <w:top w:val="single" w:color="000000" w:sz="12" w:space="0"/>
              <w:left w:val="single" w:color="auto" w:sz="4" w:space="0"/>
              <w:bottom w:val="single" w:color="auto" w:sz="4" w:space="0"/>
              <w:right w:val="single" w:color="auto" w:sz="4" w:space="0"/>
            </w:tcBorders>
            <w:shd w:val="clear" w:color="auto" w:fill="FFFFFF"/>
            <w:vAlign w:val="center"/>
          </w:tcPr>
          <w:p w14:paraId="373362FF">
            <w:pPr>
              <w:pStyle w:val="59"/>
              <w:bidi w:val="0"/>
              <w:jc w:val="center"/>
            </w:pPr>
            <w:r>
              <w:t>单位面积消耗量</w:t>
            </w:r>
          </w:p>
          <w:p w14:paraId="4BEACF89">
            <w:pPr>
              <w:pStyle w:val="59"/>
              <w:bidi w:val="0"/>
              <w:jc w:val="center"/>
            </w:pPr>
            <w:r>
              <w:t>（g/m</w:t>
            </w:r>
            <w:r>
              <w:rPr>
                <w:vertAlign w:val="superscript"/>
              </w:rPr>
              <w:t>2</w:t>
            </w:r>
            <w:r>
              <w:t>）</w:t>
            </w:r>
          </w:p>
        </w:tc>
        <w:tc>
          <w:tcPr>
            <w:tcW w:w="2359" w:type="dxa"/>
            <w:tcBorders>
              <w:top w:val="single" w:color="000000" w:sz="12" w:space="0"/>
              <w:left w:val="single" w:color="auto" w:sz="4" w:space="0"/>
              <w:bottom w:val="single" w:color="auto" w:sz="4" w:space="0"/>
              <w:right w:val="single" w:color="auto" w:sz="4" w:space="0"/>
            </w:tcBorders>
            <w:shd w:val="clear" w:color="auto" w:fill="FFFFFF"/>
            <w:vAlign w:val="center"/>
          </w:tcPr>
          <w:p w14:paraId="10D25DE0">
            <w:pPr>
              <w:pStyle w:val="59"/>
              <w:bidi w:val="0"/>
              <w:jc w:val="center"/>
            </w:pPr>
            <w:r>
              <w:rPr>
                <w:rFonts w:hint="eastAsia"/>
                <w:lang w:val="en-US" w:eastAsia="zh-CN"/>
              </w:rPr>
              <w:t>复合</w:t>
            </w:r>
            <w:r>
              <w:t>面积（m2）</w:t>
            </w:r>
          </w:p>
        </w:tc>
        <w:tc>
          <w:tcPr>
            <w:tcW w:w="1829" w:type="dxa"/>
            <w:tcBorders>
              <w:top w:val="single" w:color="000000" w:sz="12" w:space="0"/>
              <w:left w:val="single" w:color="auto" w:sz="4" w:space="0"/>
              <w:bottom w:val="single" w:color="auto" w:sz="4" w:space="0"/>
              <w:right w:val="nil"/>
            </w:tcBorders>
            <w:shd w:val="clear" w:color="auto" w:fill="FFFFFF"/>
            <w:vAlign w:val="center"/>
          </w:tcPr>
          <w:p w14:paraId="1755C479">
            <w:pPr>
              <w:pStyle w:val="59"/>
              <w:bidi w:val="0"/>
              <w:jc w:val="center"/>
            </w:pPr>
            <w:r>
              <w:t>消耗量（t/a）</w:t>
            </w:r>
          </w:p>
        </w:tc>
      </w:tr>
      <w:tr w14:paraId="15705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54" w:type="dxa"/>
            <w:tcBorders>
              <w:top w:val="single" w:color="auto" w:sz="4" w:space="0"/>
              <w:left w:val="nil"/>
              <w:bottom w:val="single" w:color="000000" w:sz="12" w:space="0"/>
              <w:right w:val="single" w:color="auto" w:sz="4" w:space="0"/>
            </w:tcBorders>
            <w:shd w:val="clear" w:color="auto" w:fill="FFFFFF"/>
            <w:vAlign w:val="center"/>
          </w:tcPr>
          <w:p w14:paraId="4F932414">
            <w:pPr>
              <w:pStyle w:val="59"/>
              <w:bidi w:val="0"/>
              <w:jc w:val="center"/>
            </w:pPr>
            <w:r>
              <w:t>1</w:t>
            </w:r>
          </w:p>
        </w:tc>
        <w:tc>
          <w:tcPr>
            <w:tcW w:w="1870" w:type="dxa"/>
            <w:tcBorders>
              <w:top w:val="single" w:color="auto" w:sz="4" w:space="0"/>
              <w:left w:val="single" w:color="auto" w:sz="4" w:space="0"/>
              <w:bottom w:val="single" w:color="000000" w:sz="12" w:space="0"/>
              <w:right w:val="single" w:color="auto" w:sz="4" w:space="0"/>
            </w:tcBorders>
            <w:shd w:val="clear" w:color="auto" w:fill="FFFFFF"/>
            <w:vAlign w:val="center"/>
          </w:tcPr>
          <w:p w14:paraId="2FDDD55C">
            <w:pPr>
              <w:pStyle w:val="59"/>
              <w:bidi w:val="0"/>
              <w:jc w:val="center"/>
            </w:pPr>
            <w:r>
              <w:rPr>
                <w:rFonts w:hint="eastAsia"/>
                <w:lang w:val="en-US" w:eastAsia="zh-CN"/>
              </w:rPr>
              <w:t>无溶剂胶水</w:t>
            </w:r>
          </w:p>
        </w:tc>
        <w:tc>
          <w:tcPr>
            <w:tcW w:w="2084" w:type="dxa"/>
            <w:tcBorders>
              <w:top w:val="single" w:color="auto" w:sz="4" w:space="0"/>
              <w:left w:val="single" w:color="auto" w:sz="4" w:space="0"/>
              <w:bottom w:val="single" w:color="000000" w:sz="12" w:space="0"/>
              <w:right w:val="single" w:color="auto" w:sz="4" w:space="0"/>
            </w:tcBorders>
            <w:shd w:val="clear" w:color="auto" w:fill="FFFFFF"/>
            <w:vAlign w:val="center"/>
          </w:tcPr>
          <w:p w14:paraId="38422DA9">
            <w:pPr>
              <w:pStyle w:val="59"/>
              <w:bidi w:val="0"/>
              <w:jc w:val="center"/>
              <w:rPr>
                <w:rFonts w:hint="eastAsia"/>
                <w:lang w:val="en-US" w:eastAsia="zh-CN"/>
              </w:rPr>
            </w:pPr>
            <w:r>
              <w:rPr>
                <w:rFonts w:hint="eastAsia"/>
                <w:lang w:val="en-US" w:eastAsia="zh-CN"/>
              </w:rPr>
              <w:t>2</w:t>
            </w:r>
          </w:p>
        </w:tc>
        <w:tc>
          <w:tcPr>
            <w:tcW w:w="2359" w:type="dxa"/>
            <w:tcBorders>
              <w:top w:val="single" w:color="auto" w:sz="4" w:space="0"/>
              <w:left w:val="single" w:color="auto" w:sz="4" w:space="0"/>
              <w:bottom w:val="single" w:color="000000" w:sz="12" w:space="0"/>
              <w:right w:val="single" w:color="auto" w:sz="4" w:space="0"/>
            </w:tcBorders>
            <w:shd w:val="clear" w:color="auto" w:fill="FFFFFF"/>
            <w:vAlign w:val="center"/>
          </w:tcPr>
          <w:p w14:paraId="49BBD820">
            <w:pPr>
              <w:pStyle w:val="59"/>
              <w:bidi w:val="0"/>
              <w:jc w:val="center"/>
              <w:rPr>
                <w:rFonts w:hint="default"/>
                <w:lang w:val="en-US" w:eastAsia="zh-CN"/>
              </w:rPr>
            </w:pPr>
            <w:r>
              <w:rPr>
                <w:rFonts w:hint="default"/>
                <w:lang w:val="en-US" w:eastAsia="zh-CN"/>
              </w:rPr>
              <w:t>2313476</w:t>
            </w:r>
          </w:p>
        </w:tc>
        <w:tc>
          <w:tcPr>
            <w:tcW w:w="1829" w:type="dxa"/>
            <w:tcBorders>
              <w:top w:val="single" w:color="auto" w:sz="4" w:space="0"/>
              <w:left w:val="single" w:color="auto" w:sz="4" w:space="0"/>
              <w:bottom w:val="single" w:color="000000" w:sz="12" w:space="0"/>
              <w:right w:val="nil"/>
            </w:tcBorders>
            <w:shd w:val="clear" w:color="auto" w:fill="FFFFFF"/>
            <w:vAlign w:val="center"/>
          </w:tcPr>
          <w:p w14:paraId="6A482404">
            <w:pPr>
              <w:pStyle w:val="59"/>
              <w:bidi w:val="0"/>
              <w:jc w:val="center"/>
              <w:rPr>
                <w:rFonts w:hint="default" w:eastAsia="宋体"/>
                <w:lang w:val="en-US" w:eastAsia="zh-CN"/>
              </w:rPr>
            </w:pPr>
            <w:r>
              <w:rPr>
                <w:rFonts w:hint="eastAsia"/>
                <w:lang w:val="en-US" w:eastAsia="zh-CN"/>
              </w:rPr>
              <w:t>4.6</w:t>
            </w:r>
          </w:p>
        </w:tc>
      </w:tr>
    </w:tbl>
    <w:p w14:paraId="42DCBBAB">
      <w:pPr>
        <w:pStyle w:val="19"/>
        <w:spacing w:line="368" w:lineRule="auto"/>
        <w:rPr>
          <w:sz w:val="21"/>
        </w:rPr>
      </w:pPr>
    </w:p>
    <w:p w14:paraId="573D6796">
      <w:pPr>
        <w:bidi w:val="0"/>
      </w:pPr>
      <w:r>
        <w:rPr>
          <w:rFonts w:hint="eastAsia"/>
          <w:lang w:val="en-US" w:eastAsia="zh-CN"/>
        </w:rPr>
        <w:t>3、</w:t>
      </w:r>
      <w:r>
        <w:t>清洗剂（</w:t>
      </w:r>
      <w:r>
        <w:rPr>
          <w:rFonts w:hint="eastAsia"/>
          <w:lang w:val="en-US" w:eastAsia="zh-CN"/>
        </w:rPr>
        <w:t>乙酸乙酯</w:t>
      </w:r>
      <w:r>
        <w:t>）用量核算：</w:t>
      </w:r>
    </w:p>
    <w:p w14:paraId="32EE9DDD">
      <w:pPr>
        <w:bidi w:val="0"/>
      </w:pPr>
      <w:r>
        <w:t>本项目使用</w:t>
      </w:r>
      <w:r>
        <w:rPr>
          <w:rFonts w:hint="eastAsia"/>
          <w:lang w:val="en-US" w:eastAsia="zh-CN"/>
        </w:rPr>
        <w:t>乙酸乙酯</w:t>
      </w:r>
      <w:r>
        <w:t>对凹版印刷机墨辊</w:t>
      </w:r>
      <w:r>
        <w:rPr>
          <w:rFonts w:hint="eastAsia"/>
          <w:lang w:eastAsia="zh-CN"/>
        </w:rPr>
        <w:t>、</w:t>
      </w:r>
      <w:r>
        <w:rPr>
          <w:rFonts w:hint="eastAsia"/>
          <w:lang w:val="en-US" w:eastAsia="zh-CN"/>
        </w:rPr>
        <w:t>墨槽</w:t>
      </w:r>
      <w:r>
        <w:t>进行</w:t>
      </w:r>
      <w:r>
        <w:rPr>
          <w:rFonts w:hint="eastAsia"/>
          <w:lang w:val="en-US" w:eastAsia="zh-CN"/>
        </w:rPr>
        <w:t>清洁擦拭（以下简称洗机）</w:t>
      </w:r>
      <w:r>
        <w:t>，设备每天清洁一次，每次1h，年清洗时间合计为</w:t>
      </w:r>
      <w:r>
        <w:rPr>
          <w:rFonts w:hint="eastAsia"/>
          <w:lang w:val="en-US" w:eastAsia="zh-CN"/>
        </w:rPr>
        <w:t>3</w:t>
      </w:r>
      <w:r>
        <w:t>00h/a，清洗剂用量核算过程如下：</w:t>
      </w:r>
    </w:p>
    <w:p w14:paraId="76A889C3">
      <w:pPr>
        <w:bidi w:val="0"/>
      </w:pPr>
      <w:r>
        <w:t>A=H×G×Z</w:t>
      </w:r>
    </w:p>
    <w:p w14:paraId="6B20EA37">
      <w:pPr>
        <w:bidi w:val="0"/>
      </w:pPr>
      <w:r>
        <w:t>公式中：A——清洗剂的消耗量，t/a；</w:t>
      </w:r>
    </w:p>
    <w:p w14:paraId="7311DF4B">
      <w:pPr>
        <w:bidi w:val="0"/>
      </w:pPr>
      <w:r>
        <w:t>H——每台设备每次清洗的清洗剂用量，t/台·次；设备取值 0.</w:t>
      </w:r>
      <w:r>
        <w:rPr>
          <w:rFonts w:hint="eastAsia"/>
          <w:lang w:val="en-US" w:eastAsia="zh-CN"/>
        </w:rPr>
        <w:t>0</w:t>
      </w:r>
      <w:r>
        <w:t>5kg/台·次；</w:t>
      </w:r>
    </w:p>
    <w:p w14:paraId="22D424D1">
      <w:pPr>
        <w:bidi w:val="0"/>
      </w:pPr>
      <w:r>
        <w:t>G——设备数量，台；</w:t>
      </w:r>
      <w:r>
        <w:rPr>
          <w:rFonts w:hint="eastAsia"/>
          <w:lang w:val="en-US" w:eastAsia="zh-CN"/>
        </w:rPr>
        <w:t>2</w:t>
      </w:r>
      <w:r>
        <w:t>台凹版印刷机；</w:t>
      </w:r>
    </w:p>
    <w:p w14:paraId="1751A6C2">
      <w:pPr>
        <w:bidi w:val="0"/>
      </w:pPr>
      <w:r>
        <w:t>Z——清洗频率，次/年；设备</w:t>
      </w:r>
      <w:r>
        <w:rPr>
          <w:rFonts w:hint="eastAsia"/>
          <w:lang w:val="en-US" w:eastAsia="zh-CN"/>
        </w:rPr>
        <w:t>每天停机后</w:t>
      </w:r>
      <w:r>
        <w:t>清洁 1 次，300 天/年，则</w:t>
      </w:r>
      <w:r>
        <w:rPr>
          <w:rFonts w:hint="eastAsia"/>
          <w:lang w:val="en-US" w:eastAsia="zh-CN"/>
        </w:rPr>
        <w:t>300</w:t>
      </w:r>
      <w:r>
        <w:t>次/年。</w:t>
      </w:r>
    </w:p>
    <w:p w14:paraId="1AD4AF21">
      <w:pPr>
        <w:pStyle w:val="62"/>
        <w:numPr>
          <w:ilvl w:val="0"/>
          <w:numId w:val="22"/>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本项目清洗剂用量核算一览表</w:t>
      </w:r>
    </w:p>
    <w:p w14:paraId="2933B652">
      <w:pPr>
        <w:spacing w:line="175" w:lineRule="exact"/>
      </w:pPr>
    </w:p>
    <w:tbl>
      <w:tblPr>
        <w:tblStyle w:val="105"/>
        <w:tblW w:w="920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9"/>
        <w:gridCol w:w="1765"/>
        <w:gridCol w:w="1762"/>
        <w:gridCol w:w="1449"/>
        <w:gridCol w:w="1707"/>
        <w:gridCol w:w="1291"/>
      </w:tblGrid>
      <w:tr w14:paraId="7E723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229" w:type="dxa"/>
            <w:tcBorders>
              <w:top w:val="single" w:color="000000" w:sz="16" w:space="0"/>
              <w:left w:val="nil"/>
            </w:tcBorders>
            <w:vAlign w:val="center"/>
          </w:tcPr>
          <w:p w14:paraId="27625726">
            <w:pPr>
              <w:pStyle w:val="59"/>
              <w:bidi w:val="0"/>
              <w:jc w:val="center"/>
            </w:pPr>
            <w:bookmarkStart w:id="64" w:name="bookmark63"/>
            <w:bookmarkEnd w:id="64"/>
            <w:r>
              <w:t>清洗剂</w:t>
            </w:r>
          </w:p>
        </w:tc>
        <w:tc>
          <w:tcPr>
            <w:tcW w:w="1765" w:type="dxa"/>
            <w:tcBorders>
              <w:top w:val="single" w:color="000000" w:sz="16" w:space="0"/>
            </w:tcBorders>
            <w:vAlign w:val="center"/>
          </w:tcPr>
          <w:p w14:paraId="11E18791">
            <w:pPr>
              <w:pStyle w:val="59"/>
              <w:bidi w:val="0"/>
              <w:jc w:val="center"/>
            </w:pPr>
            <w:r>
              <w:t>清洗方式</w:t>
            </w:r>
          </w:p>
        </w:tc>
        <w:tc>
          <w:tcPr>
            <w:tcW w:w="1762" w:type="dxa"/>
            <w:tcBorders>
              <w:top w:val="single" w:color="000000" w:sz="16" w:space="0"/>
            </w:tcBorders>
            <w:vAlign w:val="center"/>
          </w:tcPr>
          <w:p w14:paraId="6DA52952">
            <w:pPr>
              <w:pStyle w:val="59"/>
              <w:bidi w:val="0"/>
              <w:jc w:val="center"/>
            </w:pPr>
            <w:r>
              <w:t>每台设备每次清洗的清洗剂用量</w:t>
            </w:r>
          </w:p>
        </w:tc>
        <w:tc>
          <w:tcPr>
            <w:tcW w:w="1449" w:type="dxa"/>
            <w:tcBorders>
              <w:top w:val="single" w:color="000000" w:sz="16" w:space="0"/>
            </w:tcBorders>
            <w:vAlign w:val="center"/>
          </w:tcPr>
          <w:p w14:paraId="1FBD3A4E">
            <w:pPr>
              <w:pStyle w:val="59"/>
              <w:bidi w:val="0"/>
              <w:jc w:val="center"/>
            </w:pPr>
            <w:r>
              <w:t>设备数量</w:t>
            </w:r>
          </w:p>
        </w:tc>
        <w:tc>
          <w:tcPr>
            <w:tcW w:w="1707" w:type="dxa"/>
            <w:tcBorders>
              <w:top w:val="single" w:color="000000" w:sz="16" w:space="0"/>
            </w:tcBorders>
            <w:vAlign w:val="center"/>
          </w:tcPr>
          <w:p w14:paraId="017B0C74">
            <w:pPr>
              <w:pStyle w:val="59"/>
              <w:bidi w:val="0"/>
              <w:jc w:val="center"/>
            </w:pPr>
            <w:r>
              <w:t>清洗频率（次/</w:t>
            </w:r>
          </w:p>
          <w:p w14:paraId="34624D8B">
            <w:pPr>
              <w:pStyle w:val="59"/>
              <w:bidi w:val="0"/>
              <w:jc w:val="center"/>
            </w:pPr>
            <w:r>
              <w:t>年）</w:t>
            </w:r>
          </w:p>
        </w:tc>
        <w:tc>
          <w:tcPr>
            <w:tcW w:w="1291" w:type="dxa"/>
            <w:tcBorders>
              <w:top w:val="single" w:color="000000" w:sz="16" w:space="0"/>
              <w:right w:val="nil"/>
            </w:tcBorders>
            <w:vAlign w:val="center"/>
          </w:tcPr>
          <w:p w14:paraId="7E0EAF9E">
            <w:pPr>
              <w:pStyle w:val="59"/>
              <w:bidi w:val="0"/>
              <w:jc w:val="center"/>
            </w:pPr>
            <w:r>
              <w:t>消耗量（t/a）</w:t>
            </w:r>
          </w:p>
        </w:tc>
      </w:tr>
      <w:tr w14:paraId="1E705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229" w:type="dxa"/>
            <w:tcBorders>
              <w:left w:val="nil"/>
              <w:bottom w:val="single" w:color="000000" w:sz="16" w:space="0"/>
            </w:tcBorders>
            <w:vAlign w:val="center"/>
          </w:tcPr>
          <w:p w14:paraId="5CEC90E0">
            <w:pPr>
              <w:pStyle w:val="59"/>
              <w:bidi w:val="0"/>
              <w:jc w:val="center"/>
            </w:pPr>
            <w:r>
              <w:rPr>
                <w:rFonts w:hint="eastAsia"/>
                <w:lang w:val="en-US" w:eastAsia="zh-CN"/>
              </w:rPr>
              <w:t>乙酸乙酯</w:t>
            </w:r>
          </w:p>
        </w:tc>
        <w:tc>
          <w:tcPr>
            <w:tcW w:w="1765" w:type="dxa"/>
            <w:tcBorders>
              <w:bottom w:val="single" w:color="000000" w:sz="16" w:space="0"/>
            </w:tcBorders>
            <w:vAlign w:val="center"/>
          </w:tcPr>
          <w:p w14:paraId="21D708B3">
            <w:pPr>
              <w:pStyle w:val="59"/>
              <w:bidi w:val="0"/>
              <w:jc w:val="center"/>
            </w:pPr>
            <w:r>
              <w:t>擦拭清洁</w:t>
            </w:r>
          </w:p>
        </w:tc>
        <w:tc>
          <w:tcPr>
            <w:tcW w:w="1762" w:type="dxa"/>
            <w:tcBorders>
              <w:bottom w:val="single" w:color="000000" w:sz="16" w:space="0"/>
            </w:tcBorders>
            <w:vAlign w:val="center"/>
          </w:tcPr>
          <w:p w14:paraId="448DC8D9">
            <w:pPr>
              <w:pStyle w:val="59"/>
              <w:bidi w:val="0"/>
              <w:jc w:val="center"/>
            </w:pPr>
            <w:r>
              <w:t>0.5kg/台·次</w:t>
            </w:r>
          </w:p>
        </w:tc>
        <w:tc>
          <w:tcPr>
            <w:tcW w:w="1449" w:type="dxa"/>
            <w:tcBorders>
              <w:bottom w:val="single" w:color="000000" w:sz="16" w:space="0"/>
            </w:tcBorders>
            <w:vAlign w:val="center"/>
          </w:tcPr>
          <w:p w14:paraId="50DA31D8">
            <w:pPr>
              <w:pStyle w:val="59"/>
              <w:bidi w:val="0"/>
              <w:jc w:val="center"/>
            </w:pPr>
            <w:r>
              <w:rPr>
                <w:rFonts w:hint="eastAsia"/>
                <w:lang w:val="en-US" w:eastAsia="zh-CN"/>
              </w:rPr>
              <w:t>2</w:t>
            </w:r>
            <w:r>
              <w:t>台</w:t>
            </w:r>
          </w:p>
        </w:tc>
        <w:tc>
          <w:tcPr>
            <w:tcW w:w="1707" w:type="dxa"/>
            <w:tcBorders>
              <w:bottom w:val="single" w:color="000000" w:sz="16" w:space="0"/>
            </w:tcBorders>
            <w:vAlign w:val="center"/>
          </w:tcPr>
          <w:p w14:paraId="2C3A1F62">
            <w:pPr>
              <w:pStyle w:val="59"/>
              <w:bidi w:val="0"/>
              <w:jc w:val="center"/>
              <w:rPr>
                <w:rFonts w:hint="default" w:eastAsia="宋体"/>
                <w:lang w:val="en-US" w:eastAsia="zh-CN"/>
              </w:rPr>
            </w:pPr>
            <w:r>
              <w:rPr>
                <w:rFonts w:hint="eastAsia"/>
                <w:lang w:val="en-US" w:eastAsia="zh-CN"/>
              </w:rPr>
              <w:t>300</w:t>
            </w:r>
          </w:p>
        </w:tc>
        <w:tc>
          <w:tcPr>
            <w:tcW w:w="1291" w:type="dxa"/>
            <w:tcBorders>
              <w:bottom w:val="single" w:color="000000" w:sz="16" w:space="0"/>
              <w:right w:val="nil"/>
            </w:tcBorders>
            <w:vAlign w:val="center"/>
          </w:tcPr>
          <w:p w14:paraId="6D0E5631">
            <w:pPr>
              <w:pStyle w:val="59"/>
              <w:bidi w:val="0"/>
              <w:jc w:val="center"/>
              <w:rPr>
                <w:rFonts w:hint="default" w:eastAsia="宋体"/>
                <w:lang w:val="en-US" w:eastAsia="zh-CN"/>
              </w:rPr>
            </w:pPr>
            <w:r>
              <w:rPr>
                <w:rFonts w:hint="eastAsia"/>
                <w:lang w:val="en-US" w:eastAsia="zh-CN"/>
              </w:rPr>
              <w:t>0.3</w:t>
            </w:r>
          </w:p>
        </w:tc>
      </w:tr>
    </w:tbl>
    <w:p w14:paraId="0F96C88D">
      <w:pPr>
        <w:numPr>
          <w:ilvl w:val="0"/>
          <w:numId w:val="0"/>
        </w:numPr>
        <w:bidi w:val="0"/>
        <w:ind w:leftChars="200"/>
        <w:rPr>
          <w:rFonts w:hint="eastAsia"/>
          <w:lang w:val="en-US" w:eastAsia="zh-CN"/>
        </w:rPr>
      </w:pPr>
    </w:p>
    <w:p w14:paraId="35A47363">
      <w:pPr>
        <w:bidi w:val="0"/>
        <w:rPr>
          <w:rFonts w:hint="default"/>
          <w:lang w:val="en-US" w:eastAsia="zh-CN"/>
        </w:rPr>
      </w:pPr>
      <w:r>
        <w:rPr>
          <w:rFonts w:hint="eastAsia"/>
          <w:lang w:val="en-US" w:eastAsia="zh-CN"/>
        </w:rPr>
        <w:t>4、四氢呋喃用量</w:t>
      </w:r>
      <w:r>
        <w:t>核算：</w:t>
      </w:r>
    </w:p>
    <w:p w14:paraId="52448D4B">
      <w:pPr>
        <w:bidi w:val="0"/>
      </w:pPr>
      <w:r>
        <w:t>A=H×G</w:t>
      </w:r>
    </w:p>
    <w:p w14:paraId="1E49649B">
      <w:pPr>
        <w:bidi w:val="0"/>
      </w:pPr>
      <w:r>
        <w:t>公式中：</w:t>
      </w:r>
      <w:r>
        <w:rPr>
          <w:rFonts w:hint="eastAsia"/>
          <w:lang w:val="en-US" w:eastAsia="zh-CN"/>
        </w:rPr>
        <w:t>四氢呋喃</w:t>
      </w:r>
      <w:r>
        <w:t>的消耗量，g；</w:t>
      </w:r>
    </w:p>
    <w:p w14:paraId="7185CECD">
      <w:pPr>
        <w:bidi w:val="0"/>
      </w:pPr>
      <w:r>
        <w:t>H—单位面积</w:t>
      </w:r>
      <w:r>
        <w:rPr>
          <w:rFonts w:hint="eastAsia"/>
          <w:lang w:val="en-US" w:eastAsia="zh-CN"/>
        </w:rPr>
        <w:t>四氢呋喃</w:t>
      </w:r>
      <w:r>
        <w:t>的消耗量，g/m</w:t>
      </w:r>
      <w:r>
        <w:rPr>
          <w:vertAlign w:val="superscript"/>
        </w:rPr>
        <w:t>2</w:t>
      </w:r>
      <w:r>
        <w:t xml:space="preserve"> ；根据建设单位提供资料，单位面积</w:t>
      </w:r>
      <w:r>
        <w:rPr>
          <w:rFonts w:hint="eastAsia"/>
          <w:lang w:val="en-US" w:eastAsia="zh-CN"/>
        </w:rPr>
        <w:t>四氢呋喃</w:t>
      </w:r>
      <w:r>
        <w:t>的消耗量为2g/m</w:t>
      </w:r>
      <w:r>
        <w:rPr>
          <w:vertAlign w:val="superscript"/>
        </w:rPr>
        <w:t>2</w:t>
      </w:r>
      <w:r>
        <w:t>。</w:t>
      </w:r>
    </w:p>
    <w:p w14:paraId="28A08DF0">
      <w:pPr>
        <w:bidi w:val="0"/>
        <w:rPr>
          <w:rFonts w:hint="default" w:eastAsia="宋体"/>
          <w:lang w:val="en-US" w:eastAsia="zh-CN"/>
        </w:rPr>
      </w:pPr>
      <w:r>
        <w:t>G—</w:t>
      </w:r>
      <w:r>
        <w:rPr>
          <w:rFonts w:hint="eastAsia"/>
          <w:lang w:val="en-US" w:eastAsia="zh-CN"/>
        </w:rPr>
        <w:t>合掌</w:t>
      </w:r>
      <w:r>
        <w:t>面积，m</w:t>
      </w:r>
      <w:r>
        <w:rPr>
          <w:vertAlign w:val="superscript"/>
        </w:rPr>
        <w:t>2</w:t>
      </w:r>
      <w:r>
        <w:t>。</w:t>
      </w:r>
      <w:r>
        <w:rPr>
          <w:rFonts w:hint="eastAsia"/>
          <w:lang w:val="en-US" w:eastAsia="zh-CN"/>
        </w:rPr>
        <w:t>合掌产能约为8703.7万</w:t>
      </w:r>
      <w:r>
        <w:t>m/a</w:t>
      </w:r>
      <w:r>
        <w:rPr>
          <w:rFonts w:hint="eastAsia"/>
          <w:lang w:eastAsia="zh-CN"/>
        </w:rPr>
        <w:t>，</w:t>
      </w:r>
      <w:r>
        <w:rPr>
          <w:rFonts w:hint="eastAsia"/>
          <w:lang w:val="en-US" w:eastAsia="zh-CN"/>
        </w:rPr>
        <w:t>合掌的宽度约为1cm。</w:t>
      </w:r>
    </w:p>
    <w:p w14:paraId="3BC36CA4">
      <w:pPr>
        <w:pStyle w:val="62"/>
        <w:numPr>
          <w:ilvl w:val="0"/>
          <w:numId w:val="22"/>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w:t>
      </w:r>
      <w:r>
        <w:rPr>
          <w:rFonts w:hint="eastAsia"/>
          <w:lang w:val="en-US" w:eastAsia="zh-CN"/>
        </w:rPr>
        <w:t>四氢呋喃</w:t>
      </w:r>
      <w:r>
        <w:rPr>
          <w:rFonts w:hint="eastAsia" w:ascii="Times New Roman" w:hAnsi="Times New Roman" w:eastAsia="宋体" w:cs="Times New Roman"/>
          <w:color w:val="auto"/>
        </w:rPr>
        <w:t>核算一览表</w:t>
      </w:r>
    </w:p>
    <w:tbl>
      <w:tblPr>
        <w:tblStyle w:val="105"/>
        <w:tblW w:w="8996"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1870"/>
        <w:gridCol w:w="2084"/>
        <w:gridCol w:w="2359"/>
        <w:gridCol w:w="1829"/>
      </w:tblGrid>
      <w:tr w14:paraId="5EEDF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54" w:type="dxa"/>
            <w:tcBorders>
              <w:top w:val="single" w:color="000000" w:sz="12" w:space="0"/>
              <w:left w:val="nil"/>
              <w:bottom w:val="single" w:color="auto" w:sz="4" w:space="0"/>
              <w:right w:val="single" w:color="auto" w:sz="4" w:space="0"/>
              <w:tl2br w:val="nil"/>
            </w:tcBorders>
            <w:shd w:val="clear" w:color="auto" w:fill="FFFFFF"/>
            <w:vAlign w:val="center"/>
          </w:tcPr>
          <w:p w14:paraId="585735EE">
            <w:pPr>
              <w:pStyle w:val="59"/>
              <w:bidi w:val="0"/>
              <w:jc w:val="center"/>
            </w:pPr>
            <w:r>
              <w:t>序号</w:t>
            </w:r>
          </w:p>
        </w:tc>
        <w:tc>
          <w:tcPr>
            <w:tcW w:w="1870" w:type="dxa"/>
            <w:tcBorders>
              <w:top w:val="single" w:color="000000" w:sz="12" w:space="0"/>
              <w:left w:val="single" w:color="auto" w:sz="4" w:space="0"/>
              <w:bottom w:val="single" w:color="auto" w:sz="4" w:space="0"/>
              <w:right w:val="single" w:color="auto" w:sz="4" w:space="0"/>
            </w:tcBorders>
            <w:shd w:val="clear" w:color="auto" w:fill="FFFFFF"/>
            <w:vAlign w:val="center"/>
          </w:tcPr>
          <w:p w14:paraId="439EF2B7">
            <w:pPr>
              <w:pStyle w:val="59"/>
              <w:bidi w:val="0"/>
              <w:jc w:val="center"/>
            </w:pPr>
            <w:r>
              <w:t>原材料</w:t>
            </w:r>
          </w:p>
        </w:tc>
        <w:tc>
          <w:tcPr>
            <w:tcW w:w="2084" w:type="dxa"/>
            <w:tcBorders>
              <w:top w:val="single" w:color="000000" w:sz="12" w:space="0"/>
              <w:left w:val="single" w:color="auto" w:sz="4" w:space="0"/>
              <w:bottom w:val="single" w:color="auto" w:sz="4" w:space="0"/>
              <w:right w:val="single" w:color="auto" w:sz="4" w:space="0"/>
            </w:tcBorders>
            <w:shd w:val="clear" w:color="auto" w:fill="FFFFFF"/>
            <w:vAlign w:val="center"/>
          </w:tcPr>
          <w:p w14:paraId="4B693B98">
            <w:pPr>
              <w:pStyle w:val="59"/>
              <w:bidi w:val="0"/>
              <w:jc w:val="center"/>
            </w:pPr>
            <w:r>
              <w:t>单位面积消耗量</w:t>
            </w:r>
          </w:p>
          <w:p w14:paraId="55EA00E1">
            <w:pPr>
              <w:pStyle w:val="59"/>
              <w:bidi w:val="0"/>
              <w:jc w:val="center"/>
            </w:pPr>
            <w:r>
              <w:t>（g/m</w:t>
            </w:r>
            <w:r>
              <w:rPr>
                <w:vertAlign w:val="superscript"/>
              </w:rPr>
              <w:t>2</w:t>
            </w:r>
            <w:r>
              <w:t>）</w:t>
            </w:r>
          </w:p>
        </w:tc>
        <w:tc>
          <w:tcPr>
            <w:tcW w:w="2359" w:type="dxa"/>
            <w:tcBorders>
              <w:top w:val="single" w:color="000000" w:sz="12" w:space="0"/>
              <w:left w:val="single" w:color="auto" w:sz="4" w:space="0"/>
              <w:bottom w:val="single" w:color="auto" w:sz="4" w:space="0"/>
              <w:right w:val="single" w:color="auto" w:sz="4" w:space="0"/>
            </w:tcBorders>
            <w:shd w:val="clear" w:color="auto" w:fill="FFFFFF"/>
            <w:vAlign w:val="center"/>
          </w:tcPr>
          <w:p w14:paraId="2BEF27A8">
            <w:pPr>
              <w:pStyle w:val="59"/>
              <w:bidi w:val="0"/>
              <w:jc w:val="center"/>
            </w:pPr>
            <w:r>
              <w:rPr>
                <w:rFonts w:hint="eastAsia"/>
                <w:lang w:val="en-US" w:eastAsia="zh-CN"/>
              </w:rPr>
              <w:t>合掌</w:t>
            </w:r>
            <w:r>
              <w:t>面积（</w:t>
            </w:r>
            <w:r>
              <w:rPr>
                <w:rFonts w:hint="eastAsia"/>
                <w:lang w:val="en-US" w:eastAsia="zh-CN"/>
              </w:rPr>
              <w:t>万</w:t>
            </w:r>
            <w:r>
              <w:t>m</w:t>
            </w:r>
            <w:r>
              <w:rPr>
                <w:vertAlign w:val="superscript"/>
              </w:rPr>
              <w:t>2</w:t>
            </w:r>
            <w:r>
              <w:t>）</w:t>
            </w:r>
          </w:p>
        </w:tc>
        <w:tc>
          <w:tcPr>
            <w:tcW w:w="1829" w:type="dxa"/>
            <w:tcBorders>
              <w:top w:val="single" w:color="000000" w:sz="12" w:space="0"/>
              <w:left w:val="single" w:color="auto" w:sz="4" w:space="0"/>
              <w:bottom w:val="single" w:color="auto" w:sz="4" w:space="0"/>
              <w:right w:val="nil"/>
            </w:tcBorders>
            <w:shd w:val="clear" w:color="auto" w:fill="FFFFFF"/>
            <w:vAlign w:val="center"/>
          </w:tcPr>
          <w:p w14:paraId="595E4A9F">
            <w:pPr>
              <w:pStyle w:val="59"/>
              <w:bidi w:val="0"/>
              <w:jc w:val="center"/>
            </w:pPr>
            <w:r>
              <w:t>消耗量（t/a）</w:t>
            </w:r>
          </w:p>
        </w:tc>
      </w:tr>
      <w:tr w14:paraId="095DA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854" w:type="dxa"/>
            <w:tcBorders>
              <w:top w:val="single" w:color="auto" w:sz="4" w:space="0"/>
              <w:left w:val="nil"/>
              <w:bottom w:val="single" w:color="000000" w:sz="12" w:space="0"/>
              <w:right w:val="single" w:color="auto" w:sz="4" w:space="0"/>
            </w:tcBorders>
            <w:shd w:val="clear" w:color="auto" w:fill="FFFFFF"/>
            <w:vAlign w:val="center"/>
          </w:tcPr>
          <w:p w14:paraId="5B1048CC">
            <w:pPr>
              <w:pStyle w:val="59"/>
              <w:bidi w:val="0"/>
              <w:jc w:val="center"/>
            </w:pPr>
            <w:r>
              <w:t>1</w:t>
            </w:r>
          </w:p>
        </w:tc>
        <w:tc>
          <w:tcPr>
            <w:tcW w:w="1870" w:type="dxa"/>
            <w:tcBorders>
              <w:top w:val="single" w:color="auto" w:sz="4" w:space="0"/>
              <w:left w:val="single" w:color="auto" w:sz="4" w:space="0"/>
              <w:bottom w:val="single" w:color="000000" w:sz="12" w:space="0"/>
              <w:right w:val="single" w:color="auto" w:sz="4" w:space="0"/>
            </w:tcBorders>
            <w:shd w:val="clear" w:color="auto" w:fill="FFFFFF"/>
            <w:vAlign w:val="center"/>
          </w:tcPr>
          <w:p w14:paraId="6D9BD938">
            <w:pPr>
              <w:pStyle w:val="59"/>
              <w:bidi w:val="0"/>
              <w:jc w:val="center"/>
            </w:pPr>
            <w:r>
              <w:rPr>
                <w:rFonts w:hint="eastAsia"/>
                <w:lang w:val="en-US" w:eastAsia="zh-CN"/>
              </w:rPr>
              <w:t>四氢呋喃</w:t>
            </w:r>
          </w:p>
        </w:tc>
        <w:tc>
          <w:tcPr>
            <w:tcW w:w="2084" w:type="dxa"/>
            <w:tcBorders>
              <w:top w:val="single" w:color="auto" w:sz="4" w:space="0"/>
              <w:left w:val="single" w:color="auto" w:sz="4" w:space="0"/>
              <w:bottom w:val="single" w:color="000000" w:sz="12" w:space="0"/>
              <w:right w:val="single" w:color="auto" w:sz="4" w:space="0"/>
            </w:tcBorders>
            <w:shd w:val="clear" w:color="auto" w:fill="FFFFFF"/>
            <w:vAlign w:val="center"/>
          </w:tcPr>
          <w:p w14:paraId="4E93164D">
            <w:pPr>
              <w:pStyle w:val="59"/>
              <w:bidi w:val="0"/>
              <w:jc w:val="center"/>
              <w:rPr>
                <w:rFonts w:hint="eastAsia"/>
                <w:lang w:val="en-US" w:eastAsia="zh-CN"/>
              </w:rPr>
            </w:pPr>
            <w:r>
              <w:rPr>
                <w:rFonts w:hint="eastAsia"/>
                <w:lang w:val="en-US" w:eastAsia="zh-CN"/>
              </w:rPr>
              <w:t>2</w:t>
            </w:r>
          </w:p>
        </w:tc>
        <w:tc>
          <w:tcPr>
            <w:tcW w:w="2359" w:type="dxa"/>
            <w:tcBorders>
              <w:top w:val="single" w:color="auto" w:sz="4" w:space="0"/>
              <w:left w:val="single" w:color="auto" w:sz="4" w:space="0"/>
              <w:bottom w:val="single" w:color="000000" w:sz="12" w:space="0"/>
              <w:right w:val="single" w:color="auto" w:sz="4" w:space="0"/>
            </w:tcBorders>
            <w:shd w:val="clear" w:color="auto" w:fill="FFFFFF"/>
            <w:vAlign w:val="center"/>
          </w:tcPr>
          <w:p w14:paraId="0454F1C9">
            <w:pPr>
              <w:pStyle w:val="59"/>
              <w:bidi w:val="0"/>
              <w:jc w:val="center"/>
              <w:rPr>
                <w:rFonts w:hint="default"/>
                <w:lang w:val="en-US" w:eastAsia="zh-CN"/>
              </w:rPr>
            </w:pPr>
            <w:r>
              <w:rPr>
                <w:rFonts w:hint="eastAsia"/>
                <w:lang w:val="en-US" w:eastAsia="zh-CN"/>
              </w:rPr>
              <w:t>87.4</w:t>
            </w:r>
          </w:p>
        </w:tc>
        <w:tc>
          <w:tcPr>
            <w:tcW w:w="1829" w:type="dxa"/>
            <w:tcBorders>
              <w:top w:val="single" w:color="auto" w:sz="4" w:space="0"/>
              <w:left w:val="single" w:color="auto" w:sz="4" w:space="0"/>
              <w:bottom w:val="single" w:color="000000" w:sz="12" w:space="0"/>
              <w:right w:val="nil"/>
            </w:tcBorders>
            <w:shd w:val="clear" w:color="auto" w:fill="FFFFFF"/>
            <w:vAlign w:val="center"/>
          </w:tcPr>
          <w:p w14:paraId="63819EFA">
            <w:pPr>
              <w:pStyle w:val="59"/>
              <w:bidi w:val="0"/>
              <w:jc w:val="center"/>
              <w:rPr>
                <w:rFonts w:hint="default" w:eastAsia="宋体"/>
                <w:lang w:val="en-US" w:eastAsia="zh-CN"/>
              </w:rPr>
            </w:pPr>
            <w:r>
              <w:rPr>
                <w:rFonts w:hint="eastAsia"/>
                <w:lang w:val="en-US" w:eastAsia="zh-CN"/>
              </w:rPr>
              <w:t>1.741</w:t>
            </w:r>
          </w:p>
        </w:tc>
      </w:tr>
    </w:tbl>
    <w:p w14:paraId="093CB04E">
      <w:pPr>
        <w:numPr>
          <w:ilvl w:val="0"/>
          <w:numId w:val="0"/>
        </w:numPr>
        <w:bidi w:val="0"/>
        <w:ind w:leftChars="200"/>
        <w:rPr>
          <w:rFonts w:hint="default"/>
          <w:lang w:val="en-US"/>
        </w:rPr>
        <w:sectPr>
          <w:pgSz w:w="11906" w:h="16838"/>
          <w:pgMar w:top="1417" w:right="1417" w:bottom="1417" w:left="1417" w:header="992" w:footer="992" w:gutter="0"/>
          <w:pgNumType w:fmt="decimal"/>
          <w:cols w:space="720" w:num="1"/>
          <w:docGrid w:type="lines" w:linePitch="312" w:charSpace="0"/>
        </w:sectPr>
      </w:pPr>
    </w:p>
    <w:p w14:paraId="33843BE1">
      <w:pPr>
        <w:pStyle w:val="64"/>
        <w:numPr>
          <w:ilvl w:val="2"/>
          <w:numId w:val="8"/>
        </w:numPr>
        <w:spacing w:before="156" w:after="156"/>
        <w:ind w:left="709" w:leftChars="0" w:hanging="709" w:firstLineChars="0"/>
        <w:rPr>
          <w:color w:val="auto"/>
        </w:rPr>
      </w:pPr>
      <w:r>
        <w:rPr>
          <w:rFonts w:hint="eastAsia"/>
          <w:color w:val="auto"/>
          <w:lang w:val="en-US" w:eastAsia="zh-CN"/>
        </w:rPr>
        <w:t>原辅</w:t>
      </w:r>
      <w:r>
        <w:rPr>
          <w:rFonts w:hint="eastAsia"/>
          <w:color w:val="auto"/>
        </w:rPr>
        <w:t>材料主要理化性质及毒性性质</w:t>
      </w:r>
    </w:p>
    <w:p w14:paraId="026D8232">
      <w:pPr>
        <w:pStyle w:val="62"/>
        <w:numPr>
          <w:ilvl w:val="0"/>
          <w:numId w:val="22"/>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建设项目主要原辅材料理化性质</w:t>
      </w:r>
    </w:p>
    <w:tbl>
      <w:tblPr>
        <w:tblStyle w:val="105"/>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9"/>
        <w:gridCol w:w="1624"/>
        <w:gridCol w:w="2973"/>
        <w:gridCol w:w="2973"/>
        <w:gridCol w:w="2973"/>
        <w:gridCol w:w="2974"/>
      </w:tblGrid>
      <w:tr w14:paraId="6C5A3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trPr>
        <w:tc>
          <w:tcPr>
            <w:tcW w:w="171" w:type="pct"/>
            <w:tcBorders>
              <w:top w:val="single" w:color="000000" w:sz="16" w:space="0"/>
              <w:left w:val="nil"/>
            </w:tcBorders>
            <w:textDirection w:val="tbRlV"/>
            <w:vAlign w:val="center"/>
          </w:tcPr>
          <w:p w14:paraId="4033D28D">
            <w:pPr>
              <w:pStyle w:val="59"/>
              <w:bidi w:val="0"/>
            </w:pPr>
            <w:r>
              <w:t>序 号</w:t>
            </w:r>
          </w:p>
        </w:tc>
        <w:tc>
          <w:tcPr>
            <w:tcW w:w="580" w:type="pct"/>
            <w:tcBorders>
              <w:top w:val="single" w:color="000000" w:sz="16" w:space="0"/>
            </w:tcBorders>
            <w:vAlign w:val="center"/>
          </w:tcPr>
          <w:p w14:paraId="75F6EACF">
            <w:pPr>
              <w:pStyle w:val="59"/>
              <w:bidi w:val="0"/>
            </w:pPr>
            <w:r>
              <w:t>名称</w:t>
            </w:r>
          </w:p>
        </w:tc>
        <w:tc>
          <w:tcPr>
            <w:tcW w:w="1062" w:type="pct"/>
            <w:tcBorders>
              <w:top w:val="single" w:color="000000" w:sz="16" w:space="0"/>
            </w:tcBorders>
            <w:vAlign w:val="center"/>
          </w:tcPr>
          <w:p w14:paraId="7C020A35">
            <w:pPr>
              <w:pStyle w:val="59"/>
              <w:bidi w:val="0"/>
              <w:rPr>
                <w:rFonts w:hint="eastAsia"/>
                <w:lang w:val="en-US" w:eastAsia="zh-CN"/>
              </w:rPr>
            </w:pPr>
            <w:r>
              <w:rPr>
                <w:rFonts w:hint="eastAsia"/>
                <w:lang w:val="en-US" w:eastAsia="zh-CN"/>
              </w:rPr>
              <w:t>成分</w:t>
            </w:r>
          </w:p>
        </w:tc>
        <w:tc>
          <w:tcPr>
            <w:tcW w:w="1062" w:type="pct"/>
            <w:tcBorders>
              <w:top w:val="single" w:color="000000" w:sz="16" w:space="0"/>
            </w:tcBorders>
            <w:vAlign w:val="center"/>
          </w:tcPr>
          <w:p w14:paraId="43D0505E">
            <w:pPr>
              <w:pStyle w:val="59"/>
              <w:bidi w:val="0"/>
            </w:pPr>
            <w:r>
              <w:t>理化性质</w:t>
            </w:r>
          </w:p>
        </w:tc>
        <w:tc>
          <w:tcPr>
            <w:tcW w:w="1062" w:type="pct"/>
            <w:tcBorders>
              <w:top w:val="single" w:color="000000" w:sz="16" w:space="0"/>
            </w:tcBorders>
            <w:vAlign w:val="center"/>
          </w:tcPr>
          <w:p w14:paraId="7F2B287E">
            <w:pPr>
              <w:pStyle w:val="59"/>
              <w:bidi w:val="0"/>
            </w:pPr>
            <w:r>
              <w:t>危险特性</w:t>
            </w:r>
          </w:p>
        </w:tc>
        <w:tc>
          <w:tcPr>
            <w:tcW w:w="1062" w:type="pct"/>
            <w:tcBorders>
              <w:top w:val="single" w:color="000000" w:sz="16" w:space="0"/>
              <w:right w:val="nil"/>
            </w:tcBorders>
            <w:vAlign w:val="center"/>
          </w:tcPr>
          <w:p w14:paraId="37DC62F6">
            <w:pPr>
              <w:pStyle w:val="59"/>
              <w:bidi w:val="0"/>
              <w:jc w:val="center"/>
            </w:pPr>
            <w:r>
              <w:t>急性毒性</w:t>
            </w:r>
          </w:p>
        </w:tc>
      </w:tr>
      <w:tr w14:paraId="65B29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tcBorders>
              <w:left w:val="nil"/>
            </w:tcBorders>
            <w:vAlign w:val="center"/>
          </w:tcPr>
          <w:p w14:paraId="76CBF540">
            <w:pPr>
              <w:pStyle w:val="59"/>
              <w:numPr>
                <w:ilvl w:val="0"/>
                <w:numId w:val="24"/>
              </w:numPr>
              <w:bidi w:val="0"/>
              <w:ind w:left="425" w:leftChars="0" w:hanging="425" w:firstLineChars="0"/>
            </w:pPr>
          </w:p>
        </w:tc>
        <w:tc>
          <w:tcPr>
            <w:tcW w:w="580" w:type="pct"/>
            <w:vAlign w:val="center"/>
          </w:tcPr>
          <w:p w14:paraId="5C4CAF09">
            <w:pPr>
              <w:pStyle w:val="59"/>
              <w:bidi w:val="0"/>
              <w:rPr>
                <w:rFonts w:hint="eastAsia" w:eastAsia="宋体"/>
                <w:lang w:eastAsia="zh-CN"/>
              </w:rPr>
            </w:pPr>
            <w:r>
              <w:rPr>
                <w:rFonts w:hint="eastAsia"/>
                <w:lang w:val="en-US" w:eastAsia="zh-CN"/>
              </w:rPr>
              <w:t>溶剂</w:t>
            </w:r>
            <w:r>
              <w:t>油墨</w:t>
            </w:r>
          </w:p>
        </w:tc>
        <w:tc>
          <w:tcPr>
            <w:tcW w:w="1062" w:type="pct"/>
            <w:vAlign w:val="center"/>
          </w:tcPr>
          <w:p w14:paraId="7A46F381">
            <w:pPr>
              <w:pStyle w:val="59"/>
              <w:bidi w:val="0"/>
              <w:rPr>
                <w:rFonts w:hint="default"/>
                <w:lang w:val="en-US" w:eastAsia="zh-CN"/>
              </w:rPr>
            </w:pPr>
            <w:r>
              <w:rPr>
                <w:rFonts w:hint="eastAsia"/>
                <w:lang w:val="en-US" w:eastAsia="zh-CN"/>
              </w:rPr>
              <w:t>聚氨酯树脂10~20%、丙烯酸树脂10~20%、聚酰胺树脂10~20%、乙酸正丙酯20~30%、异丙醇10~20%、乙酸乙酯30~40%、聚乙烯蜡1~5%、消光粉0.5~5%、余量颜料，VOCs含量为54.1%</w:t>
            </w:r>
          </w:p>
        </w:tc>
        <w:tc>
          <w:tcPr>
            <w:tcW w:w="1062" w:type="pct"/>
            <w:vAlign w:val="center"/>
          </w:tcPr>
          <w:p w14:paraId="6687258B">
            <w:pPr>
              <w:pStyle w:val="59"/>
              <w:bidi w:val="0"/>
            </w:pPr>
            <w:r>
              <w:rPr>
                <w:rFonts w:hint="eastAsia"/>
                <w:lang w:val="en-US" w:eastAsia="zh-CN"/>
              </w:rPr>
              <w:t xml:space="preserve">外观与性状：彩色液体及无色液体，芳香臭。 </w:t>
            </w:r>
          </w:p>
          <w:p w14:paraId="353B16A7">
            <w:pPr>
              <w:pStyle w:val="59"/>
              <w:bidi w:val="0"/>
            </w:pPr>
            <w:r>
              <w:rPr>
                <w:rFonts w:hint="eastAsia"/>
                <w:lang w:val="en-US" w:eastAsia="zh-CN"/>
              </w:rPr>
              <w:t xml:space="preserve">PH 值：7.0-8.0 </w:t>
            </w:r>
          </w:p>
          <w:p w14:paraId="51EF2732">
            <w:pPr>
              <w:pStyle w:val="59"/>
              <w:bidi w:val="0"/>
            </w:pPr>
            <w:r>
              <w:rPr>
                <w:rFonts w:hint="eastAsia"/>
                <w:lang w:val="en-US" w:eastAsia="zh-CN"/>
              </w:rPr>
              <w:t xml:space="preserve">熔点：-82.4.0℃ </w:t>
            </w:r>
          </w:p>
          <w:p w14:paraId="603AA5E3">
            <w:pPr>
              <w:pStyle w:val="59"/>
              <w:bidi w:val="0"/>
            </w:pPr>
            <w:r>
              <w:rPr>
                <w:rFonts w:hint="eastAsia"/>
                <w:lang w:val="en-US" w:eastAsia="zh-CN"/>
              </w:rPr>
              <w:t xml:space="preserve">沸点：﹥35℃ </w:t>
            </w:r>
          </w:p>
          <w:p w14:paraId="354A2A0A">
            <w:pPr>
              <w:pStyle w:val="59"/>
              <w:bidi w:val="0"/>
            </w:pPr>
            <w:r>
              <w:rPr>
                <w:rFonts w:hint="eastAsia"/>
                <w:lang w:val="en-US" w:eastAsia="zh-CN"/>
              </w:rPr>
              <w:t xml:space="preserve">燃点(℃)： 14 ℃ </w:t>
            </w:r>
          </w:p>
          <w:p w14:paraId="3A3C31C4">
            <w:pPr>
              <w:pStyle w:val="59"/>
              <w:bidi w:val="0"/>
            </w:pPr>
            <w:r>
              <w:rPr>
                <w:rFonts w:hint="eastAsia"/>
                <w:lang w:val="en-US" w:eastAsia="zh-CN"/>
              </w:rPr>
              <w:t xml:space="preserve">相对密度：1.144（g/㎝ 3） </w:t>
            </w:r>
          </w:p>
          <w:p w14:paraId="642C4D31">
            <w:pPr>
              <w:pStyle w:val="59"/>
              <w:bidi w:val="0"/>
            </w:pPr>
            <w:r>
              <w:rPr>
                <w:rFonts w:hint="eastAsia"/>
                <w:lang w:val="en-US" w:eastAsia="zh-CN"/>
              </w:rPr>
              <w:t xml:space="preserve">相对蒸汽密度：3.04(g/cm3) </w:t>
            </w:r>
          </w:p>
          <w:p w14:paraId="4FAD3959">
            <w:pPr>
              <w:pStyle w:val="59"/>
              <w:bidi w:val="0"/>
            </w:pPr>
            <w:r>
              <w:rPr>
                <w:rFonts w:hint="eastAsia"/>
                <w:lang w:val="en-US" w:eastAsia="zh-CN"/>
              </w:rPr>
              <w:t xml:space="preserve">蒸汽压：4.0KPA（温度 26℃） </w:t>
            </w:r>
          </w:p>
          <w:p w14:paraId="7484DB58">
            <w:pPr>
              <w:pStyle w:val="59"/>
              <w:bidi w:val="0"/>
            </w:pPr>
            <w:r>
              <w:rPr>
                <w:rFonts w:hint="eastAsia"/>
                <w:lang w:val="en-US" w:eastAsia="zh-CN"/>
              </w:rPr>
              <w:t xml:space="preserve">饱和蒸汽压：13.7KPa (20℃) </w:t>
            </w:r>
          </w:p>
          <w:p w14:paraId="0B10BB94">
            <w:pPr>
              <w:pStyle w:val="59"/>
              <w:bidi w:val="0"/>
            </w:pPr>
            <w:r>
              <w:rPr>
                <w:rFonts w:hint="eastAsia"/>
                <w:lang w:val="en-US" w:eastAsia="zh-CN"/>
              </w:rPr>
              <w:t xml:space="preserve">辛醇/水分配系数:LogPow=0.05 </w:t>
            </w:r>
          </w:p>
          <w:p w14:paraId="5291EC09">
            <w:pPr>
              <w:pStyle w:val="59"/>
              <w:bidi w:val="0"/>
            </w:pPr>
            <w:r>
              <w:rPr>
                <w:rFonts w:hint="eastAsia"/>
                <w:lang w:val="en-US" w:eastAsia="zh-CN"/>
              </w:rPr>
              <w:t xml:space="preserve">闪点： -5℃（闭口杯） </w:t>
            </w:r>
          </w:p>
          <w:p w14:paraId="778FABC7">
            <w:pPr>
              <w:pStyle w:val="59"/>
              <w:bidi w:val="0"/>
            </w:pPr>
            <w:r>
              <w:rPr>
                <w:rFonts w:hint="eastAsia"/>
                <w:lang w:val="en-US" w:eastAsia="zh-CN"/>
              </w:rPr>
              <w:t xml:space="preserve">引燃温度：560℃ </w:t>
            </w:r>
          </w:p>
          <w:p w14:paraId="7FE098F1">
            <w:pPr>
              <w:pStyle w:val="59"/>
              <w:bidi w:val="0"/>
            </w:pPr>
            <w:r>
              <w:rPr>
                <w:rFonts w:hint="eastAsia"/>
                <w:lang w:val="en-US" w:eastAsia="zh-CN"/>
              </w:rPr>
              <w:t xml:space="preserve">爆炸上限：12.70vo1% </w:t>
            </w:r>
          </w:p>
          <w:p w14:paraId="6C716C1F">
            <w:pPr>
              <w:pStyle w:val="59"/>
              <w:bidi w:val="0"/>
            </w:pPr>
            <w:r>
              <w:rPr>
                <w:rFonts w:hint="eastAsia"/>
                <w:lang w:val="en-US" w:eastAsia="zh-CN"/>
              </w:rPr>
              <w:t xml:space="preserve">爆炸下限：2.00vo1% </w:t>
            </w:r>
          </w:p>
          <w:p w14:paraId="2D30E72C">
            <w:pPr>
              <w:pStyle w:val="59"/>
              <w:bidi w:val="0"/>
            </w:pPr>
            <w:r>
              <w:rPr>
                <w:rFonts w:hint="eastAsia"/>
                <w:lang w:val="en-US" w:eastAsia="zh-CN"/>
              </w:rPr>
              <w:t xml:space="preserve">溶解性：水不溶 </w:t>
            </w:r>
          </w:p>
        </w:tc>
        <w:tc>
          <w:tcPr>
            <w:tcW w:w="1062" w:type="pct"/>
            <w:vAlign w:val="center"/>
          </w:tcPr>
          <w:p w14:paraId="35FA3CA9">
            <w:pPr>
              <w:pStyle w:val="59"/>
              <w:bidi w:val="0"/>
              <w:jc w:val="left"/>
            </w:pPr>
            <w:r>
              <w:t>易燃。闪点﹤23℃。遇高热、明火、氧化剂有引起燃烧危险。</w:t>
            </w:r>
          </w:p>
        </w:tc>
        <w:tc>
          <w:tcPr>
            <w:tcW w:w="1062" w:type="pct"/>
            <w:tcBorders>
              <w:right w:val="nil"/>
            </w:tcBorders>
            <w:vAlign w:val="center"/>
          </w:tcPr>
          <w:p w14:paraId="035EAF7F">
            <w:pPr>
              <w:pStyle w:val="59"/>
              <w:bidi w:val="0"/>
            </w:pPr>
            <w:r>
              <w:rPr>
                <w:rFonts w:hint="eastAsia"/>
                <w:lang w:val="en-US" w:eastAsia="zh-CN"/>
              </w:rPr>
              <w:t>急性毒性: 经口(大鼠) LD</w:t>
            </w:r>
            <w:r>
              <w:rPr>
                <w:rFonts w:hint="eastAsia"/>
                <w:vertAlign w:val="subscript"/>
                <w:lang w:val="en-US" w:eastAsia="zh-CN"/>
              </w:rPr>
              <w:t>50</w:t>
            </w:r>
            <w:r>
              <w:rPr>
                <w:rFonts w:hint="eastAsia"/>
                <w:lang w:val="en-US" w:eastAsia="zh-CN"/>
              </w:rPr>
              <w:t xml:space="preserve"> = 5,620mg/kg 兔经皮 LC50=6000ppm/6hrs </w:t>
            </w:r>
          </w:p>
          <w:p w14:paraId="6983BCA4">
            <w:pPr>
              <w:pStyle w:val="59"/>
              <w:bidi w:val="0"/>
            </w:pPr>
            <w:r>
              <w:rPr>
                <w:rFonts w:hint="eastAsia"/>
                <w:lang w:val="en-US" w:eastAsia="zh-CN"/>
              </w:rPr>
              <w:t xml:space="preserve">生态毒性：鱼毒性 TLm48 小时 鲤鱼——40ppm 以上 </w:t>
            </w:r>
          </w:p>
          <w:p w14:paraId="359DCC8F">
            <w:pPr>
              <w:pStyle w:val="59"/>
              <w:bidi w:val="0"/>
            </w:pPr>
          </w:p>
        </w:tc>
      </w:tr>
      <w:tr w14:paraId="4FDCE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tcBorders>
              <w:left w:val="nil"/>
            </w:tcBorders>
            <w:vAlign w:val="center"/>
          </w:tcPr>
          <w:p w14:paraId="200D096D">
            <w:pPr>
              <w:pStyle w:val="59"/>
              <w:numPr>
                <w:ilvl w:val="0"/>
                <w:numId w:val="24"/>
              </w:numPr>
              <w:bidi w:val="0"/>
              <w:ind w:left="425" w:leftChars="0" w:hanging="425" w:firstLineChars="0"/>
            </w:pPr>
          </w:p>
        </w:tc>
        <w:tc>
          <w:tcPr>
            <w:tcW w:w="580" w:type="pct"/>
            <w:vAlign w:val="center"/>
          </w:tcPr>
          <w:p w14:paraId="689D8E74">
            <w:pPr>
              <w:pStyle w:val="59"/>
              <w:bidi w:val="0"/>
            </w:pPr>
            <w:r>
              <w:t>乙酸乙酯</w:t>
            </w:r>
          </w:p>
        </w:tc>
        <w:tc>
          <w:tcPr>
            <w:tcW w:w="1062" w:type="pct"/>
            <w:shd w:val="clear" w:color="auto" w:fill="auto"/>
            <w:vAlign w:val="center"/>
          </w:tcPr>
          <w:p w14:paraId="563A6732">
            <w:pPr>
              <w:pStyle w:val="59"/>
              <w:bidi w:val="0"/>
              <w:ind w:firstLine="0" w:firstLineChars="0"/>
              <w:rPr>
                <w:rFonts w:ascii="Times New Roman" w:hAnsi="Times New Roman" w:eastAsia="宋体" w:cs="Times New Roman"/>
                <w:kern w:val="0"/>
                <w:sz w:val="21"/>
                <w:szCs w:val="20"/>
                <w:lang w:val="en-US" w:eastAsia="zh-CN" w:bidi="ar-SA"/>
              </w:rPr>
            </w:pPr>
            <w:r>
              <w:t>乙酸乙酯</w:t>
            </w:r>
          </w:p>
        </w:tc>
        <w:tc>
          <w:tcPr>
            <w:tcW w:w="1062" w:type="pct"/>
            <w:vAlign w:val="center"/>
          </w:tcPr>
          <w:p w14:paraId="2838AFE5">
            <w:pPr>
              <w:pStyle w:val="59"/>
              <w:bidi w:val="0"/>
            </w:pPr>
            <w:r>
              <w:t>分子式：C4H8O2；</w:t>
            </w:r>
          </w:p>
          <w:p w14:paraId="68D9DAA3">
            <w:pPr>
              <w:pStyle w:val="59"/>
              <w:bidi w:val="0"/>
            </w:pPr>
            <w:r>
              <w:t>分子量：88.11；</w:t>
            </w:r>
          </w:p>
          <w:p w14:paraId="6A6B22F6">
            <w:pPr>
              <w:pStyle w:val="59"/>
              <w:bidi w:val="0"/>
            </w:pPr>
            <w:r>
              <w:t>CAS 号：141-78-6；</w:t>
            </w:r>
          </w:p>
          <w:p w14:paraId="324E97B7">
            <w:pPr>
              <w:pStyle w:val="59"/>
              <w:bidi w:val="0"/>
            </w:pPr>
            <w:r>
              <w:t>熔点：-83.8℃;</w:t>
            </w:r>
          </w:p>
          <w:p w14:paraId="5DE927FA">
            <w:pPr>
              <w:pStyle w:val="59"/>
              <w:bidi w:val="0"/>
            </w:pPr>
            <w:r>
              <w:t>沸点：77.1℃;</w:t>
            </w:r>
          </w:p>
          <w:p w14:paraId="612637BE">
            <w:pPr>
              <w:pStyle w:val="59"/>
              <w:bidi w:val="0"/>
            </w:pPr>
            <w:r>
              <w:t>密度：0.90（水= 1）；</w:t>
            </w:r>
          </w:p>
          <w:p w14:paraId="4620D955">
            <w:pPr>
              <w:pStyle w:val="59"/>
              <w:bidi w:val="0"/>
            </w:pPr>
            <w:r>
              <w:t>闪点：-4℃;</w:t>
            </w:r>
          </w:p>
          <w:p w14:paraId="351E789A">
            <w:pPr>
              <w:pStyle w:val="59"/>
              <w:bidi w:val="0"/>
            </w:pPr>
            <w:r>
              <w:t>饱和蒸汽压：13.33kPa（27℃)</w:t>
            </w:r>
          </w:p>
          <w:p w14:paraId="5B11C378">
            <w:pPr>
              <w:pStyle w:val="59"/>
              <w:bidi w:val="0"/>
            </w:pPr>
            <w:r>
              <w:t>外观与性状：无色澄清液体；气味：有芳香气味，易挥发；溶解性：微溶于水（79g/L），溶于醇、酮、醚、氯仿等多数有机溶剂。</w:t>
            </w:r>
          </w:p>
        </w:tc>
        <w:tc>
          <w:tcPr>
            <w:tcW w:w="1062" w:type="pct"/>
            <w:vAlign w:val="center"/>
          </w:tcPr>
          <w:p w14:paraId="14B125B8">
            <w:pPr>
              <w:pStyle w:val="59"/>
              <w:bidi w:val="0"/>
              <w:jc w:val="left"/>
            </w:pPr>
            <w:r>
              <w:t>易燃液体,类别2</w:t>
            </w:r>
          </w:p>
          <w:p w14:paraId="3C61CC06">
            <w:pPr>
              <w:pStyle w:val="59"/>
              <w:bidi w:val="0"/>
              <w:jc w:val="left"/>
            </w:pPr>
            <w:r>
              <w:t>严重眼损伤/眼刺激,类别2</w:t>
            </w:r>
          </w:p>
          <w:p w14:paraId="1FD6E42E">
            <w:pPr>
              <w:pStyle w:val="59"/>
              <w:bidi w:val="0"/>
              <w:jc w:val="left"/>
            </w:pPr>
            <w:r>
              <w:t>特异性靶器官毒性-一次接触,类别3（麻醉效应）</w:t>
            </w:r>
          </w:p>
        </w:tc>
        <w:tc>
          <w:tcPr>
            <w:tcW w:w="1062" w:type="pct"/>
            <w:tcBorders>
              <w:right w:val="nil"/>
            </w:tcBorders>
            <w:vAlign w:val="center"/>
          </w:tcPr>
          <w:p w14:paraId="73A8D85F">
            <w:pPr>
              <w:pStyle w:val="59"/>
              <w:bidi w:val="0"/>
              <w:jc w:val="center"/>
            </w:pPr>
            <w:r>
              <w:t>LD50 ：5620mg/k g（大鼠经</w:t>
            </w:r>
          </w:p>
          <w:p w14:paraId="4611F5CD">
            <w:pPr>
              <w:pStyle w:val="59"/>
              <w:bidi w:val="0"/>
              <w:jc w:val="center"/>
            </w:pPr>
            <w:r>
              <w:t>口）；18000mg/ kg（兔经皮）；</w:t>
            </w:r>
          </w:p>
          <w:p w14:paraId="75C7F85B">
            <w:pPr>
              <w:pStyle w:val="59"/>
              <w:bidi w:val="0"/>
              <w:jc w:val="center"/>
            </w:pPr>
            <w:r>
              <w:t>LC50 ：45000mg/ m</w:t>
            </w:r>
            <w:r>
              <w:rPr>
                <w:vertAlign w:val="superscript"/>
              </w:rPr>
              <w:t>3</w:t>
            </w:r>
            <w:r>
              <w:t xml:space="preserve"> ，2小时（大鼠吸入）</w:t>
            </w:r>
          </w:p>
        </w:tc>
      </w:tr>
      <w:tr w14:paraId="2985B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tcBorders>
              <w:left w:val="nil"/>
            </w:tcBorders>
            <w:vAlign w:val="center"/>
          </w:tcPr>
          <w:p w14:paraId="671CE9C6">
            <w:pPr>
              <w:pStyle w:val="59"/>
              <w:numPr>
                <w:ilvl w:val="0"/>
                <w:numId w:val="24"/>
              </w:numPr>
              <w:bidi w:val="0"/>
              <w:ind w:left="425" w:leftChars="0" w:hanging="425" w:firstLineChars="0"/>
            </w:pPr>
          </w:p>
        </w:tc>
        <w:tc>
          <w:tcPr>
            <w:tcW w:w="580" w:type="pct"/>
            <w:vAlign w:val="center"/>
          </w:tcPr>
          <w:p w14:paraId="7F01E68C">
            <w:pPr>
              <w:pStyle w:val="59"/>
              <w:bidi w:val="0"/>
            </w:pPr>
            <w:r>
              <w:t>乙酸丙酯</w:t>
            </w:r>
          </w:p>
        </w:tc>
        <w:tc>
          <w:tcPr>
            <w:tcW w:w="1062" w:type="pct"/>
            <w:shd w:val="clear" w:color="auto" w:fill="auto"/>
            <w:vAlign w:val="center"/>
          </w:tcPr>
          <w:p w14:paraId="611C8495">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ascii="宋体" w:hAnsi="宋体" w:cs="宋体"/>
                <w:color w:val="000000"/>
                <w:kern w:val="0"/>
                <w:sz w:val="20"/>
                <w:szCs w:val="20"/>
                <w:lang w:val="en-US" w:eastAsia="zh-CN"/>
              </w:rPr>
              <w:t>又名</w:t>
            </w:r>
            <w:r>
              <w:rPr>
                <w:rFonts w:ascii="宋体" w:hAnsi="宋体" w:cs="宋体"/>
                <w:color w:val="000000"/>
                <w:kern w:val="0"/>
                <w:sz w:val="20"/>
                <w:szCs w:val="20"/>
              </w:rPr>
              <w:t>乙酸正丙酯</w:t>
            </w:r>
            <w:r>
              <w:rPr>
                <w:rFonts w:hint="eastAsia" w:ascii="宋体" w:hAnsi="宋体" w:cs="宋体"/>
                <w:color w:val="000000"/>
                <w:kern w:val="0"/>
                <w:sz w:val="20"/>
                <w:szCs w:val="20"/>
                <w:lang w:eastAsia="zh-CN"/>
              </w:rPr>
              <w:t>、</w:t>
            </w:r>
            <w:r>
              <w:rPr>
                <w:rFonts w:ascii="宋体" w:hAnsi="宋体" w:cs="宋体"/>
                <w:color w:val="000000"/>
                <w:kern w:val="0"/>
                <w:sz w:val="20"/>
                <w:szCs w:val="20"/>
              </w:rPr>
              <w:t>醋酸正丙酯</w:t>
            </w:r>
          </w:p>
        </w:tc>
        <w:tc>
          <w:tcPr>
            <w:tcW w:w="1062" w:type="pct"/>
            <w:vAlign w:val="center"/>
          </w:tcPr>
          <w:p w14:paraId="08FBCD75">
            <w:pPr>
              <w:pStyle w:val="59"/>
              <w:bidi w:val="0"/>
            </w:pPr>
            <w:r>
              <w:t>分子式：C5H10O2；</w:t>
            </w:r>
          </w:p>
          <w:p w14:paraId="72F53933">
            <w:pPr>
              <w:pStyle w:val="59"/>
              <w:bidi w:val="0"/>
            </w:pPr>
            <w:r>
              <w:t>分子量：102.13；</w:t>
            </w:r>
          </w:p>
          <w:p w14:paraId="62718C85">
            <w:pPr>
              <w:pStyle w:val="59"/>
              <w:bidi w:val="0"/>
            </w:pPr>
            <w:r>
              <w:t>CAS 号：109-60-4；</w:t>
            </w:r>
          </w:p>
          <w:p w14:paraId="2E54EB29">
            <w:pPr>
              <w:pStyle w:val="59"/>
              <w:bidi w:val="0"/>
            </w:pPr>
            <w:r>
              <w:t>熔点：-92.5℃;</w:t>
            </w:r>
          </w:p>
          <w:p w14:paraId="0E258DC1">
            <w:pPr>
              <w:pStyle w:val="59"/>
              <w:bidi w:val="0"/>
            </w:pPr>
            <w:r>
              <w:t>沸点：101.6℃;</w:t>
            </w:r>
          </w:p>
          <w:p w14:paraId="5EF002FD">
            <w:pPr>
              <w:pStyle w:val="59"/>
              <w:bidi w:val="0"/>
            </w:pPr>
            <w:r>
              <w:t>密度：0.8</w:t>
            </w:r>
            <w:r>
              <w:rPr>
                <w:rFonts w:hint="eastAsia"/>
                <w:lang w:val="en-US" w:eastAsia="zh-CN"/>
              </w:rPr>
              <w:t>88</w:t>
            </w:r>
            <w:r>
              <w:t>（水= 1）；</w:t>
            </w:r>
          </w:p>
          <w:p w14:paraId="26D2BCD4">
            <w:pPr>
              <w:pStyle w:val="59"/>
              <w:bidi w:val="0"/>
            </w:pPr>
            <w:r>
              <w:t>闪点：14.4℃;</w:t>
            </w:r>
          </w:p>
          <w:p w14:paraId="586028CB">
            <w:pPr>
              <w:pStyle w:val="59"/>
              <w:bidi w:val="0"/>
            </w:pPr>
            <w:r>
              <w:t>饱和蒸汽压：5.33kPa（28.8℃)</w:t>
            </w:r>
          </w:p>
          <w:p w14:paraId="30D35086">
            <w:pPr>
              <w:pStyle w:val="59"/>
              <w:bidi w:val="0"/>
            </w:pPr>
            <w:r>
              <w:t>外观与性状：无色澄清液体；</w:t>
            </w:r>
          </w:p>
          <w:p w14:paraId="3DD0695B">
            <w:pPr>
              <w:pStyle w:val="59"/>
              <w:bidi w:val="0"/>
            </w:pPr>
            <w:r>
              <w:t>气味：有芳香气味，易挥发；</w:t>
            </w:r>
          </w:p>
          <w:p w14:paraId="3C172D48">
            <w:pPr>
              <w:pStyle w:val="59"/>
              <w:bidi w:val="0"/>
            </w:pPr>
            <w:r>
              <w:t>溶解性：微溶于水（18.9g/L），溶于醇、酮、醚、氯仿等多数有机溶剂。</w:t>
            </w:r>
          </w:p>
        </w:tc>
        <w:tc>
          <w:tcPr>
            <w:tcW w:w="1062" w:type="pct"/>
            <w:vAlign w:val="center"/>
          </w:tcPr>
          <w:p w14:paraId="4B99F682">
            <w:pPr>
              <w:pStyle w:val="59"/>
              <w:bidi w:val="0"/>
              <w:jc w:val="left"/>
            </w:pPr>
            <w:r>
              <w:t>易燃液体,类别2</w:t>
            </w:r>
          </w:p>
          <w:p w14:paraId="5A5DD255">
            <w:pPr>
              <w:pStyle w:val="59"/>
              <w:bidi w:val="0"/>
              <w:jc w:val="left"/>
            </w:pPr>
            <w:r>
              <w:t>严重眼损伤/眼刺激,类别2</w:t>
            </w:r>
          </w:p>
          <w:p w14:paraId="23EA362E">
            <w:pPr>
              <w:pStyle w:val="59"/>
              <w:bidi w:val="0"/>
              <w:jc w:val="left"/>
            </w:pPr>
            <w:r>
              <w:t>特异性靶器官毒性-一次接触,类别3（麻醉效应）</w:t>
            </w:r>
          </w:p>
        </w:tc>
        <w:tc>
          <w:tcPr>
            <w:tcW w:w="1062" w:type="pct"/>
            <w:tcBorders>
              <w:right w:val="nil"/>
            </w:tcBorders>
            <w:vAlign w:val="center"/>
          </w:tcPr>
          <w:p w14:paraId="45636F55">
            <w:pPr>
              <w:pStyle w:val="59"/>
              <w:bidi w:val="0"/>
              <w:jc w:val="center"/>
            </w:pPr>
            <w:r>
              <w:t>LD50 ：9370mg/k g（大鼠经</w:t>
            </w:r>
          </w:p>
          <w:p w14:paraId="4D1FF7C9">
            <w:pPr>
              <w:pStyle w:val="59"/>
              <w:bidi w:val="0"/>
              <w:jc w:val="center"/>
            </w:pPr>
            <w:r>
              <w:t>口）；&gt;20mL/kg （免经皮）；</w:t>
            </w:r>
          </w:p>
          <w:p w14:paraId="6CB703A7">
            <w:pPr>
              <w:pStyle w:val="59"/>
              <w:bidi w:val="0"/>
              <w:jc w:val="center"/>
            </w:pPr>
            <w:r>
              <w:t>LC50：</w:t>
            </w:r>
          </w:p>
          <w:p w14:paraId="3F0FD707">
            <w:pPr>
              <w:pStyle w:val="59"/>
              <w:bidi w:val="0"/>
              <w:jc w:val="center"/>
            </w:pPr>
            <w:r>
              <w:t>8000ppm ，4h （大鼠吸入）</w:t>
            </w:r>
          </w:p>
        </w:tc>
      </w:tr>
      <w:tr w14:paraId="1D4A6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tcBorders>
              <w:left w:val="nil"/>
            </w:tcBorders>
            <w:vAlign w:val="center"/>
          </w:tcPr>
          <w:p w14:paraId="082A5B53">
            <w:pPr>
              <w:pStyle w:val="59"/>
              <w:numPr>
                <w:ilvl w:val="0"/>
                <w:numId w:val="24"/>
              </w:numPr>
              <w:bidi w:val="0"/>
              <w:ind w:left="425" w:leftChars="0" w:hanging="425" w:firstLineChars="0"/>
            </w:pPr>
          </w:p>
        </w:tc>
        <w:tc>
          <w:tcPr>
            <w:tcW w:w="580" w:type="pct"/>
            <w:vAlign w:val="center"/>
          </w:tcPr>
          <w:p w14:paraId="47FE598D">
            <w:pPr>
              <w:pStyle w:val="59"/>
              <w:bidi w:val="0"/>
            </w:pPr>
            <w:r>
              <w:t>乙酸丁酯</w:t>
            </w:r>
          </w:p>
        </w:tc>
        <w:tc>
          <w:tcPr>
            <w:tcW w:w="1062" w:type="pct"/>
            <w:shd w:val="clear" w:color="auto" w:fill="auto"/>
            <w:vAlign w:val="center"/>
          </w:tcPr>
          <w:p w14:paraId="36C71520">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ascii="宋体" w:hAnsi="宋体" w:cs="宋体"/>
                <w:color w:val="000000"/>
                <w:kern w:val="0"/>
                <w:sz w:val="20"/>
                <w:szCs w:val="20"/>
                <w:lang w:val="en-US" w:eastAsia="zh-CN"/>
              </w:rPr>
              <w:t>又名</w:t>
            </w:r>
            <w:r>
              <w:t>乙酸丁酯</w:t>
            </w:r>
            <w:r>
              <w:rPr>
                <w:rFonts w:hint="eastAsia"/>
                <w:lang w:eastAsia="zh-CN"/>
              </w:rPr>
              <w:t>、</w:t>
            </w:r>
            <w:r>
              <w:rPr>
                <w:rFonts w:ascii="宋体" w:hAnsi="宋体" w:cs="宋体"/>
                <w:color w:val="000000"/>
                <w:kern w:val="0"/>
                <w:sz w:val="20"/>
                <w:szCs w:val="20"/>
              </w:rPr>
              <w:t>醋酸正丁酯</w:t>
            </w:r>
          </w:p>
        </w:tc>
        <w:tc>
          <w:tcPr>
            <w:tcW w:w="1062" w:type="pct"/>
            <w:vAlign w:val="center"/>
          </w:tcPr>
          <w:p w14:paraId="4AFFD4AD">
            <w:pPr>
              <w:pStyle w:val="59"/>
              <w:bidi w:val="0"/>
              <w:rPr>
                <w:rFonts w:hint="eastAsia"/>
                <w:lang w:eastAsia="zh-CN"/>
              </w:rPr>
            </w:pPr>
            <w:r>
              <w:rPr>
                <w:rFonts w:hint="eastAsia"/>
              </w:rPr>
              <w:t>无色透明液体</w:t>
            </w:r>
            <w:r>
              <w:rPr>
                <w:rFonts w:hint="eastAsia"/>
                <w:lang w:eastAsia="zh-CN"/>
              </w:rPr>
              <w:t>，</w:t>
            </w:r>
            <w:r>
              <w:t>闪点：</w:t>
            </w:r>
            <w:r>
              <w:rPr>
                <w:rFonts w:hint="eastAsia"/>
                <w:lang w:val="en-US" w:eastAsia="zh-CN"/>
              </w:rPr>
              <w:t>22</w:t>
            </w:r>
            <w:r>
              <w:t>℃</w:t>
            </w:r>
            <w:r>
              <w:rPr>
                <w:rFonts w:hint="eastAsia"/>
                <w:lang w:eastAsia="zh-CN"/>
              </w:rPr>
              <w:t>，化学式C</w:t>
            </w:r>
            <w:r>
              <w:rPr>
                <w:rFonts w:hint="eastAsia"/>
                <w:vertAlign w:val="subscript"/>
                <w:lang w:eastAsia="zh-CN"/>
              </w:rPr>
              <w:t>6</w:t>
            </w:r>
            <w:r>
              <w:rPr>
                <w:rFonts w:hint="eastAsia"/>
                <w:lang w:eastAsia="zh-CN"/>
              </w:rPr>
              <w:t>H</w:t>
            </w:r>
            <w:r>
              <w:rPr>
                <w:rFonts w:hint="eastAsia"/>
                <w:vertAlign w:val="subscript"/>
                <w:lang w:eastAsia="zh-CN"/>
              </w:rPr>
              <w:t>12</w:t>
            </w:r>
            <w:r>
              <w:rPr>
                <w:rFonts w:hint="eastAsia"/>
                <w:lang w:eastAsia="zh-CN"/>
              </w:rPr>
              <w:t>O</w:t>
            </w:r>
            <w:r>
              <w:rPr>
                <w:rFonts w:hint="eastAsia"/>
                <w:vertAlign w:val="subscript"/>
                <w:lang w:eastAsia="zh-CN"/>
              </w:rPr>
              <w:t>2</w:t>
            </w:r>
          </w:p>
          <w:p w14:paraId="5FE7A3B7">
            <w:pPr>
              <w:pStyle w:val="59"/>
              <w:bidi w:val="0"/>
              <w:rPr>
                <w:rFonts w:hint="eastAsia"/>
                <w:lang w:eastAsia="zh-CN"/>
              </w:rPr>
            </w:pPr>
            <w:r>
              <w:rPr>
                <w:rFonts w:hint="eastAsia"/>
                <w:lang w:eastAsia="zh-CN"/>
              </w:rPr>
              <w:t>分子量116.158</w:t>
            </w:r>
          </w:p>
          <w:p w14:paraId="1D5F6F61">
            <w:pPr>
              <w:pStyle w:val="59"/>
              <w:bidi w:val="0"/>
              <w:rPr>
                <w:rFonts w:hint="eastAsia"/>
                <w:lang w:eastAsia="zh-CN"/>
              </w:rPr>
            </w:pPr>
            <w:r>
              <w:rPr>
                <w:rFonts w:hint="eastAsia"/>
                <w:lang w:eastAsia="zh-CN"/>
              </w:rPr>
              <w:t>CAS登录号123-86-4</w:t>
            </w:r>
          </w:p>
          <w:p w14:paraId="316D7360">
            <w:pPr>
              <w:pStyle w:val="59"/>
              <w:bidi w:val="0"/>
              <w:rPr>
                <w:rFonts w:hint="eastAsia"/>
                <w:lang w:eastAsia="zh-CN"/>
              </w:rPr>
            </w:pPr>
            <w:r>
              <w:rPr>
                <w:rFonts w:hint="eastAsia"/>
                <w:lang w:eastAsia="zh-CN"/>
              </w:rPr>
              <w:t>EINECS登录号204-658-1</w:t>
            </w:r>
          </w:p>
          <w:p w14:paraId="1C04AB77">
            <w:pPr>
              <w:pStyle w:val="59"/>
              <w:bidi w:val="0"/>
              <w:rPr>
                <w:rFonts w:hint="eastAsia"/>
                <w:lang w:eastAsia="zh-CN"/>
              </w:rPr>
            </w:pPr>
            <w:r>
              <w:rPr>
                <w:rFonts w:hint="eastAsia"/>
                <w:lang w:eastAsia="zh-CN"/>
              </w:rPr>
              <w:t>熔    点-78 ℃</w:t>
            </w:r>
          </w:p>
          <w:p w14:paraId="58A97A01">
            <w:pPr>
              <w:pStyle w:val="59"/>
              <w:bidi w:val="0"/>
              <w:rPr>
                <w:rFonts w:hint="eastAsia"/>
                <w:lang w:eastAsia="zh-CN"/>
              </w:rPr>
            </w:pPr>
            <w:r>
              <w:rPr>
                <w:rFonts w:hint="eastAsia"/>
                <w:lang w:eastAsia="zh-CN"/>
              </w:rPr>
              <w:t>沸    点126.1 ℃</w:t>
            </w:r>
          </w:p>
          <w:p w14:paraId="542C8DB3">
            <w:pPr>
              <w:pStyle w:val="59"/>
              <w:bidi w:val="0"/>
              <w:rPr>
                <w:rFonts w:hint="eastAsia"/>
                <w:lang w:eastAsia="zh-CN"/>
              </w:rPr>
            </w:pPr>
            <w:r>
              <w:rPr>
                <w:rFonts w:hint="eastAsia"/>
                <w:lang w:eastAsia="zh-CN"/>
              </w:rPr>
              <w:t>水溶性难溶于水</w:t>
            </w:r>
          </w:p>
          <w:p w14:paraId="14265AA5">
            <w:pPr>
              <w:pStyle w:val="59"/>
              <w:bidi w:val="0"/>
              <w:rPr>
                <w:rFonts w:hint="eastAsia" w:eastAsia="宋体"/>
                <w:lang w:eastAsia="zh-CN"/>
              </w:rPr>
            </w:pPr>
            <w:r>
              <w:rPr>
                <w:rFonts w:hint="eastAsia"/>
                <w:lang w:eastAsia="zh-CN"/>
              </w:rPr>
              <w:t>密    度0.8825 g/cm³</w:t>
            </w:r>
          </w:p>
        </w:tc>
        <w:tc>
          <w:tcPr>
            <w:tcW w:w="1062" w:type="pct"/>
            <w:vAlign w:val="center"/>
          </w:tcPr>
          <w:p w14:paraId="760059A3">
            <w:pPr>
              <w:pStyle w:val="59"/>
              <w:bidi w:val="0"/>
              <w:jc w:val="left"/>
            </w:pPr>
            <w:r>
              <w:t>易燃液体,类别3</w:t>
            </w:r>
          </w:p>
          <w:p w14:paraId="73D8771D">
            <w:pPr>
              <w:pStyle w:val="59"/>
              <w:bidi w:val="0"/>
              <w:jc w:val="left"/>
            </w:pPr>
            <w:r>
              <w:t>特异性靶器官毒性-一次接触,类别3（麻醉效应）</w:t>
            </w:r>
          </w:p>
        </w:tc>
        <w:tc>
          <w:tcPr>
            <w:tcW w:w="1062" w:type="pct"/>
            <w:tcBorders>
              <w:right w:val="nil"/>
            </w:tcBorders>
            <w:vAlign w:val="center"/>
          </w:tcPr>
          <w:p w14:paraId="5F9B0467">
            <w:pPr>
              <w:pStyle w:val="59"/>
              <w:bidi w:val="0"/>
              <w:rPr>
                <w:rFonts w:hint="eastAsia"/>
              </w:rPr>
            </w:pPr>
            <w:r>
              <w:rPr>
                <w:rFonts w:hint="eastAsia"/>
              </w:rPr>
              <w:t>大鼠经口</w:t>
            </w:r>
            <w:r>
              <w:t>LD</w:t>
            </w:r>
            <w:r>
              <w:rPr>
                <w:vertAlign w:val="subscript"/>
              </w:rPr>
              <w:t>50</w:t>
            </w:r>
            <w:r>
              <w:rPr>
                <w:rFonts w:hint="eastAsia"/>
              </w:rPr>
              <w:t>‌：‌9370 mg/kg‌</w:t>
            </w:r>
          </w:p>
          <w:p w14:paraId="0223C817">
            <w:pPr>
              <w:pStyle w:val="59"/>
              <w:bidi w:val="0"/>
              <w:rPr>
                <w:rFonts w:hint="eastAsia"/>
              </w:rPr>
            </w:pPr>
            <w:r>
              <w:rPr>
                <w:rFonts w:hint="eastAsia"/>
              </w:rPr>
              <w:t xml:space="preserve">‌兔经口 </w:t>
            </w:r>
            <w:r>
              <w:t>LD</w:t>
            </w:r>
            <w:r>
              <w:rPr>
                <w:vertAlign w:val="subscript"/>
              </w:rPr>
              <w:t>50</w:t>
            </w:r>
            <w:r>
              <w:rPr>
                <w:rFonts w:hint="eastAsia"/>
              </w:rPr>
              <w:t>‌：‌6640 mg/kg‌</w:t>
            </w:r>
          </w:p>
          <w:p w14:paraId="209062BE">
            <w:pPr>
              <w:pStyle w:val="59"/>
              <w:bidi w:val="0"/>
              <w:rPr>
                <w:rFonts w:hint="eastAsia"/>
              </w:rPr>
            </w:pPr>
            <w:r>
              <w:rPr>
                <w:rFonts w:hint="eastAsia"/>
              </w:rPr>
              <w:t>‌小鼠经口</w:t>
            </w:r>
            <w:r>
              <w:t>LD</w:t>
            </w:r>
            <w:r>
              <w:rPr>
                <w:vertAlign w:val="subscript"/>
              </w:rPr>
              <w:t>50</w:t>
            </w:r>
            <w:r>
              <w:rPr>
                <w:rFonts w:hint="eastAsia"/>
              </w:rPr>
              <w:t>‌：‌8300 mg/kg‌</w:t>
            </w:r>
          </w:p>
          <w:p w14:paraId="171EAA89">
            <w:pPr>
              <w:pStyle w:val="59"/>
              <w:bidi w:val="0"/>
            </w:pPr>
            <w:r>
              <w:rPr>
                <w:rFonts w:hint="eastAsia"/>
              </w:rPr>
              <w:t>‌大鼠吸入</w:t>
            </w:r>
            <w:r>
              <w:t>LC</w:t>
            </w:r>
            <w:r>
              <w:rPr>
                <w:vertAlign w:val="subscript"/>
              </w:rPr>
              <w:t>50</w:t>
            </w:r>
            <w:r>
              <w:rPr>
                <w:rFonts w:hint="eastAsia"/>
              </w:rPr>
              <w:t>（4小时）‌：‌8000–9800 mg/m³</w:t>
            </w:r>
          </w:p>
        </w:tc>
      </w:tr>
      <w:tr w14:paraId="0A98A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tcBorders>
              <w:left w:val="nil"/>
            </w:tcBorders>
            <w:vAlign w:val="center"/>
          </w:tcPr>
          <w:p w14:paraId="0CD2BD59">
            <w:pPr>
              <w:pStyle w:val="59"/>
              <w:numPr>
                <w:ilvl w:val="0"/>
                <w:numId w:val="24"/>
              </w:numPr>
              <w:bidi w:val="0"/>
              <w:ind w:left="425" w:leftChars="0" w:hanging="425" w:firstLineChars="0"/>
            </w:pPr>
          </w:p>
        </w:tc>
        <w:tc>
          <w:tcPr>
            <w:tcW w:w="580" w:type="pct"/>
            <w:vAlign w:val="center"/>
          </w:tcPr>
          <w:p w14:paraId="01C6CD97">
            <w:pPr>
              <w:pStyle w:val="59"/>
              <w:bidi w:val="0"/>
            </w:pPr>
            <w:r>
              <w:t>异丙醇</w:t>
            </w:r>
          </w:p>
        </w:tc>
        <w:tc>
          <w:tcPr>
            <w:tcW w:w="1062" w:type="pct"/>
            <w:shd w:val="clear" w:color="auto" w:fill="auto"/>
            <w:vAlign w:val="center"/>
          </w:tcPr>
          <w:p w14:paraId="1C9F0D18">
            <w:pPr>
              <w:pStyle w:val="59"/>
              <w:bidi w:val="0"/>
              <w:ind w:firstLine="0" w:firstLineChars="0"/>
              <w:rPr>
                <w:rFonts w:ascii="Times New Roman" w:hAnsi="Times New Roman" w:eastAsia="宋体" w:cs="Times New Roman"/>
                <w:kern w:val="0"/>
                <w:sz w:val="21"/>
                <w:szCs w:val="20"/>
                <w:lang w:val="en-US" w:eastAsia="zh-CN" w:bidi="ar-SA"/>
              </w:rPr>
            </w:pPr>
            <w:r>
              <w:t>异丙醇</w:t>
            </w:r>
          </w:p>
        </w:tc>
        <w:tc>
          <w:tcPr>
            <w:tcW w:w="1062" w:type="pct"/>
            <w:vAlign w:val="center"/>
          </w:tcPr>
          <w:p w14:paraId="057AAB3D">
            <w:pPr>
              <w:pStyle w:val="59"/>
              <w:bidi w:val="0"/>
            </w:pPr>
            <w:r>
              <w:t>CAS 号：67-63-0；</w:t>
            </w:r>
          </w:p>
          <w:p w14:paraId="53968C73">
            <w:pPr>
              <w:pStyle w:val="59"/>
              <w:bidi w:val="0"/>
            </w:pPr>
            <w:r>
              <w:t>沸点：82.3℃;</w:t>
            </w:r>
          </w:p>
          <w:p w14:paraId="32E25D71">
            <w:pPr>
              <w:pStyle w:val="59"/>
              <w:bidi w:val="0"/>
            </w:pPr>
            <w:r>
              <w:t>密度：0.785（水= 1）；</w:t>
            </w:r>
          </w:p>
          <w:p w14:paraId="05EE068A">
            <w:pPr>
              <w:pStyle w:val="59"/>
              <w:bidi w:val="0"/>
            </w:pPr>
            <w:r>
              <w:t>闪点：12℃;</w:t>
            </w:r>
          </w:p>
          <w:p w14:paraId="16575A71">
            <w:pPr>
              <w:pStyle w:val="59"/>
              <w:bidi w:val="0"/>
            </w:pPr>
            <w:r>
              <w:t>饱和蒸汽压：33mmHg（20℃)</w:t>
            </w:r>
          </w:p>
          <w:p w14:paraId="2F3A5194">
            <w:pPr>
              <w:pStyle w:val="59"/>
              <w:bidi w:val="0"/>
            </w:pPr>
            <w:r>
              <w:t>外观与性状：无色液体；</w:t>
            </w:r>
          </w:p>
          <w:p w14:paraId="6BEF3874">
            <w:pPr>
              <w:pStyle w:val="59"/>
              <w:bidi w:val="0"/>
            </w:pPr>
            <w:r>
              <w:t>气味：橡胶酒精味；</w:t>
            </w:r>
          </w:p>
          <w:p w14:paraId="01337C5D">
            <w:pPr>
              <w:pStyle w:val="59"/>
              <w:bidi w:val="0"/>
            </w:pPr>
            <w:r>
              <w:t>溶解性：全溶（水）。</w:t>
            </w:r>
          </w:p>
        </w:tc>
        <w:tc>
          <w:tcPr>
            <w:tcW w:w="1062" w:type="pct"/>
            <w:vAlign w:val="center"/>
          </w:tcPr>
          <w:p w14:paraId="6F618B89">
            <w:pPr>
              <w:pStyle w:val="59"/>
              <w:bidi w:val="0"/>
              <w:jc w:val="left"/>
            </w:pPr>
            <w:r>
              <w:t>易燃液体,类别2</w:t>
            </w:r>
          </w:p>
          <w:p w14:paraId="07F4622F">
            <w:pPr>
              <w:pStyle w:val="59"/>
              <w:bidi w:val="0"/>
              <w:jc w:val="left"/>
            </w:pPr>
            <w:r>
              <w:t>严重眼损伤/眼刺激,类别2</w:t>
            </w:r>
          </w:p>
          <w:p w14:paraId="2710ED31">
            <w:pPr>
              <w:pStyle w:val="59"/>
              <w:bidi w:val="0"/>
              <w:jc w:val="left"/>
            </w:pPr>
            <w:r>
              <w:t>特异性靶器官毒性-一次接触,类别3（麻醉效应）</w:t>
            </w:r>
          </w:p>
        </w:tc>
        <w:tc>
          <w:tcPr>
            <w:tcW w:w="1062" w:type="pct"/>
            <w:tcBorders>
              <w:right w:val="nil"/>
            </w:tcBorders>
            <w:vAlign w:val="center"/>
          </w:tcPr>
          <w:p w14:paraId="6987DD28">
            <w:pPr>
              <w:pStyle w:val="59"/>
              <w:bidi w:val="0"/>
              <w:jc w:val="center"/>
            </w:pPr>
            <w:r>
              <w:t>LD</w:t>
            </w:r>
            <w:r>
              <w:rPr>
                <w:vertAlign w:val="subscript"/>
              </w:rPr>
              <w:t>50</w:t>
            </w:r>
            <w:r>
              <w:t xml:space="preserve"> ：5045mg/k g（大鼠，吞</w:t>
            </w:r>
          </w:p>
          <w:p w14:paraId="774053C0">
            <w:pPr>
              <w:pStyle w:val="59"/>
              <w:bidi w:val="0"/>
              <w:jc w:val="center"/>
            </w:pPr>
            <w:r>
              <w:t>食）；</w:t>
            </w:r>
          </w:p>
          <w:p w14:paraId="2227FC4D">
            <w:pPr>
              <w:pStyle w:val="59"/>
              <w:bidi w:val="0"/>
              <w:jc w:val="center"/>
            </w:pPr>
            <w:r>
              <w:t>LC</w:t>
            </w:r>
            <w:r>
              <w:rPr>
                <w:vertAlign w:val="subscript"/>
              </w:rPr>
              <w:t>50</w:t>
            </w:r>
            <w:r>
              <w:t>：</w:t>
            </w:r>
          </w:p>
          <w:p w14:paraId="18EFB74D">
            <w:pPr>
              <w:pStyle w:val="59"/>
              <w:bidi w:val="0"/>
              <w:jc w:val="center"/>
            </w:pPr>
            <w:r>
              <w:t>16000mg/8H（大鼠，吸入）</w:t>
            </w:r>
          </w:p>
        </w:tc>
      </w:tr>
      <w:tr w14:paraId="395AA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vMerge w:val="restart"/>
            <w:tcBorders>
              <w:left w:val="nil"/>
            </w:tcBorders>
            <w:vAlign w:val="center"/>
          </w:tcPr>
          <w:p w14:paraId="60AFDFB8">
            <w:pPr>
              <w:pStyle w:val="59"/>
              <w:numPr>
                <w:ilvl w:val="0"/>
                <w:numId w:val="24"/>
              </w:numPr>
              <w:bidi w:val="0"/>
              <w:ind w:left="425" w:leftChars="0" w:hanging="425" w:firstLineChars="0"/>
            </w:pPr>
          </w:p>
        </w:tc>
        <w:tc>
          <w:tcPr>
            <w:tcW w:w="580" w:type="pct"/>
            <w:vMerge w:val="restart"/>
            <w:vAlign w:val="center"/>
          </w:tcPr>
          <w:p w14:paraId="62AE7639">
            <w:pPr>
              <w:pStyle w:val="59"/>
              <w:bidi w:val="0"/>
            </w:pPr>
            <w:r>
              <w:rPr>
                <w:rFonts w:hint="eastAsia"/>
                <w:lang w:val="en-US" w:eastAsia="zh-CN"/>
              </w:rPr>
              <w:t>无溶剂胶水（分为A胶、B胶）</w:t>
            </w:r>
          </w:p>
        </w:tc>
        <w:tc>
          <w:tcPr>
            <w:tcW w:w="1062" w:type="pct"/>
            <w:shd w:val="clear" w:color="auto" w:fill="auto"/>
            <w:vAlign w:val="center"/>
          </w:tcPr>
          <w:p w14:paraId="4B264542">
            <w:pPr>
              <w:pStyle w:val="59"/>
              <w:bidi w:val="0"/>
              <w:rPr>
                <w:rFonts w:hint="default"/>
                <w:lang w:val="en-US" w:eastAsia="zh-CN"/>
              </w:rPr>
            </w:pPr>
            <w:r>
              <w:rPr>
                <w:rFonts w:hint="eastAsia"/>
                <w:lang w:val="en-US" w:eastAsia="zh-CN"/>
              </w:rPr>
              <w:t>组合多元醇（蓖麻油55~90%、聚醚多元醇10~45%）</w:t>
            </w:r>
          </w:p>
        </w:tc>
        <w:tc>
          <w:tcPr>
            <w:tcW w:w="1062" w:type="pct"/>
            <w:vAlign w:val="center"/>
          </w:tcPr>
          <w:p w14:paraId="699504EE">
            <w:pPr>
              <w:pStyle w:val="59"/>
              <w:bidi w:val="0"/>
              <w:rPr>
                <w:rFonts w:hint="eastAsia"/>
                <w:lang w:val="en-US" w:eastAsia="zh-CN"/>
              </w:rPr>
            </w:pPr>
            <w:r>
              <w:rPr>
                <w:rFonts w:hint="eastAsia"/>
                <w:lang w:val="en-US" w:eastAsia="zh-CN"/>
              </w:rPr>
              <w:t>淡黄色液体，密度0.96</w:t>
            </w:r>
          </w:p>
          <w:p w14:paraId="43379A43">
            <w:pPr>
              <w:pStyle w:val="59"/>
              <w:bidi w:val="0"/>
              <w:rPr>
                <w:rFonts w:hint="default"/>
                <w:lang w:val="en-US" w:eastAsia="zh-CN"/>
              </w:rPr>
            </w:pPr>
            <w:r>
              <w:rPr>
                <w:rFonts w:hint="eastAsia"/>
                <w:lang w:val="en-US" w:eastAsia="zh-CN"/>
              </w:rPr>
              <w:t>闪点＞93</w:t>
            </w:r>
          </w:p>
        </w:tc>
        <w:tc>
          <w:tcPr>
            <w:tcW w:w="1062" w:type="pct"/>
            <w:vAlign w:val="center"/>
          </w:tcPr>
          <w:p w14:paraId="70C6AE71">
            <w:pPr>
              <w:pStyle w:val="59"/>
              <w:bidi w:val="0"/>
              <w:jc w:val="left"/>
            </w:pPr>
            <w:r>
              <w:rPr>
                <w:rFonts w:hint="eastAsia"/>
                <w:lang w:val="en-US" w:eastAsia="zh-CN"/>
              </w:rPr>
              <w:t>严重眼损伤</w:t>
            </w:r>
            <w:r>
              <w:rPr>
                <w:rFonts w:hint="default"/>
                <w:lang w:val="en-US" w:eastAsia="zh-CN"/>
              </w:rPr>
              <w:t>/</w:t>
            </w:r>
            <w:r>
              <w:rPr>
                <w:rFonts w:hint="eastAsia"/>
                <w:lang w:val="en-US" w:eastAsia="zh-CN"/>
              </w:rPr>
              <w:t xml:space="preserve">眼刺激 类别 </w:t>
            </w:r>
            <w:r>
              <w:rPr>
                <w:rFonts w:hint="default"/>
                <w:lang w:val="en-US" w:eastAsia="zh-CN"/>
              </w:rPr>
              <w:t>2</w:t>
            </w:r>
          </w:p>
        </w:tc>
        <w:tc>
          <w:tcPr>
            <w:tcW w:w="1062" w:type="pct"/>
            <w:tcBorders>
              <w:right w:val="nil"/>
            </w:tcBorders>
            <w:vAlign w:val="center"/>
          </w:tcPr>
          <w:p w14:paraId="0703A28E">
            <w:pPr>
              <w:pStyle w:val="59"/>
              <w:bidi w:val="0"/>
              <w:rPr>
                <w:rFonts w:hint="eastAsia"/>
                <w:lang w:val="en-US" w:eastAsia="zh-CN"/>
              </w:rPr>
            </w:pPr>
            <w:r>
              <w:rPr>
                <w:rFonts w:hint="eastAsia"/>
                <w:lang w:val="en-US" w:eastAsia="zh-CN"/>
              </w:rPr>
              <w:t>无资料</w:t>
            </w:r>
          </w:p>
        </w:tc>
      </w:tr>
      <w:tr w14:paraId="13482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vMerge w:val="continue"/>
            <w:tcBorders>
              <w:left w:val="nil"/>
            </w:tcBorders>
            <w:vAlign w:val="center"/>
          </w:tcPr>
          <w:p w14:paraId="7515FDFF">
            <w:pPr>
              <w:pStyle w:val="59"/>
              <w:bidi w:val="0"/>
              <w:ind w:left="425" w:leftChars="0" w:hanging="425" w:firstLineChars="0"/>
            </w:pPr>
          </w:p>
        </w:tc>
        <w:tc>
          <w:tcPr>
            <w:tcW w:w="580" w:type="pct"/>
            <w:vMerge w:val="continue"/>
            <w:vAlign w:val="center"/>
          </w:tcPr>
          <w:p w14:paraId="0CAD2F1F">
            <w:pPr>
              <w:pStyle w:val="59"/>
              <w:bidi w:val="0"/>
            </w:pPr>
          </w:p>
        </w:tc>
        <w:tc>
          <w:tcPr>
            <w:tcW w:w="1062" w:type="pct"/>
            <w:shd w:val="clear" w:color="auto" w:fill="auto"/>
            <w:vAlign w:val="center"/>
          </w:tcPr>
          <w:p w14:paraId="5AC102EF">
            <w:pPr>
              <w:pStyle w:val="59"/>
              <w:bidi w:val="0"/>
            </w:pPr>
            <w:r>
              <w:rPr>
                <w:rFonts w:hint="eastAsia"/>
                <w:lang w:val="en-US" w:eastAsia="zh-CN"/>
              </w:rPr>
              <w:t>改性异氰酸酯</w:t>
            </w:r>
          </w:p>
          <w:p w14:paraId="6FECA321">
            <w:pPr>
              <w:pStyle w:val="59"/>
              <w:bidi w:val="0"/>
              <w:rPr>
                <w:rFonts w:hint="default"/>
                <w:lang w:val="en-US" w:eastAsia="zh-CN"/>
              </w:rPr>
            </w:pPr>
            <w:r>
              <w:rPr>
                <w:rFonts w:hint="eastAsia"/>
                <w:lang w:val="en-US" w:eastAsia="zh-CN"/>
              </w:rPr>
              <w:t>（二苯基甲烷二异氰酸酯20~45%、氨基甲酸酯改性异氰酸酯55~90%）</w:t>
            </w:r>
          </w:p>
        </w:tc>
        <w:tc>
          <w:tcPr>
            <w:tcW w:w="1062" w:type="pct"/>
            <w:vAlign w:val="center"/>
          </w:tcPr>
          <w:p w14:paraId="00AB1DB6">
            <w:pPr>
              <w:pStyle w:val="59"/>
              <w:bidi w:val="0"/>
              <w:rPr>
                <w:rFonts w:hint="default"/>
                <w:lang w:val="en-US" w:eastAsia="zh-CN"/>
              </w:rPr>
            </w:pPr>
            <w:r>
              <w:rPr>
                <w:rFonts w:hint="eastAsia"/>
                <w:lang w:val="en-US" w:eastAsia="zh-CN"/>
              </w:rPr>
              <w:t>淡黄色液体，闪点≥190，密度1.12</w:t>
            </w:r>
          </w:p>
        </w:tc>
        <w:tc>
          <w:tcPr>
            <w:tcW w:w="1062" w:type="pct"/>
            <w:vAlign w:val="center"/>
          </w:tcPr>
          <w:p w14:paraId="47EF3697">
            <w:pPr>
              <w:pStyle w:val="59"/>
              <w:bidi w:val="0"/>
              <w:jc w:val="left"/>
            </w:pPr>
            <w:r>
              <w:rPr>
                <w:rFonts w:hint="eastAsia"/>
                <w:lang w:val="en-US" w:eastAsia="zh-CN"/>
              </w:rPr>
              <w:t xml:space="preserve">急性毒性（吸入） 类别 </w:t>
            </w:r>
            <w:r>
              <w:rPr>
                <w:rFonts w:hint="default"/>
                <w:lang w:val="en-US" w:eastAsia="zh-CN"/>
              </w:rPr>
              <w:t xml:space="preserve">4 </w:t>
            </w:r>
          </w:p>
          <w:p w14:paraId="75E62AB6">
            <w:pPr>
              <w:pStyle w:val="59"/>
              <w:bidi w:val="0"/>
              <w:jc w:val="left"/>
            </w:pPr>
            <w:r>
              <w:rPr>
                <w:rFonts w:hint="default"/>
                <w:lang w:val="en-US" w:eastAsia="zh-CN"/>
              </w:rPr>
              <w:t xml:space="preserve">: </w:t>
            </w:r>
            <w:r>
              <w:rPr>
                <w:rFonts w:hint="eastAsia"/>
                <w:lang w:val="en-US" w:eastAsia="zh-CN"/>
              </w:rPr>
              <w:t>皮肤腐蚀</w:t>
            </w:r>
            <w:r>
              <w:rPr>
                <w:rFonts w:hint="default"/>
                <w:lang w:val="en-US" w:eastAsia="zh-CN"/>
              </w:rPr>
              <w:t>/</w:t>
            </w:r>
            <w:r>
              <w:rPr>
                <w:rFonts w:hint="eastAsia"/>
                <w:lang w:val="en-US" w:eastAsia="zh-CN"/>
              </w:rPr>
              <w:t xml:space="preserve">刺激 类别 </w:t>
            </w:r>
            <w:r>
              <w:rPr>
                <w:rFonts w:hint="default"/>
                <w:lang w:val="en-US" w:eastAsia="zh-CN"/>
              </w:rPr>
              <w:t xml:space="preserve">2 </w:t>
            </w:r>
          </w:p>
          <w:p w14:paraId="62F6D968">
            <w:pPr>
              <w:pStyle w:val="59"/>
              <w:bidi w:val="0"/>
              <w:jc w:val="left"/>
            </w:pPr>
            <w:r>
              <w:rPr>
                <w:rFonts w:hint="default"/>
                <w:lang w:val="en-US" w:eastAsia="zh-CN"/>
              </w:rPr>
              <w:t xml:space="preserve">: </w:t>
            </w:r>
            <w:r>
              <w:rPr>
                <w:rFonts w:hint="eastAsia"/>
                <w:lang w:val="en-US" w:eastAsia="zh-CN"/>
              </w:rPr>
              <w:t>严重眼损伤</w:t>
            </w:r>
            <w:r>
              <w:rPr>
                <w:rFonts w:hint="default"/>
                <w:lang w:val="en-US" w:eastAsia="zh-CN"/>
              </w:rPr>
              <w:t>/</w:t>
            </w:r>
            <w:r>
              <w:rPr>
                <w:rFonts w:hint="eastAsia"/>
                <w:lang w:val="en-US" w:eastAsia="zh-CN"/>
              </w:rPr>
              <w:t xml:space="preserve">眼刺激 类别 </w:t>
            </w:r>
            <w:r>
              <w:rPr>
                <w:rFonts w:hint="default"/>
                <w:lang w:val="en-US" w:eastAsia="zh-CN"/>
              </w:rPr>
              <w:t xml:space="preserve">2 </w:t>
            </w:r>
          </w:p>
          <w:p w14:paraId="120888FE">
            <w:pPr>
              <w:pStyle w:val="59"/>
              <w:bidi w:val="0"/>
              <w:jc w:val="left"/>
            </w:pPr>
            <w:r>
              <w:rPr>
                <w:rFonts w:hint="default"/>
                <w:lang w:val="en-US" w:eastAsia="zh-CN"/>
              </w:rPr>
              <w:t xml:space="preserve">: </w:t>
            </w:r>
            <w:r>
              <w:rPr>
                <w:rFonts w:hint="eastAsia"/>
                <w:lang w:val="en-US" w:eastAsia="zh-CN"/>
              </w:rPr>
              <w:t xml:space="preserve">呼吸道致敏 类别 </w:t>
            </w:r>
            <w:r>
              <w:rPr>
                <w:rFonts w:hint="default"/>
                <w:lang w:val="en-US" w:eastAsia="zh-CN"/>
              </w:rPr>
              <w:t xml:space="preserve">1 </w:t>
            </w:r>
          </w:p>
          <w:p w14:paraId="20082D38">
            <w:pPr>
              <w:pStyle w:val="59"/>
              <w:bidi w:val="0"/>
              <w:jc w:val="left"/>
            </w:pPr>
            <w:r>
              <w:rPr>
                <w:rFonts w:hint="default"/>
                <w:lang w:val="en-US" w:eastAsia="zh-CN"/>
              </w:rPr>
              <w:t xml:space="preserve">: </w:t>
            </w:r>
            <w:r>
              <w:rPr>
                <w:rFonts w:hint="eastAsia"/>
                <w:lang w:val="en-US" w:eastAsia="zh-CN"/>
              </w:rPr>
              <w:t xml:space="preserve">皮肤致敏 类别 </w:t>
            </w:r>
            <w:r>
              <w:rPr>
                <w:rFonts w:hint="default"/>
                <w:lang w:val="en-US" w:eastAsia="zh-CN"/>
              </w:rPr>
              <w:t xml:space="preserve">1 </w:t>
            </w:r>
          </w:p>
          <w:p w14:paraId="4D9A3A19">
            <w:pPr>
              <w:pStyle w:val="59"/>
              <w:bidi w:val="0"/>
              <w:jc w:val="left"/>
            </w:pPr>
            <w:r>
              <w:rPr>
                <w:rFonts w:hint="default"/>
                <w:lang w:val="en-US" w:eastAsia="zh-CN"/>
              </w:rPr>
              <w:t xml:space="preserve">: </w:t>
            </w:r>
            <w:r>
              <w:rPr>
                <w:rFonts w:hint="eastAsia"/>
                <w:lang w:val="en-US" w:eastAsia="zh-CN"/>
              </w:rPr>
              <w:t xml:space="preserve">致癌性 类别 </w:t>
            </w:r>
            <w:r>
              <w:rPr>
                <w:rFonts w:hint="default"/>
                <w:lang w:val="en-US" w:eastAsia="zh-CN"/>
              </w:rPr>
              <w:t xml:space="preserve">2 </w:t>
            </w:r>
          </w:p>
          <w:p w14:paraId="3F008DBD">
            <w:pPr>
              <w:pStyle w:val="59"/>
              <w:bidi w:val="0"/>
              <w:jc w:val="left"/>
            </w:pPr>
            <w:r>
              <w:rPr>
                <w:rFonts w:hint="default"/>
                <w:lang w:val="en-US" w:eastAsia="zh-CN"/>
              </w:rPr>
              <w:t xml:space="preserve">: </w:t>
            </w:r>
            <w:r>
              <w:rPr>
                <w:rFonts w:hint="eastAsia"/>
                <w:lang w:val="en-US" w:eastAsia="zh-CN"/>
              </w:rPr>
              <w:t xml:space="preserve">特异性靶器官毒性（一次接触） 类别 </w:t>
            </w:r>
            <w:r>
              <w:rPr>
                <w:rFonts w:hint="default"/>
                <w:lang w:val="en-US" w:eastAsia="zh-CN"/>
              </w:rPr>
              <w:t>3</w:t>
            </w:r>
            <w:r>
              <w:rPr>
                <w:rFonts w:hint="eastAsia"/>
                <w:lang w:val="en-US" w:eastAsia="zh-CN"/>
              </w:rPr>
              <w:t xml:space="preserve">（呼吸道刺激） </w:t>
            </w:r>
          </w:p>
          <w:p w14:paraId="54E3A194">
            <w:pPr>
              <w:pStyle w:val="59"/>
              <w:bidi w:val="0"/>
              <w:jc w:val="left"/>
            </w:pPr>
            <w:r>
              <w:rPr>
                <w:rFonts w:hint="default"/>
                <w:lang w:val="en-US" w:eastAsia="zh-CN"/>
              </w:rPr>
              <w:t xml:space="preserve">: </w:t>
            </w:r>
            <w:r>
              <w:rPr>
                <w:rFonts w:hint="eastAsia"/>
                <w:lang w:val="en-US" w:eastAsia="zh-CN"/>
              </w:rPr>
              <w:t xml:space="preserve">特异性靶器官毒性（反复接触） 类别 </w:t>
            </w:r>
            <w:r>
              <w:rPr>
                <w:rFonts w:hint="default"/>
                <w:lang w:val="en-US" w:eastAsia="zh-CN"/>
              </w:rPr>
              <w:t>2</w:t>
            </w:r>
          </w:p>
        </w:tc>
        <w:tc>
          <w:tcPr>
            <w:tcW w:w="1062" w:type="pct"/>
            <w:tcBorders>
              <w:right w:val="nil"/>
            </w:tcBorders>
            <w:vAlign w:val="center"/>
          </w:tcPr>
          <w:p w14:paraId="6BF20F51">
            <w:pPr>
              <w:pStyle w:val="59"/>
              <w:bidi w:val="0"/>
            </w:pPr>
            <w:r>
              <w:rPr>
                <w:rFonts w:hint="eastAsia"/>
                <w:lang w:val="en-US" w:eastAsia="zh-CN"/>
              </w:rPr>
              <w:t>无资料</w:t>
            </w:r>
          </w:p>
        </w:tc>
      </w:tr>
      <w:tr w14:paraId="05D95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71" w:type="pct"/>
            <w:tcBorders>
              <w:left w:val="nil"/>
              <w:bottom w:val="single" w:color="000000" w:sz="16" w:space="0"/>
            </w:tcBorders>
            <w:vAlign w:val="center"/>
          </w:tcPr>
          <w:p w14:paraId="19755301">
            <w:pPr>
              <w:pStyle w:val="59"/>
              <w:numPr>
                <w:ilvl w:val="0"/>
                <w:numId w:val="24"/>
              </w:numPr>
              <w:bidi w:val="0"/>
              <w:ind w:left="425" w:leftChars="0" w:hanging="425" w:firstLineChars="0"/>
            </w:pPr>
          </w:p>
        </w:tc>
        <w:tc>
          <w:tcPr>
            <w:tcW w:w="580" w:type="pct"/>
            <w:tcBorders>
              <w:bottom w:val="single" w:color="000000" w:sz="16" w:space="0"/>
            </w:tcBorders>
            <w:vAlign w:val="center"/>
          </w:tcPr>
          <w:p w14:paraId="043F7276">
            <w:pPr>
              <w:pStyle w:val="59"/>
              <w:bidi w:val="0"/>
            </w:pPr>
            <w:r>
              <w:rPr>
                <w:rFonts w:hint="eastAsia"/>
                <w:lang w:val="en-US" w:eastAsia="zh-CN"/>
              </w:rPr>
              <w:t>四氢呋喃</w:t>
            </w:r>
          </w:p>
        </w:tc>
        <w:tc>
          <w:tcPr>
            <w:tcW w:w="1062" w:type="pct"/>
            <w:tcBorders>
              <w:bottom w:val="single" w:color="000000" w:sz="16" w:space="0"/>
            </w:tcBorders>
            <w:shd w:val="clear" w:color="auto" w:fill="auto"/>
            <w:vAlign w:val="center"/>
          </w:tcPr>
          <w:p w14:paraId="44BBCE21">
            <w:pPr>
              <w:pStyle w:val="59"/>
              <w:bidi w:val="0"/>
              <w:rPr>
                <w:lang w:val="en-US" w:eastAsia="zh-CN"/>
              </w:rPr>
            </w:pPr>
            <w:r>
              <w:rPr>
                <w:rFonts w:hint="eastAsia"/>
                <w:lang w:val="en-US" w:eastAsia="zh-CN"/>
              </w:rPr>
              <w:t>又名氧杂环戊烷、1,4-环氧丁烷</w:t>
            </w:r>
          </w:p>
        </w:tc>
        <w:tc>
          <w:tcPr>
            <w:tcW w:w="1062" w:type="pct"/>
            <w:tcBorders>
              <w:bottom w:val="single" w:color="000000" w:sz="16" w:space="0"/>
            </w:tcBorders>
            <w:vAlign w:val="center"/>
          </w:tcPr>
          <w:p w14:paraId="397FE332">
            <w:pPr>
              <w:pStyle w:val="59"/>
              <w:bidi w:val="0"/>
              <w:rPr>
                <w:rFonts w:hint="eastAsia"/>
                <w:lang w:val="en-US" w:eastAsia="zh-CN"/>
              </w:rPr>
            </w:pPr>
            <w:r>
              <w:rPr>
                <w:rFonts w:hint="eastAsia"/>
                <w:lang w:val="en-US" w:eastAsia="zh-CN"/>
              </w:rPr>
              <w:t>化学式C</w:t>
            </w:r>
            <w:r>
              <w:rPr>
                <w:rFonts w:hint="eastAsia"/>
                <w:vertAlign w:val="subscript"/>
                <w:lang w:val="en-US" w:eastAsia="zh-CN"/>
              </w:rPr>
              <w:t>4</w:t>
            </w:r>
            <w:r>
              <w:rPr>
                <w:rFonts w:hint="eastAsia"/>
                <w:lang w:val="en-US" w:eastAsia="zh-CN"/>
              </w:rPr>
              <w:t>H</w:t>
            </w:r>
            <w:r>
              <w:rPr>
                <w:rFonts w:hint="eastAsia"/>
                <w:vertAlign w:val="subscript"/>
                <w:lang w:val="en-US" w:eastAsia="zh-CN"/>
              </w:rPr>
              <w:t>8</w:t>
            </w:r>
            <w:r>
              <w:rPr>
                <w:rFonts w:hint="eastAsia"/>
                <w:lang w:val="en-US" w:eastAsia="zh-CN"/>
              </w:rPr>
              <w:t>O，沸    点：66 ℃，水溶性：可溶，密    度：0.89 g/cm³，外    观：无色透明液体，闪    点：14 ℃（CC），熔点-108.5℃</w:t>
            </w:r>
          </w:p>
        </w:tc>
        <w:tc>
          <w:tcPr>
            <w:tcW w:w="1062" w:type="pct"/>
            <w:tcBorders>
              <w:bottom w:val="single" w:color="000000" w:sz="16" w:space="0"/>
            </w:tcBorders>
            <w:vAlign w:val="center"/>
          </w:tcPr>
          <w:p w14:paraId="19D8D4A0">
            <w:pPr>
              <w:pStyle w:val="59"/>
              <w:bidi w:val="0"/>
              <w:jc w:val="left"/>
            </w:pPr>
            <w:r>
              <w:t>易燃液体</w:t>
            </w:r>
            <w:r>
              <w:rPr>
                <w:rFonts w:hint="eastAsia"/>
                <w:lang w:eastAsia="zh-CN"/>
              </w:rPr>
              <w:t>，</w:t>
            </w:r>
            <w:r>
              <w:t>类别2</w:t>
            </w:r>
          </w:p>
          <w:p w14:paraId="4F3FF724">
            <w:pPr>
              <w:pStyle w:val="59"/>
              <w:bidi w:val="0"/>
              <w:jc w:val="left"/>
            </w:pPr>
            <w:r>
              <w:t>严重眼损伤/眼刺激,类别2</w:t>
            </w:r>
          </w:p>
          <w:p w14:paraId="24A9B79D">
            <w:pPr>
              <w:pStyle w:val="59"/>
              <w:bidi w:val="0"/>
              <w:jc w:val="left"/>
            </w:pPr>
            <w:r>
              <w:t>致癌性,类别2</w:t>
            </w:r>
          </w:p>
          <w:p w14:paraId="7C31334F">
            <w:pPr>
              <w:pStyle w:val="59"/>
              <w:bidi w:val="0"/>
              <w:jc w:val="left"/>
              <w:rPr>
                <w:rFonts w:hint="default"/>
                <w:lang w:val="en-US" w:eastAsia="zh-CN"/>
              </w:rPr>
            </w:pPr>
            <w:r>
              <w:t>特异性靶器官毒性-一次接触,类别3（呼吸道刺激）</w:t>
            </w:r>
          </w:p>
        </w:tc>
        <w:tc>
          <w:tcPr>
            <w:tcW w:w="1062" w:type="pct"/>
            <w:tcBorders>
              <w:bottom w:val="single" w:color="000000" w:sz="16" w:space="0"/>
              <w:right w:val="nil"/>
            </w:tcBorders>
            <w:vAlign w:val="center"/>
          </w:tcPr>
          <w:p w14:paraId="57D999AF">
            <w:pPr>
              <w:pStyle w:val="59"/>
              <w:bidi w:val="0"/>
              <w:rPr>
                <w:rFonts w:hint="eastAsia"/>
                <w:lang w:val="en-US" w:eastAsia="zh-CN"/>
              </w:rPr>
            </w:pPr>
            <w:r>
              <w:rPr>
                <w:rFonts w:hint="eastAsia"/>
                <w:lang w:val="en-US" w:eastAsia="zh-CN"/>
              </w:rPr>
              <w:t>毒理学大鼠经口 LD</w:t>
            </w:r>
            <w:r>
              <w:rPr>
                <w:rFonts w:hint="eastAsia"/>
                <w:vertAlign w:val="subscript"/>
                <w:lang w:val="en-US" w:eastAsia="zh-CN"/>
              </w:rPr>
              <w:t>50</w:t>
            </w:r>
            <w:r>
              <w:rPr>
                <w:rFonts w:hint="eastAsia"/>
                <w:lang w:val="en-US" w:eastAsia="zh-CN"/>
              </w:rPr>
              <w:t>:1650 mg/kg，吸入 LC</w:t>
            </w:r>
            <w:r>
              <w:rPr>
                <w:rFonts w:hint="eastAsia"/>
                <w:vertAlign w:val="subscript"/>
                <w:lang w:val="en-US" w:eastAsia="zh-CN"/>
              </w:rPr>
              <w:t>50</w:t>
            </w:r>
            <w:r>
              <w:rPr>
                <w:rFonts w:hint="eastAsia"/>
                <w:lang w:val="en-US" w:eastAsia="zh-CN"/>
              </w:rPr>
              <w:t>:21000 ppm/3H，小鼠吸入 LCLo:24000 mg/m3/2H</w:t>
            </w:r>
          </w:p>
        </w:tc>
      </w:tr>
    </w:tbl>
    <w:p w14:paraId="70DEBA0F">
      <w:pPr>
        <w:pStyle w:val="63"/>
        <w:bidi w:val="0"/>
        <w:rPr>
          <w:rFonts w:hint="eastAsia"/>
          <w:lang w:val="en-US" w:eastAsia="zh-CN"/>
        </w:rPr>
      </w:pPr>
      <w:r>
        <w:t>危险特性</w:t>
      </w:r>
      <w:r>
        <w:rPr>
          <w:rFonts w:hint="eastAsia"/>
          <w:lang w:val="en-US" w:eastAsia="zh-CN"/>
        </w:rPr>
        <w:t>来自《危险化学品分类信息表》和MSDS。</w:t>
      </w:r>
    </w:p>
    <w:p w14:paraId="3161A2E3">
      <w:pPr>
        <w:pStyle w:val="63"/>
        <w:bidi w:val="0"/>
        <w:sectPr>
          <w:pgSz w:w="16838" w:h="11906" w:orient="landscape"/>
          <w:pgMar w:top="1417" w:right="1417" w:bottom="1417" w:left="1417" w:header="992" w:footer="992" w:gutter="0"/>
          <w:pgNumType w:fmt="decimal"/>
          <w:cols w:space="720" w:num="1"/>
          <w:docGrid w:type="lines" w:linePitch="312" w:charSpace="0"/>
        </w:sectPr>
      </w:pPr>
    </w:p>
    <w:p w14:paraId="4CDE435F">
      <w:pPr>
        <w:pStyle w:val="64"/>
        <w:numPr>
          <w:ilvl w:val="2"/>
          <w:numId w:val="8"/>
        </w:numPr>
        <w:spacing w:before="156" w:after="156"/>
        <w:ind w:left="709" w:leftChars="0" w:hanging="709" w:firstLineChars="0"/>
        <w:rPr>
          <w:rFonts w:hint="eastAsia" w:ascii="Times New Roman" w:hAnsi="Times New Roman" w:eastAsia="宋体" w:cs="Times New Roman"/>
          <w:color w:val="auto"/>
        </w:rPr>
      </w:pPr>
      <w:r>
        <w:rPr>
          <w:rFonts w:hint="eastAsia"/>
          <w:color w:val="auto"/>
          <w:lang w:val="en-US" w:eastAsia="zh-CN"/>
        </w:rPr>
        <w:t>原辅</w:t>
      </w:r>
      <w:r>
        <w:rPr>
          <w:rFonts w:hint="eastAsia"/>
          <w:color w:val="auto"/>
        </w:rPr>
        <w:t>材料</w:t>
      </w:r>
      <w:r>
        <w:rPr>
          <w:rFonts w:hint="eastAsia" w:ascii="Times New Roman" w:hAnsi="Times New Roman" w:eastAsia="宋体" w:cs="Times New Roman"/>
          <w:color w:val="auto"/>
        </w:rPr>
        <w:t>VOC 含量限值</w:t>
      </w:r>
    </w:p>
    <w:p w14:paraId="38257724">
      <w:pPr>
        <w:pStyle w:val="62"/>
        <w:numPr>
          <w:ilvl w:val="0"/>
          <w:numId w:val="22"/>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油墨、胶粘剂的 VOC 含量限值相符性分析一览表</w:t>
      </w:r>
    </w:p>
    <w:p w14:paraId="522BDFC3">
      <w:pPr>
        <w:spacing w:line="23" w:lineRule="exact"/>
      </w:pPr>
    </w:p>
    <w:tbl>
      <w:tblPr>
        <w:tblStyle w:val="105"/>
        <w:tblW w:w="4997" w:type="pct"/>
        <w:tblInd w:w="0"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autofit"/>
        <w:tblCellMar>
          <w:top w:w="0" w:type="dxa"/>
          <w:left w:w="0" w:type="dxa"/>
          <w:bottom w:w="0" w:type="dxa"/>
          <w:right w:w="0" w:type="dxa"/>
        </w:tblCellMar>
      </w:tblPr>
      <w:tblGrid>
        <w:gridCol w:w="377"/>
        <w:gridCol w:w="1529"/>
        <w:gridCol w:w="1357"/>
        <w:gridCol w:w="1796"/>
        <w:gridCol w:w="2393"/>
        <w:gridCol w:w="862"/>
        <w:gridCol w:w="753"/>
      </w:tblGrid>
      <w:tr w14:paraId="6412E35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8" w:type="pct"/>
            <w:vMerge w:val="restart"/>
            <w:tcBorders>
              <w:top w:val="single" w:color="000000" w:sz="12" w:space="0"/>
              <w:left w:val="nil"/>
              <w:bottom w:val="single" w:color="auto" w:sz="4" w:space="0"/>
              <w:right w:val="single" w:color="auto" w:sz="4" w:space="0"/>
              <w:tl2br w:val="nil"/>
            </w:tcBorders>
            <w:shd w:val="clear" w:color="auto" w:fill="FFFFFF"/>
            <w:vAlign w:val="center"/>
          </w:tcPr>
          <w:p w14:paraId="750F14FC">
            <w:pPr>
              <w:pStyle w:val="69"/>
              <w:bidi w:val="0"/>
              <w:jc w:val="center"/>
              <w:rPr>
                <w:b w:val="0"/>
                <w:color w:val="000000"/>
              </w:rPr>
            </w:pPr>
            <w:r>
              <w:rPr>
                <w:b w:val="0"/>
                <w:color w:val="000000"/>
              </w:rPr>
              <w:t>序号</w:t>
            </w:r>
          </w:p>
        </w:tc>
        <w:tc>
          <w:tcPr>
            <w:tcW w:w="843" w:type="pct"/>
            <w:vMerge w:val="restart"/>
            <w:tcBorders>
              <w:top w:val="single" w:color="000000" w:sz="12" w:space="0"/>
              <w:left w:val="single" w:color="auto" w:sz="4" w:space="0"/>
              <w:bottom w:val="single" w:color="auto" w:sz="4" w:space="0"/>
              <w:right w:val="single" w:color="auto" w:sz="4" w:space="0"/>
            </w:tcBorders>
            <w:shd w:val="clear" w:color="auto" w:fill="FFFFFF"/>
            <w:vAlign w:val="center"/>
          </w:tcPr>
          <w:p w14:paraId="1C4EB393">
            <w:pPr>
              <w:pStyle w:val="69"/>
              <w:bidi w:val="0"/>
              <w:jc w:val="center"/>
              <w:rPr>
                <w:b w:val="0"/>
                <w:color w:val="000000"/>
              </w:rPr>
            </w:pPr>
            <w:r>
              <w:rPr>
                <w:b w:val="0"/>
                <w:color w:val="000000"/>
              </w:rPr>
              <w:t>原辅料名称</w:t>
            </w:r>
          </w:p>
        </w:tc>
        <w:tc>
          <w:tcPr>
            <w:tcW w:w="748" w:type="pct"/>
            <w:vMerge w:val="restart"/>
            <w:tcBorders>
              <w:top w:val="single" w:color="000000" w:sz="12" w:space="0"/>
              <w:left w:val="single" w:color="auto" w:sz="4" w:space="0"/>
              <w:bottom w:val="single" w:color="auto" w:sz="4" w:space="0"/>
              <w:right w:val="single" w:color="auto" w:sz="4" w:space="0"/>
            </w:tcBorders>
            <w:shd w:val="clear" w:color="auto" w:fill="FFFFFF"/>
            <w:vAlign w:val="center"/>
          </w:tcPr>
          <w:p w14:paraId="3ADC6F68">
            <w:pPr>
              <w:pStyle w:val="69"/>
              <w:bidi w:val="0"/>
              <w:jc w:val="center"/>
              <w:rPr>
                <w:b w:val="0"/>
                <w:color w:val="000000"/>
              </w:rPr>
            </w:pPr>
            <w:r>
              <w:rPr>
                <w:b w:val="0"/>
                <w:color w:val="000000"/>
              </w:rPr>
              <w:t>VOCs 含量</w:t>
            </w:r>
          </w:p>
        </w:tc>
        <w:tc>
          <w:tcPr>
            <w:tcW w:w="3199" w:type="pct"/>
            <w:gridSpan w:val="4"/>
            <w:tcBorders>
              <w:top w:val="single" w:color="000000" w:sz="12" w:space="0"/>
              <w:left w:val="single" w:color="auto" w:sz="4" w:space="0"/>
              <w:bottom w:val="single" w:color="auto" w:sz="4" w:space="0"/>
              <w:right w:val="nil"/>
            </w:tcBorders>
            <w:shd w:val="clear" w:color="auto" w:fill="FFFFFF"/>
            <w:vAlign w:val="center"/>
          </w:tcPr>
          <w:p w14:paraId="436E791E">
            <w:pPr>
              <w:pStyle w:val="69"/>
              <w:bidi w:val="0"/>
              <w:jc w:val="center"/>
              <w:rPr>
                <w:b w:val="0"/>
                <w:color w:val="000000"/>
              </w:rPr>
            </w:pPr>
            <w:r>
              <w:rPr>
                <w:b w:val="0"/>
                <w:color w:val="000000"/>
              </w:rPr>
              <w:t>VOCs 含量限值相符性分析</w:t>
            </w:r>
          </w:p>
        </w:tc>
      </w:tr>
      <w:tr w14:paraId="7F684E38">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8" w:type="pct"/>
            <w:vMerge w:val="continue"/>
            <w:tcBorders>
              <w:top w:val="single" w:color="auto" w:sz="4" w:space="0"/>
              <w:left w:val="nil"/>
              <w:bottom w:val="single" w:color="auto" w:sz="4" w:space="0"/>
              <w:right w:val="single" w:color="auto" w:sz="4" w:space="0"/>
            </w:tcBorders>
            <w:shd w:val="clear" w:color="auto" w:fill="FFFFFF"/>
            <w:vAlign w:val="center"/>
          </w:tcPr>
          <w:p w14:paraId="258FDF30">
            <w:pPr>
              <w:pStyle w:val="69"/>
              <w:bidi w:val="0"/>
              <w:jc w:val="center"/>
              <w:rPr>
                <w:b w:val="0"/>
                <w:color w:val="000000"/>
              </w:rPr>
            </w:pPr>
          </w:p>
        </w:tc>
        <w:tc>
          <w:tcPr>
            <w:tcW w:w="84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3819DA3">
            <w:pPr>
              <w:pStyle w:val="69"/>
              <w:bidi w:val="0"/>
              <w:jc w:val="center"/>
              <w:rPr>
                <w:b w:val="0"/>
                <w:color w:val="000000"/>
              </w:rPr>
            </w:pPr>
          </w:p>
        </w:tc>
        <w:tc>
          <w:tcPr>
            <w:tcW w:w="748"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4F799B3">
            <w:pPr>
              <w:pStyle w:val="69"/>
              <w:bidi w:val="0"/>
              <w:jc w:val="center"/>
              <w:rPr>
                <w:b w:val="0"/>
                <w:color w:val="000000"/>
              </w:rPr>
            </w:pPr>
          </w:p>
        </w:tc>
        <w:tc>
          <w:tcPr>
            <w:tcW w:w="990" w:type="pct"/>
            <w:tcBorders>
              <w:top w:val="single" w:color="auto" w:sz="4" w:space="0"/>
              <w:left w:val="single" w:color="auto" w:sz="4" w:space="0"/>
              <w:bottom w:val="single" w:color="auto" w:sz="4" w:space="0"/>
              <w:right w:val="single" w:color="auto" w:sz="4" w:space="0"/>
            </w:tcBorders>
            <w:shd w:val="clear" w:color="auto" w:fill="FFFFFF"/>
            <w:vAlign w:val="center"/>
          </w:tcPr>
          <w:p w14:paraId="7606ABCF">
            <w:pPr>
              <w:pStyle w:val="69"/>
              <w:bidi w:val="0"/>
              <w:jc w:val="center"/>
              <w:rPr>
                <w:b w:val="0"/>
                <w:color w:val="000000"/>
              </w:rPr>
            </w:pPr>
            <w:r>
              <w:rPr>
                <w:b w:val="0"/>
                <w:color w:val="000000"/>
              </w:rPr>
              <w:t>分析依据</w:t>
            </w:r>
          </w:p>
        </w:tc>
        <w:tc>
          <w:tcPr>
            <w:tcW w:w="1319" w:type="pct"/>
            <w:tcBorders>
              <w:top w:val="single" w:color="auto" w:sz="4" w:space="0"/>
              <w:left w:val="single" w:color="auto" w:sz="4" w:space="0"/>
              <w:bottom w:val="single" w:color="auto" w:sz="4" w:space="0"/>
              <w:right w:val="single" w:color="auto" w:sz="4" w:space="0"/>
            </w:tcBorders>
            <w:shd w:val="clear" w:color="auto" w:fill="FFFFFF"/>
            <w:vAlign w:val="center"/>
          </w:tcPr>
          <w:p w14:paraId="431915BC">
            <w:pPr>
              <w:pStyle w:val="69"/>
              <w:bidi w:val="0"/>
              <w:jc w:val="center"/>
              <w:rPr>
                <w:b w:val="0"/>
                <w:color w:val="000000"/>
              </w:rPr>
            </w:pPr>
            <w:r>
              <w:rPr>
                <w:b w:val="0"/>
                <w:color w:val="000000"/>
              </w:rPr>
              <w:t>油墨品种/应用领域</w:t>
            </w:r>
          </w:p>
        </w:tc>
        <w:tc>
          <w:tcPr>
            <w:tcW w:w="475" w:type="pct"/>
            <w:tcBorders>
              <w:top w:val="single" w:color="auto" w:sz="4" w:space="0"/>
              <w:left w:val="single" w:color="auto" w:sz="4" w:space="0"/>
              <w:bottom w:val="single" w:color="auto" w:sz="4" w:space="0"/>
              <w:right w:val="single" w:color="auto" w:sz="4" w:space="0"/>
            </w:tcBorders>
            <w:shd w:val="clear" w:color="auto" w:fill="FFFFFF"/>
            <w:vAlign w:val="center"/>
          </w:tcPr>
          <w:p w14:paraId="20EBD3A6">
            <w:pPr>
              <w:pStyle w:val="69"/>
              <w:bidi w:val="0"/>
              <w:jc w:val="center"/>
              <w:rPr>
                <w:b w:val="0"/>
                <w:color w:val="000000"/>
              </w:rPr>
            </w:pPr>
            <w:r>
              <w:rPr>
                <w:b w:val="0"/>
                <w:color w:val="000000"/>
              </w:rPr>
              <w:t>VOCs限值</w:t>
            </w:r>
          </w:p>
        </w:tc>
        <w:tc>
          <w:tcPr>
            <w:tcW w:w="414" w:type="pct"/>
            <w:tcBorders>
              <w:top w:val="single" w:color="auto" w:sz="4" w:space="0"/>
              <w:left w:val="single" w:color="auto" w:sz="4" w:space="0"/>
              <w:bottom w:val="single" w:color="auto" w:sz="4" w:space="0"/>
              <w:right w:val="nil"/>
            </w:tcBorders>
            <w:shd w:val="clear" w:color="auto" w:fill="FFFFFF"/>
            <w:vAlign w:val="center"/>
          </w:tcPr>
          <w:p w14:paraId="6866D298">
            <w:pPr>
              <w:pStyle w:val="69"/>
              <w:bidi w:val="0"/>
              <w:jc w:val="center"/>
              <w:rPr>
                <w:b w:val="0"/>
                <w:color w:val="000000"/>
              </w:rPr>
            </w:pPr>
            <w:r>
              <w:rPr>
                <w:b w:val="0"/>
                <w:color w:val="000000"/>
              </w:rPr>
              <w:t>相符性</w:t>
            </w:r>
          </w:p>
        </w:tc>
      </w:tr>
      <w:tr w14:paraId="522D499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8" w:type="pct"/>
            <w:tcBorders>
              <w:top w:val="single" w:color="auto" w:sz="4" w:space="0"/>
              <w:left w:val="nil"/>
              <w:bottom w:val="single" w:color="auto" w:sz="4" w:space="0"/>
              <w:right w:val="single" w:color="auto" w:sz="4" w:space="0"/>
            </w:tcBorders>
            <w:shd w:val="clear" w:color="auto" w:fill="FFFFFF"/>
            <w:vAlign w:val="center"/>
          </w:tcPr>
          <w:p w14:paraId="338242B7">
            <w:pPr>
              <w:pStyle w:val="69"/>
              <w:bidi w:val="0"/>
              <w:jc w:val="center"/>
              <w:rPr>
                <w:b w:val="0"/>
                <w:color w:val="000000"/>
              </w:rPr>
            </w:pPr>
            <w:r>
              <w:rPr>
                <w:b w:val="0"/>
                <w:color w:val="000000"/>
              </w:rPr>
              <w:t>1</w:t>
            </w:r>
          </w:p>
        </w:tc>
        <w:tc>
          <w:tcPr>
            <w:tcW w:w="843" w:type="pct"/>
            <w:tcBorders>
              <w:top w:val="single" w:color="auto" w:sz="4" w:space="0"/>
              <w:left w:val="single" w:color="auto" w:sz="4" w:space="0"/>
              <w:bottom w:val="single" w:color="auto" w:sz="4" w:space="0"/>
              <w:right w:val="single" w:color="auto" w:sz="4" w:space="0"/>
            </w:tcBorders>
            <w:shd w:val="clear" w:color="auto" w:fill="FFFFFF"/>
            <w:vAlign w:val="center"/>
          </w:tcPr>
          <w:p w14:paraId="1B60ECF1">
            <w:pPr>
              <w:pStyle w:val="69"/>
              <w:bidi w:val="0"/>
              <w:jc w:val="center"/>
              <w:rPr>
                <w:b w:val="0"/>
                <w:color w:val="000000"/>
              </w:rPr>
            </w:pPr>
            <w:r>
              <w:rPr>
                <w:b w:val="0"/>
                <w:color w:val="000000"/>
              </w:rPr>
              <w:t>溶剂油墨</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14:paraId="64EA9B74">
            <w:pPr>
              <w:pStyle w:val="69"/>
              <w:bidi w:val="0"/>
              <w:jc w:val="center"/>
              <w:rPr>
                <w:b w:val="0"/>
                <w:color w:val="000000"/>
              </w:rPr>
            </w:pPr>
            <w:r>
              <w:rPr>
                <w:rFonts w:hint="eastAsia"/>
                <w:b w:val="0"/>
                <w:color w:val="000000"/>
                <w:lang w:val="en-US" w:eastAsia="zh-CN"/>
              </w:rPr>
              <w:t>54.1</w:t>
            </w:r>
            <w:r>
              <w:rPr>
                <w:b w:val="0"/>
                <w:color w:val="000000"/>
              </w:rPr>
              <w:t>%</w:t>
            </w:r>
          </w:p>
        </w:tc>
        <w:tc>
          <w:tcPr>
            <w:tcW w:w="990"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70E05F7">
            <w:pPr>
              <w:pStyle w:val="69"/>
              <w:bidi w:val="0"/>
              <w:jc w:val="center"/>
              <w:rPr>
                <w:b w:val="0"/>
                <w:color w:val="000000"/>
              </w:rPr>
            </w:pPr>
            <w:r>
              <w:rPr>
                <w:b w:val="0"/>
                <w:color w:val="000000"/>
              </w:rPr>
              <w:t>《油墨中可挥发性有机化合物（VOCs）含量的限值》（GB38507-2020）</w:t>
            </w:r>
          </w:p>
        </w:tc>
        <w:tc>
          <w:tcPr>
            <w:tcW w:w="1319" w:type="pct"/>
            <w:tcBorders>
              <w:top w:val="single" w:color="auto" w:sz="4" w:space="0"/>
              <w:left w:val="single" w:color="auto" w:sz="4" w:space="0"/>
              <w:bottom w:val="single" w:color="auto" w:sz="4" w:space="0"/>
              <w:right w:val="single" w:color="auto" w:sz="4" w:space="0"/>
            </w:tcBorders>
            <w:shd w:val="clear" w:color="auto" w:fill="FFFFFF"/>
            <w:vAlign w:val="center"/>
          </w:tcPr>
          <w:p w14:paraId="432A601A">
            <w:pPr>
              <w:pStyle w:val="69"/>
              <w:bidi w:val="0"/>
              <w:jc w:val="center"/>
              <w:rPr>
                <w:b w:val="0"/>
                <w:color w:val="000000"/>
              </w:rPr>
            </w:pPr>
            <w:r>
              <w:rPr>
                <w:b w:val="0"/>
                <w:color w:val="000000"/>
              </w:rPr>
              <w:t>溶剂油墨-凹印油墨</w:t>
            </w:r>
          </w:p>
        </w:tc>
        <w:tc>
          <w:tcPr>
            <w:tcW w:w="475" w:type="pct"/>
            <w:tcBorders>
              <w:top w:val="single" w:color="auto" w:sz="4" w:space="0"/>
              <w:left w:val="single" w:color="auto" w:sz="4" w:space="0"/>
              <w:bottom w:val="single" w:color="auto" w:sz="4" w:space="0"/>
              <w:right w:val="single" w:color="auto" w:sz="4" w:space="0"/>
            </w:tcBorders>
            <w:shd w:val="clear" w:color="auto" w:fill="FFFFFF"/>
            <w:vAlign w:val="center"/>
          </w:tcPr>
          <w:p w14:paraId="005010CB">
            <w:pPr>
              <w:pStyle w:val="69"/>
              <w:bidi w:val="0"/>
              <w:jc w:val="center"/>
              <w:rPr>
                <w:b w:val="0"/>
                <w:color w:val="000000"/>
              </w:rPr>
            </w:pPr>
            <w:r>
              <w:rPr>
                <w:b w:val="0"/>
                <w:color w:val="000000"/>
              </w:rPr>
              <w:t>≤75%</w:t>
            </w:r>
          </w:p>
        </w:tc>
        <w:tc>
          <w:tcPr>
            <w:tcW w:w="414" w:type="pct"/>
            <w:tcBorders>
              <w:top w:val="single" w:color="auto" w:sz="4" w:space="0"/>
              <w:left w:val="single" w:color="auto" w:sz="4" w:space="0"/>
              <w:bottom w:val="single" w:color="auto" w:sz="4" w:space="0"/>
              <w:right w:val="nil"/>
            </w:tcBorders>
            <w:shd w:val="clear" w:color="auto" w:fill="FFFFFF"/>
            <w:vAlign w:val="center"/>
          </w:tcPr>
          <w:p w14:paraId="20CF0478">
            <w:pPr>
              <w:pStyle w:val="69"/>
              <w:bidi w:val="0"/>
              <w:jc w:val="center"/>
              <w:rPr>
                <w:b w:val="0"/>
                <w:color w:val="000000"/>
              </w:rPr>
            </w:pPr>
            <w:r>
              <w:rPr>
                <w:b w:val="0"/>
                <w:color w:val="000000"/>
              </w:rPr>
              <w:t>符合</w:t>
            </w:r>
          </w:p>
        </w:tc>
      </w:tr>
      <w:tr w14:paraId="1A8ECEF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8" w:type="pct"/>
            <w:tcBorders>
              <w:top w:val="single" w:color="auto" w:sz="4" w:space="0"/>
              <w:left w:val="nil"/>
              <w:bottom w:val="single" w:color="auto" w:sz="4" w:space="0"/>
              <w:right w:val="single" w:color="auto" w:sz="4" w:space="0"/>
            </w:tcBorders>
            <w:shd w:val="clear" w:color="auto" w:fill="FFFFFF"/>
            <w:vAlign w:val="center"/>
          </w:tcPr>
          <w:p w14:paraId="39D540D3">
            <w:pPr>
              <w:pStyle w:val="69"/>
              <w:bidi w:val="0"/>
              <w:jc w:val="center"/>
              <w:rPr>
                <w:rFonts w:hint="eastAsia" w:eastAsia="宋体"/>
                <w:b w:val="0"/>
                <w:color w:val="000000"/>
                <w:lang w:val="en-US" w:eastAsia="zh-CN"/>
              </w:rPr>
            </w:pPr>
            <w:r>
              <w:rPr>
                <w:rFonts w:hint="eastAsia"/>
                <w:b w:val="0"/>
                <w:color w:val="000000"/>
                <w:lang w:val="en-US" w:eastAsia="zh-CN"/>
              </w:rPr>
              <w:t>2</w:t>
            </w:r>
          </w:p>
        </w:tc>
        <w:tc>
          <w:tcPr>
            <w:tcW w:w="843" w:type="pct"/>
            <w:tcBorders>
              <w:top w:val="single" w:color="auto" w:sz="4" w:space="0"/>
              <w:left w:val="single" w:color="auto" w:sz="4" w:space="0"/>
              <w:bottom w:val="single" w:color="auto" w:sz="4" w:space="0"/>
              <w:right w:val="single" w:color="auto" w:sz="4" w:space="0"/>
            </w:tcBorders>
            <w:shd w:val="clear" w:color="auto" w:fill="FFFFFF"/>
            <w:vAlign w:val="center"/>
          </w:tcPr>
          <w:p w14:paraId="4873A067">
            <w:pPr>
              <w:pStyle w:val="69"/>
              <w:bidi w:val="0"/>
              <w:jc w:val="center"/>
              <w:rPr>
                <w:rFonts w:hint="default" w:eastAsia="宋体"/>
                <w:b w:val="0"/>
                <w:color w:val="000000"/>
                <w:lang w:val="en-US" w:eastAsia="zh-CN"/>
              </w:rPr>
            </w:pPr>
            <w:r>
              <w:rPr>
                <w:rFonts w:hint="eastAsia"/>
                <w:b w:val="0"/>
                <w:color w:val="000000"/>
                <w:lang w:val="en-US" w:eastAsia="zh-CN"/>
              </w:rPr>
              <w:t>施工状态下凹印油墨</w:t>
            </w:r>
          </w:p>
        </w:tc>
        <w:tc>
          <w:tcPr>
            <w:tcW w:w="748" w:type="pct"/>
            <w:tcBorders>
              <w:top w:val="single" w:color="auto" w:sz="4" w:space="0"/>
              <w:left w:val="single" w:color="auto" w:sz="4" w:space="0"/>
              <w:bottom w:val="single" w:color="auto" w:sz="4" w:space="0"/>
              <w:right w:val="single" w:color="auto" w:sz="4" w:space="0"/>
            </w:tcBorders>
            <w:shd w:val="clear" w:color="auto" w:fill="FFFFFF"/>
            <w:vAlign w:val="center"/>
          </w:tcPr>
          <w:p w14:paraId="689F0671">
            <w:pPr>
              <w:pStyle w:val="69"/>
              <w:bidi w:val="0"/>
              <w:jc w:val="center"/>
              <w:rPr>
                <w:rFonts w:hint="default"/>
                <w:b w:val="0"/>
                <w:color w:val="000000"/>
                <w:lang w:val="en-US" w:eastAsia="zh-CN"/>
              </w:rPr>
            </w:pPr>
            <w:r>
              <w:rPr>
                <w:rFonts w:hint="eastAsia"/>
                <w:b w:val="0"/>
                <w:color w:val="000000"/>
                <w:lang w:val="en-US" w:eastAsia="zh-CN"/>
              </w:rPr>
              <w:t>61.2%</w:t>
            </w:r>
          </w:p>
        </w:tc>
        <w:tc>
          <w:tcPr>
            <w:tcW w:w="990" w:type="pct"/>
            <w:vMerge w:val="continue"/>
            <w:tcBorders>
              <w:left w:val="single" w:color="auto" w:sz="4" w:space="0"/>
              <w:right w:val="single" w:color="auto" w:sz="4" w:space="0"/>
            </w:tcBorders>
            <w:shd w:val="clear" w:color="auto" w:fill="FFFFFF"/>
            <w:vAlign w:val="center"/>
          </w:tcPr>
          <w:p w14:paraId="74ED2324">
            <w:pPr>
              <w:pStyle w:val="69"/>
              <w:bidi w:val="0"/>
              <w:jc w:val="center"/>
              <w:rPr>
                <w:b w:val="0"/>
                <w:color w:val="000000"/>
              </w:rPr>
            </w:pPr>
          </w:p>
        </w:tc>
        <w:tc>
          <w:tcPr>
            <w:tcW w:w="1319" w:type="pct"/>
            <w:tcBorders>
              <w:top w:val="single" w:color="auto" w:sz="4" w:space="0"/>
              <w:left w:val="single" w:color="auto" w:sz="4" w:space="0"/>
              <w:bottom w:val="single" w:color="auto" w:sz="4" w:space="0"/>
              <w:right w:val="single" w:color="auto" w:sz="4" w:space="0"/>
            </w:tcBorders>
            <w:shd w:val="clear" w:color="auto" w:fill="FFFFFF"/>
            <w:vAlign w:val="center"/>
          </w:tcPr>
          <w:p w14:paraId="2DF0C6F3">
            <w:pPr>
              <w:pStyle w:val="69"/>
              <w:bidi w:val="0"/>
              <w:ind w:firstLine="0" w:firstLineChars="0"/>
              <w:jc w:val="center"/>
              <w:rPr>
                <w:rFonts w:ascii="Times New Roman" w:hAnsi="Times New Roman" w:eastAsia="宋体" w:cs="Times New Roman"/>
                <w:b w:val="0"/>
                <w:color w:val="000000"/>
                <w:kern w:val="2"/>
                <w:sz w:val="21"/>
                <w:szCs w:val="21"/>
                <w:lang w:val="en-US" w:eastAsia="zh-CN" w:bidi="ar-SA"/>
              </w:rPr>
            </w:pPr>
            <w:r>
              <w:rPr>
                <w:b w:val="0"/>
                <w:color w:val="000000"/>
              </w:rPr>
              <w:t>溶剂油墨-凹印油墨</w:t>
            </w:r>
          </w:p>
        </w:tc>
        <w:tc>
          <w:tcPr>
            <w:tcW w:w="475" w:type="pct"/>
            <w:tcBorders>
              <w:top w:val="single" w:color="auto" w:sz="4" w:space="0"/>
              <w:left w:val="single" w:color="auto" w:sz="4" w:space="0"/>
              <w:bottom w:val="single" w:color="auto" w:sz="4" w:space="0"/>
              <w:right w:val="single" w:color="auto" w:sz="4" w:space="0"/>
            </w:tcBorders>
            <w:shd w:val="clear" w:color="auto" w:fill="FFFFFF"/>
            <w:vAlign w:val="center"/>
          </w:tcPr>
          <w:p w14:paraId="73BC8B44">
            <w:pPr>
              <w:pStyle w:val="69"/>
              <w:bidi w:val="0"/>
              <w:ind w:firstLine="0" w:firstLineChars="0"/>
              <w:jc w:val="center"/>
              <w:rPr>
                <w:rFonts w:ascii="Times New Roman" w:hAnsi="Times New Roman" w:eastAsia="宋体" w:cs="Times New Roman"/>
                <w:b w:val="0"/>
                <w:color w:val="000000"/>
                <w:kern w:val="2"/>
                <w:sz w:val="21"/>
                <w:szCs w:val="21"/>
                <w:lang w:val="en-US" w:eastAsia="zh-CN" w:bidi="ar-SA"/>
              </w:rPr>
            </w:pPr>
            <w:r>
              <w:rPr>
                <w:b w:val="0"/>
                <w:color w:val="000000"/>
              </w:rPr>
              <w:t>≤75%</w:t>
            </w:r>
          </w:p>
        </w:tc>
        <w:tc>
          <w:tcPr>
            <w:tcW w:w="414" w:type="pct"/>
            <w:tcBorders>
              <w:top w:val="single" w:color="auto" w:sz="4" w:space="0"/>
              <w:left w:val="single" w:color="auto" w:sz="4" w:space="0"/>
              <w:bottom w:val="single" w:color="auto" w:sz="4" w:space="0"/>
              <w:right w:val="nil"/>
            </w:tcBorders>
            <w:shd w:val="clear" w:color="auto" w:fill="FFFFFF"/>
            <w:vAlign w:val="center"/>
          </w:tcPr>
          <w:p w14:paraId="03C5AAD6">
            <w:pPr>
              <w:pStyle w:val="69"/>
              <w:bidi w:val="0"/>
              <w:ind w:firstLine="0" w:firstLineChars="0"/>
              <w:jc w:val="center"/>
              <w:rPr>
                <w:rFonts w:ascii="Times New Roman" w:hAnsi="Times New Roman" w:eastAsia="宋体" w:cs="Times New Roman"/>
                <w:b w:val="0"/>
                <w:color w:val="000000"/>
                <w:kern w:val="2"/>
                <w:sz w:val="21"/>
                <w:szCs w:val="21"/>
                <w:lang w:val="en-US" w:eastAsia="zh-CN" w:bidi="ar-SA"/>
              </w:rPr>
            </w:pPr>
            <w:r>
              <w:rPr>
                <w:b w:val="0"/>
                <w:color w:val="000000"/>
              </w:rPr>
              <w:t>符合</w:t>
            </w:r>
          </w:p>
        </w:tc>
      </w:tr>
      <w:tr w14:paraId="21C1467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08" w:type="pct"/>
            <w:tcBorders>
              <w:top w:val="single" w:color="auto" w:sz="4" w:space="0"/>
              <w:left w:val="nil"/>
              <w:bottom w:val="single" w:color="000000" w:sz="12" w:space="0"/>
              <w:right w:val="single" w:color="auto" w:sz="4" w:space="0"/>
            </w:tcBorders>
            <w:shd w:val="clear" w:color="auto" w:fill="FFFFFF"/>
            <w:vAlign w:val="center"/>
          </w:tcPr>
          <w:p w14:paraId="10AC645D">
            <w:pPr>
              <w:pStyle w:val="69"/>
              <w:bidi w:val="0"/>
              <w:jc w:val="center"/>
              <w:rPr>
                <w:rFonts w:hint="eastAsia" w:eastAsia="宋体"/>
                <w:b w:val="0"/>
                <w:color w:val="000000"/>
                <w:lang w:eastAsia="zh-CN"/>
              </w:rPr>
            </w:pPr>
            <w:r>
              <w:rPr>
                <w:rFonts w:hint="eastAsia"/>
                <w:b w:val="0"/>
                <w:color w:val="000000"/>
                <w:lang w:val="en-US" w:eastAsia="zh-CN"/>
              </w:rPr>
              <w:t>3</w:t>
            </w:r>
          </w:p>
        </w:tc>
        <w:tc>
          <w:tcPr>
            <w:tcW w:w="843" w:type="pct"/>
            <w:tcBorders>
              <w:top w:val="single" w:color="auto" w:sz="4" w:space="0"/>
              <w:left w:val="single" w:color="auto" w:sz="4" w:space="0"/>
              <w:bottom w:val="single" w:color="000000" w:sz="12" w:space="0"/>
              <w:right w:val="single" w:color="auto" w:sz="4" w:space="0"/>
            </w:tcBorders>
            <w:shd w:val="clear" w:color="auto" w:fill="FFFFFF"/>
            <w:vAlign w:val="center"/>
          </w:tcPr>
          <w:p w14:paraId="79D930D7">
            <w:pPr>
              <w:pStyle w:val="69"/>
              <w:bidi w:val="0"/>
              <w:jc w:val="center"/>
              <w:rPr>
                <w:rFonts w:hint="eastAsia" w:eastAsia="宋体"/>
                <w:b w:val="0"/>
                <w:color w:val="000000"/>
                <w:lang w:eastAsia="zh-CN"/>
              </w:rPr>
            </w:pPr>
            <w:r>
              <w:rPr>
                <w:b w:val="0"/>
                <w:color w:val="000000"/>
              </w:rPr>
              <w:t>无溶剂</w:t>
            </w:r>
            <w:r>
              <w:rPr>
                <w:rFonts w:hint="eastAsia"/>
                <w:b w:val="0"/>
                <w:color w:val="000000"/>
                <w:lang w:val="en-US" w:eastAsia="zh-CN"/>
              </w:rPr>
              <w:t>聚氨酯胶水</w:t>
            </w:r>
          </w:p>
        </w:tc>
        <w:tc>
          <w:tcPr>
            <w:tcW w:w="748" w:type="pct"/>
            <w:tcBorders>
              <w:top w:val="single" w:color="auto" w:sz="4" w:space="0"/>
              <w:left w:val="single" w:color="auto" w:sz="4" w:space="0"/>
              <w:bottom w:val="single" w:color="000000" w:sz="12" w:space="0"/>
              <w:right w:val="single" w:color="auto" w:sz="4" w:space="0"/>
            </w:tcBorders>
            <w:shd w:val="clear" w:color="auto" w:fill="FFFFFF"/>
            <w:vAlign w:val="center"/>
          </w:tcPr>
          <w:p w14:paraId="01AA79AD">
            <w:pPr>
              <w:pStyle w:val="69"/>
              <w:bidi w:val="0"/>
              <w:jc w:val="center"/>
              <w:rPr>
                <w:b w:val="0"/>
                <w:color w:val="000000"/>
              </w:rPr>
            </w:pPr>
            <w:r>
              <w:rPr>
                <w:rFonts w:hint="eastAsia"/>
                <w:b w:val="0"/>
                <w:color w:val="000000"/>
                <w:lang w:val="en-US" w:eastAsia="zh-CN"/>
              </w:rPr>
              <w:t>7</w:t>
            </w:r>
            <w:r>
              <w:rPr>
                <w:b w:val="0"/>
                <w:color w:val="000000"/>
              </w:rPr>
              <w:t>g/kg</w:t>
            </w:r>
          </w:p>
        </w:tc>
        <w:tc>
          <w:tcPr>
            <w:tcW w:w="990" w:type="pct"/>
            <w:vMerge w:val="continue"/>
            <w:tcBorders>
              <w:top w:val="single" w:color="auto" w:sz="4" w:space="0"/>
              <w:left w:val="single" w:color="auto" w:sz="4" w:space="0"/>
              <w:bottom w:val="single" w:color="000000" w:sz="12" w:space="0"/>
              <w:right w:val="single" w:color="auto" w:sz="4" w:space="0"/>
            </w:tcBorders>
            <w:shd w:val="clear" w:color="auto" w:fill="FFFFFF"/>
            <w:vAlign w:val="center"/>
          </w:tcPr>
          <w:p w14:paraId="2FB9F304">
            <w:pPr>
              <w:pStyle w:val="69"/>
              <w:bidi w:val="0"/>
              <w:jc w:val="center"/>
              <w:rPr>
                <w:b w:val="0"/>
                <w:color w:val="000000"/>
              </w:rPr>
            </w:pPr>
          </w:p>
        </w:tc>
        <w:tc>
          <w:tcPr>
            <w:tcW w:w="1319" w:type="pct"/>
            <w:tcBorders>
              <w:top w:val="single" w:color="auto" w:sz="4" w:space="0"/>
              <w:left w:val="single" w:color="auto" w:sz="4" w:space="0"/>
              <w:bottom w:val="single" w:color="000000" w:sz="12" w:space="0"/>
              <w:right w:val="single" w:color="auto" w:sz="4" w:space="0"/>
            </w:tcBorders>
            <w:shd w:val="clear" w:color="auto" w:fill="FFFFFF"/>
            <w:vAlign w:val="center"/>
          </w:tcPr>
          <w:p w14:paraId="4E4015C9">
            <w:pPr>
              <w:pStyle w:val="69"/>
              <w:bidi w:val="0"/>
              <w:jc w:val="center"/>
              <w:rPr>
                <w:b w:val="0"/>
                <w:color w:val="000000"/>
              </w:rPr>
            </w:pPr>
            <w:r>
              <w:rPr>
                <w:b w:val="0"/>
                <w:color w:val="000000"/>
              </w:rPr>
              <w:t>本体型胶粘剂-其他/包装</w:t>
            </w:r>
          </w:p>
        </w:tc>
        <w:tc>
          <w:tcPr>
            <w:tcW w:w="475" w:type="pct"/>
            <w:tcBorders>
              <w:top w:val="single" w:color="auto" w:sz="4" w:space="0"/>
              <w:left w:val="single" w:color="auto" w:sz="4" w:space="0"/>
              <w:bottom w:val="single" w:color="000000" w:sz="12" w:space="0"/>
              <w:right w:val="single" w:color="auto" w:sz="4" w:space="0"/>
            </w:tcBorders>
            <w:shd w:val="clear" w:color="auto" w:fill="FFFFFF"/>
            <w:vAlign w:val="center"/>
          </w:tcPr>
          <w:p w14:paraId="5D076987">
            <w:pPr>
              <w:pStyle w:val="69"/>
              <w:bidi w:val="0"/>
              <w:jc w:val="center"/>
              <w:rPr>
                <w:b w:val="0"/>
                <w:color w:val="000000"/>
              </w:rPr>
            </w:pPr>
            <w:r>
              <w:rPr>
                <w:b w:val="0"/>
                <w:color w:val="000000"/>
              </w:rPr>
              <w:t>≤50g/kg</w:t>
            </w:r>
          </w:p>
        </w:tc>
        <w:tc>
          <w:tcPr>
            <w:tcW w:w="414" w:type="pct"/>
            <w:tcBorders>
              <w:top w:val="single" w:color="auto" w:sz="4" w:space="0"/>
              <w:left w:val="single" w:color="auto" w:sz="4" w:space="0"/>
              <w:bottom w:val="single" w:color="000000" w:sz="12" w:space="0"/>
              <w:right w:val="nil"/>
            </w:tcBorders>
            <w:shd w:val="clear" w:color="auto" w:fill="FFFFFF"/>
            <w:vAlign w:val="center"/>
          </w:tcPr>
          <w:p w14:paraId="59351345">
            <w:pPr>
              <w:pStyle w:val="69"/>
              <w:bidi w:val="0"/>
              <w:jc w:val="center"/>
              <w:rPr>
                <w:b w:val="0"/>
                <w:color w:val="000000"/>
              </w:rPr>
            </w:pPr>
            <w:r>
              <w:rPr>
                <w:b w:val="0"/>
                <w:color w:val="000000"/>
              </w:rPr>
              <w:t>符合</w:t>
            </w:r>
          </w:p>
        </w:tc>
      </w:tr>
    </w:tbl>
    <w:p w14:paraId="66831CDF">
      <w:pPr>
        <w:keepNext w:val="0"/>
        <w:keepLines w:val="0"/>
        <w:pageBreakBefore w:val="0"/>
        <w:widowControl w:val="0"/>
        <w:kinsoku/>
        <w:wordWrap/>
        <w:overflowPunct/>
        <w:topLinePunct w:val="0"/>
        <w:autoSpaceDE/>
        <w:autoSpaceDN/>
        <w:bidi w:val="0"/>
        <w:adjustRightInd/>
        <w:snapToGrid/>
        <w:spacing w:before="157" w:beforeLines="50"/>
        <w:textAlignment w:val="auto"/>
      </w:pPr>
      <w:r>
        <w:t>根据广东省生态环境厅互动交流网络平台问询答复</w:t>
      </w:r>
      <w:r>
        <w:rPr>
          <w:rFonts w:hint="eastAsia"/>
          <w:lang w:eastAsia="zh-CN"/>
        </w:rPr>
        <w:t>（</w:t>
      </w:r>
      <w:r>
        <w:t>网址：</w:t>
      </w:r>
      <w:r>
        <w:fldChar w:fldCharType="begin"/>
      </w:r>
      <w:r>
        <w:instrText xml:space="preserve"> HYPERLINK "http://gdee.gd.gov.cn/hdjlpt/detail?pid=2239699" </w:instrText>
      </w:r>
      <w:r>
        <w:fldChar w:fldCharType="separate"/>
      </w:r>
      <w:r>
        <w:t>http://gdee.gd.gov.cn/hdjlpt/detail?pid=2239699</w:t>
      </w:r>
      <w:r>
        <w:fldChar w:fldCharType="end"/>
      </w:r>
      <w:r>
        <w:rPr>
          <w:rFonts w:hint="eastAsia"/>
          <w:lang w:eastAsia="zh-CN"/>
        </w:rPr>
        <w:t>）：《广东省生态环境保护“十四五”规划》（粤环〔2021〕10号）明确“大力推进低VOCs含量原辅材料源头替代，严格落实国家和地方产品VOCs含量限值质量标准，禁止建设生产和使用高VOCs含量的溶剂型涂料、油墨、胶粘剂等项目。”如果现阶段确无法实施替代的工序，由各地级以上市生态环境主管部门组织召开权威专家论证会，深入研究论证，出具专家意见。</w:t>
      </w:r>
    </w:p>
    <w:p w14:paraId="29C31B61">
      <w:pPr>
        <w:bidi w:val="0"/>
      </w:pPr>
      <w:r>
        <w:rPr>
          <w:rFonts w:hint="eastAsia"/>
          <w:lang w:val="en-US" w:eastAsia="zh-CN"/>
        </w:rPr>
        <w:t>参考同类项目《</w:t>
      </w:r>
      <w:r>
        <w:t>鹤山市业顺包装有限公司复合包装建设项目使用高VOCs原辅材料不可替代论证报告</w:t>
      </w:r>
      <w:r>
        <w:rPr>
          <w:rFonts w:hint="eastAsia"/>
          <w:lang w:eastAsia="zh-CN"/>
        </w:rPr>
        <w:t>》，</w:t>
      </w:r>
      <w:r>
        <w:rPr>
          <w:rFonts w:hint="eastAsia"/>
          <w:lang w:val="en-US" w:eastAsia="zh-CN"/>
        </w:rPr>
        <w:t>该公司</w:t>
      </w:r>
      <w:r>
        <w:t>属于包装装潢及其他印刷业（C2319），以生产软包装（食品包装袋、化妆品包装袋、食品包装卷膜等）为主，承印物均为塑料薄膜</w:t>
      </w:r>
      <w:r>
        <w:rPr>
          <w:rFonts w:hint="eastAsia"/>
          <w:lang w:eastAsia="zh-CN"/>
        </w:rPr>
        <w:t>，</w:t>
      </w:r>
      <w:r>
        <w:t>年产食品包装袋1000吨、化妆品包装袋380吨、卷膜850吨</w:t>
      </w:r>
      <w:r>
        <w:rPr>
          <w:rFonts w:hint="eastAsia"/>
          <w:lang w:eastAsia="zh-CN"/>
        </w:rPr>
        <w:t>，</w:t>
      </w:r>
      <w:r>
        <w:t>主要生产工艺主要为凹印印刷，工序包括：印前加工（设计制版）、印刷、复合、熟化、分切、制袋等。</w:t>
      </w:r>
      <w:r>
        <w:rPr>
          <w:rFonts w:hint="eastAsia"/>
          <w:lang w:val="en-US" w:eastAsia="zh-CN"/>
        </w:rPr>
        <w:t>该</w:t>
      </w:r>
      <w:r>
        <w:t>项目使用高VOCs含量原辅材料的不可替代性论报告专家评审会于2024年10月31日由江门市环境科学研究所</w:t>
      </w:r>
      <w:r>
        <w:rPr>
          <w:rFonts w:hint="eastAsia"/>
          <w:lang w:eastAsia="zh-CN"/>
        </w:rPr>
        <w:t>（</w:t>
      </w:r>
      <w:r>
        <w:t>受江门市生态环境局委托</w:t>
      </w:r>
      <w:r>
        <w:rPr>
          <w:rFonts w:hint="eastAsia"/>
          <w:lang w:eastAsia="zh-CN"/>
        </w:rPr>
        <w:t>）</w:t>
      </w:r>
      <w:r>
        <w:t>组织召开，经过研究讨论，形成专家意见：印刷行业受到产品质量控制要求、工艺设备、原材料理化特性等因素影响，就同行业而言，目前水性油墨及低挥发性溶剂在塑料薄膜、水煮蒸煮型产品等方面的应用上还处在逐步替代阶段，技术尚不完全成熟，本项目所论证的油性油墨现阶段暂时无法100%用水性油墨及低挥发性溶剂实施替代。</w:t>
      </w:r>
    </w:p>
    <w:p w14:paraId="6C492EC7">
      <w:pPr>
        <w:pStyle w:val="64"/>
        <w:numPr>
          <w:ilvl w:val="2"/>
          <w:numId w:val="8"/>
        </w:numPr>
        <w:spacing w:before="156" w:after="156"/>
        <w:ind w:left="709" w:leftChars="0" w:hanging="709" w:firstLineChars="0"/>
        <w:rPr>
          <w:color w:val="auto"/>
        </w:rPr>
      </w:pPr>
      <w:r>
        <w:rPr>
          <w:rFonts w:hint="eastAsia"/>
          <w:color w:val="auto"/>
        </w:rPr>
        <w:t>主要资源能源消耗</w:t>
      </w:r>
    </w:p>
    <w:p w14:paraId="264E2B3F">
      <w:pPr>
        <w:ind w:firstLine="480"/>
        <w:rPr>
          <w:color w:val="auto"/>
        </w:rPr>
      </w:pPr>
      <w:r>
        <w:rPr>
          <w:rFonts w:hint="eastAsia"/>
          <w:color w:val="auto"/>
        </w:rPr>
        <w:t>建设项目资源能源消耗情况，见</w:t>
      </w:r>
      <w:r>
        <w:rPr>
          <w:rFonts w:hint="eastAsia"/>
          <w:color w:val="auto"/>
          <w:lang w:val="en-US" w:eastAsia="zh-CN"/>
        </w:rPr>
        <w:t>表2.5-9</w:t>
      </w:r>
      <w:r>
        <w:rPr>
          <w:rFonts w:hint="eastAsia"/>
          <w:color w:val="auto"/>
        </w:rPr>
        <w:t>。</w:t>
      </w:r>
    </w:p>
    <w:p w14:paraId="6D661121">
      <w:pPr>
        <w:pStyle w:val="62"/>
        <w:numPr>
          <w:ilvl w:val="0"/>
          <w:numId w:val="22"/>
        </w:numPr>
        <w:ind w:left="0" w:leftChars="0"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项目主要资源能源消耗</w:t>
      </w:r>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537"/>
        <w:gridCol w:w="1223"/>
        <w:gridCol w:w="2543"/>
        <w:gridCol w:w="1243"/>
        <w:gridCol w:w="1617"/>
        <w:gridCol w:w="1960"/>
      </w:tblGrid>
      <w:tr w14:paraId="708983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97" w:hRule="atLeast"/>
          <w:tblHeader/>
          <w:jc w:val="center"/>
        </w:trPr>
        <w:tc>
          <w:tcPr>
            <w:tcW w:w="294" w:type="pct"/>
            <w:tcBorders>
              <w:top w:val="single" w:color="auto" w:sz="12" w:space="0"/>
              <w:left w:val="nil"/>
              <w:bottom w:val="single" w:color="auto" w:sz="4" w:space="0"/>
              <w:right w:val="single" w:color="auto" w:sz="4" w:space="0"/>
            </w:tcBorders>
            <w:vAlign w:val="center"/>
          </w:tcPr>
          <w:p w14:paraId="6ADAE5A6">
            <w:pPr>
              <w:pStyle w:val="59"/>
              <w:rPr>
                <w:color w:val="auto"/>
              </w:rPr>
            </w:pPr>
            <w:r>
              <w:rPr>
                <w:rFonts w:hint="eastAsia"/>
                <w:color w:val="auto"/>
              </w:rPr>
              <w:t>序号</w:t>
            </w:r>
          </w:p>
        </w:tc>
        <w:tc>
          <w:tcPr>
            <w:tcW w:w="670" w:type="pct"/>
            <w:tcBorders>
              <w:top w:val="single" w:color="auto" w:sz="12" w:space="0"/>
              <w:left w:val="single" w:color="auto" w:sz="4" w:space="0"/>
              <w:bottom w:val="single" w:color="auto" w:sz="4" w:space="0"/>
              <w:right w:val="single" w:color="auto" w:sz="4" w:space="0"/>
            </w:tcBorders>
            <w:vAlign w:val="center"/>
          </w:tcPr>
          <w:p w14:paraId="53F2DBB3">
            <w:pPr>
              <w:pStyle w:val="59"/>
              <w:rPr>
                <w:color w:val="auto"/>
              </w:rPr>
            </w:pPr>
            <w:r>
              <w:rPr>
                <w:rFonts w:hint="eastAsia"/>
                <w:color w:val="auto"/>
              </w:rPr>
              <w:t>能源名称</w:t>
            </w:r>
          </w:p>
        </w:tc>
        <w:tc>
          <w:tcPr>
            <w:tcW w:w="1393" w:type="pct"/>
            <w:tcBorders>
              <w:top w:val="single" w:color="auto" w:sz="12" w:space="0"/>
              <w:left w:val="single" w:color="auto" w:sz="4" w:space="0"/>
              <w:bottom w:val="single" w:color="auto" w:sz="4" w:space="0"/>
              <w:right w:val="single" w:color="auto" w:sz="4" w:space="0"/>
            </w:tcBorders>
            <w:vAlign w:val="center"/>
          </w:tcPr>
          <w:p w14:paraId="4C43B47A">
            <w:pPr>
              <w:pStyle w:val="59"/>
              <w:rPr>
                <w:color w:val="auto"/>
              </w:rPr>
            </w:pPr>
            <w:r>
              <w:rPr>
                <w:rFonts w:hint="eastAsia"/>
                <w:color w:val="auto"/>
              </w:rPr>
              <w:t>来源方式</w:t>
            </w:r>
          </w:p>
        </w:tc>
        <w:tc>
          <w:tcPr>
            <w:tcW w:w="681" w:type="pct"/>
            <w:tcBorders>
              <w:top w:val="single" w:color="auto" w:sz="12" w:space="0"/>
              <w:left w:val="single" w:color="auto" w:sz="4" w:space="0"/>
              <w:bottom w:val="single" w:color="auto" w:sz="4" w:space="0"/>
              <w:right w:val="nil"/>
            </w:tcBorders>
            <w:vAlign w:val="center"/>
          </w:tcPr>
          <w:p w14:paraId="4A619DE1">
            <w:pPr>
              <w:pStyle w:val="59"/>
              <w:rPr>
                <w:rFonts w:hint="default"/>
                <w:color w:val="auto"/>
                <w:lang w:val="en-US" w:eastAsia="zh-CN"/>
              </w:rPr>
            </w:pPr>
            <w:r>
              <w:rPr>
                <w:rFonts w:hint="eastAsia"/>
                <w:color w:val="auto"/>
                <w:lang w:val="en-US" w:eastAsia="zh-CN"/>
              </w:rPr>
              <w:t>单位</w:t>
            </w:r>
          </w:p>
        </w:tc>
        <w:tc>
          <w:tcPr>
            <w:tcW w:w="886" w:type="pct"/>
            <w:tcBorders>
              <w:top w:val="single" w:color="auto" w:sz="12" w:space="0"/>
              <w:left w:val="single" w:color="auto" w:sz="4" w:space="0"/>
              <w:bottom w:val="single" w:color="auto" w:sz="4" w:space="0"/>
              <w:right w:val="nil"/>
            </w:tcBorders>
            <w:vAlign w:val="center"/>
          </w:tcPr>
          <w:p w14:paraId="2168F5CD">
            <w:pPr>
              <w:pStyle w:val="59"/>
              <w:rPr>
                <w:rFonts w:hint="default" w:eastAsia="宋体"/>
                <w:color w:val="auto"/>
                <w:lang w:val="en-US" w:eastAsia="zh-CN"/>
              </w:rPr>
            </w:pPr>
            <w:r>
              <w:rPr>
                <w:rFonts w:hint="eastAsia"/>
                <w:color w:val="auto"/>
              </w:rPr>
              <w:t>消耗量</w:t>
            </w:r>
          </w:p>
        </w:tc>
        <w:tc>
          <w:tcPr>
            <w:tcW w:w="1074" w:type="pct"/>
            <w:tcBorders>
              <w:top w:val="single" w:color="auto" w:sz="12" w:space="0"/>
              <w:left w:val="single" w:color="auto" w:sz="4" w:space="0"/>
              <w:bottom w:val="single" w:color="auto" w:sz="4" w:space="0"/>
              <w:right w:val="nil"/>
            </w:tcBorders>
            <w:vAlign w:val="center"/>
          </w:tcPr>
          <w:p w14:paraId="61A5E0F2">
            <w:pPr>
              <w:pStyle w:val="59"/>
              <w:rPr>
                <w:rFonts w:hint="eastAsia" w:eastAsia="宋体"/>
                <w:color w:val="auto"/>
                <w:lang w:val="en-US" w:eastAsia="zh-CN"/>
              </w:rPr>
            </w:pPr>
            <w:r>
              <w:rPr>
                <w:rFonts w:hint="eastAsia"/>
                <w:color w:val="auto"/>
                <w:lang w:val="en-US" w:eastAsia="zh-CN"/>
              </w:rPr>
              <w:t>用途</w:t>
            </w:r>
          </w:p>
        </w:tc>
      </w:tr>
      <w:tr w14:paraId="377E8D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294" w:type="pct"/>
            <w:tcBorders>
              <w:top w:val="single" w:color="auto" w:sz="4" w:space="0"/>
              <w:left w:val="nil"/>
              <w:bottom w:val="single" w:color="auto" w:sz="4" w:space="0"/>
              <w:right w:val="single" w:color="auto" w:sz="4" w:space="0"/>
            </w:tcBorders>
            <w:vAlign w:val="center"/>
          </w:tcPr>
          <w:p w14:paraId="11DE74E4">
            <w:pPr>
              <w:pStyle w:val="59"/>
              <w:rPr>
                <w:color w:val="auto"/>
              </w:rPr>
            </w:pPr>
            <w:r>
              <w:rPr>
                <w:rFonts w:hint="eastAsia"/>
                <w:color w:val="auto"/>
              </w:rPr>
              <w:t>1</w:t>
            </w:r>
          </w:p>
        </w:tc>
        <w:tc>
          <w:tcPr>
            <w:tcW w:w="670" w:type="pct"/>
            <w:tcBorders>
              <w:top w:val="single" w:color="auto" w:sz="4" w:space="0"/>
              <w:left w:val="single" w:color="auto" w:sz="4" w:space="0"/>
              <w:bottom w:val="single" w:color="auto" w:sz="4" w:space="0"/>
              <w:right w:val="single" w:color="auto" w:sz="4" w:space="0"/>
            </w:tcBorders>
            <w:vAlign w:val="center"/>
          </w:tcPr>
          <w:p w14:paraId="185118CB">
            <w:pPr>
              <w:pStyle w:val="59"/>
              <w:rPr>
                <w:color w:val="auto"/>
              </w:rPr>
            </w:pPr>
            <w:r>
              <w:rPr>
                <w:rFonts w:hint="eastAsia"/>
                <w:color w:val="auto"/>
              </w:rPr>
              <w:t>水</w:t>
            </w:r>
          </w:p>
        </w:tc>
        <w:tc>
          <w:tcPr>
            <w:tcW w:w="1393" w:type="pct"/>
            <w:tcBorders>
              <w:top w:val="single" w:color="auto" w:sz="4" w:space="0"/>
              <w:left w:val="single" w:color="auto" w:sz="4" w:space="0"/>
              <w:bottom w:val="single" w:color="auto" w:sz="4" w:space="0"/>
              <w:right w:val="single" w:color="auto" w:sz="4" w:space="0"/>
            </w:tcBorders>
            <w:vAlign w:val="center"/>
          </w:tcPr>
          <w:p w14:paraId="75ACCA96">
            <w:pPr>
              <w:pStyle w:val="59"/>
              <w:rPr>
                <w:color w:val="auto"/>
              </w:rPr>
            </w:pPr>
            <w:r>
              <w:rPr>
                <w:rFonts w:hint="eastAsia"/>
                <w:color w:val="auto"/>
              </w:rPr>
              <w:t>市政自来水管道</w:t>
            </w:r>
          </w:p>
        </w:tc>
        <w:tc>
          <w:tcPr>
            <w:tcW w:w="681" w:type="pct"/>
            <w:tcBorders>
              <w:top w:val="single" w:color="auto" w:sz="4" w:space="0"/>
              <w:left w:val="single" w:color="auto" w:sz="4" w:space="0"/>
              <w:bottom w:val="single" w:color="auto" w:sz="4" w:space="0"/>
              <w:right w:val="nil"/>
            </w:tcBorders>
            <w:vAlign w:val="center"/>
          </w:tcPr>
          <w:p w14:paraId="4CA0110F">
            <w:pPr>
              <w:pStyle w:val="59"/>
              <w:rPr>
                <w:rFonts w:hint="default"/>
                <w:color w:val="auto"/>
                <w:lang w:val="en-US" w:eastAsia="zh-CN"/>
              </w:rPr>
            </w:pPr>
            <w:r>
              <w:rPr>
                <w:rFonts w:hint="eastAsia"/>
                <w:color w:val="auto"/>
                <w:lang w:val="en-US" w:eastAsia="zh-CN"/>
              </w:rPr>
              <w:t>吨/年</w:t>
            </w:r>
          </w:p>
        </w:tc>
        <w:tc>
          <w:tcPr>
            <w:tcW w:w="886" w:type="pct"/>
            <w:tcBorders>
              <w:top w:val="single" w:color="auto" w:sz="4" w:space="0"/>
              <w:left w:val="single" w:color="auto" w:sz="4" w:space="0"/>
              <w:bottom w:val="single" w:color="auto" w:sz="4" w:space="0"/>
              <w:right w:val="nil"/>
            </w:tcBorders>
            <w:vAlign w:val="center"/>
          </w:tcPr>
          <w:p w14:paraId="388F8115">
            <w:pPr>
              <w:pStyle w:val="59"/>
              <w:bidi w:val="0"/>
              <w:rPr>
                <w:rFonts w:hint="default"/>
                <w:color w:val="auto"/>
                <w:lang w:val="en-US" w:eastAsia="zh-CN"/>
              </w:rPr>
            </w:pPr>
            <w:r>
              <w:rPr>
                <w:rFonts w:hint="eastAsia"/>
                <w:color w:val="auto"/>
                <w:lang w:val="en-US" w:eastAsia="zh-CN"/>
              </w:rPr>
              <w:t>562.5</w:t>
            </w:r>
          </w:p>
        </w:tc>
        <w:tc>
          <w:tcPr>
            <w:tcW w:w="1074" w:type="pct"/>
            <w:tcBorders>
              <w:top w:val="single" w:color="auto" w:sz="4" w:space="0"/>
              <w:left w:val="single" w:color="auto" w:sz="4" w:space="0"/>
              <w:bottom w:val="single" w:color="auto" w:sz="4" w:space="0"/>
              <w:right w:val="nil"/>
            </w:tcBorders>
            <w:vAlign w:val="center"/>
          </w:tcPr>
          <w:p w14:paraId="3F0D01FD">
            <w:pPr>
              <w:pStyle w:val="59"/>
              <w:bidi w:val="0"/>
              <w:rPr>
                <w:rFonts w:hint="default" w:eastAsia="宋体"/>
                <w:color w:val="auto"/>
                <w:lang w:val="en-US" w:eastAsia="zh-CN"/>
              </w:rPr>
            </w:pPr>
            <w:r>
              <w:rPr>
                <w:rFonts w:hint="eastAsia"/>
                <w:color w:val="auto"/>
                <w:lang w:val="en-US" w:eastAsia="zh-CN"/>
              </w:rPr>
              <w:t>生活用水、冷却</w:t>
            </w:r>
          </w:p>
        </w:tc>
      </w:tr>
      <w:tr w14:paraId="2160B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294" w:type="pct"/>
            <w:tcBorders>
              <w:top w:val="single" w:color="auto" w:sz="4" w:space="0"/>
              <w:left w:val="nil"/>
              <w:bottom w:val="single" w:color="auto" w:sz="4" w:space="0"/>
              <w:right w:val="single" w:color="auto" w:sz="4" w:space="0"/>
            </w:tcBorders>
            <w:vAlign w:val="center"/>
          </w:tcPr>
          <w:p w14:paraId="3DDA25A1">
            <w:pPr>
              <w:pStyle w:val="59"/>
              <w:rPr>
                <w:color w:val="auto"/>
              </w:rPr>
            </w:pPr>
            <w:r>
              <w:rPr>
                <w:rFonts w:hint="eastAsia"/>
                <w:color w:val="auto"/>
              </w:rPr>
              <w:t>2</w:t>
            </w:r>
          </w:p>
        </w:tc>
        <w:tc>
          <w:tcPr>
            <w:tcW w:w="670" w:type="pct"/>
            <w:tcBorders>
              <w:top w:val="single" w:color="auto" w:sz="4" w:space="0"/>
              <w:left w:val="single" w:color="auto" w:sz="4" w:space="0"/>
              <w:bottom w:val="single" w:color="auto" w:sz="4" w:space="0"/>
              <w:right w:val="single" w:color="auto" w:sz="4" w:space="0"/>
            </w:tcBorders>
            <w:vAlign w:val="center"/>
          </w:tcPr>
          <w:p w14:paraId="7F981CB9">
            <w:pPr>
              <w:pStyle w:val="59"/>
              <w:rPr>
                <w:color w:val="auto"/>
              </w:rPr>
            </w:pPr>
            <w:r>
              <w:rPr>
                <w:rFonts w:hint="eastAsia"/>
                <w:color w:val="auto"/>
              </w:rPr>
              <w:t>电</w:t>
            </w:r>
          </w:p>
        </w:tc>
        <w:tc>
          <w:tcPr>
            <w:tcW w:w="1393" w:type="pct"/>
            <w:tcBorders>
              <w:top w:val="single" w:color="auto" w:sz="4" w:space="0"/>
              <w:left w:val="single" w:color="auto" w:sz="4" w:space="0"/>
              <w:bottom w:val="single" w:color="auto" w:sz="4" w:space="0"/>
              <w:right w:val="single" w:color="auto" w:sz="4" w:space="0"/>
            </w:tcBorders>
            <w:vAlign w:val="center"/>
          </w:tcPr>
          <w:p w14:paraId="71B6511B">
            <w:pPr>
              <w:pStyle w:val="59"/>
              <w:rPr>
                <w:color w:val="auto"/>
              </w:rPr>
            </w:pPr>
            <w:r>
              <w:rPr>
                <w:rFonts w:hint="eastAsia"/>
                <w:color w:val="auto"/>
              </w:rPr>
              <w:t>市政供电</w:t>
            </w:r>
          </w:p>
        </w:tc>
        <w:tc>
          <w:tcPr>
            <w:tcW w:w="681" w:type="pct"/>
            <w:tcBorders>
              <w:top w:val="single" w:color="auto" w:sz="4" w:space="0"/>
              <w:left w:val="single" w:color="auto" w:sz="4" w:space="0"/>
              <w:bottom w:val="single" w:color="auto" w:sz="4" w:space="0"/>
              <w:right w:val="nil"/>
            </w:tcBorders>
            <w:vAlign w:val="center"/>
          </w:tcPr>
          <w:p w14:paraId="217A0537">
            <w:pPr>
              <w:pStyle w:val="59"/>
              <w:rPr>
                <w:rFonts w:hint="eastAsia"/>
                <w:color w:val="auto"/>
                <w:lang w:val="en-US" w:eastAsia="zh-CN"/>
              </w:rPr>
            </w:pPr>
            <w:r>
              <w:rPr>
                <w:rFonts w:hint="eastAsia"/>
                <w:color w:val="auto"/>
                <w:lang w:val="en-US" w:eastAsia="zh-CN"/>
              </w:rPr>
              <w:t>万度/年</w:t>
            </w:r>
          </w:p>
        </w:tc>
        <w:tc>
          <w:tcPr>
            <w:tcW w:w="886" w:type="pct"/>
            <w:tcBorders>
              <w:top w:val="single" w:color="auto" w:sz="4" w:space="0"/>
              <w:left w:val="single" w:color="auto" w:sz="4" w:space="0"/>
              <w:bottom w:val="single" w:color="auto" w:sz="4" w:space="0"/>
              <w:right w:val="nil"/>
            </w:tcBorders>
            <w:vAlign w:val="center"/>
          </w:tcPr>
          <w:p w14:paraId="3C6950C2">
            <w:pPr>
              <w:pStyle w:val="59"/>
              <w:rPr>
                <w:rFonts w:hint="default" w:eastAsia="宋体"/>
                <w:color w:val="auto"/>
                <w:lang w:val="en-US" w:eastAsia="zh-CN"/>
              </w:rPr>
            </w:pPr>
            <w:r>
              <w:rPr>
                <w:rFonts w:hint="eastAsia"/>
                <w:color w:val="auto"/>
                <w:lang w:val="en-US" w:eastAsia="zh-CN"/>
              </w:rPr>
              <w:t>200</w:t>
            </w:r>
          </w:p>
        </w:tc>
        <w:tc>
          <w:tcPr>
            <w:tcW w:w="1074" w:type="pct"/>
            <w:tcBorders>
              <w:top w:val="single" w:color="auto" w:sz="4" w:space="0"/>
              <w:left w:val="single" w:color="auto" w:sz="4" w:space="0"/>
              <w:bottom w:val="single" w:color="auto" w:sz="4" w:space="0"/>
              <w:right w:val="nil"/>
            </w:tcBorders>
            <w:vAlign w:val="center"/>
          </w:tcPr>
          <w:p w14:paraId="0416DD71">
            <w:pPr>
              <w:pStyle w:val="59"/>
              <w:rPr>
                <w:rFonts w:hint="default" w:eastAsia="宋体"/>
                <w:color w:val="auto"/>
                <w:lang w:val="en-US" w:eastAsia="zh-CN"/>
              </w:rPr>
            </w:pPr>
            <w:r>
              <w:rPr>
                <w:rFonts w:hint="eastAsia"/>
                <w:color w:val="auto"/>
                <w:lang w:val="en-US" w:eastAsia="zh-CN"/>
              </w:rPr>
              <w:t>设备供电</w:t>
            </w:r>
          </w:p>
        </w:tc>
      </w:tr>
      <w:tr w14:paraId="1CBE00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294" w:type="pct"/>
            <w:tcBorders>
              <w:top w:val="single" w:color="auto" w:sz="4" w:space="0"/>
              <w:left w:val="nil"/>
              <w:bottom w:val="single" w:color="auto" w:sz="12" w:space="0"/>
              <w:right w:val="single" w:color="auto" w:sz="4" w:space="0"/>
            </w:tcBorders>
            <w:vAlign w:val="center"/>
          </w:tcPr>
          <w:p w14:paraId="4252EA40">
            <w:pPr>
              <w:pStyle w:val="59"/>
              <w:rPr>
                <w:rFonts w:hint="eastAsia" w:eastAsia="宋体"/>
                <w:color w:val="auto"/>
                <w:lang w:val="en-US" w:eastAsia="zh-CN"/>
              </w:rPr>
            </w:pPr>
            <w:r>
              <w:rPr>
                <w:rFonts w:hint="eastAsia"/>
                <w:color w:val="auto"/>
                <w:lang w:val="en-US" w:eastAsia="zh-CN"/>
              </w:rPr>
              <w:t>3</w:t>
            </w:r>
          </w:p>
        </w:tc>
        <w:tc>
          <w:tcPr>
            <w:tcW w:w="670" w:type="pct"/>
            <w:tcBorders>
              <w:top w:val="single" w:color="auto" w:sz="4" w:space="0"/>
              <w:left w:val="single" w:color="auto" w:sz="4" w:space="0"/>
              <w:bottom w:val="single" w:color="auto" w:sz="12" w:space="0"/>
              <w:right w:val="single" w:color="auto" w:sz="4" w:space="0"/>
            </w:tcBorders>
            <w:vAlign w:val="center"/>
          </w:tcPr>
          <w:p w14:paraId="73D95F09">
            <w:pPr>
              <w:pStyle w:val="59"/>
              <w:rPr>
                <w:rFonts w:hint="eastAsia" w:eastAsia="宋体"/>
                <w:color w:val="auto"/>
                <w:lang w:val="en-US" w:eastAsia="zh-CN"/>
              </w:rPr>
            </w:pPr>
            <w:r>
              <w:rPr>
                <w:rFonts w:hint="eastAsia"/>
                <w:color w:val="auto"/>
                <w:lang w:val="en-US" w:eastAsia="zh-CN"/>
              </w:rPr>
              <w:t>天然气</w:t>
            </w:r>
          </w:p>
        </w:tc>
        <w:tc>
          <w:tcPr>
            <w:tcW w:w="1393" w:type="pct"/>
            <w:tcBorders>
              <w:top w:val="single" w:color="auto" w:sz="4" w:space="0"/>
              <w:left w:val="single" w:color="auto" w:sz="4" w:space="0"/>
              <w:bottom w:val="single" w:color="auto" w:sz="12" w:space="0"/>
              <w:right w:val="single" w:color="auto" w:sz="4" w:space="0"/>
            </w:tcBorders>
            <w:vAlign w:val="center"/>
          </w:tcPr>
          <w:p w14:paraId="718449C9">
            <w:pPr>
              <w:pStyle w:val="59"/>
              <w:rPr>
                <w:rFonts w:hint="eastAsia" w:eastAsia="宋体"/>
                <w:color w:val="auto"/>
                <w:lang w:val="en-US" w:eastAsia="zh-CN"/>
              </w:rPr>
            </w:pPr>
            <w:r>
              <w:rPr>
                <w:rFonts w:hint="eastAsia"/>
                <w:color w:val="auto"/>
                <w:lang w:val="en-US" w:eastAsia="zh-CN"/>
              </w:rPr>
              <w:t>/</w:t>
            </w:r>
          </w:p>
        </w:tc>
        <w:tc>
          <w:tcPr>
            <w:tcW w:w="681" w:type="pct"/>
            <w:tcBorders>
              <w:top w:val="single" w:color="auto" w:sz="4" w:space="0"/>
              <w:left w:val="single" w:color="auto" w:sz="4" w:space="0"/>
              <w:bottom w:val="single" w:color="auto" w:sz="12" w:space="0"/>
              <w:right w:val="nil"/>
            </w:tcBorders>
            <w:vAlign w:val="center"/>
          </w:tcPr>
          <w:p w14:paraId="5896649E">
            <w:pPr>
              <w:pStyle w:val="59"/>
              <w:rPr>
                <w:rFonts w:hint="default"/>
                <w:color w:val="auto"/>
                <w:lang w:val="en-US" w:eastAsia="zh-CN"/>
              </w:rPr>
            </w:pPr>
            <w:r>
              <w:rPr>
                <w:rFonts w:hint="eastAsia"/>
                <w:color w:val="auto"/>
                <w:lang w:val="en-US" w:eastAsia="zh-CN"/>
              </w:rPr>
              <w:t>立方米/年</w:t>
            </w:r>
          </w:p>
        </w:tc>
        <w:tc>
          <w:tcPr>
            <w:tcW w:w="886" w:type="pct"/>
            <w:tcBorders>
              <w:top w:val="single" w:color="auto" w:sz="4" w:space="0"/>
              <w:left w:val="single" w:color="auto" w:sz="4" w:space="0"/>
              <w:bottom w:val="single" w:color="auto" w:sz="12" w:space="0"/>
              <w:right w:val="nil"/>
            </w:tcBorders>
            <w:vAlign w:val="center"/>
          </w:tcPr>
          <w:p w14:paraId="69245391">
            <w:pPr>
              <w:pStyle w:val="59"/>
              <w:rPr>
                <w:rFonts w:hint="default"/>
                <w:color w:val="auto"/>
                <w:lang w:val="en-US" w:eastAsia="zh-CN"/>
              </w:rPr>
            </w:pPr>
            <w:r>
              <w:rPr>
                <w:rFonts w:hint="default"/>
                <w:lang w:val="en-US" w:eastAsia="zh-CN"/>
              </w:rPr>
              <w:t>129850</w:t>
            </w:r>
          </w:p>
        </w:tc>
        <w:tc>
          <w:tcPr>
            <w:tcW w:w="1074" w:type="pct"/>
            <w:tcBorders>
              <w:top w:val="single" w:color="auto" w:sz="4" w:space="0"/>
              <w:left w:val="single" w:color="auto" w:sz="4" w:space="0"/>
              <w:bottom w:val="single" w:color="auto" w:sz="12" w:space="0"/>
              <w:right w:val="nil"/>
            </w:tcBorders>
            <w:vAlign w:val="center"/>
          </w:tcPr>
          <w:p w14:paraId="77B4DC95">
            <w:pPr>
              <w:pStyle w:val="59"/>
              <w:rPr>
                <w:rFonts w:hint="default"/>
                <w:color w:val="auto"/>
                <w:lang w:val="en-US" w:eastAsia="zh-CN"/>
              </w:rPr>
            </w:pPr>
            <w:r>
              <w:rPr>
                <w:rFonts w:hint="eastAsia"/>
                <w:color w:val="auto"/>
                <w:lang w:val="en-US" w:eastAsia="zh-CN"/>
              </w:rPr>
              <w:t>RTO装置助燃</w:t>
            </w:r>
          </w:p>
        </w:tc>
      </w:tr>
    </w:tbl>
    <w:p w14:paraId="278A5E73">
      <w:pPr>
        <w:pStyle w:val="67"/>
        <w:numPr>
          <w:ilvl w:val="1"/>
          <w:numId w:val="8"/>
        </w:numPr>
        <w:bidi w:val="0"/>
        <w:ind w:left="567" w:leftChars="0" w:hanging="567" w:firstLineChars="0"/>
        <w:rPr>
          <w:rFonts w:hint="eastAsia" w:ascii="Times New Roman" w:hAnsi="Times New Roman" w:eastAsia="宋体" w:cs="Times New Roman"/>
          <w:color w:val="auto"/>
        </w:rPr>
      </w:pPr>
      <w:bookmarkStart w:id="65" w:name="_Toc25899"/>
      <w:r>
        <w:rPr>
          <w:rFonts w:hint="eastAsia" w:ascii="Times New Roman" w:hAnsi="Times New Roman" w:eastAsia="宋体" w:cs="Times New Roman"/>
          <w:color w:val="auto"/>
        </w:rPr>
        <w:t>公用工程</w:t>
      </w:r>
      <w:bookmarkEnd w:id="65"/>
    </w:p>
    <w:p w14:paraId="34B47F4B">
      <w:pPr>
        <w:pStyle w:val="64"/>
        <w:numPr>
          <w:ilvl w:val="2"/>
          <w:numId w:val="8"/>
        </w:numPr>
        <w:bidi w:val="0"/>
        <w:ind w:left="709" w:leftChars="0" w:hanging="709" w:firstLineChars="0"/>
        <w:rPr>
          <w:color w:val="auto"/>
        </w:rPr>
      </w:pPr>
      <w:r>
        <w:rPr>
          <w:rFonts w:hint="eastAsia"/>
          <w:color w:val="auto"/>
        </w:rPr>
        <w:t>给水</w:t>
      </w:r>
    </w:p>
    <w:p w14:paraId="5AABB19C">
      <w:pPr>
        <w:numPr>
          <w:ilvl w:val="0"/>
          <w:numId w:val="0"/>
        </w:numPr>
        <w:ind w:leftChars="200"/>
        <w:rPr>
          <w:color w:val="auto"/>
        </w:rPr>
      </w:pPr>
      <w:r>
        <w:rPr>
          <w:rFonts w:hint="eastAsia"/>
          <w:color w:val="auto"/>
        </w:rPr>
        <w:t>项目用水由市政自来水网供给。</w:t>
      </w:r>
    </w:p>
    <w:p w14:paraId="74D2F14F">
      <w:pPr>
        <w:numPr>
          <w:ilvl w:val="0"/>
          <w:numId w:val="25"/>
        </w:numPr>
        <w:ind w:left="0" w:firstLine="480"/>
        <w:rPr>
          <w:color w:val="auto"/>
        </w:rPr>
      </w:pPr>
      <w:r>
        <w:rPr>
          <w:rFonts w:hint="eastAsia"/>
          <w:color w:val="auto"/>
        </w:rPr>
        <w:t>循环冷却补充水</w:t>
      </w:r>
    </w:p>
    <w:p w14:paraId="1B0342BC">
      <w:pPr>
        <w:ind w:firstLine="480"/>
        <w:rPr>
          <w:color w:val="auto"/>
        </w:rPr>
      </w:pPr>
      <w:r>
        <w:rPr>
          <w:rFonts w:hint="eastAsia"/>
          <w:color w:val="auto"/>
        </w:rPr>
        <w:t>建设项目共设</w:t>
      </w:r>
      <w:r>
        <w:rPr>
          <w:color w:val="auto"/>
        </w:rPr>
        <w:t>1</w:t>
      </w:r>
      <w:r>
        <w:rPr>
          <w:rFonts w:hint="eastAsia"/>
          <w:color w:val="auto"/>
        </w:rPr>
        <w:t>套循环冷却水装置用于</w:t>
      </w:r>
      <w:r>
        <w:rPr>
          <w:rFonts w:hint="eastAsia"/>
          <w:color w:val="auto"/>
          <w:lang w:val="en-US" w:eastAsia="zh-CN"/>
        </w:rPr>
        <w:t>间接</w:t>
      </w:r>
      <w:r>
        <w:rPr>
          <w:rFonts w:hint="eastAsia"/>
          <w:color w:val="auto"/>
        </w:rPr>
        <w:t>冷却</w:t>
      </w:r>
      <w:r>
        <w:rPr>
          <w:rFonts w:hint="eastAsia"/>
          <w:color w:val="auto"/>
          <w:lang w:val="en-US" w:eastAsia="zh-CN"/>
        </w:rPr>
        <w:t>印刷机</w:t>
      </w:r>
      <w:r>
        <w:rPr>
          <w:rFonts w:hint="eastAsia"/>
          <w:color w:val="auto"/>
        </w:rPr>
        <w:t>，配置冷却塔1台，处理能力</w:t>
      </w:r>
      <w:r>
        <w:rPr>
          <w:rFonts w:hint="eastAsia"/>
          <w:color w:val="auto"/>
          <w:lang w:val="en-US" w:eastAsia="zh-CN"/>
        </w:rPr>
        <w:t>2</w:t>
      </w:r>
      <w:r>
        <w:rPr>
          <w:rFonts w:hint="eastAsia"/>
          <w:color w:val="auto"/>
        </w:rPr>
        <w:t>5</w:t>
      </w:r>
      <w:r>
        <w:rPr>
          <w:color w:val="auto"/>
        </w:rPr>
        <w:t>m</w:t>
      </w:r>
      <w:r>
        <w:rPr>
          <w:color w:val="auto"/>
          <w:vertAlign w:val="superscript"/>
        </w:rPr>
        <w:t>3</w:t>
      </w:r>
      <w:r>
        <w:rPr>
          <w:color w:val="auto"/>
        </w:rPr>
        <w:t>/h</w:t>
      </w:r>
      <w:r>
        <w:rPr>
          <w:rFonts w:hint="eastAsia"/>
          <w:color w:val="auto"/>
        </w:rPr>
        <w:t>，设计循环冷却水给水温度25℃，回水温度30℃。蒸发损失量计算公式：P=K*△t*G</w:t>
      </w:r>
    </w:p>
    <w:p w14:paraId="3827580E">
      <w:pPr>
        <w:ind w:firstLine="480"/>
        <w:rPr>
          <w:color w:val="auto"/>
        </w:rPr>
      </w:pPr>
      <w:r>
        <w:rPr>
          <w:rFonts w:hint="eastAsia"/>
          <w:color w:val="auto"/>
        </w:rPr>
        <w:t>K：蒸发系数。20℃下，K=0.0014；</w:t>
      </w:r>
    </w:p>
    <w:p w14:paraId="1D4C72FA">
      <w:pPr>
        <w:ind w:firstLine="480"/>
        <w:rPr>
          <w:color w:val="auto"/>
        </w:rPr>
      </w:pPr>
      <w:r>
        <w:rPr>
          <w:rFonts w:hint="eastAsia"/>
          <w:color w:val="auto"/>
        </w:rPr>
        <w:t>△t：进出水温差；</w:t>
      </w:r>
    </w:p>
    <w:p w14:paraId="3FE49032">
      <w:pPr>
        <w:ind w:firstLine="480"/>
        <w:rPr>
          <w:color w:val="auto"/>
        </w:rPr>
      </w:pPr>
      <w:r>
        <w:rPr>
          <w:rFonts w:hint="eastAsia"/>
          <w:color w:val="auto"/>
        </w:rPr>
        <w:t>G：系统循环量。</w:t>
      </w:r>
    </w:p>
    <w:p w14:paraId="6EAA53EC">
      <w:pPr>
        <w:ind w:firstLine="480"/>
        <w:rPr>
          <w:color w:val="auto"/>
        </w:rPr>
      </w:pPr>
      <w:r>
        <w:rPr>
          <w:rFonts w:hint="eastAsia"/>
          <w:color w:val="auto"/>
        </w:rPr>
        <w:t>P=0.0014×5°C×</w:t>
      </w:r>
      <w:r>
        <w:rPr>
          <w:rFonts w:hint="eastAsia"/>
          <w:color w:val="auto"/>
          <w:lang w:val="en-US" w:eastAsia="zh-CN"/>
        </w:rPr>
        <w:t>2</w:t>
      </w:r>
      <w:r>
        <w:rPr>
          <w:rFonts w:hint="eastAsia"/>
          <w:color w:val="auto"/>
        </w:rPr>
        <w:t>5</w:t>
      </w:r>
      <w:r>
        <w:rPr>
          <w:color w:val="auto"/>
        </w:rPr>
        <w:t>m</w:t>
      </w:r>
      <w:r>
        <w:rPr>
          <w:color w:val="auto"/>
          <w:vertAlign w:val="superscript"/>
        </w:rPr>
        <w:t>3</w:t>
      </w:r>
      <w:r>
        <w:rPr>
          <w:color w:val="auto"/>
        </w:rPr>
        <w:t>/h</w:t>
      </w:r>
      <w:r>
        <w:rPr>
          <w:rFonts w:hint="eastAsia"/>
          <w:color w:val="auto"/>
        </w:rPr>
        <w:t>=0.</w:t>
      </w:r>
      <w:r>
        <w:rPr>
          <w:rFonts w:hint="eastAsia"/>
          <w:color w:val="auto"/>
          <w:lang w:val="en-US" w:eastAsia="zh-CN"/>
        </w:rPr>
        <w:t>17</w:t>
      </w:r>
      <w:r>
        <w:rPr>
          <w:rFonts w:hint="eastAsia"/>
          <w:color w:val="auto"/>
        </w:rPr>
        <w:t>5</w:t>
      </w:r>
      <w:r>
        <w:rPr>
          <w:color w:val="auto"/>
        </w:rPr>
        <w:t>m</w:t>
      </w:r>
      <w:r>
        <w:rPr>
          <w:color w:val="auto"/>
          <w:vertAlign w:val="superscript"/>
        </w:rPr>
        <w:t>3</w:t>
      </w:r>
      <w:r>
        <w:rPr>
          <w:color w:val="auto"/>
        </w:rPr>
        <w:t>/h</w:t>
      </w:r>
      <w:r>
        <w:rPr>
          <w:rFonts w:hint="eastAsia"/>
          <w:color w:val="auto"/>
        </w:rPr>
        <w:t>，</w:t>
      </w:r>
      <w:r>
        <w:rPr>
          <w:rFonts w:hint="eastAsia"/>
          <w:color w:val="auto"/>
          <w:lang w:val="en-US" w:eastAsia="zh-CN"/>
        </w:rPr>
        <w:t>印刷</w:t>
      </w:r>
      <w:r>
        <w:rPr>
          <w:rFonts w:hint="eastAsia"/>
          <w:color w:val="auto"/>
        </w:rPr>
        <w:t>工序年生产</w:t>
      </w:r>
      <w:r>
        <w:rPr>
          <w:rFonts w:hint="eastAsia"/>
          <w:color w:val="auto"/>
          <w:lang w:val="en-US" w:eastAsia="zh-CN"/>
        </w:rPr>
        <w:t>1896</w:t>
      </w:r>
      <w:r>
        <w:rPr>
          <w:rFonts w:hint="eastAsia"/>
          <w:color w:val="auto"/>
        </w:rPr>
        <w:t>h/a，则年补充冷却水</w:t>
      </w:r>
      <w:r>
        <w:rPr>
          <w:rFonts w:hint="eastAsia"/>
          <w:color w:val="auto"/>
          <w:lang w:val="en-US" w:eastAsia="zh-CN"/>
        </w:rPr>
        <w:t>331.9</w:t>
      </w:r>
      <w:r>
        <w:rPr>
          <w:color w:val="auto"/>
        </w:rPr>
        <w:t>m</w:t>
      </w:r>
      <w:r>
        <w:rPr>
          <w:color w:val="auto"/>
          <w:vertAlign w:val="superscript"/>
        </w:rPr>
        <w:t>3</w:t>
      </w:r>
      <w:r>
        <w:rPr>
          <w:color w:val="auto"/>
        </w:rPr>
        <w:t>/</w:t>
      </w:r>
      <w:r>
        <w:rPr>
          <w:rFonts w:hint="eastAsia"/>
          <w:color w:val="auto"/>
        </w:rPr>
        <w:t>a。</w:t>
      </w:r>
    </w:p>
    <w:p w14:paraId="517CA120">
      <w:pPr>
        <w:numPr>
          <w:ilvl w:val="0"/>
          <w:numId w:val="25"/>
        </w:numPr>
        <w:ind w:left="0" w:firstLine="480"/>
        <w:rPr>
          <w:color w:val="auto"/>
        </w:rPr>
      </w:pPr>
      <w:r>
        <w:rPr>
          <w:rFonts w:hint="eastAsia"/>
          <w:color w:val="auto"/>
        </w:rPr>
        <w:t>生活用水</w:t>
      </w:r>
    </w:p>
    <w:p w14:paraId="06D186A7">
      <w:pPr>
        <w:ind w:firstLine="480"/>
        <w:rPr>
          <w:rFonts w:hint="eastAsia" w:ascii="Times New Roman" w:hAnsi="Times New Roman" w:eastAsia="宋体"/>
          <w:color w:val="auto"/>
          <w:lang w:val="en-US" w:eastAsia="zh-CN"/>
        </w:rPr>
      </w:pPr>
      <w:r>
        <w:rPr>
          <w:rFonts w:hint="eastAsia"/>
          <w:color w:val="auto"/>
          <w:lang w:val="en-US" w:eastAsia="zh-CN"/>
        </w:rPr>
        <w:t>本项目劳动</w:t>
      </w:r>
      <w:r>
        <w:rPr>
          <w:rFonts w:hint="eastAsia"/>
          <w:color w:val="auto"/>
        </w:rPr>
        <w:t>定员</w:t>
      </w:r>
      <w:r>
        <w:rPr>
          <w:rFonts w:hint="eastAsia"/>
          <w:color w:val="auto"/>
          <w:lang w:val="en-US" w:eastAsia="zh-CN"/>
        </w:rPr>
        <w:t>3</w:t>
      </w:r>
      <w:r>
        <w:rPr>
          <w:rFonts w:hint="eastAsia"/>
          <w:color w:val="auto"/>
        </w:rPr>
        <w:t>0人，</w:t>
      </w:r>
      <w:r>
        <w:rPr>
          <w:rFonts w:ascii="Times New Roman" w:hAnsi="Times New Roman"/>
          <w:color w:val="auto"/>
        </w:rPr>
        <w:t>根</w:t>
      </w:r>
      <w:r>
        <w:rPr>
          <w:rFonts w:hint="eastAsia" w:ascii="Times New Roman" w:hAnsi="Times New Roman"/>
          <w:color w:val="auto"/>
        </w:rPr>
        <w:t>据《用水定额 第3部分：生活》（DB44/T 1461.3-2021）规定，</w:t>
      </w:r>
      <w:r>
        <w:rPr>
          <w:rFonts w:hint="eastAsia"/>
          <w:color w:val="auto"/>
          <w:lang w:val="en-US" w:eastAsia="zh-CN"/>
        </w:rPr>
        <w:t>无</w:t>
      </w:r>
      <w:r>
        <w:rPr>
          <w:rFonts w:hint="eastAsia" w:ascii="Times New Roman" w:hAnsi="Times New Roman"/>
          <w:color w:val="auto"/>
        </w:rPr>
        <w:t>食堂和浴室的办公楼用水定额按</w:t>
      </w:r>
      <w:r>
        <w:rPr>
          <w:rFonts w:hint="eastAsia" w:ascii="Times New Roman" w:hAnsi="Times New Roman"/>
          <w:color w:val="auto"/>
          <w:lang w:val="en-US" w:eastAsia="zh-CN"/>
        </w:rPr>
        <w:t>先进值1</w:t>
      </w:r>
      <w:r>
        <w:rPr>
          <w:rFonts w:hint="eastAsia"/>
          <w:color w:val="auto"/>
          <w:lang w:val="en-US" w:eastAsia="zh-CN"/>
        </w:rPr>
        <w:t>0</w:t>
      </w:r>
      <w:r>
        <w:rPr>
          <w:rFonts w:hint="eastAsia" w:ascii="Times New Roman" w:hAnsi="Times New Roman"/>
          <w:color w:val="auto"/>
        </w:rPr>
        <w:t>m³/</w:t>
      </w:r>
      <w:r>
        <w:rPr>
          <w:rFonts w:ascii="Times New Roman" w:hAnsi="Times New Roman"/>
          <w:color w:val="auto"/>
        </w:rPr>
        <w:t>人·</w:t>
      </w:r>
      <w:r>
        <w:rPr>
          <w:rFonts w:hint="eastAsia" w:ascii="Times New Roman" w:hAnsi="Times New Roman"/>
          <w:color w:val="auto"/>
        </w:rPr>
        <w:t>a计，</w:t>
      </w:r>
      <w:r>
        <w:rPr>
          <w:rFonts w:hint="eastAsia"/>
          <w:color w:val="auto"/>
          <w:lang w:val="en-US" w:eastAsia="zh-CN"/>
        </w:rPr>
        <w:t>则生活用水量为1.0m³/d、300m³</w:t>
      </w:r>
      <w:r>
        <w:rPr>
          <w:rFonts w:hint="eastAsia"/>
          <w:color w:val="auto"/>
        </w:rPr>
        <w:t>/a</w:t>
      </w:r>
      <w:r>
        <w:rPr>
          <w:rFonts w:hint="eastAsia"/>
          <w:color w:val="auto"/>
          <w:lang w:eastAsia="zh-CN"/>
        </w:rPr>
        <w:t>。</w:t>
      </w:r>
    </w:p>
    <w:p w14:paraId="31021BF5">
      <w:pPr>
        <w:ind w:firstLine="480"/>
        <w:rPr>
          <w:color w:val="auto"/>
        </w:rPr>
      </w:pPr>
      <w:r>
        <w:rPr>
          <w:rFonts w:hint="eastAsia"/>
          <w:color w:val="auto"/>
        </w:rPr>
        <w:t>综上，建设项目用水量见下表：</w:t>
      </w:r>
    </w:p>
    <w:p w14:paraId="0C9C65DB">
      <w:pPr>
        <w:pStyle w:val="62"/>
        <w:rPr>
          <w:color w:val="auto"/>
        </w:rPr>
      </w:pPr>
      <w:r>
        <w:rPr>
          <w:rFonts w:hint="eastAsia"/>
          <w:color w:val="auto"/>
          <w:lang w:eastAsia="zh-CN"/>
        </w:rPr>
        <w:t>表</w:t>
      </w:r>
      <w:r>
        <w:rPr>
          <w:rFonts w:hint="eastAsia"/>
          <w:color w:val="auto"/>
          <w:lang w:val="en-US" w:eastAsia="zh-CN"/>
        </w:rPr>
        <w:t>2</w:t>
      </w:r>
      <w:r>
        <w:rPr>
          <w:rFonts w:hint="eastAsia"/>
          <w:color w:val="auto"/>
        </w:rPr>
        <w:t xml:space="preserve">.6-2  </w:t>
      </w:r>
      <w:r>
        <w:rPr>
          <w:rFonts w:hint="eastAsia"/>
          <w:color w:val="auto"/>
          <w:lang w:val="en-US" w:eastAsia="zh-CN"/>
        </w:rPr>
        <w:t>本项目</w:t>
      </w:r>
      <w:r>
        <w:rPr>
          <w:rFonts w:hint="eastAsia"/>
          <w:color w:val="auto"/>
        </w:rPr>
        <w:t>用水量一览表</w:t>
      </w:r>
    </w:p>
    <w:tbl>
      <w:tblPr>
        <w:tblStyle w:val="38"/>
        <w:tblW w:w="4998" w:type="pct"/>
        <w:tblInd w:w="0" w:type="dxa"/>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36"/>
        <w:gridCol w:w="1695"/>
        <w:gridCol w:w="1369"/>
        <w:gridCol w:w="1416"/>
        <w:gridCol w:w="1289"/>
        <w:gridCol w:w="1893"/>
      </w:tblGrid>
      <w:tr w14:paraId="1E77127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789" w:type="pct"/>
            <w:tcBorders>
              <w:left w:val="nil"/>
            </w:tcBorders>
            <w:noWrap/>
            <w:tcMar>
              <w:top w:w="15" w:type="dxa"/>
              <w:left w:w="15" w:type="dxa"/>
              <w:right w:w="15" w:type="dxa"/>
            </w:tcMar>
            <w:vAlign w:val="center"/>
          </w:tcPr>
          <w:p w14:paraId="6117E479">
            <w:pPr>
              <w:pStyle w:val="59"/>
              <w:rPr>
                <w:color w:val="auto"/>
              </w:rPr>
            </w:pPr>
            <w:r>
              <w:rPr>
                <w:rFonts w:hint="eastAsia"/>
                <w:color w:val="auto"/>
              </w:rPr>
              <w:t>来源</w:t>
            </w:r>
          </w:p>
        </w:tc>
        <w:tc>
          <w:tcPr>
            <w:tcW w:w="931" w:type="pct"/>
            <w:tcBorders>
              <w:left w:val="nil"/>
            </w:tcBorders>
            <w:noWrap/>
            <w:tcMar>
              <w:top w:w="15" w:type="dxa"/>
              <w:left w:w="15" w:type="dxa"/>
              <w:right w:w="15" w:type="dxa"/>
            </w:tcMar>
            <w:vAlign w:val="center"/>
          </w:tcPr>
          <w:p w14:paraId="646A003D">
            <w:pPr>
              <w:pStyle w:val="59"/>
              <w:rPr>
                <w:color w:val="auto"/>
              </w:rPr>
            </w:pPr>
            <w:r>
              <w:rPr>
                <w:rFonts w:hint="eastAsia"/>
                <w:color w:val="auto"/>
              </w:rPr>
              <w:t>用途</w:t>
            </w:r>
          </w:p>
        </w:tc>
        <w:tc>
          <w:tcPr>
            <w:tcW w:w="752" w:type="pct"/>
            <w:noWrap/>
            <w:tcMar>
              <w:top w:w="15" w:type="dxa"/>
              <w:left w:w="15" w:type="dxa"/>
              <w:right w:w="15" w:type="dxa"/>
            </w:tcMar>
            <w:vAlign w:val="center"/>
          </w:tcPr>
          <w:p w14:paraId="796F5D74">
            <w:pPr>
              <w:pStyle w:val="59"/>
              <w:rPr>
                <w:color w:val="auto"/>
              </w:rPr>
            </w:pPr>
            <w:r>
              <w:rPr>
                <w:rFonts w:hint="eastAsia"/>
                <w:color w:val="auto"/>
              </w:rPr>
              <w:t>用水量</w:t>
            </w:r>
            <w:r>
              <w:rPr>
                <w:rFonts w:hint="eastAsia"/>
                <w:color w:val="auto"/>
                <w:lang w:val="en-US" w:eastAsia="zh-CN"/>
              </w:rPr>
              <w:t>m³</w:t>
            </w:r>
            <w:r>
              <w:rPr>
                <w:rFonts w:hint="eastAsia"/>
                <w:color w:val="auto"/>
              </w:rPr>
              <w:t>/a</w:t>
            </w:r>
          </w:p>
        </w:tc>
        <w:tc>
          <w:tcPr>
            <w:tcW w:w="778" w:type="pct"/>
            <w:noWrap/>
            <w:tcMar>
              <w:top w:w="15" w:type="dxa"/>
              <w:left w:w="15" w:type="dxa"/>
              <w:right w:w="15" w:type="dxa"/>
            </w:tcMar>
            <w:vAlign w:val="center"/>
          </w:tcPr>
          <w:p w14:paraId="6730018F">
            <w:pPr>
              <w:pStyle w:val="59"/>
              <w:rPr>
                <w:color w:val="auto"/>
              </w:rPr>
            </w:pPr>
            <w:r>
              <w:rPr>
                <w:rFonts w:hint="eastAsia"/>
                <w:color w:val="auto"/>
              </w:rPr>
              <w:t>废水排放系数</w:t>
            </w:r>
          </w:p>
        </w:tc>
        <w:tc>
          <w:tcPr>
            <w:tcW w:w="708" w:type="pct"/>
            <w:noWrap/>
            <w:tcMar>
              <w:top w:w="15" w:type="dxa"/>
              <w:left w:w="15" w:type="dxa"/>
              <w:right w:w="15" w:type="dxa"/>
            </w:tcMar>
            <w:vAlign w:val="center"/>
          </w:tcPr>
          <w:p w14:paraId="6C5C0B6B">
            <w:pPr>
              <w:pStyle w:val="59"/>
              <w:rPr>
                <w:color w:val="auto"/>
              </w:rPr>
            </w:pPr>
            <w:r>
              <w:rPr>
                <w:rFonts w:hint="eastAsia"/>
                <w:color w:val="auto"/>
              </w:rPr>
              <w:t>废水量</w:t>
            </w:r>
            <w:r>
              <w:rPr>
                <w:rFonts w:hint="eastAsia"/>
                <w:color w:val="auto"/>
                <w:lang w:val="en-US" w:eastAsia="zh-CN"/>
              </w:rPr>
              <w:t>m³</w:t>
            </w:r>
            <w:r>
              <w:rPr>
                <w:rFonts w:hint="eastAsia"/>
                <w:color w:val="auto"/>
              </w:rPr>
              <w:t>/a</w:t>
            </w:r>
          </w:p>
        </w:tc>
        <w:tc>
          <w:tcPr>
            <w:tcW w:w="1039" w:type="pct"/>
            <w:tcBorders>
              <w:right w:val="nil"/>
            </w:tcBorders>
            <w:tcMar>
              <w:top w:w="15" w:type="dxa"/>
              <w:left w:w="15" w:type="dxa"/>
              <w:right w:w="15" w:type="dxa"/>
            </w:tcMar>
            <w:vAlign w:val="center"/>
          </w:tcPr>
          <w:p w14:paraId="580099A0">
            <w:pPr>
              <w:pStyle w:val="59"/>
              <w:rPr>
                <w:color w:val="auto"/>
              </w:rPr>
            </w:pPr>
            <w:r>
              <w:rPr>
                <w:rFonts w:hint="eastAsia"/>
                <w:color w:val="auto"/>
              </w:rPr>
              <w:t>排放去向</w:t>
            </w:r>
          </w:p>
        </w:tc>
      </w:tr>
      <w:tr w14:paraId="64FD2343">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789" w:type="pct"/>
            <w:tcBorders>
              <w:left w:val="nil"/>
            </w:tcBorders>
            <w:noWrap/>
            <w:tcMar>
              <w:top w:w="15" w:type="dxa"/>
              <w:left w:w="15" w:type="dxa"/>
              <w:right w:w="15" w:type="dxa"/>
            </w:tcMar>
            <w:vAlign w:val="center"/>
          </w:tcPr>
          <w:p w14:paraId="75626A70">
            <w:pPr>
              <w:pStyle w:val="59"/>
              <w:bidi w:val="0"/>
              <w:rPr>
                <w:color w:val="auto"/>
              </w:rPr>
            </w:pPr>
            <w:r>
              <w:rPr>
                <w:rFonts w:hint="eastAsia"/>
                <w:color w:val="auto"/>
                <w:lang w:val="en-US" w:eastAsia="zh-CN"/>
              </w:rPr>
              <w:t>自来水</w:t>
            </w:r>
          </w:p>
        </w:tc>
        <w:tc>
          <w:tcPr>
            <w:tcW w:w="931" w:type="pct"/>
            <w:tcBorders>
              <w:left w:val="nil"/>
            </w:tcBorders>
            <w:noWrap/>
            <w:tcMar>
              <w:top w:w="15" w:type="dxa"/>
              <w:left w:w="15" w:type="dxa"/>
              <w:right w:w="15" w:type="dxa"/>
            </w:tcMar>
            <w:vAlign w:val="center"/>
          </w:tcPr>
          <w:p w14:paraId="3B6EA6B3">
            <w:pPr>
              <w:pStyle w:val="59"/>
              <w:bidi w:val="0"/>
              <w:rPr>
                <w:color w:val="auto"/>
              </w:rPr>
            </w:pPr>
            <w:r>
              <w:rPr>
                <w:rFonts w:hint="eastAsia"/>
                <w:color w:val="auto"/>
                <w:lang w:val="en-US" w:eastAsia="zh-CN"/>
              </w:rPr>
              <w:t>生活用水</w:t>
            </w:r>
          </w:p>
        </w:tc>
        <w:tc>
          <w:tcPr>
            <w:tcW w:w="752" w:type="pct"/>
            <w:noWrap/>
            <w:tcMar>
              <w:top w:w="15" w:type="dxa"/>
              <w:left w:w="15" w:type="dxa"/>
              <w:right w:w="15" w:type="dxa"/>
            </w:tcMar>
            <w:vAlign w:val="center"/>
          </w:tcPr>
          <w:p w14:paraId="31BDDE80">
            <w:pPr>
              <w:pStyle w:val="59"/>
              <w:bidi w:val="0"/>
              <w:rPr>
                <w:color w:val="auto"/>
              </w:rPr>
            </w:pPr>
            <w:r>
              <w:rPr>
                <w:rFonts w:hint="eastAsia"/>
                <w:color w:val="auto"/>
                <w:lang w:val="en-US" w:eastAsia="zh-CN"/>
              </w:rPr>
              <w:t>300</w:t>
            </w:r>
          </w:p>
        </w:tc>
        <w:tc>
          <w:tcPr>
            <w:tcW w:w="778" w:type="pct"/>
            <w:noWrap/>
            <w:tcMar>
              <w:top w:w="15" w:type="dxa"/>
              <w:left w:w="15" w:type="dxa"/>
              <w:right w:w="15" w:type="dxa"/>
            </w:tcMar>
            <w:vAlign w:val="center"/>
          </w:tcPr>
          <w:p w14:paraId="62F499F5">
            <w:pPr>
              <w:pStyle w:val="59"/>
              <w:bidi w:val="0"/>
              <w:rPr>
                <w:color w:val="auto"/>
              </w:rPr>
            </w:pPr>
            <w:r>
              <w:rPr>
                <w:rFonts w:hint="eastAsia"/>
                <w:color w:val="auto"/>
                <w:lang w:val="en-US" w:eastAsia="zh-CN"/>
              </w:rPr>
              <w:t>90%</w:t>
            </w:r>
          </w:p>
        </w:tc>
        <w:tc>
          <w:tcPr>
            <w:tcW w:w="708" w:type="pct"/>
            <w:noWrap/>
            <w:tcMar>
              <w:top w:w="15" w:type="dxa"/>
              <w:left w:w="15" w:type="dxa"/>
              <w:right w:w="15" w:type="dxa"/>
            </w:tcMar>
            <w:vAlign w:val="center"/>
          </w:tcPr>
          <w:p w14:paraId="397B5A72">
            <w:pPr>
              <w:pStyle w:val="59"/>
              <w:bidi w:val="0"/>
              <w:rPr>
                <w:color w:val="auto"/>
              </w:rPr>
            </w:pPr>
            <w:r>
              <w:rPr>
                <w:rFonts w:hint="eastAsia"/>
                <w:color w:val="auto"/>
                <w:lang w:val="en-US" w:eastAsia="zh-CN"/>
              </w:rPr>
              <w:t>270</w:t>
            </w:r>
          </w:p>
        </w:tc>
        <w:tc>
          <w:tcPr>
            <w:tcW w:w="1039" w:type="pct"/>
            <w:tcBorders>
              <w:right w:val="nil"/>
            </w:tcBorders>
            <w:tcMar>
              <w:top w:w="15" w:type="dxa"/>
              <w:left w:w="15" w:type="dxa"/>
              <w:right w:w="15" w:type="dxa"/>
            </w:tcMar>
            <w:vAlign w:val="center"/>
          </w:tcPr>
          <w:p w14:paraId="464D1495">
            <w:pPr>
              <w:pStyle w:val="59"/>
              <w:bidi w:val="0"/>
              <w:rPr>
                <w:color w:val="auto"/>
              </w:rPr>
            </w:pPr>
            <w:r>
              <w:rPr>
                <w:rFonts w:hint="eastAsia"/>
                <w:color w:val="auto"/>
                <w:lang w:val="en-US" w:eastAsia="zh-CN"/>
              </w:rPr>
              <w:t>三级化粪池、市政污水管道</w:t>
            </w:r>
          </w:p>
        </w:tc>
      </w:tr>
      <w:tr w14:paraId="6A14CBE8">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789" w:type="pct"/>
            <w:tcBorders>
              <w:left w:val="nil"/>
            </w:tcBorders>
            <w:noWrap/>
            <w:tcMar>
              <w:top w:w="15" w:type="dxa"/>
              <w:left w:w="15" w:type="dxa"/>
              <w:right w:w="15" w:type="dxa"/>
            </w:tcMar>
            <w:vAlign w:val="center"/>
          </w:tcPr>
          <w:p w14:paraId="6F167C65">
            <w:pPr>
              <w:pStyle w:val="59"/>
              <w:bidi w:val="0"/>
              <w:rPr>
                <w:color w:val="auto"/>
              </w:rPr>
            </w:pPr>
            <w:r>
              <w:rPr>
                <w:rFonts w:hint="eastAsia"/>
                <w:color w:val="auto"/>
                <w:lang w:val="en-US" w:eastAsia="zh-CN"/>
              </w:rPr>
              <w:t>自来水</w:t>
            </w:r>
          </w:p>
        </w:tc>
        <w:tc>
          <w:tcPr>
            <w:tcW w:w="931" w:type="pct"/>
            <w:tcBorders>
              <w:left w:val="nil"/>
            </w:tcBorders>
            <w:noWrap/>
            <w:tcMar>
              <w:top w:w="15" w:type="dxa"/>
              <w:left w:w="15" w:type="dxa"/>
              <w:right w:w="15" w:type="dxa"/>
            </w:tcMar>
            <w:vAlign w:val="center"/>
          </w:tcPr>
          <w:p w14:paraId="6EA33129">
            <w:pPr>
              <w:pStyle w:val="59"/>
              <w:bidi w:val="0"/>
              <w:rPr>
                <w:color w:val="auto"/>
              </w:rPr>
            </w:pPr>
            <w:r>
              <w:rPr>
                <w:rFonts w:hint="eastAsia"/>
                <w:color w:val="auto"/>
                <w:lang w:val="en-US" w:eastAsia="zh-CN"/>
              </w:rPr>
              <w:t>循环冷却补充水</w:t>
            </w:r>
          </w:p>
        </w:tc>
        <w:tc>
          <w:tcPr>
            <w:tcW w:w="752" w:type="pct"/>
            <w:noWrap/>
            <w:tcMar>
              <w:top w:w="15" w:type="dxa"/>
              <w:left w:w="15" w:type="dxa"/>
              <w:right w:w="15" w:type="dxa"/>
            </w:tcMar>
            <w:vAlign w:val="center"/>
          </w:tcPr>
          <w:p w14:paraId="41E08087">
            <w:pPr>
              <w:pStyle w:val="59"/>
              <w:bidi w:val="0"/>
              <w:rPr>
                <w:rFonts w:hint="default"/>
                <w:color w:val="auto"/>
                <w:lang w:val="en-US"/>
              </w:rPr>
            </w:pPr>
            <w:r>
              <w:rPr>
                <w:rFonts w:hint="eastAsia"/>
                <w:color w:val="auto"/>
                <w:lang w:val="en-US" w:eastAsia="zh-CN"/>
              </w:rPr>
              <w:t>331.9</w:t>
            </w:r>
          </w:p>
        </w:tc>
        <w:tc>
          <w:tcPr>
            <w:tcW w:w="778" w:type="pct"/>
            <w:noWrap/>
            <w:tcMar>
              <w:top w:w="15" w:type="dxa"/>
              <w:left w:w="15" w:type="dxa"/>
              <w:right w:w="15" w:type="dxa"/>
            </w:tcMar>
            <w:vAlign w:val="center"/>
          </w:tcPr>
          <w:p w14:paraId="21849288">
            <w:pPr>
              <w:pStyle w:val="59"/>
              <w:bidi w:val="0"/>
              <w:rPr>
                <w:color w:val="auto"/>
              </w:rPr>
            </w:pPr>
            <w:r>
              <w:rPr>
                <w:rFonts w:hint="eastAsia"/>
                <w:color w:val="auto"/>
                <w:lang w:val="en-US" w:eastAsia="zh-CN"/>
              </w:rPr>
              <w:t>0</w:t>
            </w:r>
          </w:p>
        </w:tc>
        <w:tc>
          <w:tcPr>
            <w:tcW w:w="708" w:type="pct"/>
            <w:noWrap/>
            <w:tcMar>
              <w:top w:w="15" w:type="dxa"/>
              <w:left w:w="15" w:type="dxa"/>
              <w:right w:w="15" w:type="dxa"/>
            </w:tcMar>
            <w:vAlign w:val="center"/>
          </w:tcPr>
          <w:p w14:paraId="68DBB1EE">
            <w:pPr>
              <w:pStyle w:val="59"/>
              <w:bidi w:val="0"/>
              <w:rPr>
                <w:color w:val="auto"/>
              </w:rPr>
            </w:pPr>
            <w:r>
              <w:rPr>
                <w:rFonts w:hint="eastAsia"/>
                <w:color w:val="auto"/>
                <w:lang w:val="en-US" w:eastAsia="zh-CN"/>
              </w:rPr>
              <w:t>0</w:t>
            </w:r>
          </w:p>
        </w:tc>
        <w:tc>
          <w:tcPr>
            <w:tcW w:w="1039" w:type="pct"/>
            <w:tcBorders>
              <w:right w:val="nil"/>
            </w:tcBorders>
            <w:tcMar>
              <w:top w:w="15" w:type="dxa"/>
              <w:left w:w="15" w:type="dxa"/>
              <w:right w:w="15" w:type="dxa"/>
            </w:tcMar>
            <w:vAlign w:val="center"/>
          </w:tcPr>
          <w:p w14:paraId="3360B5C3">
            <w:pPr>
              <w:pStyle w:val="59"/>
              <w:bidi w:val="0"/>
              <w:rPr>
                <w:color w:val="auto"/>
              </w:rPr>
            </w:pPr>
            <w:r>
              <w:rPr>
                <w:rFonts w:hint="eastAsia"/>
                <w:color w:val="auto"/>
                <w:lang w:val="en-US" w:eastAsia="zh-CN"/>
              </w:rPr>
              <w:t>——</w:t>
            </w:r>
          </w:p>
        </w:tc>
      </w:tr>
      <w:tr w14:paraId="35A2198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789" w:type="pct"/>
            <w:tcBorders>
              <w:left w:val="nil"/>
            </w:tcBorders>
            <w:noWrap/>
            <w:tcMar>
              <w:top w:w="15" w:type="dxa"/>
              <w:left w:w="15" w:type="dxa"/>
              <w:right w:w="15" w:type="dxa"/>
            </w:tcMar>
            <w:vAlign w:val="center"/>
          </w:tcPr>
          <w:p w14:paraId="44F139CF">
            <w:pPr>
              <w:pStyle w:val="59"/>
              <w:bidi w:val="0"/>
              <w:rPr>
                <w:rFonts w:hint="eastAsia"/>
                <w:color w:val="auto"/>
                <w:lang w:val="en-US" w:eastAsia="zh-CN"/>
              </w:rPr>
            </w:pPr>
            <w:r>
              <w:rPr>
                <w:rFonts w:hint="eastAsia"/>
                <w:color w:val="auto"/>
                <w:lang w:val="en-US" w:eastAsia="zh-CN"/>
              </w:rPr>
              <w:t>自来水</w:t>
            </w:r>
          </w:p>
        </w:tc>
        <w:tc>
          <w:tcPr>
            <w:tcW w:w="931" w:type="pct"/>
            <w:tcBorders>
              <w:left w:val="nil"/>
            </w:tcBorders>
            <w:noWrap/>
            <w:tcMar>
              <w:top w:w="15" w:type="dxa"/>
              <w:left w:w="15" w:type="dxa"/>
              <w:right w:w="15" w:type="dxa"/>
            </w:tcMar>
            <w:vAlign w:val="center"/>
          </w:tcPr>
          <w:p w14:paraId="00E1AF3F">
            <w:pPr>
              <w:pStyle w:val="59"/>
              <w:bidi w:val="0"/>
              <w:rPr>
                <w:rFonts w:hint="eastAsia"/>
                <w:color w:val="auto"/>
                <w:lang w:val="en-US" w:eastAsia="zh-CN"/>
              </w:rPr>
            </w:pPr>
            <w:r>
              <w:rPr>
                <w:rFonts w:hint="eastAsia"/>
                <w:color w:val="auto"/>
                <w:lang w:val="en-US" w:eastAsia="zh-CN"/>
              </w:rPr>
              <w:t>合计</w:t>
            </w:r>
          </w:p>
        </w:tc>
        <w:tc>
          <w:tcPr>
            <w:tcW w:w="752" w:type="pct"/>
            <w:noWrap/>
            <w:tcMar>
              <w:top w:w="15" w:type="dxa"/>
              <w:left w:w="15" w:type="dxa"/>
              <w:right w:w="15" w:type="dxa"/>
            </w:tcMar>
            <w:vAlign w:val="center"/>
          </w:tcPr>
          <w:p w14:paraId="002AF911">
            <w:pPr>
              <w:pStyle w:val="59"/>
              <w:bidi w:val="0"/>
              <w:rPr>
                <w:rFonts w:hint="default"/>
                <w:color w:val="auto"/>
                <w:lang w:val="en-US" w:eastAsia="zh-CN"/>
              </w:rPr>
            </w:pPr>
            <w:r>
              <w:rPr>
                <w:rFonts w:hint="eastAsia"/>
                <w:color w:val="auto"/>
                <w:lang w:val="en-US" w:eastAsia="zh-CN"/>
              </w:rPr>
              <w:t>631.9</w:t>
            </w:r>
          </w:p>
        </w:tc>
        <w:tc>
          <w:tcPr>
            <w:tcW w:w="778" w:type="pct"/>
            <w:noWrap/>
            <w:tcMar>
              <w:top w:w="15" w:type="dxa"/>
              <w:left w:w="15" w:type="dxa"/>
              <w:right w:w="15" w:type="dxa"/>
            </w:tcMar>
            <w:vAlign w:val="center"/>
          </w:tcPr>
          <w:p w14:paraId="3B6AC2D2">
            <w:pPr>
              <w:pStyle w:val="59"/>
              <w:bidi w:val="0"/>
              <w:rPr>
                <w:rFonts w:hint="eastAsia"/>
                <w:color w:val="auto"/>
                <w:lang w:val="en-US" w:eastAsia="zh-CN"/>
              </w:rPr>
            </w:pPr>
            <w:r>
              <w:rPr>
                <w:rFonts w:hint="eastAsia"/>
                <w:color w:val="auto"/>
                <w:lang w:val="en-US" w:eastAsia="zh-CN"/>
              </w:rPr>
              <w:t>/</w:t>
            </w:r>
          </w:p>
        </w:tc>
        <w:tc>
          <w:tcPr>
            <w:tcW w:w="708" w:type="pct"/>
            <w:noWrap/>
            <w:tcMar>
              <w:top w:w="15" w:type="dxa"/>
              <w:left w:w="15" w:type="dxa"/>
              <w:right w:w="15" w:type="dxa"/>
            </w:tcMar>
            <w:vAlign w:val="center"/>
          </w:tcPr>
          <w:p w14:paraId="7C6D1A3E">
            <w:pPr>
              <w:pStyle w:val="59"/>
              <w:bidi w:val="0"/>
              <w:rPr>
                <w:rFonts w:hint="eastAsia"/>
                <w:color w:val="auto"/>
                <w:lang w:val="en-US" w:eastAsia="zh-CN"/>
              </w:rPr>
            </w:pPr>
          </w:p>
        </w:tc>
        <w:tc>
          <w:tcPr>
            <w:tcW w:w="1039" w:type="pct"/>
            <w:tcBorders>
              <w:right w:val="nil"/>
            </w:tcBorders>
            <w:tcMar>
              <w:top w:w="15" w:type="dxa"/>
              <w:left w:w="15" w:type="dxa"/>
              <w:right w:w="15" w:type="dxa"/>
            </w:tcMar>
            <w:vAlign w:val="center"/>
          </w:tcPr>
          <w:p w14:paraId="665BA918">
            <w:pPr>
              <w:pStyle w:val="59"/>
              <w:bidi w:val="0"/>
              <w:ind w:firstLine="0" w:firstLineChars="0"/>
              <w:rPr>
                <w:rFonts w:hint="eastAsia"/>
                <w:color w:val="auto"/>
                <w:lang w:val="en-US" w:eastAsia="zh-CN"/>
              </w:rPr>
            </w:pPr>
          </w:p>
        </w:tc>
      </w:tr>
    </w:tbl>
    <w:p w14:paraId="672F31EF">
      <w:pPr>
        <w:pStyle w:val="62"/>
        <w:rPr>
          <w:rFonts w:hint="eastAsia"/>
          <w:color w:val="auto"/>
        </w:rPr>
      </w:pPr>
    </w:p>
    <w:p w14:paraId="78D0D357">
      <w:pPr>
        <w:pStyle w:val="62"/>
        <w:rPr>
          <w:rFonts w:hint="eastAsia"/>
          <w:color w:val="auto"/>
        </w:rPr>
      </w:pPr>
      <w:r>
        <w:rPr>
          <w:rFonts w:ascii="Times New Roman" w:hAnsi="Times New Roman" w:cs="Times New Roman"/>
        </w:rPr>
        <w:object>
          <v:shape id="_x0000_i1027" o:spt="75" type="#_x0000_t75" style="height:202.85pt;width:427.75pt;" o:ole="t" filled="f" o:preferrelative="t" stroked="f" coordsize="21600,21600">
            <v:path/>
            <v:fill on="f" focussize="0,0"/>
            <v:stroke on="f"/>
            <v:imagedata r:id="rId60" croptop="10906f" cropright="5931f" cropbottom="20046f" o:title=""/>
            <o:lock v:ext="edit" aspectratio="t"/>
            <w10:wrap type="none"/>
            <w10:anchorlock/>
          </v:shape>
          <o:OLEObject Type="Embed" ProgID="Visio.Drawing.15" ShapeID="_x0000_i1027" DrawAspect="Content" ObjectID="_1468075727" r:id="rId59">
            <o:LockedField>false</o:LockedField>
          </o:OLEObject>
        </w:object>
      </w:r>
    </w:p>
    <w:p w14:paraId="03C97D15">
      <w:pPr>
        <w:pStyle w:val="62"/>
        <w:rPr>
          <w:color w:val="auto"/>
        </w:rPr>
      </w:pPr>
      <w:r>
        <w:rPr>
          <w:rFonts w:hint="eastAsia"/>
          <w:color w:val="auto"/>
          <w:lang w:eastAsia="zh-CN"/>
        </w:rPr>
        <w:t>图</w:t>
      </w:r>
      <w:r>
        <w:rPr>
          <w:rFonts w:hint="eastAsia"/>
          <w:color w:val="auto"/>
          <w:lang w:val="en-US" w:eastAsia="zh-CN"/>
        </w:rPr>
        <w:t>2</w:t>
      </w:r>
      <w:r>
        <w:rPr>
          <w:rFonts w:hint="eastAsia"/>
          <w:color w:val="auto"/>
        </w:rPr>
        <w:t>.6-</w:t>
      </w:r>
      <w:r>
        <w:rPr>
          <w:rFonts w:hint="eastAsia"/>
          <w:color w:val="auto"/>
          <w:lang w:val="en-US" w:eastAsia="zh-CN"/>
        </w:rPr>
        <w:t>1</w:t>
      </w:r>
      <w:r>
        <w:rPr>
          <w:rFonts w:hint="eastAsia"/>
          <w:color w:val="auto"/>
        </w:rPr>
        <w:t xml:space="preserve">  </w:t>
      </w:r>
      <w:r>
        <w:rPr>
          <w:rFonts w:hint="eastAsia"/>
          <w:color w:val="auto"/>
          <w:lang w:val="en-US" w:eastAsia="zh-CN"/>
        </w:rPr>
        <w:t>项目</w:t>
      </w:r>
      <w:r>
        <w:rPr>
          <w:rFonts w:hint="eastAsia"/>
          <w:color w:val="auto"/>
        </w:rPr>
        <w:t>水平衡图</w:t>
      </w:r>
      <w:r>
        <w:rPr>
          <w:rFonts w:hint="eastAsia"/>
          <w:bCs/>
          <w:color w:val="auto"/>
        </w:rPr>
        <w:t>（</w:t>
      </w:r>
      <w:r>
        <w:rPr>
          <w:rFonts w:hint="eastAsia"/>
          <w:color w:val="auto"/>
        </w:rPr>
        <w:t>单位：m³/</w:t>
      </w:r>
      <w:r>
        <w:rPr>
          <w:rFonts w:hint="eastAsia"/>
          <w:color w:val="auto"/>
          <w:lang w:val="en-US" w:eastAsia="zh-CN"/>
        </w:rPr>
        <w:t>a</w:t>
      </w:r>
      <w:r>
        <w:rPr>
          <w:rFonts w:hint="eastAsia"/>
          <w:bCs/>
          <w:color w:val="auto"/>
        </w:rPr>
        <w:t>）</w:t>
      </w:r>
    </w:p>
    <w:p w14:paraId="07BC8F9B">
      <w:pPr>
        <w:pStyle w:val="64"/>
        <w:numPr>
          <w:ilvl w:val="2"/>
          <w:numId w:val="8"/>
        </w:numPr>
        <w:bidi w:val="0"/>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用气</w:t>
      </w:r>
    </w:p>
    <w:p w14:paraId="482A040A">
      <w:pPr>
        <w:bidi w:val="0"/>
      </w:pPr>
      <w:r>
        <w:t>在正常运行状态下，RTO可自持运行；当废气总量小于30%且废气浓度较低状态、冷启动、焖炉启动和</w:t>
      </w:r>
      <w:r>
        <w:rPr>
          <w:rFonts w:hint="eastAsia"/>
          <w:lang w:val="en-US" w:eastAsia="zh-CN"/>
        </w:rPr>
        <w:t>洗机</w:t>
      </w:r>
      <w:r>
        <w:t>待机状态均需使用消耗天然气：</w:t>
      </w:r>
    </w:p>
    <w:p w14:paraId="758387A0">
      <w:pPr>
        <w:bidi w:val="0"/>
      </w:pPr>
      <w:r>
        <w:t>①</w:t>
      </w:r>
      <w:r>
        <w:rPr>
          <w:rFonts w:hint="eastAsia"/>
          <w:lang w:val="en-US" w:eastAsia="zh-CN"/>
        </w:rPr>
        <w:t>项目</w:t>
      </w:r>
      <w:r>
        <w:t>每年非满载运行时间约为</w:t>
      </w:r>
      <w:r>
        <w:rPr>
          <w:rFonts w:hint="eastAsia"/>
          <w:lang w:val="en-US" w:eastAsia="zh-CN"/>
        </w:rPr>
        <w:t>150</w:t>
      </w:r>
      <w:r>
        <w:t>次/a，非满载运行天然气消耗量为155m</w:t>
      </w:r>
      <w:r>
        <w:rPr>
          <w:vertAlign w:val="superscript"/>
        </w:rPr>
        <w:t>3</w:t>
      </w:r>
      <w:r>
        <w:t>，则该阶段天然气消耗量为</w:t>
      </w:r>
      <w:r>
        <w:rPr>
          <w:rFonts w:hint="eastAsia"/>
          <w:lang w:val="en-US" w:eastAsia="zh-CN"/>
        </w:rPr>
        <w:t>116250</w:t>
      </w:r>
      <w:r>
        <w:t>m</w:t>
      </w:r>
      <w:r>
        <w:rPr>
          <w:vertAlign w:val="superscript"/>
        </w:rPr>
        <w:t>3</w:t>
      </w:r>
      <w:r>
        <w:t>/a。</w:t>
      </w:r>
    </w:p>
    <w:p w14:paraId="61C1D403">
      <w:pPr>
        <w:bidi w:val="0"/>
      </w:pPr>
      <w:r>
        <w:t>②冷启动是 RTO 设备炉膛内温度从室温点火升温至工作温度的过程， RTO 大部分时间为焖炉启动，每年冷启动次数一般不超过 5 次，每次冷启动时间为 2h，该阶段天然气消耗量为 100m</w:t>
      </w:r>
      <w:r>
        <w:rPr>
          <w:vertAlign w:val="superscript"/>
        </w:rPr>
        <w:t>3</w:t>
      </w:r>
      <w:r>
        <w:t>/h，则该阶段天然气消耗量为 1000m</w:t>
      </w:r>
      <w:r>
        <w:rPr>
          <w:vertAlign w:val="superscript"/>
        </w:rPr>
        <w:t>3</w:t>
      </w:r>
      <w:r>
        <w:t>/a。</w:t>
      </w:r>
    </w:p>
    <w:p w14:paraId="7C367186">
      <w:pPr>
        <w:bidi w:val="0"/>
      </w:pPr>
      <w:r>
        <w:t>③焖炉启动为RTO内蓄积一定热量的基础上进行启动，启动时间约0.4h，焖炉启动次数为每天启动一次（300次），该阶段天然气消耗量为 80m</w:t>
      </w:r>
      <w:r>
        <w:rPr>
          <w:vertAlign w:val="superscript"/>
        </w:rPr>
        <w:t>3</w:t>
      </w:r>
      <w:r>
        <w:t>/h，则该阶段天然气消耗量为9600m</w:t>
      </w:r>
      <w:r>
        <w:rPr>
          <w:vertAlign w:val="superscript"/>
        </w:rPr>
        <w:t>3</w:t>
      </w:r>
      <w:r>
        <w:t>/a。</w:t>
      </w:r>
    </w:p>
    <w:p w14:paraId="5A7B35CE">
      <w:pPr>
        <w:bidi w:val="0"/>
      </w:pPr>
      <w:r>
        <w:t>④在</w:t>
      </w:r>
      <w:r>
        <w:rPr>
          <w:rFonts w:hint="eastAsia"/>
          <w:lang w:val="en-US" w:eastAsia="zh-CN"/>
        </w:rPr>
        <w:t>洗机</w:t>
      </w:r>
      <w:r>
        <w:t>时消耗少量的天然气，该阶段天然气消耗量为 10m</w:t>
      </w:r>
      <w:r>
        <w:rPr>
          <w:vertAlign w:val="superscript"/>
        </w:rPr>
        <w:t>3</w:t>
      </w:r>
      <w:r>
        <w:t>/h，</w:t>
      </w:r>
      <w:r>
        <w:rPr>
          <w:rFonts w:hint="eastAsia"/>
          <w:lang w:val="en-US" w:eastAsia="zh-CN"/>
        </w:rPr>
        <w:t>洗机</w:t>
      </w:r>
      <w:r>
        <w:t>次数为300 次，则该阶段天然气消耗量为 3000m</w:t>
      </w:r>
      <w:r>
        <w:rPr>
          <w:vertAlign w:val="superscript"/>
        </w:rPr>
        <w:t>3</w:t>
      </w:r>
      <w:r>
        <w:t>/a。</w:t>
      </w:r>
    </w:p>
    <w:p w14:paraId="6E1818F9">
      <w:pPr>
        <w:pStyle w:val="62"/>
        <w:numPr>
          <w:ilvl w:val="0"/>
          <w:numId w:val="26"/>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rPr>
        <w:t>本项目RTO 天然气消耗核算一览表</w:t>
      </w:r>
    </w:p>
    <w:tbl>
      <w:tblPr>
        <w:tblStyle w:val="105"/>
        <w:tblW w:w="909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84"/>
        <w:gridCol w:w="1558"/>
        <w:gridCol w:w="1277"/>
        <w:gridCol w:w="1702"/>
        <w:gridCol w:w="1107"/>
        <w:gridCol w:w="1567"/>
      </w:tblGrid>
      <w:tr w14:paraId="3838C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trPr>
        <w:tc>
          <w:tcPr>
            <w:tcW w:w="1884" w:type="dxa"/>
            <w:tcBorders>
              <w:top w:val="single" w:color="000000" w:sz="16" w:space="0"/>
              <w:left w:val="nil"/>
            </w:tcBorders>
            <w:vAlign w:val="center"/>
          </w:tcPr>
          <w:p w14:paraId="63479776">
            <w:pPr>
              <w:pStyle w:val="69"/>
              <w:bidi w:val="0"/>
              <w:jc w:val="center"/>
            </w:pPr>
            <w:r>
              <w:t>项目</w:t>
            </w:r>
          </w:p>
        </w:tc>
        <w:tc>
          <w:tcPr>
            <w:tcW w:w="1558" w:type="dxa"/>
            <w:tcBorders>
              <w:top w:val="single" w:color="000000" w:sz="16" w:space="0"/>
            </w:tcBorders>
            <w:vAlign w:val="center"/>
          </w:tcPr>
          <w:p w14:paraId="7695C4EE">
            <w:pPr>
              <w:pStyle w:val="69"/>
              <w:bidi w:val="0"/>
              <w:jc w:val="center"/>
            </w:pPr>
            <w:r>
              <w:t>天然气用量（m</w:t>
            </w:r>
            <w:r>
              <w:rPr>
                <w:vertAlign w:val="superscript"/>
              </w:rPr>
              <w:t>3</w:t>
            </w:r>
            <w:r>
              <w:t>/h）</w:t>
            </w:r>
          </w:p>
        </w:tc>
        <w:tc>
          <w:tcPr>
            <w:tcW w:w="1277" w:type="dxa"/>
            <w:tcBorders>
              <w:top w:val="single" w:color="000000" w:sz="16" w:space="0"/>
            </w:tcBorders>
            <w:vAlign w:val="center"/>
          </w:tcPr>
          <w:p w14:paraId="2666E9F5">
            <w:pPr>
              <w:pStyle w:val="69"/>
              <w:bidi w:val="0"/>
              <w:jc w:val="center"/>
            </w:pPr>
            <w:r>
              <w:t>时间（h）</w:t>
            </w:r>
          </w:p>
        </w:tc>
        <w:tc>
          <w:tcPr>
            <w:tcW w:w="1702" w:type="dxa"/>
            <w:tcBorders>
              <w:top w:val="single" w:color="000000" w:sz="16" w:space="0"/>
            </w:tcBorders>
            <w:vAlign w:val="center"/>
          </w:tcPr>
          <w:p w14:paraId="15CF039E">
            <w:pPr>
              <w:pStyle w:val="69"/>
              <w:bidi w:val="0"/>
              <w:jc w:val="center"/>
            </w:pPr>
            <w:r>
              <w:t>单次天然气消耗量（m</w:t>
            </w:r>
            <w:r>
              <w:rPr>
                <w:vertAlign w:val="superscript"/>
              </w:rPr>
              <w:t>3</w:t>
            </w:r>
            <w:r>
              <w:t>/次）</w:t>
            </w:r>
          </w:p>
        </w:tc>
        <w:tc>
          <w:tcPr>
            <w:tcW w:w="1107" w:type="dxa"/>
            <w:tcBorders>
              <w:top w:val="single" w:color="000000" w:sz="16" w:space="0"/>
            </w:tcBorders>
            <w:vAlign w:val="center"/>
          </w:tcPr>
          <w:p w14:paraId="762BF6E5">
            <w:pPr>
              <w:pStyle w:val="69"/>
              <w:bidi w:val="0"/>
              <w:jc w:val="center"/>
            </w:pPr>
            <w:r>
              <w:t>频次（次/a）</w:t>
            </w:r>
          </w:p>
        </w:tc>
        <w:tc>
          <w:tcPr>
            <w:tcW w:w="1567" w:type="dxa"/>
            <w:tcBorders>
              <w:top w:val="single" w:color="000000" w:sz="16" w:space="0"/>
              <w:right w:val="nil"/>
            </w:tcBorders>
            <w:vAlign w:val="center"/>
          </w:tcPr>
          <w:p w14:paraId="48EF02BB">
            <w:pPr>
              <w:pStyle w:val="69"/>
              <w:bidi w:val="0"/>
              <w:jc w:val="center"/>
            </w:pPr>
            <w:r>
              <w:t>天然气总消耗量（m</w:t>
            </w:r>
            <w:r>
              <w:rPr>
                <w:vertAlign w:val="superscript"/>
              </w:rPr>
              <w:t>3</w:t>
            </w:r>
            <w:r>
              <w:t>/a）</w:t>
            </w:r>
          </w:p>
        </w:tc>
      </w:tr>
      <w:tr w14:paraId="5599D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84" w:type="dxa"/>
            <w:tcBorders>
              <w:left w:val="nil"/>
            </w:tcBorders>
            <w:vAlign w:val="center"/>
          </w:tcPr>
          <w:p w14:paraId="21751248">
            <w:pPr>
              <w:pStyle w:val="69"/>
              <w:bidi w:val="0"/>
            </w:pPr>
            <w:r>
              <w:rPr>
                <w:rFonts w:hint="eastAsia"/>
                <w:lang w:val="en-US" w:eastAsia="zh-CN"/>
              </w:rPr>
              <w:t>非满载状态</w:t>
            </w:r>
          </w:p>
        </w:tc>
        <w:tc>
          <w:tcPr>
            <w:tcW w:w="1558" w:type="dxa"/>
            <w:vAlign w:val="center"/>
          </w:tcPr>
          <w:p w14:paraId="42FDE312">
            <w:pPr>
              <w:pStyle w:val="69"/>
              <w:bidi w:val="0"/>
            </w:pPr>
            <w:r>
              <w:rPr>
                <w:rFonts w:hint="default"/>
                <w:lang w:val="en-US" w:eastAsia="zh-CN"/>
              </w:rPr>
              <w:t>155</w:t>
            </w:r>
          </w:p>
        </w:tc>
        <w:tc>
          <w:tcPr>
            <w:tcW w:w="1277" w:type="dxa"/>
            <w:vAlign w:val="center"/>
          </w:tcPr>
          <w:p w14:paraId="4CFB8C2F">
            <w:pPr>
              <w:pStyle w:val="69"/>
              <w:bidi w:val="0"/>
            </w:pPr>
            <w:r>
              <w:rPr>
                <w:rFonts w:hint="default"/>
                <w:lang w:val="en-US" w:eastAsia="zh-CN"/>
              </w:rPr>
              <w:t>5</w:t>
            </w:r>
          </w:p>
        </w:tc>
        <w:tc>
          <w:tcPr>
            <w:tcW w:w="1702" w:type="dxa"/>
            <w:vAlign w:val="center"/>
          </w:tcPr>
          <w:p w14:paraId="5F621AAB">
            <w:pPr>
              <w:pStyle w:val="69"/>
              <w:bidi w:val="0"/>
            </w:pPr>
            <w:r>
              <w:rPr>
                <w:rFonts w:hint="default"/>
                <w:lang w:val="en-US" w:eastAsia="zh-CN"/>
              </w:rPr>
              <w:t>775</w:t>
            </w:r>
          </w:p>
        </w:tc>
        <w:tc>
          <w:tcPr>
            <w:tcW w:w="1107" w:type="dxa"/>
            <w:vAlign w:val="center"/>
          </w:tcPr>
          <w:p w14:paraId="3BA27237">
            <w:pPr>
              <w:pStyle w:val="69"/>
              <w:bidi w:val="0"/>
            </w:pPr>
            <w:r>
              <w:rPr>
                <w:rFonts w:hint="default"/>
                <w:lang w:val="en-US" w:eastAsia="zh-CN"/>
              </w:rPr>
              <w:t>150</w:t>
            </w:r>
          </w:p>
        </w:tc>
        <w:tc>
          <w:tcPr>
            <w:tcW w:w="1567" w:type="dxa"/>
            <w:tcBorders>
              <w:right w:val="nil"/>
            </w:tcBorders>
            <w:vAlign w:val="center"/>
          </w:tcPr>
          <w:p w14:paraId="5F7338DC">
            <w:pPr>
              <w:pStyle w:val="69"/>
              <w:bidi w:val="0"/>
            </w:pPr>
            <w:r>
              <w:rPr>
                <w:rFonts w:hint="default"/>
                <w:lang w:val="en-US" w:eastAsia="zh-CN"/>
              </w:rPr>
              <w:t>116250</w:t>
            </w:r>
          </w:p>
        </w:tc>
      </w:tr>
      <w:tr w14:paraId="7CC69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84" w:type="dxa"/>
            <w:tcBorders>
              <w:left w:val="nil"/>
            </w:tcBorders>
            <w:vAlign w:val="center"/>
          </w:tcPr>
          <w:p w14:paraId="2113EA24">
            <w:pPr>
              <w:pStyle w:val="69"/>
              <w:bidi w:val="0"/>
            </w:pPr>
            <w:r>
              <w:rPr>
                <w:rFonts w:hint="eastAsia"/>
                <w:lang w:val="en-US" w:eastAsia="zh-CN"/>
              </w:rPr>
              <w:t>冷启动</w:t>
            </w:r>
          </w:p>
        </w:tc>
        <w:tc>
          <w:tcPr>
            <w:tcW w:w="1558" w:type="dxa"/>
            <w:vAlign w:val="center"/>
          </w:tcPr>
          <w:p w14:paraId="1CBF5500">
            <w:pPr>
              <w:pStyle w:val="69"/>
              <w:bidi w:val="0"/>
            </w:pPr>
            <w:r>
              <w:rPr>
                <w:rFonts w:hint="default"/>
                <w:lang w:val="en-US" w:eastAsia="zh-CN"/>
              </w:rPr>
              <w:t>100</w:t>
            </w:r>
          </w:p>
        </w:tc>
        <w:tc>
          <w:tcPr>
            <w:tcW w:w="1277" w:type="dxa"/>
            <w:vAlign w:val="center"/>
          </w:tcPr>
          <w:p w14:paraId="31876FAC">
            <w:pPr>
              <w:pStyle w:val="69"/>
              <w:bidi w:val="0"/>
            </w:pPr>
            <w:r>
              <w:rPr>
                <w:rFonts w:hint="default"/>
                <w:lang w:val="en-US" w:eastAsia="zh-CN"/>
              </w:rPr>
              <w:t>2</w:t>
            </w:r>
          </w:p>
        </w:tc>
        <w:tc>
          <w:tcPr>
            <w:tcW w:w="1702" w:type="dxa"/>
            <w:vAlign w:val="center"/>
          </w:tcPr>
          <w:p w14:paraId="29CC2D81">
            <w:pPr>
              <w:pStyle w:val="69"/>
              <w:bidi w:val="0"/>
            </w:pPr>
            <w:r>
              <w:rPr>
                <w:rFonts w:hint="default"/>
                <w:lang w:val="en-US" w:eastAsia="zh-CN"/>
              </w:rPr>
              <w:t>200</w:t>
            </w:r>
          </w:p>
        </w:tc>
        <w:tc>
          <w:tcPr>
            <w:tcW w:w="1107" w:type="dxa"/>
            <w:vAlign w:val="center"/>
          </w:tcPr>
          <w:p w14:paraId="0AB549A3">
            <w:pPr>
              <w:pStyle w:val="69"/>
              <w:bidi w:val="0"/>
            </w:pPr>
            <w:r>
              <w:rPr>
                <w:rFonts w:hint="default"/>
                <w:lang w:val="en-US" w:eastAsia="zh-CN"/>
              </w:rPr>
              <w:t>5</w:t>
            </w:r>
          </w:p>
        </w:tc>
        <w:tc>
          <w:tcPr>
            <w:tcW w:w="1567" w:type="dxa"/>
            <w:tcBorders>
              <w:right w:val="nil"/>
            </w:tcBorders>
            <w:vAlign w:val="center"/>
          </w:tcPr>
          <w:p w14:paraId="48DCC429">
            <w:pPr>
              <w:pStyle w:val="69"/>
              <w:bidi w:val="0"/>
            </w:pPr>
            <w:r>
              <w:rPr>
                <w:rFonts w:hint="default"/>
                <w:lang w:val="en-US" w:eastAsia="zh-CN"/>
              </w:rPr>
              <w:t>1000</w:t>
            </w:r>
          </w:p>
        </w:tc>
      </w:tr>
      <w:tr w14:paraId="23159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84" w:type="dxa"/>
            <w:tcBorders>
              <w:left w:val="nil"/>
            </w:tcBorders>
            <w:vAlign w:val="center"/>
          </w:tcPr>
          <w:p w14:paraId="29BA04C8">
            <w:pPr>
              <w:pStyle w:val="69"/>
              <w:bidi w:val="0"/>
            </w:pPr>
            <w:r>
              <w:rPr>
                <w:rFonts w:hint="eastAsia"/>
                <w:lang w:val="en-US" w:eastAsia="zh-CN"/>
              </w:rPr>
              <w:t>焖炉启动</w:t>
            </w:r>
          </w:p>
        </w:tc>
        <w:tc>
          <w:tcPr>
            <w:tcW w:w="1558" w:type="dxa"/>
            <w:vAlign w:val="center"/>
          </w:tcPr>
          <w:p w14:paraId="680859EF">
            <w:pPr>
              <w:pStyle w:val="69"/>
              <w:bidi w:val="0"/>
            </w:pPr>
            <w:r>
              <w:rPr>
                <w:rFonts w:hint="default"/>
                <w:lang w:val="en-US" w:eastAsia="zh-CN"/>
              </w:rPr>
              <w:t>80</w:t>
            </w:r>
          </w:p>
        </w:tc>
        <w:tc>
          <w:tcPr>
            <w:tcW w:w="1277" w:type="dxa"/>
            <w:vAlign w:val="center"/>
          </w:tcPr>
          <w:p w14:paraId="340FC1D5">
            <w:pPr>
              <w:pStyle w:val="69"/>
              <w:bidi w:val="0"/>
            </w:pPr>
            <w:r>
              <w:rPr>
                <w:rFonts w:hint="default"/>
                <w:lang w:val="en-US" w:eastAsia="zh-CN"/>
              </w:rPr>
              <w:t>0.4</w:t>
            </w:r>
          </w:p>
        </w:tc>
        <w:tc>
          <w:tcPr>
            <w:tcW w:w="1702" w:type="dxa"/>
            <w:vAlign w:val="center"/>
          </w:tcPr>
          <w:p w14:paraId="38F0E63A">
            <w:pPr>
              <w:pStyle w:val="69"/>
              <w:bidi w:val="0"/>
            </w:pPr>
            <w:r>
              <w:rPr>
                <w:rFonts w:hint="default"/>
                <w:lang w:val="en-US" w:eastAsia="zh-CN"/>
              </w:rPr>
              <w:t>32</w:t>
            </w:r>
          </w:p>
        </w:tc>
        <w:tc>
          <w:tcPr>
            <w:tcW w:w="1107" w:type="dxa"/>
            <w:vAlign w:val="center"/>
          </w:tcPr>
          <w:p w14:paraId="40D0B791">
            <w:pPr>
              <w:pStyle w:val="69"/>
              <w:bidi w:val="0"/>
            </w:pPr>
            <w:r>
              <w:rPr>
                <w:rFonts w:hint="default"/>
                <w:lang w:val="en-US" w:eastAsia="zh-CN"/>
              </w:rPr>
              <w:t>300</w:t>
            </w:r>
          </w:p>
        </w:tc>
        <w:tc>
          <w:tcPr>
            <w:tcW w:w="1567" w:type="dxa"/>
            <w:tcBorders>
              <w:right w:val="nil"/>
            </w:tcBorders>
            <w:vAlign w:val="center"/>
          </w:tcPr>
          <w:p w14:paraId="7032195E">
            <w:pPr>
              <w:pStyle w:val="69"/>
              <w:bidi w:val="0"/>
            </w:pPr>
            <w:r>
              <w:rPr>
                <w:rFonts w:hint="default"/>
                <w:lang w:val="en-US" w:eastAsia="zh-CN"/>
              </w:rPr>
              <w:t>9600</w:t>
            </w:r>
          </w:p>
        </w:tc>
      </w:tr>
      <w:tr w14:paraId="2EC07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84" w:type="dxa"/>
            <w:tcBorders>
              <w:left w:val="nil"/>
            </w:tcBorders>
            <w:vAlign w:val="center"/>
          </w:tcPr>
          <w:p w14:paraId="50CF9EE4">
            <w:pPr>
              <w:pStyle w:val="69"/>
              <w:bidi w:val="0"/>
            </w:pPr>
            <w:r>
              <w:rPr>
                <w:rFonts w:hint="eastAsia"/>
                <w:lang w:val="en-US" w:eastAsia="zh-CN"/>
              </w:rPr>
              <w:t>洗机</w:t>
            </w:r>
          </w:p>
        </w:tc>
        <w:tc>
          <w:tcPr>
            <w:tcW w:w="1558" w:type="dxa"/>
            <w:vAlign w:val="center"/>
          </w:tcPr>
          <w:p w14:paraId="2078DDD0">
            <w:pPr>
              <w:pStyle w:val="69"/>
              <w:bidi w:val="0"/>
            </w:pPr>
            <w:r>
              <w:rPr>
                <w:rFonts w:hint="default"/>
                <w:lang w:val="en-US" w:eastAsia="zh-CN"/>
              </w:rPr>
              <w:t>10</w:t>
            </w:r>
          </w:p>
        </w:tc>
        <w:tc>
          <w:tcPr>
            <w:tcW w:w="1277" w:type="dxa"/>
            <w:vAlign w:val="center"/>
          </w:tcPr>
          <w:p w14:paraId="42513FEF">
            <w:pPr>
              <w:pStyle w:val="69"/>
              <w:bidi w:val="0"/>
              <w:rPr>
                <w:rFonts w:hint="eastAsia"/>
                <w:lang w:eastAsia="zh-CN"/>
              </w:rPr>
            </w:pPr>
            <w:r>
              <w:rPr>
                <w:rFonts w:hint="default"/>
                <w:lang w:val="en-US" w:eastAsia="zh-CN"/>
              </w:rPr>
              <w:t>1</w:t>
            </w:r>
          </w:p>
        </w:tc>
        <w:tc>
          <w:tcPr>
            <w:tcW w:w="1702" w:type="dxa"/>
            <w:vAlign w:val="center"/>
          </w:tcPr>
          <w:p w14:paraId="08C35A5C">
            <w:pPr>
              <w:pStyle w:val="69"/>
              <w:bidi w:val="0"/>
            </w:pPr>
            <w:r>
              <w:rPr>
                <w:rFonts w:hint="default"/>
                <w:lang w:val="en-US" w:eastAsia="zh-CN"/>
              </w:rPr>
              <w:t>10</w:t>
            </w:r>
          </w:p>
        </w:tc>
        <w:tc>
          <w:tcPr>
            <w:tcW w:w="1107" w:type="dxa"/>
            <w:vAlign w:val="center"/>
          </w:tcPr>
          <w:p w14:paraId="0B0015E6">
            <w:pPr>
              <w:pStyle w:val="69"/>
              <w:bidi w:val="0"/>
            </w:pPr>
            <w:r>
              <w:rPr>
                <w:rFonts w:hint="default"/>
                <w:lang w:val="en-US" w:eastAsia="zh-CN"/>
              </w:rPr>
              <w:t>300</w:t>
            </w:r>
          </w:p>
        </w:tc>
        <w:tc>
          <w:tcPr>
            <w:tcW w:w="1567" w:type="dxa"/>
            <w:tcBorders>
              <w:right w:val="nil"/>
            </w:tcBorders>
            <w:vAlign w:val="center"/>
          </w:tcPr>
          <w:p w14:paraId="17C94D2C">
            <w:pPr>
              <w:pStyle w:val="69"/>
              <w:bidi w:val="0"/>
            </w:pPr>
            <w:r>
              <w:rPr>
                <w:rFonts w:hint="default"/>
                <w:lang w:val="en-US" w:eastAsia="zh-CN"/>
              </w:rPr>
              <w:t>3000</w:t>
            </w:r>
          </w:p>
        </w:tc>
      </w:tr>
      <w:tr w14:paraId="13E78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528" w:type="dxa"/>
            <w:gridSpan w:val="5"/>
            <w:tcBorders>
              <w:left w:val="nil"/>
              <w:bottom w:val="single" w:color="000000" w:sz="16" w:space="0"/>
            </w:tcBorders>
            <w:vAlign w:val="center"/>
          </w:tcPr>
          <w:p w14:paraId="39AEC46B">
            <w:pPr>
              <w:pStyle w:val="69"/>
              <w:bidi w:val="0"/>
            </w:pPr>
            <w:r>
              <w:rPr>
                <w:rFonts w:hint="eastAsia"/>
                <w:lang w:val="en-US" w:eastAsia="zh-CN"/>
              </w:rPr>
              <w:t>合计</w:t>
            </w:r>
          </w:p>
        </w:tc>
        <w:tc>
          <w:tcPr>
            <w:tcW w:w="1567" w:type="dxa"/>
            <w:tcBorders>
              <w:bottom w:val="single" w:color="000000" w:sz="16" w:space="0"/>
              <w:right w:val="nil"/>
            </w:tcBorders>
            <w:vAlign w:val="center"/>
          </w:tcPr>
          <w:p w14:paraId="09ACDBB1">
            <w:pPr>
              <w:pStyle w:val="69"/>
              <w:bidi w:val="0"/>
            </w:pPr>
            <w:r>
              <w:rPr>
                <w:rFonts w:hint="default"/>
                <w:lang w:val="en-US" w:eastAsia="zh-CN"/>
              </w:rPr>
              <w:t>129850</w:t>
            </w:r>
          </w:p>
        </w:tc>
      </w:tr>
    </w:tbl>
    <w:p w14:paraId="2276D206">
      <w:pPr>
        <w:pStyle w:val="64"/>
        <w:numPr>
          <w:ilvl w:val="2"/>
          <w:numId w:val="8"/>
        </w:numPr>
        <w:spacing w:before="156" w:after="156"/>
        <w:ind w:left="709" w:leftChars="0" w:hanging="709" w:firstLineChars="0"/>
        <w:rPr>
          <w:color w:val="auto"/>
        </w:rPr>
      </w:pPr>
      <w:r>
        <w:rPr>
          <w:rFonts w:hint="eastAsia"/>
          <w:color w:val="auto"/>
        </w:rPr>
        <w:t>用</w:t>
      </w:r>
      <w:r>
        <w:rPr>
          <w:color w:val="auto"/>
        </w:rPr>
        <w:t>电</w:t>
      </w:r>
    </w:p>
    <w:p w14:paraId="2D963276">
      <w:pPr>
        <w:ind w:firstLine="480"/>
        <w:rPr>
          <w:color w:val="auto"/>
        </w:rPr>
      </w:pPr>
      <w:r>
        <w:rPr>
          <w:rFonts w:hint="eastAsia"/>
          <w:color w:val="auto"/>
        </w:rPr>
        <w:t>年用电量约</w:t>
      </w:r>
      <w:r>
        <w:rPr>
          <w:rFonts w:hint="eastAsia"/>
          <w:color w:val="auto"/>
          <w:lang w:val="en-US" w:eastAsia="zh-CN"/>
        </w:rPr>
        <w:t>200</w:t>
      </w:r>
      <w:r>
        <w:rPr>
          <w:rFonts w:hint="eastAsia"/>
          <w:color w:val="auto"/>
        </w:rPr>
        <w:t>万度/年，不设备用发电机。</w:t>
      </w:r>
    </w:p>
    <w:p w14:paraId="7E92AF90">
      <w:pPr>
        <w:pStyle w:val="64"/>
        <w:numPr>
          <w:ilvl w:val="2"/>
          <w:numId w:val="8"/>
        </w:numPr>
        <w:spacing w:before="156" w:after="156"/>
        <w:ind w:left="709" w:leftChars="0" w:hanging="709" w:firstLineChars="0"/>
        <w:rPr>
          <w:color w:val="auto"/>
        </w:rPr>
      </w:pPr>
      <w:r>
        <w:rPr>
          <w:rFonts w:hint="eastAsia"/>
          <w:color w:val="auto"/>
        </w:rPr>
        <w:t>循环冷却水系统</w:t>
      </w:r>
    </w:p>
    <w:p w14:paraId="521BAAF8">
      <w:pPr>
        <w:ind w:firstLine="480"/>
        <w:rPr>
          <w:color w:val="auto"/>
        </w:rPr>
      </w:pPr>
      <w:r>
        <w:rPr>
          <w:rFonts w:hint="eastAsia"/>
          <w:color w:val="auto"/>
        </w:rPr>
        <w:t>建设项目共设</w:t>
      </w:r>
      <w:r>
        <w:rPr>
          <w:color w:val="auto"/>
        </w:rPr>
        <w:t>1</w:t>
      </w:r>
      <w:r>
        <w:rPr>
          <w:rFonts w:hint="eastAsia"/>
          <w:color w:val="auto"/>
        </w:rPr>
        <w:t>套循环冷却水装置，单台冷却机组处理能力</w:t>
      </w:r>
      <w:r>
        <w:rPr>
          <w:rFonts w:hint="eastAsia"/>
          <w:color w:val="auto"/>
          <w:lang w:val="en-US" w:eastAsia="zh-CN"/>
        </w:rPr>
        <w:t>2</w:t>
      </w:r>
      <w:r>
        <w:rPr>
          <w:rFonts w:hint="eastAsia"/>
          <w:color w:val="auto"/>
        </w:rPr>
        <w:t>5</w:t>
      </w:r>
      <w:r>
        <w:rPr>
          <w:color w:val="auto"/>
        </w:rPr>
        <w:t>m</w:t>
      </w:r>
      <w:r>
        <w:rPr>
          <w:color w:val="auto"/>
          <w:vertAlign w:val="superscript"/>
        </w:rPr>
        <w:t>3</w:t>
      </w:r>
      <w:r>
        <w:rPr>
          <w:color w:val="auto"/>
        </w:rPr>
        <w:t>/h</w:t>
      </w:r>
      <w:r>
        <w:rPr>
          <w:rFonts w:hint="eastAsia"/>
          <w:color w:val="auto"/>
        </w:rPr>
        <w:t>，设计循环冷却水给水温度25℃，回水温度30℃。</w:t>
      </w:r>
    </w:p>
    <w:p w14:paraId="59F1B36C">
      <w:pPr>
        <w:pStyle w:val="64"/>
        <w:numPr>
          <w:ilvl w:val="2"/>
          <w:numId w:val="8"/>
        </w:numPr>
        <w:spacing w:before="156" w:after="156"/>
        <w:ind w:left="709" w:leftChars="0" w:hanging="709" w:firstLineChars="0"/>
        <w:rPr>
          <w:color w:val="auto"/>
        </w:rPr>
      </w:pPr>
      <w:r>
        <w:rPr>
          <w:rFonts w:hint="eastAsia"/>
          <w:color w:val="auto"/>
        </w:rPr>
        <w:t>排水系统</w:t>
      </w:r>
    </w:p>
    <w:p w14:paraId="53E80F7D">
      <w:pPr>
        <w:ind w:firstLine="480"/>
        <w:rPr>
          <w:color w:val="auto"/>
        </w:rPr>
      </w:pPr>
      <w:r>
        <w:rPr>
          <w:rFonts w:hint="eastAsia"/>
          <w:color w:val="auto"/>
        </w:rPr>
        <w:t>建设项目排水系统采用清污分流排水系统。</w:t>
      </w:r>
    </w:p>
    <w:p w14:paraId="1545574F">
      <w:pPr>
        <w:ind w:firstLine="480"/>
        <w:rPr>
          <w:color w:val="auto"/>
        </w:rPr>
      </w:pPr>
      <w:r>
        <w:rPr>
          <w:rFonts w:hint="eastAsia"/>
          <w:color w:val="auto"/>
        </w:rPr>
        <w:t>雨水通过重力流直接经厂区雨水管网排放，最终排入南侧</w:t>
      </w:r>
      <w:r>
        <w:rPr>
          <w:rFonts w:hint="eastAsia"/>
          <w:color w:val="auto"/>
          <w:lang w:val="en-US" w:eastAsia="zh-CN"/>
        </w:rPr>
        <w:t>市政雨水管网</w:t>
      </w:r>
      <w:r>
        <w:rPr>
          <w:rFonts w:hint="eastAsia"/>
          <w:color w:val="auto"/>
        </w:rPr>
        <w:t>。</w:t>
      </w:r>
    </w:p>
    <w:p w14:paraId="0ECBB512">
      <w:pPr>
        <w:ind w:firstLine="480"/>
        <w:rPr>
          <w:rFonts w:hint="eastAsia"/>
          <w:color w:val="auto"/>
        </w:rPr>
      </w:pPr>
      <w:r>
        <w:rPr>
          <w:rFonts w:hint="eastAsia"/>
          <w:color w:val="auto"/>
        </w:rPr>
        <w:t>生活污水经化粪池处理后经市政污水管网排至</w:t>
      </w:r>
      <w:r>
        <w:rPr>
          <w:rFonts w:hint="eastAsia"/>
          <w:color w:val="auto"/>
          <w:lang w:eastAsia="zh-CN"/>
        </w:rPr>
        <w:t>鹤山市第二污水处理厂</w:t>
      </w:r>
      <w:r>
        <w:rPr>
          <w:rFonts w:hint="eastAsia"/>
          <w:color w:val="auto"/>
        </w:rPr>
        <w:t>。</w:t>
      </w:r>
    </w:p>
    <w:p w14:paraId="02049B50">
      <w:pPr>
        <w:pStyle w:val="67"/>
        <w:numPr>
          <w:ilvl w:val="1"/>
          <w:numId w:val="8"/>
        </w:numPr>
        <w:bidi w:val="0"/>
        <w:ind w:left="567" w:leftChars="0" w:hanging="567" w:firstLineChars="0"/>
        <w:rPr>
          <w:rFonts w:hint="eastAsia" w:ascii="Times New Roman" w:hAnsi="Times New Roman" w:eastAsia="宋体" w:cs="Times New Roman"/>
          <w:color w:val="auto"/>
        </w:rPr>
      </w:pPr>
      <w:bookmarkStart w:id="66" w:name="_Toc8778"/>
      <w:r>
        <w:rPr>
          <w:rFonts w:hint="eastAsia" w:ascii="Times New Roman" w:hAnsi="Times New Roman" w:eastAsia="宋体" w:cs="Times New Roman"/>
          <w:color w:val="auto"/>
        </w:rPr>
        <w:t>项目工艺流程及产污环节</w:t>
      </w:r>
      <w:bookmarkEnd w:id="63"/>
      <w:bookmarkEnd w:id="66"/>
    </w:p>
    <w:p w14:paraId="0B107155">
      <w:pPr>
        <w:pStyle w:val="64"/>
        <w:numPr>
          <w:ilvl w:val="2"/>
          <w:numId w:val="8"/>
        </w:numPr>
        <w:spacing w:before="156" w:after="156"/>
        <w:ind w:left="709" w:leftChars="0" w:hanging="709" w:firstLineChars="0"/>
        <w:rPr>
          <w:rFonts w:hint="eastAsia"/>
          <w:color w:val="auto"/>
        </w:rPr>
      </w:pPr>
      <w:r>
        <w:rPr>
          <w:rFonts w:hint="eastAsia"/>
          <w:lang w:val="en-US" w:eastAsia="zh-CN"/>
        </w:rPr>
        <w:t>食品用PVC卷膜</w:t>
      </w:r>
      <w:r>
        <w:rPr>
          <w:rFonts w:hint="eastAsia"/>
          <w:color w:val="auto"/>
        </w:rPr>
        <w:t>生产工艺流程</w:t>
      </w:r>
    </w:p>
    <w:tbl>
      <w:tblPr>
        <w:tblStyle w:val="3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436"/>
        <w:gridCol w:w="1820"/>
        <w:gridCol w:w="684"/>
        <w:gridCol w:w="1345"/>
        <w:gridCol w:w="520"/>
        <w:gridCol w:w="2571"/>
      </w:tblGrid>
      <w:tr w14:paraId="6644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26" w:type="pct"/>
            <w:tcBorders>
              <w:top w:val="nil"/>
              <w:left w:val="nil"/>
              <w:bottom w:val="dashed" w:color="000000" w:sz="8" w:space="0"/>
              <w:right w:val="nil"/>
            </w:tcBorders>
            <w:vAlign w:val="center"/>
          </w:tcPr>
          <w:p w14:paraId="4F55757F">
            <w:pPr>
              <w:pStyle w:val="69"/>
              <w:bidi w:val="0"/>
            </w:pPr>
            <w:r>
              <w:rPr>
                <w:rFonts w:hint="eastAsia"/>
              </w:rPr>
              <w:t>所用设备</w:t>
            </w:r>
          </w:p>
        </w:tc>
        <w:tc>
          <w:tcPr>
            <w:tcW w:w="235" w:type="pct"/>
            <w:tcBorders>
              <w:top w:val="nil"/>
              <w:left w:val="nil"/>
              <w:bottom w:val="nil"/>
              <w:right w:val="nil"/>
            </w:tcBorders>
            <w:vAlign w:val="center"/>
          </w:tcPr>
          <w:p w14:paraId="73F59EBE">
            <w:pPr>
              <w:pStyle w:val="69"/>
              <w:bidi w:val="0"/>
            </w:pPr>
          </w:p>
        </w:tc>
        <w:tc>
          <w:tcPr>
            <w:tcW w:w="980" w:type="pct"/>
            <w:tcBorders>
              <w:top w:val="nil"/>
              <w:left w:val="nil"/>
              <w:bottom w:val="dashed" w:color="000000" w:sz="8" w:space="0"/>
              <w:right w:val="nil"/>
            </w:tcBorders>
            <w:vAlign w:val="center"/>
          </w:tcPr>
          <w:p w14:paraId="2624A20D">
            <w:pPr>
              <w:pStyle w:val="69"/>
              <w:bidi w:val="0"/>
            </w:pPr>
            <w:r>
              <w:rPr>
                <w:rFonts w:hint="eastAsia"/>
              </w:rPr>
              <w:t>原料</w:t>
            </w:r>
          </w:p>
        </w:tc>
        <w:tc>
          <w:tcPr>
            <w:tcW w:w="368" w:type="pct"/>
            <w:tcBorders>
              <w:top w:val="nil"/>
              <w:left w:val="nil"/>
              <w:bottom w:val="nil"/>
              <w:right w:val="nil"/>
            </w:tcBorders>
            <w:vAlign w:val="center"/>
          </w:tcPr>
          <w:p w14:paraId="46053509">
            <w:pPr>
              <w:pStyle w:val="69"/>
              <w:bidi w:val="0"/>
            </w:pPr>
          </w:p>
        </w:tc>
        <w:tc>
          <w:tcPr>
            <w:tcW w:w="724" w:type="pct"/>
            <w:tcBorders>
              <w:top w:val="nil"/>
              <w:left w:val="nil"/>
              <w:bottom w:val="single" w:color="auto" w:sz="12" w:space="0"/>
              <w:right w:val="nil"/>
            </w:tcBorders>
            <w:vAlign w:val="center"/>
          </w:tcPr>
          <w:p w14:paraId="00287777">
            <w:pPr>
              <w:pStyle w:val="62"/>
              <w:bidi w:val="0"/>
            </w:pPr>
            <w:r>
              <w:rPr>
                <w:rFonts w:hint="eastAsia"/>
              </w:rPr>
              <w:t>工序</w:t>
            </w:r>
          </w:p>
        </w:tc>
        <w:tc>
          <w:tcPr>
            <w:tcW w:w="279" w:type="pct"/>
            <w:tcBorders>
              <w:top w:val="nil"/>
              <w:left w:val="nil"/>
              <w:bottom w:val="nil"/>
              <w:right w:val="nil"/>
            </w:tcBorders>
            <w:vAlign w:val="center"/>
          </w:tcPr>
          <w:p w14:paraId="0036432D">
            <w:pPr>
              <w:pStyle w:val="69"/>
              <w:bidi w:val="0"/>
            </w:pPr>
          </w:p>
        </w:tc>
        <w:tc>
          <w:tcPr>
            <w:tcW w:w="1384" w:type="pct"/>
            <w:tcBorders>
              <w:top w:val="nil"/>
              <w:left w:val="nil"/>
              <w:bottom w:val="dashed" w:color="000000" w:sz="8" w:space="0"/>
              <w:right w:val="nil"/>
            </w:tcBorders>
            <w:vAlign w:val="center"/>
          </w:tcPr>
          <w:p w14:paraId="4E734D96">
            <w:pPr>
              <w:pStyle w:val="69"/>
              <w:bidi w:val="0"/>
            </w:pPr>
            <w:r>
              <w:rPr>
                <w:rFonts w:hint="eastAsia"/>
              </w:rPr>
              <w:t>污染物</w:t>
            </w:r>
          </w:p>
        </w:tc>
      </w:tr>
      <w:tr w14:paraId="57B0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dashed" w:color="000000" w:sz="8" w:space="0"/>
              <w:bottom w:val="dashed" w:color="000000" w:sz="8" w:space="0"/>
              <w:right w:val="dashed" w:color="000000" w:sz="8" w:space="0"/>
            </w:tcBorders>
            <w:vAlign w:val="center"/>
          </w:tcPr>
          <w:p w14:paraId="51F766FB">
            <w:pPr>
              <w:pStyle w:val="69"/>
              <w:bidi w:val="0"/>
              <w:rPr>
                <w:rFonts w:hint="default"/>
                <w:lang w:val="en-US" w:eastAsia="zh-CN"/>
              </w:rPr>
            </w:pPr>
            <w:r>
              <w:rPr>
                <w:rFonts w:hint="eastAsia"/>
                <w:lang w:val="en-US" w:eastAsia="zh-CN"/>
              </w:rPr>
              <w:t>中央供稀释剂系统、调墨房</w:t>
            </w:r>
          </w:p>
        </w:tc>
        <w:tc>
          <w:tcPr>
            <w:tcW w:w="235" w:type="pct"/>
            <w:tcBorders>
              <w:top w:val="nil"/>
              <w:left w:val="dashed" w:color="000000" w:sz="8" w:space="0"/>
              <w:bottom w:val="nil"/>
              <w:right w:val="dashed" w:color="000000" w:sz="8" w:space="0"/>
            </w:tcBorders>
            <w:vAlign w:val="center"/>
          </w:tcPr>
          <w:p w14:paraId="55A423EF">
            <w:pPr>
              <w:pStyle w:val="69"/>
              <w:bidi w:val="0"/>
              <w:rPr>
                <w:lang w:val="en-US" w:eastAsia="zh-CN"/>
              </w:rPr>
            </w:pPr>
          </w:p>
        </w:tc>
        <w:tc>
          <w:tcPr>
            <w:tcW w:w="980" w:type="pct"/>
            <w:tcBorders>
              <w:top w:val="dashed" w:color="000000" w:sz="8" w:space="0"/>
              <w:left w:val="dashed" w:color="000000" w:sz="8" w:space="0"/>
              <w:bottom w:val="dashed" w:color="000000" w:sz="8" w:space="0"/>
              <w:right w:val="dashed" w:color="000000" w:sz="8" w:space="0"/>
            </w:tcBorders>
            <w:vAlign w:val="center"/>
          </w:tcPr>
          <w:p w14:paraId="3C9B97C6">
            <w:pPr>
              <w:pStyle w:val="69"/>
              <w:bidi w:val="0"/>
              <w:rPr>
                <w:lang w:val="en-US" w:eastAsia="zh-CN"/>
              </w:rPr>
            </w:pPr>
            <w:r>
              <w:t>乙酸乙酯、乙酸丁酯、异丙醇、乙酸丙酯</w:t>
            </w:r>
          </w:p>
        </w:tc>
        <w:tc>
          <w:tcPr>
            <w:tcW w:w="368" w:type="pct"/>
            <w:tcBorders>
              <w:top w:val="nil"/>
              <w:left w:val="dashed" w:color="000000" w:sz="8" w:space="0"/>
              <w:bottom w:val="nil"/>
              <w:right w:val="single" w:color="auto" w:sz="12" w:space="0"/>
            </w:tcBorders>
            <w:vAlign w:val="center"/>
          </w:tcPr>
          <w:p w14:paraId="55E6B9E1">
            <w:pPr>
              <w:pStyle w:val="69"/>
              <w:bidi w:val="0"/>
              <w:rPr>
                <w:lang w:val="en-US" w:eastAsia="zh-CN"/>
              </w:rPr>
            </w:pPr>
            <w:r>
              <w:rPr>
                <w:rFonts w:hint="eastAsia"/>
              </w:rPr>
              <w:t>→</w:t>
            </w:r>
          </w:p>
        </w:tc>
        <w:tc>
          <w:tcPr>
            <w:tcW w:w="724" w:type="pct"/>
            <w:tcBorders>
              <w:top w:val="single" w:color="auto" w:sz="12" w:space="0"/>
              <w:left w:val="single" w:color="auto" w:sz="12" w:space="0"/>
              <w:bottom w:val="single" w:color="auto" w:sz="12" w:space="0"/>
              <w:right w:val="single" w:color="auto" w:sz="12" w:space="0"/>
            </w:tcBorders>
            <w:vAlign w:val="center"/>
          </w:tcPr>
          <w:p w14:paraId="341FF90A">
            <w:pPr>
              <w:pStyle w:val="62"/>
              <w:bidi w:val="0"/>
              <w:rPr>
                <w:rFonts w:hint="default"/>
                <w:lang w:val="en-US" w:eastAsia="zh-CN"/>
              </w:rPr>
            </w:pPr>
            <w:r>
              <w:rPr>
                <w:rFonts w:hint="eastAsia"/>
                <w:lang w:val="en-US" w:eastAsia="zh-CN"/>
              </w:rPr>
              <w:t>调墨</w:t>
            </w:r>
          </w:p>
        </w:tc>
        <w:tc>
          <w:tcPr>
            <w:tcW w:w="279" w:type="pct"/>
            <w:tcBorders>
              <w:top w:val="nil"/>
              <w:left w:val="single" w:color="auto" w:sz="12" w:space="0"/>
              <w:bottom w:val="nil"/>
              <w:right w:val="dashed" w:color="000000" w:sz="8" w:space="0"/>
            </w:tcBorders>
            <w:vAlign w:val="center"/>
          </w:tcPr>
          <w:p w14:paraId="6E810C4F">
            <w:pPr>
              <w:pStyle w:val="69"/>
              <w:bidi w:val="0"/>
              <w:rPr>
                <w:lang w:val="en-US" w:eastAsia="zh-CN"/>
              </w:rPr>
            </w:pPr>
            <w:r>
              <w:rPr>
                <w:rFonts w:hint="eastAsia"/>
              </w:rPr>
              <w:t>→</w:t>
            </w:r>
          </w:p>
        </w:tc>
        <w:tc>
          <w:tcPr>
            <w:tcW w:w="1384" w:type="pct"/>
            <w:tcBorders>
              <w:top w:val="dashed" w:color="000000" w:sz="8" w:space="0"/>
              <w:left w:val="dashed" w:color="000000" w:sz="8" w:space="0"/>
              <w:bottom w:val="dashed" w:color="000000" w:sz="8" w:space="0"/>
              <w:right w:val="dashed" w:color="000000" w:sz="8" w:space="0"/>
            </w:tcBorders>
            <w:vAlign w:val="center"/>
          </w:tcPr>
          <w:p w14:paraId="15E7E146">
            <w:pPr>
              <w:pStyle w:val="69"/>
              <w:bidi w:val="0"/>
              <w:rPr>
                <w:rFonts w:hint="default"/>
                <w:lang w:val="en-US" w:eastAsia="zh-CN"/>
              </w:rPr>
            </w:pPr>
            <w:r>
              <w:t>总VOCs（含非甲烷总烃）、臭气浓度、</w:t>
            </w:r>
            <w:r>
              <w:rPr>
                <w:rFonts w:hint="eastAsia"/>
              </w:rPr>
              <w:t>废包装桶</w:t>
            </w:r>
          </w:p>
        </w:tc>
      </w:tr>
      <w:tr w14:paraId="3C6D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nil"/>
              <w:bottom w:val="dashed" w:color="000000" w:sz="8" w:space="0"/>
              <w:right w:val="nil"/>
            </w:tcBorders>
            <w:vAlign w:val="center"/>
          </w:tcPr>
          <w:p w14:paraId="1C2B0B34">
            <w:pPr>
              <w:pStyle w:val="69"/>
              <w:bidi w:val="0"/>
              <w:rPr>
                <w:lang w:val="en-US" w:eastAsia="zh-CN"/>
              </w:rPr>
            </w:pPr>
          </w:p>
        </w:tc>
        <w:tc>
          <w:tcPr>
            <w:tcW w:w="235" w:type="pct"/>
            <w:tcBorders>
              <w:top w:val="nil"/>
              <w:left w:val="nil"/>
              <w:bottom w:val="nil"/>
              <w:right w:val="nil"/>
            </w:tcBorders>
            <w:vAlign w:val="center"/>
          </w:tcPr>
          <w:p w14:paraId="31AFC30B">
            <w:pPr>
              <w:pStyle w:val="69"/>
              <w:bidi w:val="0"/>
              <w:rPr>
                <w:lang w:val="en-US" w:eastAsia="zh-CN"/>
              </w:rPr>
            </w:pPr>
          </w:p>
        </w:tc>
        <w:tc>
          <w:tcPr>
            <w:tcW w:w="980" w:type="pct"/>
            <w:tcBorders>
              <w:top w:val="dashed" w:color="000000" w:sz="8" w:space="0"/>
              <w:left w:val="nil"/>
              <w:bottom w:val="dashed" w:color="000000" w:sz="8" w:space="0"/>
              <w:right w:val="nil"/>
            </w:tcBorders>
            <w:vAlign w:val="center"/>
          </w:tcPr>
          <w:p w14:paraId="3124C0E4">
            <w:pPr>
              <w:pStyle w:val="69"/>
              <w:bidi w:val="0"/>
              <w:rPr>
                <w:lang w:val="en-US" w:eastAsia="zh-CN"/>
              </w:rPr>
            </w:pPr>
          </w:p>
        </w:tc>
        <w:tc>
          <w:tcPr>
            <w:tcW w:w="368" w:type="pct"/>
            <w:tcBorders>
              <w:top w:val="nil"/>
              <w:left w:val="nil"/>
              <w:bottom w:val="nil"/>
              <w:right w:val="nil"/>
            </w:tcBorders>
            <w:vAlign w:val="center"/>
          </w:tcPr>
          <w:p w14:paraId="7DB8F2BD">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08C66C3E">
            <w:pPr>
              <w:pStyle w:val="62"/>
              <w:bidi w:val="0"/>
              <w:rPr>
                <w:lang w:val="en-US" w:eastAsia="zh-CN"/>
              </w:rPr>
            </w:pPr>
            <w:r>
              <w:rPr>
                <w:rFonts w:hint="eastAsia"/>
              </w:rPr>
              <w:t>↓</w:t>
            </w:r>
          </w:p>
        </w:tc>
        <w:tc>
          <w:tcPr>
            <w:tcW w:w="279" w:type="pct"/>
            <w:tcBorders>
              <w:top w:val="nil"/>
              <w:left w:val="nil"/>
              <w:bottom w:val="nil"/>
              <w:right w:val="nil"/>
            </w:tcBorders>
            <w:vAlign w:val="center"/>
          </w:tcPr>
          <w:p w14:paraId="7CB567DF">
            <w:pPr>
              <w:pStyle w:val="69"/>
              <w:bidi w:val="0"/>
              <w:rPr>
                <w:lang w:val="en-US" w:eastAsia="zh-CN"/>
              </w:rPr>
            </w:pPr>
          </w:p>
        </w:tc>
        <w:tc>
          <w:tcPr>
            <w:tcW w:w="1384" w:type="pct"/>
            <w:tcBorders>
              <w:top w:val="dashed" w:color="000000" w:sz="8" w:space="0"/>
              <w:left w:val="nil"/>
              <w:bottom w:val="dashed" w:color="000000" w:sz="8" w:space="0"/>
              <w:right w:val="nil"/>
            </w:tcBorders>
            <w:vAlign w:val="center"/>
          </w:tcPr>
          <w:p w14:paraId="1851D9E8">
            <w:pPr>
              <w:pStyle w:val="69"/>
              <w:bidi w:val="0"/>
              <w:rPr>
                <w:lang w:val="en-US" w:eastAsia="zh-CN"/>
              </w:rPr>
            </w:pPr>
          </w:p>
        </w:tc>
      </w:tr>
      <w:tr w14:paraId="19F8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dashed" w:color="000000" w:sz="8" w:space="0"/>
              <w:bottom w:val="dashed" w:color="000000" w:sz="8" w:space="0"/>
              <w:right w:val="dashed" w:color="000000" w:sz="8" w:space="0"/>
            </w:tcBorders>
            <w:vAlign w:val="center"/>
          </w:tcPr>
          <w:p w14:paraId="5124465A">
            <w:pPr>
              <w:pStyle w:val="69"/>
              <w:bidi w:val="0"/>
              <w:rPr>
                <w:lang w:val="en-US" w:eastAsia="zh-CN"/>
              </w:rPr>
            </w:pPr>
            <w:r>
              <w:rPr>
                <w:rFonts w:hint="eastAsia"/>
                <w:lang w:val="en-US" w:eastAsia="zh-CN"/>
              </w:rPr>
              <w:t>十一色印刷机、十色印刷机、墨泵</w:t>
            </w:r>
          </w:p>
        </w:tc>
        <w:tc>
          <w:tcPr>
            <w:tcW w:w="235" w:type="pct"/>
            <w:tcBorders>
              <w:top w:val="nil"/>
              <w:left w:val="dashed" w:color="000000" w:sz="8" w:space="0"/>
              <w:bottom w:val="nil"/>
              <w:right w:val="dashed" w:color="000000" w:sz="8" w:space="0"/>
            </w:tcBorders>
            <w:vAlign w:val="center"/>
          </w:tcPr>
          <w:p w14:paraId="0EEE2059">
            <w:pPr>
              <w:pStyle w:val="69"/>
              <w:bidi w:val="0"/>
              <w:rPr>
                <w:lang w:val="en-US" w:eastAsia="zh-CN"/>
              </w:rPr>
            </w:pPr>
          </w:p>
        </w:tc>
        <w:tc>
          <w:tcPr>
            <w:tcW w:w="980" w:type="pct"/>
            <w:tcBorders>
              <w:top w:val="dashed" w:color="000000" w:sz="8" w:space="0"/>
              <w:left w:val="dashed" w:color="000000" w:sz="8" w:space="0"/>
              <w:bottom w:val="dashed" w:color="000000" w:sz="8" w:space="0"/>
              <w:right w:val="dashed" w:color="000000" w:sz="8" w:space="0"/>
            </w:tcBorders>
            <w:vAlign w:val="center"/>
          </w:tcPr>
          <w:p w14:paraId="02AD58FC">
            <w:pPr>
              <w:pStyle w:val="69"/>
              <w:bidi w:val="0"/>
              <w:rPr>
                <w:lang w:val="en-US" w:eastAsia="zh-CN"/>
              </w:rPr>
            </w:pPr>
            <w:r>
              <w:rPr>
                <w:rFonts w:hint="eastAsia"/>
                <w:lang w:val="en-US" w:eastAsia="zh-CN"/>
              </w:rPr>
              <w:t>溶剂</w:t>
            </w:r>
            <w:r>
              <w:t>油墨、</w:t>
            </w:r>
            <w:r>
              <w:rPr>
                <w:rFonts w:hint="eastAsia"/>
                <w:lang w:val="en-US" w:eastAsia="zh-CN"/>
              </w:rPr>
              <w:t>PVC膜、</w:t>
            </w:r>
            <w:r>
              <w:t>乙酸乙酯</w:t>
            </w:r>
          </w:p>
        </w:tc>
        <w:tc>
          <w:tcPr>
            <w:tcW w:w="368" w:type="pct"/>
            <w:tcBorders>
              <w:top w:val="nil"/>
              <w:left w:val="dashed" w:color="000000" w:sz="8" w:space="0"/>
              <w:bottom w:val="nil"/>
              <w:right w:val="single" w:color="auto" w:sz="12" w:space="0"/>
            </w:tcBorders>
            <w:vAlign w:val="center"/>
          </w:tcPr>
          <w:p w14:paraId="23684815">
            <w:pPr>
              <w:pStyle w:val="69"/>
              <w:bidi w:val="0"/>
              <w:rPr>
                <w:lang w:val="en-US" w:eastAsia="zh-CN"/>
              </w:rPr>
            </w:pPr>
            <w:r>
              <w:rPr>
                <w:rFonts w:hint="eastAsia"/>
              </w:rPr>
              <w:t>→</w:t>
            </w:r>
          </w:p>
        </w:tc>
        <w:tc>
          <w:tcPr>
            <w:tcW w:w="724" w:type="pct"/>
            <w:tcBorders>
              <w:top w:val="single" w:color="auto" w:sz="12" w:space="0"/>
              <w:left w:val="single" w:color="auto" w:sz="12" w:space="0"/>
              <w:bottom w:val="single" w:color="auto" w:sz="12" w:space="0"/>
              <w:right w:val="single" w:color="auto" w:sz="12" w:space="0"/>
            </w:tcBorders>
            <w:vAlign w:val="center"/>
          </w:tcPr>
          <w:p w14:paraId="4E3FE4E4">
            <w:pPr>
              <w:pStyle w:val="62"/>
              <w:bidi w:val="0"/>
              <w:rPr>
                <w:lang w:val="en-US" w:eastAsia="zh-CN"/>
              </w:rPr>
            </w:pPr>
            <w:r>
              <w:rPr>
                <w:rFonts w:hint="eastAsia"/>
                <w:lang w:val="en-US" w:eastAsia="zh-CN"/>
              </w:rPr>
              <w:t>印刷、烘干</w:t>
            </w:r>
          </w:p>
        </w:tc>
        <w:tc>
          <w:tcPr>
            <w:tcW w:w="279" w:type="pct"/>
            <w:tcBorders>
              <w:top w:val="nil"/>
              <w:left w:val="single" w:color="auto" w:sz="12" w:space="0"/>
              <w:bottom w:val="nil"/>
              <w:right w:val="dashed" w:color="000000" w:sz="8" w:space="0"/>
            </w:tcBorders>
            <w:vAlign w:val="center"/>
          </w:tcPr>
          <w:p w14:paraId="302A4763">
            <w:pPr>
              <w:pStyle w:val="69"/>
              <w:bidi w:val="0"/>
              <w:rPr>
                <w:lang w:val="en-US" w:eastAsia="zh-CN"/>
              </w:rPr>
            </w:pPr>
            <w:r>
              <w:rPr>
                <w:rFonts w:hint="eastAsia"/>
              </w:rPr>
              <w:t>→</w:t>
            </w:r>
          </w:p>
        </w:tc>
        <w:tc>
          <w:tcPr>
            <w:tcW w:w="1384" w:type="pct"/>
            <w:tcBorders>
              <w:top w:val="dashed" w:color="000000" w:sz="8" w:space="0"/>
              <w:left w:val="dashed" w:color="000000" w:sz="8" w:space="0"/>
              <w:bottom w:val="dashed" w:color="000000" w:sz="8" w:space="0"/>
              <w:right w:val="dashed" w:color="000000" w:sz="8" w:space="0"/>
            </w:tcBorders>
            <w:vAlign w:val="center"/>
          </w:tcPr>
          <w:p w14:paraId="5D45BC69">
            <w:pPr>
              <w:pStyle w:val="69"/>
              <w:bidi w:val="0"/>
              <w:rPr>
                <w:rFonts w:hint="default"/>
                <w:lang w:val="en-US" w:eastAsia="zh-CN"/>
              </w:rPr>
            </w:pPr>
            <w:r>
              <w:t>总VOCs（含非甲烷总烃）、臭气浓度、</w:t>
            </w:r>
            <w:r>
              <w:rPr>
                <w:rFonts w:hint="eastAsia"/>
              </w:rPr>
              <w:t>废擦机布和手套</w:t>
            </w:r>
            <w:r>
              <w:rPr>
                <w:rFonts w:hint="eastAsia"/>
                <w:lang w:val="en-US" w:eastAsia="zh-CN"/>
              </w:rPr>
              <w:t>、废矿物油及其包装罐</w:t>
            </w:r>
            <w:r>
              <w:t>、</w:t>
            </w:r>
            <w:r>
              <w:rPr>
                <w:rFonts w:hint="eastAsia"/>
              </w:rPr>
              <w:t>废包装桶</w:t>
            </w:r>
          </w:p>
        </w:tc>
      </w:tr>
      <w:tr w14:paraId="7B4C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nil"/>
              <w:bottom w:val="dashed" w:color="auto" w:sz="8" w:space="0"/>
              <w:right w:val="nil"/>
            </w:tcBorders>
            <w:vAlign w:val="center"/>
          </w:tcPr>
          <w:p w14:paraId="2561131E">
            <w:pPr>
              <w:pStyle w:val="69"/>
              <w:bidi w:val="0"/>
              <w:rPr>
                <w:lang w:val="en-US" w:eastAsia="zh-CN"/>
              </w:rPr>
            </w:pPr>
          </w:p>
        </w:tc>
        <w:tc>
          <w:tcPr>
            <w:tcW w:w="235" w:type="pct"/>
            <w:tcBorders>
              <w:top w:val="nil"/>
              <w:left w:val="nil"/>
              <w:bottom w:val="nil"/>
              <w:right w:val="nil"/>
            </w:tcBorders>
            <w:vAlign w:val="center"/>
          </w:tcPr>
          <w:p w14:paraId="0646B014">
            <w:pPr>
              <w:pStyle w:val="69"/>
              <w:bidi w:val="0"/>
              <w:rPr>
                <w:lang w:val="en-US" w:eastAsia="zh-CN"/>
              </w:rPr>
            </w:pPr>
          </w:p>
        </w:tc>
        <w:tc>
          <w:tcPr>
            <w:tcW w:w="980" w:type="pct"/>
            <w:tcBorders>
              <w:top w:val="dashed" w:color="000000" w:sz="8" w:space="0"/>
              <w:left w:val="nil"/>
              <w:bottom w:val="nil"/>
              <w:right w:val="nil"/>
            </w:tcBorders>
            <w:vAlign w:val="center"/>
          </w:tcPr>
          <w:p w14:paraId="1FE4EBC9">
            <w:pPr>
              <w:pStyle w:val="69"/>
              <w:bidi w:val="0"/>
              <w:rPr>
                <w:lang w:val="en-US" w:eastAsia="zh-CN"/>
              </w:rPr>
            </w:pPr>
          </w:p>
        </w:tc>
        <w:tc>
          <w:tcPr>
            <w:tcW w:w="368" w:type="pct"/>
            <w:tcBorders>
              <w:top w:val="nil"/>
              <w:left w:val="nil"/>
              <w:bottom w:val="nil"/>
              <w:right w:val="nil"/>
            </w:tcBorders>
            <w:vAlign w:val="center"/>
          </w:tcPr>
          <w:p w14:paraId="09E56142">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3A6D7469">
            <w:pPr>
              <w:pStyle w:val="62"/>
              <w:bidi w:val="0"/>
              <w:rPr>
                <w:lang w:val="en-US" w:eastAsia="zh-CN"/>
              </w:rPr>
            </w:pPr>
            <w:r>
              <w:rPr>
                <w:rFonts w:hint="eastAsia"/>
              </w:rPr>
              <w:t>↓</w:t>
            </w:r>
          </w:p>
        </w:tc>
        <w:tc>
          <w:tcPr>
            <w:tcW w:w="279" w:type="pct"/>
            <w:tcBorders>
              <w:top w:val="nil"/>
              <w:left w:val="nil"/>
              <w:bottom w:val="nil"/>
              <w:right w:val="nil"/>
            </w:tcBorders>
            <w:vAlign w:val="center"/>
          </w:tcPr>
          <w:p w14:paraId="6DEE5A0E">
            <w:pPr>
              <w:pStyle w:val="69"/>
              <w:bidi w:val="0"/>
              <w:rPr>
                <w:lang w:val="en-US" w:eastAsia="zh-CN"/>
              </w:rPr>
            </w:pPr>
          </w:p>
        </w:tc>
        <w:tc>
          <w:tcPr>
            <w:tcW w:w="1384" w:type="pct"/>
            <w:tcBorders>
              <w:top w:val="dashed" w:color="000000" w:sz="8" w:space="0"/>
              <w:left w:val="nil"/>
              <w:bottom w:val="dashed" w:color="auto" w:sz="8" w:space="0"/>
              <w:right w:val="nil"/>
            </w:tcBorders>
            <w:vAlign w:val="center"/>
          </w:tcPr>
          <w:p w14:paraId="2C4BEEC1">
            <w:pPr>
              <w:pStyle w:val="69"/>
              <w:bidi w:val="0"/>
              <w:rPr>
                <w:lang w:val="en-US" w:eastAsia="zh-CN"/>
              </w:rPr>
            </w:pPr>
          </w:p>
        </w:tc>
      </w:tr>
      <w:tr w14:paraId="44E8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dashed" w:color="auto" w:sz="8" w:space="0"/>
              <w:bottom w:val="dashed" w:color="auto" w:sz="8" w:space="0"/>
              <w:right w:val="dashed" w:color="auto" w:sz="8" w:space="0"/>
            </w:tcBorders>
            <w:vAlign w:val="center"/>
          </w:tcPr>
          <w:p w14:paraId="5F8A87F7">
            <w:pPr>
              <w:pStyle w:val="69"/>
              <w:bidi w:val="0"/>
              <w:rPr>
                <w:lang w:val="en-US" w:eastAsia="zh-CN"/>
              </w:rPr>
            </w:pPr>
            <w:r>
              <w:rPr>
                <w:rFonts w:hint="eastAsia" w:ascii="宋体" w:hAnsi="宋体" w:eastAsia="宋体" w:cs="宋体"/>
                <w:sz w:val="20"/>
                <w:szCs w:val="20"/>
                <w:lang w:val="en-US" w:eastAsia="zh-CN"/>
              </w:rPr>
              <w:t>品检机</w:t>
            </w:r>
          </w:p>
        </w:tc>
        <w:tc>
          <w:tcPr>
            <w:tcW w:w="235" w:type="pct"/>
            <w:tcBorders>
              <w:top w:val="nil"/>
              <w:left w:val="dashed" w:color="auto" w:sz="8" w:space="0"/>
              <w:bottom w:val="nil"/>
              <w:right w:val="nil"/>
            </w:tcBorders>
            <w:vAlign w:val="center"/>
          </w:tcPr>
          <w:p w14:paraId="70A2AB5C">
            <w:pPr>
              <w:pStyle w:val="69"/>
              <w:bidi w:val="0"/>
              <w:rPr>
                <w:lang w:val="en-US" w:eastAsia="zh-CN"/>
              </w:rPr>
            </w:pPr>
          </w:p>
        </w:tc>
        <w:tc>
          <w:tcPr>
            <w:tcW w:w="980" w:type="pct"/>
            <w:tcBorders>
              <w:top w:val="nil"/>
              <w:left w:val="nil"/>
              <w:bottom w:val="nil"/>
              <w:right w:val="nil"/>
            </w:tcBorders>
            <w:vAlign w:val="center"/>
          </w:tcPr>
          <w:p w14:paraId="4B8423E4">
            <w:pPr>
              <w:pStyle w:val="69"/>
              <w:bidi w:val="0"/>
              <w:rPr>
                <w:lang w:val="en-US" w:eastAsia="zh-CN"/>
              </w:rPr>
            </w:pPr>
          </w:p>
        </w:tc>
        <w:tc>
          <w:tcPr>
            <w:tcW w:w="368" w:type="pct"/>
            <w:tcBorders>
              <w:top w:val="nil"/>
              <w:left w:val="nil"/>
              <w:bottom w:val="nil"/>
              <w:right w:val="single" w:color="auto" w:sz="12" w:space="0"/>
            </w:tcBorders>
            <w:vAlign w:val="center"/>
          </w:tcPr>
          <w:p w14:paraId="38CF9CB5">
            <w:pPr>
              <w:pStyle w:val="69"/>
              <w:bidi w:val="0"/>
              <w:rPr>
                <w:lang w:val="en-US" w:eastAsia="zh-CN"/>
              </w:rPr>
            </w:pPr>
          </w:p>
        </w:tc>
        <w:tc>
          <w:tcPr>
            <w:tcW w:w="724" w:type="pct"/>
            <w:tcBorders>
              <w:top w:val="single" w:color="auto" w:sz="12" w:space="0"/>
              <w:left w:val="single" w:color="auto" w:sz="12" w:space="0"/>
              <w:bottom w:val="single" w:color="auto" w:sz="12" w:space="0"/>
              <w:right w:val="single" w:color="auto" w:sz="12" w:space="0"/>
            </w:tcBorders>
            <w:vAlign w:val="center"/>
          </w:tcPr>
          <w:p w14:paraId="2A38E6E0">
            <w:pPr>
              <w:pStyle w:val="62"/>
              <w:bidi w:val="0"/>
              <w:rPr>
                <w:rFonts w:hint="eastAsia"/>
              </w:rPr>
            </w:pPr>
            <w:r>
              <w:rPr>
                <w:rFonts w:ascii="宋体" w:hAnsi="宋体" w:eastAsia="宋体" w:cs="宋体"/>
                <w:b/>
                <w:bCs/>
                <w:sz w:val="24"/>
                <w:szCs w:val="24"/>
              </w:rPr>
              <w:t>品质检验</w:t>
            </w:r>
          </w:p>
        </w:tc>
        <w:tc>
          <w:tcPr>
            <w:tcW w:w="279" w:type="pct"/>
            <w:tcBorders>
              <w:top w:val="nil"/>
              <w:left w:val="single" w:color="auto" w:sz="12" w:space="0"/>
              <w:bottom w:val="nil"/>
              <w:right w:val="dashed" w:color="auto" w:sz="8" w:space="0"/>
            </w:tcBorders>
            <w:shd w:val="clear" w:color="auto" w:fill="auto"/>
            <w:vAlign w:val="center"/>
          </w:tcPr>
          <w:p w14:paraId="7945ADF6">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1384" w:type="pct"/>
            <w:tcBorders>
              <w:top w:val="dashed" w:color="auto" w:sz="8" w:space="0"/>
              <w:left w:val="dashed" w:color="auto" w:sz="8" w:space="0"/>
              <w:bottom w:val="dashed" w:color="auto" w:sz="8" w:space="0"/>
              <w:right w:val="dashed" w:color="auto" w:sz="8" w:space="0"/>
            </w:tcBorders>
            <w:shd w:val="clear" w:color="auto" w:fill="auto"/>
            <w:vAlign w:val="center"/>
          </w:tcPr>
          <w:p w14:paraId="1E7CA92E">
            <w:pPr>
              <w:pStyle w:val="69"/>
              <w:bidi w:val="0"/>
              <w:rPr>
                <w:lang w:val="en-US" w:eastAsia="zh-CN"/>
              </w:rPr>
            </w:pPr>
            <w:r>
              <w:t>次品</w:t>
            </w:r>
          </w:p>
        </w:tc>
      </w:tr>
      <w:tr w14:paraId="7DE8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nil"/>
              <w:bottom w:val="dashed" w:color="auto" w:sz="8" w:space="0"/>
              <w:right w:val="nil"/>
            </w:tcBorders>
            <w:vAlign w:val="center"/>
          </w:tcPr>
          <w:p w14:paraId="36A62EFC">
            <w:pPr>
              <w:pStyle w:val="69"/>
              <w:bidi w:val="0"/>
              <w:rPr>
                <w:lang w:val="en-US" w:eastAsia="zh-CN"/>
              </w:rPr>
            </w:pPr>
          </w:p>
        </w:tc>
        <w:tc>
          <w:tcPr>
            <w:tcW w:w="235" w:type="pct"/>
            <w:tcBorders>
              <w:top w:val="nil"/>
              <w:left w:val="nil"/>
              <w:bottom w:val="nil"/>
              <w:right w:val="nil"/>
            </w:tcBorders>
            <w:vAlign w:val="center"/>
          </w:tcPr>
          <w:p w14:paraId="551DCE7F">
            <w:pPr>
              <w:pStyle w:val="69"/>
              <w:bidi w:val="0"/>
              <w:rPr>
                <w:lang w:val="en-US" w:eastAsia="zh-CN"/>
              </w:rPr>
            </w:pPr>
          </w:p>
        </w:tc>
        <w:tc>
          <w:tcPr>
            <w:tcW w:w="980" w:type="pct"/>
            <w:tcBorders>
              <w:top w:val="nil"/>
              <w:left w:val="nil"/>
              <w:bottom w:val="nil"/>
              <w:right w:val="nil"/>
            </w:tcBorders>
            <w:vAlign w:val="center"/>
          </w:tcPr>
          <w:p w14:paraId="2F688433">
            <w:pPr>
              <w:pStyle w:val="69"/>
              <w:bidi w:val="0"/>
              <w:rPr>
                <w:lang w:val="en-US" w:eastAsia="zh-CN"/>
              </w:rPr>
            </w:pPr>
          </w:p>
        </w:tc>
        <w:tc>
          <w:tcPr>
            <w:tcW w:w="368" w:type="pct"/>
            <w:tcBorders>
              <w:top w:val="nil"/>
              <w:left w:val="nil"/>
              <w:bottom w:val="nil"/>
              <w:right w:val="nil"/>
            </w:tcBorders>
            <w:vAlign w:val="center"/>
          </w:tcPr>
          <w:p w14:paraId="16400971">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6CF3AEB0">
            <w:pPr>
              <w:pStyle w:val="62"/>
              <w:bidi w:val="0"/>
              <w:rPr>
                <w:rFonts w:hint="eastAsia"/>
              </w:rPr>
            </w:pPr>
            <w:r>
              <w:rPr>
                <w:rFonts w:hint="eastAsia"/>
              </w:rPr>
              <w:t>↓</w:t>
            </w:r>
          </w:p>
        </w:tc>
        <w:tc>
          <w:tcPr>
            <w:tcW w:w="279" w:type="pct"/>
            <w:tcBorders>
              <w:top w:val="nil"/>
              <w:left w:val="nil"/>
              <w:bottom w:val="nil"/>
              <w:right w:val="nil"/>
            </w:tcBorders>
            <w:vAlign w:val="center"/>
          </w:tcPr>
          <w:p w14:paraId="0FCE3641">
            <w:pPr>
              <w:pStyle w:val="69"/>
              <w:bidi w:val="0"/>
              <w:rPr>
                <w:lang w:val="en-US" w:eastAsia="zh-CN"/>
              </w:rPr>
            </w:pPr>
          </w:p>
        </w:tc>
        <w:tc>
          <w:tcPr>
            <w:tcW w:w="1384" w:type="pct"/>
            <w:tcBorders>
              <w:top w:val="dashed" w:color="auto" w:sz="8" w:space="0"/>
              <w:left w:val="nil"/>
              <w:bottom w:val="dashed" w:color="auto" w:sz="8" w:space="0"/>
              <w:right w:val="nil"/>
            </w:tcBorders>
            <w:vAlign w:val="center"/>
          </w:tcPr>
          <w:p w14:paraId="5D0939BB">
            <w:pPr>
              <w:pStyle w:val="69"/>
              <w:bidi w:val="0"/>
              <w:rPr>
                <w:lang w:val="en-US" w:eastAsia="zh-CN"/>
              </w:rPr>
            </w:pPr>
          </w:p>
        </w:tc>
      </w:tr>
      <w:tr w14:paraId="7FC0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dashed" w:color="auto" w:sz="8" w:space="0"/>
              <w:bottom w:val="dashed" w:color="auto" w:sz="8" w:space="0"/>
              <w:right w:val="dashed" w:color="auto" w:sz="8" w:space="0"/>
            </w:tcBorders>
            <w:shd w:val="clear" w:color="auto" w:fill="auto"/>
            <w:vAlign w:val="center"/>
          </w:tcPr>
          <w:p w14:paraId="2469DF77">
            <w:pPr>
              <w:pStyle w:val="69"/>
              <w:bidi w:val="0"/>
              <w:ind w:firstLine="0" w:firstLineChars="0"/>
              <w:rPr>
                <w:rFonts w:hint="eastAsia" w:ascii="Times New Roman" w:hAnsi="Times New Roman" w:eastAsia="宋体" w:cs="Times New Roman"/>
                <w:kern w:val="2"/>
                <w:sz w:val="21"/>
                <w:szCs w:val="21"/>
                <w:lang w:val="en-US" w:eastAsia="zh-CN" w:bidi="ar-SA"/>
              </w:rPr>
            </w:pPr>
            <w:r>
              <w:rPr>
                <w:rFonts w:hint="eastAsia"/>
                <w:lang w:val="en-US" w:eastAsia="zh-CN"/>
              </w:rPr>
              <w:t>分切机</w:t>
            </w:r>
          </w:p>
        </w:tc>
        <w:tc>
          <w:tcPr>
            <w:tcW w:w="235" w:type="pct"/>
            <w:tcBorders>
              <w:top w:val="nil"/>
              <w:left w:val="dashed" w:color="auto" w:sz="8" w:space="0"/>
              <w:bottom w:val="nil"/>
              <w:right w:val="nil"/>
            </w:tcBorders>
            <w:shd w:val="clear" w:color="auto" w:fill="auto"/>
            <w:vAlign w:val="center"/>
          </w:tcPr>
          <w:p w14:paraId="0DD8D000">
            <w:pPr>
              <w:pStyle w:val="69"/>
              <w:bidi w:val="0"/>
              <w:ind w:firstLine="0" w:firstLineChars="0"/>
              <w:rPr>
                <w:rFonts w:ascii="Times New Roman" w:hAnsi="Times New Roman" w:eastAsia="宋体" w:cs="Times New Roman"/>
                <w:kern w:val="2"/>
                <w:sz w:val="21"/>
                <w:szCs w:val="21"/>
                <w:lang w:val="en-US" w:eastAsia="zh-CN" w:bidi="ar-SA"/>
              </w:rPr>
            </w:pPr>
          </w:p>
        </w:tc>
        <w:tc>
          <w:tcPr>
            <w:tcW w:w="980" w:type="pct"/>
            <w:tcBorders>
              <w:top w:val="nil"/>
              <w:left w:val="nil"/>
              <w:bottom w:val="nil"/>
              <w:right w:val="nil"/>
            </w:tcBorders>
            <w:shd w:val="clear" w:color="auto" w:fill="auto"/>
            <w:vAlign w:val="center"/>
          </w:tcPr>
          <w:p w14:paraId="7FCF623B">
            <w:pPr>
              <w:pStyle w:val="69"/>
              <w:bidi w:val="0"/>
              <w:ind w:firstLine="0" w:firstLineChars="0"/>
              <w:rPr>
                <w:rFonts w:hint="eastAsia" w:ascii="Times New Roman" w:hAnsi="Times New Roman" w:eastAsia="宋体" w:cs="Times New Roman"/>
                <w:kern w:val="2"/>
                <w:sz w:val="21"/>
                <w:szCs w:val="21"/>
                <w:lang w:val="en-US" w:eastAsia="zh-CN" w:bidi="ar-SA"/>
              </w:rPr>
            </w:pPr>
          </w:p>
        </w:tc>
        <w:tc>
          <w:tcPr>
            <w:tcW w:w="368" w:type="pct"/>
            <w:tcBorders>
              <w:top w:val="nil"/>
              <w:left w:val="nil"/>
              <w:bottom w:val="nil"/>
              <w:right w:val="single" w:color="auto" w:sz="12" w:space="0"/>
            </w:tcBorders>
            <w:shd w:val="clear" w:color="auto" w:fill="auto"/>
            <w:vAlign w:val="center"/>
          </w:tcPr>
          <w:p w14:paraId="25149B66">
            <w:pPr>
              <w:pStyle w:val="69"/>
              <w:bidi w:val="0"/>
              <w:ind w:firstLine="0" w:firstLineChars="0"/>
              <w:rPr>
                <w:rFonts w:ascii="Times New Roman" w:hAnsi="Times New Roman" w:eastAsia="宋体" w:cs="Times New Roman"/>
                <w:kern w:val="2"/>
                <w:sz w:val="21"/>
                <w:szCs w:val="21"/>
                <w:lang w:val="en-US" w:eastAsia="zh-CN" w:bidi="ar-SA"/>
              </w:rPr>
            </w:pPr>
          </w:p>
        </w:tc>
        <w:tc>
          <w:tcPr>
            <w:tcW w:w="724" w:type="pct"/>
            <w:tcBorders>
              <w:top w:val="single" w:color="auto" w:sz="12" w:space="0"/>
              <w:left w:val="single" w:color="auto" w:sz="12" w:space="0"/>
              <w:bottom w:val="single" w:color="auto" w:sz="12" w:space="0"/>
              <w:right w:val="single" w:color="auto" w:sz="12" w:space="0"/>
            </w:tcBorders>
            <w:shd w:val="clear" w:color="auto" w:fill="auto"/>
            <w:vAlign w:val="center"/>
          </w:tcPr>
          <w:p w14:paraId="3DC39027">
            <w:pPr>
              <w:pStyle w:val="62"/>
              <w:bidi w:val="0"/>
              <w:ind w:firstLine="0" w:firstLineChars="0"/>
              <w:rPr>
                <w:rFonts w:hint="eastAsia" w:ascii="Times New Roman" w:hAnsi="Times New Roman" w:eastAsia="宋体" w:cs="Times New Roman"/>
                <w:b/>
                <w:kern w:val="0"/>
                <w:sz w:val="24"/>
                <w:szCs w:val="22"/>
                <w:lang w:val="en-US" w:eastAsia="zh-CN" w:bidi="ar-SA"/>
              </w:rPr>
            </w:pPr>
            <w:r>
              <w:rPr>
                <w:rFonts w:hint="eastAsia"/>
                <w:lang w:val="en-US" w:eastAsia="zh-CN"/>
              </w:rPr>
              <w:t>分切</w:t>
            </w:r>
          </w:p>
        </w:tc>
        <w:tc>
          <w:tcPr>
            <w:tcW w:w="279" w:type="pct"/>
            <w:tcBorders>
              <w:top w:val="nil"/>
              <w:left w:val="single" w:color="auto" w:sz="12" w:space="0"/>
              <w:bottom w:val="nil"/>
              <w:right w:val="dashed" w:color="auto" w:sz="8" w:space="0"/>
            </w:tcBorders>
            <w:shd w:val="clear" w:color="auto" w:fill="auto"/>
            <w:vAlign w:val="center"/>
          </w:tcPr>
          <w:p w14:paraId="70EB2D27">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1384" w:type="pct"/>
            <w:tcBorders>
              <w:top w:val="dashed" w:color="auto" w:sz="8" w:space="0"/>
              <w:left w:val="dashed" w:color="auto" w:sz="8" w:space="0"/>
              <w:bottom w:val="dashed" w:color="auto" w:sz="8" w:space="0"/>
              <w:right w:val="dashed" w:color="auto" w:sz="8" w:space="0"/>
            </w:tcBorders>
            <w:shd w:val="clear" w:color="auto" w:fill="auto"/>
            <w:vAlign w:val="center"/>
          </w:tcPr>
          <w:p w14:paraId="757A320C">
            <w:pPr>
              <w:pStyle w:val="69"/>
              <w:bidi w:val="0"/>
              <w:rPr>
                <w:rFonts w:hint="eastAsia"/>
                <w:lang w:val="en-US" w:eastAsia="zh-CN"/>
              </w:rPr>
            </w:pPr>
            <w:r>
              <w:rPr>
                <w:rFonts w:hint="eastAsia"/>
                <w:lang w:val="en-US" w:eastAsia="zh-CN"/>
              </w:rPr>
              <w:t>噪声、边角料</w:t>
            </w:r>
          </w:p>
        </w:tc>
      </w:tr>
      <w:tr w14:paraId="784F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nil"/>
              <w:bottom w:val="nil"/>
              <w:right w:val="nil"/>
            </w:tcBorders>
            <w:vAlign w:val="center"/>
          </w:tcPr>
          <w:p w14:paraId="56A4E70F">
            <w:pPr>
              <w:pStyle w:val="69"/>
              <w:bidi w:val="0"/>
              <w:rPr>
                <w:lang w:val="en-US" w:eastAsia="zh-CN"/>
              </w:rPr>
            </w:pPr>
          </w:p>
        </w:tc>
        <w:tc>
          <w:tcPr>
            <w:tcW w:w="235" w:type="pct"/>
            <w:tcBorders>
              <w:top w:val="nil"/>
              <w:left w:val="nil"/>
              <w:bottom w:val="nil"/>
              <w:right w:val="nil"/>
            </w:tcBorders>
            <w:vAlign w:val="center"/>
          </w:tcPr>
          <w:p w14:paraId="50843945">
            <w:pPr>
              <w:pStyle w:val="69"/>
              <w:bidi w:val="0"/>
              <w:rPr>
                <w:lang w:val="en-US" w:eastAsia="zh-CN"/>
              </w:rPr>
            </w:pPr>
          </w:p>
        </w:tc>
        <w:tc>
          <w:tcPr>
            <w:tcW w:w="980" w:type="pct"/>
            <w:tcBorders>
              <w:top w:val="nil"/>
              <w:left w:val="nil"/>
              <w:bottom w:val="nil"/>
              <w:right w:val="nil"/>
            </w:tcBorders>
            <w:vAlign w:val="center"/>
          </w:tcPr>
          <w:p w14:paraId="372DB7E6">
            <w:pPr>
              <w:pStyle w:val="69"/>
              <w:bidi w:val="0"/>
              <w:rPr>
                <w:lang w:val="en-US" w:eastAsia="zh-CN"/>
              </w:rPr>
            </w:pPr>
          </w:p>
        </w:tc>
        <w:tc>
          <w:tcPr>
            <w:tcW w:w="368" w:type="pct"/>
            <w:tcBorders>
              <w:top w:val="nil"/>
              <w:left w:val="nil"/>
              <w:bottom w:val="nil"/>
              <w:right w:val="nil"/>
            </w:tcBorders>
            <w:vAlign w:val="center"/>
          </w:tcPr>
          <w:p w14:paraId="45DE4A69">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5FE31972">
            <w:pPr>
              <w:pStyle w:val="62"/>
              <w:bidi w:val="0"/>
              <w:rPr>
                <w:rFonts w:hint="eastAsia"/>
                <w:lang w:val="en-US" w:eastAsia="zh-CN"/>
              </w:rPr>
            </w:pPr>
            <w:r>
              <w:rPr>
                <w:rFonts w:hint="eastAsia"/>
              </w:rPr>
              <w:t>↓</w:t>
            </w:r>
          </w:p>
        </w:tc>
        <w:tc>
          <w:tcPr>
            <w:tcW w:w="279" w:type="pct"/>
            <w:tcBorders>
              <w:top w:val="nil"/>
              <w:left w:val="nil"/>
              <w:bottom w:val="nil"/>
              <w:right w:val="nil"/>
            </w:tcBorders>
            <w:vAlign w:val="center"/>
          </w:tcPr>
          <w:p w14:paraId="097E7CEA">
            <w:pPr>
              <w:pStyle w:val="69"/>
              <w:bidi w:val="0"/>
              <w:rPr>
                <w:lang w:val="en-US" w:eastAsia="zh-CN"/>
              </w:rPr>
            </w:pPr>
          </w:p>
        </w:tc>
        <w:tc>
          <w:tcPr>
            <w:tcW w:w="1384" w:type="pct"/>
            <w:tcBorders>
              <w:top w:val="dashed" w:color="auto" w:sz="8" w:space="0"/>
              <w:left w:val="nil"/>
              <w:bottom w:val="dashed" w:color="auto" w:sz="8" w:space="0"/>
              <w:right w:val="nil"/>
            </w:tcBorders>
            <w:vAlign w:val="center"/>
          </w:tcPr>
          <w:p w14:paraId="0FDFC3AF">
            <w:pPr>
              <w:pStyle w:val="69"/>
              <w:bidi w:val="0"/>
              <w:rPr>
                <w:lang w:val="en-US" w:eastAsia="zh-CN"/>
              </w:rPr>
            </w:pPr>
          </w:p>
        </w:tc>
      </w:tr>
      <w:tr w14:paraId="3061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nil"/>
              <w:left w:val="nil"/>
              <w:bottom w:val="nil"/>
              <w:right w:val="nil"/>
            </w:tcBorders>
            <w:vAlign w:val="center"/>
          </w:tcPr>
          <w:p w14:paraId="274C570A">
            <w:pPr>
              <w:pStyle w:val="69"/>
              <w:bidi w:val="0"/>
              <w:rPr>
                <w:lang w:val="en-US" w:eastAsia="zh-CN"/>
              </w:rPr>
            </w:pPr>
          </w:p>
        </w:tc>
        <w:tc>
          <w:tcPr>
            <w:tcW w:w="235" w:type="pct"/>
            <w:tcBorders>
              <w:top w:val="nil"/>
              <w:left w:val="nil"/>
              <w:bottom w:val="nil"/>
              <w:right w:val="nil"/>
            </w:tcBorders>
            <w:vAlign w:val="center"/>
          </w:tcPr>
          <w:p w14:paraId="2DA3E468">
            <w:pPr>
              <w:pStyle w:val="69"/>
              <w:bidi w:val="0"/>
              <w:rPr>
                <w:lang w:val="en-US" w:eastAsia="zh-CN"/>
              </w:rPr>
            </w:pPr>
          </w:p>
        </w:tc>
        <w:tc>
          <w:tcPr>
            <w:tcW w:w="980" w:type="pct"/>
            <w:tcBorders>
              <w:top w:val="nil"/>
              <w:left w:val="nil"/>
              <w:bottom w:val="nil"/>
              <w:right w:val="nil"/>
            </w:tcBorders>
            <w:vAlign w:val="center"/>
          </w:tcPr>
          <w:p w14:paraId="2B1A10C1">
            <w:pPr>
              <w:pStyle w:val="69"/>
              <w:bidi w:val="0"/>
              <w:rPr>
                <w:lang w:val="en-US" w:eastAsia="zh-CN"/>
              </w:rPr>
            </w:pPr>
          </w:p>
        </w:tc>
        <w:tc>
          <w:tcPr>
            <w:tcW w:w="368" w:type="pct"/>
            <w:tcBorders>
              <w:top w:val="nil"/>
              <w:left w:val="nil"/>
              <w:bottom w:val="nil"/>
              <w:right w:val="single" w:color="auto" w:sz="12" w:space="0"/>
            </w:tcBorders>
            <w:vAlign w:val="center"/>
          </w:tcPr>
          <w:p w14:paraId="75DE4A6C">
            <w:pPr>
              <w:pStyle w:val="69"/>
              <w:bidi w:val="0"/>
              <w:rPr>
                <w:lang w:val="en-US" w:eastAsia="zh-CN"/>
              </w:rPr>
            </w:pPr>
          </w:p>
        </w:tc>
        <w:tc>
          <w:tcPr>
            <w:tcW w:w="724" w:type="pct"/>
            <w:tcBorders>
              <w:top w:val="single" w:color="auto" w:sz="12" w:space="0"/>
              <w:left w:val="single" w:color="auto" w:sz="12" w:space="0"/>
              <w:bottom w:val="single" w:color="auto" w:sz="12" w:space="0"/>
              <w:right w:val="single" w:color="auto" w:sz="12" w:space="0"/>
            </w:tcBorders>
            <w:vAlign w:val="center"/>
          </w:tcPr>
          <w:p w14:paraId="793C414F">
            <w:pPr>
              <w:pStyle w:val="62"/>
              <w:bidi w:val="0"/>
              <w:rPr>
                <w:rFonts w:hint="eastAsia" w:eastAsia="宋体"/>
                <w:lang w:eastAsia="zh-CN"/>
              </w:rPr>
            </w:pPr>
            <w:r>
              <w:rPr>
                <w:rFonts w:hint="eastAsia" w:ascii="宋体" w:hAnsi="宋体" w:eastAsia="宋体" w:cs="宋体"/>
                <w:b/>
                <w:bCs/>
                <w:sz w:val="24"/>
                <w:szCs w:val="24"/>
                <w:lang w:val="en-US" w:eastAsia="zh-CN"/>
              </w:rPr>
              <w:t>复检</w:t>
            </w:r>
          </w:p>
        </w:tc>
        <w:tc>
          <w:tcPr>
            <w:tcW w:w="279" w:type="pct"/>
            <w:tcBorders>
              <w:top w:val="nil"/>
              <w:left w:val="single" w:color="auto" w:sz="12" w:space="0"/>
              <w:bottom w:val="nil"/>
              <w:right w:val="dashed" w:color="auto" w:sz="8" w:space="0"/>
            </w:tcBorders>
            <w:vAlign w:val="center"/>
          </w:tcPr>
          <w:p w14:paraId="791D13A5">
            <w:pPr>
              <w:pStyle w:val="69"/>
              <w:bidi w:val="0"/>
              <w:rPr>
                <w:lang w:val="en-US" w:eastAsia="zh-CN"/>
              </w:rPr>
            </w:pPr>
            <w:r>
              <w:rPr>
                <w:rFonts w:hint="eastAsia"/>
              </w:rPr>
              <w:t>→</w:t>
            </w:r>
          </w:p>
        </w:tc>
        <w:tc>
          <w:tcPr>
            <w:tcW w:w="1384" w:type="pct"/>
            <w:tcBorders>
              <w:top w:val="dashed" w:color="auto" w:sz="8" w:space="0"/>
              <w:left w:val="dashed" w:color="auto" w:sz="8" w:space="0"/>
              <w:bottom w:val="dashed" w:color="auto" w:sz="8" w:space="0"/>
              <w:right w:val="dashed" w:color="auto" w:sz="8" w:space="0"/>
            </w:tcBorders>
            <w:vAlign w:val="center"/>
          </w:tcPr>
          <w:p w14:paraId="77F61DB2">
            <w:pPr>
              <w:pStyle w:val="69"/>
              <w:bidi w:val="0"/>
              <w:rPr>
                <w:lang w:val="en-US" w:eastAsia="zh-CN"/>
              </w:rPr>
            </w:pPr>
            <w:r>
              <w:t>次品</w:t>
            </w:r>
          </w:p>
        </w:tc>
      </w:tr>
      <w:tr w14:paraId="70CE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nil"/>
              <w:left w:val="nil"/>
              <w:bottom w:val="dashed" w:color="000000" w:sz="8" w:space="0"/>
              <w:right w:val="nil"/>
            </w:tcBorders>
            <w:vAlign w:val="center"/>
          </w:tcPr>
          <w:p w14:paraId="11BD04B9">
            <w:pPr>
              <w:pStyle w:val="69"/>
              <w:bidi w:val="0"/>
              <w:rPr>
                <w:lang w:val="en-US" w:eastAsia="zh-CN"/>
              </w:rPr>
            </w:pPr>
          </w:p>
        </w:tc>
        <w:tc>
          <w:tcPr>
            <w:tcW w:w="235" w:type="pct"/>
            <w:tcBorders>
              <w:top w:val="nil"/>
              <w:left w:val="nil"/>
              <w:bottom w:val="nil"/>
              <w:right w:val="nil"/>
            </w:tcBorders>
            <w:vAlign w:val="center"/>
          </w:tcPr>
          <w:p w14:paraId="40BAAA17">
            <w:pPr>
              <w:pStyle w:val="69"/>
              <w:bidi w:val="0"/>
              <w:rPr>
                <w:lang w:val="en-US" w:eastAsia="zh-CN"/>
              </w:rPr>
            </w:pPr>
          </w:p>
        </w:tc>
        <w:tc>
          <w:tcPr>
            <w:tcW w:w="980" w:type="pct"/>
            <w:tcBorders>
              <w:top w:val="nil"/>
              <w:left w:val="nil"/>
              <w:bottom w:val="dashed" w:color="auto" w:sz="8" w:space="0"/>
              <w:right w:val="nil"/>
            </w:tcBorders>
            <w:vAlign w:val="center"/>
          </w:tcPr>
          <w:p w14:paraId="7CE21D86">
            <w:pPr>
              <w:pStyle w:val="69"/>
              <w:bidi w:val="0"/>
              <w:rPr>
                <w:lang w:val="en-US" w:eastAsia="zh-CN"/>
              </w:rPr>
            </w:pPr>
          </w:p>
        </w:tc>
        <w:tc>
          <w:tcPr>
            <w:tcW w:w="368" w:type="pct"/>
            <w:tcBorders>
              <w:top w:val="nil"/>
              <w:left w:val="nil"/>
              <w:bottom w:val="nil"/>
              <w:right w:val="nil"/>
            </w:tcBorders>
            <w:vAlign w:val="center"/>
          </w:tcPr>
          <w:p w14:paraId="6B5A0CE9">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2ED52C61">
            <w:pPr>
              <w:pStyle w:val="62"/>
              <w:bidi w:val="0"/>
              <w:rPr>
                <w:rFonts w:hint="eastAsia"/>
              </w:rPr>
            </w:pPr>
            <w:r>
              <w:rPr>
                <w:rFonts w:hint="eastAsia"/>
              </w:rPr>
              <w:t>↓</w:t>
            </w:r>
          </w:p>
        </w:tc>
        <w:tc>
          <w:tcPr>
            <w:tcW w:w="279" w:type="pct"/>
            <w:tcBorders>
              <w:top w:val="nil"/>
              <w:left w:val="nil"/>
              <w:bottom w:val="nil"/>
              <w:right w:val="nil"/>
            </w:tcBorders>
            <w:vAlign w:val="center"/>
          </w:tcPr>
          <w:p w14:paraId="712C9A02">
            <w:pPr>
              <w:pStyle w:val="69"/>
              <w:bidi w:val="0"/>
              <w:rPr>
                <w:lang w:val="en-US" w:eastAsia="zh-CN"/>
              </w:rPr>
            </w:pPr>
          </w:p>
        </w:tc>
        <w:tc>
          <w:tcPr>
            <w:tcW w:w="1384" w:type="pct"/>
            <w:tcBorders>
              <w:top w:val="dashed" w:color="auto" w:sz="8" w:space="0"/>
              <w:left w:val="nil"/>
              <w:bottom w:val="dashed" w:color="000000" w:sz="8" w:space="0"/>
              <w:right w:val="nil"/>
            </w:tcBorders>
            <w:vAlign w:val="center"/>
          </w:tcPr>
          <w:p w14:paraId="14C6BC6E">
            <w:pPr>
              <w:pStyle w:val="69"/>
              <w:bidi w:val="0"/>
              <w:rPr>
                <w:lang w:val="en-US" w:eastAsia="zh-CN"/>
              </w:rPr>
            </w:pPr>
          </w:p>
        </w:tc>
      </w:tr>
      <w:tr w14:paraId="28CF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dashed" w:color="000000" w:sz="8" w:space="0"/>
              <w:bottom w:val="dashed" w:color="000000" w:sz="8" w:space="0"/>
              <w:right w:val="dashed" w:color="000000" w:sz="8" w:space="0"/>
            </w:tcBorders>
            <w:vAlign w:val="center"/>
          </w:tcPr>
          <w:p w14:paraId="4A7F39BE">
            <w:pPr>
              <w:pStyle w:val="69"/>
              <w:bidi w:val="0"/>
              <w:rPr>
                <w:rFonts w:hint="default"/>
                <w:lang w:val="en-US" w:eastAsia="zh-CN"/>
              </w:rPr>
            </w:pPr>
            <w:r>
              <w:rPr>
                <w:rFonts w:hint="eastAsia"/>
                <w:lang w:val="en-US" w:eastAsia="zh-CN"/>
              </w:rPr>
              <w:t>合掌机</w:t>
            </w:r>
          </w:p>
        </w:tc>
        <w:tc>
          <w:tcPr>
            <w:tcW w:w="235" w:type="pct"/>
            <w:tcBorders>
              <w:top w:val="nil"/>
              <w:left w:val="dashed" w:color="000000" w:sz="8" w:space="0"/>
              <w:bottom w:val="nil"/>
              <w:right w:val="dashed" w:color="auto" w:sz="8" w:space="0"/>
            </w:tcBorders>
            <w:vAlign w:val="center"/>
          </w:tcPr>
          <w:p w14:paraId="0B5E71FD">
            <w:pPr>
              <w:pStyle w:val="69"/>
              <w:bidi w:val="0"/>
              <w:rPr>
                <w:lang w:val="en-US" w:eastAsia="zh-CN"/>
              </w:rPr>
            </w:pPr>
          </w:p>
        </w:tc>
        <w:tc>
          <w:tcPr>
            <w:tcW w:w="980" w:type="pct"/>
            <w:tcBorders>
              <w:top w:val="dashed" w:color="auto" w:sz="8" w:space="0"/>
              <w:left w:val="dashed" w:color="auto" w:sz="8" w:space="0"/>
              <w:bottom w:val="dashed" w:color="auto" w:sz="8" w:space="0"/>
              <w:right w:val="dashed" w:color="auto" w:sz="8" w:space="0"/>
            </w:tcBorders>
            <w:vAlign w:val="center"/>
          </w:tcPr>
          <w:p w14:paraId="4974424E">
            <w:pPr>
              <w:pStyle w:val="69"/>
              <w:bidi w:val="0"/>
              <w:rPr>
                <w:rFonts w:hint="default"/>
                <w:lang w:val="en-US" w:eastAsia="zh-CN"/>
              </w:rPr>
            </w:pPr>
            <w:r>
              <w:rPr>
                <w:rFonts w:hint="eastAsia"/>
                <w:lang w:val="en-US" w:eastAsia="zh-CN"/>
              </w:rPr>
              <w:t>四氢呋喃</w:t>
            </w:r>
          </w:p>
        </w:tc>
        <w:tc>
          <w:tcPr>
            <w:tcW w:w="368" w:type="pct"/>
            <w:tcBorders>
              <w:top w:val="nil"/>
              <w:left w:val="dashed" w:color="auto" w:sz="8" w:space="0"/>
              <w:bottom w:val="nil"/>
              <w:right w:val="single" w:color="auto" w:sz="12" w:space="0"/>
            </w:tcBorders>
            <w:vAlign w:val="center"/>
          </w:tcPr>
          <w:p w14:paraId="2DA3413C">
            <w:pPr>
              <w:pStyle w:val="69"/>
              <w:bidi w:val="0"/>
              <w:rPr>
                <w:lang w:val="en-US" w:eastAsia="zh-CN"/>
              </w:rPr>
            </w:pPr>
            <w:r>
              <w:rPr>
                <w:rFonts w:hint="eastAsia"/>
              </w:rPr>
              <w:t>→</w:t>
            </w:r>
          </w:p>
        </w:tc>
        <w:tc>
          <w:tcPr>
            <w:tcW w:w="724" w:type="pct"/>
            <w:tcBorders>
              <w:top w:val="single" w:color="auto" w:sz="12" w:space="0"/>
              <w:left w:val="single" w:color="auto" w:sz="12" w:space="0"/>
              <w:bottom w:val="single" w:color="auto" w:sz="12" w:space="0"/>
              <w:right w:val="single" w:color="auto" w:sz="12" w:space="0"/>
            </w:tcBorders>
            <w:vAlign w:val="center"/>
          </w:tcPr>
          <w:p w14:paraId="4265D3FE">
            <w:pPr>
              <w:pStyle w:val="62"/>
              <w:bidi w:val="0"/>
              <w:rPr>
                <w:rFonts w:hint="default"/>
                <w:lang w:val="en-US" w:eastAsia="zh-CN"/>
              </w:rPr>
            </w:pPr>
            <w:r>
              <w:rPr>
                <w:rFonts w:hint="eastAsia"/>
                <w:lang w:val="en-US" w:eastAsia="zh-CN"/>
              </w:rPr>
              <w:t>合掌</w:t>
            </w:r>
          </w:p>
        </w:tc>
        <w:tc>
          <w:tcPr>
            <w:tcW w:w="279" w:type="pct"/>
            <w:tcBorders>
              <w:top w:val="nil"/>
              <w:left w:val="single" w:color="auto" w:sz="12" w:space="0"/>
              <w:bottom w:val="nil"/>
              <w:right w:val="dashed" w:color="000000" w:sz="8" w:space="0"/>
            </w:tcBorders>
            <w:vAlign w:val="center"/>
          </w:tcPr>
          <w:p w14:paraId="55C2CAAC">
            <w:pPr>
              <w:pStyle w:val="69"/>
              <w:bidi w:val="0"/>
              <w:rPr>
                <w:lang w:val="en-US" w:eastAsia="zh-CN"/>
              </w:rPr>
            </w:pPr>
            <w:r>
              <w:rPr>
                <w:rFonts w:hint="eastAsia"/>
              </w:rPr>
              <w:t>→</w:t>
            </w:r>
          </w:p>
        </w:tc>
        <w:tc>
          <w:tcPr>
            <w:tcW w:w="1384" w:type="pct"/>
            <w:tcBorders>
              <w:top w:val="dashed" w:color="000000" w:sz="8" w:space="0"/>
              <w:left w:val="dashed" w:color="000000" w:sz="8" w:space="0"/>
              <w:bottom w:val="dashed" w:color="000000" w:sz="8" w:space="0"/>
              <w:right w:val="dashed" w:color="000000" w:sz="8" w:space="0"/>
            </w:tcBorders>
            <w:vAlign w:val="center"/>
          </w:tcPr>
          <w:p w14:paraId="55FA5944">
            <w:pPr>
              <w:pStyle w:val="69"/>
              <w:bidi w:val="0"/>
              <w:rPr>
                <w:rFonts w:hint="default"/>
                <w:lang w:val="en-US" w:eastAsia="zh-CN"/>
              </w:rPr>
            </w:pPr>
            <w:r>
              <w:t>总VOCs</w:t>
            </w:r>
          </w:p>
        </w:tc>
      </w:tr>
      <w:tr w14:paraId="398D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nil"/>
              <w:bottom w:val="dashed" w:color="auto" w:sz="8" w:space="0"/>
              <w:right w:val="nil"/>
            </w:tcBorders>
            <w:vAlign w:val="center"/>
          </w:tcPr>
          <w:p w14:paraId="578C8289">
            <w:pPr>
              <w:pStyle w:val="69"/>
              <w:bidi w:val="0"/>
              <w:rPr>
                <w:lang w:val="en-US" w:eastAsia="zh-CN"/>
              </w:rPr>
            </w:pPr>
          </w:p>
        </w:tc>
        <w:tc>
          <w:tcPr>
            <w:tcW w:w="235" w:type="pct"/>
            <w:tcBorders>
              <w:top w:val="nil"/>
              <w:left w:val="nil"/>
              <w:bottom w:val="nil"/>
              <w:right w:val="nil"/>
            </w:tcBorders>
            <w:vAlign w:val="center"/>
          </w:tcPr>
          <w:p w14:paraId="30A760C8">
            <w:pPr>
              <w:pStyle w:val="69"/>
              <w:bidi w:val="0"/>
              <w:rPr>
                <w:lang w:val="en-US" w:eastAsia="zh-CN"/>
              </w:rPr>
            </w:pPr>
          </w:p>
        </w:tc>
        <w:tc>
          <w:tcPr>
            <w:tcW w:w="980" w:type="pct"/>
            <w:tcBorders>
              <w:top w:val="dashed" w:color="auto" w:sz="8" w:space="0"/>
              <w:left w:val="nil"/>
              <w:bottom w:val="nil"/>
              <w:right w:val="nil"/>
            </w:tcBorders>
            <w:vAlign w:val="center"/>
          </w:tcPr>
          <w:p w14:paraId="4BBAE4AD">
            <w:pPr>
              <w:pStyle w:val="69"/>
              <w:bidi w:val="0"/>
              <w:rPr>
                <w:lang w:val="en-US" w:eastAsia="zh-CN"/>
              </w:rPr>
            </w:pPr>
          </w:p>
        </w:tc>
        <w:tc>
          <w:tcPr>
            <w:tcW w:w="368" w:type="pct"/>
            <w:tcBorders>
              <w:top w:val="nil"/>
              <w:left w:val="nil"/>
              <w:bottom w:val="nil"/>
              <w:right w:val="nil"/>
            </w:tcBorders>
            <w:vAlign w:val="center"/>
          </w:tcPr>
          <w:p w14:paraId="6CF1ED09">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74BE5C45">
            <w:pPr>
              <w:pStyle w:val="62"/>
              <w:bidi w:val="0"/>
              <w:rPr>
                <w:lang w:val="en-US" w:eastAsia="zh-CN"/>
              </w:rPr>
            </w:pPr>
            <w:r>
              <w:rPr>
                <w:rFonts w:hint="eastAsia"/>
              </w:rPr>
              <w:t>↓</w:t>
            </w:r>
          </w:p>
        </w:tc>
        <w:tc>
          <w:tcPr>
            <w:tcW w:w="279" w:type="pct"/>
            <w:tcBorders>
              <w:top w:val="nil"/>
              <w:left w:val="nil"/>
              <w:bottom w:val="nil"/>
              <w:right w:val="nil"/>
            </w:tcBorders>
            <w:vAlign w:val="center"/>
          </w:tcPr>
          <w:p w14:paraId="05AFE122">
            <w:pPr>
              <w:pStyle w:val="69"/>
              <w:bidi w:val="0"/>
              <w:rPr>
                <w:lang w:val="en-US" w:eastAsia="zh-CN"/>
              </w:rPr>
            </w:pPr>
          </w:p>
        </w:tc>
        <w:tc>
          <w:tcPr>
            <w:tcW w:w="1384" w:type="pct"/>
            <w:tcBorders>
              <w:top w:val="dashed" w:color="000000" w:sz="8" w:space="0"/>
              <w:left w:val="nil"/>
              <w:bottom w:val="dashed" w:color="auto" w:sz="8" w:space="0"/>
              <w:right w:val="nil"/>
            </w:tcBorders>
            <w:vAlign w:val="center"/>
          </w:tcPr>
          <w:p w14:paraId="588A0F61">
            <w:pPr>
              <w:pStyle w:val="69"/>
              <w:bidi w:val="0"/>
              <w:rPr>
                <w:lang w:val="en-US" w:eastAsia="zh-CN"/>
              </w:rPr>
            </w:pPr>
          </w:p>
        </w:tc>
      </w:tr>
      <w:tr w14:paraId="34B5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dashed" w:color="auto" w:sz="8" w:space="0"/>
              <w:bottom w:val="dashed" w:color="auto" w:sz="8" w:space="0"/>
              <w:right w:val="dashed" w:color="auto" w:sz="8" w:space="0"/>
            </w:tcBorders>
            <w:vAlign w:val="center"/>
          </w:tcPr>
          <w:p w14:paraId="35CA9FFA">
            <w:pPr>
              <w:pStyle w:val="69"/>
              <w:bidi w:val="0"/>
              <w:rPr>
                <w:rFonts w:hint="default"/>
                <w:lang w:val="en-US" w:eastAsia="zh-CN"/>
              </w:rPr>
            </w:pPr>
            <w:r>
              <w:rPr>
                <w:rFonts w:hint="eastAsia"/>
                <w:lang w:val="en-US" w:eastAsia="zh-CN"/>
              </w:rPr>
              <w:t>打孔机</w:t>
            </w:r>
          </w:p>
        </w:tc>
        <w:tc>
          <w:tcPr>
            <w:tcW w:w="235" w:type="pct"/>
            <w:tcBorders>
              <w:top w:val="nil"/>
              <w:left w:val="dashed" w:color="auto" w:sz="8" w:space="0"/>
              <w:bottom w:val="nil"/>
              <w:right w:val="nil"/>
            </w:tcBorders>
            <w:vAlign w:val="center"/>
          </w:tcPr>
          <w:p w14:paraId="1564A4D1">
            <w:pPr>
              <w:pStyle w:val="69"/>
              <w:bidi w:val="0"/>
              <w:rPr>
                <w:lang w:val="en-US" w:eastAsia="zh-CN"/>
              </w:rPr>
            </w:pPr>
          </w:p>
        </w:tc>
        <w:tc>
          <w:tcPr>
            <w:tcW w:w="980" w:type="pct"/>
            <w:tcBorders>
              <w:top w:val="nil"/>
              <w:left w:val="nil"/>
              <w:bottom w:val="nil"/>
              <w:right w:val="nil"/>
            </w:tcBorders>
            <w:vAlign w:val="center"/>
          </w:tcPr>
          <w:p w14:paraId="27A656F4">
            <w:pPr>
              <w:pStyle w:val="69"/>
              <w:bidi w:val="0"/>
              <w:rPr>
                <w:lang w:val="en-US" w:eastAsia="zh-CN"/>
              </w:rPr>
            </w:pPr>
          </w:p>
        </w:tc>
        <w:tc>
          <w:tcPr>
            <w:tcW w:w="368" w:type="pct"/>
            <w:tcBorders>
              <w:top w:val="nil"/>
              <w:left w:val="nil"/>
              <w:bottom w:val="nil"/>
              <w:right w:val="single" w:color="auto" w:sz="12" w:space="0"/>
            </w:tcBorders>
            <w:vAlign w:val="center"/>
          </w:tcPr>
          <w:p w14:paraId="07EA3813">
            <w:pPr>
              <w:pStyle w:val="69"/>
              <w:bidi w:val="0"/>
              <w:rPr>
                <w:lang w:val="en-US" w:eastAsia="zh-CN"/>
              </w:rPr>
            </w:pPr>
          </w:p>
        </w:tc>
        <w:tc>
          <w:tcPr>
            <w:tcW w:w="724" w:type="pct"/>
            <w:tcBorders>
              <w:top w:val="single" w:color="auto" w:sz="12" w:space="0"/>
              <w:left w:val="single" w:color="auto" w:sz="12" w:space="0"/>
              <w:bottom w:val="single" w:color="auto" w:sz="12" w:space="0"/>
              <w:right w:val="single" w:color="auto" w:sz="12" w:space="0"/>
            </w:tcBorders>
            <w:vAlign w:val="center"/>
          </w:tcPr>
          <w:p w14:paraId="2516D204">
            <w:pPr>
              <w:pStyle w:val="62"/>
              <w:bidi w:val="0"/>
              <w:rPr>
                <w:rFonts w:hint="eastAsia"/>
              </w:rPr>
            </w:pPr>
            <w:r>
              <w:rPr>
                <w:rFonts w:hint="eastAsia"/>
                <w:lang w:val="en-US" w:eastAsia="zh-CN"/>
              </w:rPr>
              <w:t>打孔</w:t>
            </w:r>
          </w:p>
        </w:tc>
        <w:tc>
          <w:tcPr>
            <w:tcW w:w="279" w:type="pct"/>
            <w:tcBorders>
              <w:top w:val="nil"/>
              <w:left w:val="single" w:color="auto" w:sz="12" w:space="0"/>
              <w:bottom w:val="nil"/>
              <w:right w:val="dashed" w:color="auto" w:sz="8" w:space="0"/>
            </w:tcBorders>
            <w:vAlign w:val="center"/>
          </w:tcPr>
          <w:p w14:paraId="1DA63B4E">
            <w:pPr>
              <w:pStyle w:val="69"/>
              <w:bidi w:val="0"/>
              <w:rPr>
                <w:lang w:val="en-US" w:eastAsia="zh-CN"/>
              </w:rPr>
            </w:pPr>
            <w:r>
              <w:rPr>
                <w:rFonts w:hint="eastAsia"/>
              </w:rPr>
              <w:t>→</w:t>
            </w:r>
          </w:p>
        </w:tc>
        <w:tc>
          <w:tcPr>
            <w:tcW w:w="1384" w:type="pct"/>
            <w:tcBorders>
              <w:top w:val="dashed" w:color="auto" w:sz="8" w:space="0"/>
              <w:left w:val="dashed" w:color="auto" w:sz="8" w:space="0"/>
              <w:bottom w:val="dashed" w:color="auto" w:sz="8" w:space="0"/>
              <w:right w:val="dashed" w:color="auto" w:sz="8" w:space="0"/>
            </w:tcBorders>
            <w:vAlign w:val="center"/>
          </w:tcPr>
          <w:p w14:paraId="1069F297">
            <w:pPr>
              <w:pStyle w:val="69"/>
              <w:bidi w:val="0"/>
              <w:rPr>
                <w:lang w:val="en-US" w:eastAsia="zh-CN"/>
              </w:rPr>
            </w:pPr>
            <w:r>
              <w:rPr>
                <w:rFonts w:hint="eastAsia"/>
                <w:lang w:val="en-US" w:eastAsia="zh-CN"/>
              </w:rPr>
              <w:t>噪声、边角料</w:t>
            </w:r>
          </w:p>
        </w:tc>
      </w:tr>
      <w:tr w14:paraId="578C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nil"/>
              <w:bottom w:val="dashed" w:color="000000" w:sz="8" w:space="0"/>
              <w:right w:val="nil"/>
            </w:tcBorders>
            <w:vAlign w:val="center"/>
          </w:tcPr>
          <w:p w14:paraId="24167871">
            <w:pPr>
              <w:pStyle w:val="69"/>
              <w:bidi w:val="0"/>
              <w:rPr>
                <w:lang w:val="en-US" w:eastAsia="zh-CN"/>
              </w:rPr>
            </w:pPr>
          </w:p>
        </w:tc>
        <w:tc>
          <w:tcPr>
            <w:tcW w:w="235" w:type="pct"/>
            <w:tcBorders>
              <w:top w:val="nil"/>
              <w:left w:val="nil"/>
              <w:bottom w:val="nil"/>
              <w:right w:val="nil"/>
            </w:tcBorders>
            <w:vAlign w:val="center"/>
          </w:tcPr>
          <w:p w14:paraId="02BF7531">
            <w:pPr>
              <w:pStyle w:val="69"/>
              <w:bidi w:val="0"/>
              <w:rPr>
                <w:lang w:val="en-US" w:eastAsia="zh-CN"/>
              </w:rPr>
            </w:pPr>
          </w:p>
        </w:tc>
        <w:tc>
          <w:tcPr>
            <w:tcW w:w="980" w:type="pct"/>
            <w:tcBorders>
              <w:top w:val="nil"/>
              <w:left w:val="nil"/>
              <w:bottom w:val="nil"/>
              <w:right w:val="nil"/>
            </w:tcBorders>
            <w:vAlign w:val="center"/>
          </w:tcPr>
          <w:p w14:paraId="5641C0EE">
            <w:pPr>
              <w:pStyle w:val="69"/>
              <w:bidi w:val="0"/>
              <w:rPr>
                <w:lang w:val="en-US" w:eastAsia="zh-CN"/>
              </w:rPr>
            </w:pPr>
          </w:p>
        </w:tc>
        <w:tc>
          <w:tcPr>
            <w:tcW w:w="368" w:type="pct"/>
            <w:tcBorders>
              <w:top w:val="nil"/>
              <w:left w:val="nil"/>
              <w:bottom w:val="nil"/>
              <w:right w:val="nil"/>
            </w:tcBorders>
            <w:vAlign w:val="center"/>
          </w:tcPr>
          <w:p w14:paraId="6F58636E">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5678BB76">
            <w:pPr>
              <w:pStyle w:val="62"/>
              <w:bidi w:val="0"/>
              <w:rPr>
                <w:rFonts w:hint="eastAsia"/>
              </w:rPr>
            </w:pPr>
            <w:r>
              <w:rPr>
                <w:rFonts w:hint="eastAsia"/>
              </w:rPr>
              <w:t>↓</w:t>
            </w:r>
          </w:p>
        </w:tc>
        <w:tc>
          <w:tcPr>
            <w:tcW w:w="279" w:type="pct"/>
            <w:tcBorders>
              <w:top w:val="nil"/>
              <w:left w:val="nil"/>
              <w:bottom w:val="nil"/>
              <w:right w:val="nil"/>
            </w:tcBorders>
            <w:vAlign w:val="center"/>
          </w:tcPr>
          <w:p w14:paraId="55912DEE">
            <w:pPr>
              <w:pStyle w:val="69"/>
              <w:bidi w:val="0"/>
              <w:rPr>
                <w:lang w:val="en-US" w:eastAsia="zh-CN"/>
              </w:rPr>
            </w:pPr>
          </w:p>
        </w:tc>
        <w:tc>
          <w:tcPr>
            <w:tcW w:w="1384" w:type="pct"/>
            <w:tcBorders>
              <w:top w:val="dashed" w:color="auto" w:sz="8" w:space="0"/>
              <w:left w:val="nil"/>
              <w:bottom w:val="dashed" w:color="000000" w:sz="8" w:space="0"/>
              <w:right w:val="nil"/>
            </w:tcBorders>
            <w:vAlign w:val="center"/>
          </w:tcPr>
          <w:p w14:paraId="010B001D">
            <w:pPr>
              <w:pStyle w:val="69"/>
              <w:bidi w:val="0"/>
              <w:rPr>
                <w:lang w:val="en-US" w:eastAsia="zh-CN"/>
              </w:rPr>
            </w:pPr>
          </w:p>
        </w:tc>
      </w:tr>
      <w:tr w14:paraId="361B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dashed" w:color="000000" w:sz="8" w:space="0"/>
              <w:bottom w:val="dashed" w:color="000000" w:sz="8" w:space="0"/>
              <w:right w:val="dashed" w:color="000000" w:sz="8" w:space="0"/>
            </w:tcBorders>
            <w:vAlign w:val="center"/>
          </w:tcPr>
          <w:p w14:paraId="09E1FB60">
            <w:pPr>
              <w:pStyle w:val="69"/>
              <w:bidi w:val="0"/>
              <w:rPr>
                <w:rFonts w:hint="default"/>
                <w:lang w:val="en-US" w:eastAsia="zh-CN"/>
              </w:rPr>
            </w:pPr>
            <w:r>
              <w:rPr>
                <w:rFonts w:hint="eastAsia"/>
                <w:lang w:val="en-US" w:eastAsia="zh-CN"/>
              </w:rPr>
              <w:t>定型机</w:t>
            </w:r>
          </w:p>
        </w:tc>
        <w:tc>
          <w:tcPr>
            <w:tcW w:w="235" w:type="pct"/>
            <w:tcBorders>
              <w:top w:val="nil"/>
              <w:left w:val="dashed" w:color="000000" w:sz="8" w:space="0"/>
              <w:bottom w:val="nil"/>
              <w:right w:val="nil"/>
            </w:tcBorders>
            <w:vAlign w:val="center"/>
          </w:tcPr>
          <w:p w14:paraId="003011B2">
            <w:pPr>
              <w:pStyle w:val="69"/>
              <w:bidi w:val="0"/>
              <w:rPr>
                <w:lang w:val="en-US" w:eastAsia="zh-CN"/>
              </w:rPr>
            </w:pPr>
          </w:p>
        </w:tc>
        <w:tc>
          <w:tcPr>
            <w:tcW w:w="980" w:type="pct"/>
            <w:tcBorders>
              <w:top w:val="nil"/>
              <w:left w:val="nil"/>
              <w:bottom w:val="nil"/>
              <w:right w:val="nil"/>
            </w:tcBorders>
            <w:vAlign w:val="center"/>
          </w:tcPr>
          <w:p w14:paraId="58F2F423">
            <w:pPr>
              <w:pStyle w:val="69"/>
              <w:bidi w:val="0"/>
              <w:rPr>
                <w:lang w:val="en-US" w:eastAsia="zh-CN"/>
              </w:rPr>
            </w:pPr>
          </w:p>
        </w:tc>
        <w:tc>
          <w:tcPr>
            <w:tcW w:w="368" w:type="pct"/>
            <w:tcBorders>
              <w:top w:val="nil"/>
              <w:left w:val="nil"/>
              <w:bottom w:val="nil"/>
              <w:right w:val="single" w:color="auto" w:sz="12" w:space="0"/>
            </w:tcBorders>
            <w:vAlign w:val="center"/>
          </w:tcPr>
          <w:p w14:paraId="15B64DF9">
            <w:pPr>
              <w:pStyle w:val="69"/>
              <w:bidi w:val="0"/>
              <w:rPr>
                <w:lang w:val="en-US" w:eastAsia="zh-CN"/>
              </w:rPr>
            </w:pPr>
          </w:p>
        </w:tc>
        <w:tc>
          <w:tcPr>
            <w:tcW w:w="724" w:type="pct"/>
            <w:tcBorders>
              <w:top w:val="single" w:color="auto" w:sz="12" w:space="0"/>
              <w:left w:val="single" w:color="auto" w:sz="12" w:space="0"/>
              <w:bottom w:val="single" w:color="auto" w:sz="12" w:space="0"/>
              <w:right w:val="single" w:color="auto" w:sz="12" w:space="0"/>
            </w:tcBorders>
            <w:vAlign w:val="center"/>
          </w:tcPr>
          <w:p w14:paraId="0B0B62EF">
            <w:pPr>
              <w:pStyle w:val="62"/>
              <w:bidi w:val="0"/>
              <w:rPr>
                <w:rFonts w:hint="eastAsia"/>
                <w:lang w:val="en-US" w:eastAsia="zh-CN"/>
              </w:rPr>
            </w:pPr>
            <w:r>
              <w:rPr>
                <w:rFonts w:hint="eastAsia"/>
                <w:lang w:val="en-US" w:eastAsia="zh-CN"/>
              </w:rPr>
              <w:t>定型</w:t>
            </w:r>
          </w:p>
        </w:tc>
        <w:tc>
          <w:tcPr>
            <w:tcW w:w="279" w:type="pct"/>
            <w:tcBorders>
              <w:top w:val="nil"/>
              <w:left w:val="single" w:color="auto" w:sz="12" w:space="0"/>
              <w:bottom w:val="nil"/>
              <w:right w:val="dashed" w:color="000000" w:sz="8" w:space="0"/>
            </w:tcBorders>
            <w:vAlign w:val="center"/>
          </w:tcPr>
          <w:p w14:paraId="48F83D03">
            <w:pPr>
              <w:pStyle w:val="69"/>
              <w:bidi w:val="0"/>
              <w:rPr>
                <w:lang w:val="en-US" w:eastAsia="zh-CN"/>
              </w:rPr>
            </w:pPr>
            <w:r>
              <w:rPr>
                <w:rFonts w:hint="eastAsia"/>
              </w:rPr>
              <w:t>→</w:t>
            </w:r>
          </w:p>
        </w:tc>
        <w:tc>
          <w:tcPr>
            <w:tcW w:w="1384" w:type="pct"/>
            <w:tcBorders>
              <w:top w:val="dashed" w:color="000000" w:sz="8" w:space="0"/>
              <w:left w:val="dashed" w:color="000000" w:sz="8" w:space="0"/>
              <w:bottom w:val="dashed" w:color="000000" w:sz="8" w:space="0"/>
              <w:right w:val="dashed" w:color="000000" w:sz="8" w:space="0"/>
            </w:tcBorders>
            <w:vAlign w:val="center"/>
          </w:tcPr>
          <w:p w14:paraId="1A0390C5">
            <w:pPr>
              <w:pStyle w:val="69"/>
              <w:bidi w:val="0"/>
              <w:rPr>
                <w:rFonts w:hint="default"/>
                <w:lang w:val="en-US" w:eastAsia="zh-CN"/>
              </w:rPr>
            </w:pPr>
            <w:r>
              <w:rPr>
                <w:rFonts w:hint="eastAsia"/>
                <w:lang w:val="en-US" w:eastAsia="zh-CN"/>
              </w:rPr>
              <w:t>NMHC、</w:t>
            </w:r>
            <w:r>
              <w:rPr>
                <w:rFonts w:hint="eastAsia" w:ascii="Times New Roman" w:hAnsi="Times New Roman" w:cs="Times New Roman"/>
                <w:color w:val="auto"/>
              </w:rPr>
              <w:t>HCl、氯乙烯、乙烯、</w:t>
            </w:r>
            <w:r>
              <w:rPr>
                <w:rFonts w:hint="eastAsia" w:ascii="Times New Roman" w:hAnsi="Times New Roman" w:cs="Times New Roman"/>
                <w:color w:val="auto"/>
                <w:lang w:val="en-US" w:eastAsia="zh-CN"/>
              </w:rPr>
              <w:t>一氯己烷、二氯甲烷、三氯甲烷、</w:t>
            </w:r>
            <w:r>
              <w:rPr>
                <w:rFonts w:hint="eastAsia" w:ascii="Times New Roman" w:hAnsi="Times New Roman" w:cs="Times New Roman"/>
                <w:color w:val="auto"/>
              </w:rPr>
              <w:t>二氯乙烯、四氯化碳、三氯乙烯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二氯乙烷、苯、甲苯、四氯乙烯</w:t>
            </w:r>
          </w:p>
        </w:tc>
      </w:tr>
      <w:tr w14:paraId="7EE7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nil"/>
              <w:bottom w:val="nil"/>
              <w:right w:val="nil"/>
            </w:tcBorders>
            <w:vAlign w:val="center"/>
          </w:tcPr>
          <w:p w14:paraId="318F30AD">
            <w:pPr>
              <w:pStyle w:val="69"/>
              <w:bidi w:val="0"/>
              <w:rPr>
                <w:lang w:val="en-US" w:eastAsia="zh-CN"/>
              </w:rPr>
            </w:pPr>
          </w:p>
        </w:tc>
        <w:tc>
          <w:tcPr>
            <w:tcW w:w="235" w:type="pct"/>
            <w:tcBorders>
              <w:top w:val="nil"/>
              <w:left w:val="nil"/>
              <w:bottom w:val="nil"/>
              <w:right w:val="nil"/>
            </w:tcBorders>
            <w:vAlign w:val="center"/>
          </w:tcPr>
          <w:p w14:paraId="6FEF7F91">
            <w:pPr>
              <w:pStyle w:val="69"/>
              <w:bidi w:val="0"/>
              <w:rPr>
                <w:lang w:val="en-US" w:eastAsia="zh-CN"/>
              </w:rPr>
            </w:pPr>
          </w:p>
        </w:tc>
        <w:tc>
          <w:tcPr>
            <w:tcW w:w="980" w:type="pct"/>
            <w:tcBorders>
              <w:top w:val="nil"/>
              <w:left w:val="nil"/>
              <w:bottom w:val="nil"/>
              <w:right w:val="nil"/>
            </w:tcBorders>
            <w:vAlign w:val="center"/>
          </w:tcPr>
          <w:p w14:paraId="1F3988EC">
            <w:pPr>
              <w:pStyle w:val="69"/>
              <w:bidi w:val="0"/>
              <w:rPr>
                <w:lang w:val="en-US" w:eastAsia="zh-CN"/>
              </w:rPr>
            </w:pPr>
          </w:p>
        </w:tc>
        <w:tc>
          <w:tcPr>
            <w:tcW w:w="368" w:type="pct"/>
            <w:tcBorders>
              <w:top w:val="nil"/>
              <w:left w:val="nil"/>
              <w:bottom w:val="nil"/>
              <w:right w:val="nil"/>
            </w:tcBorders>
            <w:vAlign w:val="center"/>
          </w:tcPr>
          <w:p w14:paraId="233DF077">
            <w:pPr>
              <w:pStyle w:val="69"/>
              <w:bidi w:val="0"/>
              <w:rPr>
                <w:lang w:val="en-US" w:eastAsia="zh-CN"/>
              </w:rPr>
            </w:pPr>
          </w:p>
        </w:tc>
        <w:tc>
          <w:tcPr>
            <w:tcW w:w="724" w:type="pct"/>
            <w:tcBorders>
              <w:top w:val="single" w:color="auto" w:sz="12" w:space="0"/>
              <w:left w:val="nil"/>
              <w:bottom w:val="nil"/>
              <w:right w:val="nil"/>
            </w:tcBorders>
            <w:vAlign w:val="center"/>
          </w:tcPr>
          <w:p w14:paraId="487FCFB4">
            <w:pPr>
              <w:pStyle w:val="62"/>
              <w:bidi w:val="0"/>
              <w:rPr>
                <w:rFonts w:hint="eastAsia"/>
                <w:lang w:val="en-US" w:eastAsia="zh-CN"/>
              </w:rPr>
            </w:pPr>
            <w:r>
              <w:rPr>
                <w:rFonts w:hint="eastAsia"/>
              </w:rPr>
              <w:t>↓</w:t>
            </w:r>
          </w:p>
        </w:tc>
        <w:tc>
          <w:tcPr>
            <w:tcW w:w="279" w:type="pct"/>
            <w:tcBorders>
              <w:top w:val="nil"/>
              <w:left w:val="nil"/>
              <w:bottom w:val="nil"/>
              <w:right w:val="nil"/>
            </w:tcBorders>
            <w:vAlign w:val="center"/>
          </w:tcPr>
          <w:p w14:paraId="09371346">
            <w:pPr>
              <w:pStyle w:val="69"/>
              <w:bidi w:val="0"/>
              <w:rPr>
                <w:lang w:val="en-US" w:eastAsia="zh-CN"/>
              </w:rPr>
            </w:pPr>
          </w:p>
        </w:tc>
        <w:tc>
          <w:tcPr>
            <w:tcW w:w="1384" w:type="pct"/>
            <w:tcBorders>
              <w:top w:val="dashed" w:color="000000" w:sz="8" w:space="0"/>
              <w:left w:val="nil"/>
              <w:bottom w:val="nil"/>
              <w:right w:val="nil"/>
            </w:tcBorders>
            <w:vAlign w:val="center"/>
          </w:tcPr>
          <w:p w14:paraId="19F12580">
            <w:pPr>
              <w:pStyle w:val="69"/>
              <w:bidi w:val="0"/>
              <w:rPr>
                <w:lang w:val="en-US" w:eastAsia="zh-CN"/>
              </w:rPr>
            </w:pPr>
          </w:p>
        </w:tc>
      </w:tr>
      <w:tr w14:paraId="07B4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nil"/>
              <w:left w:val="nil"/>
              <w:bottom w:val="nil"/>
              <w:right w:val="nil"/>
            </w:tcBorders>
            <w:vAlign w:val="center"/>
          </w:tcPr>
          <w:p w14:paraId="3EB22CAD">
            <w:pPr>
              <w:pStyle w:val="69"/>
              <w:bidi w:val="0"/>
              <w:rPr>
                <w:rFonts w:hint="eastAsia"/>
                <w:lang w:val="en-US" w:eastAsia="zh-CN"/>
              </w:rPr>
            </w:pPr>
          </w:p>
        </w:tc>
        <w:tc>
          <w:tcPr>
            <w:tcW w:w="235" w:type="pct"/>
            <w:tcBorders>
              <w:top w:val="nil"/>
              <w:left w:val="nil"/>
              <w:bottom w:val="nil"/>
              <w:right w:val="nil"/>
            </w:tcBorders>
            <w:vAlign w:val="center"/>
          </w:tcPr>
          <w:p w14:paraId="60C6D393">
            <w:pPr>
              <w:pStyle w:val="69"/>
              <w:bidi w:val="0"/>
              <w:rPr>
                <w:lang w:val="en-US" w:eastAsia="zh-CN"/>
              </w:rPr>
            </w:pPr>
          </w:p>
        </w:tc>
        <w:tc>
          <w:tcPr>
            <w:tcW w:w="980" w:type="pct"/>
            <w:tcBorders>
              <w:top w:val="nil"/>
              <w:left w:val="nil"/>
              <w:bottom w:val="nil"/>
              <w:right w:val="nil"/>
            </w:tcBorders>
            <w:vAlign w:val="center"/>
          </w:tcPr>
          <w:p w14:paraId="7BE7FCA7">
            <w:pPr>
              <w:pStyle w:val="69"/>
              <w:bidi w:val="0"/>
              <w:rPr>
                <w:lang w:val="en-US" w:eastAsia="zh-CN"/>
              </w:rPr>
            </w:pPr>
          </w:p>
        </w:tc>
        <w:tc>
          <w:tcPr>
            <w:tcW w:w="1372" w:type="pct"/>
            <w:gridSpan w:val="3"/>
            <w:tcBorders>
              <w:top w:val="nil"/>
              <w:left w:val="nil"/>
              <w:bottom w:val="nil"/>
              <w:right w:val="nil"/>
            </w:tcBorders>
            <w:vAlign w:val="center"/>
          </w:tcPr>
          <w:p w14:paraId="5CEC1A5D">
            <w:pPr>
              <w:pStyle w:val="69"/>
              <w:bidi w:val="0"/>
              <w:rPr>
                <w:lang w:val="en-US" w:eastAsia="zh-CN"/>
              </w:rPr>
            </w:pPr>
            <w:r>
              <w:rPr>
                <w:rFonts w:hint="eastAsia"/>
                <w:lang w:val="en-US" w:eastAsia="zh-CN"/>
              </w:rPr>
              <w:t>食品用PVC卷膜</w:t>
            </w:r>
          </w:p>
        </w:tc>
        <w:tc>
          <w:tcPr>
            <w:tcW w:w="1384" w:type="pct"/>
            <w:tcBorders>
              <w:top w:val="nil"/>
              <w:left w:val="nil"/>
              <w:bottom w:val="nil"/>
              <w:right w:val="nil"/>
            </w:tcBorders>
            <w:vAlign w:val="center"/>
          </w:tcPr>
          <w:p w14:paraId="416F3344">
            <w:pPr>
              <w:pStyle w:val="69"/>
              <w:bidi w:val="0"/>
              <w:rPr>
                <w:lang w:val="en-US" w:eastAsia="zh-CN"/>
              </w:rPr>
            </w:pPr>
          </w:p>
        </w:tc>
      </w:tr>
    </w:tbl>
    <w:p w14:paraId="63D78DE0">
      <w:pPr>
        <w:pStyle w:val="64"/>
        <w:numPr>
          <w:ilvl w:val="2"/>
          <w:numId w:val="8"/>
        </w:numPr>
        <w:spacing w:before="156" w:after="156"/>
        <w:ind w:left="709" w:leftChars="0" w:hanging="709" w:firstLineChars="0"/>
        <w:rPr>
          <w:rFonts w:hint="eastAsia"/>
          <w:color w:val="auto"/>
        </w:rPr>
      </w:pPr>
      <w:r>
        <w:rPr>
          <w:rFonts w:hint="eastAsia"/>
          <w:lang w:val="en-US" w:eastAsia="zh-CN"/>
        </w:rPr>
        <w:t>食品用PET/OPP卷膜</w:t>
      </w:r>
      <w:r>
        <w:rPr>
          <w:rFonts w:hint="eastAsia"/>
          <w:color w:val="auto"/>
        </w:rPr>
        <w:t>生产工艺流程</w:t>
      </w:r>
    </w:p>
    <w:tbl>
      <w:tblPr>
        <w:tblStyle w:val="3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4"/>
        <w:gridCol w:w="435"/>
        <w:gridCol w:w="1820"/>
        <w:gridCol w:w="682"/>
        <w:gridCol w:w="1344"/>
        <w:gridCol w:w="524"/>
        <w:gridCol w:w="2572"/>
      </w:tblGrid>
      <w:tr w14:paraId="63BC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26" w:type="pct"/>
            <w:tcBorders>
              <w:top w:val="nil"/>
              <w:left w:val="nil"/>
              <w:bottom w:val="dashed" w:color="000000" w:sz="8" w:space="0"/>
              <w:right w:val="nil"/>
            </w:tcBorders>
            <w:vAlign w:val="center"/>
          </w:tcPr>
          <w:p w14:paraId="4DDC7E99">
            <w:pPr>
              <w:pStyle w:val="69"/>
              <w:bidi w:val="0"/>
            </w:pPr>
            <w:r>
              <w:rPr>
                <w:rFonts w:hint="eastAsia"/>
              </w:rPr>
              <w:t>所用设备</w:t>
            </w:r>
          </w:p>
        </w:tc>
        <w:tc>
          <w:tcPr>
            <w:tcW w:w="234" w:type="pct"/>
            <w:tcBorders>
              <w:top w:val="nil"/>
              <w:left w:val="nil"/>
              <w:bottom w:val="nil"/>
              <w:right w:val="nil"/>
            </w:tcBorders>
            <w:vAlign w:val="center"/>
          </w:tcPr>
          <w:p w14:paraId="54C60A52">
            <w:pPr>
              <w:pStyle w:val="69"/>
              <w:bidi w:val="0"/>
            </w:pPr>
          </w:p>
        </w:tc>
        <w:tc>
          <w:tcPr>
            <w:tcW w:w="980" w:type="pct"/>
            <w:tcBorders>
              <w:top w:val="nil"/>
              <w:left w:val="nil"/>
              <w:bottom w:val="dashed" w:color="000000" w:sz="8" w:space="0"/>
              <w:right w:val="nil"/>
            </w:tcBorders>
            <w:vAlign w:val="center"/>
          </w:tcPr>
          <w:p w14:paraId="57A6C4E1">
            <w:pPr>
              <w:pStyle w:val="69"/>
              <w:bidi w:val="0"/>
            </w:pPr>
            <w:r>
              <w:rPr>
                <w:rFonts w:hint="eastAsia"/>
              </w:rPr>
              <w:t>原料</w:t>
            </w:r>
          </w:p>
        </w:tc>
        <w:tc>
          <w:tcPr>
            <w:tcW w:w="367" w:type="pct"/>
            <w:tcBorders>
              <w:top w:val="nil"/>
              <w:left w:val="nil"/>
              <w:bottom w:val="nil"/>
              <w:right w:val="nil"/>
            </w:tcBorders>
            <w:vAlign w:val="center"/>
          </w:tcPr>
          <w:p w14:paraId="1DE4C7D3">
            <w:pPr>
              <w:pStyle w:val="69"/>
              <w:bidi w:val="0"/>
            </w:pPr>
          </w:p>
        </w:tc>
        <w:tc>
          <w:tcPr>
            <w:tcW w:w="724" w:type="pct"/>
            <w:tcBorders>
              <w:top w:val="nil"/>
              <w:left w:val="nil"/>
              <w:bottom w:val="single" w:color="auto" w:sz="12" w:space="0"/>
              <w:right w:val="nil"/>
            </w:tcBorders>
            <w:vAlign w:val="center"/>
          </w:tcPr>
          <w:p w14:paraId="25FD166C">
            <w:pPr>
              <w:pStyle w:val="62"/>
              <w:bidi w:val="0"/>
            </w:pPr>
            <w:r>
              <w:rPr>
                <w:rFonts w:hint="eastAsia"/>
              </w:rPr>
              <w:t>工序</w:t>
            </w:r>
          </w:p>
        </w:tc>
        <w:tc>
          <w:tcPr>
            <w:tcW w:w="281" w:type="pct"/>
            <w:tcBorders>
              <w:top w:val="nil"/>
              <w:left w:val="nil"/>
              <w:bottom w:val="nil"/>
              <w:right w:val="nil"/>
            </w:tcBorders>
            <w:vAlign w:val="center"/>
          </w:tcPr>
          <w:p w14:paraId="07BD1A28">
            <w:pPr>
              <w:pStyle w:val="69"/>
              <w:bidi w:val="0"/>
            </w:pPr>
          </w:p>
        </w:tc>
        <w:tc>
          <w:tcPr>
            <w:tcW w:w="1385" w:type="pct"/>
            <w:tcBorders>
              <w:top w:val="nil"/>
              <w:left w:val="nil"/>
              <w:bottom w:val="dashed" w:color="000000" w:sz="8" w:space="0"/>
              <w:right w:val="nil"/>
            </w:tcBorders>
            <w:vAlign w:val="center"/>
          </w:tcPr>
          <w:p w14:paraId="35EACCAC">
            <w:pPr>
              <w:pStyle w:val="69"/>
              <w:bidi w:val="0"/>
            </w:pPr>
            <w:r>
              <w:rPr>
                <w:rFonts w:hint="eastAsia"/>
              </w:rPr>
              <w:t>污染物</w:t>
            </w:r>
          </w:p>
        </w:tc>
      </w:tr>
      <w:tr w14:paraId="61DB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dashed" w:color="000000" w:sz="8" w:space="0"/>
              <w:bottom w:val="dashed" w:color="000000" w:sz="8" w:space="0"/>
              <w:right w:val="dashed" w:color="000000" w:sz="8" w:space="0"/>
            </w:tcBorders>
            <w:vAlign w:val="center"/>
          </w:tcPr>
          <w:p w14:paraId="6A77D496">
            <w:pPr>
              <w:pStyle w:val="69"/>
              <w:bidi w:val="0"/>
              <w:rPr>
                <w:rFonts w:hint="default"/>
                <w:lang w:val="en-US" w:eastAsia="zh-CN"/>
              </w:rPr>
            </w:pPr>
            <w:r>
              <w:rPr>
                <w:rFonts w:hint="eastAsia"/>
                <w:lang w:val="en-US" w:eastAsia="zh-CN"/>
              </w:rPr>
              <w:t>中央供稀释剂系统、调墨房</w:t>
            </w:r>
          </w:p>
        </w:tc>
        <w:tc>
          <w:tcPr>
            <w:tcW w:w="234" w:type="pct"/>
            <w:tcBorders>
              <w:top w:val="nil"/>
              <w:left w:val="dashed" w:color="000000" w:sz="8" w:space="0"/>
              <w:bottom w:val="nil"/>
              <w:right w:val="dashed" w:color="000000" w:sz="8" w:space="0"/>
            </w:tcBorders>
            <w:vAlign w:val="center"/>
          </w:tcPr>
          <w:p w14:paraId="06F218B9">
            <w:pPr>
              <w:pStyle w:val="69"/>
              <w:bidi w:val="0"/>
              <w:rPr>
                <w:lang w:val="en-US" w:eastAsia="zh-CN"/>
              </w:rPr>
            </w:pPr>
          </w:p>
        </w:tc>
        <w:tc>
          <w:tcPr>
            <w:tcW w:w="980" w:type="pct"/>
            <w:tcBorders>
              <w:top w:val="dashed" w:color="000000" w:sz="8" w:space="0"/>
              <w:left w:val="dashed" w:color="000000" w:sz="8" w:space="0"/>
              <w:bottom w:val="dashed" w:color="000000" w:sz="8" w:space="0"/>
              <w:right w:val="dashed" w:color="000000" w:sz="8" w:space="0"/>
            </w:tcBorders>
            <w:vAlign w:val="center"/>
          </w:tcPr>
          <w:p w14:paraId="734F6CEA">
            <w:pPr>
              <w:pStyle w:val="69"/>
              <w:bidi w:val="0"/>
              <w:rPr>
                <w:lang w:val="en-US" w:eastAsia="zh-CN"/>
              </w:rPr>
            </w:pPr>
            <w:r>
              <w:t>乙酸乙酯、乙酸丁酯、异丙醇、乙酸丙酯</w:t>
            </w:r>
          </w:p>
        </w:tc>
        <w:tc>
          <w:tcPr>
            <w:tcW w:w="367" w:type="pct"/>
            <w:tcBorders>
              <w:top w:val="nil"/>
              <w:left w:val="dashed" w:color="000000" w:sz="8" w:space="0"/>
              <w:bottom w:val="nil"/>
              <w:right w:val="single" w:color="auto" w:sz="12" w:space="0"/>
            </w:tcBorders>
            <w:vAlign w:val="center"/>
          </w:tcPr>
          <w:p w14:paraId="2C5D23B2">
            <w:pPr>
              <w:pStyle w:val="69"/>
              <w:bidi w:val="0"/>
              <w:rPr>
                <w:lang w:val="en-US" w:eastAsia="zh-CN"/>
              </w:rPr>
            </w:pPr>
            <w:r>
              <w:rPr>
                <w:rFonts w:hint="eastAsia"/>
              </w:rPr>
              <w:t>→</w:t>
            </w:r>
          </w:p>
        </w:tc>
        <w:tc>
          <w:tcPr>
            <w:tcW w:w="724" w:type="pct"/>
            <w:tcBorders>
              <w:top w:val="single" w:color="auto" w:sz="12" w:space="0"/>
              <w:left w:val="single" w:color="auto" w:sz="12" w:space="0"/>
              <w:bottom w:val="single" w:color="auto" w:sz="12" w:space="0"/>
              <w:right w:val="single" w:color="auto" w:sz="12" w:space="0"/>
            </w:tcBorders>
            <w:vAlign w:val="center"/>
          </w:tcPr>
          <w:p w14:paraId="5399F5E5">
            <w:pPr>
              <w:pStyle w:val="62"/>
              <w:bidi w:val="0"/>
              <w:rPr>
                <w:rFonts w:hint="default"/>
                <w:lang w:val="en-US" w:eastAsia="zh-CN"/>
              </w:rPr>
            </w:pPr>
            <w:r>
              <w:rPr>
                <w:rFonts w:hint="eastAsia"/>
                <w:lang w:val="en-US" w:eastAsia="zh-CN"/>
              </w:rPr>
              <w:t>调墨</w:t>
            </w:r>
          </w:p>
        </w:tc>
        <w:tc>
          <w:tcPr>
            <w:tcW w:w="281" w:type="pct"/>
            <w:tcBorders>
              <w:top w:val="nil"/>
              <w:left w:val="single" w:color="auto" w:sz="12" w:space="0"/>
              <w:bottom w:val="nil"/>
              <w:right w:val="dashed" w:color="000000" w:sz="8" w:space="0"/>
            </w:tcBorders>
            <w:vAlign w:val="center"/>
          </w:tcPr>
          <w:p w14:paraId="5D6E3FCA">
            <w:pPr>
              <w:pStyle w:val="69"/>
              <w:bidi w:val="0"/>
              <w:rPr>
                <w:lang w:val="en-US" w:eastAsia="zh-CN"/>
              </w:rPr>
            </w:pPr>
            <w:r>
              <w:rPr>
                <w:rFonts w:hint="eastAsia"/>
              </w:rPr>
              <w:t>→</w:t>
            </w:r>
          </w:p>
        </w:tc>
        <w:tc>
          <w:tcPr>
            <w:tcW w:w="1385" w:type="pct"/>
            <w:tcBorders>
              <w:top w:val="dashed" w:color="000000" w:sz="8" w:space="0"/>
              <w:left w:val="dashed" w:color="000000" w:sz="8" w:space="0"/>
              <w:bottom w:val="dashed" w:color="000000" w:sz="8" w:space="0"/>
              <w:right w:val="dashed" w:color="000000" w:sz="8" w:space="0"/>
            </w:tcBorders>
            <w:vAlign w:val="center"/>
          </w:tcPr>
          <w:p w14:paraId="2E12857F">
            <w:pPr>
              <w:pStyle w:val="69"/>
              <w:bidi w:val="0"/>
              <w:rPr>
                <w:rFonts w:hint="default"/>
                <w:lang w:val="en-US" w:eastAsia="zh-CN"/>
              </w:rPr>
            </w:pPr>
            <w:r>
              <w:t>总VOCs（含非甲烷总烃）、臭气浓度、</w:t>
            </w:r>
            <w:r>
              <w:rPr>
                <w:rFonts w:hint="eastAsia"/>
              </w:rPr>
              <w:t>废包装桶</w:t>
            </w:r>
          </w:p>
        </w:tc>
      </w:tr>
      <w:tr w14:paraId="336E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nil"/>
              <w:bottom w:val="dashed" w:color="000000" w:sz="8" w:space="0"/>
              <w:right w:val="nil"/>
            </w:tcBorders>
            <w:vAlign w:val="center"/>
          </w:tcPr>
          <w:p w14:paraId="7B8ADA56">
            <w:pPr>
              <w:pStyle w:val="69"/>
              <w:bidi w:val="0"/>
              <w:rPr>
                <w:lang w:val="en-US" w:eastAsia="zh-CN"/>
              </w:rPr>
            </w:pPr>
          </w:p>
        </w:tc>
        <w:tc>
          <w:tcPr>
            <w:tcW w:w="234" w:type="pct"/>
            <w:tcBorders>
              <w:top w:val="nil"/>
              <w:left w:val="nil"/>
              <w:bottom w:val="nil"/>
              <w:right w:val="nil"/>
            </w:tcBorders>
            <w:vAlign w:val="center"/>
          </w:tcPr>
          <w:p w14:paraId="1BAD6013">
            <w:pPr>
              <w:pStyle w:val="69"/>
              <w:bidi w:val="0"/>
              <w:rPr>
                <w:lang w:val="en-US" w:eastAsia="zh-CN"/>
              </w:rPr>
            </w:pPr>
          </w:p>
        </w:tc>
        <w:tc>
          <w:tcPr>
            <w:tcW w:w="980" w:type="pct"/>
            <w:tcBorders>
              <w:top w:val="dashed" w:color="000000" w:sz="8" w:space="0"/>
              <w:left w:val="nil"/>
              <w:bottom w:val="dashed" w:color="000000" w:sz="8" w:space="0"/>
              <w:right w:val="nil"/>
            </w:tcBorders>
            <w:vAlign w:val="center"/>
          </w:tcPr>
          <w:p w14:paraId="30132E37">
            <w:pPr>
              <w:pStyle w:val="69"/>
              <w:bidi w:val="0"/>
              <w:rPr>
                <w:lang w:val="en-US" w:eastAsia="zh-CN"/>
              </w:rPr>
            </w:pPr>
          </w:p>
        </w:tc>
        <w:tc>
          <w:tcPr>
            <w:tcW w:w="367" w:type="pct"/>
            <w:tcBorders>
              <w:top w:val="nil"/>
              <w:left w:val="nil"/>
              <w:bottom w:val="nil"/>
              <w:right w:val="nil"/>
            </w:tcBorders>
            <w:vAlign w:val="center"/>
          </w:tcPr>
          <w:p w14:paraId="04E7FD8F">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1AA23E08">
            <w:pPr>
              <w:pStyle w:val="62"/>
              <w:bidi w:val="0"/>
              <w:rPr>
                <w:lang w:val="en-US" w:eastAsia="zh-CN"/>
              </w:rPr>
            </w:pPr>
            <w:r>
              <w:rPr>
                <w:rFonts w:hint="eastAsia"/>
              </w:rPr>
              <w:t>↓</w:t>
            </w:r>
          </w:p>
        </w:tc>
        <w:tc>
          <w:tcPr>
            <w:tcW w:w="281" w:type="pct"/>
            <w:tcBorders>
              <w:top w:val="nil"/>
              <w:left w:val="nil"/>
              <w:bottom w:val="nil"/>
              <w:right w:val="nil"/>
            </w:tcBorders>
            <w:vAlign w:val="center"/>
          </w:tcPr>
          <w:p w14:paraId="30C0E8C5">
            <w:pPr>
              <w:pStyle w:val="69"/>
              <w:bidi w:val="0"/>
              <w:rPr>
                <w:lang w:val="en-US" w:eastAsia="zh-CN"/>
              </w:rPr>
            </w:pPr>
          </w:p>
        </w:tc>
        <w:tc>
          <w:tcPr>
            <w:tcW w:w="1385" w:type="pct"/>
            <w:tcBorders>
              <w:top w:val="dashed" w:color="000000" w:sz="8" w:space="0"/>
              <w:left w:val="nil"/>
              <w:bottom w:val="dashed" w:color="000000" w:sz="8" w:space="0"/>
              <w:right w:val="nil"/>
            </w:tcBorders>
            <w:vAlign w:val="center"/>
          </w:tcPr>
          <w:p w14:paraId="29BED825">
            <w:pPr>
              <w:pStyle w:val="69"/>
              <w:bidi w:val="0"/>
              <w:rPr>
                <w:lang w:val="en-US" w:eastAsia="zh-CN"/>
              </w:rPr>
            </w:pPr>
          </w:p>
        </w:tc>
      </w:tr>
      <w:tr w14:paraId="2E3D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dashed" w:color="000000" w:sz="8" w:space="0"/>
              <w:bottom w:val="dashed" w:color="000000" w:sz="8" w:space="0"/>
              <w:right w:val="dashed" w:color="000000" w:sz="8" w:space="0"/>
            </w:tcBorders>
            <w:vAlign w:val="center"/>
          </w:tcPr>
          <w:p w14:paraId="7C39136D">
            <w:pPr>
              <w:pStyle w:val="69"/>
              <w:bidi w:val="0"/>
              <w:rPr>
                <w:lang w:val="en-US" w:eastAsia="zh-CN"/>
              </w:rPr>
            </w:pPr>
            <w:r>
              <w:rPr>
                <w:rFonts w:hint="eastAsia"/>
                <w:lang w:val="en-US" w:eastAsia="zh-CN"/>
              </w:rPr>
              <w:t>十一色印刷机、十色印刷机、墨泵</w:t>
            </w:r>
          </w:p>
        </w:tc>
        <w:tc>
          <w:tcPr>
            <w:tcW w:w="234" w:type="pct"/>
            <w:tcBorders>
              <w:top w:val="nil"/>
              <w:left w:val="dashed" w:color="000000" w:sz="8" w:space="0"/>
              <w:bottom w:val="nil"/>
              <w:right w:val="dashed" w:color="000000" w:sz="8" w:space="0"/>
            </w:tcBorders>
            <w:vAlign w:val="center"/>
          </w:tcPr>
          <w:p w14:paraId="64560322">
            <w:pPr>
              <w:pStyle w:val="69"/>
              <w:bidi w:val="0"/>
              <w:rPr>
                <w:lang w:val="en-US" w:eastAsia="zh-CN"/>
              </w:rPr>
            </w:pPr>
          </w:p>
        </w:tc>
        <w:tc>
          <w:tcPr>
            <w:tcW w:w="980" w:type="pct"/>
            <w:tcBorders>
              <w:top w:val="dashed" w:color="000000" w:sz="8" w:space="0"/>
              <w:left w:val="dashed" w:color="000000" w:sz="8" w:space="0"/>
              <w:bottom w:val="dashed" w:color="000000" w:sz="8" w:space="0"/>
              <w:right w:val="dashed" w:color="000000" w:sz="8" w:space="0"/>
            </w:tcBorders>
            <w:vAlign w:val="center"/>
          </w:tcPr>
          <w:p w14:paraId="1DA31108">
            <w:pPr>
              <w:pStyle w:val="69"/>
              <w:bidi w:val="0"/>
              <w:rPr>
                <w:lang w:val="en-US" w:eastAsia="zh-CN"/>
              </w:rPr>
            </w:pPr>
            <w:r>
              <w:rPr>
                <w:rFonts w:hint="eastAsia"/>
                <w:lang w:val="en-US" w:eastAsia="zh-CN"/>
              </w:rPr>
              <w:t>溶剂</w:t>
            </w:r>
            <w:r>
              <w:t>油墨、</w:t>
            </w:r>
            <w:r>
              <w:rPr>
                <w:rFonts w:hint="eastAsia"/>
                <w:lang w:val="en-US" w:eastAsia="zh-CN"/>
              </w:rPr>
              <w:t>PET/OPP膜、</w:t>
            </w:r>
            <w:r>
              <w:t>乙酸乙酯</w:t>
            </w:r>
          </w:p>
        </w:tc>
        <w:tc>
          <w:tcPr>
            <w:tcW w:w="367" w:type="pct"/>
            <w:tcBorders>
              <w:top w:val="nil"/>
              <w:left w:val="dashed" w:color="000000" w:sz="8" w:space="0"/>
              <w:bottom w:val="nil"/>
              <w:right w:val="single" w:color="auto" w:sz="12" w:space="0"/>
            </w:tcBorders>
            <w:vAlign w:val="center"/>
          </w:tcPr>
          <w:p w14:paraId="13F4C155">
            <w:pPr>
              <w:pStyle w:val="69"/>
              <w:bidi w:val="0"/>
              <w:rPr>
                <w:lang w:val="en-US" w:eastAsia="zh-CN"/>
              </w:rPr>
            </w:pPr>
            <w:r>
              <w:rPr>
                <w:rFonts w:hint="eastAsia"/>
              </w:rPr>
              <w:t>→</w:t>
            </w:r>
          </w:p>
        </w:tc>
        <w:tc>
          <w:tcPr>
            <w:tcW w:w="724" w:type="pct"/>
            <w:tcBorders>
              <w:top w:val="single" w:color="auto" w:sz="12" w:space="0"/>
              <w:left w:val="single" w:color="auto" w:sz="12" w:space="0"/>
              <w:bottom w:val="single" w:color="auto" w:sz="12" w:space="0"/>
              <w:right w:val="single" w:color="auto" w:sz="12" w:space="0"/>
            </w:tcBorders>
            <w:vAlign w:val="center"/>
          </w:tcPr>
          <w:p w14:paraId="79F7163E">
            <w:pPr>
              <w:pStyle w:val="62"/>
              <w:bidi w:val="0"/>
              <w:rPr>
                <w:lang w:val="en-US" w:eastAsia="zh-CN"/>
              </w:rPr>
            </w:pPr>
            <w:r>
              <w:rPr>
                <w:rFonts w:hint="eastAsia"/>
                <w:lang w:val="en-US" w:eastAsia="zh-CN"/>
              </w:rPr>
              <w:t>印刷、烘干</w:t>
            </w:r>
          </w:p>
        </w:tc>
        <w:tc>
          <w:tcPr>
            <w:tcW w:w="281" w:type="pct"/>
            <w:tcBorders>
              <w:top w:val="nil"/>
              <w:left w:val="single" w:color="auto" w:sz="12" w:space="0"/>
              <w:bottom w:val="nil"/>
              <w:right w:val="dashed" w:color="000000" w:sz="8" w:space="0"/>
            </w:tcBorders>
            <w:vAlign w:val="center"/>
          </w:tcPr>
          <w:p w14:paraId="531E2CC3">
            <w:pPr>
              <w:pStyle w:val="69"/>
              <w:bidi w:val="0"/>
              <w:rPr>
                <w:lang w:val="en-US" w:eastAsia="zh-CN"/>
              </w:rPr>
            </w:pPr>
            <w:r>
              <w:rPr>
                <w:rFonts w:hint="eastAsia"/>
              </w:rPr>
              <w:t>→</w:t>
            </w:r>
          </w:p>
        </w:tc>
        <w:tc>
          <w:tcPr>
            <w:tcW w:w="1385" w:type="pct"/>
            <w:tcBorders>
              <w:top w:val="dashed" w:color="000000" w:sz="8" w:space="0"/>
              <w:left w:val="dashed" w:color="000000" w:sz="8" w:space="0"/>
              <w:bottom w:val="dashed" w:color="000000" w:sz="8" w:space="0"/>
              <w:right w:val="dashed" w:color="000000" w:sz="8" w:space="0"/>
            </w:tcBorders>
            <w:vAlign w:val="center"/>
          </w:tcPr>
          <w:p w14:paraId="4DDCDAFE">
            <w:pPr>
              <w:pStyle w:val="69"/>
              <w:bidi w:val="0"/>
              <w:rPr>
                <w:rFonts w:hint="default"/>
                <w:lang w:val="en-US" w:eastAsia="zh-CN"/>
              </w:rPr>
            </w:pPr>
            <w:r>
              <w:t>总VOCs（含非甲烷总烃）、臭气浓度、</w:t>
            </w:r>
            <w:r>
              <w:rPr>
                <w:rFonts w:hint="eastAsia"/>
              </w:rPr>
              <w:t>废擦机布和手套</w:t>
            </w:r>
            <w:r>
              <w:rPr>
                <w:rFonts w:hint="eastAsia"/>
                <w:lang w:val="en-US" w:eastAsia="zh-CN"/>
              </w:rPr>
              <w:t>、废矿物油及其包装罐</w:t>
            </w:r>
            <w:r>
              <w:t>、</w:t>
            </w:r>
            <w:r>
              <w:rPr>
                <w:rFonts w:hint="eastAsia"/>
              </w:rPr>
              <w:t>废包装桶</w:t>
            </w:r>
          </w:p>
        </w:tc>
      </w:tr>
      <w:tr w14:paraId="66A3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000000" w:sz="8" w:space="0"/>
              <w:left w:val="nil"/>
              <w:bottom w:val="dashed" w:color="auto" w:sz="8" w:space="0"/>
              <w:right w:val="nil"/>
            </w:tcBorders>
            <w:vAlign w:val="center"/>
          </w:tcPr>
          <w:p w14:paraId="29B8BBB5">
            <w:pPr>
              <w:pStyle w:val="69"/>
              <w:bidi w:val="0"/>
              <w:rPr>
                <w:lang w:val="en-US" w:eastAsia="zh-CN"/>
              </w:rPr>
            </w:pPr>
          </w:p>
        </w:tc>
        <w:tc>
          <w:tcPr>
            <w:tcW w:w="234" w:type="pct"/>
            <w:tcBorders>
              <w:top w:val="nil"/>
              <w:left w:val="nil"/>
              <w:bottom w:val="nil"/>
              <w:right w:val="nil"/>
            </w:tcBorders>
            <w:vAlign w:val="center"/>
          </w:tcPr>
          <w:p w14:paraId="486AFC4E">
            <w:pPr>
              <w:pStyle w:val="69"/>
              <w:bidi w:val="0"/>
              <w:rPr>
                <w:lang w:val="en-US" w:eastAsia="zh-CN"/>
              </w:rPr>
            </w:pPr>
          </w:p>
        </w:tc>
        <w:tc>
          <w:tcPr>
            <w:tcW w:w="980" w:type="pct"/>
            <w:tcBorders>
              <w:top w:val="dashed" w:color="000000" w:sz="8" w:space="0"/>
              <w:left w:val="nil"/>
              <w:bottom w:val="nil"/>
              <w:right w:val="nil"/>
            </w:tcBorders>
            <w:vAlign w:val="center"/>
          </w:tcPr>
          <w:p w14:paraId="09C33809">
            <w:pPr>
              <w:pStyle w:val="69"/>
              <w:bidi w:val="0"/>
              <w:rPr>
                <w:lang w:val="en-US" w:eastAsia="zh-CN"/>
              </w:rPr>
            </w:pPr>
          </w:p>
        </w:tc>
        <w:tc>
          <w:tcPr>
            <w:tcW w:w="367" w:type="pct"/>
            <w:tcBorders>
              <w:top w:val="nil"/>
              <w:left w:val="nil"/>
              <w:bottom w:val="nil"/>
              <w:right w:val="nil"/>
            </w:tcBorders>
            <w:vAlign w:val="center"/>
          </w:tcPr>
          <w:p w14:paraId="14E18A52">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01F77018">
            <w:pPr>
              <w:pStyle w:val="62"/>
              <w:bidi w:val="0"/>
              <w:rPr>
                <w:lang w:val="en-US" w:eastAsia="zh-CN"/>
              </w:rPr>
            </w:pPr>
            <w:r>
              <w:rPr>
                <w:rFonts w:hint="eastAsia"/>
              </w:rPr>
              <w:t>↓</w:t>
            </w:r>
          </w:p>
        </w:tc>
        <w:tc>
          <w:tcPr>
            <w:tcW w:w="281" w:type="pct"/>
            <w:tcBorders>
              <w:top w:val="nil"/>
              <w:left w:val="nil"/>
              <w:bottom w:val="nil"/>
              <w:right w:val="nil"/>
            </w:tcBorders>
            <w:vAlign w:val="center"/>
          </w:tcPr>
          <w:p w14:paraId="02E9E12D">
            <w:pPr>
              <w:pStyle w:val="69"/>
              <w:bidi w:val="0"/>
              <w:rPr>
                <w:lang w:val="en-US" w:eastAsia="zh-CN"/>
              </w:rPr>
            </w:pPr>
          </w:p>
        </w:tc>
        <w:tc>
          <w:tcPr>
            <w:tcW w:w="1385" w:type="pct"/>
            <w:tcBorders>
              <w:top w:val="dashed" w:color="000000" w:sz="8" w:space="0"/>
              <w:left w:val="nil"/>
              <w:bottom w:val="dashed" w:color="auto" w:sz="8" w:space="0"/>
              <w:right w:val="nil"/>
            </w:tcBorders>
            <w:vAlign w:val="center"/>
          </w:tcPr>
          <w:p w14:paraId="33C46F68">
            <w:pPr>
              <w:pStyle w:val="69"/>
              <w:bidi w:val="0"/>
              <w:rPr>
                <w:lang w:val="en-US" w:eastAsia="zh-CN"/>
              </w:rPr>
            </w:pPr>
          </w:p>
        </w:tc>
      </w:tr>
      <w:tr w14:paraId="30F4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dashed" w:color="auto" w:sz="8" w:space="0"/>
              <w:bottom w:val="dashed" w:color="auto" w:sz="8" w:space="0"/>
              <w:right w:val="dashed" w:color="auto" w:sz="8" w:space="0"/>
            </w:tcBorders>
            <w:vAlign w:val="center"/>
          </w:tcPr>
          <w:p w14:paraId="1B95B606">
            <w:pPr>
              <w:pStyle w:val="69"/>
              <w:bidi w:val="0"/>
              <w:rPr>
                <w:lang w:val="en-US" w:eastAsia="zh-CN"/>
              </w:rPr>
            </w:pPr>
            <w:r>
              <w:rPr>
                <w:rFonts w:hint="eastAsia" w:ascii="宋体" w:hAnsi="宋体" w:eastAsia="宋体" w:cs="宋体"/>
                <w:sz w:val="20"/>
                <w:szCs w:val="20"/>
                <w:lang w:val="en-US" w:eastAsia="zh-CN"/>
              </w:rPr>
              <w:t>品检机</w:t>
            </w:r>
          </w:p>
        </w:tc>
        <w:tc>
          <w:tcPr>
            <w:tcW w:w="234" w:type="pct"/>
            <w:tcBorders>
              <w:top w:val="nil"/>
              <w:left w:val="dashed" w:color="auto" w:sz="8" w:space="0"/>
              <w:bottom w:val="nil"/>
              <w:right w:val="nil"/>
            </w:tcBorders>
            <w:vAlign w:val="center"/>
          </w:tcPr>
          <w:p w14:paraId="5C50307B">
            <w:pPr>
              <w:pStyle w:val="69"/>
              <w:bidi w:val="0"/>
              <w:rPr>
                <w:lang w:val="en-US" w:eastAsia="zh-CN"/>
              </w:rPr>
            </w:pPr>
          </w:p>
        </w:tc>
        <w:tc>
          <w:tcPr>
            <w:tcW w:w="980" w:type="pct"/>
            <w:tcBorders>
              <w:top w:val="nil"/>
              <w:left w:val="nil"/>
              <w:bottom w:val="nil"/>
              <w:right w:val="nil"/>
            </w:tcBorders>
            <w:vAlign w:val="center"/>
          </w:tcPr>
          <w:p w14:paraId="2EFCD6D2">
            <w:pPr>
              <w:pStyle w:val="69"/>
              <w:bidi w:val="0"/>
              <w:rPr>
                <w:lang w:val="en-US" w:eastAsia="zh-CN"/>
              </w:rPr>
            </w:pPr>
          </w:p>
        </w:tc>
        <w:tc>
          <w:tcPr>
            <w:tcW w:w="367" w:type="pct"/>
            <w:tcBorders>
              <w:top w:val="nil"/>
              <w:left w:val="nil"/>
              <w:bottom w:val="nil"/>
              <w:right w:val="single" w:color="auto" w:sz="12" w:space="0"/>
            </w:tcBorders>
            <w:vAlign w:val="center"/>
          </w:tcPr>
          <w:p w14:paraId="50B09F08">
            <w:pPr>
              <w:pStyle w:val="69"/>
              <w:bidi w:val="0"/>
              <w:rPr>
                <w:lang w:val="en-US" w:eastAsia="zh-CN"/>
              </w:rPr>
            </w:pPr>
          </w:p>
        </w:tc>
        <w:tc>
          <w:tcPr>
            <w:tcW w:w="724" w:type="pct"/>
            <w:tcBorders>
              <w:top w:val="single" w:color="auto" w:sz="12" w:space="0"/>
              <w:left w:val="single" w:color="auto" w:sz="12" w:space="0"/>
              <w:bottom w:val="single" w:color="auto" w:sz="12" w:space="0"/>
              <w:right w:val="single" w:color="auto" w:sz="12" w:space="0"/>
            </w:tcBorders>
            <w:vAlign w:val="center"/>
          </w:tcPr>
          <w:p w14:paraId="3F65AF00">
            <w:pPr>
              <w:pStyle w:val="62"/>
              <w:bidi w:val="0"/>
              <w:rPr>
                <w:rFonts w:hint="eastAsia"/>
              </w:rPr>
            </w:pPr>
            <w:r>
              <w:rPr>
                <w:rFonts w:ascii="宋体" w:hAnsi="宋体" w:eastAsia="宋体" w:cs="宋体"/>
                <w:b/>
                <w:bCs/>
                <w:sz w:val="24"/>
                <w:szCs w:val="24"/>
              </w:rPr>
              <w:t>品质检验</w:t>
            </w:r>
          </w:p>
        </w:tc>
        <w:tc>
          <w:tcPr>
            <w:tcW w:w="281" w:type="pct"/>
            <w:tcBorders>
              <w:top w:val="nil"/>
              <w:left w:val="single" w:color="auto" w:sz="12" w:space="0"/>
              <w:bottom w:val="nil"/>
              <w:right w:val="dashed" w:color="auto" w:sz="8" w:space="0"/>
            </w:tcBorders>
            <w:shd w:val="clear" w:color="auto" w:fill="auto"/>
            <w:vAlign w:val="center"/>
          </w:tcPr>
          <w:p w14:paraId="36257DED">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1385" w:type="pct"/>
            <w:tcBorders>
              <w:top w:val="dashed" w:color="auto" w:sz="8" w:space="0"/>
              <w:left w:val="dashed" w:color="auto" w:sz="8" w:space="0"/>
              <w:bottom w:val="dashed" w:color="auto" w:sz="8" w:space="0"/>
              <w:right w:val="dashed" w:color="auto" w:sz="8" w:space="0"/>
            </w:tcBorders>
            <w:shd w:val="clear" w:color="auto" w:fill="auto"/>
            <w:vAlign w:val="center"/>
          </w:tcPr>
          <w:p w14:paraId="24CECBAE">
            <w:pPr>
              <w:pStyle w:val="69"/>
              <w:bidi w:val="0"/>
              <w:rPr>
                <w:lang w:val="en-US" w:eastAsia="zh-CN"/>
              </w:rPr>
            </w:pPr>
            <w:r>
              <w:t>次品</w:t>
            </w:r>
          </w:p>
        </w:tc>
      </w:tr>
      <w:tr w14:paraId="48C8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nil"/>
              <w:bottom w:val="dashed" w:color="auto" w:sz="8" w:space="0"/>
              <w:right w:val="nil"/>
            </w:tcBorders>
            <w:vAlign w:val="center"/>
          </w:tcPr>
          <w:p w14:paraId="04E2CE52">
            <w:pPr>
              <w:pStyle w:val="69"/>
              <w:bidi w:val="0"/>
              <w:rPr>
                <w:lang w:val="en-US" w:eastAsia="zh-CN"/>
              </w:rPr>
            </w:pPr>
          </w:p>
        </w:tc>
        <w:tc>
          <w:tcPr>
            <w:tcW w:w="234" w:type="pct"/>
            <w:tcBorders>
              <w:top w:val="nil"/>
              <w:left w:val="nil"/>
              <w:bottom w:val="nil"/>
              <w:right w:val="nil"/>
            </w:tcBorders>
            <w:vAlign w:val="center"/>
          </w:tcPr>
          <w:p w14:paraId="08B9660E">
            <w:pPr>
              <w:pStyle w:val="69"/>
              <w:bidi w:val="0"/>
              <w:rPr>
                <w:lang w:val="en-US" w:eastAsia="zh-CN"/>
              </w:rPr>
            </w:pPr>
          </w:p>
        </w:tc>
        <w:tc>
          <w:tcPr>
            <w:tcW w:w="980" w:type="pct"/>
            <w:tcBorders>
              <w:top w:val="nil"/>
              <w:left w:val="nil"/>
              <w:bottom w:val="nil"/>
              <w:right w:val="nil"/>
            </w:tcBorders>
            <w:vAlign w:val="center"/>
          </w:tcPr>
          <w:p w14:paraId="102EE191">
            <w:pPr>
              <w:pStyle w:val="69"/>
              <w:bidi w:val="0"/>
              <w:rPr>
                <w:lang w:val="en-US" w:eastAsia="zh-CN"/>
              </w:rPr>
            </w:pPr>
          </w:p>
        </w:tc>
        <w:tc>
          <w:tcPr>
            <w:tcW w:w="367" w:type="pct"/>
            <w:tcBorders>
              <w:top w:val="nil"/>
              <w:left w:val="nil"/>
              <w:bottom w:val="nil"/>
              <w:right w:val="nil"/>
            </w:tcBorders>
            <w:vAlign w:val="center"/>
          </w:tcPr>
          <w:p w14:paraId="55E691BC">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6805F19C">
            <w:pPr>
              <w:pStyle w:val="62"/>
              <w:bidi w:val="0"/>
              <w:rPr>
                <w:rFonts w:hint="eastAsia"/>
              </w:rPr>
            </w:pPr>
            <w:r>
              <w:rPr>
                <w:rFonts w:hint="eastAsia"/>
              </w:rPr>
              <w:t>↓</w:t>
            </w:r>
          </w:p>
        </w:tc>
        <w:tc>
          <w:tcPr>
            <w:tcW w:w="281" w:type="pct"/>
            <w:tcBorders>
              <w:top w:val="nil"/>
              <w:left w:val="nil"/>
              <w:bottom w:val="nil"/>
              <w:right w:val="nil"/>
            </w:tcBorders>
            <w:vAlign w:val="center"/>
          </w:tcPr>
          <w:p w14:paraId="769834AF">
            <w:pPr>
              <w:pStyle w:val="69"/>
              <w:bidi w:val="0"/>
              <w:rPr>
                <w:lang w:val="en-US" w:eastAsia="zh-CN"/>
              </w:rPr>
            </w:pPr>
          </w:p>
        </w:tc>
        <w:tc>
          <w:tcPr>
            <w:tcW w:w="1385" w:type="pct"/>
            <w:tcBorders>
              <w:top w:val="dashed" w:color="auto" w:sz="8" w:space="0"/>
              <w:left w:val="nil"/>
              <w:bottom w:val="dashed" w:color="auto" w:sz="8" w:space="0"/>
              <w:right w:val="nil"/>
            </w:tcBorders>
            <w:vAlign w:val="center"/>
          </w:tcPr>
          <w:p w14:paraId="058A702F">
            <w:pPr>
              <w:pStyle w:val="69"/>
              <w:bidi w:val="0"/>
              <w:rPr>
                <w:lang w:val="en-US" w:eastAsia="zh-CN"/>
              </w:rPr>
            </w:pPr>
          </w:p>
        </w:tc>
      </w:tr>
      <w:tr w14:paraId="7F64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dashed" w:color="auto" w:sz="8" w:space="0"/>
              <w:bottom w:val="dashed" w:color="auto" w:sz="8" w:space="0"/>
              <w:right w:val="dashed" w:color="auto" w:sz="8" w:space="0"/>
            </w:tcBorders>
            <w:shd w:val="clear" w:color="auto" w:fill="auto"/>
            <w:vAlign w:val="center"/>
          </w:tcPr>
          <w:p w14:paraId="113560AB">
            <w:pPr>
              <w:pStyle w:val="69"/>
              <w:bidi w:val="0"/>
              <w:ind w:firstLine="0" w:firstLineChars="0"/>
              <w:rPr>
                <w:rFonts w:hint="eastAsia" w:ascii="Times New Roman" w:hAnsi="Times New Roman" w:eastAsia="宋体" w:cs="Times New Roman"/>
                <w:kern w:val="2"/>
                <w:sz w:val="21"/>
                <w:szCs w:val="21"/>
                <w:lang w:val="en-US" w:eastAsia="zh-CN" w:bidi="ar-SA"/>
              </w:rPr>
            </w:pPr>
            <w:r>
              <w:rPr>
                <w:rFonts w:hint="eastAsia"/>
                <w:lang w:val="en-US" w:eastAsia="zh-CN"/>
              </w:rPr>
              <w:t>分切机</w:t>
            </w:r>
          </w:p>
        </w:tc>
        <w:tc>
          <w:tcPr>
            <w:tcW w:w="234" w:type="pct"/>
            <w:tcBorders>
              <w:top w:val="nil"/>
              <w:left w:val="dashed" w:color="auto" w:sz="8" w:space="0"/>
              <w:bottom w:val="nil"/>
              <w:right w:val="nil"/>
            </w:tcBorders>
            <w:shd w:val="clear" w:color="auto" w:fill="auto"/>
            <w:vAlign w:val="center"/>
          </w:tcPr>
          <w:p w14:paraId="5B84DED7">
            <w:pPr>
              <w:pStyle w:val="69"/>
              <w:bidi w:val="0"/>
              <w:ind w:firstLine="0" w:firstLineChars="0"/>
              <w:rPr>
                <w:rFonts w:ascii="Times New Roman" w:hAnsi="Times New Roman" w:eastAsia="宋体" w:cs="Times New Roman"/>
                <w:kern w:val="2"/>
                <w:sz w:val="21"/>
                <w:szCs w:val="21"/>
                <w:lang w:val="en-US" w:eastAsia="zh-CN" w:bidi="ar-SA"/>
              </w:rPr>
            </w:pPr>
          </w:p>
        </w:tc>
        <w:tc>
          <w:tcPr>
            <w:tcW w:w="980" w:type="pct"/>
            <w:tcBorders>
              <w:top w:val="nil"/>
              <w:left w:val="nil"/>
              <w:bottom w:val="nil"/>
              <w:right w:val="nil"/>
            </w:tcBorders>
            <w:shd w:val="clear" w:color="auto" w:fill="auto"/>
            <w:vAlign w:val="center"/>
          </w:tcPr>
          <w:p w14:paraId="39ABCDB2">
            <w:pPr>
              <w:pStyle w:val="69"/>
              <w:bidi w:val="0"/>
              <w:ind w:firstLine="0" w:firstLineChars="0"/>
              <w:rPr>
                <w:rFonts w:hint="eastAsia" w:ascii="Times New Roman" w:hAnsi="Times New Roman" w:eastAsia="宋体" w:cs="Times New Roman"/>
                <w:kern w:val="2"/>
                <w:sz w:val="21"/>
                <w:szCs w:val="21"/>
                <w:lang w:val="en-US" w:eastAsia="zh-CN" w:bidi="ar-SA"/>
              </w:rPr>
            </w:pPr>
          </w:p>
        </w:tc>
        <w:tc>
          <w:tcPr>
            <w:tcW w:w="367" w:type="pct"/>
            <w:tcBorders>
              <w:top w:val="nil"/>
              <w:left w:val="nil"/>
              <w:bottom w:val="nil"/>
              <w:right w:val="single" w:color="auto" w:sz="12" w:space="0"/>
            </w:tcBorders>
            <w:shd w:val="clear" w:color="auto" w:fill="auto"/>
            <w:vAlign w:val="center"/>
          </w:tcPr>
          <w:p w14:paraId="254BAF7B">
            <w:pPr>
              <w:pStyle w:val="69"/>
              <w:bidi w:val="0"/>
              <w:ind w:firstLine="0" w:firstLineChars="0"/>
              <w:rPr>
                <w:rFonts w:ascii="Times New Roman" w:hAnsi="Times New Roman" w:eastAsia="宋体" w:cs="Times New Roman"/>
                <w:kern w:val="2"/>
                <w:sz w:val="21"/>
                <w:szCs w:val="21"/>
                <w:lang w:val="en-US" w:eastAsia="zh-CN" w:bidi="ar-SA"/>
              </w:rPr>
            </w:pPr>
          </w:p>
        </w:tc>
        <w:tc>
          <w:tcPr>
            <w:tcW w:w="724" w:type="pct"/>
            <w:tcBorders>
              <w:top w:val="single" w:color="auto" w:sz="12" w:space="0"/>
              <w:left w:val="single" w:color="auto" w:sz="12" w:space="0"/>
              <w:bottom w:val="single" w:color="auto" w:sz="12" w:space="0"/>
              <w:right w:val="single" w:color="auto" w:sz="12" w:space="0"/>
            </w:tcBorders>
            <w:shd w:val="clear" w:color="auto" w:fill="auto"/>
            <w:vAlign w:val="center"/>
          </w:tcPr>
          <w:p w14:paraId="2460175D">
            <w:pPr>
              <w:pStyle w:val="62"/>
              <w:bidi w:val="0"/>
              <w:ind w:firstLine="0" w:firstLineChars="0"/>
              <w:rPr>
                <w:rFonts w:hint="eastAsia" w:ascii="Times New Roman" w:hAnsi="Times New Roman" w:eastAsia="宋体" w:cs="Times New Roman"/>
                <w:b/>
                <w:kern w:val="0"/>
                <w:sz w:val="24"/>
                <w:szCs w:val="22"/>
                <w:lang w:val="en-US" w:eastAsia="zh-CN" w:bidi="ar-SA"/>
              </w:rPr>
            </w:pPr>
            <w:r>
              <w:rPr>
                <w:rFonts w:hint="eastAsia"/>
                <w:lang w:val="en-US" w:eastAsia="zh-CN"/>
              </w:rPr>
              <w:t>分切</w:t>
            </w:r>
          </w:p>
        </w:tc>
        <w:tc>
          <w:tcPr>
            <w:tcW w:w="281" w:type="pct"/>
            <w:tcBorders>
              <w:top w:val="nil"/>
              <w:left w:val="single" w:color="auto" w:sz="12" w:space="0"/>
              <w:bottom w:val="nil"/>
              <w:right w:val="dashed" w:color="auto" w:sz="8" w:space="0"/>
            </w:tcBorders>
            <w:shd w:val="clear" w:color="auto" w:fill="auto"/>
            <w:vAlign w:val="center"/>
          </w:tcPr>
          <w:p w14:paraId="2E3E47E9">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1385" w:type="pct"/>
            <w:tcBorders>
              <w:top w:val="dashed" w:color="auto" w:sz="8" w:space="0"/>
              <w:left w:val="dashed" w:color="auto" w:sz="8" w:space="0"/>
              <w:bottom w:val="dashed" w:color="auto" w:sz="8" w:space="0"/>
              <w:right w:val="dashed" w:color="auto" w:sz="8" w:space="0"/>
            </w:tcBorders>
            <w:shd w:val="clear" w:color="auto" w:fill="auto"/>
            <w:vAlign w:val="center"/>
          </w:tcPr>
          <w:p w14:paraId="0C29F626">
            <w:pPr>
              <w:pStyle w:val="69"/>
              <w:bidi w:val="0"/>
              <w:rPr>
                <w:rFonts w:hint="eastAsia"/>
                <w:lang w:val="en-US" w:eastAsia="zh-CN"/>
              </w:rPr>
            </w:pPr>
            <w:r>
              <w:rPr>
                <w:rFonts w:hint="eastAsia"/>
                <w:lang w:val="en-US" w:eastAsia="zh-CN"/>
              </w:rPr>
              <w:t>噪声、边角料</w:t>
            </w:r>
          </w:p>
        </w:tc>
      </w:tr>
      <w:tr w14:paraId="1A77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nil"/>
              <w:bottom w:val="nil"/>
              <w:right w:val="nil"/>
            </w:tcBorders>
            <w:vAlign w:val="center"/>
          </w:tcPr>
          <w:p w14:paraId="5BD3BE17">
            <w:pPr>
              <w:pStyle w:val="69"/>
              <w:bidi w:val="0"/>
              <w:rPr>
                <w:lang w:val="en-US" w:eastAsia="zh-CN"/>
              </w:rPr>
            </w:pPr>
          </w:p>
        </w:tc>
        <w:tc>
          <w:tcPr>
            <w:tcW w:w="234" w:type="pct"/>
            <w:tcBorders>
              <w:top w:val="nil"/>
              <w:left w:val="nil"/>
              <w:bottom w:val="nil"/>
              <w:right w:val="nil"/>
            </w:tcBorders>
            <w:vAlign w:val="center"/>
          </w:tcPr>
          <w:p w14:paraId="3F33611F">
            <w:pPr>
              <w:pStyle w:val="69"/>
              <w:bidi w:val="0"/>
              <w:rPr>
                <w:lang w:val="en-US" w:eastAsia="zh-CN"/>
              </w:rPr>
            </w:pPr>
          </w:p>
        </w:tc>
        <w:tc>
          <w:tcPr>
            <w:tcW w:w="980" w:type="pct"/>
            <w:tcBorders>
              <w:top w:val="nil"/>
              <w:left w:val="nil"/>
              <w:bottom w:val="nil"/>
              <w:right w:val="nil"/>
            </w:tcBorders>
            <w:vAlign w:val="center"/>
          </w:tcPr>
          <w:p w14:paraId="6F38B42F">
            <w:pPr>
              <w:pStyle w:val="69"/>
              <w:bidi w:val="0"/>
              <w:rPr>
                <w:lang w:val="en-US" w:eastAsia="zh-CN"/>
              </w:rPr>
            </w:pPr>
          </w:p>
        </w:tc>
        <w:tc>
          <w:tcPr>
            <w:tcW w:w="367" w:type="pct"/>
            <w:tcBorders>
              <w:top w:val="nil"/>
              <w:left w:val="nil"/>
              <w:bottom w:val="nil"/>
              <w:right w:val="nil"/>
            </w:tcBorders>
            <w:vAlign w:val="center"/>
          </w:tcPr>
          <w:p w14:paraId="6B8CF52C">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1C37D274">
            <w:pPr>
              <w:pStyle w:val="62"/>
              <w:bidi w:val="0"/>
              <w:rPr>
                <w:rFonts w:hint="eastAsia"/>
                <w:lang w:val="en-US" w:eastAsia="zh-CN"/>
              </w:rPr>
            </w:pPr>
            <w:r>
              <w:rPr>
                <w:rFonts w:hint="eastAsia"/>
              </w:rPr>
              <w:t>↓</w:t>
            </w:r>
          </w:p>
        </w:tc>
        <w:tc>
          <w:tcPr>
            <w:tcW w:w="281" w:type="pct"/>
            <w:tcBorders>
              <w:top w:val="nil"/>
              <w:left w:val="nil"/>
              <w:bottom w:val="nil"/>
              <w:right w:val="nil"/>
            </w:tcBorders>
            <w:vAlign w:val="center"/>
          </w:tcPr>
          <w:p w14:paraId="4E60FC81">
            <w:pPr>
              <w:pStyle w:val="69"/>
              <w:bidi w:val="0"/>
              <w:rPr>
                <w:lang w:val="en-US" w:eastAsia="zh-CN"/>
              </w:rPr>
            </w:pPr>
          </w:p>
        </w:tc>
        <w:tc>
          <w:tcPr>
            <w:tcW w:w="1385" w:type="pct"/>
            <w:tcBorders>
              <w:top w:val="dashed" w:color="auto" w:sz="8" w:space="0"/>
              <w:left w:val="nil"/>
              <w:bottom w:val="dashed" w:color="auto" w:sz="8" w:space="0"/>
              <w:right w:val="nil"/>
            </w:tcBorders>
            <w:vAlign w:val="center"/>
          </w:tcPr>
          <w:p w14:paraId="1B373C61">
            <w:pPr>
              <w:pStyle w:val="69"/>
              <w:bidi w:val="0"/>
              <w:rPr>
                <w:lang w:val="en-US" w:eastAsia="zh-CN"/>
              </w:rPr>
            </w:pPr>
          </w:p>
        </w:tc>
      </w:tr>
      <w:tr w14:paraId="4862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nil"/>
              <w:left w:val="nil"/>
              <w:bottom w:val="nil"/>
              <w:right w:val="nil"/>
            </w:tcBorders>
            <w:vAlign w:val="center"/>
          </w:tcPr>
          <w:p w14:paraId="1E0689F2">
            <w:pPr>
              <w:pStyle w:val="69"/>
              <w:bidi w:val="0"/>
              <w:rPr>
                <w:lang w:val="en-US" w:eastAsia="zh-CN"/>
              </w:rPr>
            </w:pPr>
          </w:p>
        </w:tc>
        <w:tc>
          <w:tcPr>
            <w:tcW w:w="234" w:type="pct"/>
            <w:tcBorders>
              <w:top w:val="nil"/>
              <w:left w:val="nil"/>
              <w:bottom w:val="nil"/>
              <w:right w:val="nil"/>
            </w:tcBorders>
            <w:vAlign w:val="center"/>
          </w:tcPr>
          <w:p w14:paraId="16EE5822">
            <w:pPr>
              <w:pStyle w:val="69"/>
              <w:bidi w:val="0"/>
              <w:rPr>
                <w:lang w:val="en-US" w:eastAsia="zh-CN"/>
              </w:rPr>
            </w:pPr>
          </w:p>
        </w:tc>
        <w:tc>
          <w:tcPr>
            <w:tcW w:w="980" w:type="pct"/>
            <w:tcBorders>
              <w:top w:val="nil"/>
              <w:left w:val="nil"/>
              <w:bottom w:val="nil"/>
              <w:right w:val="nil"/>
            </w:tcBorders>
            <w:vAlign w:val="center"/>
          </w:tcPr>
          <w:p w14:paraId="7E5E23B5">
            <w:pPr>
              <w:pStyle w:val="69"/>
              <w:bidi w:val="0"/>
              <w:rPr>
                <w:lang w:val="en-US" w:eastAsia="zh-CN"/>
              </w:rPr>
            </w:pPr>
          </w:p>
        </w:tc>
        <w:tc>
          <w:tcPr>
            <w:tcW w:w="367" w:type="pct"/>
            <w:tcBorders>
              <w:top w:val="nil"/>
              <w:left w:val="nil"/>
              <w:bottom w:val="nil"/>
              <w:right w:val="single" w:color="auto" w:sz="12" w:space="0"/>
            </w:tcBorders>
            <w:vAlign w:val="center"/>
          </w:tcPr>
          <w:p w14:paraId="109EF610">
            <w:pPr>
              <w:pStyle w:val="69"/>
              <w:bidi w:val="0"/>
              <w:rPr>
                <w:lang w:val="en-US" w:eastAsia="zh-CN"/>
              </w:rPr>
            </w:pPr>
          </w:p>
        </w:tc>
        <w:tc>
          <w:tcPr>
            <w:tcW w:w="724" w:type="pct"/>
            <w:tcBorders>
              <w:top w:val="single" w:color="auto" w:sz="12" w:space="0"/>
              <w:left w:val="single" w:color="auto" w:sz="12" w:space="0"/>
              <w:bottom w:val="single" w:color="auto" w:sz="12" w:space="0"/>
              <w:right w:val="single" w:color="auto" w:sz="12" w:space="0"/>
            </w:tcBorders>
            <w:vAlign w:val="center"/>
          </w:tcPr>
          <w:p w14:paraId="4D7E796E">
            <w:pPr>
              <w:pStyle w:val="62"/>
              <w:bidi w:val="0"/>
              <w:rPr>
                <w:rFonts w:hint="eastAsia" w:eastAsia="宋体"/>
                <w:lang w:eastAsia="zh-CN"/>
              </w:rPr>
            </w:pPr>
            <w:r>
              <w:rPr>
                <w:rFonts w:hint="eastAsia" w:ascii="宋体" w:hAnsi="宋体" w:eastAsia="宋体" w:cs="宋体"/>
                <w:b/>
                <w:bCs/>
                <w:sz w:val="24"/>
                <w:szCs w:val="24"/>
                <w:lang w:val="en-US" w:eastAsia="zh-CN"/>
              </w:rPr>
              <w:t>复检</w:t>
            </w:r>
          </w:p>
        </w:tc>
        <w:tc>
          <w:tcPr>
            <w:tcW w:w="281" w:type="pct"/>
            <w:tcBorders>
              <w:top w:val="nil"/>
              <w:left w:val="single" w:color="auto" w:sz="12" w:space="0"/>
              <w:bottom w:val="nil"/>
              <w:right w:val="dashed" w:color="auto" w:sz="8" w:space="0"/>
            </w:tcBorders>
            <w:vAlign w:val="center"/>
          </w:tcPr>
          <w:p w14:paraId="19A00E30">
            <w:pPr>
              <w:pStyle w:val="69"/>
              <w:bidi w:val="0"/>
              <w:rPr>
                <w:lang w:val="en-US" w:eastAsia="zh-CN"/>
              </w:rPr>
            </w:pPr>
            <w:r>
              <w:rPr>
                <w:rFonts w:hint="eastAsia"/>
              </w:rPr>
              <w:t>→</w:t>
            </w:r>
          </w:p>
        </w:tc>
        <w:tc>
          <w:tcPr>
            <w:tcW w:w="1385" w:type="pct"/>
            <w:tcBorders>
              <w:top w:val="dashed" w:color="auto" w:sz="8" w:space="0"/>
              <w:left w:val="dashed" w:color="auto" w:sz="8" w:space="0"/>
              <w:bottom w:val="dashed" w:color="auto" w:sz="8" w:space="0"/>
              <w:right w:val="dashed" w:color="auto" w:sz="8" w:space="0"/>
            </w:tcBorders>
            <w:vAlign w:val="center"/>
          </w:tcPr>
          <w:p w14:paraId="4B43BA11">
            <w:pPr>
              <w:pStyle w:val="69"/>
              <w:bidi w:val="0"/>
              <w:rPr>
                <w:lang w:val="en-US" w:eastAsia="zh-CN"/>
              </w:rPr>
            </w:pPr>
            <w:r>
              <w:t>次品</w:t>
            </w:r>
          </w:p>
        </w:tc>
      </w:tr>
      <w:tr w14:paraId="2A07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nil"/>
              <w:left w:val="nil"/>
              <w:bottom w:val="dashed" w:color="000000" w:sz="8" w:space="0"/>
              <w:right w:val="nil"/>
            </w:tcBorders>
            <w:vAlign w:val="center"/>
          </w:tcPr>
          <w:p w14:paraId="36866EEA">
            <w:pPr>
              <w:pStyle w:val="69"/>
              <w:bidi w:val="0"/>
              <w:rPr>
                <w:lang w:val="en-US" w:eastAsia="zh-CN"/>
              </w:rPr>
            </w:pPr>
          </w:p>
        </w:tc>
        <w:tc>
          <w:tcPr>
            <w:tcW w:w="234" w:type="pct"/>
            <w:tcBorders>
              <w:top w:val="nil"/>
              <w:left w:val="nil"/>
              <w:bottom w:val="nil"/>
              <w:right w:val="nil"/>
            </w:tcBorders>
            <w:vAlign w:val="center"/>
          </w:tcPr>
          <w:p w14:paraId="132CA32C">
            <w:pPr>
              <w:pStyle w:val="69"/>
              <w:bidi w:val="0"/>
              <w:rPr>
                <w:lang w:val="en-US" w:eastAsia="zh-CN"/>
              </w:rPr>
            </w:pPr>
          </w:p>
        </w:tc>
        <w:tc>
          <w:tcPr>
            <w:tcW w:w="980" w:type="pct"/>
            <w:tcBorders>
              <w:top w:val="nil"/>
              <w:left w:val="nil"/>
              <w:bottom w:val="nil"/>
              <w:right w:val="nil"/>
            </w:tcBorders>
            <w:vAlign w:val="center"/>
          </w:tcPr>
          <w:p w14:paraId="2AF5994D">
            <w:pPr>
              <w:pStyle w:val="69"/>
              <w:bidi w:val="0"/>
              <w:rPr>
                <w:lang w:val="en-US" w:eastAsia="zh-CN"/>
              </w:rPr>
            </w:pPr>
          </w:p>
        </w:tc>
        <w:tc>
          <w:tcPr>
            <w:tcW w:w="367" w:type="pct"/>
            <w:tcBorders>
              <w:top w:val="nil"/>
              <w:left w:val="nil"/>
              <w:bottom w:val="nil"/>
              <w:right w:val="nil"/>
            </w:tcBorders>
            <w:vAlign w:val="center"/>
          </w:tcPr>
          <w:p w14:paraId="0E72AD57">
            <w:pPr>
              <w:pStyle w:val="69"/>
              <w:bidi w:val="0"/>
              <w:rPr>
                <w:lang w:val="en-US" w:eastAsia="zh-CN"/>
              </w:rPr>
            </w:pPr>
          </w:p>
        </w:tc>
        <w:tc>
          <w:tcPr>
            <w:tcW w:w="724" w:type="pct"/>
            <w:tcBorders>
              <w:top w:val="single" w:color="auto" w:sz="12" w:space="0"/>
              <w:left w:val="nil"/>
              <w:bottom w:val="single" w:color="auto" w:sz="12" w:space="0"/>
              <w:right w:val="nil"/>
            </w:tcBorders>
            <w:vAlign w:val="center"/>
          </w:tcPr>
          <w:p w14:paraId="5BB09EBC">
            <w:pPr>
              <w:pStyle w:val="62"/>
              <w:bidi w:val="0"/>
              <w:rPr>
                <w:rFonts w:hint="eastAsia"/>
              </w:rPr>
            </w:pPr>
            <w:r>
              <w:rPr>
                <w:rFonts w:hint="eastAsia"/>
              </w:rPr>
              <w:t>↓</w:t>
            </w:r>
          </w:p>
        </w:tc>
        <w:tc>
          <w:tcPr>
            <w:tcW w:w="281" w:type="pct"/>
            <w:tcBorders>
              <w:top w:val="nil"/>
              <w:left w:val="nil"/>
              <w:bottom w:val="nil"/>
              <w:right w:val="nil"/>
            </w:tcBorders>
            <w:vAlign w:val="center"/>
          </w:tcPr>
          <w:p w14:paraId="7B06EE00">
            <w:pPr>
              <w:pStyle w:val="69"/>
              <w:bidi w:val="0"/>
              <w:rPr>
                <w:lang w:val="en-US" w:eastAsia="zh-CN"/>
              </w:rPr>
            </w:pPr>
          </w:p>
        </w:tc>
        <w:tc>
          <w:tcPr>
            <w:tcW w:w="1385" w:type="pct"/>
            <w:tcBorders>
              <w:top w:val="dashed" w:color="auto" w:sz="8" w:space="0"/>
              <w:left w:val="nil"/>
              <w:bottom w:val="dashed" w:color="000000" w:sz="8" w:space="0"/>
              <w:right w:val="nil"/>
            </w:tcBorders>
            <w:vAlign w:val="center"/>
          </w:tcPr>
          <w:p w14:paraId="5805075C">
            <w:pPr>
              <w:pStyle w:val="69"/>
              <w:bidi w:val="0"/>
              <w:rPr>
                <w:lang w:val="en-US" w:eastAsia="zh-CN"/>
              </w:rPr>
            </w:pPr>
          </w:p>
        </w:tc>
      </w:tr>
      <w:tr w14:paraId="3616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dashed" w:color="auto" w:sz="8" w:space="0"/>
              <w:bottom w:val="dashed" w:color="auto" w:sz="8" w:space="0"/>
              <w:right w:val="dashed" w:color="auto" w:sz="8" w:space="0"/>
            </w:tcBorders>
            <w:vAlign w:val="center"/>
          </w:tcPr>
          <w:p w14:paraId="535019CB">
            <w:pPr>
              <w:pStyle w:val="69"/>
              <w:bidi w:val="0"/>
              <w:rPr>
                <w:rFonts w:hint="default"/>
                <w:lang w:val="en-US" w:eastAsia="zh-CN"/>
              </w:rPr>
            </w:pPr>
            <w:r>
              <w:rPr>
                <w:rFonts w:hint="eastAsia"/>
                <w:lang w:val="en-US" w:eastAsia="zh-CN"/>
              </w:rPr>
              <w:t>打孔机</w:t>
            </w:r>
          </w:p>
        </w:tc>
        <w:tc>
          <w:tcPr>
            <w:tcW w:w="234" w:type="pct"/>
            <w:tcBorders>
              <w:top w:val="nil"/>
              <w:left w:val="dashed" w:color="auto" w:sz="8" w:space="0"/>
              <w:bottom w:val="nil"/>
              <w:right w:val="nil"/>
            </w:tcBorders>
            <w:vAlign w:val="center"/>
          </w:tcPr>
          <w:p w14:paraId="7A5C6A2A">
            <w:pPr>
              <w:pStyle w:val="69"/>
              <w:bidi w:val="0"/>
              <w:rPr>
                <w:lang w:val="en-US" w:eastAsia="zh-CN"/>
              </w:rPr>
            </w:pPr>
          </w:p>
        </w:tc>
        <w:tc>
          <w:tcPr>
            <w:tcW w:w="980" w:type="pct"/>
            <w:tcBorders>
              <w:top w:val="nil"/>
              <w:left w:val="nil"/>
              <w:bottom w:val="nil"/>
              <w:right w:val="nil"/>
            </w:tcBorders>
            <w:vAlign w:val="center"/>
          </w:tcPr>
          <w:p w14:paraId="2CE754C8">
            <w:pPr>
              <w:pStyle w:val="69"/>
              <w:bidi w:val="0"/>
              <w:rPr>
                <w:lang w:val="en-US" w:eastAsia="zh-CN"/>
              </w:rPr>
            </w:pPr>
          </w:p>
        </w:tc>
        <w:tc>
          <w:tcPr>
            <w:tcW w:w="367" w:type="pct"/>
            <w:tcBorders>
              <w:top w:val="nil"/>
              <w:left w:val="nil"/>
              <w:bottom w:val="nil"/>
              <w:right w:val="single" w:color="auto" w:sz="12" w:space="0"/>
            </w:tcBorders>
            <w:vAlign w:val="center"/>
          </w:tcPr>
          <w:p w14:paraId="7B1D462C">
            <w:pPr>
              <w:pStyle w:val="69"/>
              <w:bidi w:val="0"/>
              <w:rPr>
                <w:lang w:val="en-US" w:eastAsia="zh-CN"/>
              </w:rPr>
            </w:pPr>
          </w:p>
        </w:tc>
        <w:tc>
          <w:tcPr>
            <w:tcW w:w="724" w:type="pct"/>
            <w:tcBorders>
              <w:top w:val="single" w:color="auto" w:sz="12" w:space="0"/>
              <w:left w:val="single" w:color="auto" w:sz="12" w:space="0"/>
              <w:bottom w:val="single" w:color="auto" w:sz="12" w:space="0"/>
              <w:right w:val="single" w:color="auto" w:sz="12" w:space="0"/>
            </w:tcBorders>
            <w:vAlign w:val="center"/>
          </w:tcPr>
          <w:p w14:paraId="69380D40">
            <w:pPr>
              <w:pStyle w:val="62"/>
              <w:bidi w:val="0"/>
              <w:rPr>
                <w:rFonts w:hint="eastAsia"/>
              </w:rPr>
            </w:pPr>
            <w:r>
              <w:rPr>
                <w:rFonts w:hint="eastAsia"/>
                <w:lang w:val="en-US" w:eastAsia="zh-CN"/>
              </w:rPr>
              <w:t>部分打孔</w:t>
            </w:r>
          </w:p>
        </w:tc>
        <w:tc>
          <w:tcPr>
            <w:tcW w:w="281" w:type="pct"/>
            <w:tcBorders>
              <w:top w:val="nil"/>
              <w:left w:val="single" w:color="auto" w:sz="12" w:space="0"/>
              <w:bottom w:val="nil"/>
              <w:right w:val="dashed" w:color="auto" w:sz="8" w:space="0"/>
            </w:tcBorders>
            <w:vAlign w:val="center"/>
          </w:tcPr>
          <w:p w14:paraId="65FDB6CE">
            <w:pPr>
              <w:pStyle w:val="69"/>
              <w:bidi w:val="0"/>
              <w:rPr>
                <w:lang w:val="en-US" w:eastAsia="zh-CN"/>
              </w:rPr>
            </w:pPr>
            <w:r>
              <w:rPr>
                <w:rFonts w:hint="eastAsia"/>
              </w:rPr>
              <w:t>→</w:t>
            </w:r>
          </w:p>
        </w:tc>
        <w:tc>
          <w:tcPr>
            <w:tcW w:w="1385" w:type="pct"/>
            <w:tcBorders>
              <w:top w:val="dashed" w:color="auto" w:sz="8" w:space="0"/>
              <w:left w:val="dashed" w:color="auto" w:sz="8" w:space="0"/>
              <w:bottom w:val="dashed" w:color="auto" w:sz="8" w:space="0"/>
              <w:right w:val="dashed" w:color="auto" w:sz="8" w:space="0"/>
            </w:tcBorders>
            <w:vAlign w:val="center"/>
          </w:tcPr>
          <w:p w14:paraId="69500C4E">
            <w:pPr>
              <w:pStyle w:val="69"/>
              <w:bidi w:val="0"/>
              <w:rPr>
                <w:lang w:val="en-US" w:eastAsia="zh-CN"/>
              </w:rPr>
            </w:pPr>
            <w:r>
              <w:rPr>
                <w:rFonts w:hint="eastAsia"/>
                <w:lang w:val="en-US" w:eastAsia="zh-CN"/>
              </w:rPr>
              <w:t>噪声、边角料</w:t>
            </w:r>
          </w:p>
        </w:tc>
      </w:tr>
      <w:tr w14:paraId="5CCF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dashed" w:color="auto" w:sz="8" w:space="0"/>
              <w:left w:val="nil"/>
              <w:bottom w:val="nil"/>
              <w:right w:val="nil"/>
            </w:tcBorders>
            <w:vAlign w:val="center"/>
          </w:tcPr>
          <w:p w14:paraId="56909187">
            <w:pPr>
              <w:pStyle w:val="69"/>
              <w:bidi w:val="0"/>
              <w:rPr>
                <w:lang w:val="en-US" w:eastAsia="zh-CN"/>
              </w:rPr>
            </w:pPr>
          </w:p>
        </w:tc>
        <w:tc>
          <w:tcPr>
            <w:tcW w:w="234" w:type="pct"/>
            <w:tcBorders>
              <w:top w:val="nil"/>
              <w:left w:val="nil"/>
              <w:bottom w:val="nil"/>
              <w:right w:val="nil"/>
            </w:tcBorders>
            <w:vAlign w:val="center"/>
          </w:tcPr>
          <w:p w14:paraId="7380E88B">
            <w:pPr>
              <w:pStyle w:val="69"/>
              <w:bidi w:val="0"/>
              <w:rPr>
                <w:lang w:val="en-US" w:eastAsia="zh-CN"/>
              </w:rPr>
            </w:pPr>
          </w:p>
        </w:tc>
        <w:tc>
          <w:tcPr>
            <w:tcW w:w="980" w:type="pct"/>
            <w:tcBorders>
              <w:top w:val="nil"/>
              <w:left w:val="nil"/>
              <w:bottom w:val="nil"/>
              <w:right w:val="nil"/>
            </w:tcBorders>
            <w:vAlign w:val="center"/>
          </w:tcPr>
          <w:p w14:paraId="54D15700">
            <w:pPr>
              <w:pStyle w:val="69"/>
              <w:bidi w:val="0"/>
              <w:rPr>
                <w:lang w:val="en-US" w:eastAsia="zh-CN"/>
              </w:rPr>
            </w:pPr>
          </w:p>
        </w:tc>
        <w:tc>
          <w:tcPr>
            <w:tcW w:w="367" w:type="pct"/>
            <w:tcBorders>
              <w:top w:val="nil"/>
              <w:left w:val="nil"/>
              <w:bottom w:val="nil"/>
              <w:right w:val="nil"/>
            </w:tcBorders>
            <w:vAlign w:val="center"/>
          </w:tcPr>
          <w:p w14:paraId="7AAE6DE0">
            <w:pPr>
              <w:pStyle w:val="69"/>
              <w:bidi w:val="0"/>
              <w:rPr>
                <w:lang w:val="en-US" w:eastAsia="zh-CN"/>
              </w:rPr>
            </w:pPr>
          </w:p>
        </w:tc>
        <w:tc>
          <w:tcPr>
            <w:tcW w:w="724" w:type="pct"/>
            <w:tcBorders>
              <w:top w:val="single" w:color="auto" w:sz="12" w:space="0"/>
              <w:left w:val="nil"/>
              <w:bottom w:val="nil"/>
              <w:right w:val="nil"/>
            </w:tcBorders>
            <w:vAlign w:val="center"/>
          </w:tcPr>
          <w:p w14:paraId="01EF500D">
            <w:pPr>
              <w:pStyle w:val="62"/>
              <w:bidi w:val="0"/>
              <w:rPr>
                <w:rFonts w:hint="eastAsia"/>
              </w:rPr>
            </w:pPr>
            <w:r>
              <w:rPr>
                <w:rFonts w:hint="eastAsia"/>
              </w:rPr>
              <w:t>↓</w:t>
            </w:r>
          </w:p>
        </w:tc>
        <w:tc>
          <w:tcPr>
            <w:tcW w:w="281" w:type="pct"/>
            <w:tcBorders>
              <w:top w:val="nil"/>
              <w:left w:val="nil"/>
              <w:bottom w:val="nil"/>
              <w:right w:val="nil"/>
            </w:tcBorders>
            <w:vAlign w:val="center"/>
          </w:tcPr>
          <w:p w14:paraId="7BF05219">
            <w:pPr>
              <w:pStyle w:val="69"/>
              <w:bidi w:val="0"/>
              <w:rPr>
                <w:lang w:val="en-US" w:eastAsia="zh-CN"/>
              </w:rPr>
            </w:pPr>
          </w:p>
        </w:tc>
        <w:tc>
          <w:tcPr>
            <w:tcW w:w="1385" w:type="pct"/>
            <w:tcBorders>
              <w:top w:val="dashed" w:color="auto" w:sz="8" w:space="0"/>
              <w:left w:val="nil"/>
              <w:bottom w:val="nil"/>
              <w:right w:val="nil"/>
            </w:tcBorders>
            <w:vAlign w:val="center"/>
          </w:tcPr>
          <w:p w14:paraId="5B0AB373">
            <w:pPr>
              <w:pStyle w:val="69"/>
              <w:bidi w:val="0"/>
              <w:rPr>
                <w:lang w:val="en-US" w:eastAsia="zh-CN"/>
              </w:rPr>
            </w:pPr>
          </w:p>
        </w:tc>
      </w:tr>
      <w:tr w14:paraId="779E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pct"/>
            <w:tcBorders>
              <w:top w:val="nil"/>
              <w:left w:val="nil"/>
              <w:bottom w:val="nil"/>
              <w:right w:val="nil"/>
            </w:tcBorders>
            <w:vAlign w:val="center"/>
          </w:tcPr>
          <w:p w14:paraId="035EC6D8">
            <w:pPr>
              <w:pStyle w:val="69"/>
              <w:bidi w:val="0"/>
              <w:rPr>
                <w:rFonts w:hint="eastAsia"/>
                <w:lang w:val="en-US" w:eastAsia="zh-CN"/>
              </w:rPr>
            </w:pPr>
          </w:p>
        </w:tc>
        <w:tc>
          <w:tcPr>
            <w:tcW w:w="234" w:type="pct"/>
            <w:tcBorders>
              <w:top w:val="nil"/>
              <w:left w:val="nil"/>
              <w:bottom w:val="nil"/>
              <w:right w:val="nil"/>
            </w:tcBorders>
            <w:vAlign w:val="center"/>
          </w:tcPr>
          <w:p w14:paraId="63243D0B">
            <w:pPr>
              <w:pStyle w:val="69"/>
              <w:bidi w:val="0"/>
              <w:rPr>
                <w:lang w:val="en-US" w:eastAsia="zh-CN"/>
              </w:rPr>
            </w:pPr>
          </w:p>
        </w:tc>
        <w:tc>
          <w:tcPr>
            <w:tcW w:w="980" w:type="pct"/>
            <w:tcBorders>
              <w:top w:val="nil"/>
              <w:left w:val="nil"/>
              <w:bottom w:val="nil"/>
              <w:right w:val="nil"/>
            </w:tcBorders>
            <w:vAlign w:val="center"/>
          </w:tcPr>
          <w:p w14:paraId="2B6F9997">
            <w:pPr>
              <w:pStyle w:val="69"/>
              <w:bidi w:val="0"/>
              <w:rPr>
                <w:lang w:val="en-US" w:eastAsia="zh-CN"/>
              </w:rPr>
            </w:pPr>
          </w:p>
        </w:tc>
        <w:tc>
          <w:tcPr>
            <w:tcW w:w="1373" w:type="pct"/>
            <w:gridSpan w:val="3"/>
            <w:tcBorders>
              <w:top w:val="nil"/>
              <w:left w:val="nil"/>
              <w:bottom w:val="nil"/>
              <w:right w:val="nil"/>
            </w:tcBorders>
            <w:vAlign w:val="center"/>
          </w:tcPr>
          <w:p w14:paraId="361B1531">
            <w:pPr>
              <w:pStyle w:val="69"/>
              <w:bidi w:val="0"/>
              <w:rPr>
                <w:lang w:val="en-US" w:eastAsia="zh-CN"/>
              </w:rPr>
            </w:pPr>
            <w:r>
              <w:rPr>
                <w:rFonts w:hint="eastAsia"/>
                <w:lang w:val="en-US" w:eastAsia="zh-CN"/>
              </w:rPr>
              <w:t>食品用PET/OPP卷膜</w:t>
            </w:r>
          </w:p>
        </w:tc>
        <w:tc>
          <w:tcPr>
            <w:tcW w:w="1385" w:type="pct"/>
            <w:tcBorders>
              <w:top w:val="nil"/>
              <w:left w:val="nil"/>
              <w:bottom w:val="nil"/>
              <w:right w:val="nil"/>
            </w:tcBorders>
            <w:vAlign w:val="center"/>
          </w:tcPr>
          <w:p w14:paraId="1BF826E2">
            <w:pPr>
              <w:pStyle w:val="69"/>
              <w:bidi w:val="0"/>
              <w:rPr>
                <w:lang w:val="en-US" w:eastAsia="zh-CN"/>
              </w:rPr>
            </w:pPr>
          </w:p>
        </w:tc>
      </w:tr>
    </w:tbl>
    <w:p w14:paraId="7DBA8EC4">
      <w:pPr>
        <w:pStyle w:val="64"/>
        <w:numPr>
          <w:ilvl w:val="2"/>
          <w:numId w:val="8"/>
        </w:numPr>
        <w:bidi w:val="0"/>
        <w:rPr>
          <w:rFonts w:hint="eastAsia"/>
        </w:rPr>
      </w:pPr>
      <w:r>
        <w:rPr>
          <w:rFonts w:hint="eastAsia"/>
          <w:lang w:val="en-US" w:eastAsia="zh-CN"/>
        </w:rPr>
        <w:t>食品用OPP珠光复合膜</w:t>
      </w:r>
      <w:r>
        <w:rPr>
          <w:rFonts w:hint="eastAsia"/>
        </w:rPr>
        <w:t>生产工艺流程</w:t>
      </w:r>
    </w:p>
    <w:tbl>
      <w:tblPr>
        <w:tblStyle w:val="38"/>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8"/>
        <w:gridCol w:w="487"/>
        <w:gridCol w:w="2079"/>
        <w:gridCol w:w="696"/>
        <w:gridCol w:w="1388"/>
        <w:gridCol w:w="592"/>
        <w:gridCol w:w="2384"/>
      </w:tblGrid>
      <w:tr w14:paraId="396E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658" w:type="dxa"/>
            <w:tcBorders>
              <w:top w:val="nil"/>
              <w:left w:val="nil"/>
              <w:bottom w:val="dashed" w:color="000000" w:sz="8" w:space="0"/>
              <w:right w:val="nil"/>
            </w:tcBorders>
            <w:vAlign w:val="center"/>
          </w:tcPr>
          <w:p w14:paraId="2A0FAE5B">
            <w:pPr>
              <w:pStyle w:val="69"/>
              <w:bidi w:val="0"/>
            </w:pPr>
            <w:r>
              <w:rPr>
                <w:rFonts w:hint="eastAsia"/>
              </w:rPr>
              <w:t>所用设备</w:t>
            </w:r>
          </w:p>
        </w:tc>
        <w:tc>
          <w:tcPr>
            <w:tcW w:w="487" w:type="dxa"/>
            <w:tcBorders>
              <w:top w:val="nil"/>
              <w:left w:val="nil"/>
              <w:bottom w:val="nil"/>
              <w:right w:val="nil"/>
            </w:tcBorders>
            <w:vAlign w:val="center"/>
          </w:tcPr>
          <w:p w14:paraId="1A34DE31">
            <w:pPr>
              <w:pStyle w:val="69"/>
              <w:bidi w:val="0"/>
            </w:pPr>
          </w:p>
        </w:tc>
        <w:tc>
          <w:tcPr>
            <w:tcW w:w="2079" w:type="dxa"/>
            <w:tcBorders>
              <w:top w:val="nil"/>
              <w:left w:val="nil"/>
              <w:bottom w:val="dashed" w:color="000000" w:sz="8" w:space="0"/>
              <w:right w:val="nil"/>
            </w:tcBorders>
            <w:vAlign w:val="center"/>
          </w:tcPr>
          <w:p w14:paraId="55052B17">
            <w:pPr>
              <w:pStyle w:val="69"/>
              <w:bidi w:val="0"/>
            </w:pPr>
            <w:r>
              <w:rPr>
                <w:rFonts w:hint="eastAsia"/>
              </w:rPr>
              <w:t>原料</w:t>
            </w:r>
          </w:p>
        </w:tc>
        <w:tc>
          <w:tcPr>
            <w:tcW w:w="696" w:type="dxa"/>
            <w:tcBorders>
              <w:top w:val="nil"/>
              <w:left w:val="nil"/>
              <w:bottom w:val="nil"/>
              <w:right w:val="nil"/>
            </w:tcBorders>
            <w:vAlign w:val="center"/>
          </w:tcPr>
          <w:p w14:paraId="69A48C11">
            <w:pPr>
              <w:pStyle w:val="69"/>
              <w:bidi w:val="0"/>
            </w:pPr>
          </w:p>
        </w:tc>
        <w:tc>
          <w:tcPr>
            <w:tcW w:w="1388" w:type="dxa"/>
            <w:tcBorders>
              <w:top w:val="nil"/>
              <w:left w:val="nil"/>
              <w:bottom w:val="single" w:color="auto" w:sz="12" w:space="0"/>
              <w:right w:val="nil"/>
            </w:tcBorders>
            <w:vAlign w:val="center"/>
          </w:tcPr>
          <w:p w14:paraId="6CCA8435">
            <w:pPr>
              <w:pStyle w:val="62"/>
              <w:bidi w:val="0"/>
            </w:pPr>
            <w:r>
              <w:rPr>
                <w:rFonts w:hint="eastAsia"/>
              </w:rPr>
              <w:t>工序</w:t>
            </w:r>
          </w:p>
        </w:tc>
        <w:tc>
          <w:tcPr>
            <w:tcW w:w="592" w:type="dxa"/>
            <w:tcBorders>
              <w:top w:val="nil"/>
              <w:left w:val="nil"/>
              <w:bottom w:val="nil"/>
              <w:right w:val="nil"/>
            </w:tcBorders>
            <w:vAlign w:val="center"/>
          </w:tcPr>
          <w:p w14:paraId="1F6D688F">
            <w:pPr>
              <w:pStyle w:val="69"/>
              <w:bidi w:val="0"/>
            </w:pPr>
          </w:p>
        </w:tc>
        <w:tc>
          <w:tcPr>
            <w:tcW w:w="2384" w:type="dxa"/>
            <w:tcBorders>
              <w:top w:val="nil"/>
              <w:left w:val="nil"/>
              <w:bottom w:val="dashed" w:color="000000" w:sz="8" w:space="0"/>
              <w:right w:val="nil"/>
            </w:tcBorders>
            <w:vAlign w:val="center"/>
          </w:tcPr>
          <w:p w14:paraId="5F9071C9">
            <w:pPr>
              <w:pStyle w:val="69"/>
              <w:bidi w:val="0"/>
            </w:pPr>
            <w:r>
              <w:rPr>
                <w:rFonts w:hint="eastAsia"/>
              </w:rPr>
              <w:t>污染物</w:t>
            </w:r>
          </w:p>
        </w:tc>
      </w:tr>
      <w:tr w14:paraId="728C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dashed" w:color="000000" w:sz="8" w:space="0"/>
              <w:bottom w:val="dashed" w:color="000000" w:sz="8" w:space="0"/>
              <w:right w:val="dashed" w:color="000000" w:sz="8" w:space="0"/>
            </w:tcBorders>
            <w:shd w:val="clear" w:color="auto" w:fill="auto"/>
            <w:vAlign w:val="center"/>
          </w:tcPr>
          <w:p w14:paraId="42AC7433">
            <w:pPr>
              <w:pStyle w:val="69"/>
              <w:bidi w:val="0"/>
              <w:ind w:firstLine="0" w:firstLineChars="0"/>
              <w:rPr>
                <w:rFonts w:hint="default" w:ascii="Times New Roman" w:hAnsi="Times New Roman" w:eastAsia="宋体" w:cs="Times New Roman"/>
                <w:kern w:val="2"/>
                <w:sz w:val="21"/>
                <w:szCs w:val="21"/>
                <w:lang w:val="en-US" w:eastAsia="zh-CN" w:bidi="ar-SA"/>
              </w:rPr>
            </w:pPr>
            <w:r>
              <w:rPr>
                <w:rFonts w:hint="eastAsia"/>
                <w:lang w:val="en-US" w:eastAsia="zh-CN"/>
              </w:rPr>
              <w:t>中央供稀释剂系统、调墨房</w:t>
            </w:r>
          </w:p>
        </w:tc>
        <w:tc>
          <w:tcPr>
            <w:tcW w:w="487" w:type="dxa"/>
            <w:tcBorders>
              <w:top w:val="nil"/>
              <w:left w:val="dashed" w:color="000000" w:sz="8" w:space="0"/>
              <w:bottom w:val="nil"/>
              <w:right w:val="dashed" w:color="000000" w:sz="8" w:space="0"/>
            </w:tcBorders>
            <w:shd w:val="clear" w:color="auto" w:fill="auto"/>
            <w:vAlign w:val="center"/>
          </w:tcPr>
          <w:p w14:paraId="0AFC1D6D">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dashed" w:color="000000" w:sz="8" w:space="0"/>
              <w:left w:val="dashed" w:color="000000" w:sz="8" w:space="0"/>
              <w:bottom w:val="dashed" w:color="000000" w:sz="8" w:space="0"/>
              <w:right w:val="dashed" w:color="000000" w:sz="8" w:space="0"/>
            </w:tcBorders>
            <w:shd w:val="clear" w:color="auto" w:fill="auto"/>
            <w:vAlign w:val="center"/>
          </w:tcPr>
          <w:p w14:paraId="0A205167">
            <w:pPr>
              <w:pStyle w:val="69"/>
              <w:bidi w:val="0"/>
              <w:ind w:firstLine="0" w:firstLineChars="0"/>
              <w:rPr>
                <w:rFonts w:ascii="Times New Roman" w:hAnsi="Times New Roman" w:eastAsia="宋体" w:cs="Times New Roman"/>
                <w:kern w:val="2"/>
                <w:sz w:val="21"/>
                <w:szCs w:val="21"/>
                <w:lang w:val="en-US" w:eastAsia="zh-CN" w:bidi="ar-SA"/>
              </w:rPr>
            </w:pPr>
            <w:r>
              <w:t>乙酸乙酯、乙酸丁酯、异丙醇、乙酸丙酯</w:t>
            </w:r>
          </w:p>
        </w:tc>
        <w:tc>
          <w:tcPr>
            <w:tcW w:w="696" w:type="dxa"/>
            <w:tcBorders>
              <w:top w:val="nil"/>
              <w:left w:val="dashed" w:color="000000" w:sz="8" w:space="0"/>
              <w:bottom w:val="nil"/>
              <w:right w:val="single" w:color="auto" w:sz="12" w:space="0"/>
            </w:tcBorders>
            <w:shd w:val="clear" w:color="auto" w:fill="auto"/>
            <w:vAlign w:val="center"/>
          </w:tcPr>
          <w:p w14:paraId="2F38A9B3">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1388" w:type="dxa"/>
            <w:tcBorders>
              <w:top w:val="single" w:color="auto" w:sz="12" w:space="0"/>
              <w:left w:val="single" w:color="auto" w:sz="12" w:space="0"/>
              <w:bottom w:val="single" w:color="auto" w:sz="12" w:space="0"/>
              <w:right w:val="single" w:color="auto" w:sz="12" w:space="0"/>
            </w:tcBorders>
            <w:shd w:val="clear" w:color="auto" w:fill="auto"/>
            <w:vAlign w:val="center"/>
          </w:tcPr>
          <w:p w14:paraId="52D6E2C6">
            <w:pPr>
              <w:pStyle w:val="62"/>
              <w:bidi w:val="0"/>
              <w:ind w:firstLine="0" w:firstLineChars="0"/>
              <w:rPr>
                <w:rFonts w:hint="default" w:ascii="Times New Roman" w:hAnsi="Times New Roman" w:eastAsia="宋体" w:cs="Times New Roman"/>
                <w:b/>
                <w:kern w:val="0"/>
                <w:sz w:val="24"/>
                <w:szCs w:val="22"/>
                <w:lang w:val="en-US" w:eastAsia="zh-CN" w:bidi="ar-SA"/>
              </w:rPr>
            </w:pPr>
            <w:r>
              <w:rPr>
                <w:rFonts w:hint="eastAsia"/>
                <w:lang w:val="en-US" w:eastAsia="zh-CN"/>
              </w:rPr>
              <w:t>调墨</w:t>
            </w:r>
          </w:p>
        </w:tc>
        <w:tc>
          <w:tcPr>
            <w:tcW w:w="592" w:type="dxa"/>
            <w:tcBorders>
              <w:top w:val="nil"/>
              <w:left w:val="single" w:color="auto" w:sz="12" w:space="0"/>
              <w:bottom w:val="nil"/>
              <w:right w:val="dashed" w:color="000000" w:sz="8" w:space="0"/>
            </w:tcBorders>
            <w:shd w:val="clear" w:color="auto" w:fill="auto"/>
            <w:vAlign w:val="center"/>
          </w:tcPr>
          <w:p w14:paraId="0CE33B76">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2384" w:type="dxa"/>
            <w:tcBorders>
              <w:top w:val="dashed" w:color="000000" w:sz="8" w:space="0"/>
              <w:left w:val="dashed" w:color="000000" w:sz="8" w:space="0"/>
              <w:bottom w:val="dashed" w:color="000000" w:sz="8" w:space="0"/>
              <w:right w:val="dashed" w:color="000000" w:sz="8" w:space="0"/>
            </w:tcBorders>
            <w:shd w:val="clear" w:color="auto" w:fill="auto"/>
            <w:vAlign w:val="center"/>
          </w:tcPr>
          <w:p w14:paraId="751422DF">
            <w:pPr>
              <w:pStyle w:val="69"/>
              <w:bidi w:val="0"/>
              <w:ind w:firstLine="0" w:firstLineChars="0"/>
              <w:rPr>
                <w:rFonts w:hint="default" w:ascii="Times New Roman" w:hAnsi="Times New Roman" w:eastAsia="宋体" w:cs="Times New Roman"/>
                <w:kern w:val="2"/>
                <w:sz w:val="21"/>
                <w:szCs w:val="21"/>
                <w:lang w:val="en-US" w:eastAsia="zh-CN" w:bidi="ar-SA"/>
              </w:rPr>
            </w:pPr>
            <w:r>
              <w:t>总VOCs（含非甲烷总烃）、臭气浓度、</w:t>
            </w:r>
            <w:r>
              <w:rPr>
                <w:rFonts w:hint="eastAsia"/>
              </w:rPr>
              <w:t>废包装桶</w:t>
            </w:r>
          </w:p>
        </w:tc>
      </w:tr>
      <w:tr w14:paraId="0375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nil"/>
              <w:bottom w:val="dashed" w:color="000000" w:sz="8" w:space="0"/>
              <w:right w:val="nil"/>
            </w:tcBorders>
            <w:shd w:val="clear" w:color="auto" w:fill="auto"/>
            <w:vAlign w:val="center"/>
          </w:tcPr>
          <w:p w14:paraId="039892B3">
            <w:pPr>
              <w:pStyle w:val="69"/>
              <w:bidi w:val="0"/>
              <w:ind w:firstLine="0" w:firstLineChars="0"/>
              <w:rPr>
                <w:rFonts w:ascii="Times New Roman" w:hAnsi="Times New Roman" w:eastAsia="宋体" w:cs="Times New Roman"/>
                <w:kern w:val="2"/>
                <w:sz w:val="21"/>
                <w:szCs w:val="21"/>
                <w:lang w:val="en-US" w:eastAsia="zh-CN" w:bidi="ar-SA"/>
              </w:rPr>
            </w:pPr>
          </w:p>
        </w:tc>
        <w:tc>
          <w:tcPr>
            <w:tcW w:w="487" w:type="dxa"/>
            <w:tcBorders>
              <w:top w:val="nil"/>
              <w:left w:val="nil"/>
              <w:bottom w:val="nil"/>
              <w:right w:val="nil"/>
            </w:tcBorders>
            <w:shd w:val="clear" w:color="auto" w:fill="auto"/>
            <w:vAlign w:val="center"/>
          </w:tcPr>
          <w:p w14:paraId="06E09E57">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dashed" w:color="000000" w:sz="8" w:space="0"/>
              <w:left w:val="nil"/>
              <w:bottom w:val="dashed" w:color="000000" w:sz="8" w:space="0"/>
              <w:right w:val="nil"/>
            </w:tcBorders>
            <w:shd w:val="clear" w:color="auto" w:fill="auto"/>
            <w:vAlign w:val="center"/>
          </w:tcPr>
          <w:p w14:paraId="0A548B4A">
            <w:pPr>
              <w:pStyle w:val="69"/>
              <w:bidi w:val="0"/>
              <w:ind w:firstLine="0" w:firstLineChars="0"/>
              <w:rPr>
                <w:rFonts w:ascii="Times New Roman" w:hAnsi="Times New Roman" w:eastAsia="宋体" w:cs="Times New Roman"/>
                <w:kern w:val="2"/>
                <w:sz w:val="21"/>
                <w:szCs w:val="21"/>
                <w:lang w:val="en-US" w:eastAsia="zh-CN" w:bidi="ar-SA"/>
              </w:rPr>
            </w:pPr>
          </w:p>
        </w:tc>
        <w:tc>
          <w:tcPr>
            <w:tcW w:w="696" w:type="dxa"/>
            <w:tcBorders>
              <w:top w:val="nil"/>
              <w:left w:val="nil"/>
              <w:bottom w:val="nil"/>
              <w:right w:val="nil"/>
            </w:tcBorders>
            <w:shd w:val="clear" w:color="auto" w:fill="auto"/>
            <w:vAlign w:val="center"/>
          </w:tcPr>
          <w:p w14:paraId="092C59EE">
            <w:pPr>
              <w:pStyle w:val="69"/>
              <w:bidi w:val="0"/>
              <w:ind w:firstLine="0" w:firstLineChars="0"/>
              <w:rPr>
                <w:rFonts w:ascii="Times New Roman" w:hAnsi="Times New Roman" w:eastAsia="宋体" w:cs="Times New Roman"/>
                <w:kern w:val="2"/>
                <w:sz w:val="21"/>
                <w:szCs w:val="21"/>
                <w:lang w:val="en-US" w:eastAsia="zh-CN" w:bidi="ar-SA"/>
              </w:rPr>
            </w:pPr>
          </w:p>
        </w:tc>
        <w:tc>
          <w:tcPr>
            <w:tcW w:w="1388" w:type="dxa"/>
            <w:tcBorders>
              <w:top w:val="single" w:color="auto" w:sz="12" w:space="0"/>
              <w:left w:val="nil"/>
              <w:bottom w:val="single" w:color="auto" w:sz="12" w:space="0"/>
              <w:right w:val="nil"/>
            </w:tcBorders>
            <w:shd w:val="clear" w:color="auto" w:fill="auto"/>
            <w:vAlign w:val="center"/>
          </w:tcPr>
          <w:p w14:paraId="7A0D79B7">
            <w:pPr>
              <w:pStyle w:val="62"/>
              <w:bidi w:val="0"/>
              <w:ind w:firstLine="0" w:firstLineChars="0"/>
              <w:rPr>
                <w:rFonts w:ascii="Times New Roman" w:hAnsi="Times New Roman" w:eastAsia="宋体" w:cs="Times New Roman"/>
                <w:b/>
                <w:kern w:val="0"/>
                <w:sz w:val="24"/>
                <w:szCs w:val="22"/>
                <w:lang w:val="en-US" w:eastAsia="zh-CN" w:bidi="ar-SA"/>
              </w:rPr>
            </w:pPr>
            <w:r>
              <w:rPr>
                <w:rFonts w:hint="eastAsia"/>
              </w:rPr>
              <w:t>↓</w:t>
            </w:r>
          </w:p>
        </w:tc>
        <w:tc>
          <w:tcPr>
            <w:tcW w:w="592" w:type="dxa"/>
            <w:tcBorders>
              <w:top w:val="nil"/>
              <w:left w:val="nil"/>
              <w:bottom w:val="nil"/>
              <w:right w:val="nil"/>
            </w:tcBorders>
            <w:shd w:val="clear" w:color="auto" w:fill="auto"/>
            <w:vAlign w:val="center"/>
          </w:tcPr>
          <w:p w14:paraId="7A7D1D40">
            <w:pPr>
              <w:pStyle w:val="69"/>
              <w:bidi w:val="0"/>
              <w:ind w:firstLine="0" w:firstLineChars="0"/>
              <w:rPr>
                <w:rFonts w:ascii="Times New Roman" w:hAnsi="Times New Roman" w:eastAsia="宋体" w:cs="Times New Roman"/>
                <w:kern w:val="2"/>
                <w:sz w:val="21"/>
                <w:szCs w:val="21"/>
                <w:lang w:val="en-US" w:eastAsia="zh-CN" w:bidi="ar-SA"/>
              </w:rPr>
            </w:pPr>
          </w:p>
        </w:tc>
        <w:tc>
          <w:tcPr>
            <w:tcW w:w="2384" w:type="dxa"/>
            <w:tcBorders>
              <w:top w:val="dashed" w:color="000000" w:sz="8" w:space="0"/>
              <w:left w:val="nil"/>
              <w:bottom w:val="dashed" w:color="000000" w:sz="8" w:space="0"/>
              <w:right w:val="nil"/>
            </w:tcBorders>
            <w:shd w:val="clear" w:color="auto" w:fill="auto"/>
            <w:vAlign w:val="center"/>
          </w:tcPr>
          <w:p w14:paraId="3B2CDE8B">
            <w:pPr>
              <w:pStyle w:val="69"/>
              <w:bidi w:val="0"/>
              <w:ind w:firstLine="0" w:firstLineChars="0"/>
              <w:rPr>
                <w:rFonts w:ascii="Times New Roman" w:hAnsi="Times New Roman" w:eastAsia="宋体" w:cs="Times New Roman"/>
                <w:kern w:val="2"/>
                <w:sz w:val="21"/>
                <w:szCs w:val="21"/>
                <w:lang w:val="en-US" w:eastAsia="zh-CN" w:bidi="ar-SA"/>
              </w:rPr>
            </w:pPr>
          </w:p>
        </w:tc>
      </w:tr>
      <w:tr w14:paraId="7A5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dashed" w:color="000000" w:sz="8" w:space="0"/>
              <w:bottom w:val="dashed" w:color="000000" w:sz="8" w:space="0"/>
              <w:right w:val="dashed" w:color="000000" w:sz="8" w:space="0"/>
            </w:tcBorders>
            <w:shd w:val="clear" w:color="auto" w:fill="auto"/>
            <w:vAlign w:val="center"/>
          </w:tcPr>
          <w:p w14:paraId="676AB528">
            <w:pPr>
              <w:pStyle w:val="69"/>
              <w:bidi w:val="0"/>
              <w:ind w:firstLine="0" w:firstLineChars="0"/>
              <w:rPr>
                <w:rFonts w:ascii="Times New Roman" w:hAnsi="Times New Roman" w:eastAsia="宋体" w:cs="Times New Roman"/>
                <w:kern w:val="2"/>
                <w:sz w:val="21"/>
                <w:szCs w:val="21"/>
                <w:lang w:val="en-US" w:eastAsia="zh-CN" w:bidi="ar-SA"/>
              </w:rPr>
            </w:pPr>
            <w:r>
              <w:rPr>
                <w:rFonts w:hint="eastAsia"/>
                <w:lang w:val="en-US" w:eastAsia="zh-CN"/>
              </w:rPr>
              <w:t>十一色印刷机、十色印刷机、墨泵</w:t>
            </w:r>
          </w:p>
        </w:tc>
        <w:tc>
          <w:tcPr>
            <w:tcW w:w="487" w:type="dxa"/>
            <w:tcBorders>
              <w:top w:val="nil"/>
              <w:left w:val="dashed" w:color="000000" w:sz="8" w:space="0"/>
              <w:bottom w:val="nil"/>
              <w:right w:val="dashed" w:color="000000" w:sz="8" w:space="0"/>
            </w:tcBorders>
            <w:shd w:val="clear" w:color="auto" w:fill="auto"/>
            <w:vAlign w:val="center"/>
          </w:tcPr>
          <w:p w14:paraId="11C0546F">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dashed" w:color="000000" w:sz="8" w:space="0"/>
              <w:left w:val="dashed" w:color="000000" w:sz="8" w:space="0"/>
              <w:bottom w:val="dashed" w:color="000000" w:sz="8" w:space="0"/>
              <w:right w:val="dashed" w:color="000000" w:sz="8" w:space="0"/>
            </w:tcBorders>
            <w:shd w:val="clear" w:color="auto" w:fill="auto"/>
            <w:vAlign w:val="center"/>
          </w:tcPr>
          <w:p w14:paraId="11541FC9">
            <w:pPr>
              <w:pStyle w:val="69"/>
              <w:bidi w:val="0"/>
              <w:ind w:firstLine="0" w:firstLineChars="0"/>
              <w:rPr>
                <w:rFonts w:ascii="Times New Roman" w:hAnsi="Times New Roman" w:eastAsia="宋体" w:cs="Times New Roman"/>
                <w:kern w:val="2"/>
                <w:sz w:val="21"/>
                <w:szCs w:val="21"/>
                <w:lang w:val="en-US" w:eastAsia="zh-CN" w:bidi="ar-SA"/>
              </w:rPr>
            </w:pPr>
            <w:r>
              <w:rPr>
                <w:rFonts w:hint="eastAsia"/>
                <w:lang w:val="en-US" w:eastAsia="zh-CN"/>
              </w:rPr>
              <w:t>溶剂</w:t>
            </w:r>
            <w:r>
              <w:t>油墨、</w:t>
            </w:r>
            <w:r>
              <w:rPr>
                <w:rFonts w:hint="eastAsia"/>
                <w:lang w:val="en-US" w:eastAsia="zh-CN"/>
              </w:rPr>
              <w:t>OPP膜、</w:t>
            </w:r>
            <w:r>
              <w:t>乙酸乙酯</w:t>
            </w:r>
          </w:p>
        </w:tc>
        <w:tc>
          <w:tcPr>
            <w:tcW w:w="696" w:type="dxa"/>
            <w:tcBorders>
              <w:top w:val="nil"/>
              <w:left w:val="dashed" w:color="000000" w:sz="8" w:space="0"/>
              <w:bottom w:val="nil"/>
              <w:right w:val="single" w:color="auto" w:sz="12" w:space="0"/>
            </w:tcBorders>
            <w:shd w:val="clear" w:color="auto" w:fill="auto"/>
            <w:vAlign w:val="center"/>
          </w:tcPr>
          <w:p w14:paraId="495EE47C">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1388" w:type="dxa"/>
            <w:tcBorders>
              <w:top w:val="single" w:color="auto" w:sz="12" w:space="0"/>
              <w:left w:val="single" w:color="auto" w:sz="12" w:space="0"/>
              <w:bottom w:val="single" w:color="auto" w:sz="12" w:space="0"/>
              <w:right w:val="single" w:color="auto" w:sz="12" w:space="0"/>
            </w:tcBorders>
            <w:shd w:val="clear" w:color="auto" w:fill="auto"/>
            <w:vAlign w:val="center"/>
          </w:tcPr>
          <w:p w14:paraId="5FDC1275">
            <w:pPr>
              <w:pStyle w:val="62"/>
              <w:bidi w:val="0"/>
              <w:ind w:firstLine="0" w:firstLineChars="0"/>
              <w:rPr>
                <w:rFonts w:ascii="Times New Roman" w:hAnsi="Times New Roman" w:eastAsia="宋体" w:cs="Times New Roman"/>
                <w:b/>
                <w:kern w:val="0"/>
                <w:sz w:val="24"/>
                <w:szCs w:val="22"/>
                <w:lang w:val="en-US" w:eastAsia="zh-CN" w:bidi="ar-SA"/>
              </w:rPr>
            </w:pPr>
            <w:r>
              <w:rPr>
                <w:rFonts w:hint="eastAsia"/>
                <w:lang w:val="en-US" w:eastAsia="zh-CN"/>
              </w:rPr>
              <w:t>印刷、烘干</w:t>
            </w:r>
          </w:p>
        </w:tc>
        <w:tc>
          <w:tcPr>
            <w:tcW w:w="592" w:type="dxa"/>
            <w:tcBorders>
              <w:top w:val="nil"/>
              <w:left w:val="single" w:color="auto" w:sz="12" w:space="0"/>
              <w:bottom w:val="nil"/>
              <w:right w:val="dashed" w:color="000000" w:sz="8" w:space="0"/>
            </w:tcBorders>
            <w:shd w:val="clear" w:color="auto" w:fill="auto"/>
            <w:vAlign w:val="center"/>
          </w:tcPr>
          <w:p w14:paraId="0CA8769F">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2384" w:type="dxa"/>
            <w:tcBorders>
              <w:top w:val="dashed" w:color="000000" w:sz="8" w:space="0"/>
              <w:left w:val="dashed" w:color="000000" w:sz="8" w:space="0"/>
              <w:bottom w:val="dashed" w:color="000000" w:sz="8" w:space="0"/>
              <w:right w:val="dashed" w:color="000000" w:sz="8" w:space="0"/>
            </w:tcBorders>
            <w:shd w:val="clear" w:color="auto" w:fill="auto"/>
            <w:vAlign w:val="center"/>
          </w:tcPr>
          <w:p w14:paraId="2AFD53AE">
            <w:pPr>
              <w:pStyle w:val="69"/>
              <w:bidi w:val="0"/>
              <w:ind w:firstLine="0" w:firstLineChars="0"/>
              <w:rPr>
                <w:rFonts w:hint="default" w:ascii="Times New Roman" w:hAnsi="Times New Roman" w:eastAsia="宋体" w:cs="Times New Roman"/>
                <w:kern w:val="2"/>
                <w:sz w:val="21"/>
                <w:szCs w:val="21"/>
                <w:lang w:val="en-US" w:eastAsia="zh-CN" w:bidi="ar-SA"/>
              </w:rPr>
            </w:pPr>
            <w:r>
              <w:t>总VOCs（含非甲烷总烃）、臭气浓度、</w:t>
            </w:r>
            <w:r>
              <w:rPr>
                <w:rFonts w:hint="eastAsia"/>
              </w:rPr>
              <w:t>废擦机布和手套</w:t>
            </w:r>
            <w:r>
              <w:rPr>
                <w:rFonts w:hint="eastAsia"/>
                <w:lang w:val="en-US" w:eastAsia="zh-CN"/>
              </w:rPr>
              <w:t>、废矿物油及其包装罐</w:t>
            </w:r>
            <w:r>
              <w:t>、</w:t>
            </w:r>
            <w:r>
              <w:rPr>
                <w:rFonts w:hint="eastAsia"/>
              </w:rPr>
              <w:t>废包装桶</w:t>
            </w:r>
          </w:p>
        </w:tc>
      </w:tr>
      <w:tr w14:paraId="2206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nil"/>
              <w:bottom w:val="dashed" w:color="auto" w:sz="8" w:space="0"/>
              <w:right w:val="nil"/>
            </w:tcBorders>
            <w:shd w:val="clear" w:color="auto" w:fill="auto"/>
            <w:vAlign w:val="center"/>
          </w:tcPr>
          <w:p w14:paraId="3D406330">
            <w:pPr>
              <w:pStyle w:val="69"/>
              <w:bidi w:val="0"/>
              <w:ind w:firstLine="0" w:firstLineChars="0"/>
              <w:rPr>
                <w:rFonts w:ascii="Times New Roman" w:hAnsi="Times New Roman" w:eastAsia="宋体" w:cs="Times New Roman"/>
                <w:kern w:val="2"/>
                <w:sz w:val="21"/>
                <w:szCs w:val="21"/>
                <w:lang w:val="en-US" w:eastAsia="zh-CN" w:bidi="ar-SA"/>
              </w:rPr>
            </w:pPr>
          </w:p>
        </w:tc>
        <w:tc>
          <w:tcPr>
            <w:tcW w:w="487" w:type="dxa"/>
            <w:tcBorders>
              <w:top w:val="nil"/>
              <w:left w:val="nil"/>
              <w:bottom w:val="nil"/>
              <w:right w:val="nil"/>
            </w:tcBorders>
            <w:shd w:val="clear" w:color="auto" w:fill="auto"/>
            <w:vAlign w:val="center"/>
          </w:tcPr>
          <w:p w14:paraId="62DB476C">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dashed" w:color="000000" w:sz="8" w:space="0"/>
              <w:left w:val="nil"/>
              <w:bottom w:val="nil"/>
              <w:right w:val="nil"/>
            </w:tcBorders>
            <w:shd w:val="clear" w:color="auto" w:fill="auto"/>
            <w:vAlign w:val="center"/>
          </w:tcPr>
          <w:p w14:paraId="13298605">
            <w:pPr>
              <w:pStyle w:val="69"/>
              <w:bidi w:val="0"/>
              <w:ind w:firstLine="0" w:firstLineChars="0"/>
              <w:rPr>
                <w:rFonts w:ascii="Times New Roman" w:hAnsi="Times New Roman" w:eastAsia="宋体" w:cs="Times New Roman"/>
                <w:kern w:val="2"/>
                <w:sz w:val="21"/>
                <w:szCs w:val="21"/>
                <w:lang w:val="en-US" w:eastAsia="zh-CN" w:bidi="ar-SA"/>
              </w:rPr>
            </w:pPr>
          </w:p>
        </w:tc>
        <w:tc>
          <w:tcPr>
            <w:tcW w:w="696" w:type="dxa"/>
            <w:tcBorders>
              <w:top w:val="nil"/>
              <w:left w:val="nil"/>
              <w:bottom w:val="nil"/>
              <w:right w:val="nil"/>
            </w:tcBorders>
            <w:shd w:val="clear" w:color="auto" w:fill="auto"/>
            <w:vAlign w:val="center"/>
          </w:tcPr>
          <w:p w14:paraId="0B3F245B">
            <w:pPr>
              <w:pStyle w:val="69"/>
              <w:bidi w:val="0"/>
              <w:ind w:firstLine="0" w:firstLineChars="0"/>
              <w:rPr>
                <w:rFonts w:ascii="Times New Roman" w:hAnsi="Times New Roman" w:eastAsia="宋体" w:cs="Times New Roman"/>
                <w:kern w:val="2"/>
                <w:sz w:val="21"/>
                <w:szCs w:val="21"/>
                <w:lang w:val="en-US" w:eastAsia="zh-CN" w:bidi="ar-SA"/>
              </w:rPr>
            </w:pPr>
          </w:p>
        </w:tc>
        <w:tc>
          <w:tcPr>
            <w:tcW w:w="1388" w:type="dxa"/>
            <w:tcBorders>
              <w:top w:val="single" w:color="auto" w:sz="12" w:space="0"/>
              <w:left w:val="nil"/>
              <w:bottom w:val="single" w:color="auto" w:sz="12" w:space="0"/>
              <w:right w:val="nil"/>
            </w:tcBorders>
            <w:shd w:val="clear" w:color="auto" w:fill="auto"/>
            <w:vAlign w:val="center"/>
          </w:tcPr>
          <w:p w14:paraId="4A63D762">
            <w:pPr>
              <w:pStyle w:val="62"/>
              <w:bidi w:val="0"/>
              <w:ind w:firstLine="0" w:firstLineChars="0"/>
              <w:rPr>
                <w:rFonts w:ascii="Times New Roman" w:hAnsi="Times New Roman" w:eastAsia="宋体" w:cs="Times New Roman"/>
                <w:b/>
                <w:kern w:val="0"/>
                <w:sz w:val="24"/>
                <w:szCs w:val="22"/>
                <w:lang w:val="en-US" w:eastAsia="zh-CN" w:bidi="ar-SA"/>
              </w:rPr>
            </w:pPr>
            <w:r>
              <w:rPr>
                <w:rFonts w:hint="eastAsia"/>
              </w:rPr>
              <w:t>↓</w:t>
            </w:r>
          </w:p>
        </w:tc>
        <w:tc>
          <w:tcPr>
            <w:tcW w:w="592" w:type="dxa"/>
            <w:tcBorders>
              <w:top w:val="nil"/>
              <w:left w:val="nil"/>
              <w:bottom w:val="nil"/>
              <w:right w:val="nil"/>
            </w:tcBorders>
            <w:shd w:val="clear" w:color="auto" w:fill="auto"/>
            <w:vAlign w:val="center"/>
          </w:tcPr>
          <w:p w14:paraId="53BC9EC3">
            <w:pPr>
              <w:pStyle w:val="69"/>
              <w:bidi w:val="0"/>
              <w:ind w:firstLine="0" w:firstLineChars="0"/>
              <w:rPr>
                <w:rFonts w:ascii="Times New Roman" w:hAnsi="Times New Roman" w:eastAsia="宋体" w:cs="Times New Roman"/>
                <w:kern w:val="2"/>
                <w:sz w:val="21"/>
                <w:szCs w:val="21"/>
                <w:lang w:val="en-US" w:eastAsia="zh-CN" w:bidi="ar-SA"/>
              </w:rPr>
            </w:pPr>
          </w:p>
        </w:tc>
        <w:tc>
          <w:tcPr>
            <w:tcW w:w="2384" w:type="dxa"/>
            <w:tcBorders>
              <w:top w:val="dashed" w:color="000000" w:sz="8" w:space="0"/>
              <w:left w:val="nil"/>
              <w:bottom w:val="dashed" w:color="auto" w:sz="8" w:space="0"/>
              <w:right w:val="nil"/>
            </w:tcBorders>
            <w:shd w:val="clear" w:color="auto" w:fill="auto"/>
            <w:vAlign w:val="center"/>
          </w:tcPr>
          <w:p w14:paraId="1F2DDFD7">
            <w:pPr>
              <w:pStyle w:val="69"/>
              <w:bidi w:val="0"/>
              <w:ind w:firstLine="0" w:firstLineChars="0"/>
              <w:rPr>
                <w:rFonts w:ascii="Times New Roman" w:hAnsi="Times New Roman" w:eastAsia="宋体" w:cs="Times New Roman"/>
                <w:kern w:val="2"/>
                <w:sz w:val="21"/>
                <w:szCs w:val="21"/>
                <w:lang w:val="en-US" w:eastAsia="zh-CN" w:bidi="ar-SA"/>
              </w:rPr>
            </w:pPr>
          </w:p>
        </w:tc>
      </w:tr>
      <w:tr w14:paraId="7D32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dashed" w:color="auto" w:sz="8" w:space="0"/>
              <w:bottom w:val="dashed" w:color="auto" w:sz="8" w:space="0"/>
              <w:right w:val="dashed" w:color="auto" w:sz="8" w:space="0"/>
            </w:tcBorders>
            <w:shd w:val="clear" w:color="auto" w:fill="auto"/>
            <w:vAlign w:val="center"/>
          </w:tcPr>
          <w:p w14:paraId="5C321C81">
            <w:pPr>
              <w:pStyle w:val="69"/>
              <w:bidi w:val="0"/>
              <w:ind w:firstLine="0" w:firstLineChars="0"/>
              <w:rPr>
                <w:rFonts w:hint="default" w:ascii="Times New Roman" w:hAnsi="Times New Roman" w:eastAsia="宋体" w:cs="Times New Roman"/>
                <w:kern w:val="2"/>
                <w:sz w:val="21"/>
                <w:szCs w:val="21"/>
                <w:lang w:val="en-US" w:eastAsia="zh-CN" w:bidi="ar-SA"/>
              </w:rPr>
            </w:pPr>
            <w:r>
              <w:rPr>
                <w:rFonts w:hint="eastAsia" w:ascii="宋体" w:hAnsi="宋体" w:eastAsia="宋体" w:cs="宋体"/>
                <w:sz w:val="20"/>
                <w:szCs w:val="20"/>
                <w:lang w:val="en-US" w:eastAsia="zh-CN"/>
              </w:rPr>
              <w:t>品检机</w:t>
            </w:r>
          </w:p>
        </w:tc>
        <w:tc>
          <w:tcPr>
            <w:tcW w:w="487" w:type="dxa"/>
            <w:tcBorders>
              <w:top w:val="nil"/>
              <w:left w:val="dashed" w:color="auto" w:sz="8" w:space="0"/>
              <w:bottom w:val="nil"/>
              <w:right w:val="nil"/>
            </w:tcBorders>
            <w:shd w:val="clear" w:color="auto" w:fill="auto"/>
            <w:vAlign w:val="center"/>
          </w:tcPr>
          <w:p w14:paraId="17526F10">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nil"/>
              <w:left w:val="nil"/>
              <w:bottom w:val="nil"/>
              <w:right w:val="nil"/>
            </w:tcBorders>
            <w:shd w:val="clear" w:color="auto" w:fill="auto"/>
            <w:vAlign w:val="center"/>
          </w:tcPr>
          <w:p w14:paraId="3093A461">
            <w:pPr>
              <w:pStyle w:val="69"/>
              <w:bidi w:val="0"/>
              <w:ind w:firstLine="0" w:firstLineChars="0"/>
              <w:rPr>
                <w:rFonts w:hint="default" w:ascii="Times New Roman" w:hAnsi="Times New Roman" w:eastAsia="宋体" w:cs="Times New Roman"/>
                <w:kern w:val="2"/>
                <w:sz w:val="21"/>
                <w:szCs w:val="21"/>
                <w:lang w:val="en-US" w:eastAsia="zh-CN" w:bidi="ar-SA"/>
              </w:rPr>
            </w:pPr>
          </w:p>
        </w:tc>
        <w:tc>
          <w:tcPr>
            <w:tcW w:w="696" w:type="dxa"/>
            <w:tcBorders>
              <w:top w:val="nil"/>
              <w:left w:val="nil"/>
              <w:bottom w:val="nil"/>
              <w:right w:val="single" w:color="auto" w:sz="12" w:space="0"/>
            </w:tcBorders>
            <w:shd w:val="clear" w:color="auto" w:fill="auto"/>
            <w:vAlign w:val="center"/>
          </w:tcPr>
          <w:p w14:paraId="27DCC6EE">
            <w:pPr>
              <w:pStyle w:val="69"/>
              <w:bidi w:val="0"/>
              <w:ind w:firstLine="0" w:firstLineChars="0"/>
              <w:rPr>
                <w:rFonts w:ascii="Times New Roman" w:hAnsi="Times New Roman" w:eastAsia="宋体" w:cs="Times New Roman"/>
                <w:kern w:val="2"/>
                <w:sz w:val="21"/>
                <w:szCs w:val="21"/>
                <w:lang w:val="en-US" w:eastAsia="zh-CN" w:bidi="ar-SA"/>
              </w:rPr>
            </w:pPr>
          </w:p>
        </w:tc>
        <w:tc>
          <w:tcPr>
            <w:tcW w:w="1388" w:type="dxa"/>
            <w:tcBorders>
              <w:top w:val="single" w:color="auto" w:sz="12" w:space="0"/>
              <w:left w:val="single" w:color="auto" w:sz="12" w:space="0"/>
              <w:bottom w:val="single" w:color="auto" w:sz="12" w:space="0"/>
              <w:right w:val="single" w:color="auto" w:sz="12" w:space="0"/>
            </w:tcBorders>
            <w:shd w:val="clear" w:color="auto" w:fill="auto"/>
            <w:vAlign w:val="center"/>
          </w:tcPr>
          <w:p w14:paraId="52F2C323">
            <w:pPr>
              <w:pStyle w:val="62"/>
              <w:bidi w:val="0"/>
              <w:ind w:firstLine="0" w:firstLineChars="0"/>
              <w:rPr>
                <w:rFonts w:hint="eastAsia" w:ascii="Times New Roman" w:hAnsi="Times New Roman" w:eastAsia="宋体" w:cs="Times New Roman"/>
                <w:b/>
                <w:kern w:val="0"/>
                <w:sz w:val="24"/>
                <w:szCs w:val="22"/>
                <w:lang w:val="en-US" w:eastAsia="zh-CN" w:bidi="ar-SA"/>
              </w:rPr>
            </w:pPr>
            <w:r>
              <w:rPr>
                <w:rFonts w:ascii="宋体" w:hAnsi="宋体" w:eastAsia="宋体" w:cs="宋体"/>
                <w:b/>
                <w:bCs/>
                <w:sz w:val="24"/>
                <w:szCs w:val="24"/>
              </w:rPr>
              <w:t>品质检验</w:t>
            </w:r>
          </w:p>
        </w:tc>
        <w:tc>
          <w:tcPr>
            <w:tcW w:w="592" w:type="dxa"/>
            <w:tcBorders>
              <w:top w:val="nil"/>
              <w:left w:val="single" w:color="auto" w:sz="12" w:space="0"/>
              <w:bottom w:val="nil"/>
              <w:right w:val="dashed" w:color="auto" w:sz="8" w:space="0"/>
            </w:tcBorders>
            <w:shd w:val="clear" w:color="auto" w:fill="auto"/>
            <w:vAlign w:val="center"/>
          </w:tcPr>
          <w:p w14:paraId="069B34A0">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2384" w:type="dxa"/>
            <w:tcBorders>
              <w:top w:val="dashed" w:color="auto" w:sz="8" w:space="0"/>
              <w:left w:val="dashed" w:color="auto" w:sz="8" w:space="0"/>
              <w:bottom w:val="dashed" w:color="auto" w:sz="8" w:space="0"/>
              <w:right w:val="dashed" w:color="auto" w:sz="8" w:space="0"/>
            </w:tcBorders>
            <w:shd w:val="clear" w:color="auto" w:fill="auto"/>
            <w:vAlign w:val="center"/>
          </w:tcPr>
          <w:p w14:paraId="7ED44C0D">
            <w:pPr>
              <w:pStyle w:val="69"/>
              <w:bidi w:val="0"/>
              <w:ind w:firstLine="0" w:firstLineChars="0"/>
              <w:rPr>
                <w:rFonts w:hint="eastAsia" w:ascii="Times New Roman" w:hAnsi="Times New Roman" w:eastAsia="宋体" w:cs="Times New Roman"/>
                <w:kern w:val="2"/>
                <w:sz w:val="21"/>
                <w:szCs w:val="21"/>
                <w:lang w:val="en-US" w:eastAsia="zh-CN" w:bidi="ar-SA"/>
              </w:rPr>
            </w:pPr>
            <w:r>
              <w:t>次品</w:t>
            </w:r>
          </w:p>
        </w:tc>
      </w:tr>
      <w:tr w14:paraId="4836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nil"/>
              <w:bottom w:val="nil"/>
              <w:right w:val="nil"/>
            </w:tcBorders>
            <w:shd w:val="clear" w:color="auto" w:fill="auto"/>
            <w:vAlign w:val="center"/>
          </w:tcPr>
          <w:p w14:paraId="2CED7652">
            <w:pPr>
              <w:pStyle w:val="69"/>
              <w:bidi w:val="0"/>
              <w:ind w:firstLine="0" w:firstLineChars="0"/>
              <w:rPr>
                <w:rFonts w:ascii="Times New Roman" w:hAnsi="Times New Roman" w:eastAsia="宋体" w:cs="Times New Roman"/>
                <w:kern w:val="2"/>
                <w:sz w:val="21"/>
                <w:szCs w:val="21"/>
                <w:lang w:val="en-US" w:eastAsia="zh-CN" w:bidi="ar-SA"/>
              </w:rPr>
            </w:pPr>
          </w:p>
        </w:tc>
        <w:tc>
          <w:tcPr>
            <w:tcW w:w="487" w:type="dxa"/>
            <w:tcBorders>
              <w:top w:val="nil"/>
              <w:left w:val="nil"/>
              <w:bottom w:val="nil"/>
              <w:right w:val="nil"/>
            </w:tcBorders>
            <w:shd w:val="clear" w:color="auto" w:fill="auto"/>
            <w:vAlign w:val="center"/>
          </w:tcPr>
          <w:p w14:paraId="5308B798">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nil"/>
              <w:left w:val="nil"/>
              <w:bottom w:val="nil"/>
              <w:right w:val="nil"/>
            </w:tcBorders>
            <w:shd w:val="clear" w:color="auto" w:fill="auto"/>
            <w:vAlign w:val="center"/>
          </w:tcPr>
          <w:p w14:paraId="3F02BB1C">
            <w:pPr>
              <w:pStyle w:val="69"/>
              <w:bidi w:val="0"/>
              <w:ind w:firstLine="0" w:firstLineChars="0"/>
              <w:rPr>
                <w:rFonts w:ascii="Times New Roman" w:hAnsi="Times New Roman" w:eastAsia="宋体" w:cs="Times New Roman"/>
                <w:kern w:val="2"/>
                <w:sz w:val="21"/>
                <w:szCs w:val="21"/>
                <w:lang w:val="en-US" w:eastAsia="zh-CN" w:bidi="ar-SA"/>
              </w:rPr>
            </w:pPr>
          </w:p>
        </w:tc>
        <w:tc>
          <w:tcPr>
            <w:tcW w:w="696" w:type="dxa"/>
            <w:tcBorders>
              <w:top w:val="nil"/>
              <w:left w:val="nil"/>
              <w:bottom w:val="nil"/>
              <w:right w:val="nil"/>
            </w:tcBorders>
            <w:shd w:val="clear" w:color="auto" w:fill="auto"/>
            <w:vAlign w:val="center"/>
          </w:tcPr>
          <w:p w14:paraId="368EB030">
            <w:pPr>
              <w:pStyle w:val="69"/>
              <w:bidi w:val="0"/>
              <w:ind w:firstLine="0" w:firstLineChars="0"/>
              <w:rPr>
                <w:rFonts w:ascii="Times New Roman" w:hAnsi="Times New Roman" w:eastAsia="宋体" w:cs="Times New Roman"/>
                <w:kern w:val="2"/>
                <w:sz w:val="21"/>
                <w:szCs w:val="21"/>
                <w:lang w:val="en-US" w:eastAsia="zh-CN" w:bidi="ar-SA"/>
              </w:rPr>
            </w:pPr>
          </w:p>
        </w:tc>
        <w:tc>
          <w:tcPr>
            <w:tcW w:w="1388" w:type="dxa"/>
            <w:tcBorders>
              <w:top w:val="single" w:color="auto" w:sz="12" w:space="0"/>
              <w:left w:val="nil"/>
              <w:bottom w:val="single" w:color="auto" w:sz="12" w:space="0"/>
              <w:right w:val="nil"/>
            </w:tcBorders>
            <w:shd w:val="clear" w:color="auto" w:fill="auto"/>
            <w:vAlign w:val="center"/>
          </w:tcPr>
          <w:p w14:paraId="64DFC55D">
            <w:pPr>
              <w:pStyle w:val="62"/>
              <w:bidi w:val="0"/>
              <w:ind w:firstLine="0" w:firstLineChars="0"/>
              <w:rPr>
                <w:rFonts w:hint="eastAsia" w:ascii="Times New Roman" w:hAnsi="Times New Roman" w:eastAsia="宋体" w:cs="Times New Roman"/>
                <w:b/>
                <w:kern w:val="0"/>
                <w:sz w:val="24"/>
                <w:szCs w:val="22"/>
                <w:lang w:val="en-US" w:eastAsia="zh-CN" w:bidi="ar-SA"/>
              </w:rPr>
            </w:pPr>
            <w:r>
              <w:rPr>
                <w:rFonts w:hint="eastAsia"/>
              </w:rPr>
              <w:t>↓</w:t>
            </w:r>
          </w:p>
        </w:tc>
        <w:tc>
          <w:tcPr>
            <w:tcW w:w="592" w:type="dxa"/>
            <w:tcBorders>
              <w:top w:val="nil"/>
              <w:left w:val="nil"/>
              <w:bottom w:val="nil"/>
              <w:right w:val="nil"/>
            </w:tcBorders>
            <w:shd w:val="clear" w:color="auto" w:fill="auto"/>
            <w:vAlign w:val="center"/>
          </w:tcPr>
          <w:p w14:paraId="3A2CB97C">
            <w:pPr>
              <w:pStyle w:val="69"/>
              <w:bidi w:val="0"/>
              <w:ind w:firstLine="0" w:firstLineChars="0"/>
              <w:rPr>
                <w:rFonts w:ascii="Times New Roman" w:hAnsi="Times New Roman" w:eastAsia="宋体" w:cs="Times New Roman"/>
                <w:kern w:val="2"/>
                <w:sz w:val="21"/>
                <w:szCs w:val="21"/>
                <w:lang w:val="en-US" w:eastAsia="zh-CN" w:bidi="ar-SA"/>
              </w:rPr>
            </w:pPr>
          </w:p>
        </w:tc>
        <w:tc>
          <w:tcPr>
            <w:tcW w:w="2384" w:type="dxa"/>
            <w:tcBorders>
              <w:top w:val="dashed" w:color="auto" w:sz="8" w:space="0"/>
              <w:left w:val="nil"/>
              <w:bottom w:val="dashed" w:color="auto" w:sz="8" w:space="0"/>
              <w:right w:val="nil"/>
            </w:tcBorders>
            <w:shd w:val="clear" w:color="auto" w:fill="auto"/>
            <w:vAlign w:val="center"/>
          </w:tcPr>
          <w:p w14:paraId="77C50179">
            <w:pPr>
              <w:pStyle w:val="69"/>
              <w:bidi w:val="0"/>
              <w:ind w:firstLine="0" w:firstLineChars="0"/>
              <w:rPr>
                <w:rFonts w:ascii="Times New Roman" w:hAnsi="Times New Roman" w:eastAsia="宋体" w:cs="Times New Roman"/>
                <w:kern w:val="2"/>
                <w:sz w:val="21"/>
                <w:szCs w:val="21"/>
                <w:lang w:val="en-US" w:eastAsia="zh-CN" w:bidi="ar-SA"/>
              </w:rPr>
            </w:pPr>
          </w:p>
        </w:tc>
      </w:tr>
      <w:tr w14:paraId="791C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dashed" w:color="auto" w:sz="8" w:space="0"/>
              <w:bottom w:val="dashed" w:color="auto" w:sz="8" w:space="0"/>
              <w:right w:val="dashed" w:color="auto" w:sz="8" w:space="0"/>
            </w:tcBorders>
            <w:vAlign w:val="center"/>
          </w:tcPr>
          <w:p w14:paraId="5B052205">
            <w:pPr>
              <w:pStyle w:val="69"/>
              <w:bidi w:val="0"/>
              <w:rPr>
                <w:rFonts w:hint="default"/>
                <w:lang w:val="en-US" w:eastAsia="zh-CN"/>
              </w:rPr>
            </w:pPr>
            <w:r>
              <w:rPr>
                <w:rFonts w:hint="eastAsia"/>
                <w:lang w:val="en-US" w:eastAsia="zh-CN"/>
              </w:rPr>
              <w:t>搅拌机</w:t>
            </w:r>
          </w:p>
        </w:tc>
        <w:tc>
          <w:tcPr>
            <w:tcW w:w="487" w:type="dxa"/>
            <w:tcBorders>
              <w:top w:val="nil"/>
              <w:left w:val="dashed" w:color="auto" w:sz="8" w:space="0"/>
              <w:bottom w:val="nil"/>
              <w:right w:val="dashed" w:color="auto" w:sz="8" w:space="0"/>
            </w:tcBorders>
            <w:vAlign w:val="center"/>
          </w:tcPr>
          <w:p w14:paraId="5932447D">
            <w:pPr>
              <w:pStyle w:val="69"/>
              <w:bidi w:val="0"/>
              <w:rPr>
                <w:lang w:val="en-US" w:eastAsia="zh-CN"/>
              </w:rPr>
            </w:pPr>
          </w:p>
        </w:tc>
        <w:tc>
          <w:tcPr>
            <w:tcW w:w="2079" w:type="dxa"/>
            <w:tcBorders>
              <w:top w:val="dashed" w:color="auto" w:sz="8" w:space="0"/>
              <w:left w:val="dashed" w:color="auto" w:sz="8" w:space="0"/>
              <w:bottom w:val="dashed" w:color="auto" w:sz="8" w:space="0"/>
              <w:right w:val="dashed" w:color="auto" w:sz="8" w:space="0"/>
            </w:tcBorders>
            <w:vAlign w:val="center"/>
          </w:tcPr>
          <w:p w14:paraId="132DCE27">
            <w:pPr>
              <w:pStyle w:val="69"/>
              <w:bidi w:val="0"/>
              <w:rPr>
                <w:lang w:val="en-US" w:eastAsia="zh-CN"/>
              </w:rPr>
            </w:pPr>
            <w:r>
              <w:rPr>
                <w:rFonts w:hint="eastAsia"/>
                <w:lang w:val="en-US" w:eastAsia="zh-CN"/>
              </w:rPr>
              <w:t>无溶剂聚氨酯胶水</w:t>
            </w:r>
          </w:p>
        </w:tc>
        <w:tc>
          <w:tcPr>
            <w:tcW w:w="696" w:type="dxa"/>
            <w:tcBorders>
              <w:top w:val="nil"/>
              <w:left w:val="dashed" w:color="auto" w:sz="8" w:space="0"/>
              <w:bottom w:val="nil"/>
              <w:right w:val="single" w:color="auto" w:sz="12" w:space="0"/>
            </w:tcBorders>
            <w:vAlign w:val="center"/>
          </w:tcPr>
          <w:p w14:paraId="1D7151D1">
            <w:pPr>
              <w:pStyle w:val="69"/>
              <w:bidi w:val="0"/>
              <w:rPr>
                <w:lang w:val="en-US" w:eastAsia="zh-CN"/>
              </w:rPr>
            </w:pPr>
            <w:r>
              <w:rPr>
                <w:rFonts w:hint="eastAsia"/>
              </w:rPr>
              <w:t>→</w:t>
            </w:r>
          </w:p>
        </w:tc>
        <w:tc>
          <w:tcPr>
            <w:tcW w:w="1388" w:type="dxa"/>
            <w:tcBorders>
              <w:top w:val="single" w:color="auto" w:sz="12" w:space="0"/>
              <w:left w:val="single" w:color="auto" w:sz="12" w:space="0"/>
              <w:bottom w:val="single" w:color="auto" w:sz="12" w:space="0"/>
              <w:right w:val="single" w:color="auto" w:sz="12" w:space="0"/>
            </w:tcBorders>
            <w:vAlign w:val="center"/>
          </w:tcPr>
          <w:p w14:paraId="61986FFE">
            <w:pPr>
              <w:pStyle w:val="62"/>
              <w:bidi w:val="0"/>
              <w:rPr>
                <w:rFonts w:hint="eastAsia"/>
              </w:rPr>
            </w:pPr>
            <w:r>
              <w:rPr>
                <w:rFonts w:hint="eastAsia"/>
                <w:lang w:val="en-US" w:eastAsia="zh-CN"/>
              </w:rPr>
              <w:t>调胶</w:t>
            </w:r>
          </w:p>
        </w:tc>
        <w:tc>
          <w:tcPr>
            <w:tcW w:w="592" w:type="dxa"/>
            <w:tcBorders>
              <w:top w:val="nil"/>
              <w:left w:val="single" w:color="auto" w:sz="12" w:space="0"/>
              <w:bottom w:val="nil"/>
              <w:right w:val="dashed" w:color="auto" w:sz="8" w:space="0"/>
            </w:tcBorders>
            <w:shd w:val="clear" w:color="auto" w:fill="auto"/>
            <w:vAlign w:val="center"/>
          </w:tcPr>
          <w:p w14:paraId="0F8046B3">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2384" w:type="dxa"/>
            <w:tcBorders>
              <w:top w:val="dashed" w:color="auto" w:sz="8" w:space="0"/>
              <w:left w:val="dashed" w:color="auto" w:sz="8" w:space="0"/>
              <w:bottom w:val="dashed" w:color="auto" w:sz="8" w:space="0"/>
              <w:right w:val="dashed" w:color="auto" w:sz="8" w:space="0"/>
            </w:tcBorders>
            <w:shd w:val="clear" w:color="auto" w:fill="auto"/>
            <w:vAlign w:val="center"/>
          </w:tcPr>
          <w:p w14:paraId="2E7A1B26">
            <w:pPr>
              <w:pStyle w:val="69"/>
              <w:bidi w:val="0"/>
              <w:ind w:firstLine="0" w:firstLineChars="0"/>
              <w:rPr>
                <w:rFonts w:hint="eastAsia" w:ascii="Times New Roman" w:hAnsi="Times New Roman" w:eastAsia="宋体" w:cs="Times New Roman"/>
                <w:kern w:val="2"/>
                <w:sz w:val="21"/>
                <w:szCs w:val="21"/>
                <w:lang w:val="en-US" w:eastAsia="zh-CN" w:bidi="ar-SA"/>
              </w:rPr>
            </w:pPr>
            <w:r>
              <w:rPr>
                <w:rFonts w:hint="eastAsia"/>
                <w:lang w:val="en-US" w:eastAsia="zh-CN"/>
              </w:rPr>
              <w:t>NMHC</w:t>
            </w:r>
            <w:r>
              <w:t>、臭气浓度</w:t>
            </w:r>
          </w:p>
        </w:tc>
      </w:tr>
      <w:tr w14:paraId="02C3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nil"/>
              <w:bottom w:val="dashed" w:color="auto" w:sz="8" w:space="0"/>
              <w:right w:val="nil"/>
            </w:tcBorders>
            <w:vAlign w:val="center"/>
          </w:tcPr>
          <w:p w14:paraId="331349F7">
            <w:pPr>
              <w:pStyle w:val="69"/>
              <w:bidi w:val="0"/>
              <w:rPr>
                <w:lang w:val="en-US" w:eastAsia="zh-CN"/>
              </w:rPr>
            </w:pPr>
          </w:p>
        </w:tc>
        <w:tc>
          <w:tcPr>
            <w:tcW w:w="487" w:type="dxa"/>
            <w:tcBorders>
              <w:top w:val="nil"/>
              <w:left w:val="nil"/>
              <w:bottom w:val="nil"/>
              <w:right w:val="nil"/>
            </w:tcBorders>
            <w:vAlign w:val="center"/>
          </w:tcPr>
          <w:p w14:paraId="5B900FF5">
            <w:pPr>
              <w:pStyle w:val="69"/>
              <w:bidi w:val="0"/>
              <w:rPr>
                <w:lang w:val="en-US" w:eastAsia="zh-CN"/>
              </w:rPr>
            </w:pPr>
          </w:p>
        </w:tc>
        <w:tc>
          <w:tcPr>
            <w:tcW w:w="2079" w:type="dxa"/>
            <w:tcBorders>
              <w:top w:val="dashed" w:color="auto" w:sz="8" w:space="0"/>
              <w:left w:val="nil"/>
              <w:bottom w:val="dashed" w:color="auto" w:sz="8" w:space="0"/>
              <w:right w:val="nil"/>
            </w:tcBorders>
            <w:vAlign w:val="center"/>
          </w:tcPr>
          <w:p w14:paraId="3B979367">
            <w:pPr>
              <w:pStyle w:val="69"/>
              <w:bidi w:val="0"/>
              <w:rPr>
                <w:lang w:val="en-US" w:eastAsia="zh-CN"/>
              </w:rPr>
            </w:pPr>
          </w:p>
        </w:tc>
        <w:tc>
          <w:tcPr>
            <w:tcW w:w="696" w:type="dxa"/>
            <w:tcBorders>
              <w:top w:val="nil"/>
              <w:left w:val="nil"/>
              <w:bottom w:val="nil"/>
              <w:right w:val="nil"/>
            </w:tcBorders>
            <w:vAlign w:val="center"/>
          </w:tcPr>
          <w:p w14:paraId="7D50C21B">
            <w:pPr>
              <w:pStyle w:val="69"/>
              <w:bidi w:val="0"/>
              <w:rPr>
                <w:lang w:val="en-US" w:eastAsia="zh-CN"/>
              </w:rPr>
            </w:pPr>
          </w:p>
        </w:tc>
        <w:tc>
          <w:tcPr>
            <w:tcW w:w="1388" w:type="dxa"/>
            <w:tcBorders>
              <w:top w:val="single" w:color="auto" w:sz="12" w:space="0"/>
              <w:left w:val="nil"/>
              <w:bottom w:val="single" w:color="auto" w:sz="12" w:space="0"/>
              <w:right w:val="nil"/>
            </w:tcBorders>
            <w:vAlign w:val="center"/>
          </w:tcPr>
          <w:p w14:paraId="424F44B1">
            <w:pPr>
              <w:pStyle w:val="62"/>
              <w:bidi w:val="0"/>
              <w:rPr>
                <w:rFonts w:hint="eastAsia"/>
              </w:rPr>
            </w:pPr>
            <w:r>
              <w:rPr>
                <w:rFonts w:hint="eastAsia"/>
              </w:rPr>
              <w:t>↓</w:t>
            </w:r>
          </w:p>
        </w:tc>
        <w:tc>
          <w:tcPr>
            <w:tcW w:w="592" w:type="dxa"/>
            <w:tcBorders>
              <w:top w:val="nil"/>
              <w:left w:val="nil"/>
              <w:bottom w:val="nil"/>
              <w:right w:val="nil"/>
            </w:tcBorders>
            <w:vAlign w:val="center"/>
          </w:tcPr>
          <w:p w14:paraId="2D7F6867">
            <w:pPr>
              <w:pStyle w:val="69"/>
              <w:bidi w:val="0"/>
              <w:rPr>
                <w:lang w:val="en-US" w:eastAsia="zh-CN"/>
              </w:rPr>
            </w:pPr>
          </w:p>
        </w:tc>
        <w:tc>
          <w:tcPr>
            <w:tcW w:w="2384" w:type="dxa"/>
            <w:tcBorders>
              <w:top w:val="dashed" w:color="auto" w:sz="8" w:space="0"/>
              <w:left w:val="nil"/>
              <w:bottom w:val="dashed" w:color="auto" w:sz="8" w:space="0"/>
              <w:right w:val="nil"/>
            </w:tcBorders>
            <w:vAlign w:val="center"/>
          </w:tcPr>
          <w:p w14:paraId="288F359A">
            <w:pPr>
              <w:pStyle w:val="69"/>
              <w:bidi w:val="0"/>
              <w:rPr>
                <w:lang w:val="en-US" w:eastAsia="zh-CN"/>
              </w:rPr>
            </w:pPr>
          </w:p>
        </w:tc>
      </w:tr>
      <w:tr w14:paraId="171F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dashed" w:color="auto" w:sz="8" w:space="0"/>
              <w:bottom w:val="dashed" w:color="auto" w:sz="8" w:space="0"/>
              <w:right w:val="dashed" w:color="auto" w:sz="8" w:space="0"/>
            </w:tcBorders>
            <w:shd w:val="clear" w:color="auto" w:fill="auto"/>
            <w:vAlign w:val="center"/>
          </w:tcPr>
          <w:p w14:paraId="11E60DA8">
            <w:pPr>
              <w:pStyle w:val="69"/>
              <w:bidi w:val="0"/>
              <w:ind w:firstLine="0" w:firstLineChars="0"/>
              <w:rPr>
                <w:rFonts w:hint="eastAsia" w:ascii="Times New Roman" w:hAnsi="Times New Roman" w:eastAsia="宋体" w:cs="Times New Roman"/>
                <w:kern w:val="2"/>
                <w:sz w:val="21"/>
                <w:szCs w:val="21"/>
                <w:lang w:val="en-US" w:eastAsia="zh-CN" w:bidi="ar-SA"/>
              </w:rPr>
            </w:pPr>
            <w:r>
              <w:rPr>
                <w:rFonts w:hint="eastAsia"/>
                <w:lang w:val="en-US" w:eastAsia="zh-CN"/>
              </w:rPr>
              <w:t>复合机</w:t>
            </w:r>
          </w:p>
        </w:tc>
        <w:tc>
          <w:tcPr>
            <w:tcW w:w="487" w:type="dxa"/>
            <w:tcBorders>
              <w:top w:val="nil"/>
              <w:left w:val="dashed" w:color="auto" w:sz="8" w:space="0"/>
              <w:bottom w:val="nil"/>
              <w:right w:val="dashed" w:color="auto" w:sz="8" w:space="0"/>
            </w:tcBorders>
            <w:shd w:val="clear" w:color="auto" w:fill="auto"/>
            <w:vAlign w:val="center"/>
          </w:tcPr>
          <w:p w14:paraId="1C9C3C1B">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dashed" w:color="auto" w:sz="8" w:space="0"/>
              <w:left w:val="dashed" w:color="auto" w:sz="8" w:space="0"/>
              <w:bottom w:val="dashed" w:color="auto" w:sz="8" w:space="0"/>
              <w:right w:val="dashed" w:color="auto" w:sz="8" w:space="0"/>
            </w:tcBorders>
            <w:shd w:val="clear" w:color="auto" w:fill="auto"/>
            <w:vAlign w:val="center"/>
          </w:tcPr>
          <w:p w14:paraId="180FF180">
            <w:pPr>
              <w:pStyle w:val="69"/>
              <w:bidi w:val="0"/>
              <w:ind w:firstLine="0" w:firstLineChars="0"/>
              <w:rPr>
                <w:rFonts w:hint="eastAsia" w:ascii="Times New Roman" w:hAnsi="Times New Roman" w:eastAsia="宋体" w:cs="Times New Roman"/>
                <w:kern w:val="2"/>
                <w:sz w:val="21"/>
                <w:szCs w:val="21"/>
                <w:lang w:val="en-US" w:eastAsia="zh-CN" w:bidi="ar-SA"/>
              </w:rPr>
            </w:pPr>
            <w:r>
              <w:rPr>
                <w:rFonts w:hint="eastAsia"/>
                <w:lang w:val="en-US" w:eastAsia="zh-CN"/>
              </w:rPr>
              <w:t>珠光膜</w:t>
            </w:r>
          </w:p>
        </w:tc>
        <w:tc>
          <w:tcPr>
            <w:tcW w:w="696" w:type="dxa"/>
            <w:tcBorders>
              <w:top w:val="nil"/>
              <w:left w:val="dashed" w:color="auto" w:sz="8" w:space="0"/>
              <w:bottom w:val="nil"/>
              <w:right w:val="single" w:color="auto" w:sz="12" w:space="0"/>
            </w:tcBorders>
            <w:shd w:val="clear" w:color="auto" w:fill="auto"/>
            <w:vAlign w:val="center"/>
          </w:tcPr>
          <w:p w14:paraId="2999B603">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1388" w:type="dxa"/>
            <w:tcBorders>
              <w:top w:val="single" w:color="auto" w:sz="12" w:space="0"/>
              <w:left w:val="single" w:color="auto" w:sz="12" w:space="0"/>
              <w:bottom w:val="single" w:color="auto" w:sz="12" w:space="0"/>
              <w:right w:val="single" w:color="auto" w:sz="12" w:space="0"/>
            </w:tcBorders>
            <w:shd w:val="clear" w:color="auto" w:fill="auto"/>
            <w:vAlign w:val="center"/>
          </w:tcPr>
          <w:p w14:paraId="7BDAEDF1">
            <w:pPr>
              <w:pStyle w:val="62"/>
              <w:bidi w:val="0"/>
              <w:ind w:firstLine="0" w:firstLineChars="0"/>
              <w:rPr>
                <w:rFonts w:hint="eastAsia" w:ascii="Times New Roman" w:hAnsi="Times New Roman" w:eastAsia="宋体" w:cs="Times New Roman"/>
                <w:b/>
                <w:kern w:val="0"/>
                <w:sz w:val="24"/>
                <w:szCs w:val="22"/>
                <w:lang w:val="en-US" w:eastAsia="zh-CN" w:bidi="ar-SA"/>
              </w:rPr>
            </w:pPr>
            <w:r>
              <w:rPr>
                <w:rFonts w:hint="eastAsia"/>
                <w:lang w:val="en-US" w:eastAsia="zh-CN"/>
              </w:rPr>
              <w:t>涂胶、复合</w:t>
            </w:r>
          </w:p>
        </w:tc>
        <w:tc>
          <w:tcPr>
            <w:tcW w:w="592" w:type="dxa"/>
            <w:tcBorders>
              <w:top w:val="nil"/>
              <w:left w:val="single" w:color="auto" w:sz="12" w:space="0"/>
              <w:bottom w:val="nil"/>
              <w:right w:val="dashed" w:color="auto" w:sz="8" w:space="0"/>
            </w:tcBorders>
            <w:shd w:val="clear" w:color="auto" w:fill="auto"/>
            <w:vAlign w:val="center"/>
          </w:tcPr>
          <w:p w14:paraId="3BFBE7FE">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2384" w:type="dxa"/>
            <w:tcBorders>
              <w:top w:val="dashed" w:color="auto" w:sz="8" w:space="0"/>
              <w:left w:val="dashed" w:color="auto" w:sz="8" w:space="0"/>
              <w:bottom w:val="dashed" w:color="auto" w:sz="8" w:space="0"/>
              <w:right w:val="dashed" w:color="auto" w:sz="8" w:space="0"/>
            </w:tcBorders>
            <w:shd w:val="clear" w:color="auto" w:fill="auto"/>
            <w:vAlign w:val="center"/>
          </w:tcPr>
          <w:p w14:paraId="77E25054">
            <w:pPr>
              <w:pStyle w:val="69"/>
              <w:bidi w:val="0"/>
              <w:rPr>
                <w:rFonts w:hint="eastAsia" w:eastAsia="宋体"/>
                <w:lang w:val="en-US" w:eastAsia="zh-CN"/>
              </w:rPr>
            </w:pPr>
            <w:r>
              <w:rPr>
                <w:rFonts w:hint="eastAsia"/>
                <w:lang w:val="en-US" w:eastAsia="zh-CN"/>
              </w:rPr>
              <w:t>NMHC</w:t>
            </w:r>
            <w:r>
              <w:t>、臭气浓度</w:t>
            </w:r>
            <w:r>
              <w:rPr>
                <w:rFonts w:hint="eastAsia"/>
                <w:lang w:eastAsia="zh-CN"/>
              </w:rPr>
              <w:t>、</w:t>
            </w:r>
            <w:r>
              <w:t>废擦机布</w:t>
            </w:r>
          </w:p>
        </w:tc>
      </w:tr>
      <w:tr w14:paraId="5492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nil"/>
              <w:bottom w:val="dashed" w:color="auto" w:sz="8" w:space="0"/>
              <w:right w:val="nil"/>
            </w:tcBorders>
            <w:vAlign w:val="center"/>
          </w:tcPr>
          <w:p w14:paraId="435CC547">
            <w:pPr>
              <w:pStyle w:val="69"/>
              <w:bidi w:val="0"/>
              <w:rPr>
                <w:lang w:val="en-US" w:eastAsia="zh-CN"/>
              </w:rPr>
            </w:pPr>
          </w:p>
        </w:tc>
        <w:tc>
          <w:tcPr>
            <w:tcW w:w="487" w:type="dxa"/>
            <w:tcBorders>
              <w:top w:val="nil"/>
              <w:left w:val="nil"/>
              <w:bottom w:val="nil"/>
              <w:right w:val="nil"/>
            </w:tcBorders>
            <w:vAlign w:val="center"/>
          </w:tcPr>
          <w:p w14:paraId="6650B6FA">
            <w:pPr>
              <w:pStyle w:val="69"/>
              <w:bidi w:val="0"/>
              <w:rPr>
                <w:lang w:val="en-US" w:eastAsia="zh-CN"/>
              </w:rPr>
            </w:pPr>
          </w:p>
        </w:tc>
        <w:tc>
          <w:tcPr>
            <w:tcW w:w="2079" w:type="dxa"/>
            <w:tcBorders>
              <w:top w:val="dashed" w:color="auto" w:sz="8" w:space="0"/>
              <w:left w:val="nil"/>
              <w:bottom w:val="nil"/>
              <w:right w:val="nil"/>
            </w:tcBorders>
            <w:vAlign w:val="center"/>
          </w:tcPr>
          <w:p w14:paraId="11668DD2">
            <w:pPr>
              <w:pStyle w:val="69"/>
              <w:bidi w:val="0"/>
              <w:rPr>
                <w:lang w:val="en-US" w:eastAsia="zh-CN"/>
              </w:rPr>
            </w:pPr>
          </w:p>
        </w:tc>
        <w:tc>
          <w:tcPr>
            <w:tcW w:w="696" w:type="dxa"/>
            <w:tcBorders>
              <w:top w:val="nil"/>
              <w:left w:val="nil"/>
              <w:bottom w:val="nil"/>
              <w:right w:val="nil"/>
            </w:tcBorders>
            <w:vAlign w:val="center"/>
          </w:tcPr>
          <w:p w14:paraId="14B8019B">
            <w:pPr>
              <w:pStyle w:val="69"/>
              <w:bidi w:val="0"/>
              <w:rPr>
                <w:lang w:val="en-US" w:eastAsia="zh-CN"/>
              </w:rPr>
            </w:pPr>
          </w:p>
        </w:tc>
        <w:tc>
          <w:tcPr>
            <w:tcW w:w="1388" w:type="dxa"/>
            <w:tcBorders>
              <w:top w:val="single" w:color="auto" w:sz="12" w:space="0"/>
              <w:left w:val="nil"/>
              <w:bottom w:val="single" w:color="auto" w:sz="12" w:space="0"/>
              <w:right w:val="nil"/>
            </w:tcBorders>
            <w:vAlign w:val="center"/>
          </w:tcPr>
          <w:p w14:paraId="52BAC959">
            <w:pPr>
              <w:pStyle w:val="62"/>
              <w:bidi w:val="0"/>
              <w:rPr>
                <w:rFonts w:hint="eastAsia"/>
                <w:lang w:val="en-US" w:eastAsia="zh-CN"/>
              </w:rPr>
            </w:pPr>
            <w:r>
              <w:rPr>
                <w:rFonts w:hint="eastAsia"/>
              </w:rPr>
              <w:t>↓</w:t>
            </w:r>
          </w:p>
        </w:tc>
        <w:tc>
          <w:tcPr>
            <w:tcW w:w="592" w:type="dxa"/>
            <w:tcBorders>
              <w:top w:val="nil"/>
              <w:left w:val="nil"/>
              <w:bottom w:val="nil"/>
              <w:right w:val="nil"/>
            </w:tcBorders>
            <w:vAlign w:val="center"/>
          </w:tcPr>
          <w:p w14:paraId="7F7CB5F4">
            <w:pPr>
              <w:pStyle w:val="69"/>
              <w:bidi w:val="0"/>
              <w:rPr>
                <w:lang w:val="en-US" w:eastAsia="zh-CN"/>
              </w:rPr>
            </w:pPr>
          </w:p>
        </w:tc>
        <w:tc>
          <w:tcPr>
            <w:tcW w:w="2384" w:type="dxa"/>
            <w:tcBorders>
              <w:top w:val="dashed" w:color="auto" w:sz="8" w:space="0"/>
              <w:left w:val="nil"/>
              <w:bottom w:val="nil"/>
              <w:right w:val="nil"/>
            </w:tcBorders>
            <w:vAlign w:val="center"/>
          </w:tcPr>
          <w:p w14:paraId="5CBC8F67">
            <w:pPr>
              <w:pStyle w:val="69"/>
              <w:bidi w:val="0"/>
              <w:rPr>
                <w:lang w:val="en-US" w:eastAsia="zh-CN"/>
              </w:rPr>
            </w:pPr>
          </w:p>
        </w:tc>
      </w:tr>
      <w:tr w14:paraId="2644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dashed" w:color="auto" w:sz="8" w:space="0"/>
              <w:bottom w:val="dashed" w:color="auto" w:sz="8" w:space="0"/>
              <w:right w:val="dashed" w:color="auto" w:sz="8" w:space="0"/>
            </w:tcBorders>
            <w:vAlign w:val="center"/>
          </w:tcPr>
          <w:p w14:paraId="43CBEB81">
            <w:pPr>
              <w:pStyle w:val="69"/>
              <w:bidi w:val="0"/>
              <w:rPr>
                <w:rFonts w:hint="eastAsia" w:eastAsia="宋体"/>
                <w:lang w:val="en-US" w:eastAsia="zh-CN"/>
              </w:rPr>
            </w:pPr>
            <w:r>
              <w:rPr>
                <w:rFonts w:hint="eastAsia" w:ascii="Times New Roman" w:hAnsi="Times New Roman" w:cs="Times New Roman"/>
                <w:color w:val="auto"/>
                <w:szCs w:val="28"/>
                <w:u w:val="none" w:color="auto"/>
                <w:lang w:eastAsia="zh-CN"/>
              </w:rPr>
              <w:t>薄膜固化室</w:t>
            </w:r>
          </w:p>
        </w:tc>
        <w:tc>
          <w:tcPr>
            <w:tcW w:w="487" w:type="dxa"/>
            <w:tcBorders>
              <w:top w:val="nil"/>
              <w:left w:val="dashed" w:color="auto" w:sz="8" w:space="0"/>
              <w:bottom w:val="nil"/>
              <w:right w:val="nil"/>
            </w:tcBorders>
            <w:vAlign w:val="center"/>
          </w:tcPr>
          <w:p w14:paraId="4966D157">
            <w:pPr>
              <w:pStyle w:val="69"/>
              <w:bidi w:val="0"/>
              <w:rPr>
                <w:lang w:val="en-US" w:eastAsia="zh-CN"/>
              </w:rPr>
            </w:pPr>
          </w:p>
        </w:tc>
        <w:tc>
          <w:tcPr>
            <w:tcW w:w="2079" w:type="dxa"/>
            <w:tcBorders>
              <w:top w:val="nil"/>
              <w:left w:val="nil"/>
              <w:bottom w:val="nil"/>
              <w:right w:val="nil"/>
            </w:tcBorders>
            <w:vAlign w:val="center"/>
          </w:tcPr>
          <w:p w14:paraId="22FEE67B">
            <w:pPr>
              <w:pStyle w:val="69"/>
              <w:bidi w:val="0"/>
              <w:rPr>
                <w:lang w:val="en-US" w:eastAsia="zh-CN"/>
              </w:rPr>
            </w:pPr>
          </w:p>
        </w:tc>
        <w:tc>
          <w:tcPr>
            <w:tcW w:w="696" w:type="dxa"/>
            <w:tcBorders>
              <w:top w:val="nil"/>
              <w:left w:val="nil"/>
              <w:bottom w:val="nil"/>
              <w:right w:val="single" w:color="auto" w:sz="12" w:space="0"/>
            </w:tcBorders>
            <w:vAlign w:val="center"/>
          </w:tcPr>
          <w:p w14:paraId="306A2870">
            <w:pPr>
              <w:pStyle w:val="69"/>
              <w:bidi w:val="0"/>
              <w:rPr>
                <w:lang w:val="en-US" w:eastAsia="zh-CN"/>
              </w:rPr>
            </w:pPr>
          </w:p>
        </w:tc>
        <w:tc>
          <w:tcPr>
            <w:tcW w:w="1388" w:type="dxa"/>
            <w:tcBorders>
              <w:top w:val="single" w:color="auto" w:sz="12" w:space="0"/>
              <w:left w:val="single" w:color="auto" w:sz="12" w:space="0"/>
              <w:bottom w:val="single" w:color="auto" w:sz="12" w:space="0"/>
              <w:right w:val="single" w:color="auto" w:sz="12" w:space="0"/>
            </w:tcBorders>
            <w:vAlign w:val="center"/>
          </w:tcPr>
          <w:p w14:paraId="6C94192B">
            <w:pPr>
              <w:pStyle w:val="62"/>
              <w:bidi w:val="0"/>
              <w:rPr>
                <w:rFonts w:hint="eastAsia"/>
              </w:rPr>
            </w:pPr>
            <w:r>
              <w:rPr>
                <w:rFonts w:hint="default" w:ascii="Times New Roman" w:hAnsi="Times New Roman" w:cs="Times New Roman"/>
                <w:color w:val="auto"/>
                <w:szCs w:val="28"/>
                <w:u w:val="none" w:color="auto"/>
              </w:rPr>
              <w:t>熟化</w:t>
            </w:r>
          </w:p>
        </w:tc>
        <w:tc>
          <w:tcPr>
            <w:tcW w:w="592" w:type="dxa"/>
            <w:tcBorders>
              <w:top w:val="nil"/>
              <w:left w:val="single" w:color="auto" w:sz="12" w:space="0"/>
              <w:bottom w:val="nil"/>
              <w:right w:val="nil"/>
            </w:tcBorders>
            <w:vAlign w:val="center"/>
          </w:tcPr>
          <w:p w14:paraId="38682904">
            <w:pPr>
              <w:pStyle w:val="69"/>
              <w:bidi w:val="0"/>
              <w:rPr>
                <w:lang w:val="en-US" w:eastAsia="zh-CN"/>
              </w:rPr>
            </w:pPr>
          </w:p>
        </w:tc>
        <w:tc>
          <w:tcPr>
            <w:tcW w:w="2384" w:type="dxa"/>
            <w:tcBorders>
              <w:top w:val="nil"/>
              <w:left w:val="nil"/>
              <w:bottom w:val="nil"/>
              <w:right w:val="nil"/>
            </w:tcBorders>
            <w:vAlign w:val="center"/>
          </w:tcPr>
          <w:p w14:paraId="07F8C621">
            <w:pPr>
              <w:pStyle w:val="69"/>
              <w:bidi w:val="0"/>
              <w:rPr>
                <w:lang w:val="en-US" w:eastAsia="zh-CN"/>
              </w:rPr>
            </w:pPr>
          </w:p>
        </w:tc>
      </w:tr>
      <w:tr w14:paraId="7FC4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auto" w:sz="8" w:space="0"/>
              <w:left w:val="nil"/>
              <w:bottom w:val="dashed" w:color="000000" w:sz="8" w:space="0"/>
              <w:right w:val="nil"/>
            </w:tcBorders>
            <w:vAlign w:val="center"/>
          </w:tcPr>
          <w:p w14:paraId="7DE15071">
            <w:pPr>
              <w:pStyle w:val="69"/>
              <w:bidi w:val="0"/>
              <w:rPr>
                <w:lang w:val="en-US" w:eastAsia="zh-CN"/>
              </w:rPr>
            </w:pPr>
          </w:p>
        </w:tc>
        <w:tc>
          <w:tcPr>
            <w:tcW w:w="487" w:type="dxa"/>
            <w:tcBorders>
              <w:top w:val="nil"/>
              <w:left w:val="nil"/>
              <w:bottom w:val="nil"/>
              <w:right w:val="nil"/>
            </w:tcBorders>
            <w:vAlign w:val="center"/>
          </w:tcPr>
          <w:p w14:paraId="4DAD9233">
            <w:pPr>
              <w:pStyle w:val="69"/>
              <w:bidi w:val="0"/>
              <w:rPr>
                <w:lang w:val="en-US" w:eastAsia="zh-CN"/>
              </w:rPr>
            </w:pPr>
          </w:p>
        </w:tc>
        <w:tc>
          <w:tcPr>
            <w:tcW w:w="2079" w:type="dxa"/>
            <w:tcBorders>
              <w:top w:val="nil"/>
              <w:left w:val="nil"/>
              <w:bottom w:val="nil"/>
              <w:right w:val="nil"/>
            </w:tcBorders>
            <w:vAlign w:val="center"/>
          </w:tcPr>
          <w:p w14:paraId="5537CD6B">
            <w:pPr>
              <w:pStyle w:val="69"/>
              <w:bidi w:val="0"/>
              <w:rPr>
                <w:lang w:val="en-US" w:eastAsia="zh-CN"/>
              </w:rPr>
            </w:pPr>
          </w:p>
        </w:tc>
        <w:tc>
          <w:tcPr>
            <w:tcW w:w="696" w:type="dxa"/>
            <w:tcBorders>
              <w:top w:val="nil"/>
              <w:left w:val="nil"/>
              <w:bottom w:val="nil"/>
              <w:right w:val="nil"/>
            </w:tcBorders>
            <w:vAlign w:val="center"/>
          </w:tcPr>
          <w:p w14:paraId="5DF995A8">
            <w:pPr>
              <w:pStyle w:val="69"/>
              <w:bidi w:val="0"/>
              <w:rPr>
                <w:lang w:val="en-US" w:eastAsia="zh-CN"/>
              </w:rPr>
            </w:pPr>
          </w:p>
        </w:tc>
        <w:tc>
          <w:tcPr>
            <w:tcW w:w="1388" w:type="dxa"/>
            <w:tcBorders>
              <w:top w:val="single" w:color="auto" w:sz="12" w:space="0"/>
              <w:left w:val="nil"/>
              <w:bottom w:val="single" w:color="auto" w:sz="12" w:space="0"/>
              <w:right w:val="nil"/>
            </w:tcBorders>
            <w:vAlign w:val="center"/>
          </w:tcPr>
          <w:p w14:paraId="20D3AC5D">
            <w:pPr>
              <w:pStyle w:val="62"/>
              <w:bidi w:val="0"/>
              <w:rPr>
                <w:rFonts w:hint="eastAsia"/>
              </w:rPr>
            </w:pPr>
            <w:r>
              <w:rPr>
                <w:rFonts w:hint="eastAsia"/>
              </w:rPr>
              <w:t>↓</w:t>
            </w:r>
          </w:p>
        </w:tc>
        <w:tc>
          <w:tcPr>
            <w:tcW w:w="592" w:type="dxa"/>
            <w:tcBorders>
              <w:top w:val="nil"/>
              <w:left w:val="nil"/>
              <w:bottom w:val="nil"/>
              <w:right w:val="nil"/>
            </w:tcBorders>
            <w:vAlign w:val="center"/>
          </w:tcPr>
          <w:p w14:paraId="13C965BE">
            <w:pPr>
              <w:pStyle w:val="69"/>
              <w:bidi w:val="0"/>
              <w:rPr>
                <w:lang w:val="en-US" w:eastAsia="zh-CN"/>
              </w:rPr>
            </w:pPr>
          </w:p>
        </w:tc>
        <w:tc>
          <w:tcPr>
            <w:tcW w:w="2384" w:type="dxa"/>
            <w:tcBorders>
              <w:top w:val="nil"/>
              <w:left w:val="nil"/>
              <w:bottom w:val="dashed" w:color="000000" w:sz="8" w:space="0"/>
              <w:right w:val="nil"/>
            </w:tcBorders>
            <w:vAlign w:val="center"/>
          </w:tcPr>
          <w:p w14:paraId="5F5FF37C">
            <w:pPr>
              <w:pStyle w:val="69"/>
              <w:bidi w:val="0"/>
              <w:rPr>
                <w:lang w:val="en-US" w:eastAsia="zh-CN"/>
              </w:rPr>
            </w:pPr>
          </w:p>
        </w:tc>
      </w:tr>
      <w:tr w14:paraId="51CB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dashed" w:color="000000" w:sz="8" w:space="0"/>
              <w:bottom w:val="dashed" w:color="000000" w:sz="8" w:space="0"/>
              <w:right w:val="dashed" w:color="000000" w:sz="8" w:space="0"/>
            </w:tcBorders>
            <w:vAlign w:val="center"/>
          </w:tcPr>
          <w:p w14:paraId="58629B00">
            <w:pPr>
              <w:pStyle w:val="69"/>
              <w:bidi w:val="0"/>
              <w:rPr>
                <w:rFonts w:hint="default"/>
                <w:lang w:val="en-US" w:eastAsia="zh-CN"/>
              </w:rPr>
            </w:pPr>
            <w:r>
              <w:rPr>
                <w:rFonts w:hint="eastAsia"/>
                <w:lang w:val="en-US" w:eastAsia="zh-CN"/>
              </w:rPr>
              <w:t>分切机</w:t>
            </w:r>
          </w:p>
        </w:tc>
        <w:tc>
          <w:tcPr>
            <w:tcW w:w="487" w:type="dxa"/>
            <w:tcBorders>
              <w:top w:val="nil"/>
              <w:left w:val="dashed" w:color="000000" w:sz="8" w:space="0"/>
              <w:bottom w:val="nil"/>
              <w:right w:val="nil"/>
            </w:tcBorders>
            <w:vAlign w:val="center"/>
          </w:tcPr>
          <w:p w14:paraId="50EEA93A">
            <w:pPr>
              <w:pStyle w:val="69"/>
              <w:bidi w:val="0"/>
              <w:rPr>
                <w:lang w:val="en-US" w:eastAsia="zh-CN"/>
              </w:rPr>
            </w:pPr>
          </w:p>
        </w:tc>
        <w:tc>
          <w:tcPr>
            <w:tcW w:w="2079" w:type="dxa"/>
            <w:tcBorders>
              <w:top w:val="nil"/>
              <w:left w:val="nil"/>
              <w:bottom w:val="nil"/>
              <w:right w:val="nil"/>
            </w:tcBorders>
            <w:vAlign w:val="center"/>
          </w:tcPr>
          <w:p w14:paraId="6DF6598E">
            <w:pPr>
              <w:pStyle w:val="69"/>
              <w:bidi w:val="0"/>
              <w:rPr>
                <w:lang w:val="en-US" w:eastAsia="zh-CN"/>
              </w:rPr>
            </w:pPr>
          </w:p>
        </w:tc>
        <w:tc>
          <w:tcPr>
            <w:tcW w:w="696" w:type="dxa"/>
            <w:tcBorders>
              <w:top w:val="nil"/>
              <w:left w:val="nil"/>
              <w:bottom w:val="nil"/>
              <w:right w:val="single" w:color="auto" w:sz="12" w:space="0"/>
            </w:tcBorders>
            <w:vAlign w:val="center"/>
          </w:tcPr>
          <w:p w14:paraId="483A5975">
            <w:pPr>
              <w:pStyle w:val="69"/>
              <w:bidi w:val="0"/>
              <w:rPr>
                <w:lang w:val="en-US" w:eastAsia="zh-CN"/>
              </w:rPr>
            </w:pPr>
          </w:p>
        </w:tc>
        <w:tc>
          <w:tcPr>
            <w:tcW w:w="1388" w:type="dxa"/>
            <w:tcBorders>
              <w:top w:val="single" w:color="auto" w:sz="12" w:space="0"/>
              <w:left w:val="single" w:color="auto" w:sz="12" w:space="0"/>
              <w:bottom w:val="single" w:color="auto" w:sz="12" w:space="0"/>
              <w:right w:val="single" w:color="auto" w:sz="12" w:space="0"/>
            </w:tcBorders>
            <w:vAlign w:val="center"/>
          </w:tcPr>
          <w:p w14:paraId="0E51708E">
            <w:pPr>
              <w:pStyle w:val="62"/>
              <w:bidi w:val="0"/>
              <w:rPr>
                <w:rFonts w:hint="eastAsia"/>
                <w:lang w:val="en-US" w:eastAsia="zh-CN"/>
              </w:rPr>
            </w:pPr>
            <w:r>
              <w:rPr>
                <w:rFonts w:hint="eastAsia"/>
                <w:lang w:val="en-US" w:eastAsia="zh-CN"/>
              </w:rPr>
              <w:t>分切</w:t>
            </w:r>
          </w:p>
        </w:tc>
        <w:tc>
          <w:tcPr>
            <w:tcW w:w="592" w:type="dxa"/>
            <w:tcBorders>
              <w:top w:val="nil"/>
              <w:left w:val="single" w:color="auto" w:sz="12" w:space="0"/>
              <w:bottom w:val="nil"/>
              <w:right w:val="dashed" w:color="000000" w:sz="8" w:space="0"/>
            </w:tcBorders>
            <w:vAlign w:val="center"/>
          </w:tcPr>
          <w:p w14:paraId="5CE5090E">
            <w:pPr>
              <w:pStyle w:val="69"/>
              <w:bidi w:val="0"/>
              <w:rPr>
                <w:lang w:val="en-US" w:eastAsia="zh-CN"/>
              </w:rPr>
            </w:pPr>
            <w:r>
              <w:rPr>
                <w:rFonts w:hint="eastAsia"/>
              </w:rPr>
              <w:t>→</w:t>
            </w:r>
          </w:p>
        </w:tc>
        <w:tc>
          <w:tcPr>
            <w:tcW w:w="2384" w:type="dxa"/>
            <w:tcBorders>
              <w:top w:val="dashed" w:color="000000" w:sz="8" w:space="0"/>
              <w:left w:val="dashed" w:color="000000" w:sz="8" w:space="0"/>
              <w:bottom w:val="dashed" w:color="000000" w:sz="8" w:space="0"/>
              <w:right w:val="dashed" w:color="000000" w:sz="8" w:space="0"/>
            </w:tcBorders>
            <w:vAlign w:val="center"/>
          </w:tcPr>
          <w:p w14:paraId="0B36218F">
            <w:pPr>
              <w:pStyle w:val="69"/>
              <w:bidi w:val="0"/>
              <w:rPr>
                <w:rFonts w:hint="default"/>
                <w:lang w:val="en-US" w:eastAsia="zh-CN"/>
              </w:rPr>
            </w:pPr>
            <w:r>
              <w:rPr>
                <w:rFonts w:hint="eastAsia"/>
                <w:lang w:val="en-US" w:eastAsia="zh-CN"/>
              </w:rPr>
              <w:t>噪声</w:t>
            </w:r>
          </w:p>
        </w:tc>
      </w:tr>
      <w:tr w14:paraId="51F8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nil"/>
              <w:bottom w:val="nil"/>
              <w:right w:val="nil"/>
            </w:tcBorders>
            <w:vAlign w:val="center"/>
          </w:tcPr>
          <w:p w14:paraId="2BAAD268">
            <w:pPr>
              <w:pStyle w:val="69"/>
              <w:bidi w:val="0"/>
              <w:rPr>
                <w:lang w:val="en-US" w:eastAsia="zh-CN"/>
              </w:rPr>
            </w:pPr>
          </w:p>
        </w:tc>
        <w:tc>
          <w:tcPr>
            <w:tcW w:w="487" w:type="dxa"/>
            <w:tcBorders>
              <w:top w:val="nil"/>
              <w:left w:val="nil"/>
              <w:bottom w:val="nil"/>
              <w:right w:val="nil"/>
            </w:tcBorders>
            <w:vAlign w:val="center"/>
          </w:tcPr>
          <w:p w14:paraId="55FBF99F">
            <w:pPr>
              <w:pStyle w:val="69"/>
              <w:bidi w:val="0"/>
              <w:rPr>
                <w:lang w:val="en-US" w:eastAsia="zh-CN"/>
              </w:rPr>
            </w:pPr>
          </w:p>
        </w:tc>
        <w:tc>
          <w:tcPr>
            <w:tcW w:w="2079" w:type="dxa"/>
            <w:tcBorders>
              <w:top w:val="nil"/>
              <w:left w:val="nil"/>
              <w:bottom w:val="nil"/>
              <w:right w:val="nil"/>
            </w:tcBorders>
            <w:vAlign w:val="center"/>
          </w:tcPr>
          <w:p w14:paraId="195DD774">
            <w:pPr>
              <w:pStyle w:val="69"/>
              <w:bidi w:val="0"/>
              <w:rPr>
                <w:lang w:val="en-US" w:eastAsia="zh-CN"/>
              </w:rPr>
            </w:pPr>
          </w:p>
        </w:tc>
        <w:tc>
          <w:tcPr>
            <w:tcW w:w="696" w:type="dxa"/>
            <w:tcBorders>
              <w:top w:val="nil"/>
              <w:left w:val="nil"/>
              <w:bottom w:val="nil"/>
              <w:right w:val="nil"/>
            </w:tcBorders>
            <w:vAlign w:val="center"/>
          </w:tcPr>
          <w:p w14:paraId="47A0D058">
            <w:pPr>
              <w:pStyle w:val="69"/>
              <w:bidi w:val="0"/>
              <w:rPr>
                <w:lang w:val="en-US" w:eastAsia="zh-CN"/>
              </w:rPr>
            </w:pPr>
          </w:p>
        </w:tc>
        <w:tc>
          <w:tcPr>
            <w:tcW w:w="1388" w:type="dxa"/>
            <w:tcBorders>
              <w:top w:val="single" w:color="auto" w:sz="12" w:space="0"/>
              <w:left w:val="nil"/>
              <w:bottom w:val="single" w:color="auto" w:sz="12" w:space="0"/>
              <w:right w:val="nil"/>
            </w:tcBorders>
            <w:vAlign w:val="center"/>
          </w:tcPr>
          <w:p w14:paraId="0D9F82BD">
            <w:pPr>
              <w:pStyle w:val="62"/>
              <w:bidi w:val="0"/>
              <w:rPr>
                <w:lang w:val="en-US" w:eastAsia="zh-CN"/>
              </w:rPr>
            </w:pPr>
            <w:r>
              <w:rPr>
                <w:rFonts w:hint="eastAsia"/>
              </w:rPr>
              <w:t>↓</w:t>
            </w:r>
          </w:p>
        </w:tc>
        <w:tc>
          <w:tcPr>
            <w:tcW w:w="592" w:type="dxa"/>
            <w:tcBorders>
              <w:top w:val="nil"/>
              <w:left w:val="nil"/>
              <w:bottom w:val="nil"/>
              <w:right w:val="nil"/>
            </w:tcBorders>
            <w:vAlign w:val="center"/>
          </w:tcPr>
          <w:p w14:paraId="7AE5D2C9">
            <w:pPr>
              <w:pStyle w:val="69"/>
              <w:bidi w:val="0"/>
              <w:rPr>
                <w:lang w:val="en-US" w:eastAsia="zh-CN"/>
              </w:rPr>
            </w:pPr>
          </w:p>
        </w:tc>
        <w:tc>
          <w:tcPr>
            <w:tcW w:w="2384" w:type="dxa"/>
            <w:tcBorders>
              <w:top w:val="dashed" w:color="000000" w:sz="8" w:space="0"/>
              <w:left w:val="nil"/>
              <w:bottom w:val="dashed" w:color="auto" w:sz="8" w:space="0"/>
              <w:right w:val="nil"/>
            </w:tcBorders>
            <w:vAlign w:val="center"/>
          </w:tcPr>
          <w:p w14:paraId="03182741">
            <w:pPr>
              <w:pStyle w:val="69"/>
              <w:bidi w:val="0"/>
              <w:rPr>
                <w:lang w:val="en-US" w:eastAsia="zh-CN"/>
              </w:rPr>
            </w:pPr>
          </w:p>
        </w:tc>
      </w:tr>
      <w:tr w14:paraId="0AAB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nil"/>
              <w:left w:val="nil"/>
              <w:bottom w:val="nil"/>
              <w:right w:val="nil"/>
            </w:tcBorders>
            <w:shd w:val="clear" w:color="auto" w:fill="auto"/>
            <w:vAlign w:val="center"/>
          </w:tcPr>
          <w:p w14:paraId="24C46F37">
            <w:pPr>
              <w:pStyle w:val="69"/>
              <w:bidi w:val="0"/>
              <w:ind w:firstLine="0" w:firstLineChars="0"/>
              <w:rPr>
                <w:rFonts w:ascii="Times New Roman" w:hAnsi="Times New Roman" w:eastAsia="宋体" w:cs="Times New Roman"/>
                <w:kern w:val="2"/>
                <w:sz w:val="21"/>
                <w:szCs w:val="21"/>
                <w:lang w:val="en-US" w:eastAsia="zh-CN" w:bidi="ar-SA"/>
              </w:rPr>
            </w:pPr>
          </w:p>
        </w:tc>
        <w:tc>
          <w:tcPr>
            <w:tcW w:w="487" w:type="dxa"/>
            <w:tcBorders>
              <w:top w:val="nil"/>
              <w:left w:val="nil"/>
              <w:bottom w:val="nil"/>
              <w:right w:val="nil"/>
            </w:tcBorders>
            <w:shd w:val="clear" w:color="auto" w:fill="auto"/>
            <w:vAlign w:val="center"/>
          </w:tcPr>
          <w:p w14:paraId="4DA65BAC">
            <w:pPr>
              <w:pStyle w:val="69"/>
              <w:bidi w:val="0"/>
              <w:ind w:firstLine="0" w:firstLineChars="0"/>
              <w:rPr>
                <w:rFonts w:ascii="Times New Roman" w:hAnsi="Times New Roman" w:eastAsia="宋体" w:cs="Times New Roman"/>
                <w:kern w:val="2"/>
                <w:sz w:val="21"/>
                <w:szCs w:val="21"/>
                <w:lang w:val="en-US" w:eastAsia="zh-CN" w:bidi="ar-SA"/>
              </w:rPr>
            </w:pPr>
          </w:p>
        </w:tc>
        <w:tc>
          <w:tcPr>
            <w:tcW w:w="2079" w:type="dxa"/>
            <w:tcBorders>
              <w:top w:val="nil"/>
              <w:left w:val="nil"/>
              <w:bottom w:val="nil"/>
              <w:right w:val="nil"/>
            </w:tcBorders>
            <w:shd w:val="clear" w:color="auto" w:fill="auto"/>
            <w:vAlign w:val="center"/>
          </w:tcPr>
          <w:p w14:paraId="2E7D7BF8">
            <w:pPr>
              <w:pStyle w:val="69"/>
              <w:bidi w:val="0"/>
              <w:ind w:firstLine="0" w:firstLineChars="0"/>
              <w:rPr>
                <w:rFonts w:ascii="Times New Roman" w:hAnsi="Times New Roman" w:eastAsia="宋体" w:cs="Times New Roman"/>
                <w:kern w:val="2"/>
                <w:sz w:val="21"/>
                <w:szCs w:val="21"/>
                <w:lang w:val="en-US" w:eastAsia="zh-CN" w:bidi="ar-SA"/>
              </w:rPr>
            </w:pPr>
          </w:p>
        </w:tc>
        <w:tc>
          <w:tcPr>
            <w:tcW w:w="696" w:type="dxa"/>
            <w:tcBorders>
              <w:top w:val="nil"/>
              <w:left w:val="nil"/>
              <w:bottom w:val="nil"/>
              <w:right w:val="single" w:color="auto" w:sz="12" w:space="0"/>
            </w:tcBorders>
            <w:shd w:val="clear" w:color="auto" w:fill="auto"/>
            <w:vAlign w:val="center"/>
          </w:tcPr>
          <w:p w14:paraId="07EFC0C4">
            <w:pPr>
              <w:pStyle w:val="69"/>
              <w:bidi w:val="0"/>
              <w:ind w:firstLine="0" w:firstLineChars="0"/>
              <w:rPr>
                <w:rFonts w:ascii="Times New Roman" w:hAnsi="Times New Roman" w:eastAsia="宋体" w:cs="Times New Roman"/>
                <w:kern w:val="2"/>
                <w:sz w:val="21"/>
                <w:szCs w:val="21"/>
                <w:lang w:val="en-US" w:eastAsia="zh-CN" w:bidi="ar-SA"/>
              </w:rPr>
            </w:pPr>
          </w:p>
        </w:tc>
        <w:tc>
          <w:tcPr>
            <w:tcW w:w="1388" w:type="dxa"/>
            <w:tcBorders>
              <w:top w:val="single" w:color="auto" w:sz="12" w:space="0"/>
              <w:left w:val="single" w:color="auto" w:sz="12" w:space="0"/>
              <w:bottom w:val="single" w:color="auto" w:sz="12" w:space="0"/>
              <w:right w:val="single" w:color="auto" w:sz="12" w:space="0"/>
            </w:tcBorders>
            <w:shd w:val="clear" w:color="auto" w:fill="auto"/>
            <w:vAlign w:val="center"/>
          </w:tcPr>
          <w:p w14:paraId="3028B3C2">
            <w:pPr>
              <w:pStyle w:val="62"/>
              <w:bidi w:val="0"/>
              <w:ind w:firstLine="0" w:firstLineChars="0"/>
              <w:rPr>
                <w:rFonts w:hint="eastAsia" w:ascii="Times New Roman" w:hAnsi="Times New Roman" w:eastAsia="宋体" w:cs="Times New Roman"/>
                <w:b/>
                <w:kern w:val="0"/>
                <w:sz w:val="24"/>
                <w:szCs w:val="22"/>
                <w:lang w:val="en-US" w:eastAsia="zh-CN" w:bidi="ar-SA"/>
              </w:rPr>
            </w:pPr>
            <w:r>
              <w:rPr>
                <w:rFonts w:hint="eastAsia" w:ascii="宋体" w:hAnsi="宋体" w:eastAsia="宋体" w:cs="宋体"/>
                <w:b/>
                <w:bCs/>
                <w:sz w:val="24"/>
                <w:szCs w:val="24"/>
                <w:lang w:val="en-US" w:eastAsia="zh-CN"/>
              </w:rPr>
              <w:t>复检</w:t>
            </w:r>
          </w:p>
        </w:tc>
        <w:tc>
          <w:tcPr>
            <w:tcW w:w="592" w:type="dxa"/>
            <w:tcBorders>
              <w:top w:val="nil"/>
              <w:left w:val="single" w:color="auto" w:sz="12" w:space="0"/>
              <w:bottom w:val="nil"/>
              <w:right w:val="dashed" w:color="auto" w:sz="8" w:space="0"/>
            </w:tcBorders>
            <w:shd w:val="clear" w:color="auto" w:fill="auto"/>
            <w:vAlign w:val="center"/>
          </w:tcPr>
          <w:p w14:paraId="32D8A1E7">
            <w:pPr>
              <w:pStyle w:val="69"/>
              <w:bidi w:val="0"/>
              <w:ind w:firstLine="0" w:firstLineChars="0"/>
              <w:rPr>
                <w:rFonts w:ascii="Times New Roman" w:hAnsi="Times New Roman" w:eastAsia="宋体" w:cs="Times New Roman"/>
                <w:kern w:val="2"/>
                <w:sz w:val="21"/>
                <w:szCs w:val="21"/>
                <w:lang w:val="en-US" w:eastAsia="zh-CN" w:bidi="ar-SA"/>
              </w:rPr>
            </w:pPr>
            <w:r>
              <w:rPr>
                <w:rFonts w:hint="eastAsia"/>
              </w:rPr>
              <w:t>→</w:t>
            </w:r>
          </w:p>
        </w:tc>
        <w:tc>
          <w:tcPr>
            <w:tcW w:w="2384" w:type="dxa"/>
            <w:tcBorders>
              <w:top w:val="dashed" w:color="auto" w:sz="8" w:space="0"/>
              <w:left w:val="dashed" w:color="auto" w:sz="8" w:space="0"/>
              <w:bottom w:val="dashed" w:color="auto" w:sz="8" w:space="0"/>
              <w:right w:val="dashed" w:color="auto" w:sz="8" w:space="0"/>
            </w:tcBorders>
            <w:shd w:val="clear" w:color="auto" w:fill="auto"/>
            <w:vAlign w:val="center"/>
          </w:tcPr>
          <w:p w14:paraId="7C3DE957">
            <w:pPr>
              <w:pStyle w:val="69"/>
              <w:bidi w:val="0"/>
              <w:ind w:firstLine="0" w:firstLineChars="0"/>
              <w:rPr>
                <w:rFonts w:ascii="Times New Roman" w:hAnsi="Times New Roman" w:eastAsia="宋体" w:cs="Times New Roman"/>
                <w:kern w:val="2"/>
                <w:sz w:val="21"/>
                <w:szCs w:val="21"/>
                <w:lang w:val="en-US" w:eastAsia="zh-CN" w:bidi="ar-SA"/>
              </w:rPr>
            </w:pPr>
            <w:r>
              <w:t>次品</w:t>
            </w:r>
          </w:p>
        </w:tc>
      </w:tr>
      <w:tr w14:paraId="6EA4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nil"/>
              <w:left w:val="nil"/>
              <w:bottom w:val="dashed" w:color="000000" w:sz="8" w:space="0"/>
              <w:right w:val="nil"/>
            </w:tcBorders>
            <w:vAlign w:val="center"/>
          </w:tcPr>
          <w:p w14:paraId="22E1ECB6">
            <w:pPr>
              <w:pStyle w:val="69"/>
              <w:bidi w:val="0"/>
              <w:rPr>
                <w:lang w:val="en-US" w:eastAsia="zh-CN"/>
              </w:rPr>
            </w:pPr>
          </w:p>
        </w:tc>
        <w:tc>
          <w:tcPr>
            <w:tcW w:w="487" w:type="dxa"/>
            <w:tcBorders>
              <w:top w:val="nil"/>
              <w:left w:val="nil"/>
              <w:bottom w:val="nil"/>
              <w:right w:val="nil"/>
            </w:tcBorders>
            <w:vAlign w:val="center"/>
          </w:tcPr>
          <w:p w14:paraId="31B48339">
            <w:pPr>
              <w:pStyle w:val="69"/>
              <w:bidi w:val="0"/>
              <w:rPr>
                <w:lang w:val="en-US" w:eastAsia="zh-CN"/>
              </w:rPr>
            </w:pPr>
          </w:p>
        </w:tc>
        <w:tc>
          <w:tcPr>
            <w:tcW w:w="2079" w:type="dxa"/>
            <w:tcBorders>
              <w:top w:val="nil"/>
              <w:left w:val="nil"/>
              <w:bottom w:val="nil"/>
              <w:right w:val="nil"/>
            </w:tcBorders>
            <w:vAlign w:val="center"/>
          </w:tcPr>
          <w:p w14:paraId="5F288461">
            <w:pPr>
              <w:pStyle w:val="69"/>
              <w:bidi w:val="0"/>
              <w:rPr>
                <w:lang w:val="en-US" w:eastAsia="zh-CN"/>
              </w:rPr>
            </w:pPr>
          </w:p>
        </w:tc>
        <w:tc>
          <w:tcPr>
            <w:tcW w:w="696" w:type="dxa"/>
            <w:tcBorders>
              <w:top w:val="nil"/>
              <w:left w:val="nil"/>
              <w:bottom w:val="nil"/>
              <w:right w:val="nil"/>
            </w:tcBorders>
            <w:vAlign w:val="center"/>
          </w:tcPr>
          <w:p w14:paraId="7D6A88AA">
            <w:pPr>
              <w:pStyle w:val="69"/>
              <w:bidi w:val="0"/>
              <w:rPr>
                <w:lang w:val="en-US" w:eastAsia="zh-CN"/>
              </w:rPr>
            </w:pPr>
          </w:p>
        </w:tc>
        <w:tc>
          <w:tcPr>
            <w:tcW w:w="1388" w:type="dxa"/>
            <w:tcBorders>
              <w:top w:val="single" w:color="auto" w:sz="12" w:space="0"/>
              <w:left w:val="nil"/>
              <w:bottom w:val="single" w:color="auto" w:sz="12" w:space="0"/>
              <w:right w:val="nil"/>
            </w:tcBorders>
            <w:vAlign w:val="center"/>
          </w:tcPr>
          <w:p w14:paraId="3BCB5906">
            <w:pPr>
              <w:pStyle w:val="62"/>
              <w:bidi w:val="0"/>
              <w:rPr>
                <w:rFonts w:hint="eastAsia"/>
              </w:rPr>
            </w:pPr>
            <w:r>
              <w:rPr>
                <w:rFonts w:hint="eastAsia"/>
              </w:rPr>
              <w:t>↓</w:t>
            </w:r>
          </w:p>
        </w:tc>
        <w:tc>
          <w:tcPr>
            <w:tcW w:w="592" w:type="dxa"/>
            <w:tcBorders>
              <w:top w:val="nil"/>
              <w:left w:val="nil"/>
              <w:bottom w:val="nil"/>
              <w:right w:val="nil"/>
            </w:tcBorders>
            <w:vAlign w:val="center"/>
          </w:tcPr>
          <w:p w14:paraId="7244E876">
            <w:pPr>
              <w:pStyle w:val="69"/>
              <w:bidi w:val="0"/>
              <w:rPr>
                <w:lang w:val="en-US" w:eastAsia="zh-CN"/>
              </w:rPr>
            </w:pPr>
          </w:p>
        </w:tc>
        <w:tc>
          <w:tcPr>
            <w:tcW w:w="2384" w:type="dxa"/>
            <w:tcBorders>
              <w:top w:val="dashed" w:color="auto" w:sz="8" w:space="0"/>
              <w:left w:val="nil"/>
              <w:bottom w:val="dashed" w:color="000000" w:sz="8" w:space="0"/>
              <w:right w:val="nil"/>
            </w:tcBorders>
            <w:vAlign w:val="center"/>
          </w:tcPr>
          <w:p w14:paraId="596540A2">
            <w:pPr>
              <w:pStyle w:val="69"/>
              <w:bidi w:val="0"/>
              <w:rPr>
                <w:lang w:val="en-US" w:eastAsia="zh-CN"/>
              </w:rPr>
            </w:pPr>
          </w:p>
        </w:tc>
      </w:tr>
      <w:tr w14:paraId="1468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dashed" w:color="000000" w:sz="8" w:space="0"/>
              <w:bottom w:val="dashed" w:color="000000" w:sz="8" w:space="0"/>
              <w:right w:val="dashed" w:color="000000" w:sz="8" w:space="0"/>
            </w:tcBorders>
            <w:vAlign w:val="center"/>
          </w:tcPr>
          <w:p w14:paraId="453AE12D">
            <w:pPr>
              <w:pStyle w:val="69"/>
              <w:bidi w:val="0"/>
              <w:rPr>
                <w:rFonts w:hint="default"/>
                <w:lang w:val="en-US" w:eastAsia="zh-CN"/>
              </w:rPr>
            </w:pPr>
            <w:r>
              <w:rPr>
                <w:rFonts w:hint="eastAsia"/>
                <w:lang w:val="en-US" w:eastAsia="zh-CN"/>
              </w:rPr>
              <w:t>打孔机</w:t>
            </w:r>
          </w:p>
        </w:tc>
        <w:tc>
          <w:tcPr>
            <w:tcW w:w="487" w:type="dxa"/>
            <w:tcBorders>
              <w:top w:val="nil"/>
              <w:left w:val="dashed" w:color="000000" w:sz="8" w:space="0"/>
              <w:bottom w:val="nil"/>
              <w:right w:val="nil"/>
            </w:tcBorders>
            <w:vAlign w:val="center"/>
          </w:tcPr>
          <w:p w14:paraId="2CACEDDF">
            <w:pPr>
              <w:pStyle w:val="69"/>
              <w:bidi w:val="0"/>
              <w:rPr>
                <w:lang w:val="en-US" w:eastAsia="zh-CN"/>
              </w:rPr>
            </w:pPr>
          </w:p>
        </w:tc>
        <w:tc>
          <w:tcPr>
            <w:tcW w:w="2079" w:type="dxa"/>
            <w:tcBorders>
              <w:top w:val="nil"/>
              <w:left w:val="nil"/>
              <w:bottom w:val="nil"/>
              <w:right w:val="nil"/>
            </w:tcBorders>
            <w:vAlign w:val="center"/>
          </w:tcPr>
          <w:p w14:paraId="320F6ED6">
            <w:pPr>
              <w:pStyle w:val="69"/>
              <w:bidi w:val="0"/>
              <w:rPr>
                <w:lang w:val="en-US" w:eastAsia="zh-CN"/>
              </w:rPr>
            </w:pPr>
          </w:p>
        </w:tc>
        <w:tc>
          <w:tcPr>
            <w:tcW w:w="696" w:type="dxa"/>
            <w:tcBorders>
              <w:top w:val="nil"/>
              <w:left w:val="nil"/>
              <w:bottom w:val="nil"/>
              <w:right w:val="single" w:color="auto" w:sz="12" w:space="0"/>
            </w:tcBorders>
            <w:vAlign w:val="center"/>
          </w:tcPr>
          <w:p w14:paraId="02E4D095">
            <w:pPr>
              <w:pStyle w:val="69"/>
              <w:bidi w:val="0"/>
              <w:rPr>
                <w:lang w:val="en-US" w:eastAsia="zh-CN"/>
              </w:rPr>
            </w:pPr>
          </w:p>
        </w:tc>
        <w:tc>
          <w:tcPr>
            <w:tcW w:w="1388" w:type="dxa"/>
            <w:tcBorders>
              <w:top w:val="single" w:color="auto" w:sz="12" w:space="0"/>
              <w:left w:val="single" w:color="auto" w:sz="12" w:space="0"/>
              <w:bottom w:val="single" w:color="auto" w:sz="12" w:space="0"/>
              <w:right w:val="single" w:color="auto" w:sz="12" w:space="0"/>
            </w:tcBorders>
            <w:vAlign w:val="center"/>
          </w:tcPr>
          <w:p w14:paraId="3BC96CF1">
            <w:pPr>
              <w:pStyle w:val="62"/>
              <w:bidi w:val="0"/>
              <w:rPr>
                <w:rFonts w:hint="eastAsia"/>
                <w:lang w:val="en-US" w:eastAsia="zh-CN"/>
              </w:rPr>
            </w:pPr>
            <w:r>
              <w:rPr>
                <w:rFonts w:hint="eastAsia"/>
                <w:lang w:val="en-US" w:eastAsia="zh-CN"/>
              </w:rPr>
              <w:t>部分打孔</w:t>
            </w:r>
          </w:p>
        </w:tc>
        <w:tc>
          <w:tcPr>
            <w:tcW w:w="592" w:type="dxa"/>
            <w:tcBorders>
              <w:top w:val="nil"/>
              <w:left w:val="single" w:color="auto" w:sz="12" w:space="0"/>
              <w:bottom w:val="nil"/>
              <w:right w:val="dashed" w:color="000000" w:sz="8" w:space="0"/>
            </w:tcBorders>
            <w:vAlign w:val="center"/>
          </w:tcPr>
          <w:p w14:paraId="60209EA2">
            <w:pPr>
              <w:pStyle w:val="69"/>
              <w:bidi w:val="0"/>
              <w:rPr>
                <w:lang w:val="en-US" w:eastAsia="zh-CN"/>
              </w:rPr>
            </w:pPr>
            <w:r>
              <w:rPr>
                <w:rFonts w:hint="eastAsia"/>
              </w:rPr>
              <w:t>→</w:t>
            </w:r>
          </w:p>
        </w:tc>
        <w:tc>
          <w:tcPr>
            <w:tcW w:w="2384" w:type="dxa"/>
            <w:tcBorders>
              <w:top w:val="dashed" w:color="000000" w:sz="8" w:space="0"/>
              <w:left w:val="dashed" w:color="000000" w:sz="8" w:space="0"/>
              <w:bottom w:val="dashed" w:color="000000" w:sz="8" w:space="0"/>
              <w:right w:val="dashed" w:color="000000" w:sz="8" w:space="0"/>
            </w:tcBorders>
            <w:vAlign w:val="center"/>
          </w:tcPr>
          <w:p w14:paraId="787F5ED8">
            <w:pPr>
              <w:pStyle w:val="69"/>
              <w:bidi w:val="0"/>
              <w:rPr>
                <w:rFonts w:hint="default"/>
                <w:lang w:val="en-US" w:eastAsia="zh-CN"/>
              </w:rPr>
            </w:pPr>
            <w:r>
              <w:rPr>
                <w:rFonts w:hint="eastAsia"/>
                <w:lang w:val="en-US" w:eastAsia="zh-CN"/>
              </w:rPr>
              <w:t>边角料</w:t>
            </w:r>
          </w:p>
        </w:tc>
      </w:tr>
      <w:tr w14:paraId="0E6F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dashed" w:color="000000" w:sz="8" w:space="0"/>
              <w:left w:val="nil"/>
              <w:bottom w:val="nil"/>
              <w:right w:val="nil"/>
            </w:tcBorders>
            <w:vAlign w:val="center"/>
          </w:tcPr>
          <w:p w14:paraId="7C3C9824">
            <w:pPr>
              <w:pStyle w:val="69"/>
              <w:bidi w:val="0"/>
              <w:rPr>
                <w:lang w:val="en-US" w:eastAsia="zh-CN"/>
              </w:rPr>
            </w:pPr>
          </w:p>
        </w:tc>
        <w:tc>
          <w:tcPr>
            <w:tcW w:w="487" w:type="dxa"/>
            <w:tcBorders>
              <w:top w:val="nil"/>
              <w:left w:val="nil"/>
              <w:bottom w:val="nil"/>
              <w:right w:val="nil"/>
            </w:tcBorders>
            <w:vAlign w:val="center"/>
          </w:tcPr>
          <w:p w14:paraId="4219CC04">
            <w:pPr>
              <w:pStyle w:val="69"/>
              <w:bidi w:val="0"/>
              <w:rPr>
                <w:lang w:val="en-US" w:eastAsia="zh-CN"/>
              </w:rPr>
            </w:pPr>
          </w:p>
        </w:tc>
        <w:tc>
          <w:tcPr>
            <w:tcW w:w="2079" w:type="dxa"/>
            <w:tcBorders>
              <w:top w:val="nil"/>
              <w:left w:val="nil"/>
              <w:bottom w:val="nil"/>
              <w:right w:val="nil"/>
            </w:tcBorders>
            <w:vAlign w:val="center"/>
          </w:tcPr>
          <w:p w14:paraId="06F08DA6">
            <w:pPr>
              <w:pStyle w:val="69"/>
              <w:bidi w:val="0"/>
              <w:rPr>
                <w:lang w:val="en-US" w:eastAsia="zh-CN"/>
              </w:rPr>
            </w:pPr>
          </w:p>
        </w:tc>
        <w:tc>
          <w:tcPr>
            <w:tcW w:w="696" w:type="dxa"/>
            <w:tcBorders>
              <w:top w:val="nil"/>
              <w:left w:val="nil"/>
              <w:bottom w:val="nil"/>
              <w:right w:val="nil"/>
            </w:tcBorders>
            <w:vAlign w:val="center"/>
          </w:tcPr>
          <w:p w14:paraId="19902B25">
            <w:pPr>
              <w:pStyle w:val="69"/>
              <w:bidi w:val="0"/>
              <w:rPr>
                <w:lang w:val="en-US" w:eastAsia="zh-CN"/>
              </w:rPr>
            </w:pPr>
          </w:p>
        </w:tc>
        <w:tc>
          <w:tcPr>
            <w:tcW w:w="1388" w:type="dxa"/>
            <w:tcBorders>
              <w:top w:val="single" w:color="auto" w:sz="12" w:space="0"/>
              <w:left w:val="nil"/>
              <w:bottom w:val="nil"/>
              <w:right w:val="nil"/>
            </w:tcBorders>
            <w:vAlign w:val="center"/>
          </w:tcPr>
          <w:p w14:paraId="4FE3C941">
            <w:pPr>
              <w:pStyle w:val="62"/>
              <w:bidi w:val="0"/>
              <w:rPr>
                <w:rFonts w:hint="eastAsia"/>
                <w:lang w:val="en-US" w:eastAsia="zh-CN"/>
              </w:rPr>
            </w:pPr>
            <w:r>
              <w:rPr>
                <w:rFonts w:hint="eastAsia"/>
              </w:rPr>
              <w:t>↓</w:t>
            </w:r>
          </w:p>
        </w:tc>
        <w:tc>
          <w:tcPr>
            <w:tcW w:w="592" w:type="dxa"/>
            <w:tcBorders>
              <w:top w:val="nil"/>
              <w:left w:val="nil"/>
              <w:bottom w:val="nil"/>
              <w:right w:val="nil"/>
            </w:tcBorders>
            <w:vAlign w:val="center"/>
          </w:tcPr>
          <w:p w14:paraId="5C564F52">
            <w:pPr>
              <w:pStyle w:val="69"/>
              <w:bidi w:val="0"/>
              <w:rPr>
                <w:lang w:val="en-US" w:eastAsia="zh-CN"/>
              </w:rPr>
            </w:pPr>
          </w:p>
        </w:tc>
        <w:tc>
          <w:tcPr>
            <w:tcW w:w="2384" w:type="dxa"/>
            <w:tcBorders>
              <w:top w:val="dashed" w:color="000000" w:sz="8" w:space="0"/>
              <w:left w:val="nil"/>
              <w:bottom w:val="nil"/>
              <w:right w:val="nil"/>
            </w:tcBorders>
            <w:vAlign w:val="center"/>
          </w:tcPr>
          <w:p w14:paraId="0B11668D">
            <w:pPr>
              <w:pStyle w:val="69"/>
              <w:bidi w:val="0"/>
              <w:rPr>
                <w:lang w:val="en-US" w:eastAsia="zh-CN"/>
              </w:rPr>
            </w:pPr>
          </w:p>
        </w:tc>
      </w:tr>
      <w:tr w14:paraId="7CD0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8" w:type="dxa"/>
            <w:tcBorders>
              <w:top w:val="nil"/>
              <w:left w:val="nil"/>
              <w:bottom w:val="nil"/>
              <w:right w:val="nil"/>
            </w:tcBorders>
            <w:vAlign w:val="center"/>
          </w:tcPr>
          <w:p w14:paraId="543527CE">
            <w:pPr>
              <w:pStyle w:val="69"/>
              <w:bidi w:val="0"/>
              <w:rPr>
                <w:rFonts w:hint="eastAsia"/>
                <w:lang w:val="en-US" w:eastAsia="zh-CN"/>
              </w:rPr>
            </w:pPr>
          </w:p>
        </w:tc>
        <w:tc>
          <w:tcPr>
            <w:tcW w:w="487" w:type="dxa"/>
            <w:tcBorders>
              <w:top w:val="nil"/>
              <w:left w:val="nil"/>
              <w:bottom w:val="nil"/>
              <w:right w:val="nil"/>
            </w:tcBorders>
            <w:vAlign w:val="center"/>
          </w:tcPr>
          <w:p w14:paraId="54E69908">
            <w:pPr>
              <w:pStyle w:val="69"/>
              <w:bidi w:val="0"/>
              <w:rPr>
                <w:lang w:val="en-US" w:eastAsia="zh-CN"/>
              </w:rPr>
            </w:pPr>
          </w:p>
        </w:tc>
        <w:tc>
          <w:tcPr>
            <w:tcW w:w="2079" w:type="dxa"/>
            <w:tcBorders>
              <w:top w:val="nil"/>
              <w:left w:val="nil"/>
              <w:bottom w:val="nil"/>
              <w:right w:val="nil"/>
            </w:tcBorders>
            <w:vAlign w:val="center"/>
          </w:tcPr>
          <w:p w14:paraId="318972A3">
            <w:pPr>
              <w:pStyle w:val="69"/>
              <w:bidi w:val="0"/>
              <w:rPr>
                <w:lang w:val="en-US" w:eastAsia="zh-CN"/>
              </w:rPr>
            </w:pPr>
          </w:p>
        </w:tc>
        <w:tc>
          <w:tcPr>
            <w:tcW w:w="2676" w:type="dxa"/>
            <w:gridSpan w:val="3"/>
            <w:tcBorders>
              <w:top w:val="nil"/>
              <w:left w:val="nil"/>
              <w:bottom w:val="nil"/>
              <w:right w:val="nil"/>
            </w:tcBorders>
            <w:vAlign w:val="center"/>
          </w:tcPr>
          <w:p w14:paraId="0D5D9CDA">
            <w:pPr>
              <w:pStyle w:val="69"/>
              <w:bidi w:val="0"/>
              <w:rPr>
                <w:lang w:val="en-US" w:eastAsia="zh-CN"/>
              </w:rPr>
            </w:pPr>
            <w:r>
              <w:rPr>
                <w:rFonts w:hint="eastAsia"/>
                <w:lang w:val="en-US" w:eastAsia="zh-CN"/>
              </w:rPr>
              <w:t>食品用</w:t>
            </w:r>
            <w:r>
              <w:rPr>
                <w:rFonts w:hint="eastAsia"/>
                <w:b w:val="0"/>
                <w:color w:val="000000"/>
                <w:lang w:val="en-US" w:eastAsia="zh-CN"/>
              </w:rPr>
              <w:t>OPP珠光复合膜</w:t>
            </w:r>
          </w:p>
        </w:tc>
        <w:tc>
          <w:tcPr>
            <w:tcW w:w="2384" w:type="dxa"/>
            <w:tcBorders>
              <w:top w:val="nil"/>
              <w:left w:val="nil"/>
              <w:bottom w:val="nil"/>
              <w:right w:val="nil"/>
            </w:tcBorders>
            <w:vAlign w:val="center"/>
          </w:tcPr>
          <w:p w14:paraId="0FA7294A">
            <w:pPr>
              <w:pStyle w:val="69"/>
              <w:bidi w:val="0"/>
              <w:rPr>
                <w:lang w:val="en-US" w:eastAsia="zh-CN"/>
              </w:rPr>
            </w:pPr>
          </w:p>
        </w:tc>
      </w:tr>
    </w:tbl>
    <w:p w14:paraId="014AAB7E">
      <w:pPr>
        <w:ind w:left="480" w:leftChars="200" w:firstLine="0" w:firstLineChars="0"/>
        <w:rPr>
          <w:color w:val="auto"/>
        </w:rPr>
      </w:pPr>
      <w:r>
        <w:rPr>
          <w:rFonts w:hint="eastAsia"/>
          <w:color w:val="auto"/>
        </w:rPr>
        <w:t>工艺流程简述：</w:t>
      </w:r>
    </w:p>
    <w:p w14:paraId="447D9B91">
      <w:pPr>
        <w:bidi w:val="0"/>
      </w:pPr>
      <w:r>
        <w:t>本项目无制版工序，网版由客户提供，用完后再由客户回收利用，。</w:t>
      </w:r>
    </w:p>
    <w:p w14:paraId="0D85A771">
      <w:pPr>
        <w:bidi w:val="0"/>
      </w:pPr>
      <w:r>
        <w:rPr>
          <w:rFonts w:hint="eastAsia"/>
          <w:b/>
          <w:bCs/>
          <w:lang w:val="en-US" w:eastAsia="zh-CN"/>
        </w:rPr>
        <w:t>调墨</w:t>
      </w:r>
      <w:r>
        <w:rPr>
          <w:b/>
          <w:bCs/>
        </w:rPr>
        <w:t>：</w:t>
      </w:r>
      <w:r>
        <w:rPr>
          <w:rFonts w:hint="eastAsia"/>
          <w:lang w:val="en-US" w:eastAsia="zh-CN"/>
        </w:rPr>
        <w:t>根据印刷产品的</w:t>
      </w:r>
      <w:r>
        <w:rPr>
          <w:rFonts w:hint="eastAsia"/>
        </w:rPr>
        <w:t>涂层厚度</w:t>
      </w:r>
      <w:r>
        <w:rPr>
          <w:rFonts w:hint="eastAsia"/>
          <w:lang w:val="en-US" w:eastAsia="zh-CN"/>
        </w:rPr>
        <w:t>调配</w:t>
      </w:r>
      <w:r>
        <w:t>稀释剂（乙酸乙酯、乙酸正丁酯、正丙酯、异丙醇）</w:t>
      </w:r>
      <w:r>
        <w:rPr>
          <w:rFonts w:hint="eastAsia"/>
          <w:lang w:eastAsia="zh-CN"/>
        </w:rPr>
        <w:t>，</w:t>
      </w:r>
      <w:r>
        <w:rPr>
          <w:rFonts w:hint="eastAsia"/>
          <w:lang w:val="en-US" w:eastAsia="zh-CN"/>
        </w:rPr>
        <w:t>调好后泵至中央供稀释剂系统（有专门储存稀释剂的储罐）</w:t>
      </w:r>
      <w:r>
        <w:t>。</w:t>
      </w:r>
    </w:p>
    <w:p w14:paraId="58CD931B">
      <w:pPr>
        <w:bidi w:val="0"/>
        <w:rPr>
          <w:rFonts w:hint="default"/>
          <w:lang w:val="en-US" w:eastAsia="zh-CN"/>
        </w:rPr>
      </w:pPr>
      <w:r>
        <w:rPr>
          <w:b/>
          <w:bCs/>
        </w:rPr>
        <w:t>印刷</w:t>
      </w:r>
      <w:r>
        <w:rPr>
          <w:rFonts w:hint="eastAsia"/>
          <w:b/>
          <w:bCs/>
          <w:lang w:eastAsia="zh-CN"/>
        </w:rPr>
        <w:t>、</w:t>
      </w:r>
      <w:r>
        <w:rPr>
          <w:rFonts w:hint="eastAsia"/>
          <w:b/>
          <w:bCs/>
          <w:lang w:val="en-US" w:eastAsia="zh-CN"/>
        </w:rPr>
        <w:t>烘干</w:t>
      </w:r>
      <w:r>
        <w:rPr>
          <w:b/>
          <w:bCs/>
        </w:rPr>
        <w:t>：</w:t>
      </w:r>
      <w:r>
        <w:t>本项目塑料膜</w:t>
      </w:r>
      <w:r>
        <w:rPr>
          <w:rFonts w:hint="default"/>
        </w:rPr>
        <w:t>采用凹版印刷工艺</w:t>
      </w:r>
      <w:r>
        <w:t>，利用凹版印刷机进行印刷，</w:t>
      </w:r>
      <w:r>
        <w:rPr>
          <w:rFonts w:hint="eastAsia"/>
          <w:lang w:val="en-US" w:eastAsia="zh-CN"/>
        </w:rPr>
        <w:t>使用不锈钢</w:t>
      </w:r>
      <w:r>
        <w:t>网版。印刷机由放卷装置放卷牵引机组、传动系统、印刷机组、供墨机构、干燥装置、收卷装置、整机张力控制构成。承印物经放卷牵引机组带入印刷机组。由变频调速电机、传动轴及连接齿轮组成的主传动将其动力传送至印刷机组。</w:t>
      </w:r>
      <w:r>
        <w:rPr>
          <w:rFonts w:hint="eastAsia"/>
          <w:lang w:val="en-US" w:eastAsia="zh-CN"/>
        </w:rPr>
        <w:t>溶剂</w:t>
      </w:r>
      <w:r>
        <w:t>油墨</w:t>
      </w:r>
      <w:r>
        <w:rPr>
          <w:rFonts w:hint="eastAsia"/>
          <w:lang w:val="en-US" w:eastAsia="zh-CN"/>
        </w:rPr>
        <w:t>通过电脑控制泵至油墨槽</w:t>
      </w:r>
      <w:r>
        <w:rPr>
          <w:rFonts w:hint="eastAsia"/>
          <w:lang w:eastAsia="zh-CN"/>
        </w:rPr>
        <w:t>，</w:t>
      </w:r>
      <w:r>
        <w:rPr>
          <w:rFonts w:hint="eastAsia"/>
          <w:lang w:val="en-US" w:eastAsia="zh-CN"/>
        </w:rPr>
        <w:t>稀释剂由中央供稀释剂系统根据粘度自动添加。印刷时，通过</w:t>
      </w:r>
      <w:r>
        <w:t>刮墨装置将油墨复制到承印物的表面。主传动通过各齿轮带动机组版辑作同步运转，完成印刷动作。</w:t>
      </w:r>
      <w:r>
        <w:rPr>
          <w:rFonts w:hint="default"/>
        </w:rPr>
        <w:t>项目根据客户对产品的设计要求，确定印刷次数和厚度，每套版辊对应一套色系，先印刷一种色系，</w:t>
      </w:r>
      <w:r>
        <w:rPr>
          <w:rFonts w:hint="eastAsia"/>
          <w:lang w:val="en-US" w:eastAsia="zh-CN"/>
        </w:rPr>
        <w:t>然后进入烘干箱，</w:t>
      </w:r>
      <w:r>
        <w:rPr>
          <w:rFonts w:hint="default"/>
        </w:rPr>
        <w:t>再进入下一版辊印刷另一种色系</w:t>
      </w:r>
      <w:r>
        <w:rPr>
          <w:rFonts w:hint="eastAsia"/>
          <w:lang w:eastAsia="zh-CN"/>
        </w:rPr>
        <w:t>。</w:t>
      </w:r>
      <w:r>
        <w:rPr>
          <w:rFonts w:hint="eastAsia"/>
          <w:lang w:val="en-US" w:eastAsia="zh-CN"/>
        </w:rPr>
        <w:t>烘干</w:t>
      </w:r>
      <w:r>
        <w:t>过程中保持60℃的温度（用 RTO 回收余热供热），印刷完成后油墨可达到充分干燥的效果。</w:t>
      </w:r>
      <w:r>
        <w:rPr>
          <w:rFonts w:hint="eastAsia"/>
          <w:lang w:val="en-US" w:eastAsia="zh-CN"/>
        </w:rPr>
        <w:t>下班后墨槽的油墨泵回油墨桶，并加盖储存，下次再重复利用。</w:t>
      </w:r>
      <w:r>
        <w:rPr>
          <w:rFonts w:hint="default"/>
        </w:rPr>
        <w:t>版辊</w:t>
      </w:r>
      <w:r>
        <w:rPr>
          <w:rFonts w:hint="eastAsia"/>
          <w:lang w:eastAsia="zh-CN"/>
        </w:rPr>
        <w:t>、</w:t>
      </w:r>
      <w:r>
        <w:rPr>
          <w:rFonts w:hint="eastAsia"/>
          <w:lang w:val="en-US" w:eastAsia="zh-CN"/>
        </w:rPr>
        <w:t>墨槽</w:t>
      </w:r>
      <w:r>
        <w:rPr>
          <w:rFonts w:hint="default"/>
        </w:rPr>
        <w:t>使用</w:t>
      </w:r>
      <w:r>
        <w:rPr>
          <w:rFonts w:hint="eastAsia"/>
          <w:lang w:val="en-US" w:eastAsia="zh-CN"/>
        </w:rPr>
        <w:t>抹布蘸取乙酸乙酯</w:t>
      </w:r>
      <w:r>
        <w:rPr>
          <w:rFonts w:hint="default"/>
        </w:rPr>
        <w:t>进行擦洗。</w:t>
      </w:r>
      <w:r>
        <w:rPr>
          <w:rFonts w:hint="eastAsia"/>
          <w:lang w:val="en-US" w:eastAsia="zh-CN"/>
        </w:rPr>
        <w:t>印刷机</w:t>
      </w:r>
      <w:r>
        <w:rPr>
          <w:rFonts w:hint="default"/>
        </w:rPr>
        <w:t>冷却采用冷却水进行</w:t>
      </w:r>
      <w:r>
        <w:rPr>
          <w:rFonts w:hint="eastAsia"/>
          <w:lang w:val="en-US" w:eastAsia="zh-CN"/>
        </w:rPr>
        <w:t>间接</w:t>
      </w:r>
      <w:r>
        <w:rPr>
          <w:rFonts w:hint="default"/>
        </w:rPr>
        <w:t>冷却的方式，冷却水循环使用，</w:t>
      </w:r>
      <w:r>
        <w:rPr>
          <w:rFonts w:hint="eastAsia"/>
          <w:lang w:val="en-US" w:eastAsia="zh-CN"/>
        </w:rPr>
        <w:t>补给损耗</w:t>
      </w:r>
      <w:r>
        <w:rPr>
          <w:rFonts w:hint="default"/>
        </w:rPr>
        <w:t>。</w:t>
      </w:r>
      <w:r>
        <w:rPr>
          <w:rFonts w:hint="eastAsia"/>
          <w:lang w:val="en-US" w:eastAsia="zh-CN"/>
        </w:rPr>
        <w:t>印刷机需定期维护，产生废擦机布和废矿物油。</w:t>
      </w:r>
    </w:p>
    <w:p w14:paraId="3933EABA">
      <w:pPr>
        <w:bidi w:val="0"/>
      </w:pPr>
      <w:r>
        <w:rPr>
          <w:b/>
          <w:bCs/>
        </w:rPr>
        <w:t>品质检验：</w:t>
      </w:r>
      <w:r>
        <w:t>印刷好的薄膜通过品检机进行品检，检查薄膜是否有漏印、重印等问题。品检工序产生的主要污染为次品。</w:t>
      </w:r>
    </w:p>
    <w:p w14:paraId="2B1CF6B8">
      <w:pPr>
        <w:bidi w:val="0"/>
      </w:pPr>
      <w:r>
        <w:rPr>
          <w:b/>
          <w:bCs/>
        </w:rPr>
        <w:t>分切：</w:t>
      </w:r>
      <w:r>
        <w:t>使用分切机将半成品分切成产品所需要的尺寸。</w:t>
      </w:r>
    </w:p>
    <w:p w14:paraId="3B240114">
      <w:pPr>
        <w:bidi w:val="0"/>
      </w:pPr>
      <w:r>
        <w:rPr>
          <w:rFonts w:hint="eastAsia"/>
          <w:b/>
          <w:bCs/>
          <w:lang w:val="en-US" w:eastAsia="zh-CN"/>
        </w:rPr>
        <w:t>合掌：</w:t>
      </w:r>
      <w:r>
        <w:t>根据客户需求，部分产品（PVC 膜）需要进行合掌，项目合掌机主要是用于将薄膜标签两端(合掌面)对接粘合在一起的设备，合掌工艺主要是通过合掌机将</w:t>
      </w:r>
      <w:r>
        <w:rPr>
          <w:rFonts w:hint="eastAsia"/>
        </w:rPr>
        <w:t>四氢呋喃</w:t>
      </w:r>
      <w:r>
        <w:rPr>
          <w:rFonts w:hint="eastAsia"/>
          <w:lang w:val="en-US" w:eastAsia="zh-CN"/>
        </w:rPr>
        <w:t>像打吊针一样滴到需要合掌面</w:t>
      </w:r>
      <w:r>
        <w:t>，通过溶解薄膜表面，然后通过压辊压力使溶解的高分子体相互结合依靠相互间的拉力，将合掌处的大小边紧紧地结合在一起，该过程不需要加热烘干，为常温状态。</w:t>
      </w:r>
    </w:p>
    <w:p w14:paraId="0A3A51C0">
      <w:pPr>
        <w:bidi w:val="0"/>
        <w:rPr>
          <w:rFonts w:hint="eastAsia"/>
        </w:rPr>
      </w:pPr>
      <w:r>
        <w:t>本项目合掌工序使用的合掌胶水为有机溶剂，不属于胶粘剂，</w:t>
      </w:r>
      <w:r>
        <w:rPr>
          <w:rFonts w:hint="eastAsia"/>
        </w:rPr>
        <w:t>四氢呋喃</w:t>
      </w:r>
      <w:r>
        <w:rPr>
          <w:rFonts w:hint="eastAsia"/>
          <w:lang w:eastAsia="zh-CN"/>
        </w:rPr>
        <w:t>（</w:t>
      </w:r>
      <w:r>
        <w:rPr>
          <w:rFonts w:hint="eastAsia"/>
        </w:rPr>
        <w:t>THF</w:t>
      </w:r>
      <w:r>
        <w:rPr>
          <w:rFonts w:hint="eastAsia"/>
          <w:lang w:eastAsia="zh-CN"/>
        </w:rPr>
        <w:t>）</w:t>
      </w:r>
      <w:r>
        <w:rPr>
          <w:rFonts w:hint="eastAsia"/>
        </w:rPr>
        <w:t>能溶PVC</w:t>
      </w:r>
      <w:r>
        <w:rPr>
          <w:rFonts w:hint="eastAsia"/>
          <w:lang w:val="en-US" w:eastAsia="zh-CN"/>
        </w:rPr>
        <w:t>的原理：</w:t>
      </w:r>
    </w:p>
    <w:p w14:paraId="58C603B6">
      <w:pPr>
        <w:bidi w:val="0"/>
        <w:rPr>
          <w:rFonts w:hint="eastAsia"/>
        </w:rPr>
      </w:pPr>
      <w:r>
        <w:rPr>
          <w:rFonts w:hint="eastAsia"/>
          <w:lang w:val="en-US" w:eastAsia="zh-CN"/>
        </w:rPr>
        <w:t>①</w:t>
      </w:r>
      <w:r>
        <w:rPr>
          <w:rFonts w:hint="eastAsia"/>
        </w:rPr>
        <w:t>溶度参数匹配：PVC（δ≈19–21）与THF（δ≈19.5）非常接近，相似相溶。</w:t>
      </w:r>
    </w:p>
    <w:p w14:paraId="01CA9859">
      <w:pPr>
        <w:bidi w:val="0"/>
        <w:rPr>
          <w:rFonts w:hint="eastAsia"/>
        </w:rPr>
      </w:pPr>
      <w:r>
        <w:rPr>
          <w:rFonts w:hint="eastAsia"/>
          <w:lang w:val="en-US" w:eastAsia="zh-CN"/>
        </w:rPr>
        <w:t>②</w:t>
      </w:r>
      <w:r>
        <w:rPr>
          <w:rFonts w:hint="eastAsia"/>
        </w:rPr>
        <w:t>极性与结构适配：THF是极性环状醚，氧原子电子云密度高，可与PVC的C-Cl键形成偶极-偶极作用/弱氢键，拆散PVC分子链间的范德华力，让链段溶胀、舒展、松动。</w:t>
      </w:r>
    </w:p>
    <w:p w14:paraId="43C2912E">
      <w:pPr>
        <w:bidi w:val="0"/>
        <w:rPr>
          <w:rFonts w:hint="eastAsia"/>
        </w:rPr>
      </w:pPr>
      <w:r>
        <w:rPr>
          <w:rFonts w:hint="eastAsia"/>
          <w:lang w:val="en-US" w:eastAsia="zh-CN"/>
        </w:rPr>
        <w:t>③</w:t>
      </w:r>
      <w:r>
        <w:rPr>
          <w:rFonts w:hint="eastAsia"/>
        </w:rPr>
        <w:t>快速渗透：THF低粘度、易挥发、沸点低（66℃），能快速渗入PVC表层，不深层破坏膜本体。</w:t>
      </w:r>
    </w:p>
    <w:p w14:paraId="6F3E5CF8">
      <w:pPr>
        <w:bidi w:val="0"/>
        <w:rPr>
          <w:rFonts w:hint="eastAsia" w:eastAsia="宋体"/>
          <w:lang w:eastAsia="zh-CN"/>
        </w:rPr>
      </w:pPr>
      <w:r>
        <w:rPr>
          <w:rFonts w:hint="eastAsia"/>
        </w:rPr>
        <w:t>合掌粘接过程（三步）</w:t>
      </w:r>
      <w:r>
        <w:rPr>
          <w:rFonts w:hint="eastAsia"/>
          <w:lang w:eastAsia="zh-CN"/>
        </w:rPr>
        <w:t>：</w:t>
      </w:r>
    </w:p>
    <w:p w14:paraId="05FD5591">
      <w:pPr>
        <w:bidi w:val="0"/>
        <w:rPr>
          <w:rFonts w:hint="eastAsia"/>
        </w:rPr>
      </w:pPr>
      <w:r>
        <w:rPr>
          <w:rFonts w:hint="eastAsia"/>
          <w:lang w:val="en-US" w:eastAsia="zh-CN"/>
        </w:rPr>
        <w:t>①</w:t>
      </w:r>
      <w:r>
        <w:rPr>
          <w:rFonts w:hint="eastAsia"/>
        </w:rPr>
        <w:t>表面溶胀/微溶解：THF接触PVC膜面，表层1–5μm快速溶胀、链段松动，形成半溶解凝胶层。</w:t>
      </w:r>
    </w:p>
    <w:p w14:paraId="0B371E4B">
      <w:pPr>
        <w:bidi w:val="0"/>
        <w:rPr>
          <w:rFonts w:hint="eastAsia"/>
        </w:rPr>
      </w:pPr>
      <w:r>
        <w:rPr>
          <w:rFonts w:hint="eastAsia"/>
          <w:lang w:val="en-US" w:eastAsia="zh-CN"/>
        </w:rPr>
        <w:t>②</w:t>
      </w:r>
      <w:r>
        <w:rPr>
          <w:rFonts w:hint="eastAsia"/>
        </w:rPr>
        <w:t>分子链互穿缠结：两层膜合掌加压，溶解层的PVC分子链互相穿插、缠结，界面消失。</w:t>
      </w:r>
    </w:p>
    <w:p w14:paraId="47C978E2">
      <w:pPr>
        <w:bidi w:val="0"/>
        <w:rPr>
          <w:rFonts w:hint="eastAsia"/>
        </w:rPr>
      </w:pPr>
      <w:r>
        <w:rPr>
          <w:rFonts w:hint="eastAsia"/>
          <w:lang w:val="en-US" w:eastAsia="zh-CN"/>
        </w:rPr>
        <w:t>③</w:t>
      </w:r>
      <w:r>
        <w:rPr>
          <w:rFonts w:hint="eastAsia"/>
        </w:rPr>
        <w:t>溶剂挥发固化：THF快速挥发，PVC链段重新紧密堆砌，两层膜熔合成一个整体，强度接近母材。</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1EC4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vAlign w:val="bottom"/>
          </w:tcPr>
          <w:p w14:paraId="4EAFA265">
            <w:pPr>
              <w:pStyle w:val="62"/>
              <w:bidi w:val="0"/>
              <w:jc w:val="center"/>
              <w:rPr>
                <w:rFonts w:hint="default"/>
                <w:lang w:val="en-US" w:eastAsia="zh-CN"/>
              </w:rPr>
            </w:pPr>
            <w:r>
              <w:rPr>
                <w:sz w:val="24"/>
              </w:rPr>
              <mc:AlternateContent>
                <mc:Choice Requires="wps">
                  <w:drawing>
                    <wp:anchor distT="0" distB="0" distL="114300" distR="114300" simplePos="0" relativeHeight="251711488" behindDoc="0" locked="0" layoutInCell="1" allowOverlap="1">
                      <wp:simplePos x="0" y="0"/>
                      <wp:positionH relativeFrom="column">
                        <wp:posOffset>1217930</wp:posOffset>
                      </wp:positionH>
                      <wp:positionV relativeFrom="paragraph">
                        <wp:posOffset>447040</wp:posOffset>
                      </wp:positionV>
                      <wp:extent cx="294640" cy="2985770"/>
                      <wp:effectExtent l="113030" t="15875" r="116205" b="17780"/>
                      <wp:wrapNone/>
                      <wp:docPr id="289" name="矩形 289"/>
                      <wp:cNvGraphicFramePr/>
                      <a:graphic xmlns:a="http://schemas.openxmlformats.org/drawingml/2006/main">
                        <a:graphicData uri="http://schemas.microsoft.com/office/word/2010/wordprocessingShape">
                          <wps:wsp>
                            <wps:cNvSpPr/>
                            <wps:spPr>
                              <a:xfrm rot="21360000">
                                <a:off x="3525520" y="1323975"/>
                                <a:ext cx="294640" cy="2985770"/>
                              </a:xfrm>
                              <a:prstGeom prst="rect">
                                <a:avLst/>
                              </a:pr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5.9pt;margin-top:35.2pt;height:235.1pt;width:23.2pt;rotation:-262144f;z-index:251711488;v-text-anchor:middle;mso-width-relative:page;mso-height-relative:page;" filled="f" stroked="t" coordsize="21600,21600" o:gfxdata="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&#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wmLIz2QAAAAoBAAAPAAAAAAAAAAEAIAAAACIAAABk&#10;cnMvZG93bnJldi54bWxQSwECFAAUAAAACACHTuJAtHBB3ncCAADSBAAADgAAAAAAAAABACAAAAAo&#10;AQAAZHJzL2Uyb0RvYy54bWxQSwUGAAAAAAYABgBZAQAAEQYAAAAA&#10;">
                      <v:fill on="f" focussize="0,0"/>
                      <v:stroke weight="1.5pt" color="#FF0000 [3204]" joinstyle="round" dashstyle="dash"/>
                      <v:imagedata o:title=""/>
                      <o:lock v:ext="edit" aspectratio="f"/>
                    </v:rect>
                  </w:pict>
                </mc:Fallback>
              </mc:AlternateContent>
            </w:r>
            <w:r>
              <w:drawing>
                <wp:inline distT="0" distB="0" distL="114300" distR="114300">
                  <wp:extent cx="2252345" cy="3453130"/>
                  <wp:effectExtent l="0" t="0" r="5080" b="4445"/>
                  <wp:docPr id="28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59"/>
                          <pic:cNvPicPr>
                            <a:picLocks noChangeAspect="1"/>
                          </pic:cNvPicPr>
                        </pic:nvPicPr>
                        <pic:blipFill>
                          <a:blip r:embed="rId61"/>
                          <a:stretch>
                            <a:fillRect/>
                          </a:stretch>
                        </pic:blipFill>
                        <pic:spPr>
                          <a:xfrm>
                            <a:off x="0" y="0"/>
                            <a:ext cx="2252345" cy="3453130"/>
                          </a:xfrm>
                          <a:prstGeom prst="rect">
                            <a:avLst/>
                          </a:prstGeom>
                          <a:noFill/>
                          <a:ln>
                            <a:noFill/>
                          </a:ln>
                        </pic:spPr>
                      </pic:pic>
                    </a:graphicData>
                  </a:graphic>
                </wp:inline>
              </w:drawing>
            </w:r>
          </w:p>
        </w:tc>
        <w:tc>
          <w:tcPr>
            <w:tcW w:w="4644" w:type="dxa"/>
            <w:vAlign w:val="bottom"/>
          </w:tcPr>
          <w:p w14:paraId="4A4621A0">
            <w:pPr>
              <w:pStyle w:val="62"/>
              <w:bidi w:val="0"/>
              <w:jc w:val="center"/>
              <w:rPr>
                <w:rFonts w:hint="default"/>
                <w:lang w:val="en-US" w:eastAsia="zh-CN"/>
              </w:rPr>
            </w:pPr>
            <w:r>
              <w:rPr>
                <w:position w:val="-53"/>
              </w:rPr>
              <w:drawing>
                <wp:inline distT="0" distB="0" distL="0" distR="0">
                  <wp:extent cx="2703195" cy="1692910"/>
                  <wp:effectExtent l="0" t="0" r="1905" b="254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62"/>
                          <a:stretch>
                            <a:fillRect/>
                          </a:stretch>
                        </pic:blipFill>
                        <pic:spPr>
                          <a:xfrm>
                            <a:off x="0" y="0"/>
                            <a:ext cx="2703195" cy="1693544"/>
                          </a:xfrm>
                          <a:prstGeom prst="rect">
                            <a:avLst/>
                          </a:prstGeom>
                        </pic:spPr>
                      </pic:pic>
                    </a:graphicData>
                  </a:graphic>
                </wp:inline>
              </w:drawing>
            </w:r>
          </w:p>
        </w:tc>
      </w:tr>
      <w:tr w14:paraId="6C8A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vAlign w:val="bottom"/>
          </w:tcPr>
          <w:p w14:paraId="08B26E6B">
            <w:pPr>
              <w:pStyle w:val="62"/>
              <w:bidi w:val="0"/>
              <w:jc w:val="center"/>
              <w:rPr>
                <w:rFonts w:hint="default"/>
                <w:lang w:val="en-US" w:eastAsia="zh-CN"/>
              </w:rPr>
            </w:pPr>
            <w:r>
              <w:rPr>
                <w:rFonts w:hint="eastAsia"/>
                <w:lang w:val="en-US" w:eastAsia="zh-CN"/>
              </w:rPr>
              <w:t>合掌区域实物图</w:t>
            </w:r>
          </w:p>
        </w:tc>
        <w:tc>
          <w:tcPr>
            <w:tcW w:w="4644" w:type="dxa"/>
            <w:vAlign w:val="bottom"/>
          </w:tcPr>
          <w:p w14:paraId="0247C203">
            <w:pPr>
              <w:pStyle w:val="62"/>
              <w:bidi w:val="0"/>
              <w:jc w:val="center"/>
              <w:rPr>
                <w:rFonts w:hint="default"/>
                <w:lang w:val="en-US" w:eastAsia="zh-CN"/>
              </w:rPr>
            </w:pPr>
            <w:r>
              <w:rPr>
                <w:spacing w:val="-3"/>
                <w:sz w:val="24"/>
                <w:szCs w:val="24"/>
              </w:rPr>
              <w:t>数字</w:t>
            </w:r>
            <w:r>
              <w:rPr>
                <w:spacing w:val="-47"/>
                <w:sz w:val="24"/>
                <w:szCs w:val="24"/>
              </w:rPr>
              <w:t xml:space="preserve"> </w:t>
            </w:r>
            <w:r>
              <w:rPr>
                <w:rFonts w:ascii="Times New Roman" w:hAnsi="Times New Roman" w:eastAsia="Times New Roman" w:cs="Times New Roman"/>
                <w:spacing w:val="-3"/>
                <w:sz w:val="24"/>
                <w:szCs w:val="24"/>
              </w:rPr>
              <w:t xml:space="preserve">2 </w:t>
            </w:r>
            <w:r>
              <w:rPr>
                <w:spacing w:val="-3"/>
                <w:sz w:val="24"/>
                <w:szCs w:val="24"/>
              </w:rPr>
              <w:t>指向部分为合掌面</w:t>
            </w:r>
          </w:p>
        </w:tc>
      </w:tr>
    </w:tbl>
    <w:p w14:paraId="74611BE7">
      <w:pPr>
        <w:bidi w:val="0"/>
        <w:rPr>
          <w:rFonts w:hint="eastAsia"/>
          <w:lang w:val="en-US" w:eastAsia="zh-CN"/>
        </w:rPr>
      </w:pPr>
      <w:r>
        <w:rPr>
          <w:rFonts w:hint="eastAsia"/>
          <w:b/>
          <w:bCs/>
          <w:lang w:val="en-US" w:eastAsia="zh-CN"/>
        </w:rPr>
        <w:t>定型：</w:t>
      </w:r>
      <w:r>
        <w:rPr>
          <w:rFonts w:hint="eastAsia"/>
          <w:lang w:val="en-US" w:eastAsia="zh-CN"/>
        </w:rPr>
        <w:t>合掌后的物料仍为扁平物料，通过定型机把物料切开并套到模具上加热</w:t>
      </w:r>
      <w:r>
        <w:rPr>
          <w:rFonts w:hint="eastAsia" w:ascii="Times New Roman" w:hAnsi="Times New Roman" w:cs="Times New Roman"/>
          <w:lang w:val="en-US" w:eastAsia="zh-CN"/>
        </w:rPr>
        <w:t>190</w:t>
      </w:r>
      <w:r>
        <w:rPr>
          <w:rFonts w:hint="eastAsia"/>
          <w:lang w:val="en-US" w:eastAsia="zh-CN"/>
        </w:rPr>
        <w:t>摄氏度定型</w:t>
      </w:r>
      <w:r>
        <w:t>成圆柱状筒料</w:t>
      </w:r>
      <w:r>
        <w:rPr>
          <w:rFonts w:hint="eastAsia"/>
          <w:lang w:eastAsia="zh-CN"/>
        </w:rPr>
        <w:t>。</w:t>
      </w:r>
      <w:r>
        <w:rPr>
          <w:rFonts w:hint="eastAsia"/>
          <w:lang w:val="en-US" w:eastAsia="zh-CN"/>
        </w:rPr>
        <w:t>如下图所示：</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7004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vAlign w:val="bottom"/>
          </w:tcPr>
          <w:p w14:paraId="54A4ADB9">
            <w:pPr>
              <w:pStyle w:val="62"/>
              <w:bidi w:val="0"/>
              <w:jc w:val="center"/>
              <w:rPr>
                <w:rFonts w:hint="default"/>
                <w:lang w:val="en-US" w:eastAsia="zh-CN"/>
              </w:rPr>
            </w:pPr>
            <w:r>
              <w:rPr>
                <w:rFonts w:hint="default"/>
                <w:lang w:val="en-US" w:eastAsia="zh-CN"/>
              </w:rPr>
              <w:drawing>
                <wp:inline distT="0" distB="0" distL="114300" distR="114300">
                  <wp:extent cx="2809240" cy="3117215"/>
                  <wp:effectExtent l="0" t="0" r="0" b="0"/>
                  <wp:docPr id="293" name="图片 293" descr="IMG_20260320_17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descr="IMG_20260320_170519"/>
                          <pic:cNvPicPr>
                            <a:picLocks noChangeAspect="1"/>
                          </pic:cNvPicPr>
                        </pic:nvPicPr>
                        <pic:blipFill>
                          <a:blip r:embed="rId63"/>
                          <a:srcRect t="16768"/>
                          <a:stretch>
                            <a:fillRect/>
                          </a:stretch>
                        </pic:blipFill>
                        <pic:spPr>
                          <a:xfrm>
                            <a:off x="0" y="0"/>
                            <a:ext cx="2809240" cy="3117215"/>
                          </a:xfrm>
                          <a:prstGeom prst="rect">
                            <a:avLst/>
                          </a:prstGeom>
                        </pic:spPr>
                      </pic:pic>
                    </a:graphicData>
                  </a:graphic>
                </wp:inline>
              </w:drawing>
            </w:r>
          </w:p>
        </w:tc>
        <w:tc>
          <w:tcPr>
            <w:tcW w:w="4644" w:type="dxa"/>
            <w:vAlign w:val="bottom"/>
          </w:tcPr>
          <w:p w14:paraId="583756DF">
            <w:pPr>
              <w:pStyle w:val="62"/>
              <w:bidi w:val="0"/>
              <w:jc w:val="center"/>
              <w:rPr>
                <w:rFonts w:hint="default"/>
                <w:lang w:val="en-US" w:eastAsia="zh-CN"/>
              </w:rPr>
            </w:pPr>
            <w:r>
              <w:rPr>
                <w:rFonts w:hint="default"/>
                <w:lang w:val="en-US" w:eastAsia="zh-CN"/>
              </w:rPr>
              <w:drawing>
                <wp:inline distT="0" distB="0" distL="114300" distR="114300">
                  <wp:extent cx="2809240" cy="3131185"/>
                  <wp:effectExtent l="0" t="0" r="0" b="0"/>
                  <wp:docPr id="294" name="图片 294" descr="IMG_20260320_17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descr="IMG_20260320_170516"/>
                          <pic:cNvPicPr>
                            <a:picLocks noChangeAspect="1"/>
                          </pic:cNvPicPr>
                        </pic:nvPicPr>
                        <pic:blipFill>
                          <a:blip r:embed="rId64"/>
                          <a:srcRect t="16395"/>
                          <a:stretch>
                            <a:fillRect/>
                          </a:stretch>
                        </pic:blipFill>
                        <pic:spPr>
                          <a:xfrm>
                            <a:off x="0" y="0"/>
                            <a:ext cx="2809240" cy="3131185"/>
                          </a:xfrm>
                          <a:prstGeom prst="rect">
                            <a:avLst/>
                          </a:prstGeom>
                        </pic:spPr>
                      </pic:pic>
                    </a:graphicData>
                  </a:graphic>
                </wp:inline>
              </w:drawing>
            </w:r>
          </w:p>
        </w:tc>
      </w:tr>
      <w:tr w14:paraId="21E2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8" w:type="dxa"/>
            <w:gridSpan w:val="2"/>
            <w:vAlign w:val="bottom"/>
          </w:tcPr>
          <w:p w14:paraId="3C7FDBEE">
            <w:pPr>
              <w:pStyle w:val="62"/>
              <w:bidi w:val="0"/>
              <w:jc w:val="center"/>
              <w:rPr>
                <w:rFonts w:hint="default"/>
                <w:lang w:val="en-US" w:eastAsia="zh-CN"/>
              </w:rPr>
            </w:pPr>
            <w:r>
              <w:rPr>
                <w:rFonts w:hint="eastAsia"/>
                <w:b/>
                <w:bCs/>
                <w:lang w:val="en-US" w:eastAsia="zh-CN"/>
              </w:rPr>
              <w:t>定型后的成品</w:t>
            </w:r>
          </w:p>
        </w:tc>
      </w:tr>
    </w:tbl>
    <w:p w14:paraId="62F42AF6">
      <w:pPr>
        <w:bidi w:val="0"/>
        <w:rPr>
          <w:rFonts w:hint="eastAsia" w:ascii="Times New Roman" w:hAnsi="Times New Roman" w:cs="Times New Roman"/>
          <w:lang w:val="en-US" w:eastAsia="zh-CN"/>
        </w:rPr>
      </w:pPr>
      <w:r>
        <w:rPr>
          <w:rFonts w:hint="eastAsia" w:ascii="Times New Roman" w:hAnsi="Times New Roman" w:cs="Times New Roman"/>
        </w:rPr>
        <w:t>参考文献《气相色谱</w:t>
      </w:r>
      <w:r>
        <w:rPr>
          <w:rFonts w:hint="eastAsia" w:ascii="Times New Roman" w:hAnsi="Times New Roman" w:cs="Times New Roman"/>
          <w:lang w:val="en-US" w:eastAsia="zh-CN"/>
        </w:rPr>
        <w:t>-</w:t>
      </w:r>
      <w:r>
        <w:rPr>
          <w:rFonts w:hint="eastAsia" w:ascii="Times New Roman" w:hAnsi="Times New Roman" w:cs="Times New Roman"/>
        </w:rPr>
        <w:t>质谱法分析聚氯乙烯加热分解产物》（中国卫生检验杂志，2008年4月）表2，</w:t>
      </w:r>
      <w:r>
        <w:rPr>
          <w:rFonts w:hint="eastAsia" w:ascii="Times New Roman" w:hAnsi="Times New Roman" w:cs="Times New Roman"/>
          <w:lang w:val="en-US" w:eastAsia="zh-CN"/>
        </w:rPr>
        <w:t>190℃</w:t>
      </w:r>
      <w:r>
        <w:rPr>
          <w:rFonts w:hint="eastAsia" w:ascii="Times New Roman" w:hAnsi="Times New Roman" w:cs="Times New Roman"/>
        </w:rPr>
        <w:t>下聚氯乙烯热解产物有HCl、氯乙烯、乙烯、</w:t>
      </w:r>
      <w:r>
        <w:rPr>
          <w:rFonts w:hint="eastAsia" w:ascii="Times New Roman" w:hAnsi="Times New Roman" w:cs="Times New Roman"/>
          <w:lang w:val="en-US" w:eastAsia="zh-CN"/>
        </w:rPr>
        <w:t>一氯己烷、二氯甲烷、三氯甲烷、</w:t>
      </w:r>
      <w:r>
        <w:rPr>
          <w:rFonts w:hint="eastAsia" w:ascii="Times New Roman" w:hAnsi="Times New Roman" w:cs="Times New Roman"/>
        </w:rPr>
        <w:t>二氯乙烯、四氯化碳、三氯乙烯</w:t>
      </w:r>
      <w:r>
        <w:rPr>
          <w:rFonts w:hint="eastAsia" w:ascii="Times New Roman" w:hAnsi="Times New Roman" w:cs="Times New Roman"/>
          <w:lang w:eastAsia="zh-CN"/>
        </w:rPr>
        <w:t>、</w:t>
      </w:r>
      <w:r>
        <w:rPr>
          <w:rFonts w:hint="eastAsia" w:ascii="Times New Roman" w:hAnsi="Times New Roman" w:cs="Times New Roman"/>
          <w:lang w:val="en-US" w:eastAsia="zh-CN"/>
        </w:rPr>
        <w:t>二氯乙烷、苯、甲苯、四氯乙烯</w:t>
      </w:r>
      <w:r>
        <w:rPr>
          <w:rFonts w:ascii="Times New Roman" w:hAnsi="Times New Roman" w:cs="Times New Roman"/>
        </w:rPr>
        <w:t>。</w:t>
      </w:r>
    </w:p>
    <w:p w14:paraId="04A2D6FB">
      <w:pPr>
        <w:pStyle w:val="62"/>
        <w:numPr>
          <w:ilvl w:val="0"/>
          <w:numId w:val="0"/>
        </w:numPr>
        <w:tabs>
          <w:tab w:val="left" w:pos="0"/>
        </w:tabs>
        <w:bidi w:val="0"/>
        <w:rPr>
          <w:rFonts w:hint="eastAsia" w:ascii="Times New Roman" w:hAnsi="Times New Roman" w:eastAsia="宋体" w:cs="Times New Roman"/>
          <w:lang w:val="en-US" w:eastAsia="zh-CN"/>
        </w:rPr>
      </w:pPr>
      <w:r>
        <w:rPr>
          <w:rFonts w:hint="eastAsia" w:ascii="Times New Roman" w:hAnsi="Times New Roman" w:cs="Times New Roman"/>
          <w:lang w:val="en-US" w:eastAsia="zh-CN"/>
        </w:rPr>
        <w:t>表2.7-1  PVC</w:t>
      </w:r>
      <w:r>
        <w:rPr>
          <w:rFonts w:hint="eastAsia" w:ascii="Times New Roman" w:hAnsi="Times New Roman" w:eastAsia="宋体" w:cs="Times New Roman"/>
          <w:lang w:val="en-US" w:eastAsia="zh-CN"/>
        </w:rPr>
        <w:t>成型大气污染物识别一览表</w:t>
      </w:r>
    </w:p>
    <w:tbl>
      <w:tblPr>
        <w:tblStyle w:val="38"/>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083"/>
        <w:gridCol w:w="1647"/>
        <w:gridCol w:w="1647"/>
        <w:gridCol w:w="1649"/>
        <w:gridCol w:w="3255"/>
      </w:tblGrid>
      <w:tr w14:paraId="34FE96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83" w:type="pct"/>
            <w:vMerge w:val="restart"/>
            <w:noWrap w:val="0"/>
            <w:vAlign w:val="center"/>
          </w:tcPr>
          <w:p w14:paraId="3C305778">
            <w:pPr>
              <w:pStyle w:val="69"/>
              <w:bidi w:val="0"/>
              <w:rPr>
                <w:rFonts w:hint="eastAsia" w:ascii="Times New Roman" w:hAnsi="Times New Roman" w:cs="Times New Roman"/>
              </w:rPr>
            </w:pPr>
            <w:r>
              <w:rPr>
                <w:rFonts w:hint="eastAsia" w:ascii="Times New Roman" w:hAnsi="Times New Roman" w:cs="Times New Roman"/>
              </w:rPr>
              <w:t>序号</w:t>
            </w:r>
          </w:p>
        </w:tc>
        <w:tc>
          <w:tcPr>
            <w:tcW w:w="887" w:type="pct"/>
            <w:vMerge w:val="restart"/>
            <w:noWrap w:val="0"/>
            <w:vAlign w:val="center"/>
          </w:tcPr>
          <w:p w14:paraId="3828889F">
            <w:pPr>
              <w:pStyle w:val="69"/>
              <w:bidi w:val="0"/>
              <w:rPr>
                <w:rFonts w:hint="eastAsia" w:ascii="Times New Roman" w:hAnsi="Times New Roman" w:cs="Times New Roman"/>
              </w:rPr>
            </w:pPr>
            <w:r>
              <w:rPr>
                <w:rFonts w:hint="eastAsia" w:ascii="Times New Roman" w:hAnsi="Times New Roman" w:cs="Times New Roman"/>
              </w:rPr>
              <w:t>原材料</w:t>
            </w:r>
          </w:p>
        </w:tc>
        <w:tc>
          <w:tcPr>
            <w:tcW w:w="887" w:type="pct"/>
            <w:vMerge w:val="restart"/>
            <w:noWrap w:val="0"/>
            <w:vAlign w:val="center"/>
          </w:tcPr>
          <w:p w14:paraId="15585189">
            <w:pPr>
              <w:pStyle w:val="69"/>
              <w:bidi w:val="0"/>
              <w:rPr>
                <w:rFonts w:hint="eastAsia" w:ascii="Times New Roman" w:hAnsi="Times New Roman" w:cs="Times New Roman"/>
              </w:rPr>
            </w:pPr>
            <w:r>
              <w:rPr>
                <w:rFonts w:hint="eastAsia" w:ascii="Times New Roman" w:hAnsi="Times New Roman" w:cs="Times New Roman"/>
                <w:lang w:val="en-US" w:eastAsia="zh-CN"/>
              </w:rPr>
              <w:t>塑料成型</w:t>
            </w:r>
            <w:r>
              <w:rPr>
                <w:rFonts w:hint="eastAsia" w:ascii="Times New Roman" w:hAnsi="Times New Roman" w:cs="Times New Roman"/>
              </w:rPr>
              <w:t>温度（</w:t>
            </w:r>
            <w:r>
              <w:rPr>
                <w:rFonts w:ascii="Times New Roman" w:hAnsi="Times New Roman" w:cs="Times New Roman"/>
              </w:rPr>
              <w:t>℃)</w:t>
            </w:r>
          </w:p>
        </w:tc>
        <w:tc>
          <w:tcPr>
            <w:tcW w:w="888" w:type="pct"/>
            <w:vMerge w:val="restart"/>
            <w:noWrap w:val="0"/>
            <w:vAlign w:val="center"/>
          </w:tcPr>
          <w:p w14:paraId="457C99F6">
            <w:pPr>
              <w:pStyle w:val="69"/>
              <w:bidi w:val="0"/>
              <w:rPr>
                <w:rFonts w:hint="eastAsia" w:ascii="Times New Roman" w:hAnsi="Times New Roman" w:cs="Times New Roman"/>
              </w:rPr>
            </w:pPr>
            <w:r>
              <w:rPr>
                <w:rFonts w:hint="eastAsia" w:ascii="Times New Roman" w:hAnsi="Times New Roman" w:cs="Times New Roman"/>
              </w:rPr>
              <w:t>热分解温度（</w:t>
            </w:r>
            <w:r>
              <w:rPr>
                <w:rFonts w:ascii="Times New Roman" w:hAnsi="Times New Roman" w:cs="Times New Roman"/>
              </w:rPr>
              <w:t>℃)</w:t>
            </w:r>
          </w:p>
        </w:tc>
        <w:tc>
          <w:tcPr>
            <w:tcW w:w="1753" w:type="pct"/>
            <w:vMerge w:val="restart"/>
            <w:noWrap w:val="0"/>
            <w:vAlign w:val="center"/>
          </w:tcPr>
          <w:p w14:paraId="26657DA5">
            <w:pPr>
              <w:pStyle w:val="69"/>
              <w:bidi w:val="0"/>
              <w:rPr>
                <w:rFonts w:hint="eastAsia" w:ascii="Times New Roman" w:hAnsi="Times New Roman" w:cs="Times New Roman"/>
              </w:rPr>
            </w:pPr>
            <w:r>
              <w:rPr>
                <w:rFonts w:hint="eastAsia" w:ascii="Times New Roman" w:hAnsi="Times New Roman" w:cs="Times New Roman"/>
              </w:rPr>
              <w:t>废气污染物</w:t>
            </w:r>
          </w:p>
        </w:tc>
      </w:tr>
      <w:tr w14:paraId="3F780E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83" w:type="pct"/>
            <w:vMerge w:val="continue"/>
            <w:noWrap w:val="0"/>
            <w:vAlign w:val="center"/>
          </w:tcPr>
          <w:p w14:paraId="5AE3FA8A">
            <w:pPr>
              <w:pStyle w:val="69"/>
              <w:bidi w:val="0"/>
              <w:rPr>
                <w:rFonts w:hint="eastAsia" w:ascii="Times New Roman" w:hAnsi="Times New Roman" w:cs="Times New Roman"/>
              </w:rPr>
            </w:pPr>
          </w:p>
        </w:tc>
        <w:tc>
          <w:tcPr>
            <w:tcW w:w="887" w:type="pct"/>
            <w:vMerge w:val="continue"/>
            <w:noWrap w:val="0"/>
            <w:vAlign w:val="center"/>
          </w:tcPr>
          <w:p w14:paraId="1C02C15E">
            <w:pPr>
              <w:pStyle w:val="69"/>
              <w:bidi w:val="0"/>
              <w:rPr>
                <w:rFonts w:hint="eastAsia" w:ascii="Times New Roman" w:hAnsi="Times New Roman" w:cs="Times New Roman"/>
              </w:rPr>
            </w:pPr>
          </w:p>
        </w:tc>
        <w:tc>
          <w:tcPr>
            <w:tcW w:w="887" w:type="pct"/>
            <w:vMerge w:val="continue"/>
            <w:noWrap w:val="0"/>
            <w:vAlign w:val="center"/>
          </w:tcPr>
          <w:p w14:paraId="6D40AFA4">
            <w:pPr>
              <w:pStyle w:val="69"/>
              <w:bidi w:val="0"/>
              <w:rPr>
                <w:rFonts w:hint="eastAsia" w:ascii="Times New Roman" w:hAnsi="Times New Roman" w:cs="Times New Roman"/>
              </w:rPr>
            </w:pPr>
          </w:p>
        </w:tc>
        <w:tc>
          <w:tcPr>
            <w:tcW w:w="888" w:type="pct"/>
            <w:vMerge w:val="continue"/>
            <w:noWrap w:val="0"/>
            <w:vAlign w:val="center"/>
          </w:tcPr>
          <w:p w14:paraId="1EDB6C49">
            <w:pPr>
              <w:pStyle w:val="69"/>
              <w:bidi w:val="0"/>
              <w:rPr>
                <w:rFonts w:hint="eastAsia" w:ascii="Times New Roman" w:hAnsi="Times New Roman" w:cs="Times New Roman"/>
              </w:rPr>
            </w:pPr>
          </w:p>
        </w:tc>
        <w:tc>
          <w:tcPr>
            <w:tcW w:w="1753" w:type="pct"/>
            <w:vMerge w:val="continue"/>
            <w:noWrap w:val="0"/>
            <w:vAlign w:val="center"/>
          </w:tcPr>
          <w:p w14:paraId="41CD95D2">
            <w:pPr>
              <w:pStyle w:val="69"/>
              <w:bidi w:val="0"/>
              <w:rPr>
                <w:rFonts w:hint="eastAsia" w:ascii="Times New Roman" w:hAnsi="Times New Roman" w:cs="Times New Roman"/>
              </w:rPr>
            </w:pPr>
          </w:p>
        </w:tc>
      </w:tr>
      <w:tr w14:paraId="2837A1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83" w:type="pct"/>
            <w:noWrap w:val="0"/>
            <w:vAlign w:val="center"/>
          </w:tcPr>
          <w:p w14:paraId="7B0B057D">
            <w:pPr>
              <w:pStyle w:val="69"/>
              <w:numPr>
                <w:ilvl w:val="0"/>
                <w:numId w:val="27"/>
              </w:numPr>
              <w:bidi w:val="0"/>
              <w:ind w:left="425" w:leftChars="0" w:hanging="425" w:firstLineChars="0"/>
              <w:rPr>
                <w:rFonts w:ascii="Times New Roman" w:hAnsi="Times New Roman" w:cs="Times New Roman"/>
              </w:rPr>
            </w:pPr>
          </w:p>
        </w:tc>
        <w:tc>
          <w:tcPr>
            <w:tcW w:w="887" w:type="pct"/>
            <w:noWrap w:val="0"/>
            <w:vAlign w:val="center"/>
          </w:tcPr>
          <w:p w14:paraId="104B6288">
            <w:pPr>
              <w:pStyle w:val="69"/>
              <w:bidi w:val="0"/>
              <w:rPr>
                <w:rFonts w:ascii="Times New Roman" w:hAnsi="Times New Roman" w:cs="Times New Roman"/>
              </w:rPr>
            </w:pPr>
            <w:r>
              <w:rPr>
                <w:rFonts w:hint="eastAsia" w:ascii="Times New Roman" w:hAnsi="Times New Roman" w:cs="Times New Roman"/>
              </w:rPr>
              <w:t>PVC</w:t>
            </w:r>
          </w:p>
        </w:tc>
        <w:tc>
          <w:tcPr>
            <w:tcW w:w="887" w:type="pct"/>
            <w:noWrap w:val="0"/>
            <w:vAlign w:val="center"/>
          </w:tcPr>
          <w:p w14:paraId="1FA09D3D">
            <w:pPr>
              <w:pStyle w:val="69"/>
              <w:bidi w:val="0"/>
              <w:rPr>
                <w:rFonts w:ascii="Times New Roman" w:hAnsi="Times New Roman" w:cs="Times New Roman"/>
              </w:rPr>
            </w:pPr>
            <w:r>
              <w:rPr>
                <w:rFonts w:hint="eastAsia" w:ascii="Times New Roman" w:hAnsi="Times New Roman" w:cs="Times New Roman"/>
                <w:lang w:val="en-US" w:eastAsia="zh-CN"/>
              </w:rPr>
              <w:t>190</w:t>
            </w:r>
          </w:p>
        </w:tc>
        <w:tc>
          <w:tcPr>
            <w:tcW w:w="888" w:type="pct"/>
            <w:noWrap w:val="0"/>
            <w:vAlign w:val="center"/>
          </w:tcPr>
          <w:p w14:paraId="71001C1D">
            <w:pPr>
              <w:pStyle w:val="69"/>
              <w:bidi w:val="0"/>
              <w:rPr>
                <w:rFonts w:ascii="Times New Roman" w:hAnsi="Times New Roman" w:cs="Times New Roman"/>
              </w:rPr>
            </w:pPr>
            <w:r>
              <w:rPr>
                <w:rFonts w:hint="eastAsia" w:ascii="Times New Roman" w:hAnsi="Times New Roman" w:cs="Times New Roman"/>
              </w:rPr>
              <w:t>210</w:t>
            </w:r>
          </w:p>
        </w:tc>
        <w:tc>
          <w:tcPr>
            <w:tcW w:w="1753" w:type="pct"/>
            <w:noWrap w:val="0"/>
            <w:vAlign w:val="center"/>
          </w:tcPr>
          <w:p w14:paraId="5E6C3CBB">
            <w:pPr>
              <w:pStyle w:val="69"/>
              <w:bidi w:val="0"/>
              <w:rPr>
                <w:rFonts w:ascii="Times New Roman" w:hAnsi="Times New Roman" w:cs="Times New Roman"/>
              </w:rPr>
            </w:pPr>
            <w:r>
              <w:rPr>
                <w:rFonts w:hint="eastAsia" w:ascii="Times New Roman" w:hAnsi="Times New Roman" w:cs="Times New Roman"/>
                <w:color w:val="auto"/>
                <w:lang w:val="en-US" w:eastAsia="zh-CN"/>
              </w:rPr>
              <w:t>NMHC、</w:t>
            </w:r>
            <w:r>
              <w:rPr>
                <w:rFonts w:hint="eastAsia" w:ascii="Times New Roman" w:hAnsi="Times New Roman" w:cs="Times New Roman"/>
                <w:color w:val="auto"/>
              </w:rPr>
              <w:t>HCl、氯乙烯、乙烯、</w:t>
            </w:r>
            <w:r>
              <w:rPr>
                <w:rFonts w:hint="eastAsia" w:ascii="Times New Roman" w:hAnsi="Times New Roman" w:cs="Times New Roman"/>
                <w:color w:val="auto"/>
                <w:lang w:val="en-US" w:eastAsia="zh-CN"/>
              </w:rPr>
              <w:t>一氯己烷、二氯甲烷、三氯甲烷、</w:t>
            </w:r>
            <w:r>
              <w:rPr>
                <w:rFonts w:hint="eastAsia" w:ascii="Times New Roman" w:hAnsi="Times New Roman" w:cs="Times New Roman"/>
                <w:color w:val="auto"/>
              </w:rPr>
              <w:t>二氯乙烯、四氯化碳、三氯乙烯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二氯乙烷、苯、甲苯、四氯乙烯</w:t>
            </w:r>
          </w:p>
        </w:tc>
      </w:tr>
    </w:tbl>
    <w:p w14:paraId="39DF2546">
      <w:pPr>
        <w:bidi w:val="0"/>
        <w:rPr>
          <w:rFonts w:hint="default"/>
          <w:lang w:val="en-US"/>
        </w:rPr>
      </w:pPr>
      <w:r>
        <w:rPr>
          <w:rFonts w:hint="eastAsia"/>
          <w:b/>
          <w:bCs/>
          <w:lang w:val="en-US" w:eastAsia="zh-CN"/>
        </w:rPr>
        <w:t>打孔：</w:t>
      </w:r>
      <w:r>
        <w:rPr>
          <w:rFonts w:hint="eastAsia"/>
          <w:lang w:val="en-US" w:eastAsia="zh-CN"/>
        </w:rPr>
        <w:t>部分印刷收缩膜产品需要进行打一排小孔，用于方便打开包装瓶。</w:t>
      </w:r>
      <w:r>
        <w:t>该工序会产生噪声、废边角料。</w:t>
      </w:r>
    </w:p>
    <w:p w14:paraId="32850CC7">
      <w:pPr>
        <w:bidi w:val="0"/>
        <w:rPr>
          <w:rFonts w:hint="default" w:eastAsia="宋体"/>
          <w:b/>
          <w:bCs/>
          <w:lang w:val="en-US" w:eastAsia="zh-CN"/>
        </w:rPr>
      </w:pPr>
      <w:r>
        <w:rPr>
          <w:rFonts w:hint="eastAsia"/>
          <w:b/>
          <w:bCs/>
          <w:lang w:val="en-US" w:eastAsia="zh-CN"/>
        </w:rPr>
        <w:t>调胶：</w:t>
      </w:r>
      <w:r>
        <w:rPr>
          <w:rFonts w:hint="default"/>
        </w:rPr>
        <w:t>无溶剂</w:t>
      </w:r>
      <w:r>
        <w:rPr>
          <w:rFonts w:hint="eastAsia"/>
          <w:lang w:val="en-US" w:eastAsia="zh-CN"/>
        </w:rPr>
        <w:t>聚氨酯</w:t>
      </w:r>
      <w:r>
        <w:rPr>
          <w:rFonts w:hint="default"/>
        </w:rPr>
        <w:t>胶水</w:t>
      </w:r>
      <w:r>
        <w:rPr>
          <w:rFonts w:hint="eastAsia"/>
          <w:lang w:val="en-US" w:eastAsia="zh-CN"/>
        </w:rPr>
        <w:t>分为A胶、B胶，按照1：2的调配比例用电子秤称量后倒到搅拌机搅拌混合好泵进复合机的胶槽。</w:t>
      </w:r>
    </w:p>
    <w:p w14:paraId="7A6667C7">
      <w:pPr>
        <w:bidi w:val="0"/>
      </w:pPr>
      <w:r>
        <w:rPr>
          <w:rFonts w:hint="eastAsia"/>
          <w:b/>
          <w:bCs/>
          <w:lang w:val="en-US" w:eastAsia="zh-CN"/>
        </w:rPr>
        <w:t>涂胶、</w:t>
      </w:r>
      <w:r>
        <w:rPr>
          <w:rFonts w:hint="default"/>
          <w:b/>
          <w:bCs/>
        </w:rPr>
        <w:t>复合</w:t>
      </w:r>
      <w:r>
        <w:rPr>
          <w:rFonts w:hint="eastAsia"/>
          <w:lang w:eastAsia="zh-CN"/>
        </w:rPr>
        <w:t>：</w:t>
      </w:r>
      <w:r>
        <w:t>复合工序主要是将</w:t>
      </w:r>
      <w:r>
        <w:rPr>
          <w:rFonts w:hint="eastAsia"/>
          <w:lang w:val="en-US" w:eastAsia="zh-CN"/>
        </w:rPr>
        <w:t>印刷后的</w:t>
      </w:r>
      <w:r>
        <w:t>薄膜（</w:t>
      </w:r>
      <w:r>
        <w:rPr>
          <w:rFonts w:hint="eastAsia"/>
          <w:lang w:val="en-US" w:eastAsia="zh-CN"/>
        </w:rPr>
        <w:t>OPP膜</w:t>
      </w:r>
      <w:r>
        <w:t>）与（</w:t>
      </w:r>
      <w:r>
        <w:rPr>
          <w:rFonts w:hint="eastAsia"/>
          <w:lang w:val="en-US" w:eastAsia="zh-CN"/>
        </w:rPr>
        <w:t>珠光膜</w:t>
      </w:r>
      <w:r>
        <w:t>）复合在一起，两两之间通过胶水</w:t>
      </w:r>
      <w:r>
        <w:rPr>
          <w:rFonts w:hint="default"/>
        </w:rPr>
        <w:t>（无溶剂</w:t>
      </w:r>
      <w:r>
        <w:rPr>
          <w:rFonts w:hint="eastAsia"/>
          <w:lang w:val="en-US" w:eastAsia="zh-CN"/>
        </w:rPr>
        <w:t>聚氨酯</w:t>
      </w:r>
      <w:r>
        <w:rPr>
          <w:rFonts w:hint="default"/>
        </w:rPr>
        <w:t>胶水</w:t>
      </w:r>
      <w:r>
        <w:rPr>
          <w:rFonts w:hint="eastAsia"/>
          <w:lang w:eastAsia="zh-CN"/>
        </w:rPr>
        <w:t>）</w:t>
      </w:r>
      <w:r>
        <w:t>粘结。将已印刷或末印刷的塑料膜从旋转双位放卷机引出，通过边缘位置控制装置，进入涂覆</w:t>
      </w:r>
      <w:r>
        <w:rPr>
          <w:rFonts w:hint="eastAsia"/>
          <w:lang w:val="en-US" w:eastAsia="zh-CN"/>
        </w:rPr>
        <w:t>胶水</w:t>
      </w:r>
      <w:r>
        <w:t>装置，在涂覆</w:t>
      </w:r>
      <w:r>
        <w:rPr>
          <w:rFonts w:hint="eastAsia"/>
          <w:lang w:val="en-US" w:eastAsia="zh-CN"/>
        </w:rPr>
        <w:t>胶水</w:t>
      </w:r>
      <w:r>
        <w:t>装置中，由于受压力辊的作用，使光滑辊上的</w:t>
      </w:r>
      <w:r>
        <w:rPr>
          <w:rFonts w:hint="eastAsia"/>
          <w:lang w:val="en-US" w:eastAsia="zh-CN"/>
        </w:rPr>
        <w:t>胶水</w:t>
      </w:r>
      <w:r>
        <w:t>均匀涂到薄膜的印刷面上。</w:t>
      </w:r>
    </w:p>
    <w:p w14:paraId="3945D13D">
      <w:pPr>
        <w:bidi w:val="0"/>
        <w:rPr>
          <w:rFonts w:hint="default"/>
        </w:rPr>
      </w:pPr>
      <w:r>
        <w:t>复合机的涂布辊、胶水槽需要进行定期清洗，防止少量胶水残留涂布辊造成塞版影响产品复合质量。涂布辊</w:t>
      </w:r>
      <w:r>
        <w:rPr>
          <w:rFonts w:hint="eastAsia"/>
          <w:lang w:eastAsia="zh-CN"/>
        </w:rPr>
        <w:t>、</w:t>
      </w:r>
      <w:r>
        <w:rPr>
          <w:rFonts w:hint="eastAsia"/>
          <w:lang w:val="en-US" w:eastAsia="zh-CN"/>
        </w:rPr>
        <w:t>胶水槽</w:t>
      </w:r>
      <w:r>
        <w:t>采用抹布蘸水进行擦拭（在复合间内进行），该过程会产生废擦机布。</w:t>
      </w:r>
    </w:p>
    <w:p w14:paraId="33FE3547">
      <w:pPr>
        <w:bidi w:val="0"/>
        <w:rPr>
          <w:rFonts w:hint="default"/>
        </w:rPr>
      </w:pPr>
      <w:r>
        <w:rPr>
          <w:rFonts w:hint="default"/>
          <w:b/>
          <w:bCs/>
        </w:rPr>
        <w:t>熟化</w:t>
      </w:r>
      <w:r>
        <w:rPr>
          <w:rFonts w:hint="eastAsia"/>
          <w:b/>
          <w:bCs/>
          <w:lang w:eastAsia="zh-CN"/>
        </w:rPr>
        <w:t>：</w:t>
      </w:r>
      <w:r>
        <w:rPr>
          <w:rFonts w:hint="default"/>
        </w:rPr>
        <w:t>熟化的</w:t>
      </w:r>
      <w:r>
        <w:rPr>
          <w:rFonts w:hint="eastAsia"/>
          <w:lang w:eastAsia="zh-CN"/>
        </w:rPr>
        <w:t>目的是</w:t>
      </w:r>
      <w:r>
        <w:rPr>
          <w:rFonts w:hint="default"/>
        </w:rPr>
        <w:t>让胶黏剂</w:t>
      </w:r>
      <w:r>
        <w:rPr>
          <w:rFonts w:hint="eastAsia"/>
          <w:lang w:val="en-US" w:eastAsia="zh-CN"/>
        </w:rPr>
        <w:t>A胶、B胶</w:t>
      </w:r>
      <w:r>
        <w:rPr>
          <w:rFonts w:hint="default"/>
        </w:rPr>
        <w:t>在特定的条件下充分反应固化，进一步交联，熟化阶段若还有溶剂残留会造成胶黏剂</w:t>
      </w:r>
      <w:r>
        <w:rPr>
          <w:rFonts w:hint="eastAsia"/>
          <w:lang w:val="en-US" w:eastAsia="zh-CN"/>
        </w:rPr>
        <w:t>A胶、B胶</w:t>
      </w:r>
      <w:r>
        <w:rPr>
          <w:rFonts w:hint="default"/>
        </w:rPr>
        <w:t>在该阶段反映情况欠佳，影响贴合度。熟化工序之前的印刷复合工序在合理配比稀释剂及合理设置风量的基础上已可尽可能将有机溶剂排尽，防止溶剂残留在本阶段产生的不良后果。复合加工后的薄膜卷放置在</w:t>
      </w:r>
      <w:r>
        <w:rPr>
          <w:rFonts w:hint="eastAsia"/>
          <w:lang w:eastAsia="zh-CN"/>
        </w:rPr>
        <w:t>薄膜固化室</w:t>
      </w:r>
      <w:r>
        <w:rPr>
          <w:rFonts w:hint="default"/>
        </w:rPr>
        <w:t>（箱）内进行熟化，项目共设置</w:t>
      </w:r>
      <w:r>
        <w:rPr>
          <w:rFonts w:hint="eastAsia"/>
          <w:lang w:val="en-US" w:eastAsia="zh-CN"/>
        </w:rPr>
        <w:t>2间</w:t>
      </w:r>
      <w:r>
        <w:rPr>
          <w:rFonts w:hint="eastAsia"/>
          <w:lang w:eastAsia="zh-CN"/>
        </w:rPr>
        <w:t>薄膜固化室</w:t>
      </w:r>
      <w:r>
        <w:rPr>
          <w:rFonts w:hint="default"/>
        </w:rPr>
        <w:t>，设置熟化温度为40~55℃</w:t>
      </w:r>
      <w:r>
        <w:rPr>
          <w:rFonts w:hint="eastAsia"/>
          <w:lang w:eastAsia="zh-CN"/>
        </w:rPr>
        <w:t>，</w:t>
      </w:r>
      <w:r>
        <w:rPr>
          <w:rFonts w:hint="default"/>
        </w:rPr>
        <w:t>控制时间为24</w:t>
      </w:r>
      <w:r>
        <w:rPr>
          <w:rFonts w:hint="eastAsia"/>
          <w:lang w:eastAsia="zh-CN"/>
        </w:rPr>
        <w:t>～</w:t>
      </w:r>
      <w:r>
        <w:rPr>
          <w:rFonts w:hint="default"/>
        </w:rPr>
        <w:t>40小时，熟化工艺采用电提供热能。冷却采用自然冷却的方式。</w:t>
      </w:r>
    </w:p>
    <w:p w14:paraId="1B2E29B9">
      <w:pPr>
        <w:bidi w:val="0"/>
        <w:rPr>
          <w:rFonts w:hint="eastAsia" w:eastAsia="宋体"/>
          <w:lang w:val="en-US" w:eastAsia="zh-CN"/>
        </w:rPr>
      </w:pPr>
      <w:r>
        <w:rPr>
          <w:rFonts w:hint="eastAsia"/>
          <w:b/>
          <w:bCs/>
          <w:lang w:val="en-US" w:eastAsia="zh-CN"/>
        </w:rPr>
        <w:t>复检：</w:t>
      </w:r>
      <w:r>
        <w:rPr>
          <w:rFonts w:hint="eastAsia" w:ascii="Times New Roman" w:hAnsi="Times New Roman" w:cs="Times New Roman"/>
          <w:color w:val="auto"/>
          <w:szCs w:val="28"/>
          <w:u w:val="none" w:color="auto"/>
          <w:lang w:val="en-US" w:eastAsia="zh-CN"/>
        </w:rPr>
        <w:t>分切好的产品</w:t>
      </w:r>
      <w:r>
        <w:rPr>
          <w:rFonts w:hint="default" w:ascii="Times New Roman" w:hAnsi="Times New Roman" w:cs="Times New Roman"/>
          <w:color w:val="auto"/>
          <w:szCs w:val="28"/>
          <w:u w:val="none" w:color="auto"/>
        </w:rPr>
        <w:t>由</w:t>
      </w:r>
      <w:r>
        <w:rPr>
          <w:rFonts w:hint="eastAsia" w:ascii="Times New Roman" w:hAnsi="Times New Roman" w:cs="Times New Roman"/>
          <w:color w:val="auto"/>
          <w:szCs w:val="28"/>
          <w:u w:val="none" w:color="auto"/>
          <w:lang w:val="en-US" w:eastAsia="zh-CN"/>
        </w:rPr>
        <w:t>品检机再次</w:t>
      </w:r>
      <w:r>
        <w:rPr>
          <w:rFonts w:hint="default" w:ascii="Times New Roman" w:hAnsi="Times New Roman" w:cs="Times New Roman"/>
          <w:color w:val="auto"/>
          <w:szCs w:val="28"/>
          <w:u w:val="none" w:color="auto"/>
        </w:rPr>
        <w:t>检测产品尺寸、外观、物理机械性能、耐压性能、跌落性能、印刷质量、溶剂残留量等要求后，合格产品执行入库；不合格产品放入一般工业固废暂存间，定期由塑料再生造粒企业收购处理。</w:t>
      </w:r>
    </w:p>
    <w:p w14:paraId="10051935">
      <w:pPr>
        <w:pStyle w:val="64"/>
        <w:numPr>
          <w:ilvl w:val="2"/>
          <w:numId w:val="8"/>
        </w:numPr>
        <w:spacing w:before="156" w:after="15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产污环节分析</w:t>
      </w:r>
    </w:p>
    <w:p w14:paraId="1822C165">
      <w:pPr>
        <w:ind w:left="480" w:leftChars="200" w:firstLine="0" w:firstLineChars="0"/>
        <w:rPr>
          <w:color w:val="auto"/>
        </w:rPr>
      </w:pPr>
      <w:r>
        <w:rPr>
          <w:rFonts w:hint="eastAsia"/>
          <w:color w:val="auto"/>
        </w:rPr>
        <w:t>项目污染源及污染物产生环节见下表：</w:t>
      </w:r>
    </w:p>
    <w:p w14:paraId="2024A1C5">
      <w:pPr>
        <w:pStyle w:val="62"/>
        <w:rPr>
          <w:color w:val="auto"/>
        </w:rPr>
      </w:pPr>
      <w:r>
        <w:rPr>
          <w:rFonts w:hint="eastAsia"/>
          <w:color w:val="auto"/>
          <w:lang w:eastAsia="zh-CN"/>
        </w:rPr>
        <w:t>表</w:t>
      </w:r>
      <w:r>
        <w:rPr>
          <w:rFonts w:hint="eastAsia"/>
          <w:color w:val="auto"/>
          <w:lang w:val="en-US" w:eastAsia="zh-CN"/>
        </w:rPr>
        <w:t>2</w:t>
      </w:r>
      <w:r>
        <w:rPr>
          <w:rFonts w:hint="eastAsia"/>
          <w:color w:val="auto"/>
        </w:rPr>
        <w:t>.7-</w:t>
      </w:r>
      <w:r>
        <w:rPr>
          <w:rFonts w:hint="eastAsia"/>
          <w:color w:val="auto"/>
          <w:lang w:val="en-US" w:eastAsia="zh-CN"/>
        </w:rPr>
        <w:t>2</w:t>
      </w:r>
      <w:r>
        <w:rPr>
          <w:rFonts w:hint="eastAsia"/>
          <w:color w:val="auto"/>
        </w:rPr>
        <w:t xml:space="preserve">  主要污染源污染物分析</w:t>
      </w:r>
    </w:p>
    <w:tbl>
      <w:tblPr>
        <w:tblStyle w:val="38"/>
        <w:tblW w:w="938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28"/>
        <w:gridCol w:w="691"/>
        <w:gridCol w:w="1686"/>
        <w:gridCol w:w="1762"/>
        <w:gridCol w:w="1984"/>
        <w:gridCol w:w="2729"/>
      </w:tblGrid>
      <w:tr w14:paraId="2192CD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28" w:type="dxa"/>
            <w:vAlign w:val="center"/>
          </w:tcPr>
          <w:p w14:paraId="7CB00E0D">
            <w:pPr>
              <w:pStyle w:val="59"/>
              <w:bidi w:val="0"/>
            </w:pPr>
            <w:r>
              <w:rPr>
                <w:rFonts w:hint="eastAsia"/>
              </w:rPr>
              <w:t>种类</w:t>
            </w:r>
          </w:p>
        </w:tc>
        <w:tc>
          <w:tcPr>
            <w:tcW w:w="691" w:type="dxa"/>
            <w:vAlign w:val="center"/>
          </w:tcPr>
          <w:p w14:paraId="577FFF81">
            <w:pPr>
              <w:pStyle w:val="59"/>
              <w:bidi w:val="0"/>
            </w:pPr>
            <w:r>
              <w:rPr>
                <w:rFonts w:hint="eastAsia"/>
              </w:rPr>
              <w:t>编号</w:t>
            </w:r>
          </w:p>
        </w:tc>
        <w:tc>
          <w:tcPr>
            <w:tcW w:w="1686" w:type="dxa"/>
            <w:vAlign w:val="center"/>
          </w:tcPr>
          <w:p w14:paraId="3BE23E6E">
            <w:pPr>
              <w:pStyle w:val="59"/>
              <w:bidi w:val="0"/>
              <w:rPr>
                <w:rFonts w:hint="default"/>
                <w:lang w:val="en-US" w:eastAsia="zh-CN"/>
              </w:rPr>
            </w:pPr>
            <w:r>
              <w:rPr>
                <w:rFonts w:hint="eastAsia"/>
                <w:lang w:val="en-US" w:eastAsia="zh-CN"/>
              </w:rPr>
              <w:t>产污环节</w:t>
            </w:r>
          </w:p>
        </w:tc>
        <w:tc>
          <w:tcPr>
            <w:tcW w:w="1762" w:type="dxa"/>
            <w:vAlign w:val="center"/>
          </w:tcPr>
          <w:p w14:paraId="12A074B3">
            <w:pPr>
              <w:pStyle w:val="59"/>
              <w:bidi w:val="0"/>
            </w:pPr>
            <w:r>
              <w:rPr>
                <w:rFonts w:hint="eastAsia"/>
              </w:rPr>
              <w:t>污染物</w:t>
            </w:r>
          </w:p>
        </w:tc>
        <w:tc>
          <w:tcPr>
            <w:tcW w:w="1984" w:type="dxa"/>
            <w:vAlign w:val="center"/>
          </w:tcPr>
          <w:p w14:paraId="2D186E77">
            <w:pPr>
              <w:pStyle w:val="59"/>
              <w:bidi w:val="0"/>
              <w:rPr>
                <w:rFonts w:hint="default"/>
                <w:lang w:val="en-US" w:eastAsia="zh-CN"/>
              </w:rPr>
            </w:pPr>
            <w:r>
              <w:rPr>
                <w:rFonts w:hint="eastAsia"/>
                <w:lang w:val="en-US" w:eastAsia="zh-CN"/>
              </w:rPr>
              <w:t>收集措施</w:t>
            </w:r>
          </w:p>
        </w:tc>
        <w:tc>
          <w:tcPr>
            <w:tcW w:w="2729" w:type="dxa"/>
            <w:vAlign w:val="center"/>
          </w:tcPr>
          <w:p w14:paraId="03FE5F53">
            <w:pPr>
              <w:pStyle w:val="59"/>
              <w:bidi w:val="0"/>
            </w:pPr>
            <w:r>
              <w:rPr>
                <w:rFonts w:hint="eastAsia"/>
              </w:rPr>
              <w:t>治理设施</w:t>
            </w:r>
          </w:p>
        </w:tc>
      </w:tr>
      <w:tr w14:paraId="2B619B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Align w:val="center"/>
          </w:tcPr>
          <w:p w14:paraId="46CF3D0A">
            <w:pPr>
              <w:pStyle w:val="59"/>
              <w:bidi w:val="0"/>
              <w:rPr>
                <w:rFonts w:hint="eastAsia"/>
                <w:lang w:val="en-US" w:eastAsia="zh-CN"/>
              </w:rPr>
            </w:pPr>
            <w:r>
              <w:rPr>
                <w:rFonts w:hint="eastAsia"/>
                <w:lang w:val="en-US" w:eastAsia="zh-CN"/>
              </w:rPr>
              <w:t>废水</w:t>
            </w:r>
          </w:p>
        </w:tc>
        <w:tc>
          <w:tcPr>
            <w:tcW w:w="691" w:type="dxa"/>
            <w:vAlign w:val="center"/>
          </w:tcPr>
          <w:p w14:paraId="0A6A8F0B">
            <w:pPr>
              <w:pStyle w:val="59"/>
              <w:bidi w:val="0"/>
              <w:rPr>
                <w:rFonts w:hint="eastAsia"/>
                <w:lang w:val="en-US" w:eastAsia="zh-CN"/>
              </w:rPr>
            </w:pPr>
            <w:r>
              <w:rPr>
                <w:rFonts w:hint="eastAsia"/>
              </w:rPr>
              <w:t>W</w:t>
            </w:r>
            <w:r>
              <w:rPr>
                <w:rFonts w:hint="eastAsia"/>
                <w:lang w:val="en-US" w:eastAsia="zh-CN"/>
              </w:rPr>
              <w:t>1</w:t>
            </w:r>
          </w:p>
        </w:tc>
        <w:tc>
          <w:tcPr>
            <w:tcW w:w="1686" w:type="dxa"/>
            <w:vAlign w:val="center"/>
          </w:tcPr>
          <w:p w14:paraId="4625BCC5">
            <w:pPr>
              <w:pStyle w:val="59"/>
              <w:bidi w:val="0"/>
              <w:rPr>
                <w:rFonts w:hint="default"/>
                <w:lang w:val="en-US" w:eastAsia="zh-CN"/>
              </w:rPr>
            </w:pPr>
            <w:r>
              <w:t>员工</w:t>
            </w:r>
          </w:p>
        </w:tc>
        <w:tc>
          <w:tcPr>
            <w:tcW w:w="1762" w:type="dxa"/>
            <w:vAlign w:val="center"/>
          </w:tcPr>
          <w:p w14:paraId="45FF1866">
            <w:pPr>
              <w:pStyle w:val="59"/>
              <w:bidi w:val="0"/>
              <w:rPr>
                <w:rFonts w:hint="default"/>
                <w:lang w:val="en-US" w:eastAsia="zh-CN"/>
              </w:rPr>
            </w:pPr>
            <w:r>
              <w:t>生活污水</w:t>
            </w:r>
          </w:p>
        </w:tc>
        <w:tc>
          <w:tcPr>
            <w:tcW w:w="1984" w:type="dxa"/>
            <w:vAlign w:val="center"/>
          </w:tcPr>
          <w:p w14:paraId="225FE520">
            <w:pPr>
              <w:pStyle w:val="59"/>
              <w:bidi w:val="0"/>
              <w:rPr>
                <w:rFonts w:hint="default"/>
                <w:lang w:val="en-US" w:eastAsia="zh-CN"/>
              </w:rPr>
            </w:pPr>
            <w:r>
              <w:t>管道收集</w:t>
            </w:r>
          </w:p>
        </w:tc>
        <w:tc>
          <w:tcPr>
            <w:tcW w:w="2729" w:type="dxa"/>
            <w:vAlign w:val="center"/>
          </w:tcPr>
          <w:p w14:paraId="113EB366">
            <w:pPr>
              <w:pStyle w:val="59"/>
              <w:bidi w:val="0"/>
              <w:rPr>
                <w:rFonts w:hint="eastAsia"/>
                <w:lang w:val="en-US" w:eastAsia="zh-CN"/>
              </w:rPr>
            </w:pPr>
            <w:r>
              <w:rPr>
                <w:rFonts w:hint="eastAsia"/>
              </w:rPr>
              <w:t>三级化粪池</w:t>
            </w:r>
          </w:p>
        </w:tc>
      </w:tr>
      <w:tr w14:paraId="356993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restart"/>
            <w:vAlign w:val="center"/>
          </w:tcPr>
          <w:p w14:paraId="3445EFDC">
            <w:pPr>
              <w:pStyle w:val="59"/>
              <w:bidi w:val="0"/>
            </w:pPr>
            <w:r>
              <w:rPr>
                <w:rFonts w:hint="eastAsia"/>
              </w:rPr>
              <w:t>废气</w:t>
            </w:r>
          </w:p>
        </w:tc>
        <w:tc>
          <w:tcPr>
            <w:tcW w:w="691" w:type="dxa"/>
            <w:vAlign w:val="center"/>
          </w:tcPr>
          <w:p w14:paraId="43645D69">
            <w:pPr>
              <w:pStyle w:val="59"/>
              <w:numPr>
                <w:ilvl w:val="0"/>
                <w:numId w:val="28"/>
              </w:numPr>
              <w:bidi w:val="0"/>
              <w:ind w:left="0" w:leftChars="0" w:firstLine="0" w:firstLineChars="0"/>
            </w:pPr>
          </w:p>
        </w:tc>
        <w:tc>
          <w:tcPr>
            <w:tcW w:w="1686" w:type="dxa"/>
            <w:vAlign w:val="center"/>
          </w:tcPr>
          <w:p w14:paraId="4B590813">
            <w:pPr>
              <w:pStyle w:val="59"/>
              <w:bidi w:val="0"/>
              <w:rPr>
                <w:rFonts w:hint="default"/>
                <w:lang w:val="en-US" w:eastAsia="zh-CN"/>
              </w:rPr>
            </w:pPr>
            <w:r>
              <w:rPr>
                <w:rFonts w:hint="eastAsia"/>
                <w:lang w:val="en-US" w:eastAsia="zh-CN"/>
              </w:rPr>
              <w:t>调墨</w:t>
            </w:r>
          </w:p>
        </w:tc>
        <w:tc>
          <w:tcPr>
            <w:tcW w:w="1762" w:type="dxa"/>
            <w:shd w:val="clear" w:color="auto" w:fill="auto"/>
            <w:vAlign w:val="center"/>
          </w:tcPr>
          <w:p w14:paraId="33AE7B9F">
            <w:pPr>
              <w:pStyle w:val="59"/>
              <w:bidi w:val="0"/>
              <w:rPr>
                <w:rFonts w:hint="default"/>
                <w:lang w:val="en-US" w:eastAsia="zh-CN"/>
              </w:rPr>
            </w:pPr>
            <w:r>
              <w:t>总VOCs（含非甲烷总烃）、臭气浓度</w:t>
            </w:r>
          </w:p>
        </w:tc>
        <w:tc>
          <w:tcPr>
            <w:tcW w:w="1984" w:type="dxa"/>
            <w:vAlign w:val="center"/>
          </w:tcPr>
          <w:p w14:paraId="3EACB48C">
            <w:pPr>
              <w:pStyle w:val="59"/>
              <w:bidi w:val="0"/>
              <w:rPr>
                <w:rFonts w:hint="default"/>
                <w:lang w:val="en-US" w:eastAsia="zh-CN"/>
              </w:rPr>
            </w:pPr>
            <w:r>
              <w:rPr>
                <w:rFonts w:hint="eastAsia"/>
                <w:lang w:val="en-US" w:eastAsia="zh-CN"/>
              </w:rPr>
              <w:t>整室密闭负压收集</w:t>
            </w:r>
          </w:p>
        </w:tc>
        <w:tc>
          <w:tcPr>
            <w:tcW w:w="2729" w:type="dxa"/>
            <w:vMerge w:val="restart"/>
            <w:vAlign w:val="center"/>
          </w:tcPr>
          <w:p w14:paraId="30D0D780">
            <w:pPr>
              <w:pStyle w:val="59"/>
              <w:bidi w:val="0"/>
              <w:rPr>
                <w:rFonts w:hint="default"/>
                <w:lang w:val="en-US" w:eastAsia="zh-CN"/>
              </w:rPr>
            </w:pPr>
            <w:r>
              <w:rPr>
                <w:rFonts w:hint="eastAsia"/>
                <w:color w:val="auto"/>
                <w:lang w:val="en-US" w:eastAsia="zh-CN"/>
              </w:rPr>
              <w:t>烘干废气经密闭收集后经减风增浓后引入RTO 废气治理设施进行处理，调墨、印刷、洗机、危废贮存废气先经“干式过滤+旋转式分子筛吸附-脱附”处理后再引入RTO 废气治理设施进行处理，处理后与</w:t>
            </w:r>
            <w:r>
              <w:rPr>
                <w:color w:val="auto"/>
              </w:rPr>
              <w:t xml:space="preserve"> RTO 燃料废气一起排放，</w:t>
            </w:r>
            <w:r>
              <w:rPr>
                <w:rFonts w:hint="eastAsia"/>
                <w:color w:val="auto"/>
                <w:lang w:eastAsia="zh-CN"/>
              </w:rPr>
              <w:t>排气筒高度 25m</w:t>
            </w:r>
            <w:r>
              <w:rPr>
                <w:color w:val="auto"/>
              </w:rPr>
              <w:t>，排放口编号为DA001</w:t>
            </w:r>
          </w:p>
        </w:tc>
      </w:tr>
      <w:tr w14:paraId="654C43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42ACBCC4">
            <w:pPr>
              <w:pStyle w:val="59"/>
              <w:bidi w:val="0"/>
              <w:rPr>
                <w:rFonts w:hint="eastAsia"/>
              </w:rPr>
            </w:pPr>
          </w:p>
        </w:tc>
        <w:tc>
          <w:tcPr>
            <w:tcW w:w="691" w:type="dxa"/>
            <w:vAlign w:val="center"/>
          </w:tcPr>
          <w:p w14:paraId="5ECA8616">
            <w:pPr>
              <w:pStyle w:val="59"/>
              <w:numPr>
                <w:ilvl w:val="0"/>
                <w:numId w:val="28"/>
              </w:numPr>
              <w:bidi w:val="0"/>
              <w:ind w:left="0" w:leftChars="0" w:firstLine="0" w:firstLineChars="0"/>
              <w:rPr>
                <w:rFonts w:hint="eastAsia"/>
                <w:lang w:val="en-US" w:eastAsia="zh-CN"/>
              </w:rPr>
            </w:pPr>
          </w:p>
        </w:tc>
        <w:tc>
          <w:tcPr>
            <w:tcW w:w="1686" w:type="dxa"/>
            <w:vAlign w:val="center"/>
          </w:tcPr>
          <w:p w14:paraId="2C7D8735">
            <w:pPr>
              <w:pStyle w:val="59"/>
              <w:bidi w:val="0"/>
              <w:rPr>
                <w:rFonts w:hint="eastAsia"/>
              </w:rPr>
            </w:pPr>
            <w:r>
              <w:rPr>
                <w:rFonts w:hint="eastAsia"/>
                <w:lang w:val="en-US" w:eastAsia="zh-CN"/>
              </w:rPr>
              <w:t>印刷</w:t>
            </w:r>
            <w:r>
              <w:rPr>
                <w:rFonts w:hint="eastAsia"/>
                <w:lang w:eastAsia="zh-CN"/>
              </w:rPr>
              <w:t>、</w:t>
            </w:r>
            <w:r>
              <w:rPr>
                <w:rFonts w:hint="eastAsia"/>
                <w:lang w:val="en-US" w:eastAsia="zh-CN"/>
              </w:rPr>
              <w:t>烘干、洗机</w:t>
            </w:r>
          </w:p>
        </w:tc>
        <w:tc>
          <w:tcPr>
            <w:tcW w:w="1762" w:type="dxa"/>
            <w:shd w:val="clear" w:color="auto" w:fill="auto"/>
            <w:vAlign w:val="center"/>
          </w:tcPr>
          <w:p w14:paraId="1FF42A39">
            <w:pPr>
              <w:pStyle w:val="59"/>
              <w:bidi w:val="0"/>
              <w:rPr>
                <w:rFonts w:hint="default"/>
                <w:lang w:val="en-US" w:eastAsia="zh-CN"/>
              </w:rPr>
            </w:pPr>
            <w:r>
              <w:t>总VOCs（含非甲烷总烃）、臭气浓度</w:t>
            </w:r>
          </w:p>
        </w:tc>
        <w:tc>
          <w:tcPr>
            <w:tcW w:w="1984" w:type="dxa"/>
            <w:vAlign w:val="center"/>
          </w:tcPr>
          <w:p w14:paraId="7A2FE4F6">
            <w:pPr>
              <w:pStyle w:val="59"/>
              <w:bidi w:val="0"/>
              <w:rPr>
                <w:rFonts w:hint="eastAsia"/>
                <w:lang w:val="en-US" w:eastAsia="zh-CN"/>
              </w:rPr>
            </w:pPr>
            <w:r>
              <w:t>车间单层密闭负压</w:t>
            </w:r>
          </w:p>
        </w:tc>
        <w:tc>
          <w:tcPr>
            <w:tcW w:w="2729" w:type="dxa"/>
            <w:vMerge w:val="continue"/>
            <w:vAlign w:val="center"/>
          </w:tcPr>
          <w:p w14:paraId="01944B48">
            <w:pPr>
              <w:pStyle w:val="59"/>
              <w:bidi w:val="0"/>
              <w:rPr>
                <w:rFonts w:hint="default"/>
                <w:lang w:val="en-US" w:eastAsia="zh-CN"/>
              </w:rPr>
            </w:pPr>
          </w:p>
        </w:tc>
      </w:tr>
      <w:tr w14:paraId="4648AD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795DF6EB">
            <w:pPr>
              <w:pStyle w:val="59"/>
              <w:bidi w:val="0"/>
            </w:pPr>
          </w:p>
        </w:tc>
        <w:tc>
          <w:tcPr>
            <w:tcW w:w="691" w:type="dxa"/>
            <w:vAlign w:val="center"/>
          </w:tcPr>
          <w:p w14:paraId="4D817F3D">
            <w:pPr>
              <w:pStyle w:val="59"/>
              <w:numPr>
                <w:ilvl w:val="0"/>
                <w:numId w:val="28"/>
              </w:numPr>
              <w:bidi w:val="0"/>
              <w:ind w:left="0" w:leftChars="0" w:firstLine="0" w:firstLineChars="0"/>
              <w:rPr>
                <w:lang w:val="en-US" w:eastAsia="zh-CN"/>
              </w:rPr>
            </w:pPr>
          </w:p>
        </w:tc>
        <w:tc>
          <w:tcPr>
            <w:tcW w:w="1686" w:type="dxa"/>
            <w:vAlign w:val="center"/>
          </w:tcPr>
          <w:p w14:paraId="6E221B50">
            <w:pPr>
              <w:pStyle w:val="59"/>
              <w:bidi w:val="0"/>
              <w:rPr>
                <w:rFonts w:hint="default"/>
                <w:lang w:val="en-US" w:eastAsia="zh-CN"/>
              </w:rPr>
            </w:pPr>
            <w:r>
              <w:rPr>
                <w:rFonts w:hint="eastAsia"/>
                <w:lang w:val="en-US" w:eastAsia="zh-CN"/>
              </w:rPr>
              <w:t>危废贮存</w:t>
            </w:r>
          </w:p>
        </w:tc>
        <w:tc>
          <w:tcPr>
            <w:tcW w:w="1762" w:type="dxa"/>
            <w:shd w:val="clear" w:color="auto" w:fill="auto"/>
            <w:vAlign w:val="center"/>
          </w:tcPr>
          <w:p w14:paraId="08E98C74">
            <w:pPr>
              <w:pStyle w:val="59"/>
              <w:bidi w:val="0"/>
              <w:rPr>
                <w:lang w:val="en-US" w:eastAsia="zh-CN"/>
              </w:rPr>
            </w:pPr>
            <w:r>
              <w:t>总VOCs（含非甲烷总烃）、臭气浓度</w:t>
            </w:r>
          </w:p>
        </w:tc>
        <w:tc>
          <w:tcPr>
            <w:tcW w:w="1984" w:type="dxa"/>
            <w:vAlign w:val="center"/>
          </w:tcPr>
          <w:p w14:paraId="4866B00E">
            <w:pPr>
              <w:pStyle w:val="59"/>
              <w:bidi w:val="0"/>
            </w:pPr>
            <w:r>
              <w:rPr>
                <w:rFonts w:hint="eastAsia"/>
                <w:lang w:val="en-US" w:eastAsia="zh-CN"/>
              </w:rPr>
              <w:t>整室密闭负压收集</w:t>
            </w:r>
          </w:p>
        </w:tc>
        <w:tc>
          <w:tcPr>
            <w:tcW w:w="2729" w:type="dxa"/>
            <w:vMerge w:val="continue"/>
            <w:vAlign w:val="center"/>
          </w:tcPr>
          <w:p w14:paraId="1DF6D56D">
            <w:pPr>
              <w:pStyle w:val="59"/>
              <w:bidi w:val="0"/>
            </w:pPr>
          </w:p>
        </w:tc>
      </w:tr>
      <w:tr w14:paraId="626076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6887468F">
            <w:pPr>
              <w:pStyle w:val="59"/>
              <w:bidi w:val="0"/>
            </w:pPr>
          </w:p>
        </w:tc>
        <w:tc>
          <w:tcPr>
            <w:tcW w:w="691" w:type="dxa"/>
            <w:vAlign w:val="center"/>
          </w:tcPr>
          <w:p w14:paraId="20FC19BA">
            <w:pPr>
              <w:pStyle w:val="59"/>
              <w:numPr>
                <w:ilvl w:val="0"/>
                <w:numId w:val="28"/>
              </w:numPr>
              <w:bidi w:val="0"/>
              <w:ind w:left="0" w:leftChars="0" w:firstLine="0" w:firstLineChars="0"/>
              <w:rPr>
                <w:rFonts w:hint="eastAsia"/>
              </w:rPr>
            </w:pPr>
          </w:p>
        </w:tc>
        <w:tc>
          <w:tcPr>
            <w:tcW w:w="1686" w:type="dxa"/>
            <w:vAlign w:val="center"/>
          </w:tcPr>
          <w:p w14:paraId="707C1281">
            <w:pPr>
              <w:pStyle w:val="59"/>
              <w:bidi w:val="0"/>
              <w:rPr>
                <w:rFonts w:hint="default"/>
                <w:lang w:val="en-US" w:eastAsia="zh-CN"/>
              </w:rPr>
            </w:pPr>
            <w:r>
              <w:rPr>
                <w:rFonts w:hint="eastAsia"/>
                <w:lang w:val="en-US" w:eastAsia="zh-CN"/>
              </w:rPr>
              <w:t>合掌</w:t>
            </w:r>
          </w:p>
        </w:tc>
        <w:tc>
          <w:tcPr>
            <w:tcW w:w="1762" w:type="dxa"/>
            <w:shd w:val="clear" w:color="auto" w:fill="auto"/>
            <w:vAlign w:val="center"/>
          </w:tcPr>
          <w:p w14:paraId="2CC2B541">
            <w:pPr>
              <w:pStyle w:val="59"/>
              <w:bidi w:val="0"/>
            </w:pPr>
            <w:r>
              <w:t>总VOCs</w:t>
            </w:r>
          </w:p>
        </w:tc>
        <w:tc>
          <w:tcPr>
            <w:tcW w:w="1984" w:type="dxa"/>
            <w:vAlign w:val="center"/>
          </w:tcPr>
          <w:p w14:paraId="64D8CE65">
            <w:pPr>
              <w:pStyle w:val="59"/>
              <w:bidi w:val="0"/>
              <w:rPr>
                <w:rFonts w:hint="eastAsia"/>
                <w:lang w:val="en-US" w:eastAsia="zh-CN"/>
              </w:rPr>
            </w:pPr>
            <w:r>
              <w:rPr>
                <w:rFonts w:hint="eastAsia"/>
                <w:lang w:val="en-US" w:eastAsia="zh-CN"/>
              </w:rPr>
              <w:t>集气罩收集</w:t>
            </w:r>
          </w:p>
        </w:tc>
        <w:tc>
          <w:tcPr>
            <w:tcW w:w="2729" w:type="dxa"/>
            <w:vMerge w:val="continue"/>
            <w:vAlign w:val="center"/>
          </w:tcPr>
          <w:p w14:paraId="0EDA5AC0">
            <w:pPr>
              <w:pStyle w:val="59"/>
              <w:bidi w:val="0"/>
            </w:pPr>
          </w:p>
        </w:tc>
      </w:tr>
      <w:tr w14:paraId="5C2046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7872C087">
            <w:pPr>
              <w:pStyle w:val="59"/>
              <w:bidi w:val="0"/>
            </w:pPr>
          </w:p>
        </w:tc>
        <w:tc>
          <w:tcPr>
            <w:tcW w:w="691" w:type="dxa"/>
            <w:vAlign w:val="center"/>
          </w:tcPr>
          <w:p w14:paraId="7AB4813F">
            <w:pPr>
              <w:pStyle w:val="59"/>
              <w:numPr>
                <w:ilvl w:val="0"/>
                <w:numId w:val="28"/>
              </w:numPr>
              <w:bidi w:val="0"/>
              <w:ind w:left="0" w:leftChars="0" w:firstLine="0" w:firstLineChars="0"/>
              <w:rPr>
                <w:rFonts w:hint="eastAsia"/>
              </w:rPr>
            </w:pPr>
          </w:p>
        </w:tc>
        <w:tc>
          <w:tcPr>
            <w:tcW w:w="1686" w:type="dxa"/>
            <w:vAlign w:val="center"/>
          </w:tcPr>
          <w:p w14:paraId="37EB41AF">
            <w:pPr>
              <w:pStyle w:val="59"/>
              <w:bidi w:val="0"/>
              <w:rPr>
                <w:rFonts w:hint="default"/>
                <w:lang w:val="en-US" w:eastAsia="zh-CN"/>
              </w:rPr>
            </w:pPr>
            <w:r>
              <w:rPr>
                <w:rFonts w:hint="eastAsia"/>
                <w:lang w:val="en-US" w:eastAsia="zh-CN"/>
              </w:rPr>
              <w:t>定型</w:t>
            </w:r>
          </w:p>
        </w:tc>
        <w:tc>
          <w:tcPr>
            <w:tcW w:w="1762" w:type="dxa"/>
            <w:shd w:val="clear" w:color="auto" w:fill="auto"/>
            <w:vAlign w:val="center"/>
          </w:tcPr>
          <w:p w14:paraId="18C5E682">
            <w:pPr>
              <w:pStyle w:val="59"/>
              <w:bidi w:val="0"/>
            </w:pPr>
            <w:r>
              <w:rPr>
                <w:rFonts w:hint="eastAsia"/>
                <w:lang w:val="en-US" w:eastAsia="zh-CN"/>
              </w:rPr>
              <w:t>NMHC、</w:t>
            </w:r>
            <w:r>
              <w:rPr>
                <w:rFonts w:hint="eastAsia" w:ascii="Times New Roman" w:hAnsi="Times New Roman" w:cs="Times New Roman"/>
                <w:color w:val="auto"/>
              </w:rPr>
              <w:t>HCl、氯乙烯、乙烯、</w:t>
            </w:r>
            <w:r>
              <w:rPr>
                <w:rFonts w:hint="eastAsia" w:ascii="Times New Roman" w:hAnsi="Times New Roman" w:cs="Times New Roman"/>
                <w:color w:val="auto"/>
                <w:lang w:val="en-US" w:eastAsia="zh-CN"/>
              </w:rPr>
              <w:t>一氯己烷、二氯甲烷、三氯甲烷、</w:t>
            </w:r>
            <w:r>
              <w:rPr>
                <w:rFonts w:hint="eastAsia" w:ascii="Times New Roman" w:hAnsi="Times New Roman" w:cs="Times New Roman"/>
                <w:color w:val="auto"/>
              </w:rPr>
              <w:t>二氯乙烯、四氯化碳、三氯乙烯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二氯乙烷、苯、甲苯、四氯乙烯</w:t>
            </w:r>
          </w:p>
        </w:tc>
        <w:tc>
          <w:tcPr>
            <w:tcW w:w="1984" w:type="dxa"/>
            <w:vAlign w:val="center"/>
          </w:tcPr>
          <w:p w14:paraId="00E73205">
            <w:pPr>
              <w:pStyle w:val="59"/>
              <w:bidi w:val="0"/>
              <w:rPr>
                <w:rFonts w:hint="default"/>
                <w:lang w:val="en-US" w:eastAsia="zh-CN"/>
              </w:rPr>
            </w:pPr>
            <w:r>
              <w:rPr>
                <w:rFonts w:hint="eastAsia"/>
                <w:lang w:val="en-US" w:eastAsia="zh-CN"/>
              </w:rPr>
              <w:t>集气罩收集</w:t>
            </w:r>
          </w:p>
        </w:tc>
        <w:tc>
          <w:tcPr>
            <w:tcW w:w="2729" w:type="dxa"/>
            <w:vMerge w:val="continue"/>
            <w:vAlign w:val="center"/>
          </w:tcPr>
          <w:p w14:paraId="0D569B88">
            <w:pPr>
              <w:pStyle w:val="59"/>
              <w:bidi w:val="0"/>
            </w:pPr>
          </w:p>
        </w:tc>
      </w:tr>
      <w:tr w14:paraId="1114FB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435882EC">
            <w:pPr>
              <w:pStyle w:val="59"/>
              <w:bidi w:val="0"/>
            </w:pPr>
          </w:p>
        </w:tc>
        <w:tc>
          <w:tcPr>
            <w:tcW w:w="691" w:type="dxa"/>
            <w:vAlign w:val="center"/>
          </w:tcPr>
          <w:p w14:paraId="7DFA4FFA">
            <w:pPr>
              <w:pStyle w:val="59"/>
              <w:numPr>
                <w:ilvl w:val="0"/>
                <w:numId w:val="28"/>
              </w:numPr>
              <w:bidi w:val="0"/>
              <w:ind w:left="0" w:leftChars="0" w:firstLine="0" w:firstLineChars="0"/>
              <w:rPr>
                <w:rFonts w:hint="default"/>
                <w:lang w:val="en-US" w:eastAsia="zh-CN"/>
              </w:rPr>
            </w:pPr>
          </w:p>
        </w:tc>
        <w:tc>
          <w:tcPr>
            <w:tcW w:w="1686" w:type="dxa"/>
            <w:vAlign w:val="center"/>
          </w:tcPr>
          <w:p w14:paraId="5C9744A7">
            <w:pPr>
              <w:pStyle w:val="59"/>
              <w:bidi w:val="0"/>
              <w:rPr>
                <w:rFonts w:hint="eastAsia"/>
                <w:lang w:val="en-US" w:eastAsia="zh-CN"/>
              </w:rPr>
            </w:pPr>
            <w:r>
              <w:t>RTO 燃烧</w:t>
            </w:r>
          </w:p>
        </w:tc>
        <w:tc>
          <w:tcPr>
            <w:tcW w:w="1762" w:type="dxa"/>
            <w:shd w:val="clear" w:color="auto" w:fill="auto"/>
            <w:vAlign w:val="center"/>
          </w:tcPr>
          <w:p w14:paraId="7ED964A0">
            <w:pPr>
              <w:pStyle w:val="59"/>
              <w:bidi w:val="0"/>
            </w:pPr>
            <w:r>
              <w:t>颗粒物、二氧化硫、氮氧化物</w:t>
            </w:r>
          </w:p>
        </w:tc>
        <w:tc>
          <w:tcPr>
            <w:tcW w:w="1984" w:type="dxa"/>
            <w:vAlign w:val="center"/>
          </w:tcPr>
          <w:p w14:paraId="3680A11B">
            <w:pPr>
              <w:pStyle w:val="59"/>
              <w:bidi w:val="0"/>
            </w:pPr>
            <w:r>
              <w:t>设备直排，收集</w:t>
            </w:r>
          </w:p>
          <w:p w14:paraId="75719DC8">
            <w:pPr>
              <w:pStyle w:val="59"/>
              <w:bidi w:val="0"/>
            </w:pPr>
            <w:r>
              <w:t>效率 100%</w:t>
            </w:r>
          </w:p>
        </w:tc>
        <w:tc>
          <w:tcPr>
            <w:tcW w:w="2729" w:type="dxa"/>
            <w:vAlign w:val="center"/>
          </w:tcPr>
          <w:p w14:paraId="079EDDA5">
            <w:pPr>
              <w:pStyle w:val="59"/>
              <w:bidi w:val="0"/>
            </w:pPr>
            <w:r>
              <w:t>收集后并入</w:t>
            </w:r>
            <w:r>
              <w:rPr>
                <w:rFonts w:hint="eastAsia"/>
                <w:lang w:val="en-US" w:eastAsia="zh-CN"/>
              </w:rPr>
              <w:t>25</w:t>
            </w:r>
            <w:r>
              <w:t>m 高排气</w:t>
            </w:r>
          </w:p>
          <w:p w14:paraId="51556B53">
            <w:pPr>
              <w:pStyle w:val="59"/>
              <w:bidi w:val="0"/>
            </w:pPr>
            <w:r>
              <w:t>筒(DA001)排放</w:t>
            </w:r>
          </w:p>
        </w:tc>
      </w:tr>
      <w:tr w14:paraId="758EAD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14FAC864">
            <w:pPr>
              <w:pStyle w:val="59"/>
              <w:bidi w:val="0"/>
            </w:pPr>
          </w:p>
        </w:tc>
        <w:tc>
          <w:tcPr>
            <w:tcW w:w="691" w:type="dxa"/>
            <w:vAlign w:val="center"/>
          </w:tcPr>
          <w:p w14:paraId="3F10235A">
            <w:pPr>
              <w:pStyle w:val="59"/>
              <w:numPr>
                <w:ilvl w:val="0"/>
                <w:numId w:val="28"/>
              </w:numPr>
              <w:bidi w:val="0"/>
              <w:ind w:left="0" w:leftChars="0" w:firstLine="0" w:firstLineChars="0"/>
              <w:rPr>
                <w:rFonts w:hint="default"/>
                <w:lang w:val="en-US" w:eastAsia="zh-CN"/>
              </w:rPr>
            </w:pPr>
          </w:p>
        </w:tc>
        <w:tc>
          <w:tcPr>
            <w:tcW w:w="1686" w:type="dxa"/>
            <w:shd w:val="clear" w:color="auto" w:fill="auto"/>
            <w:vAlign w:val="center"/>
          </w:tcPr>
          <w:p w14:paraId="5D8B089E">
            <w:pPr>
              <w:pStyle w:val="59"/>
              <w:bidi w:val="0"/>
              <w:ind w:firstLine="0" w:firstLineChars="0"/>
              <w:rPr>
                <w:rFonts w:ascii="Times New Roman" w:hAnsi="Times New Roman" w:eastAsia="宋体" w:cs="Times New Roman"/>
                <w:kern w:val="0"/>
                <w:sz w:val="21"/>
                <w:szCs w:val="20"/>
                <w:lang w:val="en-US" w:eastAsia="zh-CN" w:bidi="ar-SA"/>
              </w:rPr>
            </w:pPr>
            <w:r>
              <w:rPr>
                <w:rFonts w:hint="eastAsia"/>
                <w:lang w:val="en-US" w:eastAsia="zh-CN"/>
              </w:rPr>
              <w:t>调胶、复合</w:t>
            </w:r>
          </w:p>
        </w:tc>
        <w:tc>
          <w:tcPr>
            <w:tcW w:w="1762" w:type="dxa"/>
            <w:shd w:val="clear" w:color="auto" w:fill="auto"/>
            <w:vAlign w:val="center"/>
          </w:tcPr>
          <w:p w14:paraId="53C8100B">
            <w:pPr>
              <w:pStyle w:val="59"/>
              <w:bidi w:val="0"/>
              <w:ind w:firstLine="0" w:firstLineChars="0"/>
              <w:rPr>
                <w:rFonts w:hint="default" w:ascii="Times New Roman" w:hAnsi="Times New Roman" w:eastAsia="宋体" w:cs="Times New Roman"/>
                <w:kern w:val="0"/>
                <w:sz w:val="21"/>
                <w:szCs w:val="20"/>
                <w:lang w:val="en-US" w:eastAsia="zh-CN" w:bidi="ar-SA"/>
              </w:rPr>
            </w:pPr>
            <w:r>
              <w:t>总VOCs（含非甲烷总烃）、臭气浓度</w:t>
            </w:r>
          </w:p>
        </w:tc>
        <w:tc>
          <w:tcPr>
            <w:tcW w:w="1984" w:type="dxa"/>
            <w:shd w:val="clear" w:color="auto" w:fill="auto"/>
            <w:vAlign w:val="center"/>
          </w:tcPr>
          <w:p w14:paraId="68F89339">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无组织排放</w:t>
            </w:r>
          </w:p>
        </w:tc>
        <w:tc>
          <w:tcPr>
            <w:tcW w:w="2729" w:type="dxa"/>
            <w:vAlign w:val="center"/>
          </w:tcPr>
          <w:p w14:paraId="159CA72E">
            <w:pPr>
              <w:pStyle w:val="59"/>
              <w:bidi w:val="0"/>
              <w:rPr>
                <w:rFonts w:hint="eastAsia" w:eastAsia="宋体"/>
                <w:lang w:val="en-US" w:eastAsia="zh-CN"/>
              </w:rPr>
            </w:pPr>
            <w:r>
              <w:rPr>
                <w:rFonts w:hint="eastAsia"/>
                <w:lang w:val="en-US" w:eastAsia="zh-CN"/>
              </w:rPr>
              <w:t>/</w:t>
            </w:r>
          </w:p>
        </w:tc>
      </w:tr>
      <w:tr w14:paraId="124F4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restart"/>
            <w:vAlign w:val="center"/>
          </w:tcPr>
          <w:p w14:paraId="424EA590">
            <w:pPr>
              <w:pStyle w:val="59"/>
              <w:bidi w:val="0"/>
            </w:pPr>
            <w:r>
              <w:rPr>
                <w:rFonts w:hint="eastAsia"/>
              </w:rPr>
              <w:t>固废</w:t>
            </w:r>
          </w:p>
        </w:tc>
        <w:tc>
          <w:tcPr>
            <w:tcW w:w="691" w:type="dxa"/>
            <w:vAlign w:val="center"/>
          </w:tcPr>
          <w:p w14:paraId="06F23CD6">
            <w:pPr>
              <w:pStyle w:val="59"/>
              <w:numPr>
                <w:ilvl w:val="0"/>
                <w:numId w:val="29"/>
              </w:numPr>
              <w:bidi w:val="0"/>
              <w:ind w:left="0" w:leftChars="0" w:firstLine="0" w:firstLineChars="0"/>
              <w:rPr>
                <w:sz w:val="21"/>
                <w:szCs w:val="21"/>
              </w:rPr>
            </w:pPr>
          </w:p>
        </w:tc>
        <w:tc>
          <w:tcPr>
            <w:tcW w:w="1686" w:type="dxa"/>
            <w:vAlign w:val="center"/>
          </w:tcPr>
          <w:p w14:paraId="5779874B">
            <w:pPr>
              <w:pStyle w:val="59"/>
              <w:bidi w:val="0"/>
            </w:pPr>
            <w:r>
              <w:rPr>
                <w:rFonts w:hint="eastAsia"/>
              </w:rPr>
              <w:t>员工</w:t>
            </w:r>
          </w:p>
        </w:tc>
        <w:tc>
          <w:tcPr>
            <w:tcW w:w="1762" w:type="dxa"/>
            <w:shd w:val="clear" w:color="auto" w:fill="auto"/>
            <w:vAlign w:val="center"/>
          </w:tcPr>
          <w:p w14:paraId="670CB9B5">
            <w:pPr>
              <w:pStyle w:val="59"/>
              <w:bidi w:val="0"/>
              <w:rPr>
                <w:rFonts w:hint="eastAsia" w:eastAsia="宋体"/>
                <w:lang w:val="en-US" w:eastAsia="zh-CN"/>
              </w:rPr>
            </w:pPr>
            <w:r>
              <w:rPr>
                <w:rFonts w:hint="eastAsia"/>
                <w:lang w:val="en-US" w:eastAsia="zh-CN"/>
              </w:rPr>
              <w:t>生活垃圾</w:t>
            </w:r>
          </w:p>
        </w:tc>
        <w:tc>
          <w:tcPr>
            <w:tcW w:w="1984" w:type="dxa"/>
            <w:vAlign w:val="center"/>
          </w:tcPr>
          <w:p w14:paraId="3E7607C0">
            <w:pPr>
              <w:pStyle w:val="59"/>
              <w:bidi w:val="0"/>
              <w:rPr>
                <w:rFonts w:hint="default" w:eastAsia="宋体"/>
                <w:lang w:val="en-US" w:eastAsia="zh-CN"/>
              </w:rPr>
            </w:pPr>
            <w:r>
              <w:rPr>
                <w:rFonts w:hint="eastAsia"/>
                <w:lang w:val="en-US" w:eastAsia="zh-CN"/>
              </w:rPr>
              <w:t>分散生活垃圾筒</w:t>
            </w:r>
          </w:p>
        </w:tc>
        <w:tc>
          <w:tcPr>
            <w:tcW w:w="2729" w:type="dxa"/>
            <w:vAlign w:val="center"/>
          </w:tcPr>
          <w:p w14:paraId="47C66CEE">
            <w:pPr>
              <w:pStyle w:val="59"/>
              <w:bidi w:val="0"/>
            </w:pPr>
            <w:r>
              <w:t>由环卫部门清理运走</w:t>
            </w:r>
          </w:p>
        </w:tc>
      </w:tr>
      <w:tr w14:paraId="2C5D87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528" w:type="dxa"/>
            <w:vMerge w:val="continue"/>
            <w:vAlign w:val="center"/>
          </w:tcPr>
          <w:p w14:paraId="4B785325">
            <w:pPr>
              <w:pStyle w:val="59"/>
              <w:bidi w:val="0"/>
            </w:pPr>
          </w:p>
        </w:tc>
        <w:tc>
          <w:tcPr>
            <w:tcW w:w="691" w:type="dxa"/>
            <w:vAlign w:val="center"/>
          </w:tcPr>
          <w:p w14:paraId="7DDCC307">
            <w:pPr>
              <w:pStyle w:val="59"/>
              <w:numPr>
                <w:ilvl w:val="0"/>
                <w:numId w:val="29"/>
              </w:numPr>
              <w:bidi w:val="0"/>
              <w:ind w:left="0" w:leftChars="0" w:firstLine="0" w:firstLineChars="0"/>
              <w:rPr>
                <w:sz w:val="21"/>
                <w:szCs w:val="21"/>
              </w:rPr>
            </w:pPr>
          </w:p>
        </w:tc>
        <w:tc>
          <w:tcPr>
            <w:tcW w:w="1686" w:type="dxa"/>
            <w:shd w:val="clear" w:color="auto" w:fill="auto"/>
            <w:vAlign w:val="center"/>
          </w:tcPr>
          <w:p w14:paraId="27E6AA46">
            <w:pPr>
              <w:pStyle w:val="59"/>
              <w:bidi w:val="0"/>
              <w:rPr>
                <w:rFonts w:hint="default"/>
                <w:lang w:val="en-US" w:eastAsia="zh-CN"/>
              </w:rPr>
            </w:pPr>
            <w:r>
              <w:t>品质检验</w:t>
            </w:r>
          </w:p>
        </w:tc>
        <w:tc>
          <w:tcPr>
            <w:tcW w:w="1762" w:type="dxa"/>
            <w:shd w:val="clear" w:color="auto" w:fill="auto"/>
            <w:vAlign w:val="center"/>
          </w:tcPr>
          <w:p w14:paraId="5DB47B68">
            <w:pPr>
              <w:pStyle w:val="59"/>
              <w:bidi w:val="0"/>
              <w:rPr>
                <w:rFonts w:hint="default"/>
                <w:lang w:val="en-US" w:eastAsia="zh-CN"/>
              </w:rPr>
            </w:pPr>
            <w:r>
              <w:t>次品</w:t>
            </w:r>
          </w:p>
        </w:tc>
        <w:tc>
          <w:tcPr>
            <w:tcW w:w="1984" w:type="dxa"/>
            <w:vMerge w:val="restart"/>
            <w:vAlign w:val="center"/>
          </w:tcPr>
          <w:p w14:paraId="502B0CF4">
            <w:pPr>
              <w:pStyle w:val="59"/>
              <w:bidi w:val="0"/>
              <w:rPr>
                <w:rFonts w:hint="default" w:eastAsia="宋体"/>
                <w:lang w:val="en-US" w:eastAsia="zh-CN"/>
              </w:rPr>
            </w:pPr>
            <w:r>
              <w:rPr>
                <w:rFonts w:hint="eastAsia"/>
                <w:lang w:val="en-US" w:eastAsia="zh-CN"/>
              </w:rPr>
              <w:t>一般工业固废暂存间贮存</w:t>
            </w:r>
          </w:p>
        </w:tc>
        <w:tc>
          <w:tcPr>
            <w:tcW w:w="2729" w:type="dxa"/>
            <w:vMerge w:val="restart"/>
            <w:vAlign w:val="center"/>
          </w:tcPr>
          <w:p w14:paraId="2F71172F">
            <w:pPr>
              <w:pStyle w:val="59"/>
              <w:bidi w:val="0"/>
              <w:rPr>
                <w:rFonts w:hint="eastAsia" w:eastAsia="宋体"/>
                <w:lang w:val="en-US" w:eastAsia="zh-CN"/>
              </w:rPr>
            </w:pPr>
            <w:r>
              <w:rPr>
                <w:rFonts w:hint="eastAsia"/>
              </w:rPr>
              <w:t>交资源回收利用单位</w:t>
            </w:r>
            <w:r>
              <w:rPr>
                <w:rFonts w:hint="eastAsia"/>
                <w:lang w:val="en-US" w:eastAsia="zh-CN"/>
              </w:rPr>
              <w:t>或</w:t>
            </w:r>
            <w:r>
              <w:rPr>
                <w:rFonts w:hint="eastAsia"/>
              </w:rPr>
              <w:t>一般固废处理公司进行处理</w:t>
            </w:r>
          </w:p>
        </w:tc>
      </w:tr>
      <w:tr w14:paraId="69B554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41B5E2D3">
            <w:pPr>
              <w:pStyle w:val="59"/>
              <w:bidi w:val="0"/>
            </w:pPr>
          </w:p>
        </w:tc>
        <w:tc>
          <w:tcPr>
            <w:tcW w:w="691" w:type="dxa"/>
            <w:vAlign w:val="center"/>
          </w:tcPr>
          <w:p w14:paraId="0CB725D9">
            <w:pPr>
              <w:pStyle w:val="59"/>
              <w:numPr>
                <w:ilvl w:val="0"/>
                <w:numId w:val="29"/>
              </w:numPr>
              <w:bidi w:val="0"/>
              <w:ind w:left="0" w:leftChars="0" w:firstLine="0" w:firstLineChars="0"/>
              <w:rPr>
                <w:sz w:val="21"/>
                <w:szCs w:val="21"/>
              </w:rPr>
            </w:pPr>
          </w:p>
        </w:tc>
        <w:tc>
          <w:tcPr>
            <w:tcW w:w="1686" w:type="dxa"/>
            <w:shd w:val="clear" w:color="auto" w:fill="auto"/>
            <w:vAlign w:val="center"/>
          </w:tcPr>
          <w:p w14:paraId="6A2B3D8B">
            <w:pPr>
              <w:pStyle w:val="59"/>
              <w:bidi w:val="0"/>
              <w:rPr>
                <w:rFonts w:hint="default"/>
                <w:lang w:val="en-US" w:eastAsia="zh-CN"/>
              </w:rPr>
            </w:pPr>
            <w:r>
              <w:t>分切、打孔</w:t>
            </w:r>
          </w:p>
        </w:tc>
        <w:tc>
          <w:tcPr>
            <w:tcW w:w="1762" w:type="dxa"/>
            <w:shd w:val="clear" w:color="auto" w:fill="auto"/>
            <w:vAlign w:val="center"/>
          </w:tcPr>
          <w:p w14:paraId="1995EF6C">
            <w:pPr>
              <w:pStyle w:val="59"/>
              <w:bidi w:val="0"/>
              <w:rPr>
                <w:rFonts w:hint="default"/>
                <w:lang w:val="en-US" w:eastAsia="zh-CN"/>
              </w:rPr>
            </w:pPr>
            <w:r>
              <w:rPr>
                <w:rFonts w:hint="eastAsia"/>
                <w:lang w:val="en-US" w:eastAsia="zh-CN"/>
              </w:rPr>
              <w:t>边角料</w:t>
            </w:r>
          </w:p>
        </w:tc>
        <w:tc>
          <w:tcPr>
            <w:tcW w:w="1984" w:type="dxa"/>
            <w:vMerge w:val="continue"/>
            <w:vAlign w:val="center"/>
          </w:tcPr>
          <w:p w14:paraId="54CE9C6E">
            <w:pPr>
              <w:pStyle w:val="59"/>
              <w:bidi w:val="0"/>
            </w:pPr>
          </w:p>
        </w:tc>
        <w:tc>
          <w:tcPr>
            <w:tcW w:w="2729" w:type="dxa"/>
            <w:vMerge w:val="continue"/>
            <w:vAlign w:val="center"/>
          </w:tcPr>
          <w:p w14:paraId="284A7E3E">
            <w:pPr>
              <w:pStyle w:val="59"/>
              <w:bidi w:val="0"/>
              <w:rPr>
                <w:rFonts w:hint="eastAsia" w:eastAsia="宋体"/>
                <w:lang w:val="en-US" w:eastAsia="zh-CN"/>
              </w:rPr>
            </w:pPr>
          </w:p>
        </w:tc>
      </w:tr>
      <w:tr w14:paraId="7FB20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2C1D2DCE">
            <w:pPr>
              <w:pStyle w:val="59"/>
              <w:bidi w:val="0"/>
            </w:pPr>
          </w:p>
        </w:tc>
        <w:tc>
          <w:tcPr>
            <w:tcW w:w="691" w:type="dxa"/>
            <w:vAlign w:val="center"/>
          </w:tcPr>
          <w:p w14:paraId="3742B705">
            <w:pPr>
              <w:pStyle w:val="59"/>
              <w:numPr>
                <w:ilvl w:val="0"/>
                <w:numId w:val="29"/>
              </w:numPr>
              <w:bidi w:val="0"/>
              <w:ind w:left="0" w:leftChars="0" w:firstLine="0" w:firstLineChars="0"/>
              <w:rPr>
                <w:sz w:val="21"/>
                <w:szCs w:val="21"/>
              </w:rPr>
            </w:pPr>
          </w:p>
        </w:tc>
        <w:tc>
          <w:tcPr>
            <w:tcW w:w="1686" w:type="dxa"/>
            <w:shd w:val="clear" w:color="auto" w:fill="auto"/>
            <w:vAlign w:val="center"/>
          </w:tcPr>
          <w:p w14:paraId="5D79D39C">
            <w:pPr>
              <w:pStyle w:val="59"/>
              <w:bidi w:val="0"/>
              <w:rPr>
                <w:rFonts w:hint="default" w:eastAsia="宋体"/>
                <w:lang w:val="en-US" w:eastAsia="zh-CN"/>
              </w:rPr>
            </w:pPr>
            <w:r>
              <w:rPr>
                <w:rFonts w:hint="eastAsia"/>
                <w:lang w:val="en-US" w:eastAsia="zh-CN"/>
              </w:rPr>
              <w:t>塑料膜拆包</w:t>
            </w:r>
          </w:p>
        </w:tc>
        <w:tc>
          <w:tcPr>
            <w:tcW w:w="1762" w:type="dxa"/>
            <w:shd w:val="clear" w:color="auto" w:fill="auto"/>
            <w:vAlign w:val="center"/>
          </w:tcPr>
          <w:p w14:paraId="5DC426EB">
            <w:pPr>
              <w:pStyle w:val="59"/>
              <w:bidi w:val="0"/>
              <w:rPr>
                <w:rFonts w:hint="eastAsia"/>
                <w:lang w:val="en-US" w:eastAsia="zh-CN"/>
              </w:rPr>
            </w:pPr>
            <w:r>
              <w:rPr>
                <w:rFonts w:hint="eastAsia"/>
                <w:lang w:val="en-US" w:eastAsia="zh-CN"/>
              </w:rPr>
              <w:t>废普通包装物</w:t>
            </w:r>
          </w:p>
        </w:tc>
        <w:tc>
          <w:tcPr>
            <w:tcW w:w="1984" w:type="dxa"/>
            <w:vMerge w:val="continue"/>
            <w:vAlign w:val="center"/>
          </w:tcPr>
          <w:p w14:paraId="3C794009">
            <w:pPr>
              <w:pStyle w:val="59"/>
              <w:bidi w:val="0"/>
            </w:pPr>
          </w:p>
        </w:tc>
        <w:tc>
          <w:tcPr>
            <w:tcW w:w="2729" w:type="dxa"/>
            <w:vMerge w:val="continue"/>
            <w:vAlign w:val="center"/>
          </w:tcPr>
          <w:p w14:paraId="31200C94">
            <w:pPr>
              <w:pStyle w:val="59"/>
              <w:bidi w:val="0"/>
              <w:rPr>
                <w:rFonts w:hint="eastAsia" w:eastAsia="宋体"/>
                <w:lang w:val="en-US" w:eastAsia="zh-CN"/>
              </w:rPr>
            </w:pPr>
          </w:p>
        </w:tc>
      </w:tr>
      <w:tr w14:paraId="70E00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62C6B7C3">
            <w:pPr>
              <w:pStyle w:val="59"/>
              <w:bidi w:val="0"/>
            </w:pPr>
          </w:p>
        </w:tc>
        <w:tc>
          <w:tcPr>
            <w:tcW w:w="691" w:type="dxa"/>
            <w:vAlign w:val="center"/>
          </w:tcPr>
          <w:p w14:paraId="12F9B177">
            <w:pPr>
              <w:pStyle w:val="59"/>
              <w:numPr>
                <w:ilvl w:val="0"/>
                <w:numId w:val="29"/>
              </w:numPr>
              <w:bidi w:val="0"/>
              <w:ind w:left="0" w:leftChars="0" w:firstLine="0" w:firstLineChars="0"/>
              <w:rPr>
                <w:sz w:val="21"/>
                <w:szCs w:val="21"/>
              </w:rPr>
            </w:pPr>
          </w:p>
        </w:tc>
        <w:tc>
          <w:tcPr>
            <w:tcW w:w="1686" w:type="dxa"/>
            <w:shd w:val="clear" w:color="auto" w:fill="auto"/>
            <w:vAlign w:val="center"/>
          </w:tcPr>
          <w:p w14:paraId="05C2A973">
            <w:pPr>
              <w:pStyle w:val="59"/>
              <w:bidi w:val="0"/>
              <w:ind w:firstLine="0" w:firstLineChars="0"/>
              <w:rPr>
                <w:rFonts w:hint="eastAsia" w:ascii="Times New Roman" w:hAnsi="Times New Roman" w:eastAsia="宋体" w:cs="Times New Roman"/>
                <w:kern w:val="0"/>
                <w:sz w:val="21"/>
                <w:szCs w:val="20"/>
                <w:lang w:val="en-US" w:eastAsia="zh-CN" w:bidi="ar-SA"/>
              </w:rPr>
            </w:pPr>
            <w:r>
              <w:t>印刷</w:t>
            </w:r>
          </w:p>
        </w:tc>
        <w:tc>
          <w:tcPr>
            <w:tcW w:w="1762" w:type="dxa"/>
            <w:shd w:val="clear" w:color="auto" w:fill="auto"/>
            <w:vAlign w:val="center"/>
          </w:tcPr>
          <w:p w14:paraId="5D551C00">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废印版</w:t>
            </w:r>
          </w:p>
        </w:tc>
        <w:tc>
          <w:tcPr>
            <w:tcW w:w="1984" w:type="dxa"/>
            <w:vMerge w:val="continue"/>
            <w:vAlign w:val="center"/>
          </w:tcPr>
          <w:p w14:paraId="68EA84F0">
            <w:pPr>
              <w:pStyle w:val="59"/>
              <w:bidi w:val="0"/>
            </w:pPr>
          </w:p>
        </w:tc>
        <w:tc>
          <w:tcPr>
            <w:tcW w:w="2729" w:type="dxa"/>
            <w:vMerge w:val="continue"/>
            <w:vAlign w:val="center"/>
          </w:tcPr>
          <w:p w14:paraId="7454446C">
            <w:pPr>
              <w:pStyle w:val="59"/>
              <w:bidi w:val="0"/>
              <w:rPr>
                <w:rFonts w:hint="eastAsia" w:eastAsia="宋体"/>
                <w:lang w:val="en-US" w:eastAsia="zh-CN"/>
              </w:rPr>
            </w:pPr>
          </w:p>
        </w:tc>
      </w:tr>
      <w:tr w14:paraId="5615E1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7FD7AADE">
            <w:pPr>
              <w:pStyle w:val="59"/>
              <w:bidi w:val="0"/>
            </w:pPr>
          </w:p>
        </w:tc>
        <w:tc>
          <w:tcPr>
            <w:tcW w:w="691" w:type="dxa"/>
            <w:vAlign w:val="center"/>
          </w:tcPr>
          <w:p w14:paraId="3ED515B0">
            <w:pPr>
              <w:pStyle w:val="59"/>
              <w:numPr>
                <w:ilvl w:val="0"/>
                <w:numId w:val="29"/>
              </w:numPr>
              <w:bidi w:val="0"/>
              <w:ind w:left="0" w:leftChars="0" w:firstLine="0" w:firstLineChars="0"/>
              <w:rPr>
                <w:rFonts w:hint="eastAsia"/>
                <w:sz w:val="21"/>
                <w:szCs w:val="21"/>
                <w:lang w:val="en-US" w:eastAsia="zh-CN"/>
              </w:rPr>
            </w:pPr>
          </w:p>
        </w:tc>
        <w:tc>
          <w:tcPr>
            <w:tcW w:w="1686" w:type="dxa"/>
            <w:shd w:val="clear" w:color="auto" w:fill="auto"/>
            <w:vAlign w:val="center"/>
          </w:tcPr>
          <w:p w14:paraId="547E7063">
            <w:pPr>
              <w:pStyle w:val="59"/>
              <w:bidi w:val="0"/>
              <w:rPr>
                <w:rFonts w:hint="eastAsia"/>
                <w:lang w:val="en-US" w:eastAsia="zh-CN"/>
              </w:rPr>
            </w:pPr>
            <w:r>
              <w:rPr>
                <w:rFonts w:hint="eastAsia"/>
                <w:lang w:val="en-US" w:eastAsia="zh-CN"/>
              </w:rPr>
              <w:t>油墨、稀释剂、胶水等原料拆包</w:t>
            </w:r>
          </w:p>
        </w:tc>
        <w:tc>
          <w:tcPr>
            <w:tcW w:w="1762" w:type="dxa"/>
            <w:shd w:val="clear" w:color="auto" w:fill="auto"/>
            <w:vAlign w:val="center"/>
          </w:tcPr>
          <w:p w14:paraId="175C32AB">
            <w:pPr>
              <w:pStyle w:val="59"/>
              <w:bidi w:val="0"/>
              <w:rPr>
                <w:rFonts w:hint="default"/>
                <w:lang w:val="en-US" w:eastAsia="zh-CN"/>
              </w:rPr>
            </w:pPr>
            <w:r>
              <w:rPr>
                <w:rFonts w:hint="eastAsia"/>
                <w:lang w:val="en-US" w:eastAsia="zh-CN"/>
              </w:rPr>
              <w:t>废包装桶</w:t>
            </w:r>
          </w:p>
        </w:tc>
        <w:tc>
          <w:tcPr>
            <w:tcW w:w="1984" w:type="dxa"/>
            <w:vMerge w:val="restart"/>
            <w:shd w:val="clear" w:color="auto" w:fill="auto"/>
            <w:vAlign w:val="center"/>
          </w:tcPr>
          <w:p w14:paraId="574B92AB">
            <w:pPr>
              <w:pStyle w:val="59"/>
              <w:bidi w:val="0"/>
              <w:rPr>
                <w:rFonts w:hint="eastAsia"/>
                <w:lang w:val="en-US" w:eastAsia="zh-CN"/>
              </w:rPr>
            </w:pPr>
            <w:r>
              <w:rPr>
                <w:rFonts w:hint="eastAsia"/>
                <w:lang w:val="en-US" w:eastAsia="zh-CN"/>
              </w:rPr>
              <w:t>危废暂存间贮存</w:t>
            </w:r>
          </w:p>
        </w:tc>
        <w:tc>
          <w:tcPr>
            <w:tcW w:w="2729" w:type="dxa"/>
            <w:vMerge w:val="restart"/>
            <w:vAlign w:val="center"/>
          </w:tcPr>
          <w:p w14:paraId="5DF96716">
            <w:pPr>
              <w:pStyle w:val="59"/>
              <w:bidi w:val="0"/>
            </w:pPr>
            <w:r>
              <w:rPr>
                <w:rFonts w:hint="eastAsia"/>
              </w:rPr>
              <w:t>定期</w:t>
            </w:r>
            <w:r>
              <w:t>交由取得危险废物经营许可证的单位进行处理</w:t>
            </w:r>
          </w:p>
        </w:tc>
      </w:tr>
      <w:tr w14:paraId="62D0BA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7E837859">
            <w:pPr>
              <w:pStyle w:val="59"/>
              <w:bidi w:val="0"/>
            </w:pPr>
          </w:p>
        </w:tc>
        <w:tc>
          <w:tcPr>
            <w:tcW w:w="691" w:type="dxa"/>
            <w:vAlign w:val="center"/>
          </w:tcPr>
          <w:p w14:paraId="0795249E">
            <w:pPr>
              <w:pStyle w:val="59"/>
              <w:numPr>
                <w:ilvl w:val="0"/>
                <w:numId w:val="29"/>
              </w:numPr>
              <w:bidi w:val="0"/>
              <w:ind w:left="0" w:leftChars="0" w:firstLine="0" w:firstLineChars="0"/>
              <w:rPr>
                <w:rFonts w:hint="eastAsia"/>
                <w:sz w:val="21"/>
                <w:szCs w:val="21"/>
                <w:lang w:val="en-US" w:eastAsia="zh-CN"/>
              </w:rPr>
            </w:pPr>
          </w:p>
        </w:tc>
        <w:tc>
          <w:tcPr>
            <w:tcW w:w="1686" w:type="dxa"/>
            <w:vAlign w:val="center"/>
          </w:tcPr>
          <w:p w14:paraId="494EFB1C">
            <w:pPr>
              <w:pStyle w:val="59"/>
              <w:bidi w:val="0"/>
              <w:rPr>
                <w:rFonts w:hint="eastAsia"/>
                <w:lang w:val="en-US" w:eastAsia="zh-CN"/>
              </w:rPr>
            </w:pPr>
            <w:r>
              <w:t>设备擦拭清洁</w:t>
            </w:r>
          </w:p>
        </w:tc>
        <w:tc>
          <w:tcPr>
            <w:tcW w:w="1762" w:type="dxa"/>
            <w:vAlign w:val="center"/>
          </w:tcPr>
          <w:p w14:paraId="4DE45FB8">
            <w:pPr>
              <w:pStyle w:val="59"/>
              <w:bidi w:val="0"/>
              <w:rPr>
                <w:rFonts w:hint="default"/>
                <w:lang w:val="en-US" w:eastAsia="zh-CN"/>
              </w:rPr>
            </w:pPr>
            <w:r>
              <w:rPr>
                <w:rFonts w:hint="eastAsia"/>
                <w:lang w:val="en-US" w:eastAsia="zh-CN"/>
              </w:rPr>
              <w:t>废擦机布和手套</w:t>
            </w:r>
          </w:p>
        </w:tc>
        <w:tc>
          <w:tcPr>
            <w:tcW w:w="1984" w:type="dxa"/>
            <w:vMerge w:val="continue"/>
            <w:vAlign w:val="center"/>
          </w:tcPr>
          <w:p w14:paraId="1F11E54A">
            <w:pPr>
              <w:pStyle w:val="59"/>
              <w:bidi w:val="0"/>
              <w:rPr>
                <w:rFonts w:hint="eastAsia"/>
              </w:rPr>
            </w:pPr>
          </w:p>
        </w:tc>
        <w:tc>
          <w:tcPr>
            <w:tcW w:w="2729" w:type="dxa"/>
            <w:vMerge w:val="continue"/>
            <w:vAlign w:val="center"/>
          </w:tcPr>
          <w:p w14:paraId="3C43DDFA">
            <w:pPr>
              <w:pStyle w:val="59"/>
              <w:bidi w:val="0"/>
              <w:rPr>
                <w:rFonts w:hint="eastAsia"/>
              </w:rPr>
            </w:pPr>
          </w:p>
        </w:tc>
      </w:tr>
      <w:tr w14:paraId="003FA9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018B740B">
            <w:pPr>
              <w:pStyle w:val="59"/>
              <w:bidi w:val="0"/>
            </w:pPr>
          </w:p>
        </w:tc>
        <w:tc>
          <w:tcPr>
            <w:tcW w:w="691" w:type="dxa"/>
            <w:vAlign w:val="center"/>
          </w:tcPr>
          <w:p w14:paraId="6D495B98">
            <w:pPr>
              <w:pStyle w:val="59"/>
              <w:numPr>
                <w:ilvl w:val="0"/>
                <w:numId w:val="29"/>
              </w:numPr>
              <w:bidi w:val="0"/>
              <w:ind w:left="0" w:leftChars="0" w:firstLine="0" w:firstLineChars="0"/>
              <w:rPr>
                <w:sz w:val="21"/>
                <w:szCs w:val="21"/>
                <w:lang w:val="en-US" w:eastAsia="zh-CN"/>
              </w:rPr>
            </w:pPr>
          </w:p>
        </w:tc>
        <w:tc>
          <w:tcPr>
            <w:tcW w:w="1686" w:type="dxa"/>
            <w:vAlign w:val="center"/>
          </w:tcPr>
          <w:p w14:paraId="1E2D95F8">
            <w:pPr>
              <w:pStyle w:val="59"/>
              <w:bidi w:val="0"/>
              <w:rPr>
                <w:rFonts w:hint="default"/>
                <w:lang w:val="en-US" w:eastAsia="zh-CN"/>
              </w:rPr>
            </w:pPr>
            <w:r>
              <w:t>设备保养维护</w:t>
            </w:r>
          </w:p>
        </w:tc>
        <w:tc>
          <w:tcPr>
            <w:tcW w:w="1762" w:type="dxa"/>
            <w:vAlign w:val="center"/>
          </w:tcPr>
          <w:p w14:paraId="025A7BE3">
            <w:pPr>
              <w:pStyle w:val="59"/>
              <w:bidi w:val="0"/>
              <w:rPr>
                <w:rFonts w:hint="eastAsia"/>
                <w:lang w:val="en-US" w:eastAsia="zh-CN"/>
              </w:rPr>
            </w:pPr>
            <w:r>
              <w:t>废</w:t>
            </w:r>
            <w:r>
              <w:rPr>
                <w:rFonts w:hint="eastAsia"/>
                <w:lang w:val="en-US" w:eastAsia="zh-CN"/>
              </w:rPr>
              <w:t>矿物油</w:t>
            </w:r>
            <w:r>
              <w:t>和废</w:t>
            </w:r>
            <w:r>
              <w:rPr>
                <w:rFonts w:hint="eastAsia"/>
                <w:lang w:val="en-US" w:eastAsia="zh-CN"/>
              </w:rPr>
              <w:t>矿物油</w:t>
            </w:r>
            <w:r>
              <w:t>桶</w:t>
            </w:r>
          </w:p>
        </w:tc>
        <w:tc>
          <w:tcPr>
            <w:tcW w:w="1984" w:type="dxa"/>
            <w:vMerge w:val="continue"/>
            <w:vAlign w:val="center"/>
          </w:tcPr>
          <w:p w14:paraId="5C6DAA42">
            <w:pPr>
              <w:pStyle w:val="59"/>
              <w:bidi w:val="0"/>
            </w:pPr>
          </w:p>
        </w:tc>
        <w:tc>
          <w:tcPr>
            <w:tcW w:w="2729" w:type="dxa"/>
            <w:vMerge w:val="continue"/>
            <w:vAlign w:val="center"/>
          </w:tcPr>
          <w:p w14:paraId="322BD3E2">
            <w:pPr>
              <w:pStyle w:val="59"/>
              <w:bidi w:val="0"/>
            </w:pPr>
          </w:p>
        </w:tc>
      </w:tr>
      <w:tr w14:paraId="3A7FAC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1C25ECB3">
            <w:pPr>
              <w:pStyle w:val="59"/>
              <w:bidi w:val="0"/>
            </w:pPr>
          </w:p>
        </w:tc>
        <w:tc>
          <w:tcPr>
            <w:tcW w:w="691" w:type="dxa"/>
            <w:vAlign w:val="center"/>
          </w:tcPr>
          <w:p w14:paraId="1979479E">
            <w:pPr>
              <w:pStyle w:val="59"/>
              <w:numPr>
                <w:ilvl w:val="0"/>
                <w:numId w:val="29"/>
              </w:numPr>
              <w:bidi w:val="0"/>
              <w:ind w:left="0" w:leftChars="0" w:firstLine="0" w:firstLineChars="0"/>
              <w:rPr>
                <w:sz w:val="21"/>
                <w:szCs w:val="21"/>
                <w:lang w:val="en-US" w:eastAsia="zh-CN"/>
              </w:rPr>
            </w:pPr>
          </w:p>
        </w:tc>
        <w:tc>
          <w:tcPr>
            <w:tcW w:w="1686" w:type="dxa"/>
            <w:vAlign w:val="center"/>
          </w:tcPr>
          <w:p w14:paraId="4D0807D6">
            <w:pPr>
              <w:pStyle w:val="59"/>
              <w:bidi w:val="0"/>
            </w:pPr>
            <w:r>
              <w:t>干式过滤</w:t>
            </w:r>
          </w:p>
        </w:tc>
        <w:tc>
          <w:tcPr>
            <w:tcW w:w="1762" w:type="dxa"/>
            <w:vAlign w:val="center"/>
          </w:tcPr>
          <w:p w14:paraId="39C4FAC6">
            <w:pPr>
              <w:pStyle w:val="59"/>
              <w:bidi w:val="0"/>
              <w:rPr>
                <w:rFonts w:hint="default"/>
                <w:lang w:val="en-US" w:eastAsia="zh-CN"/>
              </w:rPr>
            </w:pPr>
            <w:r>
              <w:rPr>
                <w:rFonts w:hint="eastAsia"/>
                <w:lang w:val="en-US" w:eastAsia="zh-CN"/>
              </w:rPr>
              <w:t>废过滤袋</w:t>
            </w:r>
          </w:p>
        </w:tc>
        <w:tc>
          <w:tcPr>
            <w:tcW w:w="1984" w:type="dxa"/>
            <w:vMerge w:val="continue"/>
            <w:vAlign w:val="center"/>
          </w:tcPr>
          <w:p w14:paraId="57F8F226">
            <w:pPr>
              <w:pStyle w:val="59"/>
              <w:bidi w:val="0"/>
            </w:pPr>
          </w:p>
        </w:tc>
        <w:tc>
          <w:tcPr>
            <w:tcW w:w="2729" w:type="dxa"/>
            <w:vMerge w:val="continue"/>
            <w:vAlign w:val="center"/>
          </w:tcPr>
          <w:p w14:paraId="7CDDE0AC">
            <w:pPr>
              <w:pStyle w:val="59"/>
              <w:bidi w:val="0"/>
            </w:pPr>
          </w:p>
        </w:tc>
      </w:tr>
      <w:tr w14:paraId="020D1B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11566890">
            <w:pPr>
              <w:pStyle w:val="59"/>
              <w:bidi w:val="0"/>
            </w:pPr>
          </w:p>
        </w:tc>
        <w:tc>
          <w:tcPr>
            <w:tcW w:w="691" w:type="dxa"/>
            <w:vAlign w:val="center"/>
          </w:tcPr>
          <w:p w14:paraId="0FBBF414">
            <w:pPr>
              <w:pStyle w:val="59"/>
              <w:numPr>
                <w:ilvl w:val="0"/>
                <w:numId w:val="29"/>
              </w:numPr>
              <w:bidi w:val="0"/>
              <w:ind w:left="0" w:leftChars="0" w:firstLine="0" w:firstLineChars="0"/>
              <w:rPr>
                <w:sz w:val="21"/>
                <w:szCs w:val="21"/>
                <w:lang w:val="en-US" w:eastAsia="zh-CN"/>
              </w:rPr>
            </w:pPr>
          </w:p>
        </w:tc>
        <w:tc>
          <w:tcPr>
            <w:tcW w:w="1686" w:type="dxa"/>
            <w:vAlign w:val="center"/>
          </w:tcPr>
          <w:p w14:paraId="585D334E">
            <w:pPr>
              <w:pStyle w:val="59"/>
              <w:bidi w:val="0"/>
              <w:rPr>
                <w:rFonts w:hint="default"/>
                <w:lang w:val="en-US" w:eastAsia="zh-CN"/>
              </w:rPr>
            </w:pPr>
            <w:r>
              <w:t>沸石吸附</w:t>
            </w:r>
          </w:p>
        </w:tc>
        <w:tc>
          <w:tcPr>
            <w:tcW w:w="1762" w:type="dxa"/>
            <w:vAlign w:val="center"/>
          </w:tcPr>
          <w:p w14:paraId="5E36E398">
            <w:pPr>
              <w:pStyle w:val="59"/>
              <w:bidi w:val="0"/>
              <w:rPr>
                <w:rFonts w:hint="eastAsia"/>
                <w:lang w:val="en-US" w:eastAsia="zh-CN"/>
              </w:rPr>
            </w:pPr>
            <w:r>
              <w:rPr>
                <w:rFonts w:hint="eastAsia"/>
                <w:lang w:val="en-US" w:eastAsia="zh-CN"/>
              </w:rPr>
              <w:t>废</w:t>
            </w:r>
            <w:r>
              <w:t>沸石</w:t>
            </w:r>
          </w:p>
        </w:tc>
        <w:tc>
          <w:tcPr>
            <w:tcW w:w="1984" w:type="dxa"/>
            <w:vMerge w:val="continue"/>
            <w:vAlign w:val="center"/>
          </w:tcPr>
          <w:p w14:paraId="514B6A68">
            <w:pPr>
              <w:pStyle w:val="59"/>
              <w:bidi w:val="0"/>
            </w:pPr>
          </w:p>
        </w:tc>
        <w:tc>
          <w:tcPr>
            <w:tcW w:w="2729" w:type="dxa"/>
            <w:vMerge w:val="continue"/>
            <w:vAlign w:val="center"/>
          </w:tcPr>
          <w:p w14:paraId="363983AA">
            <w:pPr>
              <w:pStyle w:val="59"/>
              <w:bidi w:val="0"/>
            </w:pPr>
          </w:p>
        </w:tc>
      </w:tr>
      <w:tr w14:paraId="730659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8" w:type="dxa"/>
            <w:vMerge w:val="continue"/>
            <w:vAlign w:val="center"/>
          </w:tcPr>
          <w:p w14:paraId="28CE2D65">
            <w:pPr>
              <w:pStyle w:val="59"/>
              <w:bidi w:val="0"/>
            </w:pPr>
          </w:p>
        </w:tc>
        <w:tc>
          <w:tcPr>
            <w:tcW w:w="691" w:type="dxa"/>
            <w:vAlign w:val="center"/>
          </w:tcPr>
          <w:p w14:paraId="41EABBC8">
            <w:pPr>
              <w:pStyle w:val="59"/>
              <w:numPr>
                <w:ilvl w:val="0"/>
                <w:numId w:val="29"/>
              </w:numPr>
              <w:bidi w:val="0"/>
              <w:ind w:left="0" w:leftChars="0" w:firstLine="0" w:firstLineChars="0"/>
              <w:rPr>
                <w:sz w:val="21"/>
                <w:szCs w:val="21"/>
                <w:lang w:val="en-US" w:eastAsia="zh-CN"/>
              </w:rPr>
            </w:pPr>
          </w:p>
        </w:tc>
        <w:tc>
          <w:tcPr>
            <w:tcW w:w="1686" w:type="dxa"/>
            <w:shd w:val="clear" w:color="auto" w:fill="auto"/>
            <w:vAlign w:val="center"/>
          </w:tcPr>
          <w:p w14:paraId="4A0D6B8A">
            <w:pPr>
              <w:pStyle w:val="59"/>
              <w:bidi w:val="0"/>
              <w:rPr>
                <w:rFonts w:hint="default"/>
                <w:lang w:val="en-US" w:eastAsia="zh-CN"/>
              </w:rPr>
            </w:pPr>
            <w:r>
              <w:rPr>
                <w:rFonts w:hint="eastAsia"/>
                <w:lang w:val="en-US" w:eastAsia="zh-CN"/>
              </w:rPr>
              <w:t>废气处理</w:t>
            </w:r>
          </w:p>
        </w:tc>
        <w:tc>
          <w:tcPr>
            <w:tcW w:w="1762" w:type="dxa"/>
            <w:shd w:val="clear" w:color="auto" w:fill="auto"/>
            <w:vAlign w:val="center"/>
          </w:tcPr>
          <w:p w14:paraId="2A66FD68">
            <w:pPr>
              <w:pStyle w:val="59"/>
              <w:bidi w:val="0"/>
              <w:rPr>
                <w:rFonts w:hint="default"/>
                <w:lang w:val="en-US" w:eastAsia="zh-CN"/>
              </w:rPr>
            </w:pPr>
            <w:r>
              <w:rPr>
                <w:rFonts w:hint="eastAsia"/>
                <w:lang w:val="en-US" w:eastAsia="zh-CN"/>
              </w:rPr>
              <w:t>废饱和活性炭</w:t>
            </w:r>
          </w:p>
        </w:tc>
        <w:tc>
          <w:tcPr>
            <w:tcW w:w="1984" w:type="dxa"/>
            <w:vMerge w:val="continue"/>
            <w:vAlign w:val="center"/>
          </w:tcPr>
          <w:p w14:paraId="3B27F9AD">
            <w:pPr>
              <w:pStyle w:val="59"/>
              <w:bidi w:val="0"/>
            </w:pPr>
          </w:p>
        </w:tc>
        <w:tc>
          <w:tcPr>
            <w:tcW w:w="2729" w:type="dxa"/>
            <w:vMerge w:val="continue"/>
            <w:vAlign w:val="center"/>
          </w:tcPr>
          <w:p w14:paraId="239E76C3">
            <w:pPr>
              <w:pStyle w:val="59"/>
              <w:bidi w:val="0"/>
            </w:pPr>
          </w:p>
        </w:tc>
      </w:tr>
    </w:tbl>
    <w:p w14:paraId="410DB34E">
      <w:pPr>
        <w:pStyle w:val="64"/>
        <w:numPr>
          <w:ilvl w:val="2"/>
          <w:numId w:val="8"/>
        </w:numPr>
        <w:spacing w:before="156" w:after="15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物料平衡</w:t>
      </w:r>
    </w:p>
    <w:p w14:paraId="63646B4B">
      <w:pPr>
        <w:pStyle w:val="62"/>
        <w:bidi w:val="0"/>
        <w:rPr>
          <w:rFonts w:hint="eastAsia" w:eastAsia="宋体"/>
          <w:color w:val="auto"/>
          <w:lang w:val="en-US" w:eastAsia="zh-CN"/>
        </w:rPr>
      </w:pPr>
      <w:r>
        <w:rPr>
          <w:rFonts w:hint="eastAsia"/>
          <w:color w:val="auto"/>
          <w:lang w:eastAsia="zh-CN"/>
        </w:rPr>
        <w:t>表</w:t>
      </w:r>
      <w:r>
        <w:rPr>
          <w:rFonts w:hint="eastAsia"/>
          <w:color w:val="auto"/>
          <w:lang w:val="en-US" w:eastAsia="zh-CN"/>
        </w:rPr>
        <w:t>2.</w:t>
      </w:r>
      <w:r>
        <w:rPr>
          <w:rFonts w:hint="eastAsia"/>
          <w:color w:val="auto"/>
        </w:rPr>
        <w:t>7-</w:t>
      </w:r>
      <w:r>
        <w:rPr>
          <w:rFonts w:hint="eastAsia"/>
          <w:color w:val="auto"/>
          <w:lang w:val="en-US" w:eastAsia="zh-CN"/>
        </w:rPr>
        <w:t>2</w:t>
      </w:r>
      <w:r>
        <w:rPr>
          <w:rFonts w:hint="eastAsia"/>
          <w:color w:val="auto"/>
        </w:rPr>
        <w:t xml:space="preserve"> </w:t>
      </w:r>
      <w:r>
        <w:rPr>
          <w:rFonts w:hint="eastAsia"/>
          <w:color w:val="auto"/>
          <w:lang w:val="en-US" w:eastAsia="zh-CN"/>
        </w:rPr>
        <w:t xml:space="preserve"> 物料</w:t>
      </w:r>
      <w:r>
        <w:rPr>
          <w:rFonts w:hint="eastAsia"/>
          <w:color w:val="auto"/>
        </w:rPr>
        <w:t>平衡</w:t>
      </w:r>
      <w:r>
        <w:rPr>
          <w:rFonts w:hint="eastAsia"/>
          <w:color w:val="auto"/>
          <w:lang w:val="en-US" w:eastAsia="zh-CN"/>
        </w:rPr>
        <w:t>表</w:t>
      </w:r>
    </w:p>
    <w:tbl>
      <w:tblPr>
        <w:tblStyle w:val="38"/>
        <w:tblW w:w="4997"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19"/>
        <w:gridCol w:w="2320"/>
        <w:gridCol w:w="3"/>
        <w:gridCol w:w="2317"/>
        <w:gridCol w:w="2324"/>
      </w:tblGrid>
      <w:tr w14:paraId="6B950BB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blHeader/>
        </w:trPr>
        <w:tc>
          <w:tcPr>
            <w:tcW w:w="2500" w:type="pct"/>
            <w:gridSpan w:val="3"/>
            <w:tcBorders>
              <w:top w:val="single" w:color="000000" w:sz="12" w:space="0"/>
              <w:left w:val="nil"/>
              <w:tl2br w:val="nil"/>
            </w:tcBorders>
            <w:shd w:val="clear" w:color="auto" w:fill="FFFFFF"/>
            <w:vAlign w:val="center"/>
          </w:tcPr>
          <w:p w14:paraId="45B16D45">
            <w:pPr>
              <w:pStyle w:val="59"/>
              <w:bidi w:val="0"/>
              <w:rPr>
                <w:rFonts w:hint="eastAsia"/>
              </w:rPr>
            </w:pPr>
            <w:r>
              <w:rPr>
                <w:rFonts w:hint="eastAsia"/>
                <w:lang w:val="en-US" w:eastAsia="zh-CN"/>
              </w:rPr>
              <w:t>投入</w:t>
            </w:r>
          </w:p>
        </w:tc>
        <w:tc>
          <w:tcPr>
            <w:tcW w:w="2500" w:type="pct"/>
            <w:gridSpan w:val="2"/>
            <w:tcBorders>
              <w:top w:val="single" w:color="000000" w:sz="12" w:space="0"/>
              <w:right w:val="nil"/>
            </w:tcBorders>
            <w:shd w:val="clear" w:color="auto" w:fill="FFFFFF"/>
            <w:vAlign w:val="center"/>
          </w:tcPr>
          <w:p w14:paraId="1F883EF7">
            <w:pPr>
              <w:pStyle w:val="59"/>
              <w:bidi w:val="0"/>
              <w:rPr>
                <w:rFonts w:hint="eastAsia"/>
              </w:rPr>
            </w:pPr>
            <w:r>
              <w:rPr>
                <w:rFonts w:hint="eastAsia"/>
                <w:lang w:val="en-US" w:eastAsia="zh-CN"/>
              </w:rPr>
              <w:t>产出</w:t>
            </w:r>
          </w:p>
        </w:tc>
      </w:tr>
      <w:tr w14:paraId="6B000E6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48" w:type="pct"/>
            <w:tcBorders>
              <w:left w:val="nil"/>
            </w:tcBorders>
            <w:shd w:val="clear" w:color="auto" w:fill="FFFFFF"/>
            <w:vAlign w:val="center"/>
          </w:tcPr>
          <w:p w14:paraId="0C123510">
            <w:pPr>
              <w:pStyle w:val="59"/>
              <w:bidi w:val="0"/>
              <w:rPr>
                <w:rFonts w:hint="eastAsia"/>
              </w:rPr>
            </w:pPr>
            <w:r>
              <w:rPr>
                <w:rFonts w:hint="eastAsia"/>
                <w:lang w:val="en-US" w:eastAsia="zh-CN"/>
              </w:rPr>
              <w:t>物料名称</w:t>
            </w:r>
          </w:p>
        </w:tc>
        <w:tc>
          <w:tcPr>
            <w:tcW w:w="1249" w:type="pct"/>
            <w:shd w:val="clear" w:color="auto" w:fill="FFFFFF"/>
            <w:vAlign w:val="center"/>
          </w:tcPr>
          <w:p w14:paraId="738AA31B">
            <w:pPr>
              <w:pStyle w:val="59"/>
              <w:bidi w:val="0"/>
              <w:rPr>
                <w:rFonts w:hint="eastAsia"/>
              </w:rPr>
            </w:pPr>
            <w:r>
              <w:rPr>
                <w:rFonts w:hint="eastAsia"/>
                <w:lang w:val="en-US" w:eastAsia="zh-CN"/>
              </w:rPr>
              <w:t>用量（</w:t>
            </w:r>
            <w:r>
              <w:rPr>
                <w:rFonts w:hint="default"/>
                <w:lang w:val="en-US" w:eastAsia="zh-CN"/>
              </w:rPr>
              <w:t>t/a</w:t>
            </w:r>
            <w:r>
              <w:rPr>
                <w:rFonts w:hint="eastAsia"/>
                <w:lang w:val="en-US" w:eastAsia="zh-CN"/>
              </w:rPr>
              <w:t>）</w:t>
            </w:r>
          </w:p>
        </w:tc>
        <w:tc>
          <w:tcPr>
            <w:tcW w:w="1249" w:type="pct"/>
            <w:gridSpan w:val="2"/>
            <w:shd w:val="clear" w:color="auto" w:fill="FFFFFF"/>
            <w:vAlign w:val="center"/>
          </w:tcPr>
          <w:p w14:paraId="2327CBDE">
            <w:pPr>
              <w:pStyle w:val="59"/>
              <w:bidi w:val="0"/>
              <w:rPr>
                <w:rFonts w:hint="eastAsia"/>
              </w:rPr>
            </w:pPr>
            <w:r>
              <w:rPr>
                <w:rFonts w:hint="eastAsia"/>
                <w:lang w:val="en-US" w:eastAsia="zh-CN"/>
              </w:rPr>
              <w:t>物料名称</w:t>
            </w:r>
          </w:p>
        </w:tc>
        <w:tc>
          <w:tcPr>
            <w:tcW w:w="1252" w:type="pct"/>
            <w:tcBorders>
              <w:right w:val="nil"/>
            </w:tcBorders>
            <w:shd w:val="clear" w:color="auto" w:fill="FFFFFF"/>
            <w:vAlign w:val="top"/>
          </w:tcPr>
          <w:p w14:paraId="5818A78F">
            <w:pPr>
              <w:pStyle w:val="59"/>
              <w:bidi w:val="0"/>
              <w:rPr>
                <w:rFonts w:hint="eastAsia"/>
              </w:rPr>
            </w:pPr>
            <w:r>
              <w:rPr>
                <w:rFonts w:hint="eastAsia"/>
                <w:lang w:val="en-US" w:eastAsia="zh-CN"/>
              </w:rPr>
              <w:t>数量（</w:t>
            </w:r>
            <w:r>
              <w:rPr>
                <w:rFonts w:hint="default"/>
                <w:lang w:val="en-US" w:eastAsia="zh-CN"/>
              </w:rPr>
              <w:t>t/a</w:t>
            </w:r>
            <w:r>
              <w:rPr>
                <w:rFonts w:hint="eastAsia"/>
                <w:lang w:val="en-US" w:eastAsia="zh-CN"/>
              </w:rPr>
              <w:t>）</w:t>
            </w:r>
          </w:p>
        </w:tc>
      </w:tr>
      <w:tr w14:paraId="3415A98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vAlign w:val="center"/>
          </w:tcPr>
          <w:p w14:paraId="4DA99F7C">
            <w:pPr>
              <w:pStyle w:val="59"/>
              <w:bidi w:val="0"/>
              <w:rPr>
                <w:rFonts w:hint="default"/>
              </w:rPr>
            </w:pPr>
            <w:r>
              <w:rPr>
                <w:rFonts w:hint="default"/>
                <w:lang w:val="en-US" w:eastAsia="zh-CN"/>
              </w:rPr>
              <w:t>PVC 膜</w:t>
            </w:r>
          </w:p>
        </w:tc>
        <w:tc>
          <w:tcPr>
            <w:tcW w:w="1249" w:type="pct"/>
            <w:shd w:val="clear" w:color="auto" w:fill="FFFFFF"/>
            <w:vAlign w:val="center"/>
          </w:tcPr>
          <w:p w14:paraId="18D74F33">
            <w:pPr>
              <w:pStyle w:val="59"/>
              <w:bidi w:val="0"/>
              <w:rPr>
                <w:rFonts w:hint="default"/>
              </w:rPr>
            </w:pPr>
            <w:r>
              <w:rPr>
                <w:rFonts w:hint="default"/>
                <w:lang w:val="en-US" w:eastAsia="zh-CN"/>
              </w:rPr>
              <w:t>235</w:t>
            </w:r>
          </w:p>
        </w:tc>
        <w:tc>
          <w:tcPr>
            <w:tcW w:w="1249" w:type="pct"/>
            <w:gridSpan w:val="2"/>
            <w:shd w:val="clear" w:color="auto" w:fill="FFFFFF"/>
            <w:vAlign w:val="center"/>
          </w:tcPr>
          <w:p w14:paraId="590204E3">
            <w:pPr>
              <w:pStyle w:val="59"/>
              <w:bidi w:val="0"/>
              <w:rPr>
                <w:rFonts w:hint="eastAsia"/>
              </w:rPr>
            </w:pPr>
            <w:r>
              <w:rPr>
                <w:rFonts w:hint="eastAsia"/>
                <w:lang w:val="en-US" w:eastAsia="zh-CN"/>
              </w:rPr>
              <w:t>PVC膜</w:t>
            </w:r>
          </w:p>
        </w:tc>
        <w:tc>
          <w:tcPr>
            <w:tcW w:w="1252" w:type="pct"/>
            <w:tcBorders>
              <w:right w:val="nil"/>
            </w:tcBorders>
            <w:shd w:val="clear" w:color="auto" w:fill="FFFFFF"/>
            <w:vAlign w:val="center"/>
          </w:tcPr>
          <w:p w14:paraId="4C0067B4">
            <w:pPr>
              <w:pStyle w:val="59"/>
              <w:bidi w:val="0"/>
              <w:rPr>
                <w:rFonts w:hint="default"/>
              </w:rPr>
            </w:pPr>
            <w:r>
              <w:rPr>
                <w:rFonts w:hint="default"/>
                <w:lang w:val="en-US" w:eastAsia="zh-CN"/>
              </w:rPr>
              <w:t xml:space="preserve">247.8 </w:t>
            </w:r>
          </w:p>
        </w:tc>
      </w:tr>
      <w:tr w14:paraId="7ABF6C4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vAlign w:val="center"/>
          </w:tcPr>
          <w:p w14:paraId="67A5B509">
            <w:pPr>
              <w:pStyle w:val="59"/>
              <w:bidi w:val="0"/>
              <w:rPr>
                <w:rFonts w:hint="eastAsia"/>
              </w:rPr>
            </w:pPr>
            <w:r>
              <w:rPr>
                <w:rFonts w:hint="eastAsia"/>
                <w:lang w:val="en-US" w:eastAsia="zh-CN"/>
              </w:rPr>
              <w:t>PET 膜</w:t>
            </w:r>
          </w:p>
        </w:tc>
        <w:tc>
          <w:tcPr>
            <w:tcW w:w="1249" w:type="pct"/>
            <w:shd w:val="clear" w:color="auto" w:fill="FFFFFF"/>
            <w:vAlign w:val="center"/>
          </w:tcPr>
          <w:p w14:paraId="10AAD64D">
            <w:pPr>
              <w:pStyle w:val="59"/>
              <w:bidi w:val="0"/>
              <w:rPr>
                <w:rFonts w:hint="default"/>
              </w:rPr>
            </w:pPr>
            <w:r>
              <w:rPr>
                <w:rFonts w:hint="default"/>
                <w:lang w:val="en-US" w:eastAsia="zh-CN"/>
              </w:rPr>
              <w:t>20</w:t>
            </w:r>
          </w:p>
        </w:tc>
        <w:tc>
          <w:tcPr>
            <w:tcW w:w="1249" w:type="pct"/>
            <w:gridSpan w:val="2"/>
            <w:shd w:val="clear" w:color="auto" w:fill="FFFFFF"/>
            <w:vAlign w:val="center"/>
          </w:tcPr>
          <w:p w14:paraId="1BCE5772">
            <w:pPr>
              <w:pStyle w:val="59"/>
              <w:bidi w:val="0"/>
              <w:rPr>
                <w:rFonts w:hint="eastAsia"/>
              </w:rPr>
            </w:pPr>
            <w:r>
              <w:rPr>
                <w:rFonts w:hint="eastAsia"/>
                <w:lang w:val="en-US" w:eastAsia="zh-CN"/>
              </w:rPr>
              <w:t>PET 膜</w:t>
            </w:r>
          </w:p>
        </w:tc>
        <w:tc>
          <w:tcPr>
            <w:tcW w:w="1252" w:type="pct"/>
            <w:tcBorders>
              <w:right w:val="nil"/>
            </w:tcBorders>
            <w:shd w:val="clear" w:color="auto" w:fill="FFFFFF"/>
            <w:vAlign w:val="center"/>
          </w:tcPr>
          <w:p w14:paraId="36563E57">
            <w:pPr>
              <w:pStyle w:val="59"/>
              <w:bidi w:val="0"/>
              <w:rPr>
                <w:rFonts w:hint="default"/>
              </w:rPr>
            </w:pPr>
            <w:r>
              <w:rPr>
                <w:rFonts w:hint="default"/>
                <w:lang w:val="en-US" w:eastAsia="zh-CN"/>
              </w:rPr>
              <w:t xml:space="preserve">21.0 </w:t>
            </w:r>
          </w:p>
        </w:tc>
      </w:tr>
      <w:tr w14:paraId="695B120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vAlign w:val="center"/>
          </w:tcPr>
          <w:p w14:paraId="49165FF2">
            <w:pPr>
              <w:pStyle w:val="59"/>
              <w:bidi w:val="0"/>
              <w:rPr>
                <w:rFonts w:hint="default"/>
              </w:rPr>
            </w:pPr>
            <w:r>
              <w:rPr>
                <w:rFonts w:hint="default"/>
                <w:lang w:val="en-US" w:eastAsia="zh-CN"/>
              </w:rPr>
              <w:t>OPP 膜</w:t>
            </w:r>
          </w:p>
        </w:tc>
        <w:tc>
          <w:tcPr>
            <w:tcW w:w="1249" w:type="pct"/>
            <w:shd w:val="clear" w:color="auto" w:fill="FFFFFF"/>
            <w:vAlign w:val="center"/>
          </w:tcPr>
          <w:p w14:paraId="7DE36AFF">
            <w:pPr>
              <w:pStyle w:val="59"/>
              <w:bidi w:val="0"/>
              <w:rPr>
                <w:rFonts w:hint="default"/>
              </w:rPr>
            </w:pPr>
            <w:r>
              <w:rPr>
                <w:rFonts w:hint="default"/>
                <w:lang w:val="en-US" w:eastAsia="zh-CN"/>
              </w:rPr>
              <w:t>80</w:t>
            </w:r>
          </w:p>
        </w:tc>
        <w:tc>
          <w:tcPr>
            <w:tcW w:w="1249" w:type="pct"/>
            <w:gridSpan w:val="2"/>
            <w:shd w:val="clear" w:color="auto" w:fill="FFFFFF"/>
            <w:vAlign w:val="center"/>
          </w:tcPr>
          <w:p w14:paraId="49C17C1C">
            <w:pPr>
              <w:pStyle w:val="59"/>
              <w:bidi w:val="0"/>
              <w:rPr>
                <w:rFonts w:hint="eastAsia"/>
              </w:rPr>
            </w:pPr>
            <w:r>
              <w:rPr>
                <w:rFonts w:hint="eastAsia"/>
                <w:lang w:val="en-US" w:eastAsia="zh-CN"/>
              </w:rPr>
              <w:t>OPP珠光复合膜</w:t>
            </w:r>
          </w:p>
        </w:tc>
        <w:tc>
          <w:tcPr>
            <w:tcW w:w="1252" w:type="pct"/>
            <w:tcBorders>
              <w:right w:val="nil"/>
            </w:tcBorders>
            <w:shd w:val="clear" w:color="auto" w:fill="FFFFFF"/>
            <w:vAlign w:val="center"/>
          </w:tcPr>
          <w:p w14:paraId="4DD0ED4D">
            <w:pPr>
              <w:pStyle w:val="59"/>
              <w:bidi w:val="0"/>
              <w:rPr>
                <w:rFonts w:hint="default"/>
              </w:rPr>
            </w:pPr>
            <w:r>
              <w:rPr>
                <w:rFonts w:hint="default"/>
                <w:lang w:val="en-US" w:eastAsia="zh-CN"/>
              </w:rPr>
              <w:t xml:space="preserve">153.7 </w:t>
            </w:r>
          </w:p>
        </w:tc>
      </w:tr>
      <w:tr w14:paraId="4B95111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vAlign w:val="top"/>
          </w:tcPr>
          <w:p w14:paraId="4C1B8225">
            <w:pPr>
              <w:pStyle w:val="59"/>
              <w:bidi w:val="0"/>
              <w:rPr>
                <w:rFonts w:hint="eastAsia"/>
              </w:rPr>
            </w:pPr>
            <w:r>
              <w:rPr>
                <w:rFonts w:hint="eastAsia"/>
                <w:lang w:val="en-US" w:eastAsia="zh-CN"/>
              </w:rPr>
              <w:t>珠光膜</w:t>
            </w:r>
          </w:p>
        </w:tc>
        <w:tc>
          <w:tcPr>
            <w:tcW w:w="1249" w:type="pct"/>
            <w:shd w:val="clear" w:color="auto" w:fill="FFFFFF"/>
            <w:vAlign w:val="center"/>
          </w:tcPr>
          <w:p w14:paraId="72513BB6">
            <w:pPr>
              <w:pStyle w:val="59"/>
              <w:bidi w:val="0"/>
              <w:rPr>
                <w:rFonts w:hint="default"/>
              </w:rPr>
            </w:pPr>
            <w:r>
              <w:rPr>
                <w:rFonts w:hint="default"/>
                <w:lang w:val="en-US" w:eastAsia="zh-CN"/>
              </w:rPr>
              <w:t xml:space="preserve">87.0 </w:t>
            </w:r>
          </w:p>
        </w:tc>
        <w:tc>
          <w:tcPr>
            <w:tcW w:w="1249" w:type="pct"/>
            <w:gridSpan w:val="2"/>
            <w:shd w:val="clear" w:color="auto" w:fill="FFFFFF"/>
            <w:vAlign w:val="center"/>
          </w:tcPr>
          <w:p w14:paraId="030B79E7">
            <w:pPr>
              <w:pStyle w:val="59"/>
              <w:bidi w:val="0"/>
              <w:rPr>
                <w:rFonts w:hint="eastAsia"/>
              </w:rPr>
            </w:pPr>
            <w:r>
              <w:rPr>
                <w:rFonts w:hint="eastAsia"/>
                <w:lang w:val="en-US" w:eastAsia="zh-CN"/>
              </w:rPr>
              <w:t>珠光膜</w:t>
            </w:r>
          </w:p>
        </w:tc>
        <w:tc>
          <w:tcPr>
            <w:tcW w:w="1252" w:type="pct"/>
            <w:tcBorders>
              <w:right w:val="nil"/>
            </w:tcBorders>
            <w:shd w:val="clear" w:color="auto" w:fill="FFFFFF"/>
            <w:noWrap/>
            <w:vAlign w:val="center"/>
          </w:tcPr>
          <w:p w14:paraId="6FDD0EEC">
            <w:pPr>
              <w:pStyle w:val="59"/>
              <w:bidi w:val="0"/>
              <w:rPr>
                <w:rFonts w:hint="eastAsia"/>
              </w:rPr>
            </w:pPr>
            <w:r>
              <w:rPr>
                <w:rFonts w:hint="eastAsia"/>
                <w:lang w:val="en-US" w:eastAsia="zh-CN"/>
              </w:rPr>
              <w:t xml:space="preserve">27.4 </w:t>
            </w:r>
          </w:p>
        </w:tc>
      </w:tr>
      <w:tr w14:paraId="5B55264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noWrap/>
            <w:vAlign w:val="center"/>
          </w:tcPr>
          <w:p w14:paraId="40013DE7">
            <w:pPr>
              <w:pStyle w:val="59"/>
              <w:bidi w:val="0"/>
              <w:rPr>
                <w:rFonts w:hint="eastAsia"/>
              </w:rPr>
            </w:pPr>
            <w:r>
              <w:rPr>
                <w:rFonts w:hint="eastAsia"/>
                <w:lang w:val="en-US" w:eastAsia="zh-CN"/>
              </w:rPr>
              <w:t>溶剂型油墨</w:t>
            </w:r>
          </w:p>
        </w:tc>
        <w:tc>
          <w:tcPr>
            <w:tcW w:w="1249" w:type="pct"/>
            <w:shd w:val="clear" w:color="auto" w:fill="FFFFFF"/>
            <w:vAlign w:val="center"/>
          </w:tcPr>
          <w:p w14:paraId="40126C3D">
            <w:pPr>
              <w:pStyle w:val="59"/>
              <w:bidi w:val="0"/>
              <w:rPr>
                <w:rFonts w:hint="default"/>
              </w:rPr>
            </w:pPr>
            <w:r>
              <w:rPr>
                <w:rFonts w:hint="default"/>
                <w:lang w:val="en-US" w:eastAsia="zh-CN"/>
              </w:rPr>
              <w:t xml:space="preserve">74.80 </w:t>
            </w:r>
          </w:p>
        </w:tc>
        <w:tc>
          <w:tcPr>
            <w:tcW w:w="1249" w:type="pct"/>
            <w:gridSpan w:val="2"/>
            <w:shd w:val="clear" w:color="auto" w:fill="FFFFFF"/>
            <w:noWrap/>
            <w:vAlign w:val="top"/>
          </w:tcPr>
          <w:p w14:paraId="63850FCD">
            <w:pPr>
              <w:pStyle w:val="59"/>
              <w:bidi w:val="0"/>
              <w:rPr>
                <w:rFonts w:hint="eastAsia"/>
              </w:rPr>
            </w:pPr>
            <w:r>
              <w:rPr>
                <w:rFonts w:hint="eastAsia"/>
                <w:lang w:val="en-US" w:eastAsia="zh-CN"/>
              </w:rPr>
              <w:t>总VOCs</w:t>
            </w:r>
          </w:p>
        </w:tc>
        <w:tc>
          <w:tcPr>
            <w:tcW w:w="1252" w:type="pct"/>
            <w:tcBorders>
              <w:right w:val="nil"/>
            </w:tcBorders>
            <w:shd w:val="clear" w:color="auto" w:fill="FFFFFF"/>
            <w:noWrap/>
            <w:vAlign w:val="center"/>
          </w:tcPr>
          <w:p w14:paraId="4BD5D289">
            <w:pPr>
              <w:pStyle w:val="59"/>
              <w:bidi w:val="0"/>
              <w:rPr>
                <w:rFonts w:hint="eastAsia"/>
              </w:rPr>
            </w:pPr>
            <w:r>
              <w:rPr>
                <w:rFonts w:hint="eastAsia"/>
                <w:lang w:val="en-US" w:eastAsia="zh-CN"/>
              </w:rPr>
              <w:t xml:space="preserve">55.727 </w:t>
            </w:r>
          </w:p>
        </w:tc>
      </w:tr>
      <w:tr w14:paraId="6143FF3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noWrap/>
            <w:vAlign w:val="center"/>
          </w:tcPr>
          <w:p w14:paraId="0C6586AF">
            <w:pPr>
              <w:pStyle w:val="59"/>
              <w:bidi w:val="0"/>
              <w:rPr>
                <w:rFonts w:hint="eastAsia"/>
              </w:rPr>
            </w:pPr>
            <w:r>
              <w:rPr>
                <w:rFonts w:hint="eastAsia"/>
                <w:lang w:val="en-US" w:eastAsia="zh-CN"/>
              </w:rPr>
              <w:t>稀释剂</w:t>
            </w:r>
          </w:p>
        </w:tc>
        <w:tc>
          <w:tcPr>
            <w:tcW w:w="1249" w:type="pct"/>
            <w:shd w:val="clear" w:color="auto" w:fill="FFFFFF"/>
            <w:noWrap/>
            <w:vAlign w:val="center"/>
          </w:tcPr>
          <w:p w14:paraId="49FD5E2F">
            <w:pPr>
              <w:pStyle w:val="59"/>
              <w:bidi w:val="0"/>
              <w:rPr>
                <w:rFonts w:hint="eastAsia"/>
              </w:rPr>
            </w:pPr>
            <w:r>
              <w:rPr>
                <w:rFonts w:hint="eastAsia"/>
                <w:lang w:val="en-US" w:eastAsia="zh-CN"/>
              </w:rPr>
              <w:t xml:space="preserve">14.96 </w:t>
            </w:r>
          </w:p>
        </w:tc>
        <w:tc>
          <w:tcPr>
            <w:tcW w:w="1249" w:type="pct"/>
            <w:gridSpan w:val="2"/>
            <w:shd w:val="clear" w:color="auto" w:fill="FFFFFF"/>
            <w:noWrap/>
            <w:vAlign w:val="center"/>
          </w:tcPr>
          <w:p w14:paraId="79799D79">
            <w:pPr>
              <w:pStyle w:val="59"/>
              <w:bidi w:val="0"/>
              <w:rPr>
                <w:rFonts w:hint="eastAsia"/>
              </w:rPr>
            </w:pPr>
            <w:r>
              <w:rPr>
                <w:rFonts w:hint="eastAsia"/>
                <w:lang w:val="en-US" w:eastAsia="zh-CN"/>
              </w:rPr>
              <w:t>NMHC</w:t>
            </w:r>
          </w:p>
        </w:tc>
        <w:tc>
          <w:tcPr>
            <w:tcW w:w="1252" w:type="pct"/>
            <w:tcBorders>
              <w:right w:val="nil"/>
            </w:tcBorders>
            <w:shd w:val="clear" w:color="auto" w:fill="FFFFFF"/>
            <w:noWrap/>
            <w:vAlign w:val="center"/>
          </w:tcPr>
          <w:p w14:paraId="0287051D">
            <w:pPr>
              <w:pStyle w:val="59"/>
              <w:bidi w:val="0"/>
              <w:rPr>
                <w:rFonts w:hint="eastAsia"/>
              </w:rPr>
            </w:pPr>
            <w:r>
              <w:rPr>
                <w:rFonts w:hint="eastAsia"/>
                <w:lang w:val="en-US" w:eastAsia="zh-CN"/>
              </w:rPr>
              <w:t xml:space="preserve">0.589 </w:t>
            </w:r>
          </w:p>
        </w:tc>
      </w:tr>
      <w:tr w14:paraId="50FBCB2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noWrap/>
            <w:vAlign w:val="center"/>
          </w:tcPr>
          <w:p w14:paraId="727331B1">
            <w:pPr>
              <w:pStyle w:val="59"/>
              <w:bidi w:val="0"/>
              <w:rPr>
                <w:rFonts w:hint="eastAsia"/>
              </w:rPr>
            </w:pPr>
            <w:r>
              <w:rPr>
                <w:rFonts w:hint="eastAsia"/>
                <w:lang w:val="en-US" w:eastAsia="zh-CN"/>
              </w:rPr>
              <w:t>清洗剂</w:t>
            </w:r>
          </w:p>
        </w:tc>
        <w:tc>
          <w:tcPr>
            <w:tcW w:w="1249" w:type="pct"/>
            <w:shd w:val="clear" w:color="auto" w:fill="FFFFFF"/>
            <w:noWrap/>
            <w:vAlign w:val="center"/>
          </w:tcPr>
          <w:p w14:paraId="47CB21DD">
            <w:pPr>
              <w:pStyle w:val="59"/>
              <w:bidi w:val="0"/>
              <w:rPr>
                <w:rFonts w:hint="eastAsia"/>
              </w:rPr>
            </w:pPr>
            <w:r>
              <w:rPr>
                <w:rFonts w:hint="eastAsia"/>
                <w:lang w:val="en-US" w:eastAsia="zh-CN"/>
              </w:rPr>
              <w:t xml:space="preserve">0.30 </w:t>
            </w:r>
          </w:p>
        </w:tc>
        <w:tc>
          <w:tcPr>
            <w:tcW w:w="1249" w:type="pct"/>
            <w:gridSpan w:val="2"/>
            <w:shd w:val="clear" w:color="auto" w:fill="FFFFFF"/>
            <w:noWrap/>
            <w:vAlign w:val="center"/>
          </w:tcPr>
          <w:p w14:paraId="60452C2A">
            <w:pPr>
              <w:pStyle w:val="59"/>
              <w:bidi w:val="0"/>
              <w:rPr>
                <w:rFonts w:hint="eastAsia"/>
              </w:rPr>
            </w:pPr>
            <w:r>
              <w:rPr>
                <w:rFonts w:hint="eastAsia"/>
                <w:lang w:val="en-US" w:eastAsia="zh-CN"/>
              </w:rPr>
              <w:t>废边角料</w:t>
            </w:r>
          </w:p>
        </w:tc>
        <w:tc>
          <w:tcPr>
            <w:tcW w:w="1252" w:type="pct"/>
            <w:tcBorders>
              <w:right w:val="nil"/>
            </w:tcBorders>
            <w:shd w:val="clear" w:color="auto" w:fill="FFFFFF"/>
            <w:noWrap/>
            <w:vAlign w:val="center"/>
          </w:tcPr>
          <w:p w14:paraId="33850A27">
            <w:pPr>
              <w:pStyle w:val="59"/>
              <w:bidi w:val="0"/>
              <w:rPr>
                <w:rFonts w:hint="eastAsia"/>
              </w:rPr>
            </w:pPr>
            <w:r>
              <w:rPr>
                <w:rFonts w:hint="eastAsia"/>
                <w:lang w:val="en-US" w:eastAsia="zh-CN"/>
              </w:rPr>
              <w:t xml:space="preserve">8.441 </w:t>
            </w:r>
          </w:p>
        </w:tc>
      </w:tr>
      <w:tr w14:paraId="5BD5321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tcBorders>
            <w:shd w:val="clear" w:color="auto" w:fill="FFFFFF"/>
            <w:noWrap/>
            <w:vAlign w:val="center"/>
          </w:tcPr>
          <w:p w14:paraId="235A54FD">
            <w:pPr>
              <w:pStyle w:val="59"/>
              <w:bidi w:val="0"/>
              <w:rPr>
                <w:rFonts w:hint="eastAsia"/>
              </w:rPr>
            </w:pPr>
            <w:r>
              <w:rPr>
                <w:rFonts w:hint="eastAsia"/>
                <w:lang w:val="en-US" w:eastAsia="zh-CN"/>
              </w:rPr>
              <w:t>无溶剂胶水</w:t>
            </w:r>
          </w:p>
        </w:tc>
        <w:tc>
          <w:tcPr>
            <w:tcW w:w="1249" w:type="pct"/>
            <w:shd w:val="clear" w:color="auto" w:fill="FFFFFF"/>
            <w:noWrap/>
            <w:vAlign w:val="center"/>
          </w:tcPr>
          <w:p w14:paraId="695C31BB">
            <w:pPr>
              <w:pStyle w:val="59"/>
              <w:bidi w:val="0"/>
              <w:rPr>
                <w:rFonts w:hint="eastAsia"/>
              </w:rPr>
            </w:pPr>
            <w:r>
              <w:rPr>
                <w:rFonts w:hint="eastAsia"/>
                <w:lang w:val="en-US" w:eastAsia="zh-CN"/>
              </w:rPr>
              <w:t xml:space="preserve">4.63 </w:t>
            </w:r>
          </w:p>
        </w:tc>
        <w:tc>
          <w:tcPr>
            <w:tcW w:w="1249" w:type="pct"/>
            <w:gridSpan w:val="2"/>
            <w:shd w:val="clear" w:color="auto" w:fill="FFFFFF"/>
            <w:noWrap/>
            <w:vAlign w:val="center"/>
          </w:tcPr>
          <w:p w14:paraId="68045BD7">
            <w:pPr>
              <w:pStyle w:val="59"/>
              <w:bidi w:val="0"/>
              <w:rPr>
                <w:rFonts w:hint="eastAsia"/>
              </w:rPr>
            </w:pPr>
            <w:r>
              <w:rPr>
                <w:rFonts w:hint="eastAsia"/>
                <w:lang w:val="en-US" w:eastAsia="zh-CN"/>
              </w:rPr>
              <w:t>次品</w:t>
            </w:r>
          </w:p>
        </w:tc>
        <w:tc>
          <w:tcPr>
            <w:tcW w:w="1252" w:type="pct"/>
            <w:tcBorders>
              <w:right w:val="nil"/>
            </w:tcBorders>
            <w:shd w:val="clear" w:color="auto" w:fill="FFFFFF"/>
            <w:noWrap/>
            <w:vAlign w:val="center"/>
          </w:tcPr>
          <w:p w14:paraId="043BDA56">
            <w:pPr>
              <w:pStyle w:val="59"/>
              <w:bidi w:val="0"/>
              <w:rPr>
                <w:rFonts w:hint="eastAsia"/>
              </w:rPr>
            </w:pPr>
            <w:r>
              <w:rPr>
                <w:rFonts w:hint="eastAsia"/>
                <w:lang w:val="en-US" w:eastAsia="zh-CN"/>
              </w:rPr>
              <w:t xml:space="preserve">2.110 </w:t>
            </w:r>
          </w:p>
        </w:tc>
      </w:tr>
      <w:tr w14:paraId="0448FEA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8" w:type="pct"/>
            <w:tcBorders>
              <w:left w:val="nil"/>
              <w:bottom w:val="single" w:color="000000" w:sz="12" w:space="0"/>
            </w:tcBorders>
            <w:shd w:val="clear" w:color="auto" w:fill="FFFFFF"/>
            <w:noWrap/>
            <w:vAlign w:val="center"/>
          </w:tcPr>
          <w:p w14:paraId="3E5CB9AA">
            <w:pPr>
              <w:pStyle w:val="59"/>
              <w:bidi w:val="0"/>
              <w:rPr>
                <w:rFonts w:hint="eastAsia"/>
              </w:rPr>
            </w:pPr>
            <w:r>
              <w:rPr>
                <w:rFonts w:hint="eastAsia"/>
                <w:lang w:val="en-US" w:eastAsia="zh-CN"/>
              </w:rPr>
              <w:t>合计</w:t>
            </w:r>
          </w:p>
        </w:tc>
        <w:tc>
          <w:tcPr>
            <w:tcW w:w="1249" w:type="pct"/>
            <w:tcBorders>
              <w:bottom w:val="single" w:color="000000" w:sz="12" w:space="0"/>
            </w:tcBorders>
            <w:shd w:val="clear" w:color="auto" w:fill="FFFFFF"/>
            <w:noWrap/>
            <w:vAlign w:val="center"/>
          </w:tcPr>
          <w:p w14:paraId="48969EA1">
            <w:pPr>
              <w:pStyle w:val="59"/>
              <w:bidi w:val="0"/>
              <w:rPr>
                <w:rFonts w:hint="eastAsia"/>
              </w:rPr>
            </w:pPr>
            <w:r>
              <w:rPr>
                <w:rFonts w:hint="eastAsia"/>
                <w:lang w:val="en-US" w:eastAsia="zh-CN"/>
              </w:rPr>
              <w:t xml:space="preserve">516.73 </w:t>
            </w:r>
          </w:p>
        </w:tc>
        <w:tc>
          <w:tcPr>
            <w:tcW w:w="1249" w:type="pct"/>
            <w:gridSpan w:val="2"/>
            <w:tcBorders>
              <w:bottom w:val="single" w:color="000000" w:sz="12" w:space="0"/>
            </w:tcBorders>
            <w:shd w:val="clear" w:color="auto" w:fill="FFFFFF"/>
            <w:noWrap/>
            <w:vAlign w:val="center"/>
          </w:tcPr>
          <w:p w14:paraId="72280450">
            <w:pPr>
              <w:pStyle w:val="59"/>
              <w:bidi w:val="0"/>
              <w:rPr>
                <w:rFonts w:hint="eastAsia"/>
              </w:rPr>
            </w:pPr>
            <w:r>
              <w:rPr>
                <w:rFonts w:hint="eastAsia"/>
                <w:lang w:val="en-US" w:eastAsia="zh-CN"/>
              </w:rPr>
              <w:t>合计</w:t>
            </w:r>
          </w:p>
        </w:tc>
        <w:tc>
          <w:tcPr>
            <w:tcW w:w="1252" w:type="pct"/>
            <w:tcBorders>
              <w:bottom w:val="single" w:color="000000" w:sz="12" w:space="0"/>
              <w:right w:val="nil"/>
            </w:tcBorders>
            <w:shd w:val="clear" w:color="auto" w:fill="FFFFFF"/>
            <w:noWrap/>
            <w:vAlign w:val="center"/>
          </w:tcPr>
          <w:p w14:paraId="2A24C47C">
            <w:pPr>
              <w:pStyle w:val="59"/>
              <w:bidi w:val="0"/>
              <w:rPr>
                <w:rFonts w:hint="eastAsia"/>
              </w:rPr>
            </w:pPr>
            <w:r>
              <w:rPr>
                <w:rFonts w:hint="eastAsia"/>
                <w:lang w:val="en-US" w:eastAsia="zh-CN"/>
              </w:rPr>
              <w:t xml:space="preserve">516.73 </w:t>
            </w:r>
          </w:p>
        </w:tc>
      </w:tr>
    </w:tbl>
    <w:p w14:paraId="428B6954">
      <w:pPr>
        <w:pStyle w:val="67"/>
        <w:numPr>
          <w:ilvl w:val="1"/>
          <w:numId w:val="8"/>
        </w:numPr>
        <w:bidi w:val="0"/>
        <w:ind w:left="567" w:leftChars="0" w:hanging="567" w:firstLineChars="0"/>
        <w:rPr>
          <w:rFonts w:hint="eastAsia" w:ascii="Times New Roman" w:hAnsi="Times New Roman" w:eastAsia="宋体" w:cs="Times New Roman"/>
          <w:color w:val="auto"/>
        </w:rPr>
      </w:pPr>
      <w:bookmarkStart w:id="67" w:name="_Toc3205"/>
      <w:r>
        <w:rPr>
          <w:rFonts w:hint="eastAsia" w:ascii="Times New Roman" w:hAnsi="Times New Roman" w:eastAsia="宋体" w:cs="Times New Roman"/>
          <w:color w:val="auto"/>
        </w:rPr>
        <w:t>营运期污染源分析</w:t>
      </w:r>
      <w:bookmarkEnd w:id="67"/>
    </w:p>
    <w:p w14:paraId="264DA29C">
      <w:pPr>
        <w:pStyle w:val="64"/>
        <w:numPr>
          <w:ilvl w:val="2"/>
          <w:numId w:val="8"/>
        </w:numPr>
        <w:spacing w:before="156" w:after="156"/>
        <w:ind w:left="709" w:leftChars="0" w:hanging="709" w:firstLineChars="0"/>
        <w:rPr>
          <w:color w:val="auto"/>
        </w:rPr>
      </w:pPr>
      <w:r>
        <w:rPr>
          <w:rFonts w:hint="eastAsia"/>
          <w:color w:val="auto"/>
        </w:rPr>
        <w:t>水污染源</w:t>
      </w:r>
    </w:p>
    <w:p w14:paraId="618863AE">
      <w:pPr>
        <w:ind w:firstLine="480"/>
        <w:rPr>
          <w:rFonts w:hint="default" w:ascii="Times New Roman" w:hAnsi="Times New Roman" w:eastAsia="宋体" w:cs="Times New Roman"/>
          <w:lang w:val="en-US" w:eastAsia="zh-CN"/>
        </w:rPr>
      </w:pPr>
      <w:r>
        <w:rPr>
          <w:rFonts w:hint="eastAsia" w:ascii="Times New Roman" w:hAnsi="Times New Roman" w:cs="Times New Roman"/>
          <w:lang w:val="en-US" w:eastAsia="zh-CN"/>
        </w:rPr>
        <w:t>冷却水循环使用，不外排。</w:t>
      </w:r>
    </w:p>
    <w:p w14:paraId="5B36B2B1">
      <w:pPr>
        <w:ind w:firstLine="480"/>
        <w:rPr>
          <w:rFonts w:hint="eastAsia" w:ascii="Times New Roman" w:hAnsi="Times New Roman" w:cs="Times New Roman"/>
        </w:rPr>
      </w:pPr>
      <w:r>
        <w:rPr>
          <w:rFonts w:hint="eastAsia" w:ascii="Times New Roman" w:hAnsi="Times New Roman" w:cs="Times New Roman"/>
        </w:rPr>
        <w:t>项目劳动定员</w:t>
      </w:r>
      <w:r>
        <w:rPr>
          <w:rFonts w:hint="eastAsia" w:ascii="Times New Roman" w:hAnsi="Times New Roman" w:cs="Times New Roman"/>
          <w:lang w:val="en-US" w:eastAsia="zh-CN"/>
        </w:rPr>
        <w:t>3</w:t>
      </w:r>
      <w:r>
        <w:rPr>
          <w:rFonts w:hint="eastAsia" w:ascii="Times New Roman" w:hAnsi="Times New Roman" w:cs="Times New Roman"/>
        </w:rPr>
        <w:t>0人，生活用水量为2</w:t>
      </w:r>
      <w:r>
        <w:rPr>
          <w:rFonts w:hint="eastAsia" w:ascii="Times New Roman" w:hAnsi="Times New Roman" w:cs="Times New Roman"/>
          <w:lang w:val="en-US" w:eastAsia="zh-CN"/>
        </w:rPr>
        <w:t>7</w:t>
      </w:r>
      <w:r>
        <w:rPr>
          <w:rFonts w:hint="eastAsia" w:ascii="Times New Roman" w:hAnsi="Times New Roman" w:cs="Times New Roman"/>
        </w:rPr>
        <w:t>0t/a，排放系数按0.9计算，则生活污水排放量为180t/a。</w:t>
      </w:r>
      <w:r>
        <w:rPr>
          <w:rFonts w:hint="eastAsia" w:ascii="Times New Roman" w:hAnsi="Times New Roman" w:cs="Times New Roman"/>
          <w:lang w:eastAsia="zh-CN"/>
        </w:rPr>
        <w:t>生活污水依托东达公司设置的三级化粪池处理后经市政污水</w:t>
      </w:r>
      <w:r>
        <w:rPr>
          <w:rFonts w:hint="eastAsia" w:ascii="Times New Roman" w:hAnsi="Times New Roman" w:cs="Times New Roman"/>
        </w:rPr>
        <w:t>管网排放至鹤山市龙口三连预处理站预处理后，再通过泵站提升至鹤山市第二污水处理厂深度处理。</w:t>
      </w:r>
    </w:p>
    <w:p w14:paraId="52FFDD6C">
      <w:pPr>
        <w:ind w:firstLine="480"/>
        <w:rPr>
          <w:rFonts w:hint="eastAsia" w:ascii="Times New Roman" w:hAnsi="Times New Roman" w:cs="Times New Roman"/>
        </w:rPr>
      </w:pPr>
      <w:r>
        <w:rPr>
          <w:rFonts w:ascii="Times New Roman" w:hAnsi="Times New Roman" w:cs="Times New Roman"/>
        </w:rPr>
        <w:t xml:space="preserve">生活污水水质源强参考《排放源统计调查产排污核算方法和系数手册》（生态环境部公告 2021年 第24号）中《生活污染源产排污系数手册》表 </w:t>
      </w:r>
      <w:r>
        <w:rPr>
          <w:rFonts w:ascii="Times New Roman" w:hAnsi="Times New Roman" w:eastAsia="TimesNewRomanPS-BoldMT" w:cs="Times New Roman"/>
        </w:rPr>
        <w:t xml:space="preserve">1-1 </w:t>
      </w:r>
      <w:r>
        <w:rPr>
          <w:rFonts w:ascii="Times New Roman" w:hAnsi="Times New Roman" w:cs="Times New Roman"/>
        </w:rPr>
        <w:t>城镇生活源水污染物产生系数五区（五区：广东、广西、湖北、湖南、海南）产污系数</w:t>
      </w:r>
      <w:r>
        <w:rPr>
          <w:rFonts w:hint="eastAsia" w:ascii="Times New Roman" w:hAnsi="Times New Roman" w:cs="Times New Roman"/>
        </w:rPr>
        <w:t>，C</w:t>
      </w:r>
      <w:r>
        <w:rPr>
          <w:rFonts w:ascii="Times New Roman" w:hAnsi="Times New Roman" w:cs="Times New Roman"/>
        </w:rPr>
        <w:t>OD</w:t>
      </w:r>
      <w:r>
        <w:rPr>
          <w:rFonts w:hint="eastAsia" w:ascii="Times New Roman" w:hAnsi="Times New Roman" w:cs="Times New Roman"/>
        </w:rPr>
        <w:t xml:space="preserve"> 2</w:t>
      </w:r>
      <w:r>
        <w:rPr>
          <w:rFonts w:ascii="Times New Roman" w:hAnsi="Times New Roman" w:cs="Times New Roman"/>
        </w:rPr>
        <w:t>85mg/L</w:t>
      </w:r>
      <w:r>
        <w:rPr>
          <w:rFonts w:hint="eastAsia" w:ascii="Times New Roman" w:hAnsi="Times New Roman" w:cs="Times New Roman"/>
        </w:rPr>
        <w:t>，氨氮2</w:t>
      </w:r>
      <w:r>
        <w:rPr>
          <w:rFonts w:ascii="Times New Roman" w:hAnsi="Times New Roman" w:cs="Times New Roman"/>
        </w:rPr>
        <w:t>8.3mg/L</w:t>
      </w:r>
      <w:r>
        <w:rPr>
          <w:rFonts w:hint="eastAsia" w:ascii="Times New Roman" w:hAnsi="Times New Roman" w:cs="Times New Roman"/>
        </w:rPr>
        <w:t>，总氮3</w:t>
      </w:r>
      <w:r>
        <w:rPr>
          <w:rFonts w:ascii="Times New Roman" w:hAnsi="Times New Roman" w:cs="Times New Roman"/>
        </w:rPr>
        <w:t>9.4mg/L</w:t>
      </w:r>
      <w:r>
        <w:rPr>
          <w:rFonts w:hint="eastAsia" w:ascii="Times New Roman" w:hAnsi="Times New Roman" w:cs="Times New Roman"/>
        </w:rPr>
        <w:t>，总磷4</w:t>
      </w:r>
      <w:r>
        <w:rPr>
          <w:rFonts w:ascii="Times New Roman" w:hAnsi="Times New Roman" w:cs="Times New Roman"/>
        </w:rPr>
        <w:t>.1mg/L。</w:t>
      </w:r>
    </w:p>
    <w:p w14:paraId="4B7851E1">
      <w:pPr>
        <w:pStyle w:val="62"/>
        <w:numPr>
          <w:ilvl w:val="0"/>
          <w:numId w:val="30"/>
        </w:numPr>
        <w:tabs>
          <w:tab w:val="left" w:pos="2411"/>
        </w:tabs>
        <w:ind w:left="0" w:leftChars="0" w:firstLine="0" w:firstLineChars="0"/>
        <w:rPr>
          <w:rFonts w:hint="eastAsia" w:ascii="Times New Roman" w:hAnsi="Times New Roman" w:cs="Times New Roman"/>
        </w:rPr>
      </w:pPr>
      <w:r>
        <w:rPr>
          <w:rFonts w:hint="eastAsia" w:ascii="Times New Roman" w:hAnsi="Times New Roman" w:cs="Times New Roman"/>
        </w:rPr>
        <w:t>废水污染源强核算结果及相关参数一览表</w:t>
      </w:r>
    </w:p>
    <w:tbl>
      <w:tblPr>
        <w:tblStyle w:val="38"/>
        <w:tblW w:w="0" w:type="auto"/>
        <w:tblInd w:w="0" w:type="dxa"/>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Layout w:type="fixed"/>
        <w:tblCellMar>
          <w:top w:w="0" w:type="dxa"/>
          <w:left w:w="0" w:type="dxa"/>
          <w:bottom w:w="0" w:type="dxa"/>
          <w:right w:w="0" w:type="dxa"/>
        </w:tblCellMar>
      </w:tblPr>
      <w:tblGrid>
        <w:gridCol w:w="386"/>
        <w:gridCol w:w="386"/>
        <w:gridCol w:w="306"/>
        <w:gridCol w:w="737"/>
        <w:gridCol w:w="683"/>
        <w:gridCol w:w="660"/>
        <w:gridCol w:w="623"/>
        <w:gridCol w:w="774"/>
        <w:gridCol w:w="763"/>
        <w:gridCol w:w="698"/>
        <w:gridCol w:w="644"/>
        <w:gridCol w:w="623"/>
        <w:gridCol w:w="585"/>
        <w:gridCol w:w="684"/>
        <w:gridCol w:w="519"/>
      </w:tblGrid>
      <w:tr w14:paraId="5E156CFF">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blHeader/>
        </w:trPr>
        <w:tc>
          <w:tcPr>
            <w:tcW w:w="386" w:type="dxa"/>
            <w:vMerge w:val="restart"/>
            <w:noWrap w:val="0"/>
            <w:tcMar>
              <w:top w:w="15" w:type="dxa"/>
              <w:left w:w="15" w:type="dxa"/>
              <w:right w:w="15" w:type="dxa"/>
            </w:tcMar>
            <w:vAlign w:val="center"/>
          </w:tcPr>
          <w:p w14:paraId="205A827F">
            <w:pPr>
              <w:pStyle w:val="59"/>
              <w:rPr>
                <w:rFonts w:ascii="Times New Roman" w:hAnsi="Times New Roman" w:cs="Times New Roman"/>
                <w:szCs w:val="21"/>
              </w:rPr>
            </w:pPr>
            <w:r>
              <w:rPr>
                <w:rFonts w:ascii="Times New Roman" w:hAnsi="Times New Roman" w:cs="Times New Roman"/>
                <w:szCs w:val="21"/>
              </w:rPr>
              <w:t>工序/</w:t>
            </w:r>
          </w:p>
          <w:p w14:paraId="2FD5F0B7">
            <w:pPr>
              <w:pStyle w:val="59"/>
              <w:rPr>
                <w:rFonts w:hint="eastAsia" w:ascii="Times New Roman" w:hAnsi="Times New Roman" w:cs="Times New Roman"/>
                <w:szCs w:val="21"/>
              </w:rPr>
            </w:pPr>
            <w:r>
              <w:rPr>
                <w:rFonts w:hint="eastAsia" w:ascii="Times New Roman" w:hAnsi="Times New Roman" w:cs="Times New Roman"/>
                <w:szCs w:val="21"/>
              </w:rPr>
              <w:t>生产线</w:t>
            </w:r>
          </w:p>
        </w:tc>
        <w:tc>
          <w:tcPr>
            <w:tcW w:w="386" w:type="dxa"/>
            <w:vMerge w:val="restart"/>
            <w:noWrap w:val="0"/>
            <w:tcMar>
              <w:top w:w="15" w:type="dxa"/>
              <w:left w:w="15" w:type="dxa"/>
              <w:right w:w="15" w:type="dxa"/>
            </w:tcMar>
            <w:vAlign w:val="center"/>
          </w:tcPr>
          <w:p w14:paraId="6A7E7CE2">
            <w:pPr>
              <w:pStyle w:val="59"/>
              <w:rPr>
                <w:rFonts w:hint="eastAsia" w:ascii="Times New Roman" w:hAnsi="Times New Roman" w:cs="Times New Roman"/>
                <w:szCs w:val="21"/>
              </w:rPr>
            </w:pPr>
            <w:r>
              <w:rPr>
                <w:rFonts w:hint="eastAsia" w:ascii="Times New Roman" w:hAnsi="Times New Roman" w:cs="Times New Roman"/>
                <w:szCs w:val="21"/>
              </w:rPr>
              <w:t>装置</w:t>
            </w:r>
          </w:p>
        </w:tc>
        <w:tc>
          <w:tcPr>
            <w:tcW w:w="306" w:type="dxa"/>
            <w:vMerge w:val="restart"/>
            <w:noWrap w:val="0"/>
            <w:tcMar>
              <w:top w:w="15" w:type="dxa"/>
              <w:left w:w="15" w:type="dxa"/>
              <w:right w:w="15" w:type="dxa"/>
            </w:tcMar>
            <w:vAlign w:val="center"/>
          </w:tcPr>
          <w:p w14:paraId="43746CC2">
            <w:pPr>
              <w:pStyle w:val="59"/>
              <w:rPr>
                <w:rFonts w:hint="eastAsia" w:ascii="Times New Roman" w:hAnsi="Times New Roman" w:cs="Times New Roman"/>
                <w:szCs w:val="21"/>
              </w:rPr>
            </w:pPr>
            <w:r>
              <w:rPr>
                <w:rFonts w:hint="eastAsia" w:ascii="Times New Roman" w:hAnsi="Times New Roman" w:cs="Times New Roman"/>
                <w:szCs w:val="21"/>
              </w:rPr>
              <w:t>污染源</w:t>
            </w:r>
          </w:p>
        </w:tc>
        <w:tc>
          <w:tcPr>
            <w:tcW w:w="737" w:type="dxa"/>
            <w:vMerge w:val="restart"/>
            <w:noWrap w:val="0"/>
            <w:tcMar>
              <w:top w:w="15" w:type="dxa"/>
              <w:left w:w="15" w:type="dxa"/>
              <w:right w:w="15" w:type="dxa"/>
            </w:tcMar>
            <w:vAlign w:val="center"/>
          </w:tcPr>
          <w:p w14:paraId="195EE4B6">
            <w:pPr>
              <w:pStyle w:val="59"/>
              <w:rPr>
                <w:rFonts w:hint="eastAsia" w:ascii="Times New Roman" w:hAnsi="Times New Roman" w:cs="Times New Roman"/>
                <w:szCs w:val="21"/>
              </w:rPr>
            </w:pPr>
            <w:r>
              <w:rPr>
                <w:rFonts w:hint="eastAsia" w:ascii="Times New Roman" w:hAnsi="Times New Roman" w:cs="Times New Roman"/>
                <w:szCs w:val="21"/>
              </w:rPr>
              <w:t>污染物</w:t>
            </w:r>
          </w:p>
        </w:tc>
        <w:tc>
          <w:tcPr>
            <w:tcW w:w="2740" w:type="dxa"/>
            <w:gridSpan w:val="4"/>
            <w:noWrap w:val="0"/>
            <w:tcMar>
              <w:top w:w="15" w:type="dxa"/>
              <w:left w:w="15" w:type="dxa"/>
              <w:right w:w="15" w:type="dxa"/>
            </w:tcMar>
            <w:vAlign w:val="center"/>
          </w:tcPr>
          <w:p w14:paraId="48B495D1">
            <w:pPr>
              <w:pStyle w:val="59"/>
              <w:rPr>
                <w:rFonts w:hint="eastAsia" w:ascii="Times New Roman" w:hAnsi="Times New Roman" w:cs="Times New Roman"/>
                <w:szCs w:val="21"/>
              </w:rPr>
            </w:pPr>
            <w:r>
              <w:rPr>
                <w:rFonts w:hint="eastAsia" w:ascii="Times New Roman" w:hAnsi="Times New Roman" w:cs="Times New Roman"/>
                <w:szCs w:val="21"/>
              </w:rPr>
              <w:t>污染物产生</w:t>
            </w:r>
          </w:p>
        </w:tc>
        <w:tc>
          <w:tcPr>
            <w:tcW w:w="1461" w:type="dxa"/>
            <w:gridSpan w:val="2"/>
            <w:noWrap w:val="0"/>
            <w:tcMar>
              <w:top w:w="15" w:type="dxa"/>
              <w:left w:w="15" w:type="dxa"/>
              <w:right w:w="15" w:type="dxa"/>
            </w:tcMar>
            <w:vAlign w:val="center"/>
          </w:tcPr>
          <w:p w14:paraId="72740489">
            <w:pPr>
              <w:pStyle w:val="59"/>
              <w:rPr>
                <w:rFonts w:hint="eastAsia" w:ascii="Times New Roman" w:hAnsi="Times New Roman" w:cs="Times New Roman"/>
                <w:szCs w:val="21"/>
              </w:rPr>
            </w:pPr>
            <w:r>
              <w:rPr>
                <w:rFonts w:hint="eastAsia" w:ascii="Times New Roman" w:hAnsi="Times New Roman" w:cs="Times New Roman"/>
                <w:szCs w:val="21"/>
              </w:rPr>
              <w:t>治理措施</w:t>
            </w:r>
          </w:p>
        </w:tc>
        <w:tc>
          <w:tcPr>
            <w:tcW w:w="2536" w:type="dxa"/>
            <w:gridSpan w:val="4"/>
            <w:noWrap w:val="0"/>
            <w:tcMar>
              <w:top w:w="15" w:type="dxa"/>
              <w:left w:w="15" w:type="dxa"/>
              <w:right w:w="15" w:type="dxa"/>
            </w:tcMar>
            <w:vAlign w:val="center"/>
          </w:tcPr>
          <w:p w14:paraId="79954FBC">
            <w:pPr>
              <w:pStyle w:val="59"/>
              <w:rPr>
                <w:rFonts w:hint="eastAsia" w:ascii="Times New Roman" w:hAnsi="Times New Roman" w:cs="Times New Roman"/>
                <w:szCs w:val="21"/>
              </w:rPr>
            </w:pPr>
            <w:r>
              <w:rPr>
                <w:rFonts w:hint="eastAsia" w:ascii="Times New Roman" w:hAnsi="Times New Roman" w:cs="Times New Roman"/>
                <w:szCs w:val="21"/>
              </w:rPr>
              <w:t>污染物排放</w:t>
            </w:r>
          </w:p>
        </w:tc>
        <w:tc>
          <w:tcPr>
            <w:tcW w:w="519" w:type="dxa"/>
            <w:vMerge w:val="restart"/>
            <w:noWrap w:val="0"/>
            <w:tcMar>
              <w:top w:w="15" w:type="dxa"/>
              <w:left w:w="15" w:type="dxa"/>
              <w:right w:w="15" w:type="dxa"/>
            </w:tcMar>
            <w:vAlign w:val="center"/>
          </w:tcPr>
          <w:p w14:paraId="2DC1836F">
            <w:pPr>
              <w:pStyle w:val="59"/>
              <w:rPr>
                <w:rFonts w:hint="eastAsia" w:ascii="Times New Roman" w:hAnsi="Times New Roman" w:cs="Times New Roman"/>
                <w:szCs w:val="21"/>
              </w:rPr>
            </w:pPr>
            <w:r>
              <w:rPr>
                <w:rFonts w:ascii="Times New Roman" w:hAnsi="Times New Roman" w:cs="Times New Roman"/>
                <w:szCs w:val="21"/>
              </w:rPr>
              <w:t>排放时间/</w:t>
            </w:r>
            <w:r>
              <w:rPr>
                <w:rFonts w:hint="eastAsia" w:ascii="Times New Roman" w:hAnsi="Times New Roman" w:cs="Times New Roman"/>
                <w:szCs w:val="21"/>
              </w:rPr>
              <w:t>d</w:t>
            </w:r>
          </w:p>
        </w:tc>
      </w:tr>
      <w:tr w14:paraId="632DA4FA">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blHeader/>
        </w:trPr>
        <w:tc>
          <w:tcPr>
            <w:tcW w:w="386" w:type="dxa"/>
            <w:vMerge w:val="continue"/>
            <w:noWrap w:val="0"/>
            <w:tcMar>
              <w:top w:w="15" w:type="dxa"/>
              <w:left w:w="15" w:type="dxa"/>
              <w:right w:w="15" w:type="dxa"/>
            </w:tcMar>
            <w:vAlign w:val="center"/>
          </w:tcPr>
          <w:p w14:paraId="12EF594C">
            <w:pPr>
              <w:pStyle w:val="59"/>
              <w:rPr>
                <w:rFonts w:hint="eastAsia" w:ascii="Times New Roman" w:hAnsi="Times New Roman" w:cs="Times New Roman"/>
                <w:szCs w:val="21"/>
              </w:rPr>
            </w:pPr>
            <w:r>
              <w:rPr>
                <w:rFonts w:hint="eastAsia" w:ascii="Times New Roman" w:hAnsi="Times New Roman" w:cs="Times New Roman"/>
                <w:szCs w:val="21"/>
              </w:rPr>
              <w:t>s</w:t>
            </w:r>
          </w:p>
        </w:tc>
        <w:tc>
          <w:tcPr>
            <w:tcW w:w="386" w:type="dxa"/>
            <w:vMerge w:val="continue"/>
            <w:noWrap w:val="0"/>
            <w:tcMar>
              <w:top w:w="15" w:type="dxa"/>
              <w:left w:w="15" w:type="dxa"/>
              <w:right w:w="15" w:type="dxa"/>
            </w:tcMar>
            <w:vAlign w:val="center"/>
          </w:tcPr>
          <w:p w14:paraId="4D804AC1">
            <w:pPr>
              <w:pStyle w:val="59"/>
              <w:rPr>
                <w:rFonts w:hint="eastAsia" w:ascii="Times New Roman" w:hAnsi="Times New Roman" w:cs="Times New Roman"/>
                <w:szCs w:val="21"/>
              </w:rPr>
            </w:pPr>
          </w:p>
        </w:tc>
        <w:tc>
          <w:tcPr>
            <w:tcW w:w="306" w:type="dxa"/>
            <w:vMerge w:val="continue"/>
            <w:noWrap w:val="0"/>
            <w:tcMar>
              <w:top w:w="15" w:type="dxa"/>
              <w:left w:w="15" w:type="dxa"/>
              <w:right w:w="15" w:type="dxa"/>
            </w:tcMar>
            <w:vAlign w:val="center"/>
          </w:tcPr>
          <w:p w14:paraId="565B0EE6">
            <w:pPr>
              <w:pStyle w:val="59"/>
              <w:rPr>
                <w:rFonts w:hint="eastAsia" w:ascii="Times New Roman" w:hAnsi="Times New Roman" w:cs="Times New Roman"/>
                <w:szCs w:val="21"/>
              </w:rPr>
            </w:pPr>
          </w:p>
        </w:tc>
        <w:tc>
          <w:tcPr>
            <w:tcW w:w="737" w:type="dxa"/>
            <w:vMerge w:val="continue"/>
            <w:noWrap w:val="0"/>
            <w:tcMar>
              <w:top w:w="15" w:type="dxa"/>
              <w:left w:w="15" w:type="dxa"/>
              <w:right w:w="15" w:type="dxa"/>
            </w:tcMar>
            <w:vAlign w:val="center"/>
          </w:tcPr>
          <w:p w14:paraId="49775508">
            <w:pPr>
              <w:pStyle w:val="59"/>
              <w:rPr>
                <w:rFonts w:hint="eastAsia" w:ascii="Times New Roman" w:hAnsi="Times New Roman" w:cs="Times New Roman"/>
                <w:szCs w:val="21"/>
              </w:rPr>
            </w:pPr>
          </w:p>
        </w:tc>
        <w:tc>
          <w:tcPr>
            <w:tcW w:w="683" w:type="dxa"/>
            <w:noWrap w:val="0"/>
            <w:tcMar>
              <w:top w:w="15" w:type="dxa"/>
              <w:left w:w="15" w:type="dxa"/>
              <w:right w:w="15" w:type="dxa"/>
            </w:tcMar>
            <w:vAlign w:val="center"/>
          </w:tcPr>
          <w:p w14:paraId="178EA11B">
            <w:pPr>
              <w:pStyle w:val="59"/>
              <w:rPr>
                <w:rFonts w:hint="eastAsia" w:ascii="Times New Roman" w:hAnsi="Times New Roman" w:cs="Times New Roman"/>
                <w:szCs w:val="21"/>
              </w:rPr>
            </w:pPr>
            <w:r>
              <w:rPr>
                <w:rFonts w:hint="eastAsia" w:ascii="Times New Roman" w:hAnsi="Times New Roman" w:cs="Times New Roman"/>
                <w:szCs w:val="21"/>
              </w:rPr>
              <w:t>核算方法</w:t>
            </w:r>
          </w:p>
        </w:tc>
        <w:tc>
          <w:tcPr>
            <w:tcW w:w="660" w:type="dxa"/>
            <w:noWrap w:val="0"/>
            <w:tcMar>
              <w:top w:w="15" w:type="dxa"/>
              <w:left w:w="15" w:type="dxa"/>
              <w:right w:w="15" w:type="dxa"/>
            </w:tcMar>
            <w:vAlign w:val="center"/>
          </w:tcPr>
          <w:p w14:paraId="6E789FBF">
            <w:pPr>
              <w:pStyle w:val="59"/>
              <w:rPr>
                <w:rFonts w:hint="eastAsia" w:ascii="Times New Roman" w:hAnsi="Times New Roman" w:cs="Times New Roman"/>
                <w:szCs w:val="21"/>
              </w:rPr>
            </w:pPr>
            <w:r>
              <w:rPr>
                <w:rFonts w:ascii="Times New Roman" w:hAnsi="Times New Roman" w:cs="Times New Roman"/>
                <w:szCs w:val="21"/>
              </w:rPr>
              <w:t>废水</w:t>
            </w:r>
            <w:r>
              <w:rPr>
                <w:rFonts w:hint="eastAsia" w:ascii="Times New Roman" w:hAnsi="Times New Roman" w:cs="Times New Roman"/>
                <w:szCs w:val="21"/>
              </w:rPr>
              <w:t>产生</w:t>
            </w:r>
            <w:r>
              <w:rPr>
                <w:rFonts w:ascii="Times New Roman" w:hAnsi="Times New Roman" w:cs="Times New Roman"/>
                <w:szCs w:val="21"/>
              </w:rPr>
              <w:t>量/（</w:t>
            </w:r>
            <w:r>
              <w:rPr>
                <w:rFonts w:hint="eastAsia" w:ascii="Times New Roman" w:hAnsi="Times New Roman" w:cs="Times New Roman"/>
                <w:szCs w:val="21"/>
              </w:rPr>
              <w:t>t/</w:t>
            </w:r>
            <w:r>
              <w:rPr>
                <w:rFonts w:hint="eastAsia" w:ascii="Times New Roman" w:hAnsi="Times New Roman" w:cs="Times New Roman"/>
                <w:szCs w:val="21"/>
                <w:lang w:val="en-US" w:eastAsia="zh-CN"/>
              </w:rPr>
              <w:t>a</w:t>
            </w:r>
            <w:r>
              <w:rPr>
                <w:rFonts w:ascii="Times New Roman" w:hAnsi="Times New Roman" w:cs="Times New Roman"/>
                <w:szCs w:val="21"/>
              </w:rPr>
              <w:t>）</w:t>
            </w:r>
          </w:p>
        </w:tc>
        <w:tc>
          <w:tcPr>
            <w:tcW w:w="623" w:type="dxa"/>
            <w:noWrap w:val="0"/>
            <w:tcMar>
              <w:top w:w="15" w:type="dxa"/>
              <w:left w:w="15" w:type="dxa"/>
              <w:right w:w="15" w:type="dxa"/>
            </w:tcMar>
            <w:vAlign w:val="center"/>
          </w:tcPr>
          <w:p w14:paraId="0AC09947">
            <w:pPr>
              <w:pStyle w:val="59"/>
              <w:rPr>
                <w:rFonts w:hint="eastAsia" w:ascii="Times New Roman" w:hAnsi="Times New Roman" w:cs="Times New Roman"/>
                <w:szCs w:val="21"/>
              </w:rPr>
            </w:pPr>
            <w:r>
              <w:rPr>
                <w:rFonts w:ascii="Times New Roman" w:hAnsi="Times New Roman" w:cs="Times New Roman"/>
                <w:szCs w:val="21"/>
              </w:rPr>
              <w:t>产生浓度/（mg/L）</w:t>
            </w:r>
          </w:p>
        </w:tc>
        <w:tc>
          <w:tcPr>
            <w:tcW w:w="774" w:type="dxa"/>
            <w:noWrap w:val="0"/>
            <w:tcMar>
              <w:top w:w="15" w:type="dxa"/>
              <w:left w:w="15" w:type="dxa"/>
              <w:right w:w="15" w:type="dxa"/>
            </w:tcMar>
            <w:vAlign w:val="center"/>
          </w:tcPr>
          <w:p w14:paraId="1B1FCCE9">
            <w:pPr>
              <w:pStyle w:val="59"/>
              <w:rPr>
                <w:rFonts w:hint="eastAsia" w:ascii="Times New Roman" w:hAnsi="Times New Roman" w:cs="Times New Roman"/>
                <w:szCs w:val="21"/>
              </w:rPr>
            </w:pPr>
            <w:r>
              <w:rPr>
                <w:rFonts w:hint="eastAsia" w:ascii="Times New Roman" w:hAnsi="Times New Roman" w:cs="Times New Roman"/>
                <w:szCs w:val="21"/>
              </w:rPr>
              <w:t>产生量</w:t>
            </w:r>
            <w:r>
              <w:rPr>
                <w:rFonts w:ascii="Times New Roman" w:hAnsi="Times New Roman" w:cs="Times New Roman"/>
                <w:szCs w:val="21"/>
              </w:rPr>
              <w:t>（</w:t>
            </w:r>
            <w:r>
              <w:rPr>
                <w:rFonts w:hint="eastAsia" w:ascii="Times New Roman" w:hAnsi="Times New Roman" w:cs="Times New Roman"/>
                <w:szCs w:val="21"/>
              </w:rPr>
              <w:t>t/</w:t>
            </w:r>
            <w:r>
              <w:rPr>
                <w:rFonts w:hint="eastAsia" w:ascii="Times New Roman" w:hAnsi="Times New Roman" w:cs="Times New Roman"/>
                <w:szCs w:val="21"/>
                <w:lang w:val="en-US" w:eastAsia="zh-CN"/>
              </w:rPr>
              <w:t>a</w:t>
            </w:r>
            <w:r>
              <w:rPr>
                <w:rFonts w:ascii="Times New Roman" w:hAnsi="Times New Roman" w:cs="Times New Roman"/>
                <w:szCs w:val="21"/>
              </w:rPr>
              <w:t>）</w:t>
            </w:r>
          </w:p>
        </w:tc>
        <w:tc>
          <w:tcPr>
            <w:tcW w:w="763" w:type="dxa"/>
            <w:noWrap w:val="0"/>
            <w:tcMar>
              <w:top w:w="15" w:type="dxa"/>
              <w:left w:w="15" w:type="dxa"/>
              <w:right w:w="15" w:type="dxa"/>
            </w:tcMar>
            <w:vAlign w:val="center"/>
          </w:tcPr>
          <w:p w14:paraId="324D5DDA">
            <w:pPr>
              <w:pStyle w:val="59"/>
              <w:rPr>
                <w:rFonts w:hint="eastAsia" w:ascii="Times New Roman" w:hAnsi="Times New Roman" w:cs="Times New Roman"/>
                <w:szCs w:val="21"/>
              </w:rPr>
            </w:pPr>
            <w:r>
              <w:rPr>
                <w:rFonts w:hint="eastAsia" w:ascii="Times New Roman" w:hAnsi="Times New Roman" w:cs="Times New Roman"/>
                <w:szCs w:val="21"/>
              </w:rPr>
              <w:t>工艺</w:t>
            </w:r>
          </w:p>
        </w:tc>
        <w:tc>
          <w:tcPr>
            <w:tcW w:w="698" w:type="dxa"/>
            <w:noWrap w:val="0"/>
            <w:tcMar>
              <w:top w:w="15" w:type="dxa"/>
              <w:left w:w="15" w:type="dxa"/>
              <w:right w:w="15" w:type="dxa"/>
            </w:tcMar>
            <w:vAlign w:val="center"/>
          </w:tcPr>
          <w:p w14:paraId="707342A8">
            <w:pPr>
              <w:pStyle w:val="59"/>
              <w:rPr>
                <w:rFonts w:hint="eastAsia" w:ascii="Times New Roman" w:hAnsi="Times New Roman" w:cs="Times New Roman"/>
                <w:szCs w:val="21"/>
              </w:rPr>
            </w:pPr>
            <w:r>
              <w:rPr>
                <w:rFonts w:ascii="Times New Roman" w:hAnsi="Times New Roman" w:cs="Times New Roman"/>
                <w:szCs w:val="21"/>
              </w:rPr>
              <w:t>效率/%</w:t>
            </w:r>
          </w:p>
        </w:tc>
        <w:tc>
          <w:tcPr>
            <w:tcW w:w="644" w:type="dxa"/>
            <w:noWrap w:val="0"/>
            <w:tcMar>
              <w:top w:w="15" w:type="dxa"/>
              <w:left w:w="15" w:type="dxa"/>
              <w:right w:w="15" w:type="dxa"/>
            </w:tcMar>
            <w:vAlign w:val="center"/>
          </w:tcPr>
          <w:p w14:paraId="3D36485E">
            <w:pPr>
              <w:pStyle w:val="59"/>
              <w:rPr>
                <w:rFonts w:hint="eastAsia" w:ascii="Times New Roman" w:hAnsi="Times New Roman" w:cs="Times New Roman"/>
                <w:szCs w:val="21"/>
              </w:rPr>
            </w:pPr>
            <w:r>
              <w:rPr>
                <w:rFonts w:hint="eastAsia" w:ascii="Times New Roman" w:hAnsi="Times New Roman" w:cs="Times New Roman"/>
                <w:szCs w:val="21"/>
              </w:rPr>
              <w:t>核算方法</w:t>
            </w:r>
          </w:p>
        </w:tc>
        <w:tc>
          <w:tcPr>
            <w:tcW w:w="623" w:type="dxa"/>
            <w:noWrap w:val="0"/>
            <w:tcMar>
              <w:top w:w="15" w:type="dxa"/>
              <w:left w:w="15" w:type="dxa"/>
              <w:right w:w="15" w:type="dxa"/>
            </w:tcMar>
            <w:vAlign w:val="center"/>
          </w:tcPr>
          <w:p w14:paraId="60617FC1">
            <w:pPr>
              <w:pStyle w:val="59"/>
              <w:rPr>
                <w:rFonts w:hint="eastAsia" w:ascii="Times New Roman" w:hAnsi="Times New Roman" w:cs="Times New Roman"/>
                <w:szCs w:val="21"/>
              </w:rPr>
            </w:pPr>
            <w:r>
              <w:rPr>
                <w:rFonts w:ascii="Times New Roman" w:hAnsi="Times New Roman" w:cs="Times New Roman"/>
                <w:szCs w:val="21"/>
              </w:rPr>
              <w:t>废水</w:t>
            </w:r>
            <w:r>
              <w:rPr>
                <w:rFonts w:hint="eastAsia" w:ascii="Times New Roman" w:hAnsi="Times New Roman" w:cs="Times New Roman"/>
                <w:szCs w:val="21"/>
              </w:rPr>
              <w:t>排放</w:t>
            </w:r>
            <w:r>
              <w:rPr>
                <w:rFonts w:ascii="Times New Roman" w:hAnsi="Times New Roman" w:cs="Times New Roman"/>
                <w:szCs w:val="21"/>
              </w:rPr>
              <w:t>量/（</w:t>
            </w:r>
            <w:r>
              <w:rPr>
                <w:rFonts w:hint="eastAsia" w:ascii="Times New Roman" w:hAnsi="Times New Roman" w:cs="Times New Roman"/>
                <w:szCs w:val="21"/>
              </w:rPr>
              <w:t>t/d</w:t>
            </w:r>
            <w:r>
              <w:rPr>
                <w:rFonts w:ascii="Times New Roman" w:hAnsi="Times New Roman" w:cs="Times New Roman"/>
                <w:szCs w:val="21"/>
              </w:rPr>
              <w:t>）</w:t>
            </w:r>
          </w:p>
        </w:tc>
        <w:tc>
          <w:tcPr>
            <w:tcW w:w="585" w:type="dxa"/>
            <w:noWrap w:val="0"/>
            <w:tcMar>
              <w:top w:w="15" w:type="dxa"/>
              <w:left w:w="15" w:type="dxa"/>
              <w:right w:w="15" w:type="dxa"/>
            </w:tcMar>
            <w:vAlign w:val="center"/>
          </w:tcPr>
          <w:p w14:paraId="51891ADD">
            <w:pPr>
              <w:pStyle w:val="59"/>
              <w:rPr>
                <w:rFonts w:hint="eastAsia" w:ascii="Times New Roman" w:hAnsi="Times New Roman" w:cs="Times New Roman"/>
                <w:szCs w:val="21"/>
              </w:rPr>
            </w:pPr>
            <w:r>
              <w:rPr>
                <w:rFonts w:hint="eastAsia" w:ascii="Times New Roman" w:hAnsi="Times New Roman" w:cs="Times New Roman"/>
                <w:szCs w:val="21"/>
              </w:rPr>
              <w:t>排放</w:t>
            </w:r>
            <w:r>
              <w:rPr>
                <w:rFonts w:ascii="Times New Roman" w:hAnsi="Times New Roman" w:cs="Times New Roman"/>
                <w:szCs w:val="21"/>
              </w:rPr>
              <w:t>浓度/（mg/L）</w:t>
            </w:r>
          </w:p>
        </w:tc>
        <w:tc>
          <w:tcPr>
            <w:tcW w:w="684" w:type="dxa"/>
            <w:noWrap w:val="0"/>
            <w:tcMar>
              <w:top w:w="15" w:type="dxa"/>
              <w:left w:w="15" w:type="dxa"/>
              <w:right w:w="15" w:type="dxa"/>
            </w:tcMar>
            <w:vAlign w:val="center"/>
          </w:tcPr>
          <w:p w14:paraId="08B1F4F6">
            <w:pPr>
              <w:pStyle w:val="59"/>
              <w:rPr>
                <w:rFonts w:hint="eastAsia" w:ascii="Times New Roman" w:hAnsi="Times New Roman" w:cs="Times New Roman"/>
                <w:szCs w:val="21"/>
              </w:rPr>
            </w:pPr>
            <w:r>
              <w:rPr>
                <w:rFonts w:hint="eastAsia" w:ascii="Times New Roman" w:hAnsi="Times New Roman" w:cs="Times New Roman"/>
                <w:szCs w:val="21"/>
              </w:rPr>
              <w:t>排放</w:t>
            </w:r>
            <w:r>
              <w:rPr>
                <w:rFonts w:ascii="Times New Roman" w:hAnsi="Times New Roman" w:cs="Times New Roman"/>
                <w:szCs w:val="21"/>
              </w:rPr>
              <w:t>量/（</w:t>
            </w:r>
            <w:r>
              <w:rPr>
                <w:rFonts w:hint="eastAsia" w:ascii="Times New Roman" w:hAnsi="Times New Roman" w:cs="Times New Roman"/>
                <w:szCs w:val="21"/>
              </w:rPr>
              <w:t>t/</w:t>
            </w:r>
            <w:r>
              <w:rPr>
                <w:rFonts w:hint="eastAsia" w:ascii="Times New Roman" w:hAnsi="Times New Roman" w:cs="Times New Roman"/>
                <w:szCs w:val="21"/>
                <w:lang w:val="en-US" w:eastAsia="zh-CN"/>
              </w:rPr>
              <w:t>a</w:t>
            </w:r>
            <w:r>
              <w:rPr>
                <w:rFonts w:ascii="Times New Roman" w:hAnsi="Times New Roman" w:cs="Times New Roman"/>
                <w:szCs w:val="21"/>
              </w:rPr>
              <w:t>）</w:t>
            </w:r>
          </w:p>
        </w:tc>
        <w:tc>
          <w:tcPr>
            <w:tcW w:w="519" w:type="dxa"/>
            <w:vMerge w:val="continue"/>
            <w:noWrap w:val="0"/>
            <w:tcMar>
              <w:top w:w="15" w:type="dxa"/>
              <w:left w:w="15" w:type="dxa"/>
              <w:right w:w="15" w:type="dxa"/>
            </w:tcMar>
            <w:vAlign w:val="center"/>
          </w:tcPr>
          <w:p w14:paraId="7FE72250">
            <w:pPr>
              <w:pStyle w:val="59"/>
              <w:rPr>
                <w:rFonts w:hint="eastAsia" w:ascii="Times New Roman" w:hAnsi="Times New Roman" w:cs="Times New Roman"/>
                <w:szCs w:val="21"/>
              </w:rPr>
            </w:pPr>
          </w:p>
        </w:tc>
      </w:tr>
      <w:tr w14:paraId="5D4EAA81">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rPr>
        <w:tc>
          <w:tcPr>
            <w:tcW w:w="386" w:type="dxa"/>
            <w:vMerge w:val="restart"/>
            <w:noWrap w:val="0"/>
            <w:tcMar>
              <w:top w:w="15" w:type="dxa"/>
              <w:left w:w="15" w:type="dxa"/>
              <w:right w:w="15" w:type="dxa"/>
            </w:tcMar>
            <w:vAlign w:val="center"/>
          </w:tcPr>
          <w:p w14:paraId="63F08787">
            <w:pPr>
              <w:pStyle w:val="59"/>
              <w:rPr>
                <w:rFonts w:hint="eastAsia" w:ascii="Times New Roman" w:hAnsi="Times New Roman" w:cs="Times New Roman"/>
                <w:szCs w:val="21"/>
              </w:rPr>
            </w:pPr>
            <w:r>
              <w:rPr>
                <w:rFonts w:hint="eastAsia" w:ascii="Times New Roman" w:hAnsi="Times New Roman" w:cs="Times New Roman"/>
              </w:rPr>
              <w:t>生活区</w:t>
            </w:r>
          </w:p>
        </w:tc>
        <w:tc>
          <w:tcPr>
            <w:tcW w:w="386" w:type="dxa"/>
            <w:vMerge w:val="restart"/>
            <w:noWrap w:val="0"/>
            <w:tcMar>
              <w:top w:w="15" w:type="dxa"/>
              <w:left w:w="15" w:type="dxa"/>
              <w:right w:w="15" w:type="dxa"/>
            </w:tcMar>
            <w:vAlign w:val="center"/>
          </w:tcPr>
          <w:p w14:paraId="4012913C">
            <w:pPr>
              <w:pStyle w:val="59"/>
              <w:rPr>
                <w:rFonts w:ascii="Times New Roman" w:hAnsi="Times New Roman" w:cs="Times New Roman"/>
                <w:szCs w:val="21"/>
              </w:rPr>
            </w:pPr>
            <w:r>
              <w:rPr>
                <w:rFonts w:hint="eastAsia" w:ascii="Times New Roman" w:hAnsi="Times New Roman" w:cs="Times New Roman"/>
              </w:rPr>
              <w:t>员工厕所</w:t>
            </w:r>
          </w:p>
        </w:tc>
        <w:tc>
          <w:tcPr>
            <w:tcW w:w="306" w:type="dxa"/>
            <w:vMerge w:val="restart"/>
            <w:noWrap w:val="0"/>
            <w:tcMar>
              <w:top w:w="15" w:type="dxa"/>
              <w:left w:w="15" w:type="dxa"/>
              <w:right w:w="15" w:type="dxa"/>
            </w:tcMar>
            <w:vAlign w:val="center"/>
          </w:tcPr>
          <w:p w14:paraId="2D2E3157">
            <w:pPr>
              <w:pStyle w:val="59"/>
              <w:rPr>
                <w:rFonts w:hint="eastAsia" w:ascii="Times New Roman" w:hAnsi="Times New Roman" w:cs="Times New Roman"/>
                <w:szCs w:val="21"/>
              </w:rPr>
            </w:pPr>
            <w:r>
              <w:rPr>
                <w:rFonts w:hint="eastAsia" w:ascii="Times New Roman" w:hAnsi="Times New Roman" w:cs="Times New Roman"/>
              </w:rPr>
              <w:t>生活污水</w:t>
            </w:r>
          </w:p>
        </w:tc>
        <w:tc>
          <w:tcPr>
            <w:tcW w:w="737" w:type="dxa"/>
            <w:noWrap w:val="0"/>
            <w:tcMar>
              <w:top w:w="15" w:type="dxa"/>
              <w:left w:w="15" w:type="dxa"/>
              <w:right w:w="15" w:type="dxa"/>
            </w:tcMar>
            <w:vAlign w:val="center"/>
          </w:tcPr>
          <w:p w14:paraId="05D756CF">
            <w:pPr>
              <w:pStyle w:val="59"/>
              <w:rPr>
                <w:rFonts w:hint="eastAsia" w:ascii="Times New Roman" w:hAnsi="Times New Roman" w:cs="Times New Roman"/>
              </w:rPr>
            </w:pPr>
            <w:r>
              <w:rPr>
                <w:rFonts w:ascii="Times New Roman" w:hAnsi="Times New Roman" w:cs="Times New Roman"/>
              </w:rPr>
              <w:t>COD</w:t>
            </w:r>
          </w:p>
        </w:tc>
        <w:tc>
          <w:tcPr>
            <w:tcW w:w="683" w:type="dxa"/>
            <w:vMerge w:val="restart"/>
            <w:noWrap w:val="0"/>
            <w:tcMar>
              <w:top w:w="15" w:type="dxa"/>
              <w:left w:w="15" w:type="dxa"/>
              <w:right w:w="15" w:type="dxa"/>
            </w:tcMar>
            <w:vAlign w:val="center"/>
          </w:tcPr>
          <w:p w14:paraId="3DA3ACE7">
            <w:pPr>
              <w:pStyle w:val="59"/>
              <w:rPr>
                <w:rFonts w:ascii="Times New Roman" w:hAnsi="Times New Roman" w:cs="Times New Roman"/>
              </w:rPr>
            </w:pPr>
            <w:r>
              <w:rPr>
                <w:rFonts w:hint="eastAsia" w:ascii="Times New Roman" w:hAnsi="Times New Roman" w:cs="Times New Roman"/>
              </w:rPr>
              <w:t>产污系数法</w:t>
            </w:r>
          </w:p>
        </w:tc>
        <w:tc>
          <w:tcPr>
            <w:tcW w:w="660" w:type="dxa"/>
            <w:noWrap w:val="0"/>
            <w:tcMar>
              <w:top w:w="15" w:type="dxa"/>
              <w:left w:w="15" w:type="dxa"/>
              <w:right w:w="15" w:type="dxa"/>
            </w:tcMar>
            <w:vAlign w:val="center"/>
          </w:tcPr>
          <w:p w14:paraId="1475D9F2">
            <w:pPr>
              <w:pStyle w:val="69"/>
              <w:bidi w:val="0"/>
            </w:pPr>
            <w:r>
              <w:rPr>
                <w:rFonts w:hint="default"/>
                <w:lang w:val="en-US" w:eastAsia="zh-CN"/>
              </w:rPr>
              <w:t>270</w:t>
            </w:r>
          </w:p>
        </w:tc>
        <w:tc>
          <w:tcPr>
            <w:tcW w:w="623" w:type="dxa"/>
            <w:noWrap w:val="0"/>
            <w:tcMar>
              <w:top w:w="15" w:type="dxa"/>
              <w:left w:w="15" w:type="dxa"/>
              <w:right w:w="15" w:type="dxa"/>
            </w:tcMar>
            <w:vAlign w:val="center"/>
          </w:tcPr>
          <w:p w14:paraId="5C0B9FCB">
            <w:pPr>
              <w:pStyle w:val="69"/>
              <w:bidi w:val="0"/>
              <w:rPr>
                <w:rFonts w:hint="eastAsia"/>
              </w:rPr>
            </w:pPr>
            <w:r>
              <w:rPr>
                <w:rFonts w:hint="default"/>
                <w:lang w:val="en-US" w:eastAsia="zh-CN"/>
              </w:rPr>
              <w:t>285</w:t>
            </w:r>
          </w:p>
        </w:tc>
        <w:tc>
          <w:tcPr>
            <w:tcW w:w="774" w:type="dxa"/>
            <w:noWrap w:val="0"/>
            <w:tcMar>
              <w:top w:w="15" w:type="dxa"/>
              <w:left w:w="15" w:type="dxa"/>
              <w:right w:w="15" w:type="dxa"/>
            </w:tcMar>
            <w:vAlign w:val="center"/>
          </w:tcPr>
          <w:p w14:paraId="38DBA822">
            <w:pPr>
              <w:pStyle w:val="69"/>
              <w:bidi w:val="0"/>
            </w:pPr>
            <w:r>
              <w:rPr>
                <w:rFonts w:hint="default"/>
                <w:lang w:val="en-US" w:eastAsia="zh-CN"/>
              </w:rPr>
              <w:t xml:space="preserve">0.077 </w:t>
            </w:r>
          </w:p>
        </w:tc>
        <w:tc>
          <w:tcPr>
            <w:tcW w:w="763" w:type="dxa"/>
            <w:vMerge w:val="restart"/>
            <w:noWrap w:val="0"/>
            <w:tcMar>
              <w:top w:w="15" w:type="dxa"/>
              <w:left w:w="15" w:type="dxa"/>
              <w:right w:w="15" w:type="dxa"/>
            </w:tcMar>
            <w:vAlign w:val="center"/>
          </w:tcPr>
          <w:p w14:paraId="2C4585F8">
            <w:pPr>
              <w:pStyle w:val="69"/>
              <w:bidi w:val="0"/>
              <w:rPr>
                <w:rFonts w:hint="eastAsia"/>
              </w:rPr>
            </w:pPr>
            <w:r>
              <w:rPr>
                <w:rFonts w:hint="eastAsia"/>
                <w:lang w:val="en-US" w:eastAsia="zh-CN"/>
              </w:rPr>
              <w:t>三级化粪池</w:t>
            </w:r>
          </w:p>
        </w:tc>
        <w:tc>
          <w:tcPr>
            <w:tcW w:w="698" w:type="dxa"/>
            <w:noWrap w:val="0"/>
            <w:tcMar>
              <w:top w:w="15" w:type="dxa"/>
              <w:left w:w="15" w:type="dxa"/>
              <w:right w:w="15" w:type="dxa"/>
            </w:tcMar>
            <w:vAlign w:val="center"/>
          </w:tcPr>
          <w:p w14:paraId="4A5D5927">
            <w:pPr>
              <w:pStyle w:val="69"/>
              <w:bidi w:val="0"/>
              <w:rPr>
                <w:rFonts w:hint="eastAsia"/>
              </w:rPr>
            </w:pPr>
            <w:r>
              <w:rPr>
                <w:rFonts w:hint="default"/>
                <w:lang w:val="en-US" w:eastAsia="zh-CN"/>
              </w:rPr>
              <w:t>15%</w:t>
            </w:r>
          </w:p>
        </w:tc>
        <w:tc>
          <w:tcPr>
            <w:tcW w:w="644" w:type="dxa"/>
            <w:vMerge w:val="restart"/>
            <w:noWrap w:val="0"/>
            <w:tcMar>
              <w:top w:w="15" w:type="dxa"/>
              <w:left w:w="15" w:type="dxa"/>
              <w:right w:w="15" w:type="dxa"/>
            </w:tcMar>
            <w:vAlign w:val="center"/>
          </w:tcPr>
          <w:p w14:paraId="6EC1E778">
            <w:pPr>
              <w:pStyle w:val="69"/>
              <w:bidi w:val="0"/>
              <w:rPr>
                <w:rFonts w:hint="eastAsia"/>
              </w:rPr>
            </w:pPr>
            <w:r>
              <w:rPr>
                <w:rFonts w:hint="eastAsia"/>
                <w:lang w:val="en-US" w:eastAsia="zh-CN"/>
              </w:rPr>
              <w:t>产污系数法</w:t>
            </w:r>
          </w:p>
        </w:tc>
        <w:tc>
          <w:tcPr>
            <w:tcW w:w="623" w:type="dxa"/>
            <w:noWrap w:val="0"/>
            <w:tcMar>
              <w:top w:w="15" w:type="dxa"/>
              <w:left w:w="15" w:type="dxa"/>
              <w:right w:w="15" w:type="dxa"/>
            </w:tcMar>
            <w:vAlign w:val="center"/>
          </w:tcPr>
          <w:p w14:paraId="68C9DFDF">
            <w:pPr>
              <w:pStyle w:val="69"/>
              <w:bidi w:val="0"/>
            </w:pPr>
            <w:r>
              <w:rPr>
                <w:rFonts w:hint="default"/>
                <w:lang w:val="en-US" w:eastAsia="zh-CN"/>
              </w:rPr>
              <w:t>270</w:t>
            </w:r>
          </w:p>
        </w:tc>
        <w:tc>
          <w:tcPr>
            <w:tcW w:w="585" w:type="dxa"/>
            <w:noWrap w:val="0"/>
            <w:tcMar>
              <w:top w:w="15" w:type="dxa"/>
              <w:left w:w="15" w:type="dxa"/>
              <w:right w:w="15" w:type="dxa"/>
            </w:tcMar>
            <w:vAlign w:val="center"/>
          </w:tcPr>
          <w:p w14:paraId="28747159">
            <w:pPr>
              <w:pStyle w:val="69"/>
              <w:bidi w:val="0"/>
            </w:pPr>
            <w:r>
              <w:rPr>
                <w:rFonts w:hint="default"/>
                <w:lang w:val="en-US" w:eastAsia="zh-CN"/>
              </w:rPr>
              <w:t>242.3</w:t>
            </w:r>
          </w:p>
        </w:tc>
        <w:tc>
          <w:tcPr>
            <w:tcW w:w="684" w:type="dxa"/>
            <w:noWrap w:val="0"/>
            <w:tcMar>
              <w:top w:w="15" w:type="dxa"/>
              <w:left w:w="15" w:type="dxa"/>
              <w:right w:w="15" w:type="dxa"/>
            </w:tcMar>
            <w:vAlign w:val="center"/>
          </w:tcPr>
          <w:p w14:paraId="20BB1B0D">
            <w:pPr>
              <w:pStyle w:val="69"/>
              <w:bidi w:val="0"/>
            </w:pPr>
            <w:r>
              <w:rPr>
                <w:rFonts w:hint="default"/>
                <w:lang w:val="en-US" w:eastAsia="zh-CN"/>
              </w:rPr>
              <w:t xml:space="preserve">0.065 </w:t>
            </w:r>
          </w:p>
        </w:tc>
        <w:tc>
          <w:tcPr>
            <w:tcW w:w="519" w:type="dxa"/>
            <w:noWrap w:val="0"/>
            <w:tcMar>
              <w:top w:w="15" w:type="dxa"/>
              <w:left w:w="15" w:type="dxa"/>
              <w:right w:w="15" w:type="dxa"/>
            </w:tcMar>
            <w:vAlign w:val="center"/>
          </w:tcPr>
          <w:p w14:paraId="6C8AC59E">
            <w:pPr>
              <w:pStyle w:val="59"/>
              <w:rPr>
                <w:rFonts w:ascii="Times New Roman" w:hAnsi="Times New Roman" w:cs="Times New Roman"/>
              </w:rPr>
            </w:pPr>
            <w:r>
              <w:rPr>
                <w:rFonts w:ascii="Times New Roman" w:hAnsi="Times New Roman" w:cs="Times New Roman"/>
              </w:rPr>
              <w:t>300</w:t>
            </w:r>
          </w:p>
        </w:tc>
      </w:tr>
      <w:tr w14:paraId="0F79B416">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rPr>
        <w:tc>
          <w:tcPr>
            <w:tcW w:w="386" w:type="dxa"/>
            <w:vMerge w:val="continue"/>
            <w:noWrap w:val="0"/>
            <w:tcMar>
              <w:top w:w="15" w:type="dxa"/>
              <w:left w:w="15" w:type="dxa"/>
              <w:right w:w="15" w:type="dxa"/>
            </w:tcMar>
            <w:vAlign w:val="center"/>
          </w:tcPr>
          <w:p w14:paraId="0F9D882C">
            <w:pPr>
              <w:pStyle w:val="59"/>
              <w:rPr>
                <w:rFonts w:hint="eastAsia" w:ascii="Times New Roman" w:hAnsi="Times New Roman" w:cs="Times New Roman"/>
                <w:szCs w:val="21"/>
              </w:rPr>
            </w:pPr>
          </w:p>
        </w:tc>
        <w:tc>
          <w:tcPr>
            <w:tcW w:w="386" w:type="dxa"/>
            <w:vMerge w:val="continue"/>
            <w:noWrap w:val="0"/>
            <w:tcMar>
              <w:top w:w="15" w:type="dxa"/>
              <w:left w:w="15" w:type="dxa"/>
              <w:right w:w="15" w:type="dxa"/>
            </w:tcMar>
            <w:vAlign w:val="center"/>
          </w:tcPr>
          <w:p w14:paraId="7515535B">
            <w:pPr>
              <w:pStyle w:val="59"/>
              <w:rPr>
                <w:rFonts w:hint="eastAsia" w:ascii="Times New Roman" w:hAnsi="Times New Roman" w:cs="Times New Roman"/>
                <w:szCs w:val="21"/>
              </w:rPr>
            </w:pPr>
          </w:p>
        </w:tc>
        <w:tc>
          <w:tcPr>
            <w:tcW w:w="306" w:type="dxa"/>
            <w:vMerge w:val="continue"/>
            <w:noWrap w:val="0"/>
            <w:tcMar>
              <w:top w:w="15" w:type="dxa"/>
              <w:left w:w="15" w:type="dxa"/>
              <w:right w:w="15" w:type="dxa"/>
            </w:tcMar>
            <w:vAlign w:val="center"/>
          </w:tcPr>
          <w:p w14:paraId="136904AE">
            <w:pPr>
              <w:pStyle w:val="59"/>
              <w:rPr>
                <w:rFonts w:hint="eastAsia" w:ascii="Times New Roman" w:hAnsi="Times New Roman" w:cs="Times New Roman"/>
                <w:szCs w:val="21"/>
              </w:rPr>
            </w:pPr>
          </w:p>
        </w:tc>
        <w:tc>
          <w:tcPr>
            <w:tcW w:w="737" w:type="dxa"/>
            <w:noWrap w:val="0"/>
            <w:tcMar>
              <w:top w:w="15" w:type="dxa"/>
              <w:left w:w="15" w:type="dxa"/>
              <w:right w:w="15" w:type="dxa"/>
            </w:tcMar>
            <w:vAlign w:val="center"/>
          </w:tcPr>
          <w:p w14:paraId="2D1B9C7C">
            <w:pPr>
              <w:pStyle w:val="59"/>
              <w:rPr>
                <w:rFonts w:hint="eastAsia" w:ascii="Times New Roman" w:hAnsi="Times New Roman" w:cs="Times New Roman"/>
              </w:rPr>
            </w:pPr>
            <w:r>
              <w:rPr>
                <w:rFonts w:ascii="Times New Roman" w:hAnsi="Times New Roman" w:cs="Times New Roman"/>
              </w:rPr>
              <w:t>BOD</w:t>
            </w:r>
            <w:r>
              <w:rPr>
                <w:rFonts w:ascii="Times New Roman" w:hAnsi="Times New Roman" w:cs="Times New Roman"/>
                <w:vertAlign w:val="subscript"/>
              </w:rPr>
              <w:t>5</w:t>
            </w:r>
          </w:p>
        </w:tc>
        <w:tc>
          <w:tcPr>
            <w:tcW w:w="683" w:type="dxa"/>
            <w:vMerge w:val="continue"/>
            <w:noWrap w:val="0"/>
            <w:tcMar>
              <w:top w:w="15" w:type="dxa"/>
              <w:left w:w="15" w:type="dxa"/>
              <w:right w:w="15" w:type="dxa"/>
            </w:tcMar>
            <w:vAlign w:val="center"/>
          </w:tcPr>
          <w:p w14:paraId="6BFDB2ED">
            <w:pPr>
              <w:pStyle w:val="59"/>
              <w:rPr>
                <w:rFonts w:hint="eastAsia" w:ascii="Times New Roman" w:hAnsi="Times New Roman" w:cs="Times New Roman"/>
              </w:rPr>
            </w:pPr>
          </w:p>
        </w:tc>
        <w:tc>
          <w:tcPr>
            <w:tcW w:w="660" w:type="dxa"/>
            <w:noWrap w:val="0"/>
            <w:tcMar>
              <w:top w:w="15" w:type="dxa"/>
              <w:left w:w="15" w:type="dxa"/>
              <w:right w:w="15" w:type="dxa"/>
            </w:tcMar>
            <w:vAlign w:val="center"/>
          </w:tcPr>
          <w:p w14:paraId="214AB1B3">
            <w:pPr>
              <w:pStyle w:val="69"/>
              <w:bidi w:val="0"/>
              <w:rPr>
                <w:rFonts w:hint="eastAsia"/>
              </w:rPr>
            </w:pPr>
            <w:r>
              <w:rPr>
                <w:rFonts w:hint="default"/>
                <w:lang w:val="en-US" w:eastAsia="zh-CN"/>
              </w:rPr>
              <w:t>270</w:t>
            </w:r>
          </w:p>
        </w:tc>
        <w:tc>
          <w:tcPr>
            <w:tcW w:w="623" w:type="dxa"/>
            <w:noWrap w:val="0"/>
            <w:tcMar>
              <w:top w:w="15" w:type="dxa"/>
              <w:left w:w="15" w:type="dxa"/>
              <w:right w:w="15" w:type="dxa"/>
            </w:tcMar>
            <w:vAlign w:val="center"/>
          </w:tcPr>
          <w:p w14:paraId="612652AA">
            <w:pPr>
              <w:pStyle w:val="69"/>
              <w:bidi w:val="0"/>
              <w:rPr>
                <w:rFonts w:hint="eastAsia"/>
              </w:rPr>
            </w:pPr>
            <w:r>
              <w:rPr>
                <w:rFonts w:hint="default"/>
                <w:lang w:val="en-US" w:eastAsia="zh-CN"/>
              </w:rPr>
              <w:t>150</w:t>
            </w:r>
          </w:p>
        </w:tc>
        <w:tc>
          <w:tcPr>
            <w:tcW w:w="774" w:type="dxa"/>
            <w:noWrap w:val="0"/>
            <w:tcMar>
              <w:top w:w="15" w:type="dxa"/>
              <w:left w:w="15" w:type="dxa"/>
              <w:right w:w="15" w:type="dxa"/>
            </w:tcMar>
            <w:vAlign w:val="center"/>
          </w:tcPr>
          <w:p w14:paraId="5FA5EC14">
            <w:pPr>
              <w:pStyle w:val="69"/>
              <w:bidi w:val="0"/>
            </w:pPr>
            <w:r>
              <w:rPr>
                <w:rFonts w:hint="default"/>
                <w:lang w:val="en-US" w:eastAsia="zh-CN"/>
              </w:rPr>
              <w:t xml:space="preserve">0.090 </w:t>
            </w:r>
          </w:p>
        </w:tc>
        <w:tc>
          <w:tcPr>
            <w:tcW w:w="763" w:type="dxa"/>
            <w:vMerge w:val="continue"/>
            <w:noWrap w:val="0"/>
            <w:tcMar>
              <w:top w:w="15" w:type="dxa"/>
              <w:left w:w="15" w:type="dxa"/>
              <w:right w:w="15" w:type="dxa"/>
            </w:tcMar>
            <w:vAlign w:val="center"/>
          </w:tcPr>
          <w:p w14:paraId="51F44736">
            <w:pPr>
              <w:pStyle w:val="69"/>
              <w:bidi w:val="0"/>
              <w:rPr>
                <w:rFonts w:hint="eastAsia"/>
              </w:rPr>
            </w:pPr>
          </w:p>
        </w:tc>
        <w:tc>
          <w:tcPr>
            <w:tcW w:w="698" w:type="dxa"/>
            <w:noWrap w:val="0"/>
            <w:tcMar>
              <w:top w:w="15" w:type="dxa"/>
              <w:left w:w="15" w:type="dxa"/>
              <w:right w:w="15" w:type="dxa"/>
            </w:tcMar>
            <w:vAlign w:val="center"/>
          </w:tcPr>
          <w:p w14:paraId="6AB8CCE2">
            <w:pPr>
              <w:pStyle w:val="69"/>
              <w:bidi w:val="0"/>
              <w:rPr>
                <w:rFonts w:hint="eastAsia"/>
              </w:rPr>
            </w:pPr>
            <w:r>
              <w:rPr>
                <w:rFonts w:hint="default"/>
                <w:lang w:val="en-US" w:eastAsia="zh-CN"/>
              </w:rPr>
              <w:t>9%</w:t>
            </w:r>
          </w:p>
        </w:tc>
        <w:tc>
          <w:tcPr>
            <w:tcW w:w="644" w:type="dxa"/>
            <w:vMerge w:val="continue"/>
            <w:noWrap w:val="0"/>
            <w:tcMar>
              <w:top w:w="15" w:type="dxa"/>
              <w:left w:w="15" w:type="dxa"/>
              <w:right w:w="15" w:type="dxa"/>
            </w:tcMar>
            <w:vAlign w:val="center"/>
          </w:tcPr>
          <w:p w14:paraId="3B66EC39">
            <w:pPr>
              <w:pStyle w:val="69"/>
              <w:bidi w:val="0"/>
              <w:rPr>
                <w:rFonts w:hint="eastAsia"/>
              </w:rPr>
            </w:pPr>
          </w:p>
        </w:tc>
        <w:tc>
          <w:tcPr>
            <w:tcW w:w="623" w:type="dxa"/>
            <w:noWrap w:val="0"/>
            <w:tcMar>
              <w:top w:w="15" w:type="dxa"/>
              <w:left w:w="15" w:type="dxa"/>
              <w:right w:w="15" w:type="dxa"/>
            </w:tcMar>
            <w:vAlign w:val="center"/>
          </w:tcPr>
          <w:p w14:paraId="4C383A53">
            <w:pPr>
              <w:pStyle w:val="69"/>
              <w:bidi w:val="0"/>
              <w:rPr>
                <w:rFonts w:hint="eastAsia"/>
              </w:rPr>
            </w:pPr>
            <w:r>
              <w:rPr>
                <w:rFonts w:hint="default"/>
                <w:lang w:val="en-US" w:eastAsia="zh-CN"/>
              </w:rPr>
              <w:t>270</w:t>
            </w:r>
          </w:p>
        </w:tc>
        <w:tc>
          <w:tcPr>
            <w:tcW w:w="585" w:type="dxa"/>
            <w:noWrap/>
            <w:tcMar>
              <w:top w:w="15" w:type="dxa"/>
              <w:left w:w="15" w:type="dxa"/>
              <w:right w:w="15" w:type="dxa"/>
            </w:tcMar>
            <w:vAlign w:val="center"/>
          </w:tcPr>
          <w:p w14:paraId="5B0D95D1">
            <w:pPr>
              <w:pStyle w:val="69"/>
              <w:bidi w:val="0"/>
            </w:pPr>
            <w:r>
              <w:rPr>
                <w:rFonts w:hint="default"/>
                <w:lang w:val="en-US" w:eastAsia="zh-CN"/>
              </w:rPr>
              <w:t>136.5</w:t>
            </w:r>
          </w:p>
        </w:tc>
        <w:tc>
          <w:tcPr>
            <w:tcW w:w="684" w:type="dxa"/>
            <w:noWrap w:val="0"/>
            <w:tcMar>
              <w:top w:w="15" w:type="dxa"/>
              <w:left w:w="15" w:type="dxa"/>
              <w:right w:w="15" w:type="dxa"/>
            </w:tcMar>
            <w:vAlign w:val="center"/>
          </w:tcPr>
          <w:p w14:paraId="0AB2768F">
            <w:pPr>
              <w:pStyle w:val="69"/>
              <w:bidi w:val="0"/>
            </w:pPr>
            <w:r>
              <w:rPr>
                <w:rFonts w:hint="default"/>
                <w:lang w:val="en-US" w:eastAsia="zh-CN"/>
              </w:rPr>
              <w:t xml:space="preserve">0.090 </w:t>
            </w:r>
          </w:p>
        </w:tc>
        <w:tc>
          <w:tcPr>
            <w:tcW w:w="519" w:type="dxa"/>
            <w:noWrap w:val="0"/>
            <w:tcMar>
              <w:top w:w="15" w:type="dxa"/>
              <w:left w:w="15" w:type="dxa"/>
              <w:right w:w="15" w:type="dxa"/>
            </w:tcMar>
            <w:vAlign w:val="center"/>
          </w:tcPr>
          <w:p w14:paraId="56123620">
            <w:pPr>
              <w:pStyle w:val="59"/>
              <w:rPr>
                <w:rFonts w:hint="eastAsia" w:ascii="Times New Roman" w:hAnsi="Times New Roman" w:cs="Times New Roman"/>
              </w:rPr>
            </w:pPr>
            <w:r>
              <w:rPr>
                <w:rFonts w:ascii="Times New Roman" w:hAnsi="Times New Roman" w:cs="Times New Roman"/>
              </w:rPr>
              <w:t>300</w:t>
            </w:r>
          </w:p>
        </w:tc>
      </w:tr>
      <w:tr w14:paraId="05F07BF6">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rPr>
        <w:tc>
          <w:tcPr>
            <w:tcW w:w="386" w:type="dxa"/>
            <w:vMerge w:val="continue"/>
            <w:noWrap w:val="0"/>
            <w:tcMar>
              <w:top w:w="15" w:type="dxa"/>
              <w:left w:w="15" w:type="dxa"/>
              <w:right w:w="15" w:type="dxa"/>
            </w:tcMar>
            <w:vAlign w:val="center"/>
          </w:tcPr>
          <w:p w14:paraId="1396C266">
            <w:pPr>
              <w:pStyle w:val="59"/>
              <w:rPr>
                <w:rFonts w:hint="eastAsia" w:ascii="Times New Roman" w:hAnsi="Times New Roman" w:cs="Times New Roman"/>
                <w:szCs w:val="21"/>
              </w:rPr>
            </w:pPr>
          </w:p>
        </w:tc>
        <w:tc>
          <w:tcPr>
            <w:tcW w:w="386" w:type="dxa"/>
            <w:vMerge w:val="continue"/>
            <w:noWrap w:val="0"/>
            <w:tcMar>
              <w:top w:w="15" w:type="dxa"/>
              <w:left w:w="15" w:type="dxa"/>
              <w:right w:w="15" w:type="dxa"/>
            </w:tcMar>
            <w:vAlign w:val="center"/>
          </w:tcPr>
          <w:p w14:paraId="4E56691B">
            <w:pPr>
              <w:pStyle w:val="59"/>
              <w:rPr>
                <w:rFonts w:hint="eastAsia" w:ascii="Times New Roman" w:hAnsi="Times New Roman" w:cs="Times New Roman"/>
                <w:szCs w:val="21"/>
              </w:rPr>
            </w:pPr>
          </w:p>
        </w:tc>
        <w:tc>
          <w:tcPr>
            <w:tcW w:w="306" w:type="dxa"/>
            <w:vMerge w:val="continue"/>
            <w:noWrap w:val="0"/>
            <w:tcMar>
              <w:top w:w="15" w:type="dxa"/>
              <w:left w:w="15" w:type="dxa"/>
              <w:right w:w="15" w:type="dxa"/>
            </w:tcMar>
            <w:vAlign w:val="center"/>
          </w:tcPr>
          <w:p w14:paraId="49C1C4B7">
            <w:pPr>
              <w:pStyle w:val="59"/>
              <w:rPr>
                <w:rFonts w:hint="eastAsia" w:ascii="Times New Roman" w:hAnsi="Times New Roman" w:cs="Times New Roman"/>
                <w:szCs w:val="21"/>
              </w:rPr>
            </w:pPr>
          </w:p>
        </w:tc>
        <w:tc>
          <w:tcPr>
            <w:tcW w:w="737" w:type="dxa"/>
            <w:noWrap w:val="0"/>
            <w:tcMar>
              <w:top w:w="15" w:type="dxa"/>
              <w:left w:w="15" w:type="dxa"/>
              <w:right w:w="15" w:type="dxa"/>
            </w:tcMar>
            <w:vAlign w:val="center"/>
          </w:tcPr>
          <w:p w14:paraId="3E4DACB8">
            <w:pPr>
              <w:pStyle w:val="59"/>
              <w:rPr>
                <w:rFonts w:hint="eastAsia" w:ascii="Times New Roman" w:hAnsi="Times New Roman" w:cs="Times New Roman"/>
              </w:rPr>
            </w:pPr>
            <w:r>
              <w:rPr>
                <w:rFonts w:hint="eastAsia" w:ascii="Times New Roman" w:hAnsi="Times New Roman" w:cs="Times New Roman"/>
              </w:rPr>
              <w:t>氨氮</w:t>
            </w:r>
          </w:p>
        </w:tc>
        <w:tc>
          <w:tcPr>
            <w:tcW w:w="683" w:type="dxa"/>
            <w:vMerge w:val="continue"/>
            <w:noWrap w:val="0"/>
            <w:tcMar>
              <w:top w:w="15" w:type="dxa"/>
              <w:left w:w="15" w:type="dxa"/>
              <w:right w:w="15" w:type="dxa"/>
            </w:tcMar>
            <w:vAlign w:val="center"/>
          </w:tcPr>
          <w:p w14:paraId="1C6C4E4D">
            <w:pPr>
              <w:pStyle w:val="59"/>
              <w:rPr>
                <w:rFonts w:hint="eastAsia" w:ascii="Times New Roman" w:hAnsi="Times New Roman" w:cs="Times New Roman"/>
              </w:rPr>
            </w:pPr>
          </w:p>
        </w:tc>
        <w:tc>
          <w:tcPr>
            <w:tcW w:w="660" w:type="dxa"/>
            <w:noWrap w:val="0"/>
            <w:tcMar>
              <w:top w:w="15" w:type="dxa"/>
              <w:left w:w="15" w:type="dxa"/>
              <w:right w:w="15" w:type="dxa"/>
            </w:tcMar>
            <w:vAlign w:val="center"/>
          </w:tcPr>
          <w:p w14:paraId="4116887F">
            <w:pPr>
              <w:pStyle w:val="69"/>
              <w:bidi w:val="0"/>
              <w:rPr>
                <w:rFonts w:hint="eastAsia"/>
              </w:rPr>
            </w:pPr>
            <w:r>
              <w:rPr>
                <w:rFonts w:hint="default"/>
                <w:lang w:val="en-US" w:eastAsia="zh-CN"/>
              </w:rPr>
              <w:t>270</w:t>
            </w:r>
          </w:p>
        </w:tc>
        <w:tc>
          <w:tcPr>
            <w:tcW w:w="623" w:type="dxa"/>
            <w:noWrap w:val="0"/>
            <w:tcMar>
              <w:top w:w="15" w:type="dxa"/>
              <w:left w:w="15" w:type="dxa"/>
              <w:right w:w="15" w:type="dxa"/>
            </w:tcMar>
            <w:vAlign w:val="center"/>
          </w:tcPr>
          <w:p w14:paraId="5BD86F98">
            <w:pPr>
              <w:pStyle w:val="69"/>
              <w:bidi w:val="0"/>
            </w:pPr>
            <w:r>
              <w:rPr>
                <w:rFonts w:hint="default"/>
                <w:lang w:val="en-US" w:eastAsia="zh-CN"/>
              </w:rPr>
              <w:t>28.3</w:t>
            </w:r>
          </w:p>
        </w:tc>
        <w:tc>
          <w:tcPr>
            <w:tcW w:w="774" w:type="dxa"/>
            <w:noWrap w:val="0"/>
            <w:tcMar>
              <w:top w:w="15" w:type="dxa"/>
              <w:left w:w="15" w:type="dxa"/>
              <w:right w:w="15" w:type="dxa"/>
            </w:tcMar>
            <w:vAlign w:val="center"/>
          </w:tcPr>
          <w:p w14:paraId="3539F41D">
            <w:pPr>
              <w:pStyle w:val="69"/>
              <w:bidi w:val="0"/>
            </w:pPr>
            <w:r>
              <w:rPr>
                <w:rFonts w:hint="default"/>
                <w:lang w:val="en-US" w:eastAsia="zh-CN"/>
              </w:rPr>
              <w:t xml:space="preserve">0.017 </w:t>
            </w:r>
          </w:p>
        </w:tc>
        <w:tc>
          <w:tcPr>
            <w:tcW w:w="763" w:type="dxa"/>
            <w:vMerge w:val="continue"/>
            <w:noWrap w:val="0"/>
            <w:tcMar>
              <w:top w:w="15" w:type="dxa"/>
              <w:left w:w="15" w:type="dxa"/>
              <w:right w:w="15" w:type="dxa"/>
            </w:tcMar>
            <w:vAlign w:val="center"/>
          </w:tcPr>
          <w:p w14:paraId="2DDB8071">
            <w:pPr>
              <w:pStyle w:val="69"/>
              <w:bidi w:val="0"/>
              <w:rPr>
                <w:rFonts w:hint="eastAsia"/>
              </w:rPr>
            </w:pPr>
          </w:p>
        </w:tc>
        <w:tc>
          <w:tcPr>
            <w:tcW w:w="698" w:type="dxa"/>
            <w:noWrap w:val="0"/>
            <w:tcMar>
              <w:top w:w="15" w:type="dxa"/>
              <w:left w:w="15" w:type="dxa"/>
              <w:right w:w="15" w:type="dxa"/>
            </w:tcMar>
            <w:vAlign w:val="center"/>
          </w:tcPr>
          <w:p w14:paraId="2DAD4D02">
            <w:pPr>
              <w:pStyle w:val="69"/>
              <w:bidi w:val="0"/>
              <w:rPr>
                <w:rFonts w:hint="eastAsia"/>
              </w:rPr>
            </w:pPr>
            <w:r>
              <w:rPr>
                <w:rFonts w:hint="default"/>
                <w:lang w:val="en-US" w:eastAsia="zh-CN"/>
              </w:rPr>
              <w:t>3%</w:t>
            </w:r>
          </w:p>
        </w:tc>
        <w:tc>
          <w:tcPr>
            <w:tcW w:w="644" w:type="dxa"/>
            <w:vMerge w:val="continue"/>
            <w:noWrap w:val="0"/>
            <w:tcMar>
              <w:top w:w="15" w:type="dxa"/>
              <w:left w:w="15" w:type="dxa"/>
              <w:right w:w="15" w:type="dxa"/>
            </w:tcMar>
            <w:vAlign w:val="center"/>
          </w:tcPr>
          <w:p w14:paraId="2E434EDE">
            <w:pPr>
              <w:pStyle w:val="69"/>
              <w:bidi w:val="0"/>
              <w:rPr>
                <w:rFonts w:hint="eastAsia"/>
              </w:rPr>
            </w:pPr>
          </w:p>
        </w:tc>
        <w:tc>
          <w:tcPr>
            <w:tcW w:w="623" w:type="dxa"/>
            <w:noWrap w:val="0"/>
            <w:tcMar>
              <w:top w:w="15" w:type="dxa"/>
              <w:left w:w="15" w:type="dxa"/>
              <w:right w:w="15" w:type="dxa"/>
            </w:tcMar>
            <w:vAlign w:val="center"/>
          </w:tcPr>
          <w:p w14:paraId="69CC573D">
            <w:pPr>
              <w:pStyle w:val="69"/>
              <w:bidi w:val="0"/>
              <w:rPr>
                <w:rFonts w:hint="eastAsia"/>
              </w:rPr>
            </w:pPr>
            <w:r>
              <w:rPr>
                <w:rFonts w:hint="default"/>
                <w:lang w:val="en-US" w:eastAsia="zh-CN"/>
              </w:rPr>
              <w:t>270</w:t>
            </w:r>
          </w:p>
        </w:tc>
        <w:tc>
          <w:tcPr>
            <w:tcW w:w="585" w:type="dxa"/>
            <w:noWrap w:val="0"/>
            <w:tcMar>
              <w:top w:w="15" w:type="dxa"/>
              <w:left w:w="15" w:type="dxa"/>
              <w:right w:w="15" w:type="dxa"/>
            </w:tcMar>
            <w:vAlign w:val="center"/>
          </w:tcPr>
          <w:p w14:paraId="01F16729">
            <w:pPr>
              <w:pStyle w:val="69"/>
              <w:bidi w:val="0"/>
              <w:rPr>
                <w:rFonts w:hint="eastAsia"/>
              </w:rPr>
            </w:pPr>
            <w:r>
              <w:rPr>
                <w:rFonts w:hint="default"/>
                <w:lang w:val="en-US" w:eastAsia="zh-CN"/>
              </w:rPr>
              <w:t>27.5</w:t>
            </w:r>
          </w:p>
        </w:tc>
        <w:tc>
          <w:tcPr>
            <w:tcW w:w="684" w:type="dxa"/>
            <w:noWrap w:val="0"/>
            <w:tcMar>
              <w:top w:w="15" w:type="dxa"/>
              <w:left w:w="15" w:type="dxa"/>
              <w:right w:w="15" w:type="dxa"/>
            </w:tcMar>
            <w:vAlign w:val="center"/>
          </w:tcPr>
          <w:p w14:paraId="18A2901E">
            <w:pPr>
              <w:pStyle w:val="69"/>
              <w:bidi w:val="0"/>
            </w:pPr>
            <w:r>
              <w:rPr>
                <w:rFonts w:hint="default"/>
                <w:lang w:val="en-US" w:eastAsia="zh-CN"/>
              </w:rPr>
              <w:t xml:space="preserve">0.017 </w:t>
            </w:r>
          </w:p>
        </w:tc>
        <w:tc>
          <w:tcPr>
            <w:tcW w:w="519" w:type="dxa"/>
            <w:noWrap w:val="0"/>
            <w:tcMar>
              <w:top w:w="15" w:type="dxa"/>
              <w:left w:w="15" w:type="dxa"/>
              <w:right w:w="15" w:type="dxa"/>
            </w:tcMar>
            <w:vAlign w:val="center"/>
          </w:tcPr>
          <w:p w14:paraId="79DE9C77">
            <w:pPr>
              <w:pStyle w:val="59"/>
              <w:rPr>
                <w:rFonts w:hint="eastAsia" w:ascii="Times New Roman" w:hAnsi="Times New Roman" w:cs="Times New Roman"/>
              </w:rPr>
            </w:pPr>
            <w:r>
              <w:rPr>
                <w:rFonts w:ascii="Times New Roman" w:hAnsi="Times New Roman" w:cs="Times New Roman"/>
              </w:rPr>
              <w:t>300</w:t>
            </w:r>
          </w:p>
        </w:tc>
      </w:tr>
      <w:tr w14:paraId="517FBE28">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rPr>
        <w:tc>
          <w:tcPr>
            <w:tcW w:w="386" w:type="dxa"/>
            <w:vMerge w:val="continue"/>
            <w:noWrap w:val="0"/>
            <w:tcMar>
              <w:top w:w="15" w:type="dxa"/>
              <w:left w:w="15" w:type="dxa"/>
              <w:right w:w="15" w:type="dxa"/>
            </w:tcMar>
            <w:vAlign w:val="center"/>
          </w:tcPr>
          <w:p w14:paraId="21283DBF">
            <w:pPr>
              <w:pStyle w:val="59"/>
              <w:rPr>
                <w:rFonts w:hint="eastAsia" w:ascii="Times New Roman" w:hAnsi="Times New Roman" w:cs="Times New Roman"/>
                <w:szCs w:val="21"/>
              </w:rPr>
            </w:pPr>
          </w:p>
        </w:tc>
        <w:tc>
          <w:tcPr>
            <w:tcW w:w="386" w:type="dxa"/>
            <w:vMerge w:val="continue"/>
            <w:noWrap w:val="0"/>
            <w:tcMar>
              <w:top w:w="15" w:type="dxa"/>
              <w:left w:w="15" w:type="dxa"/>
              <w:right w:w="15" w:type="dxa"/>
            </w:tcMar>
            <w:vAlign w:val="center"/>
          </w:tcPr>
          <w:p w14:paraId="759FE463">
            <w:pPr>
              <w:pStyle w:val="59"/>
              <w:rPr>
                <w:rFonts w:hint="eastAsia" w:ascii="Times New Roman" w:hAnsi="Times New Roman" w:cs="Times New Roman"/>
                <w:szCs w:val="21"/>
              </w:rPr>
            </w:pPr>
          </w:p>
        </w:tc>
        <w:tc>
          <w:tcPr>
            <w:tcW w:w="306" w:type="dxa"/>
            <w:vMerge w:val="continue"/>
            <w:noWrap w:val="0"/>
            <w:tcMar>
              <w:top w:w="15" w:type="dxa"/>
              <w:left w:w="15" w:type="dxa"/>
              <w:right w:w="15" w:type="dxa"/>
            </w:tcMar>
            <w:vAlign w:val="center"/>
          </w:tcPr>
          <w:p w14:paraId="3137BC74">
            <w:pPr>
              <w:pStyle w:val="59"/>
              <w:rPr>
                <w:rFonts w:hint="eastAsia" w:ascii="Times New Roman" w:hAnsi="Times New Roman" w:cs="Times New Roman"/>
                <w:szCs w:val="21"/>
              </w:rPr>
            </w:pPr>
          </w:p>
        </w:tc>
        <w:tc>
          <w:tcPr>
            <w:tcW w:w="737" w:type="dxa"/>
            <w:noWrap w:val="0"/>
            <w:tcMar>
              <w:top w:w="15" w:type="dxa"/>
              <w:left w:w="15" w:type="dxa"/>
              <w:right w:w="15" w:type="dxa"/>
            </w:tcMar>
            <w:vAlign w:val="center"/>
          </w:tcPr>
          <w:p w14:paraId="3D4E5197">
            <w:pPr>
              <w:pStyle w:val="59"/>
              <w:rPr>
                <w:rFonts w:hint="eastAsia" w:ascii="Times New Roman" w:hAnsi="Times New Roman" w:cs="Times New Roman"/>
              </w:rPr>
            </w:pPr>
            <w:r>
              <w:rPr>
                <w:rFonts w:ascii="Times New Roman" w:hAnsi="Times New Roman" w:cs="Times New Roman"/>
              </w:rPr>
              <w:t>SS</w:t>
            </w:r>
          </w:p>
        </w:tc>
        <w:tc>
          <w:tcPr>
            <w:tcW w:w="683" w:type="dxa"/>
            <w:vMerge w:val="continue"/>
            <w:noWrap w:val="0"/>
            <w:tcMar>
              <w:top w:w="15" w:type="dxa"/>
              <w:left w:w="15" w:type="dxa"/>
              <w:right w:w="15" w:type="dxa"/>
            </w:tcMar>
            <w:vAlign w:val="center"/>
          </w:tcPr>
          <w:p w14:paraId="42E0A9AA">
            <w:pPr>
              <w:pStyle w:val="59"/>
              <w:rPr>
                <w:rFonts w:hint="eastAsia" w:ascii="Times New Roman" w:hAnsi="Times New Roman" w:cs="Times New Roman"/>
              </w:rPr>
            </w:pPr>
          </w:p>
        </w:tc>
        <w:tc>
          <w:tcPr>
            <w:tcW w:w="660" w:type="dxa"/>
            <w:noWrap w:val="0"/>
            <w:tcMar>
              <w:top w:w="15" w:type="dxa"/>
              <w:left w:w="15" w:type="dxa"/>
              <w:right w:w="15" w:type="dxa"/>
            </w:tcMar>
            <w:vAlign w:val="center"/>
          </w:tcPr>
          <w:p w14:paraId="0B664721">
            <w:pPr>
              <w:pStyle w:val="69"/>
              <w:bidi w:val="0"/>
            </w:pPr>
            <w:r>
              <w:rPr>
                <w:rFonts w:hint="default"/>
                <w:lang w:val="en-US" w:eastAsia="zh-CN"/>
              </w:rPr>
              <w:t>270</w:t>
            </w:r>
          </w:p>
        </w:tc>
        <w:tc>
          <w:tcPr>
            <w:tcW w:w="623" w:type="dxa"/>
            <w:noWrap w:val="0"/>
            <w:tcMar>
              <w:top w:w="15" w:type="dxa"/>
              <w:left w:w="15" w:type="dxa"/>
              <w:right w:w="15" w:type="dxa"/>
            </w:tcMar>
            <w:vAlign w:val="center"/>
          </w:tcPr>
          <w:p w14:paraId="52E639E3">
            <w:pPr>
              <w:pStyle w:val="69"/>
              <w:bidi w:val="0"/>
            </w:pPr>
            <w:r>
              <w:rPr>
                <w:rFonts w:hint="default"/>
                <w:lang w:val="en-US" w:eastAsia="zh-CN"/>
              </w:rPr>
              <w:t>100</w:t>
            </w:r>
          </w:p>
        </w:tc>
        <w:tc>
          <w:tcPr>
            <w:tcW w:w="774" w:type="dxa"/>
            <w:noWrap w:val="0"/>
            <w:tcMar>
              <w:top w:w="15" w:type="dxa"/>
              <w:left w:w="15" w:type="dxa"/>
              <w:right w:w="15" w:type="dxa"/>
            </w:tcMar>
            <w:vAlign w:val="center"/>
          </w:tcPr>
          <w:p w14:paraId="1195A725">
            <w:pPr>
              <w:pStyle w:val="69"/>
              <w:bidi w:val="0"/>
            </w:pPr>
            <w:r>
              <w:rPr>
                <w:rFonts w:hint="default"/>
                <w:lang w:val="en-US" w:eastAsia="zh-CN"/>
              </w:rPr>
              <w:t xml:space="preserve">0.060 </w:t>
            </w:r>
          </w:p>
        </w:tc>
        <w:tc>
          <w:tcPr>
            <w:tcW w:w="763" w:type="dxa"/>
            <w:vMerge w:val="continue"/>
            <w:noWrap w:val="0"/>
            <w:tcMar>
              <w:top w:w="15" w:type="dxa"/>
              <w:left w:w="15" w:type="dxa"/>
              <w:right w:w="15" w:type="dxa"/>
            </w:tcMar>
            <w:vAlign w:val="center"/>
          </w:tcPr>
          <w:p w14:paraId="4E6E7392">
            <w:pPr>
              <w:pStyle w:val="69"/>
              <w:bidi w:val="0"/>
              <w:rPr>
                <w:rFonts w:hint="eastAsia"/>
              </w:rPr>
            </w:pPr>
          </w:p>
        </w:tc>
        <w:tc>
          <w:tcPr>
            <w:tcW w:w="698" w:type="dxa"/>
            <w:noWrap w:val="0"/>
            <w:tcMar>
              <w:top w:w="15" w:type="dxa"/>
              <w:left w:w="15" w:type="dxa"/>
              <w:right w:w="15" w:type="dxa"/>
            </w:tcMar>
            <w:vAlign w:val="center"/>
          </w:tcPr>
          <w:p w14:paraId="419DA405">
            <w:pPr>
              <w:pStyle w:val="69"/>
              <w:bidi w:val="0"/>
              <w:rPr>
                <w:rFonts w:hint="eastAsia"/>
              </w:rPr>
            </w:pPr>
            <w:r>
              <w:rPr>
                <w:rFonts w:hint="default"/>
                <w:lang w:val="en-US" w:eastAsia="zh-CN"/>
              </w:rPr>
              <w:t>30%</w:t>
            </w:r>
          </w:p>
        </w:tc>
        <w:tc>
          <w:tcPr>
            <w:tcW w:w="644" w:type="dxa"/>
            <w:vMerge w:val="continue"/>
            <w:noWrap w:val="0"/>
            <w:tcMar>
              <w:top w:w="15" w:type="dxa"/>
              <w:left w:w="15" w:type="dxa"/>
              <w:right w:w="15" w:type="dxa"/>
            </w:tcMar>
            <w:vAlign w:val="center"/>
          </w:tcPr>
          <w:p w14:paraId="3E738B69">
            <w:pPr>
              <w:pStyle w:val="69"/>
              <w:bidi w:val="0"/>
              <w:rPr>
                <w:rFonts w:hint="eastAsia"/>
              </w:rPr>
            </w:pPr>
          </w:p>
        </w:tc>
        <w:tc>
          <w:tcPr>
            <w:tcW w:w="623" w:type="dxa"/>
            <w:noWrap w:val="0"/>
            <w:tcMar>
              <w:top w:w="15" w:type="dxa"/>
              <w:left w:w="15" w:type="dxa"/>
              <w:right w:w="15" w:type="dxa"/>
            </w:tcMar>
            <w:vAlign w:val="center"/>
          </w:tcPr>
          <w:p w14:paraId="33DDE4D1">
            <w:pPr>
              <w:pStyle w:val="69"/>
              <w:bidi w:val="0"/>
            </w:pPr>
            <w:r>
              <w:rPr>
                <w:rFonts w:hint="default"/>
                <w:lang w:val="en-US" w:eastAsia="zh-CN"/>
              </w:rPr>
              <w:t>270</w:t>
            </w:r>
          </w:p>
        </w:tc>
        <w:tc>
          <w:tcPr>
            <w:tcW w:w="585" w:type="dxa"/>
            <w:noWrap w:val="0"/>
            <w:tcMar>
              <w:top w:w="15" w:type="dxa"/>
              <w:left w:w="15" w:type="dxa"/>
              <w:right w:w="15" w:type="dxa"/>
            </w:tcMar>
            <w:vAlign w:val="center"/>
          </w:tcPr>
          <w:p w14:paraId="1D29B17A">
            <w:pPr>
              <w:pStyle w:val="69"/>
              <w:bidi w:val="0"/>
            </w:pPr>
            <w:r>
              <w:rPr>
                <w:rFonts w:hint="default"/>
                <w:lang w:val="en-US" w:eastAsia="zh-CN"/>
              </w:rPr>
              <w:t>70</w:t>
            </w:r>
          </w:p>
        </w:tc>
        <w:tc>
          <w:tcPr>
            <w:tcW w:w="684" w:type="dxa"/>
            <w:noWrap w:val="0"/>
            <w:tcMar>
              <w:top w:w="15" w:type="dxa"/>
              <w:left w:w="15" w:type="dxa"/>
              <w:right w:w="15" w:type="dxa"/>
            </w:tcMar>
            <w:vAlign w:val="center"/>
          </w:tcPr>
          <w:p w14:paraId="05C1B815">
            <w:pPr>
              <w:pStyle w:val="69"/>
              <w:bidi w:val="0"/>
            </w:pPr>
            <w:r>
              <w:rPr>
                <w:rFonts w:hint="default"/>
                <w:lang w:val="en-US" w:eastAsia="zh-CN"/>
              </w:rPr>
              <w:t xml:space="preserve">0.060 </w:t>
            </w:r>
          </w:p>
        </w:tc>
        <w:tc>
          <w:tcPr>
            <w:tcW w:w="519" w:type="dxa"/>
            <w:noWrap w:val="0"/>
            <w:tcMar>
              <w:top w:w="15" w:type="dxa"/>
              <w:left w:w="15" w:type="dxa"/>
              <w:right w:w="15" w:type="dxa"/>
            </w:tcMar>
            <w:vAlign w:val="center"/>
          </w:tcPr>
          <w:p w14:paraId="4539C825">
            <w:pPr>
              <w:pStyle w:val="59"/>
              <w:rPr>
                <w:rFonts w:hint="eastAsia" w:ascii="Times New Roman" w:hAnsi="Times New Roman" w:cs="Times New Roman"/>
              </w:rPr>
            </w:pPr>
            <w:r>
              <w:rPr>
                <w:rFonts w:ascii="Times New Roman" w:hAnsi="Times New Roman" w:cs="Times New Roman"/>
              </w:rPr>
              <w:t>300</w:t>
            </w:r>
          </w:p>
        </w:tc>
      </w:tr>
      <w:tr w14:paraId="29189699">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rPr>
        <w:tc>
          <w:tcPr>
            <w:tcW w:w="386" w:type="dxa"/>
            <w:vMerge w:val="continue"/>
            <w:noWrap w:val="0"/>
            <w:tcMar>
              <w:top w:w="15" w:type="dxa"/>
              <w:left w:w="15" w:type="dxa"/>
              <w:right w:w="15" w:type="dxa"/>
            </w:tcMar>
            <w:vAlign w:val="center"/>
          </w:tcPr>
          <w:p w14:paraId="1C30F4F6">
            <w:pPr>
              <w:pStyle w:val="59"/>
              <w:rPr>
                <w:rFonts w:hint="eastAsia" w:ascii="Times New Roman" w:hAnsi="Times New Roman" w:cs="Times New Roman"/>
                <w:szCs w:val="21"/>
              </w:rPr>
            </w:pPr>
          </w:p>
        </w:tc>
        <w:tc>
          <w:tcPr>
            <w:tcW w:w="386" w:type="dxa"/>
            <w:vMerge w:val="continue"/>
            <w:noWrap w:val="0"/>
            <w:tcMar>
              <w:top w:w="15" w:type="dxa"/>
              <w:left w:w="15" w:type="dxa"/>
              <w:right w:w="15" w:type="dxa"/>
            </w:tcMar>
            <w:vAlign w:val="center"/>
          </w:tcPr>
          <w:p w14:paraId="30AA2E1F">
            <w:pPr>
              <w:pStyle w:val="59"/>
              <w:rPr>
                <w:rFonts w:hint="eastAsia" w:ascii="Times New Roman" w:hAnsi="Times New Roman" w:cs="Times New Roman"/>
                <w:szCs w:val="21"/>
              </w:rPr>
            </w:pPr>
          </w:p>
        </w:tc>
        <w:tc>
          <w:tcPr>
            <w:tcW w:w="306" w:type="dxa"/>
            <w:vMerge w:val="continue"/>
            <w:noWrap w:val="0"/>
            <w:tcMar>
              <w:top w:w="15" w:type="dxa"/>
              <w:left w:w="15" w:type="dxa"/>
              <w:right w:w="15" w:type="dxa"/>
            </w:tcMar>
            <w:vAlign w:val="center"/>
          </w:tcPr>
          <w:p w14:paraId="17961C94">
            <w:pPr>
              <w:pStyle w:val="59"/>
              <w:rPr>
                <w:rFonts w:hint="eastAsia" w:ascii="Times New Roman" w:hAnsi="Times New Roman" w:cs="Times New Roman"/>
                <w:szCs w:val="21"/>
              </w:rPr>
            </w:pPr>
          </w:p>
        </w:tc>
        <w:tc>
          <w:tcPr>
            <w:tcW w:w="737" w:type="dxa"/>
            <w:noWrap w:val="0"/>
            <w:tcMar>
              <w:top w:w="15" w:type="dxa"/>
              <w:left w:w="15" w:type="dxa"/>
              <w:right w:w="15" w:type="dxa"/>
            </w:tcMar>
            <w:vAlign w:val="center"/>
          </w:tcPr>
          <w:p w14:paraId="04C553C8">
            <w:pPr>
              <w:pStyle w:val="59"/>
              <w:rPr>
                <w:rFonts w:hint="eastAsia" w:ascii="Times New Roman" w:hAnsi="Times New Roman" w:cs="Times New Roman"/>
              </w:rPr>
            </w:pPr>
            <w:r>
              <w:rPr>
                <w:rFonts w:hint="eastAsia" w:ascii="Times New Roman" w:hAnsi="Times New Roman" w:cs="Times New Roman"/>
              </w:rPr>
              <w:t>TN</w:t>
            </w:r>
          </w:p>
        </w:tc>
        <w:tc>
          <w:tcPr>
            <w:tcW w:w="683" w:type="dxa"/>
            <w:vMerge w:val="continue"/>
            <w:noWrap w:val="0"/>
            <w:tcMar>
              <w:top w:w="15" w:type="dxa"/>
              <w:left w:w="15" w:type="dxa"/>
              <w:right w:w="15" w:type="dxa"/>
            </w:tcMar>
            <w:vAlign w:val="center"/>
          </w:tcPr>
          <w:p w14:paraId="018E082A">
            <w:pPr>
              <w:pStyle w:val="59"/>
              <w:rPr>
                <w:rFonts w:hint="eastAsia" w:ascii="Times New Roman" w:hAnsi="Times New Roman" w:cs="Times New Roman"/>
              </w:rPr>
            </w:pPr>
          </w:p>
        </w:tc>
        <w:tc>
          <w:tcPr>
            <w:tcW w:w="660" w:type="dxa"/>
            <w:noWrap w:val="0"/>
            <w:tcMar>
              <w:top w:w="15" w:type="dxa"/>
              <w:left w:w="15" w:type="dxa"/>
              <w:right w:w="15" w:type="dxa"/>
            </w:tcMar>
            <w:vAlign w:val="center"/>
          </w:tcPr>
          <w:p w14:paraId="0F255908">
            <w:pPr>
              <w:pStyle w:val="69"/>
              <w:bidi w:val="0"/>
            </w:pPr>
            <w:r>
              <w:rPr>
                <w:rFonts w:hint="default"/>
                <w:lang w:val="en-US" w:eastAsia="zh-CN"/>
              </w:rPr>
              <w:t>270</w:t>
            </w:r>
          </w:p>
        </w:tc>
        <w:tc>
          <w:tcPr>
            <w:tcW w:w="623" w:type="dxa"/>
            <w:noWrap w:val="0"/>
            <w:tcMar>
              <w:top w:w="15" w:type="dxa"/>
              <w:left w:w="15" w:type="dxa"/>
              <w:right w:w="15" w:type="dxa"/>
            </w:tcMar>
            <w:vAlign w:val="center"/>
          </w:tcPr>
          <w:p w14:paraId="294D7206">
            <w:pPr>
              <w:pStyle w:val="69"/>
              <w:bidi w:val="0"/>
            </w:pPr>
            <w:r>
              <w:rPr>
                <w:rFonts w:hint="default"/>
                <w:lang w:val="en-US" w:eastAsia="zh-CN"/>
              </w:rPr>
              <w:t>39.4</w:t>
            </w:r>
          </w:p>
        </w:tc>
        <w:tc>
          <w:tcPr>
            <w:tcW w:w="774" w:type="dxa"/>
            <w:noWrap w:val="0"/>
            <w:tcMar>
              <w:top w:w="15" w:type="dxa"/>
              <w:left w:w="15" w:type="dxa"/>
              <w:right w:w="15" w:type="dxa"/>
            </w:tcMar>
            <w:vAlign w:val="center"/>
          </w:tcPr>
          <w:p w14:paraId="4AE89600">
            <w:pPr>
              <w:pStyle w:val="69"/>
              <w:bidi w:val="0"/>
            </w:pPr>
            <w:r>
              <w:rPr>
                <w:rFonts w:hint="default"/>
                <w:lang w:val="en-US" w:eastAsia="zh-CN"/>
              </w:rPr>
              <w:t xml:space="preserve">0.024 </w:t>
            </w:r>
          </w:p>
        </w:tc>
        <w:tc>
          <w:tcPr>
            <w:tcW w:w="763" w:type="dxa"/>
            <w:vMerge w:val="continue"/>
            <w:noWrap w:val="0"/>
            <w:tcMar>
              <w:top w:w="15" w:type="dxa"/>
              <w:left w:w="15" w:type="dxa"/>
              <w:right w:w="15" w:type="dxa"/>
            </w:tcMar>
            <w:vAlign w:val="center"/>
          </w:tcPr>
          <w:p w14:paraId="4C6E46BE">
            <w:pPr>
              <w:pStyle w:val="69"/>
              <w:bidi w:val="0"/>
              <w:rPr>
                <w:rFonts w:hint="eastAsia"/>
              </w:rPr>
            </w:pPr>
          </w:p>
        </w:tc>
        <w:tc>
          <w:tcPr>
            <w:tcW w:w="698" w:type="dxa"/>
            <w:noWrap w:val="0"/>
            <w:tcMar>
              <w:top w:w="15" w:type="dxa"/>
              <w:left w:w="15" w:type="dxa"/>
              <w:right w:w="15" w:type="dxa"/>
            </w:tcMar>
            <w:vAlign w:val="center"/>
          </w:tcPr>
          <w:p w14:paraId="7312DD9D">
            <w:pPr>
              <w:pStyle w:val="69"/>
              <w:bidi w:val="0"/>
              <w:rPr>
                <w:rFonts w:hint="eastAsia"/>
              </w:rPr>
            </w:pPr>
            <w:r>
              <w:rPr>
                <w:rFonts w:hint="default"/>
                <w:lang w:val="en-US" w:eastAsia="zh-CN"/>
              </w:rPr>
              <w:t>0</w:t>
            </w:r>
          </w:p>
        </w:tc>
        <w:tc>
          <w:tcPr>
            <w:tcW w:w="644" w:type="dxa"/>
            <w:vMerge w:val="continue"/>
            <w:noWrap w:val="0"/>
            <w:tcMar>
              <w:top w:w="15" w:type="dxa"/>
              <w:left w:w="15" w:type="dxa"/>
              <w:right w:w="15" w:type="dxa"/>
            </w:tcMar>
            <w:vAlign w:val="center"/>
          </w:tcPr>
          <w:p w14:paraId="5D813339">
            <w:pPr>
              <w:pStyle w:val="69"/>
              <w:bidi w:val="0"/>
              <w:rPr>
                <w:rFonts w:hint="eastAsia"/>
              </w:rPr>
            </w:pPr>
          </w:p>
        </w:tc>
        <w:tc>
          <w:tcPr>
            <w:tcW w:w="623" w:type="dxa"/>
            <w:noWrap w:val="0"/>
            <w:tcMar>
              <w:top w:w="15" w:type="dxa"/>
              <w:left w:w="15" w:type="dxa"/>
              <w:right w:w="15" w:type="dxa"/>
            </w:tcMar>
            <w:vAlign w:val="center"/>
          </w:tcPr>
          <w:p w14:paraId="0F645630">
            <w:pPr>
              <w:pStyle w:val="69"/>
              <w:bidi w:val="0"/>
            </w:pPr>
            <w:r>
              <w:rPr>
                <w:rFonts w:hint="default"/>
                <w:lang w:val="en-US" w:eastAsia="zh-CN"/>
              </w:rPr>
              <w:t>270</w:t>
            </w:r>
          </w:p>
        </w:tc>
        <w:tc>
          <w:tcPr>
            <w:tcW w:w="585" w:type="dxa"/>
            <w:noWrap w:val="0"/>
            <w:tcMar>
              <w:top w:w="15" w:type="dxa"/>
              <w:left w:w="15" w:type="dxa"/>
              <w:right w:w="15" w:type="dxa"/>
            </w:tcMar>
            <w:vAlign w:val="center"/>
          </w:tcPr>
          <w:p w14:paraId="03F8524B">
            <w:pPr>
              <w:pStyle w:val="69"/>
              <w:bidi w:val="0"/>
            </w:pPr>
            <w:r>
              <w:rPr>
                <w:rFonts w:hint="default"/>
                <w:lang w:val="en-US" w:eastAsia="zh-CN"/>
              </w:rPr>
              <w:t>39.4</w:t>
            </w:r>
          </w:p>
        </w:tc>
        <w:tc>
          <w:tcPr>
            <w:tcW w:w="684" w:type="dxa"/>
            <w:noWrap w:val="0"/>
            <w:tcMar>
              <w:top w:w="15" w:type="dxa"/>
              <w:left w:w="15" w:type="dxa"/>
              <w:right w:w="15" w:type="dxa"/>
            </w:tcMar>
            <w:vAlign w:val="center"/>
          </w:tcPr>
          <w:p w14:paraId="5967D99B">
            <w:pPr>
              <w:pStyle w:val="69"/>
              <w:bidi w:val="0"/>
            </w:pPr>
            <w:r>
              <w:rPr>
                <w:rFonts w:hint="default"/>
                <w:lang w:val="en-US" w:eastAsia="zh-CN"/>
              </w:rPr>
              <w:t xml:space="preserve">0.024 </w:t>
            </w:r>
          </w:p>
        </w:tc>
        <w:tc>
          <w:tcPr>
            <w:tcW w:w="519" w:type="dxa"/>
            <w:noWrap w:val="0"/>
            <w:tcMar>
              <w:top w:w="15" w:type="dxa"/>
              <w:left w:w="15" w:type="dxa"/>
              <w:right w:w="15" w:type="dxa"/>
            </w:tcMar>
            <w:vAlign w:val="center"/>
          </w:tcPr>
          <w:p w14:paraId="537F200C">
            <w:pPr>
              <w:pStyle w:val="59"/>
              <w:rPr>
                <w:rFonts w:hint="eastAsia" w:ascii="Times New Roman" w:hAnsi="Times New Roman" w:cs="Times New Roman"/>
              </w:rPr>
            </w:pPr>
            <w:r>
              <w:rPr>
                <w:rFonts w:ascii="Times New Roman" w:hAnsi="Times New Roman" w:cs="Times New Roman"/>
              </w:rPr>
              <w:t>300</w:t>
            </w:r>
          </w:p>
        </w:tc>
      </w:tr>
      <w:tr w14:paraId="2DA9FAF9">
        <w:tblPrEx>
          <w:tblBorders>
            <w:top w:val="single" w:color="000000" w:sz="12" w:space="0"/>
            <w:left w:val="none" w:color="auto" w:sz="0" w:space="0"/>
            <w:bottom w:val="single" w:color="000000" w:sz="12" w:space="0"/>
            <w:right w:val="none" w:color="auto" w:sz="0" w:space="0"/>
            <w:insideH w:val="single" w:color="000000" w:sz="4" w:space="0"/>
            <w:insideV w:val="single" w:color="auto" w:sz="4" w:space="0"/>
          </w:tblBorders>
          <w:tblCellMar>
            <w:top w:w="0" w:type="dxa"/>
            <w:left w:w="0" w:type="dxa"/>
            <w:bottom w:w="0" w:type="dxa"/>
            <w:right w:w="0" w:type="dxa"/>
          </w:tblCellMar>
        </w:tblPrEx>
        <w:trPr>
          <w:trHeight w:val="397" w:hRule="atLeast"/>
        </w:trPr>
        <w:tc>
          <w:tcPr>
            <w:tcW w:w="386" w:type="dxa"/>
            <w:vMerge w:val="continue"/>
            <w:noWrap w:val="0"/>
            <w:tcMar>
              <w:top w:w="15" w:type="dxa"/>
              <w:left w:w="15" w:type="dxa"/>
              <w:right w:w="15" w:type="dxa"/>
            </w:tcMar>
            <w:vAlign w:val="center"/>
          </w:tcPr>
          <w:p w14:paraId="33D8D4AB">
            <w:pPr>
              <w:pStyle w:val="59"/>
              <w:rPr>
                <w:rFonts w:hint="eastAsia" w:ascii="Times New Roman" w:hAnsi="Times New Roman" w:cs="Times New Roman"/>
                <w:szCs w:val="21"/>
              </w:rPr>
            </w:pPr>
          </w:p>
        </w:tc>
        <w:tc>
          <w:tcPr>
            <w:tcW w:w="386" w:type="dxa"/>
            <w:vMerge w:val="continue"/>
            <w:noWrap w:val="0"/>
            <w:tcMar>
              <w:top w:w="15" w:type="dxa"/>
              <w:left w:w="15" w:type="dxa"/>
              <w:right w:w="15" w:type="dxa"/>
            </w:tcMar>
            <w:vAlign w:val="center"/>
          </w:tcPr>
          <w:p w14:paraId="279CC2A7">
            <w:pPr>
              <w:pStyle w:val="59"/>
              <w:rPr>
                <w:rFonts w:hint="eastAsia" w:ascii="Times New Roman" w:hAnsi="Times New Roman" w:cs="Times New Roman"/>
                <w:szCs w:val="21"/>
              </w:rPr>
            </w:pPr>
          </w:p>
        </w:tc>
        <w:tc>
          <w:tcPr>
            <w:tcW w:w="306" w:type="dxa"/>
            <w:vMerge w:val="continue"/>
            <w:noWrap w:val="0"/>
            <w:tcMar>
              <w:top w:w="15" w:type="dxa"/>
              <w:left w:w="15" w:type="dxa"/>
              <w:right w:w="15" w:type="dxa"/>
            </w:tcMar>
            <w:vAlign w:val="center"/>
          </w:tcPr>
          <w:p w14:paraId="68F757A0">
            <w:pPr>
              <w:pStyle w:val="59"/>
              <w:rPr>
                <w:rFonts w:hint="eastAsia" w:ascii="Times New Roman" w:hAnsi="Times New Roman" w:cs="Times New Roman"/>
                <w:szCs w:val="21"/>
              </w:rPr>
            </w:pPr>
          </w:p>
        </w:tc>
        <w:tc>
          <w:tcPr>
            <w:tcW w:w="737" w:type="dxa"/>
            <w:noWrap w:val="0"/>
            <w:tcMar>
              <w:top w:w="15" w:type="dxa"/>
              <w:left w:w="15" w:type="dxa"/>
              <w:right w:w="15" w:type="dxa"/>
            </w:tcMar>
            <w:vAlign w:val="center"/>
          </w:tcPr>
          <w:p w14:paraId="3EA192A7">
            <w:pPr>
              <w:pStyle w:val="59"/>
              <w:rPr>
                <w:rFonts w:ascii="Times New Roman" w:hAnsi="Times New Roman" w:cs="Times New Roman"/>
              </w:rPr>
            </w:pPr>
            <w:r>
              <w:rPr>
                <w:rFonts w:hint="eastAsia" w:ascii="Times New Roman" w:hAnsi="Times New Roman" w:cs="Times New Roman"/>
              </w:rPr>
              <w:t>TP</w:t>
            </w:r>
          </w:p>
        </w:tc>
        <w:tc>
          <w:tcPr>
            <w:tcW w:w="683" w:type="dxa"/>
            <w:vMerge w:val="continue"/>
            <w:noWrap w:val="0"/>
            <w:tcMar>
              <w:top w:w="15" w:type="dxa"/>
              <w:left w:w="15" w:type="dxa"/>
              <w:right w:w="15" w:type="dxa"/>
            </w:tcMar>
            <w:vAlign w:val="center"/>
          </w:tcPr>
          <w:p w14:paraId="6949A811">
            <w:pPr>
              <w:pStyle w:val="59"/>
              <w:rPr>
                <w:rFonts w:ascii="Times New Roman" w:hAnsi="Times New Roman" w:cs="Times New Roman"/>
              </w:rPr>
            </w:pPr>
          </w:p>
        </w:tc>
        <w:tc>
          <w:tcPr>
            <w:tcW w:w="660" w:type="dxa"/>
            <w:noWrap w:val="0"/>
            <w:tcMar>
              <w:top w:w="15" w:type="dxa"/>
              <w:left w:w="15" w:type="dxa"/>
              <w:right w:w="15" w:type="dxa"/>
            </w:tcMar>
            <w:vAlign w:val="center"/>
          </w:tcPr>
          <w:p w14:paraId="1A37A57B">
            <w:pPr>
              <w:pStyle w:val="69"/>
              <w:bidi w:val="0"/>
              <w:rPr>
                <w:rFonts w:hint="eastAsia"/>
              </w:rPr>
            </w:pPr>
            <w:r>
              <w:rPr>
                <w:rFonts w:hint="default"/>
                <w:lang w:val="en-US" w:eastAsia="zh-CN"/>
              </w:rPr>
              <w:t>270</w:t>
            </w:r>
          </w:p>
        </w:tc>
        <w:tc>
          <w:tcPr>
            <w:tcW w:w="623" w:type="dxa"/>
            <w:noWrap w:val="0"/>
            <w:tcMar>
              <w:top w:w="15" w:type="dxa"/>
              <w:left w:w="15" w:type="dxa"/>
              <w:right w:w="15" w:type="dxa"/>
            </w:tcMar>
            <w:vAlign w:val="center"/>
          </w:tcPr>
          <w:p w14:paraId="02DA5586">
            <w:pPr>
              <w:pStyle w:val="69"/>
              <w:bidi w:val="0"/>
            </w:pPr>
            <w:r>
              <w:rPr>
                <w:rFonts w:hint="default"/>
                <w:lang w:val="en-US" w:eastAsia="zh-CN"/>
              </w:rPr>
              <w:t>4.1</w:t>
            </w:r>
          </w:p>
        </w:tc>
        <w:tc>
          <w:tcPr>
            <w:tcW w:w="774" w:type="dxa"/>
            <w:noWrap w:val="0"/>
            <w:tcMar>
              <w:top w:w="15" w:type="dxa"/>
              <w:left w:w="15" w:type="dxa"/>
              <w:right w:w="15" w:type="dxa"/>
            </w:tcMar>
            <w:vAlign w:val="center"/>
          </w:tcPr>
          <w:p w14:paraId="3D9865AB">
            <w:pPr>
              <w:pStyle w:val="69"/>
              <w:bidi w:val="0"/>
            </w:pPr>
            <w:r>
              <w:rPr>
                <w:rFonts w:hint="default"/>
                <w:lang w:val="en-US" w:eastAsia="zh-CN"/>
              </w:rPr>
              <w:t xml:space="preserve">0.002 </w:t>
            </w:r>
          </w:p>
        </w:tc>
        <w:tc>
          <w:tcPr>
            <w:tcW w:w="763" w:type="dxa"/>
            <w:vMerge w:val="continue"/>
            <w:noWrap w:val="0"/>
            <w:tcMar>
              <w:top w:w="15" w:type="dxa"/>
              <w:left w:w="15" w:type="dxa"/>
              <w:right w:w="15" w:type="dxa"/>
            </w:tcMar>
            <w:vAlign w:val="center"/>
          </w:tcPr>
          <w:p w14:paraId="74A48FAA">
            <w:pPr>
              <w:pStyle w:val="69"/>
              <w:bidi w:val="0"/>
              <w:rPr>
                <w:rFonts w:hint="eastAsia"/>
              </w:rPr>
            </w:pPr>
          </w:p>
        </w:tc>
        <w:tc>
          <w:tcPr>
            <w:tcW w:w="698" w:type="dxa"/>
            <w:noWrap w:val="0"/>
            <w:tcMar>
              <w:top w:w="15" w:type="dxa"/>
              <w:left w:w="15" w:type="dxa"/>
              <w:right w:w="15" w:type="dxa"/>
            </w:tcMar>
            <w:vAlign w:val="center"/>
          </w:tcPr>
          <w:p w14:paraId="5BE31AE9">
            <w:pPr>
              <w:pStyle w:val="69"/>
              <w:bidi w:val="0"/>
              <w:rPr>
                <w:rFonts w:hint="eastAsia"/>
              </w:rPr>
            </w:pPr>
            <w:r>
              <w:rPr>
                <w:rFonts w:hint="default"/>
                <w:lang w:val="en-US" w:eastAsia="zh-CN"/>
              </w:rPr>
              <w:t>0</w:t>
            </w:r>
          </w:p>
        </w:tc>
        <w:tc>
          <w:tcPr>
            <w:tcW w:w="644" w:type="dxa"/>
            <w:vMerge w:val="continue"/>
            <w:noWrap w:val="0"/>
            <w:tcMar>
              <w:top w:w="15" w:type="dxa"/>
              <w:left w:w="15" w:type="dxa"/>
              <w:right w:w="15" w:type="dxa"/>
            </w:tcMar>
            <w:vAlign w:val="center"/>
          </w:tcPr>
          <w:p w14:paraId="50826C8F">
            <w:pPr>
              <w:pStyle w:val="69"/>
              <w:bidi w:val="0"/>
              <w:rPr>
                <w:rFonts w:hint="eastAsia"/>
              </w:rPr>
            </w:pPr>
          </w:p>
        </w:tc>
        <w:tc>
          <w:tcPr>
            <w:tcW w:w="623" w:type="dxa"/>
            <w:noWrap w:val="0"/>
            <w:tcMar>
              <w:top w:w="15" w:type="dxa"/>
              <w:left w:w="15" w:type="dxa"/>
              <w:right w:w="15" w:type="dxa"/>
            </w:tcMar>
            <w:vAlign w:val="center"/>
          </w:tcPr>
          <w:p w14:paraId="0E5AC0D6">
            <w:pPr>
              <w:pStyle w:val="69"/>
              <w:bidi w:val="0"/>
              <w:rPr>
                <w:rFonts w:hint="eastAsia"/>
              </w:rPr>
            </w:pPr>
            <w:r>
              <w:rPr>
                <w:rFonts w:hint="default"/>
                <w:lang w:val="en-US" w:eastAsia="zh-CN"/>
              </w:rPr>
              <w:t>270</w:t>
            </w:r>
          </w:p>
        </w:tc>
        <w:tc>
          <w:tcPr>
            <w:tcW w:w="585" w:type="dxa"/>
            <w:noWrap w:val="0"/>
            <w:tcMar>
              <w:top w:w="15" w:type="dxa"/>
              <w:left w:w="15" w:type="dxa"/>
              <w:right w:w="15" w:type="dxa"/>
            </w:tcMar>
            <w:vAlign w:val="center"/>
          </w:tcPr>
          <w:p w14:paraId="6CE05211">
            <w:pPr>
              <w:pStyle w:val="69"/>
              <w:bidi w:val="0"/>
              <w:rPr>
                <w:rFonts w:hint="eastAsia"/>
              </w:rPr>
            </w:pPr>
            <w:r>
              <w:rPr>
                <w:rFonts w:hint="default"/>
                <w:lang w:val="en-US" w:eastAsia="zh-CN"/>
              </w:rPr>
              <w:t>4.1</w:t>
            </w:r>
          </w:p>
        </w:tc>
        <w:tc>
          <w:tcPr>
            <w:tcW w:w="684" w:type="dxa"/>
            <w:noWrap w:val="0"/>
            <w:tcMar>
              <w:top w:w="15" w:type="dxa"/>
              <w:left w:w="15" w:type="dxa"/>
              <w:right w:w="15" w:type="dxa"/>
            </w:tcMar>
            <w:vAlign w:val="center"/>
          </w:tcPr>
          <w:p w14:paraId="443D355C">
            <w:pPr>
              <w:pStyle w:val="69"/>
              <w:bidi w:val="0"/>
            </w:pPr>
            <w:r>
              <w:rPr>
                <w:rFonts w:hint="default"/>
                <w:lang w:val="en-US" w:eastAsia="zh-CN"/>
              </w:rPr>
              <w:t xml:space="preserve">0.002 </w:t>
            </w:r>
          </w:p>
        </w:tc>
        <w:tc>
          <w:tcPr>
            <w:tcW w:w="519" w:type="dxa"/>
            <w:noWrap w:val="0"/>
            <w:tcMar>
              <w:top w:w="15" w:type="dxa"/>
              <w:left w:w="15" w:type="dxa"/>
              <w:right w:w="15" w:type="dxa"/>
            </w:tcMar>
            <w:vAlign w:val="center"/>
          </w:tcPr>
          <w:p w14:paraId="327EDAF5">
            <w:pPr>
              <w:pStyle w:val="59"/>
              <w:rPr>
                <w:rFonts w:hint="eastAsia" w:ascii="Times New Roman" w:hAnsi="Times New Roman" w:cs="Times New Roman"/>
              </w:rPr>
            </w:pPr>
            <w:r>
              <w:rPr>
                <w:rFonts w:hint="eastAsia" w:ascii="Times New Roman" w:hAnsi="Times New Roman" w:cs="Times New Roman"/>
              </w:rPr>
              <w:t>300</w:t>
            </w:r>
          </w:p>
        </w:tc>
      </w:tr>
    </w:tbl>
    <w:p w14:paraId="5FC8C5CA">
      <w:pPr>
        <w:bidi w:val="0"/>
        <w:rPr>
          <w:rFonts w:hint="default"/>
          <w:color w:val="auto"/>
          <w:lang w:val="en-US" w:eastAsia="zh-CN"/>
        </w:rPr>
      </w:pPr>
      <w:r>
        <w:rPr>
          <w:rFonts w:hint="eastAsia"/>
          <w:color w:val="auto"/>
          <w:lang w:val="en-US" w:eastAsia="zh-CN"/>
        </w:rPr>
        <w:t>根据</w:t>
      </w:r>
      <w:r>
        <w:rPr>
          <w:color w:val="auto"/>
        </w:rPr>
        <w:t>《</w:t>
      </w:r>
      <w:r>
        <w:rPr>
          <w:rFonts w:hint="eastAsia"/>
          <w:color w:val="auto"/>
          <w:lang w:eastAsia="zh-CN"/>
        </w:rPr>
        <w:t>环境影响评价技术导则 地表水环境</w:t>
      </w:r>
      <w:r>
        <w:rPr>
          <w:color w:val="auto"/>
        </w:rPr>
        <w:t>》（HJ2.3-</w:t>
      </w:r>
      <w:r>
        <w:rPr>
          <w:rFonts w:hint="eastAsia"/>
          <w:color w:val="auto"/>
        </w:rPr>
        <w:t>2018</w:t>
      </w:r>
      <w:r>
        <w:rPr>
          <w:color w:val="auto"/>
        </w:rPr>
        <w:t>）</w:t>
      </w:r>
      <w:r>
        <w:rPr>
          <w:rFonts w:hint="eastAsia"/>
          <w:color w:val="auto"/>
          <w:lang w:val="en-US" w:eastAsia="zh-CN"/>
        </w:rPr>
        <w:t>8.3.1.2</w:t>
      </w:r>
      <w:r>
        <w:rPr>
          <w:rFonts w:hint="eastAsia"/>
          <w:color w:val="auto"/>
          <w:lang w:eastAsia="zh-CN"/>
        </w:rPr>
        <w:t>，</w:t>
      </w:r>
      <w:r>
        <w:rPr>
          <w:rFonts w:hint="eastAsia"/>
          <w:color w:val="auto"/>
          <w:lang w:val="en-US" w:eastAsia="zh-CN"/>
        </w:rPr>
        <w:t>对本项目，除应核算新增源的污染物排放量外，还应核算项目建成后全厂的污染物排放量，污染源排放量为污染物的年排放量。</w:t>
      </w:r>
    </w:p>
    <w:p w14:paraId="0C6F20B9">
      <w:pPr>
        <w:pStyle w:val="62"/>
        <w:numPr>
          <w:ilvl w:val="0"/>
          <w:numId w:val="30"/>
        </w:numPr>
        <w:tabs>
          <w:tab w:val="left" w:pos="2411"/>
        </w:tabs>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废水污染物排放信息表（新建项目）</w:t>
      </w:r>
    </w:p>
    <w:tbl>
      <w:tblPr>
        <w:tblStyle w:val="3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1891"/>
        <w:gridCol w:w="2149"/>
        <w:gridCol w:w="1857"/>
        <w:gridCol w:w="1859"/>
      </w:tblGrid>
      <w:tr w14:paraId="3AA5E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21" w:type="pct"/>
            <w:noWrap w:val="0"/>
            <w:vAlign w:val="center"/>
          </w:tcPr>
          <w:p w14:paraId="5DF5DBE8">
            <w:pPr>
              <w:pStyle w:val="69"/>
              <w:bidi w:val="0"/>
              <w:rPr>
                <w:rFonts w:hint="eastAsia"/>
              </w:rPr>
            </w:pPr>
            <w:r>
              <w:rPr>
                <w:rFonts w:hint="eastAsia"/>
              </w:rPr>
              <w:t>排放口编号</w:t>
            </w:r>
          </w:p>
        </w:tc>
        <w:tc>
          <w:tcPr>
            <w:tcW w:w="1018" w:type="pct"/>
            <w:noWrap w:val="0"/>
            <w:vAlign w:val="center"/>
          </w:tcPr>
          <w:p w14:paraId="560EEF27">
            <w:pPr>
              <w:pStyle w:val="69"/>
              <w:bidi w:val="0"/>
              <w:rPr>
                <w:rFonts w:hint="eastAsia"/>
              </w:rPr>
            </w:pPr>
            <w:r>
              <w:rPr>
                <w:rFonts w:hint="eastAsia"/>
              </w:rPr>
              <w:t>污染物种类</w:t>
            </w:r>
          </w:p>
        </w:tc>
        <w:tc>
          <w:tcPr>
            <w:tcW w:w="1157" w:type="pct"/>
            <w:noWrap w:val="0"/>
            <w:vAlign w:val="center"/>
          </w:tcPr>
          <w:p w14:paraId="5E934FE0">
            <w:pPr>
              <w:pStyle w:val="69"/>
              <w:bidi w:val="0"/>
              <w:rPr>
                <w:rFonts w:hint="eastAsia"/>
              </w:rPr>
            </w:pPr>
            <w:r>
              <w:rPr>
                <w:rFonts w:hint="eastAsia"/>
              </w:rPr>
              <w:t>排放浓度mg/L</w:t>
            </w:r>
          </w:p>
        </w:tc>
        <w:tc>
          <w:tcPr>
            <w:tcW w:w="1000" w:type="pct"/>
            <w:noWrap w:val="0"/>
            <w:vAlign w:val="center"/>
          </w:tcPr>
          <w:p w14:paraId="01169AE9">
            <w:pPr>
              <w:pStyle w:val="69"/>
              <w:bidi w:val="0"/>
              <w:rPr>
                <w:rFonts w:hint="eastAsia"/>
                <w:lang w:val="en-US" w:eastAsia="zh-CN"/>
              </w:rPr>
            </w:pPr>
            <w:r>
              <w:rPr>
                <w:rFonts w:hint="eastAsia"/>
                <w:lang w:val="en-US" w:eastAsia="zh-CN"/>
              </w:rPr>
              <w:t>日排放量kg/d</w:t>
            </w:r>
          </w:p>
        </w:tc>
        <w:tc>
          <w:tcPr>
            <w:tcW w:w="1001" w:type="pct"/>
            <w:noWrap w:val="0"/>
            <w:vAlign w:val="center"/>
          </w:tcPr>
          <w:p w14:paraId="57D246AB">
            <w:pPr>
              <w:pStyle w:val="69"/>
              <w:bidi w:val="0"/>
              <w:rPr>
                <w:rFonts w:hint="eastAsia"/>
                <w:lang w:val="en-US" w:eastAsia="zh-CN"/>
              </w:rPr>
            </w:pPr>
            <w:r>
              <w:rPr>
                <w:rFonts w:hint="eastAsia"/>
                <w:lang w:val="en-US" w:eastAsia="zh-CN"/>
              </w:rPr>
              <w:t>年排放量t/a</w:t>
            </w:r>
          </w:p>
        </w:tc>
      </w:tr>
      <w:tr w14:paraId="4E46E8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restart"/>
            <w:noWrap w:val="0"/>
            <w:vAlign w:val="center"/>
          </w:tcPr>
          <w:p w14:paraId="4E62C2CB">
            <w:pPr>
              <w:pStyle w:val="69"/>
              <w:bidi w:val="0"/>
              <w:rPr>
                <w:rFonts w:hint="eastAsia"/>
                <w:lang w:val="en-US" w:eastAsia="zh-CN"/>
              </w:rPr>
            </w:pPr>
            <w:r>
              <w:rPr>
                <w:rFonts w:hint="eastAsia"/>
                <w:lang w:val="en-US" w:eastAsia="zh-CN"/>
              </w:rPr>
              <w:t>DW001生活污水（间接排放量）</w:t>
            </w:r>
          </w:p>
        </w:tc>
        <w:tc>
          <w:tcPr>
            <w:tcW w:w="1018" w:type="pct"/>
            <w:noWrap w:val="0"/>
            <w:vAlign w:val="center"/>
          </w:tcPr>
          <w:p w14:paraId="120EEF75">
            <w:pPr>
              <w:pStyle w:val="69"/>
              <w:bidi w:val="0"/>
              <w:rPr>
                <w:rFonts w:hint="eastAsia"/>
              </w:rPr>
            </w:pPr>
            <w:r>
              <w:rPr>
                <w:rFonts w:hint="eastAsia"/>
                <w:lang w:val="en-US" w:eastAsia="zh-CN"/>
              </w:rPr>
              <w:t>废水量</w:t>
            </w:r>
          </w:p>
        </w:tc>
        <w:tc>
          <w:tcPr>
            <w:tcW w:w="1157" w:type="pct"/>
            <w:noWrap w:val="0"/>
            <w:vAlign w:val="center"/>
          </w:tcPr>
          <w:p w14:paraId="2FF37935">
            <w:pPr>
              <w:pStyle w:val="69"/>
              <w:bidi w:val="0"/>
            </w:pPr>
            <w:r>
              <w:rPr>
                <w:rFonts w:hint="default"/>
                <w:lang w:val="en-US" w:eastAsia="zh-CN"/>
              </w:rPr>
              <w:t>/</w:t>
            </w:r>
          </w:p>
        </w:tc>
        <w:tc>
          <w:tcPr>
            <w:tcW w:w="1000" w:type="pct"/>
            <w:noWrap w:val="0"/>
            <w:vAlign w:val="center"/>
          </w:tcPr>
          <w:p w14:paraId="3B760F61">
            <w:pPr>
              <w:pStyle w:val="69"/>
              <w:bidi w:val="0"/>
              <w:rPr>
                <w:lang w:val="en-US" w:eastAsia="zh-CN"/>
              </w:rPr>
            </w:pPr>
            <w:r>
              <w:rPr>
                <w:rFonts w:hint="eastAsia"/>
                <w:lang w:val="en-US" w:eastAsia="zh-CN"/>
              </w:rPr>
              <w:t>900</w:t>
            </w:r>
          </w:p>
        </w:tc>
        <w:tc>
          <w:tcPr>
            <w:tcW w:w="1001" w:type="pct"/>
            <w:noWrap w:val="0"/>
            <w:vAlign w:val="center"/>
          </w:tcPr>
          <w:p w14:paraId="4A38C0EA">
            <w:pPr>
              <w:pStyle w:val="69"/>
              <w:bidi w:val="0"/>
              <w:rPr>
                <w:rFonts w:hint="default"/>
                <w:lang w:val="en-US" w:eastAsia="zh-CN"/>
              </w:rPr>
            </w:pPr>
            <w:r>
              <w:rPr>
                <w:rFonts w:hint="eastAsia"/>
                <w:lang w:val="en-US" w:eastAsia="zh-CN"/>
              </w:rPr>
              <w:t>270</w:t>
            </w:r>
          </w:p>
        </w:tc>
      </w:tr>
      <w:tr w14:paraId="4911EA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39282F9C">
            <w:pPr>
              <w:pStyle w:val="69"/>
              <w:bidi w:val="0"/>
              <w:rPr>
                <w:rFonts w:hint="eastAsia"/>
                <w:lang w:val="en-US" w:eastAsia="zh-CN"/>
              </w:rPr>
            </w:pPr>
          </w:p>
        </w:tc>
        <w:tc>
          <w:tcPr>
            <w:tcW w:w="1018" w:type="pct"/>
            <w:shd w:val="clear" w:color="auto" w:fill="auto"/>
            <w:noWrap w:val="0"/>
            <w:vAlign w:val="center"/>
          </w:tcPr>
          <w:p w14:paraId="0C596CC9">
            <w:pPr>
              <w:pStyle w:val="59"/>
              <w:ind w:firstLine="0" w:firstLineChars="0"/>
              <w:rPr>
                <w:rFonts w:hint="eastAsia" w:ascii="Times New Roman" w:hAnsi="Times New Roman" w:eastAsia="宋体" w:cs="Times New Roman"/>
                <w:kern w:val="0"/>
                <w:sz w:val="21"/>
                <w:szCs w:val="20"/>
                <w:lang w:val="en-US" w:eastAsia="zh-CN" w:bidi="ar-SA"/>
              </w:rPr>
            </w:pPr>
            <w:r>
              <w:rPr>
                <w:rFonts w:ascii="Times New Roman" w:hAnsi="Times New Roman" w:cs="Times New Roman"/>
              </w:rPr>
              <w:t>COD</w:t>
            </w:r>
          </w:p>
        </w:tc>
        <w:tc>
          <w:tcPr>
            <w:tcW w:w="1157" w:type="pct"/>
            <w:shd w:val="clear" w:color="auto" w:fill="auto"/>
            <w:noWrap w:val="0"/>
            <w:vAlign w:val="center"/>
          </w:tcPr>
          <w:p w14:paraId="746D46D1">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242.3</w:t>
            </w:r>
          </w:p>
        </w:tc>
        <w:tc>
          <w:tcPr>
            <w:tcW w:w="1000" w:type="pct"/>
            <w:noWrap w:val="0"/>
            <w:vAlign w:val="center"/>
          </w:tcPr>
          <w:p w14:paraId="2E2E5645">
            <w:pPr>
              <w:pStyle w:val="69"/>
              <w:bidi w:val="0"/>
              <w:rPr>
                <w:lang w:val="en-US" w:eastAsia="zh-CN"/>
              </w:rPr>
            </w:pPr>
            <w:r>
              <w:rPr>
                <w:rFonts w:hint="default"/>
                <w:lang w:val="en-US" w:eastAsia="zh-CN"/>
              </w:rPr>
              <w:t xml:space="preserve">0.218 </w:t>
            </w:r>
          </w:p>
        </w:tc>
        <w:tc>
          <w:tcPr>
            <w:tcW w:w="1001" w:type="pct"/>
            <w:noWrap w:val="0"/>
            <w:vAlign w:val="center"/>
          </w:tcPr>
          <w:p w14:paraId="634996C5">
            <w:pPr>
              <w:pStyle w:val="69"/>
              <w:bidi w:val="0"/>
              <w:rPr>
                <w:lang w:val="en-US" w:eastAsia="zh-CN"/>
              </w:rPr>
            </w:pPr>
            <w:r>
              <w:rPr>
                <w:rFonts w:hint="default"/>
                <w:lang w:val="en-US" w:eastAsia="zh-CN"/>
              </w:rPr>
              <w:t xml:space="preserve">0.065 </w:t>
            </w:r>
          </w:p>
        </w:tc>
      </w:tr>
      <w:tr w14:paraId="2C8D5C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48FDC7C7">
            <w:pPr>
              <w:pStyle w:val="69"/>
              <w:bidi w:val="0"/>
              <w:rPr>
                <w:rFonts w:hint="eastAsia"/>
                <w:lang w:val="en-US" w:eastAsia="zh-CN"/>
              </w:rPr>
            </w:pPr>
          </w:p>
        </w:tc>
        <w:tc>
          <w:tcPr>
            <w:tcW w:w="1018" w:type="pct"/>
            <w:shd w:val="clear" w:color="auto" w:fill="auto"/>
            <w:noWrap w:val="0"/>
            <w:vAlign w:val="center"/>
          </w:tcPr>
          <w:p w14:paraId="4AC2AB90">
            <w:pPr>
              <w:pStyle w:val="59"/>
              <w:ind w:firstLine="0" w:firstLineChars="0"/>
              <w:rPr>
                <w:rFonts w:hint="eastAsia" w:ascii="Times New Roman" w:hAnsi="Times New Roman" w:eastAsia="宋体" w:cs="Times New Roman"/>
                <w:kern w:val="0"/>
                <w:sz w:val="21"/>
                <w:szCs w:val="20"/>
                <w:lang w:val="en-US" w:eastAsia="zh-CN" w:bidi="ar-SA"/>
              </w:rPr>
            </w:pPr>
            <w:r>
              <w:rPr>
                <w:rFonts w:ascii="Times New Roman" w:hAnsi="Times New Roman" w:cs="Times New Roman"/>
              </w:rPr>
              <w:t>BOD</w:t>
            </w:r>
            <w:r>
              <w:rPr>
                <w:rFonts w:ascii="Times New Roman" w:hAnsi="Times New Roman" w:cs="Times New Roman"/>
                <w:vertAlign w:val="subscript"/>
              </w:rPr>
              <w:t>5</w:t>
            </w:r>
          </w:p>
        </w:tc>
        <w:tc>
          <w:tcPr>
            <w:tcW w:w="1157" w:type="pct"/>
            <w:shd w:val="clear" w:color="auto" w:fill="auto"/>
            <w:noWrap w:val="0"/>
            <w:vAlign w:val="center"/>
          </w:tcPr>
          <w:p w14:paraId="326B1677">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136.5</w:t>
            </w:r>
          </w:p>
        </w:tc>
        <w:tc>
          <w:tcPr>
            <w:tcW w:w="1000" w:type="pct"/>
            <w:noWrap w:val="0"/>
            <w:vAlign w:val="center"/>
          </w:tcPr>
          <w:p w14:paraId="4FBB9523">
            <w:pPr>
              <w:pStyle w:val="69"/>
              <w:bidi w:val="0"/>
              <w:rPr>
                <w:lang w:val="en-US" w:eastAsia="zh-CN"/>
              </w:rPr>
            </w:pPr>
            <w:r>
              <w:rPr>
                <w:rFonts w:hint="default"/>
                <w:lang w:val="en-US" w:eastAsia="zh-CN"/>
              </w:rPr>
              <w:t xml:space="preserve">0.300 </w:t>
            </w:r>
          </w:p>
        </w:tc>
        <w:tc>
          <w:tcPr>
            <w:tcW w:w="1001" w:type="pct"/>
            <w:noWrap w:val="0"/>
            <w:vAlign w:val="center"/>
          </w:tcPr>
          <w:p w14:paraId="77C350B0">
            <w:pPr>
              <w:pStyle w:val="69"/>
              <w:bidi w:val="0"/>
              <w:rPr>
                <w:lang w:val="en-US" w:eastAsia="zh-CN"/>
              </w:rPr>
            </w:pPr>
            <w:r>
              <w:rPr>
                <w:rFonts w:hint="default"/>
                <w:lang w:val="en-US" w:eastAsia="zh-CN"/>
              </w:rPr>
              <w:t xml:space="preserve">0.090 </w:t>
            </w:r>
          </w:p>
        </w:tc>
      </w:tr>
      <w:tr w14:paraId="2584F4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19A0FD85">
            <w:pPr>
              <w:pStyle w:val="69"/>
              <w:bidi w:val="0"/>
              <w:rPr>
                <w:rFonts w:hint="eastAsia"/>
                <w:lang w:val="en-US" w:eastAsia="zh-CN"/>
              </w:rPr>
            </w:pPr>
          </w:p>
        </w:tc>
        <w:tc>
          <w:tcPr>
            <w:tcW w:w="1018" w:type="pct"/>
            <w:shd w:val="clear" w:color="auto" w:fill="auto"/>
            <w:noWrap w:val="0"/>
            <w:vAlign w:val="center"/>
          </w:tcPr>
          <w:p w14:paraId="61E79971">
            <w:pPr>
              <w:pStyle w:val="59"/>
              <w:ind w:firstLine="0" w:firstLineChars="0"/>
              <w:rPr>
                <w:rFonts w:hint="eastAsia" w:ascii="Times New Roman" w:hAnsi="Times New Roman" w:eastAsia="宋体" w:cs="Times New Roman"/>
                <w:kern w:val="0"/>
                <w:sz w:val="21"/>
                <w:szCs w:val="20"/>
                <w:lang w:val="en-US" w:eastAsia="zh-CN" w:bidi="ar-SA"/>
              </w:rPr>
            </w:pPr>
            <w:r>
              <w:rPr>
                <w:rFonts w:hint="eastAsia" w:ascii="Times New Roman" w:hAnsi="Times New Roman" w:cs="Times New Roman"/>
              </w:rPr>
              <w:t>氨氮</w:t>
            </w:r>
          </w:p>
        </w:tc>
        <w:tc>
          <w:tcPr>
            <w:tcW w:w="1157" w:type="pct"/>
            <w:shd w:val="clear" w:color="auto" w:fill="auto"/>
            <w:noWrap w:val="0"/>
            <w:vAlign w:val="center"/>
          </w:tcPr>
          <w:p w14:paraId="2672E274">
            <w:pPr>
              <w:pStyle w:val="69"/>
              <w:bidi w:val="0"/>
              <w:ind w:firstLine="0" w:firstLineChars="0"/>
              <w:rPr>
                <w:rFonts w:hint="eastAsia" w:ascii="Times New Roman" w:hAnsi="Times New Roman" w:eastAsia="宋体" w:cs="Times New Roman"/>
                <w:kern w:val="2"/>
                <w:sz w:val="21"/>
                <w:szCs w:val="21"/>
                <w:lang w:val="en-US" w:eastAsia="zh-CN" w:bidi="ar-SA"/>
              </w:rPr>
            </w:pPr>
            <w:r>
              <w:rPr>
                <w:rFonts w:hint="default"/>
                <w:lang w:val="en-US" w:eastAsia="zh-CN"/>
              </w:rPr>
              <w:t>27.5</w:t>
            </w:r>
          </w:p>
        </w:tc>
        <w:tc>
          <w:tcPr>
            <w:tcW w:w="1000" w:type="pct"/>
            <w:noWrap w:val="0"/>
            <w:vAlign w:val="center"/>
          </w:tcPr>
          <w:p w14:paraId="28B6C7B1">
            <w:pPr>
              <w:pStyle w:val="69"/>
              <w:bidi w:val="0"/>
              <w:rPr>
                <w:lang w:val="en-US" w:eastAsia="zh-CN"/>
              </w:rPr>
            </w:pPr>
            <w:r>
              <w:rPr>
                <w:rFonts w:hint="default"/>
                <w:lang w:val="en-US" w:eastAsia="zh-CN"/>
              </w:rPr>
              <w:t xml:space="preserve">0.057 </w:t>
            </w:r>
          </w:p>
        </w:tc>
        <w:tc>
          <w:tcPr>
            <w:tcW w:w="1001" w:type="pct"/>
            <w:noWrap w:val="0"/>
            <w:vAlign w:val="center"/>
          </w:tcPr>
          <w:p w14:paraId="24261EDC">
            <w:pPr>
              <w:pStyle w:val="69"/>
              <w:bidi w:val="0"/>
              <w:rPr>
                <w:lang w:val="en-US" w:eastAsia="zh-CN"/>
              </w:rPr>
            </w:pPr>
            <w:r>
              <w:rPr>
                <w:rFonts w:hint="default"/>
                <w:lang w:val="en-US" w:eastAsia="zh-CN"/>
              </w:rPr>
              <w:t xml:space="preserve">0.017 </w:t>
            </w:r>
          </w:p>
        </w:tc>
      </w:tr>
      <w:tr w14:paraId="63289B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7AC25750">
            <w:pPr>
              <w:pStyle w:val="69"/>
              <w:bidi w:val="0"/>
              <w:rPr>
                <w:rFonts w:hint="eastAsia"/>
                <w:lang w:val="en-US" w:eastAsia="zh-CN"/>
              </w:rPr>
            </w:pPr>
          </w:p>
        </w:tc>
        <w:tc>
          <w:tcPr>
            <w:tcW w:w="1018" w:type="pct"/>
            <w:shd w:val="clear" w:color="auto" w:fill="auto"/>
            <w:noWrap w:val="0"/>
            <w:vAlign w:val="center"/>
          </w:tcPr>
          <w:p w14:paraId="7672DFA1">
            <w:pPr>
              <w:pStyle w:val="59"/>
              <w:ind w:firstLine="0" w:firstLineChars="0"/>
              <w:rPr>
                <w:rFonts w:hint="eastAsia" w:ascii="Times New Roman" w:hAnsi="Times New Roman" w:eastAsia="宋体" w:cs="Times New Roman"/>
                <w:kern w:val="0"/>
                <w:sz w:val="21"/>
                <w:szCs w:val="20"/>
                <w:lang w:val="en-US" w:eastAsia="zh-CN" w:bidi="ar-SA"/>
              </w:rPr>
            </w:pPr>
            <w:r>
              <w:rPr>
                <w:rFonts w:ascii="Times New Roman" w:hAnsi="Times New Roman" w:cs="Times New Roman"/>
              </w:rPr>
              <w:t>SS</w:t>
            </w:r>
          </w:p>
        </w:tc>
        <w:tc>
          <w:tcPr>
            <w:tcW w:w="1157" w:type="pct"/>
            <w:shd w:val="clear" w:color="auto" w:fill="auto"/>
            <w:noWrap w:val="0"/>
            <w:vAlign w:val="center"/>
          </w:tcPr>
          <w:p w14:paraId="1707EAC3">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70</w:t>
            </w:r>
          </w:p>
        </w:tc>
        <w:tc>
          <w:tcPr>
            <w:tcW w:w="1000" w:type="pct"/>
            <w:noWrap w:val="0"/>
            <w:vAlign w:val="center"/>
          </w:tcPr>
          <w:p w14:paraId="219AE61F">
            <w:pPr>
              <w:pStyle w:val="69"/>
              <w:bidi w:val="0"/>
              <w:rPr>
                <w:lang w:val="en-US" w:eastAsia="zh-CN"/>
              </w:rPr>
            </w:pPr>
            <w:r>
              <w:rPr>
                <w:rFonts w:hint="default"/>
                <w:lang w:val="en-US" w:eastAsia="zh-CN"/>
              </w:rPr>
              <w:t xml:space="preserve">0.200 </w:t>
            </w:r>
          </w:p>
        </w:tc>
        <w:tc>
          <w:tcPr>
            <w:tcW w:w="1001" w:type="pct"/>
            <w:noWrap w:val="0"/>
            <w:vAlign w:val="center"/>
          </w:tcPr>
          <w:p w14:paraId="140460AC">
            <w:pPr>
              <w:pStyle w:val="69"/>
              <w:bidi w:val="0"/>
              <w:rPr>
                <w:lang w:val="en-US" w:eastAsia="zh-CN"/>
              </w:rPr>
            </w:pPr>
            <w:r>
              <w:rPr>
                <w:rFonts w:hint="default"/>
                <w:lang w:val="en-US" w:eastAsia="zh-CN"/>
              </w:rPr>
              <w:t xml:space="preserve">0.060 </w:t>
            </w:r>
          </w:p>
        </w:tc>
      </w:tr>
      <w:tr w14:paraId="6FE88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5F3FE03E">
            <w:pPr>
              <w:pStyle w:val="69"/>
              <w:bidi w:val="0"/>
              <w:rPr>
                <w:rFonts w:hint="eastAsia"/>
                <w:lang w:val="en-US" w:eastAsia="zh-CN"/>
              </w:rPr>
            </w:pPr>
          </w:p>
        </w:tc>
        <w:tc>
          <w:tcPr>
            <w:tcW w:w="1018" w:type="pct"/>
            <w:shd w:val="clear" w:color="auto" w:fill="auto"/>
            <w:noWrap w:val="0"/>
            <w:vAlign w:val="center"/>
          </w:tcPr>
          <w:p w14:paraId="0FB0DFC5">
            <w:pPr>
              <w:pStyle w:val="59"/>
              <w:ind w:firstLine="0" w:firstLineChars="0"/>
              <w:rPr>
                <w:rFonts w:hint="eastAsia" w:ascii="Times New Roman" w:hAnsi="Times New Roman" w:eastAsia="宋体" w:cs="Times New Roman"/>
                <w:kern w:val="0"/>
                <w:sz w:val="21"/>
                <w:szCs w:val="20"/>
                <w:lang w:val="en-US" w:eastAsia="zh-CN" w:bidi="ar-SA"/>
              </w:rPr>
            </w:pPr>
            <w:r>
              <w:rPr>
                <w:rFonts w:hint="eastAsia" w:ascii="Times New Roman" w:hAnsi="Times New Roman" w:cs="Times New Roman"/>
              </w:rPr>
              <w:t>TN</w:t>
            </w:r>
          </w:p>
        </w:tc>
        <w:tc>
          <w:tcPr>
            <w:tcW w:w="1157" w:type="pct"/>
            <w:shd w:val="clear" w:color="auto" w:fill="auto"/>
            <w:noWrap w:val="0"/>
            <w:vAlign w:val="center"/>
          </w:tcPr>
          <w:p w14:paraId="10B28727">
            <w:pPr>
              <w:pStyle w:val="69"/>
              <w:bidi w:val="0"/>
              <w:ind w:firstLine="0" w:firstLineChars="0"/>
              <w:rPr>
                <w:rFonts w:hint="eastAsia" w:ascii="Times New Roman" w:hAnsi="Times New Roman" w:eastAsia="宋体" w:cs="Times New Roman"/>
                <w:kern w:val="2"/>
                <w:sz w:val="21"/>
                <w:szCs w:val="21"/>
                <w:lang w:val="en-US" w:eastAsia="zh-CN" w:bidi="ar-SA"/>
              </w:rPr>
            </w:pPr>
            <w:r>
              <w:rPr>
                <w:rFonts w:hint="default"/>
                <w:lang w:val="en-US" w:eastAsia="zh-CN"/>
              </w:rPr>
              <w:t>39.4</w:t>
            </w:r>
          </w:p>
        </w:tc>
        <w:tc>
          <w:tcPr>
            <w:tcW w:w="1000" w:type="pct"/>
            <w:noWrap w:val="0"/>
            <w:vAlign w:val="center"/>
          </w:tcPr>
          <w:p w14:paraId="03B85DED">
            <w:pPr>
              <w:pStyle w:val="69"/>
              <w:bidi w:val="0"/>
              <w:rPr>
                <w:rFonts w:hint="default"/>
                <w:lang w:val="en-US" w:eastAsia="zh-CN"/>
              </w:rPr>
            </w:pPr>
            <w:r>
              <w:rPr>
                <w:rFonts w:hint="default"/>
                <w:lang w:val="en-US" w:eastAsia="zh-CN"/>
              </w:rPr>
              <w:t xml:space="preserve">0.080 </w:t>
            </w:r>
          </w:p>
        </w:tc>
        <w:tc>
          <w:tcPr>
            <w:tcW w:w="1001" w:type="pct"/>
            <w:noWrap w:val="0"/>
            <w:vAlign w:val="center"/>
          </w:tcPr>
          <w:p w14:paraId="2B205C26">
            <w:pPr>
              <w:pStyle w:val="69"/>
              <w:bidi w:val="0"/>
              <w:rPr>
                <w:rFonts w:hint="default"/>
                <w:lang w:val="en-US" w:eastAsia="zh-CN"/>
              </w:rPr>
            </w:pPr>
            <w:r>
              <w:rPr>
                <w:rFonts w:hint="default"/>
                <w:lang w:val="en-US" w:eastAsia="zh-CN"/>
              </w:rPr>
              <w:t xml:space="preserve">0.024 </w:t>
            </w:r>
          </w:p>
        </w:tc>
      </w:tr>
      <w:tr w14:paraId="31BCBD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607CAD80">
            <w:pPr>
              <w:pStyle w:val="69"/>
              <w:bidi w:val="0"/>
              <w:rPr>
                <w:rFonts w:hint="eastAsia"/>
                <w:lang w:val="en-US" w:eastAsia="zh-CN"/>
              </w:rPr>
            </w:pPr>
          </w:p>
        </w:tc>
        <w:tc>
          <w:tcPr>
            <w:tcW w:w="1018" w:type="pct"/>
            <w:shd w:val="clear" w:color="auto" w:fill="auto"/>
            <w:noWrap w:val="0"/>
            <w:vAlign w:val="center"/>
          </w:tcPr>
          <w:p w14:paraId="592A3161">
            <w:pPr>
              <w:pStyle w:val="59"/>
              <w:ind w:firstLine="0" w:firstLineChars="0"/>
              <w:rPr>
                <w:rFonts w:hint="eastAsia" w:ascii="Times New Roman" w:hAnsi="Times New Roman" w:eastAsia="宋体" w:cs="Times New Roman"/>
                <w:kern w:val="0"/>
                <w:sz w:val="21"/>
                <w:szCs w:val="20"/>
                <w:lang w:val="en-US" w:eastAsia="zh-CN" w:bidi="ar-SA"/>
              </w:rPr>
            </w:pPr>
            <w:r>
              <w:rPr>
                <w:rFonts w:hint="eastAsia" w:ascii="Times New Roman" w:hAnsi="Times New Roman" w:cs="Times New Roman"/>
              </w:rPr>
              <w:t>TP</w:t>
            </w:r>
          </w:p>
        </w:tc>
        <w:tc>
          <w:tcPr>
            <w:tcW w:w="1157" w:type="pct"/>
            <w:shd w:val="clear" w:color="auto" w:fill="auto"/>
            <w:noWrap w:val="0"/>
            <w:vAlign w:val="center"/>
          </w:tcPr>
          <w:p w14:paraId="1195CF91">
            <w:pPr>
              <w:pStyle w:val="69"/>
              <w:bidi w:val="0"/>
              <w:ind w:firstLine="0" w:firstLineChars="0"/>
              <w:rPr>
                <w:rFonts w:hint="eastAsia" w:ascii="Times New Roman" w:hAnsi="Times New Roman" w:eastAsia="宋体" w:cs="Times New Roman"/>
                <w:kern w:val="2"/>
                <w:sz w:val="21"/>
                <w:szCs w:val="21"/>
                <w:lang w:val="en-US" w:eastAsia="zh-CN" w:bidi="ar-SA"/>
              </w:rPr>
            </w:pPr>
            <w:r>
              <w:rPr>
                <w:rFonts w:hint="default"/>
                <w:lang w:val="en-US" w:eastAsia="zh-CN"/>
              </w:rPr>
              <w:t>4.1</w:t>
            </w:r>
          </w:p>
        </w:tc>
        <w:tc>
          <w:tcPr>
            <w:tcW w:w="1000" w:type="pct"/>
            <w:noWrap w:val="0"/>
            <w:vAlign w:val="center"/>
          </w:tcPr>
          <w:p w14:paraId="4B51D8DC">
            <w:pPr>
              <w:pStyle w:val="69"/>
              <w:bidi w:val="0"/>
              <w:rPr>
                <w:lang w:val="en-US" w:eastAsia="zh-CN"/>
              </w:rPr>
            </w:pPr>
            <w:r>
              <w:rPr>
                <w:rFonts w:hint="default"/>
                <w:lang w:val="en-US" w:eastAsia="zh-CN"/>
              </w:rPr>
              <w:t xml:space="preserve">0.007 </w:t>
            </w:r>
          </w:p>
        </w:tc>
        <w:tc>
          <w:tcPr>
            <w:tcW w:w="1001" w:type="pct"/>
            <w:noWrap w:val="0"/>
            <w:vAlign w:val="center"/>
          </w:tcPr>
          <w:p w14:paraId="5E458F1B">
            <w:pPr>
              <w:pStyle w:val="69"/>
              <w:bidi w:val="0"/>
              <w:rPr>
                <w:lang w:val="en-US" w:eastAsia="zh-CN"/>
              </w:rPr>
            </w:pPr>
            <w:r>
              <w:rPr>
                <w:rFonts w:hint="default"/>
                <w:lang w:val="en-US" w:eastAsia="zh-CN"/>
              </w:rPr>
              <w:t xml:space="preserve">0.002 </w:t>
            </w:r>
          </w:p>
        </w:tc>
      </w:tr>
      <w:tr w14:paraId="1D1C04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restart"/>
            <w:noWrap w:val="0"/>
            <w:vAlign w:val="center"/>
          </w:tcPr>
          <w:p w14:paraId="34556ECA">
            <w:pPr>
              <w:pStyle w:val="69"/>
              <w:bidi w:val="0"/>
              <w:rPr>
                <w:rFonts w:hint="eastAsia"/>
                <w:lang w:val="en-US" w:eastAsia="zh-CN"/>
              </w:rPr>
            </w:pPr>
            <w:r>
              <w:rPr>
                <w:rFonts w:hint="eastAsia"/>
                <w:lang w:val="en-US" w:eastAsia="zh-CN"/>
              </w:rPr>
              <w:t>全厂排放口合计</w:t>
            </w:r>
          </w:p>
        </w:tc>
        <w:tc>
          <w:tcPr>
            <w:tcW w:w="1018" w:type="pct"/>
            <w:shd w:val="clear" w:color="auto" w:fill="auto"/>
            <w:noWrap w:val="0"/>
            <w:vAlign w:val="center"/>
          </w:tcPr>
          <w:p w14:paraId="7838B865">
            <w:pPr>
              <w:pStyle w:val="69"/>
              <w:bidi w:val="0"/>
              <w:ind w:firstLine="0" w:firstLineChars="0"/>
              <w:rPr>
                <w:rFonts w:hint="eastAsia" w:ascii="Times New Roman" w:hAnsi="Times New Roman" w:eastAsia="宋体" w:cs="Times New Roman"/>
                <w:kern w:val="2"/>
                <w:sz w:val="21"/>
                <w:szCs w:val="21"/>
                <w:lang w:val="en-US" w:eastAsia="zh-CN" w:bidi="ar-SA"/>
              </w:rPr>
            </w:pPr>
            <w:r>
              <w:rPr>
                <w:rFonts w:hint="eastAsia"/>
                <w:lang w:val="en-US" w:eastAsia="zh-CN"/>
              </w:rPr>
              <w:t>废水量</w:t>
            </w:r>
          </w:p>
        </w:tc>
        <w:tc>
          <w:tcPr>
            <w:tcW w:w="1157" w:type="pct"/>
            <w:shd w:val="clear" w:color="auto" w:fill="auto"/>
            <w:noWrap w:val="0"/>
            <w:vAlign w:val="center"/>
          </w:tcPr>
          <w:p w14:paraId="53E5FA26">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w:t>
            </w:r>
          </w:p>
        </w:tc>
        <w:tc>
          <w:tcPr>
            <w:tcW w:w="1000" w:type="pct"/>
            <w:shd w:val="clear" w:color="auto" w:fill="auto"/>
            <w:noWrap w:val="0"/>
            <w:vAlign w:val="center"/>
          </w:tcPr>
          <w:p w14:paraId="1F160C4B">
            <w:pPr>
              <w:pStyle w:val="69"/>
              <w:bidi w:val="0"/>
              <w:ind w:firstLine="0" w:firstLineChars="0"/>
              <w:rPr>
                <w:rFonts w:ascii="Times New Roman" w:hAnsi="Times New Roman" w:eastAsia="宋体" w:cs="Times New Roman"/>
                <w:kern w:val="2"/>
                <w:sz w:val="21"/>
                <w:szCs w:val="21"/>
                <w:lang w:val="en-US" w:eastAsia="zh-CN" w:bidi="ar-SA"/>
              </w:rPr>
            </w:pPr>
            <w:r>
              <w:rPr>
                <w:rFonts w:hint="eastAsia"/>
                <w:lang w:val="en-US" w:eastAsia="zh-CN"/>
              </w:rPr>
              <w:t>900</w:t>
            </w:r>
          </w:p>
        </w:tc>
        <w:tc>
          <w:tcPr>
            <w:tcW w:w="1001" w:type="pct"/>
            <w:shd w:val="clear" w:color="auto" w:fill="auto"/>
            <w:noWrap w:val="0"/>
            <w:vAlign w:val="center"/>
          </w:tcPr>
          <w:p w14:paraId="46AB97DA">
            <w:pPr>
              <w:pStyle w:val="69"/>
              <w:bidi w:val="0"/>
              <w:ind w:firstLine="0" w:firstLineChars="0"/>
              <w:rPr>
                <w:rFonts w:hint="default" w:ascii="Times New Roman" w:hAnsi="Times New Roman" w:eastAsia="宋体" w:cs="Times New Roman"/>
                <w:kern w:val="2"/>
                <w:sz w:val="21"/>
                <w:szCs w:val="21"/>
                <w:lang w:val="en-US" w:eastAsia="zh-CN" w:bidi="ar-SA"/>
              </w:rPr>
            </w:pPr>
            <w:r>
              <w:rPr>
                <w:rFonts w:hint="eastAsia"/>
                <w:lang w:val="en-US" w:eastAsia="zh-CN"/>
              </w:rPr>
              <w:t>270</w:t>
            </w:r>
          </w:p>
        </w:tc>
      </w:tr>
      <w:tr w14:paraId="6E58F2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43944B8D">
            <w:pPr>
              <w:pStyle w:val="69"/>
              <w:bidi w:val="0"/>
              <w:rPr>
                <w:rFonts w:hint="eastAsia"/>
                <w:lang w:val="en-US" w:eastAsia="zh-CN"/>
              </w:rPr>
            </w:pPr>
          </w:p>
        </w:tc>
        <w:tc>
          <w:tcPr>
            <w:tcW w:w="1018" w:type="pct"/>
            <w:shd w:val="clear" w:color="auto" w:fill="auto"/>
            <w:noWrap w:val="0"/>
            <w:vAlign w:val="center"/>
          </w:tcPr>
          <w:p w14:paraId="00B91FDD">
            <w:pPr>
              <w:pStyle w:val="59"/>
              <w:ind w:firstLine="0" w:firstLineChars="0"/>
              <w:rPr>
                <w:rFonts w:hint="eastAsia" w:ascii="Times New Roman" w:hAnsi="Times New Roman" w:eastAsia="宋体" w:cs="Times New Roman"/>
                <w:kern w:val="0"/>
                <w:sz w:val="21"/>
                <w:szCs w:val="20"/>
                <w:lang w:val="en-US" w:eastAsia="zh-CN" w:bidi="ar-SA"/>
              </w:rPr>
            </w:pPr>
            <w:r>
              <w:rPr>
                <w:rFonts w:ascii="Times New Roman" w:hAnsi="Times New Roman" w:cs="Times New Roman"/>
              </w:rPr>
              <w:t>COD</w:t>
            </w:r>
          </w:p>
        </w:tc>
        <w:tc>
          <w:tcPr>
            <w:tcW w:w="1157" w:type="pct"/>
            <w:shd w:val="clear" w:color="auto" w:fill="auto"/>
            <w:noWrap w:val="0"/>
            <w:vAlign w:val="center"/>
          </w:tcPr>
          <w:p w14:paraId="01858A94">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242.3</w:t>
            </w:r>
          </w:p>
        </w:tc>
        <w:tc>
          <w:tcPr>
            <w:tcW w:w="1000" w:type="pct"/>
            <w:shd w:val="clear" w:color="auto" w:fill="auto"/>
            <w:noWrap w:val="0"/>
            <w:vAlign w:val="center"/>
          </w:tcPr>
          <w:p w14:paraId="5EAD186B">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0.218 </w:t>
            </w:r>
          </w:p>
        </w:tc>
        <w:tc>
          <w:tcPr>
            <w:tcW w:w="1001" w:type="pct"/>
            <w:shd w:val="clear" w:color="auto" w:fill="auto"/>
            <w:noWrap w:val="0"/>
            <w:vAlign w:val="center"/>
          </w:tcPr>
          <w:p w14:paraId="2CBFADA6">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0.065 </w:t>
            </w:r>
          </w:p>
        </w:tc>
      </w:tr>
      <w:tr w14:paraId="4442FF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26DF54A2">
            <w:pPr>
              <w:pStyle w:val="69"/>
              <w:bidi w:val="0"/>
              <w:rPr>
                <w:rFonts w:hint="eastAsia"/>
                <w:lang w:val="en-US" w:eastAsia="zh-CN"/>
              </w:rPr>
            </w:pPr>
          </w:p>
        </w:tc>
        <w:tc>
          <w:tcPr>
            <w:tcW w:w="1018" w:type="pct"/>
            <w:shd w:val="clear" w:color="auto" w:fill="auto"/>
            <w:noWrap w:val="0"/>
            <w:vAlign w:val="center"/>
          </w:tcPr>
          <w:p w14:paraId="26E0160B">
            <w:pPr>
              <w:pStyle w:val="59"/>
              <w:ind w:firstLine="0" w:firstLineChars="0"/>
              <w:rPr>
                <w:rFonts w:hint="eastAsia" w:ascii="Times New Roman" w:hAnsi="Times New Roman" w:eastAsia="宋体" w:cs="Times New Roman"/>
                <w:kern w:val="0"/>
                <w:sz w:val="21"/>
                <w:szCs w:val="20"/>
                <w:lang w:val="en-US" w:eastAsia="zh-CN" w:bidi="ar-SA"/>
              </w:rPr>
            </w:pPr>
            <w:r>
              <w:rPr>
                <w:rFonts w:ascii="Times New Roman" w:hAnsi="Times New Roman" w:cs="Times New Roman"/>
              </w:rPr>
              <w:t>BOD</w:t>
            </w:r>
            <w:r>
              <w:rPr>
                <w:rFonts w:ascii="Times New Roman" w:hAnsi="Times New Roman" w:cs="Times New Roman"/>
                <w:vertAlign w:val="subscript"/>
              </w:rPr>
              <w:t>5</w:t>
            </w:r>
          </w:p>
        </w:tc>
        <w:tc>
          <w:tcPr>
            <w:tcW w:w="1157" w:type="pct"/>
            <w:shd w:val="clear" w:color="auto" w:fill="auto"/>
            <w:noWrap w:val="0"/>
            <w:vAlign w:val="center"/>
          </w:tcPr>
          <w:p w14:paraId="0E65FD59">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136.5</w:t>
            </w:r>
          </w:p>
        </w:tc>
        <w:tc>
          <w:tcPr>
            <w:tcW w:w="1000" w:type="pct"/>
            <w:shd w:val="clear" w:color="auto" w:fill="auto"/>
            <w:noWrap w:val="0"/>
            <w:vAlign w:val="center"/>
          </w:tcPr>
          <w:p w14:paraId="5FFBB2EE">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0.300 </w:t>
            </w:r>
          </w:p>
        </w:tc>
        <w:tc>
          <w:tcPr>
            <w:tcW w:w="1001" w:type="pct"/>
            <w:shd w:val="clear" w:color="auto" w:fill="auto"/>
            <w:noWrap w:val="0"/>
            <w:vAlign w:val="center"/>
          </w:tcPr>
          <w:p w14:paraId="68200C2C">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0.090 </w:t>
            </w:r>
          </w:p>
        </w:tc>
      </w:tr>
      <w:tr w14:paraId="25290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18746FA7">
            <w:pPr>
              <w:pStyle w:val="69"/>
              <w:bidi w:val="0"/>
              <w:rPr>
                <w:rFonts w:hint="eastAsia"/>
                <w:lang w:val="en-US" w:eastAsia="zh-CN"/>
              </w:rPr>
            </w:pPr>
          </w:p>
        </w:tc>
        <w:tc>
          <w:tcPr>
            <w:tcW w:w="1018" w:type="pct"/>
            <w:shd w:val="clear" w:color="auto" w:fill="auto"/>
            <w:noWrap w:val="0"/>
            <w:vAlign w:val="center"/>
          </w:tcPr>
          <w:p w14:paraId="3EBBEA2B">
            <w:pPr>
              <w:pStyle w:val="59"/>
              <w:ind w:firstLine="0" w:firstLineChars="0"/>
              <w:rPr>
                <w:rFonts w:hint="eastAsia" w:ascii="Times New Roman" w:hAnsi="Times New Roman" w:eastAsia="宋体" w:cs="Times New Roman"/>
                <w:kern w:val="0"/>
                <w:sz w:val="21"/>
                <w:szCs w:val="20"/>
                <w:lang w:val="en-US" w:eastAsia="zh-CN" w:bidi="ar-SA"/>
              </w:rPr>
            </w:pPr>
            <w:r>
              <w:rPr>
                <w:rFonts w:hint="eastAsia" w:ascii="Times New Roman" w:hAnsi="Times New Roman" w:cs="Times New Roman"/>
              </w:rPr>
              <w:t>氨氮</w:t>
            </w:r>
          </w:p>
        </w:tc>
        <w:tc>
          <w:tcPr>
            <w:tcW w:w="1157" w:type="pct"/>
            <w:shd w:val="clear" w:color="auto" w:fill="auto"/>
            <w:noWrap w:val="0"/>
            <w:vAlign w:val="center"/>
          </w:tcPr>
          <w:p w14:paraId="3A282578">
            <w:pPr>
              <w:pStyle w:val="69"/>
              <w:bidi w:val="0"/>
              <w:ind w:firstLine="0" w:firstLineChars="0"/>
              <w:rPr>
                <w:rFonts w:hint="eastAsia" w:ascii="Times New Roman" w:hAnsi="Times New Roman" w:eastAsia="宋体" w:cs="Times New Roman"/>
                <w:kern w:val="2"/>
                <w:sz w:val="21"/>
                <w:szCs w:val="21"/>
                <w:lang w:val="en-US" w:eastAsia="zh-CN" w:bidi="ar-SA"/>
              </w:rPr>
            </w:pPr>
            <w:r>
              <w:rPr>
                <w:rFonts w:hint="default"/>
                <w:lang w:val="en-US" w:eastAsia="zh-CN"/>
              </w:rPr>
              <w:t>27.5</w:t>
            </w:r>
          </w:p>
        </w:tc>
        <w:tc>
          <w:tcPr>
            <w:tcW w:w="1000" w:type="pct"/>
            <w:shd w:val="clear" w:color="auto" w:fill="auto"/>
            <w:noWrap w:val="0"/>
            <w:vAlign w:val="center"/>
          </w:tcPr>
          <w:p w14:paraId="313D11DB">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0.057 </w:t>
            </w:r>
          </w:p>
        </w:tc>
        <w:tc>
          <w:tcPr>
            <w:tcW w:w="1001" w:type="pct"/>
            <w:shd w:val="clear" w:color="auto" w:fill="auto"/>
            <w:noWrap w:val="0"/>
            <w:vAlign w:val="center"/>
          </w:tcPr>
          <w:p w14:paraId="04C88C1B">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0.017 </w:t>
            </w:r>
          </w:p>
        </w:tc>
      </w:tr>
      <w:tr w14:paraId="7EF6EA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2BF8A15C">
            <w:pPr>
              <w:pStyle w:val="69"/>
              <w:bidi w:val="0"/>
              <w:rPr>
                <w:rFonts w:hint="eastAsia"/>
                <w:lang w:val="en-US" w:eastAsia="zh-CN"/>
              </w:rPr>
            </w:pPr>
          </w:p>
        </w:tc>
        <w:tc>
          <w:tcPr>
            <w:tcW w:w="1018" w:type="pct"/>
            <w:shd w:val="clear" w:color="auto" w:fill="auto"/>
            <w:noWrap w:val="0"/>
            <w:vAlign w:val="center"/>
          </w:tcPr>
          <w:p w14:paraId="1EE0A45C">
            <w:pPr>
              <w:pStyle w:val="59"/>
              <w:ind w:firstLine="0" w:firstLineChars="0"/>
              <w:rPr>
                <w:rFonts w:hint="eastAsia" w:ascii="Times New Roman" w:hAnsi="Times New Roman" w:eastAsia="宋体" w:cs="Times New Roman"/>
                <w:kern w:val="0"/>
                <w:sz w:val="21"/>
                <w:szCs w:val="20"/>
                <w:lang w:val="en-US" w:eastAsia="zh-CN" w:bidi="ar-SA"/>
              </w:rPr>
            </w:pPr>
            <w:r>
              <w:rPr>
                <w:rFonts w:ascii="Times New Roman" w:hAnsi="Times New Roman" w:cs="Times New Roman"/>
              </w:rPr>
              <w:t>SS</w:t>
            </w:r>
          </w:p>
        </w:tc>
        <w:tc>
          <w:tcPr>
            <w:tcW w:w="1157" w:type="pct"/>
            <w:shd w:val="clear" w:color="auto" w:fill="auto"/>
            <w:noWrap w:val="0"/>
            <w:vAlign w:val="center"/>
          </w:tcPr>
          <w:p w14:paraId="77B78174">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70</w:t>
            </w:r>
          </w:p>
        </w:tc>
        <w:tc>
          <w:tcPr>
            <w:tcW w:w="1000" w:type="pct"/>
            <w:shd w:val="clear" w:color="auto" w:fill="auto"/>
            <w:noWrap w:val="0"/>
            <w:vAlign w:val="center"/>
          </w:tcPr>
          <w:p w14:paraId="12EC63D7">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0.200 </w:t>
            </w:r>
          </w:p>
        </w:tc>
        <w:tc>
          <w:tcPr>
            <w:tcW w:w="1001" w:type="pct"/>
            <w:shd w:val="clear" w:color="auto" w:fill="auto"/>
            <w:noWrap w:val="0"/>
            <w:vAlign w:val="center"/>
          </w:tcPr>
          <w:p w14:paraId="7D5E0B4B">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0.060 </w:t>
            </w:r>
          </w:p>
        </w:tc>
      </w:tr>
      <w:tr w14:paraId="505220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3351CEA6">
            <w:pPr>
              <w:pStyle w:val="69"/>
              <w:bidi w:val="0"/>
              <w:rPr>
                <w:rFonts w:hint="eastAsia"/>
                <w:lang w:val="en-US" w:eastAsia="zh-CN"/>
              </w:rPr>
            </w:pPr>
          </w:p>
        </w:tc>
        <w:tc>
          <w:tcPr>
            <w:tcW w:w="1018" w:type="pct"/>
            <w:shd w:val="clear" w:color="auto" w:fill="auto"/>
            <w:noWrap w:val="0"/>
            <w:vAlign w:val="center"/>
          </w:tcPr>
          <w:p w14:paraId="4F45EB66">
            <w:pPr>
              <w:pStyle w:val="59"/>
              <w:ind w:firstLine="0" w:firstLineChars="0"/>
              <w:rPr>
                <w:rFonts w:hint="eastAsia" w:ascii="Times New Roman" w:hAnsi="Times New Roman" w:eastAsia="宋体" w:cs="Times New Roman"/>
                <w:kern w:val="0"/>
                <w:sz w:val="21"/>
                <w:szCs w:val="20"/>
                <w:lang w:val="en-US" w:eastAsia="zh-CN" w:bidi="ar-SA"/>
              </w:rPr>
            </w:pPr>
            <w:r>
              <w:rPr>
                <w:rFonts w:hint="eastAsia" w:ascii="Times New Roman" w:hAnsi="Times New Roman" w:cs="Times New Roman"/>
              </w:rPr>
              <w:t>TN</w:t>
            </w:r>
          </w:p>
        </w:tc>
        <w:tc>
          <w:tcPr>
            <w:tcW w:w="1157" w:type="pct"/>
            <w:shd w:val="clear" w:color="auto" w:fill="auto"/>
            <w:noWrap w:val="0"/>
            <w:vAlign w:val="center"/>
          </w:tcPr>
          <w:p w14:paraId="3B411ADD">
            <w:pPr>
              <w:pStyle w:val="69"/>
              <w:bidi w:val="0"/>
              <w:ind w:firstLine="0" w:firstLineChars="0"/>
              <w:rPr>
                <w:rFonts w:hint="eastAsia" w:ascii="Times New Roman" w:hAnsi="Times New Roman" w:eastAsia="宋体" w:cs="Times New Roman"/>
                <w:kern w:val="2"/>
                <w:sz w:val="21"/>
                <w:szCs w:val="21"/>
                <w:lang w:val="en-US" w:eastAsia="zh-CN" w:bidi="ar-SA"/>
              </w:rPr>
            </w:pPr>
            <w:r>
              <w:rPr>
                <w:rFonts w:hint="default"/>
                <w:lang w:val="en-US" w:eastAsia="zh-CN"/>
              </w:rPr>
              <w:t>39.4</w:t>
            </w:r>
          </w:p>
        </w:tc>
        <w:tc>
          <w:tcPr>
            <w:tcW w:w="1000" w:type="pct"/>
            <w:shd w:val="clear" w:color="auto" w:fill="auto"/>
            <w:noWrap w:val="0"/>
            <w:vAlign w:val="center"/>
          </w:tcPr>
          <w:p w14:paraId="0C9940C0">
            <w:pPr>
              <w:pStyle w:val="69"/>
              <w:bidi w:val="0"/>
              <w:ind w:firstLine="0" w:firstLineChars="0"/>
              <w:rPr>
                <w:rFonts w:hint="default" w:ascii="Times New Roman" w:hAnsi="Times New Roman" w:eastAsia="宋体" w:cs="Times New Roman"/>
                <w:kern w:val="2"/>
                <w:sz w:val="21"/>
                <w:szCs w:val="21"/>
                <w:lang w:val="en-US" w:eastAsia="zh-CN" w:bidi="ar-SA"/>
              </w:rPr>
            </w:pPr>
            <w:r>
              <w:rPr>
                <w:rFonts w:hint="default"/>
                <w:lang w:val="en-US" w:eastAsia="zh-CN"/>
              </w:rPr>
              <w:t xml:space="preserve">0.080 </w:t>
            </w:r>
          </w:p>
        </w:tc>
        <w:tc>
          <w:tcPr>
            <w:tcW w:w="1001" w:type="pct"/>
            <w:shd w:val="clear" w:color="auto" w:fill="auto"/>
            <w:noWrap w:val="0"/>
            <w:vAlign w:val="center"/>
          </w:tcPr>
          <w:p w14:paraId="43CB9D8A">
            <w:pPr>
              <w:pStyle w:val="69"/>
              <w:bidi w:val="0"/>
              <w:ind w:firstLine="0" w:firstLineChars="0"/>
              <w:rPr>
                <w:rFonts w:hint="default" w:ascii="Times New Roman" w:hAnsi="Times New Roman" w:eastAsia="宋体" w:cs="Times New Roman"/>
                <w:kern w:val="2"/>
                <w:sz w:val="21"/>
                <w:szCs w:val="21"/>
                <w:lang w:val="en-US" w:eastAsia="zh-CN" w:bidi="ar-SA"/>
              </w:rPr>
            </w:pPr>
            <w:r>
              <w:rPr>
                <w:rFonts w:hint="default"/>
                <w:lang w:val="en-US" w:eastAsia="zh-CN"/>
              </w:rPr>
              <w:t xml:space="preserve">0.024 </w:t>
            </w:r>
          </w:p>
        </w:tc>
      </w:tr>
      <w:tr w14:paraId="15D1AF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pct"/>
            <w:vMerge w:val="continue"/>
            <w:noWrap w:val="0"/>
            <w:vAlign w:val="center"/>
          </w:tcPr>
          <w:p w14:paraId="2188663F">
            <w:pPr>
              <w:pStyle w:val="69"/>
              <w:bidi w:val="0"/>
              <w:rPr>
                <w:rFonts w:hint="eastAsia"/>
                <w:lang w:val="en-US" w:eastAsia="zh-CN"/>
              </w:rPr>
            </w:pPr>
          </w:p>
        </w:tc>
        <w:tc>
          <w:tcPr>
            <w:tcW w:w="1018" w:type="pct"/>
            <w:shd w:val="clear" w:color="auto" w:fill="auto"/>
            <w:noWrap w:val="0"/>
            <w:vAlign w:val="center"/>
          </w:tcPr>
          <w:p w14:paraId="7C4CE205">
            <w:pPr>
              <w:pStyle w:val="59"/>
              <w:ind w:firstLine="0" w:firstLineChars="0"/>
              <w:rPr>
                <w:rFonts w:hint="eastAsia" w:ascii="Times New Roman" w:hAnsi="Times New Roman" w:eastAsia="宋体" w:cs="Times New Roman"/>
                <w:kern w:val="0"/>
                <w:sz w:val="21"/>
                <w:szCs w:val="20"/>
                <w:lang w:val="en-US" w:eastAsia="zh-CN" w:bidi="ar-SA"/>
              </w:rPr>
            </w:pPr>
            <w:r>
              <w:rPr>
                <w:rFonts w:hint="eastAsia" w:ascii="Times New Roman" w:hAnsi="Times New Roman" w:cs="Times New Roman"/>
              </w:rPr>
              <w:t>TP</w:t>
            </w:r>
          </w:p>
        </w:tc>
        <w:tc>
          <w:tcPr>
            <w:tcW w:w="1157" w:type="pct"/>
            <w:shd w:val="clear" w:color="auto" w:fill="auto"/>
            <w:noWrap w:val="0"/>
            <w:vAlign w:val="center"/>
          </w:tcPr>
          <w:p w14:paraId="3E66B63A">
            <w:pPr>
              <w:pStyle w:val="69"/>
              <w:bidi w:val="0"/>
              <w:ind w:firstLine="0" w:firstLineChars="0"/>
              <w:rPr>
                <w:rFonts w:hint="eastAsia" w:ascii="Times New Roman" w:hAnsi="Times New Roman" w:eastAsia="宋体" w:cs="Times New Roman"/>
                <w:kern w:val="2"/>
                <w:sz w:val="21"/>
                <w:szCs w:val="21"/>
                <w:lang w:val="en-US" w:eastAsia="zh-CN" w:bidi="ar-SA"/>
              </w:rPr>
            </w:pPr>
            <w:r>
              <w:rPr>
                <w:rFonts w:hint="default"/>
                <w:lang w:val="en-US" w:eastAsia="zh-CN"/>
              </w:rPr>
              <w:t>4.1</w:t>
            </w:r>
          </w:p>
        </w:tc>
        <w:tc>
          <w:tcPr>
            <w:tcW w:w="1000" w:type="pct"/>
            <w:shd w:val="clear" w:color="auto" w:fill="auto"/>
            <w:noWrap w:val="0"/>
            <w:vAlign w:val="center"/>
          </w:tcPr>
          <w:p w14:paraId="0BB993B0">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0.007 </w:t>
            </w:r>
          </w:p>
        </w:tc>
        <w:tc>
          <w:tcPr>
            <w:tcW w:w="1001" w:type="pct"/>
            <w:shd w:val="clear" w:color="auto" w:fill="auto"/>
            <w:noWrap w:val="0"/>
            <w:vAlign w:val="center"/>
          </w:tcPr>
          <w:p w14:paraId="0EEBF075">
            <w:pPr>
              <w:pStyle w:val="69"/>
              <w:bidi w:val="0"/>
              <w:ind w:firstLine="0" w:firstLineChars="0"/>
              <w:rPr>
                <w:rFonts w:ascii="Times New Roman" w:hAnsi="Times New Roman" w:eastAsia="宋体" w:cs="Times New Roman"/>
                <w:kern w:val="2"/>
                <w:sz w:val="21"/>
                <w:szCs w:val="21"/>
                <w:lang w:val="en-US" w:eastAsia="zh-CN" w:bidi="ar-SA"/>
              </w:rPr>
            </w:pPr>
            <w:r>
              <w:rPr>
                <w:rFonts w:hint="default"/>
                <w:lang w:val="en-US" w:eastAsia="zh-CN"/>
              </w:rPr>
              <w:t xml:space="preserve">0.002 </w:t>
            </w:r>
          </w:p>
        </w:tc>
      </w:tr>
    </w:tbl>
    <w:p w14:paraId="28EF1CC7">
      <w:pPr>
        <w:pStyle w:val="64"/>
        <w:numPr>
          <w:ilvl w:val="2"/>
          <w:numId w:val="8"/>
        </w:numPr>
        <w:spacing w:before="156" w:after="15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大气污染源</w:t>
      </w:r>
    </w:p>
    <w:p w14:paraId="74B6594E">
      <w:pPr>
        <w:pStyle w:val="65"/>
        <w:numPr>
          <w:ilvl w:val="0"/>
          <w:numId w:val="31"/>
        </w:numPr>
        <w:rPr>
          <w:color w:val="auto"/>
        </w:rPr>
      </w:pPr>
      <w:r>
        <w:rPr>
          <w:rFonts w:hint="eastAsia"/>
          <w:color w:val="auto"/>
          <w:lang w:val="en-US" w:eastAsia="zh-CN"/>
        </w:rPr>
        <w:t>调墨、印刷、烘干、洗机、危废贮存废气</w:t>
      </w:r>
    </w:p>
    <w:p w14:paraId="49BB1F2A">
      <w:pPr>
        <w:bidi w:val="0"/>
      </w:pPr>
      <w:r>
        <w:t>本项目调墨和印刷工序使用的是油性油墨、</w:t>
      </w:r>
      <w:r>
        <w:rPr>
          <w:rFonts w:hint="eastAsia"/>
          <w:lang w:val="en-US" w:eastAsia="zh-CN"/>
        </w:rPr>
        <w:t>乙酸乙酯</w:t>
      </w:r>
      <w:r>
        <w:t>、乙酸丙酯、异丙醇和乙酸丁酯，印刷工序完成后，需对印刷设备进行擦拭清洁，使用</w:t>
      </w:r>
      <w:r>
        <w:rPr>
          <w:rFonts w:hint="eastAsia"/>
          <w:lang w:val="en-US" w:eastAsia="zh-CN"/>
        </w:rPr>
        <w:t>乙酸乙酯</w:t>
      </w:r>
      <w:r>
        <w:t>。油性油墨和</w:t>
      </w:r>
      <w:r>
        <w:rPr>
          <w:rFonts w:hint="eastAsia"/>
          <w:lang w:val="en-US" w:eastAsia="zh-CN"/>
        </w:rPr>
        <w:t>稀释剂</w:t>
      </w:r>
      <w:r>
        <w:t xml:space="preserve">使用过程中会挥发出一定量的有机废气，以总VOCs（含非甲烷总烃）表征。根据建设单位提供 MSDS 报告及检测报告（详见附件），可知油性油墨 VOCs 含量为 </w:t>
      </w:r>
      <w:r>
        <w:rPr>
          <w:rFonts w:hint="eastAsia"/>
          <w:lang w:val="en-US" w:eastAsia="zh-CN"/>
        </w:rPr>
        <w:t>54.1</w:t>
      </w:r>
      <w:r>
        <w:t>%、</w:t>
      </w:r>
      <w:r>
        <w:rPr>
          <w:rFonts w:hint="eastAsia"/>
          <w:lang w:eastAsia="zh-CN"/>
        </w:rPr>
        <w:t>乙酸乙酯</w:t>
      </w:r>
      <w:r>
        <w:t>、乙酸丙酯、异丙醇和乙酸丁酯按全部挥发，VOCs 含量为 100%。</w:t>
      </w:r>
    </w:p>
    <w:p w14:paraId="1D379856">
      <w:pPr>
        <w:pStyle w:val="62"/>
        <w:numPr>
          <w:ilvl w:val="0"/>
          <w:numId w:val="30"/>
        </w:numPr>
        <w:tabs>
          <w:tab w:val="left" w:pos="2411"/>
        </w:tabs>
        <w:ind w:left="0" w:leftChars="0" w:firstLine="0" w:firstLineChars="0"/>
        <w:rPr>
          <w:rFonts w:hint="default" w:ascii="Times New Roman" w:hAnsi="Times New Roman" w:eastAsia="宋体" w:cs="Times New Roman"/>
          <w:lang w:val="en-US" w:eastAsia="zh-CN"/>
        </w:rPr>
      </w:pPr>
      <w:r>
        <w:rPr>
          <w:rFonts w:hint="eastAsia"/>
          <w:lang w:val="en-US" w:eastAsia="zh-CN"/>
        </w:rPr>
        <w:t>印刷、</w:t>
      </w:r>
      <w:r>
        <w:rPr>
          <w:rFonts w:hint="eastAsia"/>
          <w:color w:val="auto"/>
          <w:lang w:val="en-US" w:eastAsia="zh-CN"/>
        </w:rPr>
        <w:t>调墨、危废贮存、烘干</w:t>
      </w:r>
      <w:r>
        <w:rPr>
          <w:rFonts w:hint="default" w:ascii="Times New Roman" w:hAnsi="Times New Roman" w:eastAsia="宋体" w:cs="Times New Roman"/>
          <w:lang w:val="en-US" w:eastAsia="zh-CN"/>
        </w:rPr>
        <w:t>有机废气产生量一览表</w:t>
      </w:r>
    </w:p>
    <w:p w14:paraId="658FB61C">
      <w:pPr>
        <w:spacing w:line="28" w:lineRule="exact"/>
        <w:rPr>
          <w:color w:val="auto"/>
        </w:rPr>
      </w:pPr>
    </w:p>
    <w:tbl>
      <w:tblPr>
        <w:tblStyle w:val="105"/>
        <w:tblW w:w="4997" w:type="pct"/>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1098"/>
        <w:gridCol w:w="1921"/>
        <w:gridCol w:w="1511"/>
        <w:gridCol w:w="1511"/>
        <w:gridCol w:w="1512"/>
        <w:gridCol w:w="1514"/>
      </w:tblGrid>
      <w:tr w14:paraId="61059E7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05" w:type="pct"/>
            <w:tcBorders>
              <w:left w:val="nil"/>
              <w:tl2br w:val="nil"/>
              <w:tr2bl w:val="nil"/>
            </w:tcBorders>
            <w:shd w:val="clear" w:color="auto" w:fill="FFFFFF"/>
            <w:vAlign w:val="center"/>
          </w:tcPr>
          <w:p w14:paraId="4B8D413A">
            <w:pPr>
              <w:pStyle w:val="59"/>
              <w:bidi w:val="0"/>
              <w:rPr>
                <w:rFonts w:hint="default"/>
                <w:lang w:val="en-US" w:eastAsia="zh-CN"/>
              </w:rPr>
            </w:pPr>
            <w:r>
              <w:rPr>
                <w:rFonts w:hint="default"/>
                <w:lang w:val="en-US" w:eastAsia="zh-CN"/>
              </w:rPr>
              <w:t>序号</w:t>
            </w:r>
          </w:p>
        </w:tc>
        <w:tc>
          <w:tcPr>
            <w:tcW w:w="1059" w:type="pct"/>
            <w:tcBorders>
              <w:tl2br w:val="nil"/>
              <w:tr2bl w:val="nil"/>
            </w:tcBorders>
            <w:shd w:val="clear" w:color="auto" w:fill="FFFFFF"/>
            <w:vAlign w:val="center"/>
          </w:tcPr>
          <w:p w14:paraId="280CB185">
            <w:pPr>
              <w:pStyle w:val="59"/>
              <w:bidi w:val="0"/>
              <w:rPr>
                <w:rFonts w:hint="default"/>
              </w:rPr>
            </w:pPr>
            <w:r>
              <w:rPr>
                <w:rFonts w:hint="default"/>
              </w:rPr>
              <w:t>挥发性物料名称</w:t>
            </w:r>
          </w:p>
        </w:tc>
        <w:tc>
          <w:tcPr>
            <w:tcW w:w="833" w:type="pct"/>
            <w:tcBorders>
              <w:tl2br w:val="nil"/>
              <w:tr2bl w:val="nil"/>
            </w:tcBorders>
            <w:shd w:val="clear" w:color="auto" w:fill="FFFFFF"/>
            <w:vAlign w:val="center"/>
          </w:tcPr>
          <w:p w14:paraId="20B32DB8">
            <w:pPr>
              <w:pStyle w:val="59"/>
              <w:bidi w:val="0"/>
              <w:rPr>
                <w:rFonts w:hint="default"/>
                <w:lang w:val="en-US" w:eastAsia="zh-CN"/>
              </w:rPr>
            </w:pPr>
            <w:r>
              <w:rPr>
                <w:rFonts w:hint="default"/>
                <w:lang w:val="en-US" w:eastAsia="zh-CN"/>
              </w:rPr>
              <w:t>单位</w:t>
            </w:r>
          </w:p>
        </w:tc>
        <w:tc>
          <w:tcPr>
            <w:tcW w:w="833" w:type="pct"/>
            <w:tcBorders>
              <w:tl2br w:val="nil"/>
              <w:tr2bl w:val="nil"/>
            </w:tcBorders>
            <w:shd w:val="clear" w:color="auto" w:fill="FFFFFF"/>
            <w:vAlign w:val="center"/>
          </w:tcPr>
          <w:p w14:paraId="58DE871E">
            <w:pPr>
              <w:pStyle w:val="59"/>
              <w:bidi w:val="0"/>
              <w:rPr>
                <w:rFonts w:hint="default"/>
                <w:lang w:val="en-US" w:eastAsia="en-US"/>
              </w:rPr>
            </w:pPr>
            <w:r>
              <w:rPr>
                <w:rFonts w:hint="default"/>
              </w:rPr>
              <w:t>年用量</w:t>
            </w:r>
          </w:p>
        </w:tc>
        <w:tc>
          <w:tcPr>
            <w:tcW w:w="833" w:type="pct"/>
            <w:tcBorders>
              <w:tl2br w:val="nil"/>
              <w:tr2bl w:val="nil"/>
            </w:tcBorders>
            <w:shd w:val="clear" w:color="auto" w:fill="FFFFFF"/>
            <w:vAlign w:val="center"/>
          </w:tcPr>
          <w:p w14:paraId="09DB8871">
            <w:pPr>
              <w:pStyle w:val="59"/>
              <w:bidi w:val="0"/>
              <w:rPr>
                <w:rFonts w:hint="default"/>
                <w:lang w:val="en-US" w:eastAsia="en-US"/>
              </w:rPr>
            </w:pPr>
            <w:r>
              <w:rPr>
                <w:rFonts w:hint="default"/>
              </w:rPr>
              <w:t>VOCs含量</w:t>
            </w:r>
          </w:p>
        </w:tc>
        <w:tc>
          <w:tcPr>
            <w:tcW w:w="834" w:type="pct"/>
            <w:tcBorders>
              <w:right w:val="nil"/>
              <w:tl2br w:val="nil"/>
              <w:tr2bl w:val="nil"/>
            </w:tcBorders>
            <w:shd w:val="clear" w:color="auto" w:fill="FFFFFF"/>
            <w:vAlign w:val="center"/>
          </w:tcPr>
          <w:p w14:paraId="2F4762DA">
            <w:pPr>
              <w:pStyle w:val="59"/>
              <w:bidi w:val="0"/>
              <w:rPr>
                <w:rFonts w:hint="default"/>
                <w:lang w:val="en-US" w:eastAsia="en-US"/>
              </w:rPr>
            </w:pPr>
            <w:r>
              <w:rPr>
                <w:rFonts w:hint="default"/>
              </w:rPr>
              <w:t>VOCs产生量</w:t>
            </w:r>
          </w:p>
        </w:tc>
      </w:tr>
      <w:tr w14:paraId="281FE5A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05" w:type="pct"/>
            <w:tcBorders>
              <w:left w:val="nil"/>
              <w:tl2br w:val="nil"/>
              <w:tr2bl w:val="nil"/>
            </w:tcBorders>
            <w:shd w:val="clear" w:color="auto" w:fill="FFFFFF"/>
            <w:vAlign w:val="center"/>
          </w:tcPr>
          <w:p w14:paraId="7806D502">
            <w:pPr>
              <w:pStyle w:val="59"/>
              <w:numPr>
                <w:ilvl w:val="0"/>
                <w:numId w:val="32"/>
              </w:numPr>
              <w:bidi w:val="0"/>
              <w:ind w:left="425" w:leftChars="0" w:hanging="425" w:firstLineChars="0"/>
              <w:rPr>
                <w:rFonts w:hint="default"/>
              </w:rPr>
            </w:pPr>
          </w:p>
        </w:tc>
        <w:tc>
          <w:tcPr>
            <w:tcW w:w="1921" w:type="dxa"/>
            <w:tcBorders>
              <w:tl2br w:val="nil"/>
              <w:tr2bl w:val="nil"/>
            </w:tcBorders>
            <w:shd w:val="clear" w:color="auto" w:fill="FFFFFF"/>
            <w:vAlign w:val="center"/>
          </w:tcPr>
          <w:p w14:paraId="5DB4518A">
            <w:pPr>
              <w:pStyle w:val="59"/>
              <w:bidi w:val="0"/>
              <w:rPr>
                <w:rFonts w:hint="default"/>
              </w:rPr>
            </w:pPr>
            <w:r>
              <w:rPr>
                <w:rFonts w:hint="eastAsia"/>
                <w:lang w:val="en-US" w:eastAsia="zh-CN"/>
              </w:rPr>
              <w:t>溶剂型油墨</w:t>
            </w:r>
          </w:p>
        </w:tc>
        <w:tc>
          <w:tcPr>
            <w:tcW w:w="1511" w:type="dxa"/>
            <w:tcBorders>
              <w:tl2br w:val="nil"/>
              <w:tr2bl w:val="nil"/>
            </w:tcBorders>
            <w:shd w:val="clear" w:color="auto" w:fill="FFFFFF"/>
            <w:vAlign w:val="center"/>
          </w:tcPr>
          <w:p w14:paraId="0ABC1AF5">
            <w:pPr>
              <w:pStyle w:val="59"/>
              <w:bidi w:val="0"/>
              <w:rPr>
                <w:rFonts w:hint="default"/>
              </w:rPr>
            </w:pPr>
            <w:r>
              <w:rPr>
                <w:rFonts w:hint="default"/>
                <w:lang w:val="en-US" w:eastAsia="zh-CN"/>
              </w:rPr>
              <w:t>t/a</w:t>
            </w:r>
          </w:p>
        </w:tc>
        <w:tc>
          <w:tcPr>
            <w:tcW w:w="1511" w:type="dxa"/>
            <w:tcBorders>
              <w:tl2br w:val="nil"/>
              <w:tr2bl w:val="nil"/>
            </w:tcBorders>
            <w:shd w:val="clear" w:color="auto" w:fill="FFFFFF"/>
            <w:vAlign w:val="center"/>
          </w:tcPr>
          <w:p w14:paraId="23BEECF4">
            <w:pPr>
              <w:pStyle w:val="59"/>
              <w:bidi w:val="0"/>
              <w:rPr>
                <w:rFonts w:hint="default"/>
              </w:rPr>
            </w:pPr>
            <w:r>
              <w:rPr>
                <w:rFonts w:hint="default"/>
                <w:lang w:val="en-US" w:eastAsia="zh-CN"/>
              </w:rPr>
              <w:t xml:space="preserve">74.80 </w:t>
            </w:r>
          </w:p>
        </w:tc>
        <w:tc>
          <w:tcPr>
            <w:tcW w:w="1512" w:type="dxa"/>
            <w:tcBorders>
              <w:tl2br w:val="nil"/>
              <w:tr2bl w:val="nil"/>
            </w:tcBorders>
            <w:shd w:val="clear" w:color="auto" w:fill="FFFFFF"/>
            <w:vAlign w:val="center"/>
          </w:tcPr>
          <w:p w14:paraId="008155A4">
            <w:pPr>
              <w:pStyle w:val="59"/>
              <w:bidi w:val="0"/>
              <w:rPr>
                <w:rFonts w:hint="default"/>
              </w:rPr>
            </w:pPr>
            <w:r>
              <w:rPr>
                <w:rFonts w:hint="default"/>
                <w:lang w:val="en-US" w:eastAsia="zh-CN"/>
              </w:rPr>
              <w:t>54.1%</w:t>
            </w:r>
          </w:p>
        </w:tc>
        <w:tc>
          <w:tcPr>
            <w:tcW w:w="1514" w:type="dxa"/>
            <w:tcBorders>
              <w:right w:val="nil"/>
              <w:tl2br w:val="nil"/>
              <w:tr2bl w:val="nil"/>
            </w:tcBorders>
            <w:shd w:val="clear" w:color="auto" w:fill="FFFFFF"/>
            <w:vAlign w:val="center"/>
          </w:tcPr>
          <w:p w14:paraId="2D60234B">
            <w:pPr>
              <w:pStyle w:val="59"/>
              <w:bidi w:val="0"/>
              <w:rPr>
                <w:rFonts w:hint="default"/>
              </w:rPr>
            </w:pPr>
            <w:r>
              <w:rPr>
                <w:rFonts w:hint="default"/>
                <w:lang w:val="en-US" w:eastAsia="zh-CN"/>
              </w:rPr>
              <w:t xml:space="preserve">40.467 </w:t>
            </w:r>
          </w:p>
        </w:tc>
      </w:tr>
      <w:tr w14:paraId="058A196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05" w:type="pct"/>
            <w:tcBorders>
              <w:left w:val="nil"/>
              <w:tl2br w:val="nil"/>
              <w:tr2bl w:val="nil"/>
            </w:tcBorders>
            <w:shd w:val="clear" w:color="auto" w:fill="FFFFFF"/>
            <w:vAlign w:val="center"/>
          </w:tcPr>
          <w:p w14:paraId="472D8180">
            <w:pPr>
              <w:pStyle w:val="59"/>
              <w:numPr>
                <w:ilvl w:val="0"/>
                <w:numId w:val="32"/>
              </w:numPr>
              <w:bidi w:val="0"/>
              <w:ind w:left="425" w:leftChars="0" w:hanging="425" w:firstLineChars="0"/>
              <w:rPr>
                <w:rFonts w:hint="default"/>
              </w:rPr>
            </w:pPr>
          </w:p>
        </w:tc>
        <w:tc>
          <w:tcPr>
            <w:tcW w:w="1921" w:type="dxa"/>
            <w:tcBorders>
              <w:tl2br w:val="nil"/>
              <w:tr2bl w:val="nil"/>
            </w:tcBorders>
            <w:shd w:val="clear" w:color="auto" w:fill="FFFFFF"/>
            <w:vAlign w:val="center"/>
          </w:tcPr>
          <w:p w14:paraId="79D7905E">
            <w:pPr>
              <w:pStyle w:val="59"/>
              <w:bidi w:val="0"/>
              <w:rPr>
                <w:rFonts w:hint="default"/>
              </w:rPr>
            </w:pPr>
            <w:r>
              <w:rPr>
                <w:rFonts w:hint="eastAsia"/>
                <w:lang w:val="en-US" w:eastAsia="zh-CN"/>
              </w:rPr>
              <w:t>乙酸乙酯</w:t>
            </w:r>
          </w:p>
        </w:tc>
        <w:tc>
          <w:tcPr>
            <w:tcW w:w="1511" w:type="dxa"/>
            <w:tcBorders>
              <w:tl2br w:val="nil"/>
              <w:tr2bl w:val="nil"/>
            </w:tcBorders>
            <w:shd w:val="clear" w:color="auto" w:fill="FFFFFF"/>
            <w:vAlign w:val="center"/>
          </w:tcPr>
          <w:p w14:paraId="34312790">
            <w:pPr>
              <w:pStyle w:val="59"/>
              <w:bidi w:val="0"/>
              <w:rPr>
                <w:rFonts w:hint="default"/>
              </w:rPr>
            </w:pPr>
            <w:r>
              <w:rPr>
                <w:rFonts w:hint="default"/>
                <w:lang w:val="en-US" w:eastAsia="zh-CN"/>
              </w:rPr>
              <w:t>t/a</w:t>
            </w:r>
          </w:p>
        </w:tc>
        <w:tc>
          <w:tcPr>
            <w:tcW w:w="1511" w:type="dxa"/>
            <w:tcBorders>
              <w:tl2br w:val="nil"/>
              <w:tr2bl w:val="nil"/>
            </w:tcBorders>
            <w:shd w:val="clear" w:color="auto" w:fill="FFFFFF"/>
            <w:vAlign w:val="center"/>
          </w:tcPr>
          <w:p w14:paraId="0ECCD07D">
            <w:pPr>
              <w:pStyle w:val="59"/>
              <w:bidi w:val="0"/>
              <w:rPr>
                <w:rFonts w:hint="default"/>
              </w:rPr>
            </w:pPr>
            <w:r>
              <w:rPr>
                <w:rFonts w:hint="default"/>
                <w:lang w:val="en-US" w:eastAsia="zh-CN"/>
              </w:rPr>
              <w:t xml:space="preserve">2.99 </w:t>
            </w:r>
          </w:p>
        </w:tc>
        <w:tc>
          <w:tcPr>
            <w:tcW w:w="1512" w:type="dxa"/>
            <w:tcBorders>
              <w:tl2br w:val="nil"/>
              <w:tr2bl w:val="nil"/>
            </w:tcBorders>
            <w:shd w:val="clear" w:color="auto" w:fill="FFFFFF"/>
            <w:vAlign w:val="center"/>
          </w:tcPr>
          <w:p w14:paraId="2B48B5F8">
            <w:pPr>
              <w:pStyle w:val="59"/>
              <w:bidi w:val="0"/>
              <w:rPr>
                <w:rFonts w:hint="default"/>
              </w:rPr>
            </w:pPr>
            <w:r>
              <w:rPr>
                <w:rFonts w:hint="default"/>
                <w:lang w:val="en-US" w:eastAsia="zh-CN"/>
              </w:rPr>
              <w:t>100%</w:t>
            </w:r>
          </w:p>
        </w:tc>
        <w:tc>
          <w:tcPr>
            <w:tcW w:w="1514" w:type="dxa"/>
            <w:tcBorders>
              <w:right w:val="nil"/>
              <w:tl2br w:val="nil"/>
              <w:tr2bl w:val="nil"/>
            </w:tcBorders>
            <w:shd w:val="clear" w:color="auto" w:fill="FFFFFF"/>
            <w:vAlign w:val="center"/>
          </w:tcPr>
          <w:p w14:paraId="478BB067">
            <w:pPr>
              <w:pStyle w:val="59"/>
              <w:bidi w:val="0"/>
              <w:rPr>
                <w:rFonts w:hint="default"/>
              </w:rPr>
            </w:pPr>
            <w:r>
              <w:rPr>
                <w:rFonts w:hint="default"/>
                <w:lang w:val="en-US" w:eastAsia="zh-CN"/>
              </w:rPr>
              <w:t xml:space="preserve">2.992 </w:t>
            </w:r>
          </w:p>
        </w:tc>
      </w:tr>
      <w:tr w14:paraId="54EBE3A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05" w:type="pct"/>
            <w:tcBorders>
              <w:left w:val="nil"/>
              <w:tl2br w:val="nil"/>
              <w:tr2bl w:val="nil"/>
            </w:tcBorders>
            <w:shd w:val="clear" w:color="auto" w:fill="FFFFFF"/>
            <w:vAlign w:val="center"/>
          </w:tcPr>
          <w:p w14:paraId="152A9D69">
            <w:pPr>
              <w:pStyle w:val="59"/>
              <w:numPr>
                <w:ilvl w:val="0"/>
                <w:numId w:val="32"/>
              </w:numPr>
              <w:bidi w:val="0"/>
              <w:ind w:left="425" w:leftChars="0" w:hanging="425" w:firstLineChars="0"/>
              <w:rPr>
                <w:rFonts w:hint="default"/>
              </w:rPr>
            </w:pPr>
          </w:p>
        </w:tc>
        <w:tc>
          <w:tcPr>
            <w:tcW w:w="1921" w:type="dxa"/>
            <w:tcBorders>
              <w:tl2br w:val="nil"/>
              <w:tr2bl w:val="nil"/>
            </w:tcBorders>
            <w:shd w:val="clear" w:color="auto" w:fill="FFFFFF"/>
            <w:vAlign w:val="center"/>
          </w:tcPr>
          <w:p w14:paraId="49A28973">
            <w:pPr>
              <w:pStyle w:val="59"/>
              <w:bidi w:val="0"/>
              <w:rPr>
                <w:rFonts w:hint="default"/>
              </w:rPr>
            </w:pPr>
            <w:r>
              <w:rPr>
                <w:rFonts w:hint="eastAsia"/>
                <w:lang w:val="en-US" w:eastAsia="zh-CN"/>
              </w:rPr>
              <w:t>乙酸丙酯</w:t>
            </w:r>
          </w:p>
        </w:tc>
        <w:tc>
          <w:tcPr>
            <w:tcW w:w="1511" w:type="dxa"/>
            <w:tcBorders>
              <w:tl2br w:val="nil"/>
              <w:tr2bl w:val="nil"/>
            </w:tcBorders>
            <w:shd w:val="clear" w:color="auto" w:fill="FFFFFF"/>
            <w:vAlign w:val="center"/>
          </w:tcPr>
          <w:p w14:paraId="6B499D0E">
            <w:pPr>
              <w:pStyle w:val="59"/>
              <w:bidi w:val="0"/>
              <w:rPr>
                <w:rFonts w:hint="default"/>
              </w:rPr>
            </w:pPr>
            <w:r>
              <w:rPr>
                <w:rFonts w:hint="default"/>
                <w:lang w:val="en-US" w:eastAsia="zh-CN"/>
              </w:rPr>
              <w:t>t/a</w:t>
            </w:r>
          </w:p>
        </w:tc>
        <w:tc>
          <w:tcPr>
            <w:tcW w:w="1511" w:type="dxa"/>
            <w:tcBorders>
              <w:tl2br w:val="nil"/>
              <w:tr2bl w:val="nil"/>
            </w:tcBorders>
            <w:shd w:val="clear" w:color="auto" w:fill="FFFFFF"/>
            <w:vAlign w:val="center"/>
          </w:tcPr>
          <w:p w14:paraId="044B5CC1">
            <w:pPr>
              <w:pStyle w:val="59"/>
              <w:bidi w:val="0"/>
              <w:rPr>
                <w:rFonts w:hint="default"/>
              </w:rPr>
            </w:pPr>
            <w:r>
              <w:rPr>
                <w:rFonts w:hint="default"/>
                <w:lang w:val="en-US" w:eastAsia="zh-CN"/>
              </w:rPr>
              <w:t xml:space="preserve">8.98 </w:t>
            </w:r>
          </w:p>
        </w:tc>
        <w:tc>
          <w:tcPr>
            <w:tcW w:w="1512" w:type="dxa"/>
            <w:tcBorders>
              <w:tl2br w:val="nil"/>
              <w:tr2bl w:val="nil"/>
            </w:tcBorders>
            <w:shd w:val="clear" w:color="auto" w:fill="FFFFFF"/>
            <w:vAlign w:val="center"/>
          </w:tcPr>
          <w:p w14:paraId="614AF7EC">
            <w:pPr>
              <w:pStyle w:val="59"/>
              <w:bidi w:val="0"/>
              <w:rPr>
                <w:rFonts w:hint="default"/>
              </w:rPr>
            </w:pPr>
            <w:r>
              <w:rPr>
                <w:rFonts w:hint="default"/>
                <w:lang w:val="en-US" w:eastAsia="zh-CN"/>
              </w:rPr>
              <w:t>100%</w:t>
            </w:r>
          </w:p>
        </w:tc>
        <w:tc>
          <w:tcPr>
            <w:tcW w:w="1514" w:type="dxa"/>
            <w:tcBorders>
              <w:right w:val="nil"/>
              <w:tl2br w:val="nil"/>
              <w:tr2bl w:val="nil"/>
            </w:tcBorders>
            <w:shd w:val="clear" w:color="auto" w:fill="FFFFFF"/>
            <w:vAlign w:val="center"/>
          </w:tcPr>
          <w:p w14:paraId="04917673">
            <w:pPr>
              <w:pStyle w:val="59"/>
              <w:bidi w:val="0"/>
              <w:rPr>
                <w:rFonts w:hint="default"/>
              </w:rPr>
            </w:pPr>
            <w:r>
              <w:rPr>
                <w:rFonts w:hint="default"/>
                <w:lang w:val="en-US" w:eastAsia="zh-CN"/>
              </w:rPr>
              <w:t xml:space="preserve">8.976 </w:t>
            </w:r>
          </w:p>
        </w:tc>
      </w:tr>
      <w:tr w14:paraId="665512E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05" w:type="pct"/>
            <w:tcBorders>
              <w:left w:val="nil"/>
              <w:tl2br w:val="nil"/>
              <w:tr2bl w:val="nil"/>
            </w:tcBorders>
            <w:shd w:val="clear" w:color="auto" w:fill="FFFFFF"/>
            <w:vAlign w:val="center"/>
          </w:tcPr>
          <w:p w14:paraId="16DE644A">
            <w:pPr>
              <w:pStyle w:val="59"/>
              <w:numPr>
                <w:ilvl w:val="0"/>
                <w:numId w:val="32"/>
              </w:numPr>
              <w:bidi w:val="0"/>
              <w:ind w:left="425" w:leftChars="0" w:hanging="425" w:firstLineChars="0"/>
              <w:rPr>
                <w:rFonts w:hint="default"/>
              </w:rPr>
            </w:pPr>
          </w:p>
        </w:tc>
        <w:tc>
          <w:tcPr>
            <w:tcW w:w="1921" w:type="dxa"/>
            <w:tcBorders>
              <w:tl2br w:val="nil"/>
              <w:tr2bl w:val="nil"/>
            </w:tcBorders>
            <w:shd w:val="clear" w:color="auto" w:fill="FFFFFF"/>
            <w:vAlign w:val="center"/>
          </w:tcPr>
          <w:p w14:paraId="50BBA3DF">
            <w:pPr>
              <w:pStyle w:val="59"/>
              <w:bidi w:val="0"/>
              <w:rPr>
                <w:rFonts w:hint="default"/>
              </w:rPr>
            </w:pPr>
            <w:r>
              <w:rPr>
                <w:rFonts w:hint="eastAsia"/>
                <w:lang w:val="en-US" w:eastAsia="zh-CN"/>
              </w:rPr>
              <w:t>异丙醇</w:t>
            </w:r>
          </w:p>
        </w:tc>
        <w:tc>
          <w:tcPr>
            <w:tcW w:w="1511" w:type="dxa"/>
            <w:tcBorders>
              <w:tl2br w:val="nil"/>
              <w:tr2bl w:val="nil"/>
            </w:tcBorders>
            <w:shd w:val="clear" w:color="auto" w:fill="FFFFFF"/>
            <w:vAlign w:val="center"/>
          </w:tcPr>
          <w:p w14:paraId="1474F540">
            <w:pPr>
              <w:pStyle w:val="59"/>
              <w:bidi w:val="0"/>
              <w:rPr>
                <w:rFonts w:hint="default"/>
              </w:rPr>
            </w:pPr>
            <w:r>
              <w:rPr>
                <w:rFonts w:hint="default"/>
                <w:lang w:val="en-US" w:eastAsia="zh-CN"/>
              </w:rPr>
              <w:t>t/a</w:t>
            </w:r>
          </w:p>
        </w:tc>
        <w:tc>
          <w:tcPr>
            <w:tcW w:w="1511" w:type="dxa"/>
            <w:tcBorders>
              <w:tl2br w:val="nil"/>
              <w:tr2bl w:val="nil"/>
            </w:tcBorders>
            <w:shd w:val="clear" w:color="auto" w:fill="FFFFFF"/>
            <w:vAlign w:val="center"/>
          </w:tcPr>
          <w:p w14:paraId="5487E916">
            <w:pPr>
              <w:pStyle w:val="59"/>
              <w:bidi w:val="0"/>
              <w:rPr>
                <w:rFonts w:hint="default"/>
              </w:rPr>
            </w:pPr>
            <w:r>
              <w:rPr>
                <w:rFonts w:hint="default"/>
                <w:lang w:val="en-US" w:eastAsia="zh-CN"/>
              </w:rPr>
              <w:t xml:space="preserve">1.50 </w:t>
            </w:r>
          </w:p>
        </w:tc>
        <w:tc>
          <w:tcPr>
            <w:tcW w:w="1512" w:type="dxa"/>
            <w:tcBorders>
              <w:tl2br w:val="nil"/>
              <w:tr2bl w:val="nil"/>
            </w:tcBorders>
            <w:shd w:val="clear" w:color="auto" w:fill="FFFFFF"/>
            <w:vAlign w:val="center"/>
          </w:tcPr>
          <w:p w14:paraId="6B1EAC5B">
            <w:pPr>
              <w:pStyle w:val="59"/>
              <w:bidi w:val="0"/>
              <w:rPr>
                <w:rFonts w:hint="default"/>
              </w:rPr>
            </w:pPr>
            <w:r>
              <w:rPr>
                <w:rFonts w:hint="default"/>
                <w:lang w:val="en-US" w:eastAsia="zh-CN"/>
              </w:rPr>
              <w:t>100%</w:t>
            </w:r>
          </w:p>
        </w:tc>
        <w:tc>
          <w:tcPr>
            <w:tcW w:w="1514" w:type="dxa"/>
            <w:tcBorders>
              <w:right w:val="nil"/>
              <w:tl2br w:val="nil"/>
              <w:tr2bl w:val="nil"/>
            </w:tcBorders>
            <w:shd w:val="clear" w:color="auto" w:fill="FFFFFF"/>
            <w:vAlign w:val="center"/>
          </w:tcPr>
          <w:p w14:paraId="2521C755">
            <w:pPr>
              <w:pStyle w:val="59"/>
              <w:bidi w:val="0"/>
              <w:rPr>
                <w:rFonts w:hint="default"/>
              </w:rPr>
            </w:pPr>
            <w:r>
              <w:rPr>
                <w:rFonts w:hint="default"/>
                <w:lang w:val="en-US" w:eastAsia="zh-CN"/>
              </w:rPr>
              <w:t xml:space="preserve">1.496 </w:t>
            </w:r>
          </w:p>
        </w:tc>
      </w:tr>
      <w:tr w14:paraId="478AC91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05" w:type="pct"/>
            <w:tcBorders>
              <w:left w:val="nil"/>
              <w:tl2br w:val="nil"/>
              <w:tr2bl w:val="nil"/>
            </w:tcBorders>
            <w:shd w:val="clear" w:color="auto" w:fill="FFFFFF"/>
            <w:vAlign w:val="center"/>
          </w:tcPr>
          <w:p w14:paraId="7D02D519">
            <w:pPr>
              <w:pStyle w:val="59"/>
              <w:numPr>
                <w:ilvl w:val="0"/>
                <w:numId w:val="32"/>
              </w:numPr>
              <w:bidi w:val="0"/>
              <w:ind w:left="425" w:leftChars="0" w:hanging="425" w:firstLineChars="0"/>
              <w:rPr>
                <w:rFonts w:hint="default"/>
              </w:rPr>
            </w:pPr>
          </w:p>
        </w:tc>
        <w:tc>
          <w:tcPr>
            <w:tcW w:w="1921" w:type="dxa"/>
            <w:tcBorders>
              <w:tl2br w:val="nil"/>
              <w:tr2bl w:val="nil"/>
            </w:tcBorders>
            <w:shd w:val="clear" w:color="auto" w:fill="FFFFFF"/>
            <w:vAlign w:val="center"/>
          </w:tcPr>
          <w:p w14:paraId="4FA03217">
            <w:pPr>
              <w:pStyle w:val="59"/>
              <w:bidi w:val="0"/>
              <w:rPr>
                <w:rFonts w:hint="default"/>
              </w:rPr>
            </w:pPr>
            <w:r>
              <w:rPr>
                <w:rFonts w:hint="eastAsia"/>
                <w:lang w:val="en-US" w:eastAsia="zh-CN"/>
              </w:rPr>
              <w:t>乙酸丁酯</w:t>
            </w:r>
          </w:p>
        </w:tc>
        <w:tc>
          <w:tcPr>
            <w:tcW w:w="1511" w:type="dxa"/>
            <w:tcBorders>
              <w:tl2br w:val="nil"/>
              <w:tr2bl w:val="nil"/>
            </w:tcBorders>
            <w:shd w:val="clear" w:color="auto" w:fill="FFFFFF"/>
            <w:vAlign w:val="center"/>
          </w:tcPr>
          <w:p w14:paraId="7038ADAC">
            <w:pPr>
              <w:pStyle w:val="59"/>
              <w:bidi w:val="0"/>
              <w:rPr>
                <w:rFonts w:hint="default"/>
              </w:rPr>
            </w:pPr>
            <w:r>
              <w:rPr>
                <w:rFonts w:hint="default"/>
                <w:lang w:val="en-US" w:eastAsia="zh-CN"/>
              </w:rPr>
              <w:t>t/a</w:t>
            </w:r>
          </w:p>
        </w:tc>
        <w:tc>
          <w:tcPr>
            <w:tcW w:w="1511" w:type="dxa"/>
            <w:tcBorders>
              <w:tl2br w:val="nil"/>
              <w:tr2bl w:val="nil"/>
            </w:tcBorders>
            <w:shd w:val="clear" w:color="auto" w:fill="FFFFFF"/>
            <w:vAlign w:val="center"/>
          </w:tcPr>
          <w:p w14:paraId="7240671B">
            <w:pPr>
              <w:pStyle w:val="59"/>
              <w:bidi w:val="0"/>
              <w:rPr>
                <w:rFonts w:hint="default"/>
              </w:rPr>
            </w:pPr>
            <w:r>
              <w:rPr>
                <w:rFonts w:hint="default"/>
                <w:lang w:val="en-US" w:eastAsia="zh-CN"/>
              </w:rPr>
              <w:t xml:space="preserve">1.50 </w:t>
            </w:r>
          </w:p>
        </w:tc>
        <w:tc>
          <w:tcPr>
            <w:tcW w:w="1512" w:type="dxa"/>
            <w:tcBorders>
              <w:tl2br w:val="nil"/>
              <w:tr2bl w:val="nil"/>
            </w:tcBorders>
            <w:shd w:val="clear" w:color="auto" w:fill="FFFFFF"/>
            <w:vAlign w:val="center"/>
          </w:tcPr>
          <w:p w14:paraId="22EE5E77">
            <w:pPr>
              <w:pStyle w:val="59"/>
              <w:bidi w:val="0"/>
              <w:rPr>
                <w:rFonts w:hint="default"/>
              </w:rPr>
            </w:pPr>
            <w:r>
              <w:rPr>
                <w:rFonts w:hint="default"/>
                <w:lang w:val="en-US" w:eastAsia="zh-CN"/>
              </w:rPr>
              <w:t>100%</w:t>
            </w:r>
          </w:p>
        </w:tc>
        <w:tc>
          <w:tcPr>
            <w:tcW w:w="1514" w:type="dxa"/>
            <w:tcBorders>
              <w:right w:val="nil"/>
              <w:tl2br w:val="nil"/>
              <w:tr2bl w:val="nil"/>
            </w:tcBorders>
            <w:shd w:val="clear" w:color="auto" w:fill="FFFFFF"/>
            <w:vAlign w:val="center"/>
          </w:tcPr>
          <w:p w14:paraId="6853E649">
            <w:pPr>
              <w:pStyle w:val="59"/>
              <w:bidi w:val="0"/>
              <w:rPr>
                <w:rFonts w:hint="default"/>
              </w:rPr>
            </w:pPr>
            <w:r>
              <w:rPr>
                <w:rFonts w:hint="default"/>
                <w:lang w:val="en-US" w:eastAsia="zh-CN"/>
              </w:rPr>
              <w:t xml:space="preserve">1.496 </w:t>
            </w:r>
          </w:p>
        </w:tc>
      </w:tr>
      <w:tr w14:paraId="03673FE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05" w:type="pct"/>
            <w:tcBorders>
              <w:left w:val="nil"/>
              <w:tl2br w:val="nil"/>
              <w:tr2bl w:val="nil"/>
            </w:tcBorders>
            <w:shd w:val="clear" w:color="auto" w:fill="FFFFFF"/>
            <w:vAlign w:val="center"/>
          </w:tcPr>
          <w:p w14:paraId="7057BD52">
            <w:pPr>
              <w:pStyle w:val="59"/>
              <w:numPr>
                <w:ilvl w:val="0"/>
                <w:numId w:val="32"/>
              </w:numPr>
              <w:bidi w:val="0"/>
              <w:ind w:left="425" w:leftChars="0" w:hanging="425" w:firstLineChars="0"/>
              <w:rPr>
                <w:rFonts w:hint="default"/>
              </w:rPr>
            </w:pPr>
          </w:p>
        </w:tc>
        <w:tc>
          <w:tcPr>
            <w:tcW w:w="1921" w:type="dxa"/>
            <w:tcBorders>
              <w:tl2br w:val="nil"/>
              <w:tr2bl w:val="nil"/>
            </w:tcBorders>
            <w:shd w:val="clear" w:color="auto" w:fill="FFFFFF"/>
            <w:vAlign w:val="center"/>
          </w:tcPr>
          <w:p w14:paraId="63F09E82">
            <w:pPr>
              <w:pStyle w:val="59"/>
              <w:bidi w:val="0"/>
              <w:rPr>
                <w:rFonts w:hint="default"/>
              </w:rPr>
            </w:pPr>
            <w:r>
              <w:rPr>
                <w:rFonts w:hint="eastAsia"/>
                <w:lang w:val="en-US" w:eastAsia="zh-CN"/>
              </w:rPr>
              <w:t>合计</w:t>
            </w:r>
          </w:p>
        </w:tc>
        <w:tc>
          <w:tcPr>
            <w:tcW w:w="1511" w:type="dxa"/>
            <w:tcBorders>
              <w:tl2br w:val="nil"/>
              <w:tr2bl w:val="nil"/>
            </w:tcBorders>
            <w:shd w:val="clear" w:color="auto" w:fill="FFFFFF"/>
            <w:vAlign w:val="center"/>
          </w:tcPr>
          <w:p w14:paraId="4F63D25F">
            <w:pPr>
              <w:pStyle w:val="59"/>
              <w:bidi w:val="0"/>
              <w:rPr>
                <w:rFonts w:hint="default"/>
              </w:rPr>
            </w:pPr>
            <w:r>
              <w:rPr>
                <w:rFonts w:hint="default"/>
                <w:lang w:val="en-US" w:eastAsia="zh-CN"/>
              </w:rPr>
              <w:t>t/a</w:t>
            </w:r>
          </w:p>
        </w:tc>
        <w:tc>
          <w:tcPr>
            <w:tcW w:w="1511" w:type="dxa"/>
            <w:tcBorders>
              <w:tl2br w:val="nil"/>
              <w:tr2bl w:val="nil"/>
            </w:tcBorders>
            <w:shd w:val="clear" w:color="auto" w:fill="FFFFFF"/>
            <w:vAlign w:val="center"/>
          </w:tcPr>
          <w:p w14:paraId="4E7C480C">
            <w:pPr>
              <w:pStyle w:val="59"/>
              <w:bidi w:val="0"/>
              <w:rPr>
                <w:rFonts w:hint="default"/>
              </w:rPr>
            </w:pPr>
            <w:r>
              <w:rPr>
                <w:rFonts w:hint="default"/>
                <w:lang w:val="en-US" w:eastAsia="zh-CN"/>
              </w:rPr>
              <w:t xml:space="preserve">89.76 </w:t>
            </w:r>
          </w:p>
        </w:tc>
        <w:tc>
          <w:tcPr>
            <w:tcW w:w="1512" w:type="dxa"/>
            <w:tcBorders>
              <w:tl2br w:val="nil"/>
              <w:tr2bl w:val="nil"/>
            </w:tcBorders>
            <w:shd w:val="clear" w:color="auto" w:fill="FFFFFF"/>
            <w:vAlign w:val="center"/>
          </w:tcPr>
          <w:p w14:paraId="3E45DD3B">
            <w:pPr>
              <w:pStyle w:val="59"/>
              <w:bidi w:val="0"/>
              <w:rPr>
                <w:rFonts w:hint="default"/>
              </w:rPr>
            </w:pPr>
          </w:p>
        </w:tc>
        <w:tc>
          <w:tcPr>
            <w:tcW w:w="1514" w:type="dxa"/>
            <w:tcBorders>
              <w:right w:val="nil"/>
              <w:tl2br w:val="nil"/>
              <w:tr2bl w:val="nil"/>
            </w:tcBorders>
            <w:shd w:val="clear" w:color="auto" w:fill="FFFFFF"/>
            <w:vAlign w:val="center"/>
          </w:tcPr>
          <w:p w14:paraId="463BFB20">
            <w:pPr>
              <w:pStyle w:val="59"/>
              <w:bidi w:val="0"/>
              <w:rPr>
                <w:rFonts w:hint="default"/>
              </w:rPr>
            </w:pPr>
            <w:r>
              <w:rPr>
                <w:rFonts w:hint="default"/>
                <w:lang w:val="en-US" w:eastAsia="zh-CN"/>
              </w:rPr>
              <w:t xml:space="preserve">55.427 </w:t>
            </w:r>
          </w:p>
        </w:tc>
      </w:tr>
    </w:tbl>
    <w:p w14:paraId="0B70593E">
      <w:pPr>
        <w:bidi w:val="0"/>
        <w:rPr>
          <w:rFonts w:hint="default" w:eastAsia="宋体"/>
          <w:lang w:val="en-US" w:eastAsia="zh-CN"/>
        </w:rPr>
      </w:pPr>
      <w:r>
        <w:rPr>
          <w:rFonts w:hint="eastAsia"/>
          <w:lang w:val="en-US" w:eastAsia="zh-CN"/>
        </w:rPr>
        <w:t>根据《印刷工业污染防治可行技术指南》（HJ1089—2020）</w:t>
      </w:r>
      <w:r>
        <w:t>表C.1印刷生产VOCs产污环节及产生量占比</w:t>
      </w:r>
      <w:r>
        <w:rPr>
          <w:rFonts w:hint="eastAsia"/>
          <w:lang w:eastAsia="zh-CN"/>
        </w:rPr>
        <w:t>，</w:t>
      </w:r>
      <w:r>
        <w:t>凹版印刷调墨间或印刷车间</w:t>
      </w:r>
      <w:r>
        <w:rPr>
          <w:rFonts w:hint="eastAsia"/>
          <w:lang w:val="en-US" w:eastAsia="zh-CN"/>
        </w:rPr>
        <w:t>占比</w:t>
      </w:r>
      <w:r>
        <w:t>≤5</w:t>
      </w:r>
      <w:r>
        <w:rPr>
          <w:rFonts w:hint="eastAsia"/>
          <w:lang w:val="en-US" w:eastAsia="zh-CN"/>
        </w:rPr>
        <w:t>%，</w:t>
      </w:r>
      <w:r>
        <w:t>印刷机台</w:t>
      </w:r>
      <w:r>
        <w:rPr>
          <w:rFonts w:hint="eastAsia"/>
          <w:lang w:val="en-US" w:eastAsia="zh-CN"/>
        </w:rPr>
        <w:t>占比</w:t>
      </w:r>
      <w:r>
        <w:t>20~30</w:t>
      </w:r>
      <w:r>
        <w:rPr>
          <w:rFonts w:hint="eastAsia"/>
          <w:lang w:val="en-US" w:eastAsia="zh-CN"/>
        </w:rPr>
        <w:t>%，</w:t>
      </w:r>
      <w:r>
        <w:t>烘箱</w:t>
      </w:r>
      <w:r>
        <w:rPr>
          <w:rFonts w:hint="eastAsia"/>
          <w:lang w:val="en-US" w:eastAsia="zh-CN"/>
        </w:rPr>
        <w:t>占比</w:t>
      </w:r>
      <w:r>
        <w:t>50~60</w:t>
      </w:r>
      <w:r>
        <w:rPr>
          <w:rFonts w:hint="eastAsia"/>
          <w:lang w:val="en-US" w:eastAsia="zh-CN"/>
        </w:rPr>
        <w:t>%，</w:t>
      </w:r>
      <w:r>
        <w:t>生产设备、车间</w:t>
      </w:r>
      <w:r>
        <w:rPr>
          <w:rFonts w:hint="eastAsia"/>
          <w:lang w:val="en-US" w:eastAsia="zh-CN"/>
        </w:rPr>
        <w:t>占比</w:t>
      </w:r>
      <w:r>
        <w:t>5~10</w:t>
      </w:r>
      <w:r>
        <w:rPr>
          <w:rFonts w:hint="eastAsia"/>
          <w:lang w:val="en-US" w:eastAsia="zh-CN"/>
        </w:rPr>
        <w:t>%，</w:t>
      </w:r>
      <w:r>
        <w:t>库房、车间、危废间</w:t>
      </w:r>
      <w:r>
        <w:rPr>
          <w:rFonts w:hint="eastAsia"/>
          <w:lang w:val="en-US" w:eastAsia="zh-CN"/>
        </w:rPr>
        <w:t>占比</w:t>
      </w:r>
      <w:r>
        <w:t>≤3</w:t>
      </w:r>
      <w:r>
        <w:rPr>
          <w:rFonts w:hint="eastAsia"/>
          <w:lang w:val="en-US" w:eastAsia="zh-CN"/>
        </w:rPr>
        <w:t>%，因此本环评</w:t>
      </w:r>
      <w:r>
        <w:rPr>
          <w:rFonts w:hint="eastAsia"/>
          <w:color w:val="auto"/>
          <w:lang w:val="en-US" w:eastAsia="zh-CN"/>
        </w:rPr>
        <w:t>烘干</w:t>
      </w:r>
      <w:r>
        <w:t>VOCs</w:t>
      </w:r>
      <w:r>
        <w:rPr>
          <w:rFonts w:hint="eastAsia"/>
          <w:lang w:val="en-US" w:eastAsia="zh-CN"/>
        </w:rPr>
        <w:t>挥发占比计</w:t>
      </w:r>
      <w:r>
        <w:t>50~60</w:t>
      </w:r>
      <w:r>
        <w:rPr>
          <w:rFonts w:hint="eastAsia"/>
          <w:lang w:val="en-US" w:eastAsia="zh-CN"/>
        </w:rPr>
        <w:t>%（取中间值55%），印刷、</w:t>
      </w:r>
      <w:r>
        <w:rPr>
          <w:rFonts w:hint="eastAsia"/>
          <w:color w:val="auto"/>
          <w:lang w:val="en-US" w:eastAsia="zh-CN"/>
        </w:rPr>
        <w:t>调墨、危废贮存占比取45%。洗机用0.3t/a</w:t>
      </w:r>
      <w:r>
        <w:rPr>
          <w:rFonts w:hint="eastAsia"/>
          <w:lang w:val="en-US" w:eastAsia="zh-CN"/>
        </w:rPr>
        <w:t>乙酸乙酯，</w:t>
      </w:r>
      <w:r>
        <w:t>VOCs 含量为 100%</w:t>
      </w:r>
      <w:r>
        <w:rPr>
          <w:rFonts w:hint="eastAsia"/>
          <w:lang w:eastAsia="zh-CN"/>
        </w:rPr>
        <w:t>，</w:t>
      </w:r>
      <w:r>
        <w:rPr>
          <w:rFonts w:hint="eastAsia"/>
          <w:lang w:val="en-US" w:eastAsia="zh-CN"/>
        </w:rPr>
        <w:t>洗机产生的VOCs量为</w:t>
      </w:r>
      <w:r>
        <w:rPr>
          <w:rFonts w:hint="eastAsia"/>
          <w:color w:val="auto"/>
          <w:lang w:val="en-US" w:eastAsia="zh-CN"/>
        </w:rPr>
        <w:t>0.3t/a。</w:t>
      </w:r>
    </w:p>
    <w:p w14:paraId="305F25DA">
      <w:pPr>
        <w:keepNext w:val="0"/>
        <w:keepLines w:val="0"/>
        <w:widowControl/>
        <w:suppressLineNumbers w:val="0"/>
        <w:jc w:val="left"/>
        <w:rPr>
          <w:rFonts w:hint="default"/>
          <w:lang w:val="en-US" w:eastAsia="zh-CN"/>
        </w:rPr>
      </w:pPr>
      <w:r>
        <w:rPr>
          <w:rFonts w:hint="eastAsia"/>
          <w:color w:val="auto"/>
          <w:lang w:val="en-US" w:eastAsia="zh-CN"/>
        </w:rPr>
        <w:t>烘干废气经密闭收集后经减风增浓后引入RTO 废气治理设施进行处理，调墨、印刷、洗机、危废贮存废气先经“干式过滤+旋转式分子筛吸附-脱附”处理后再引入RTO 废气治理设施进行处理，处理后与</w:t>
      </w:r>
      <w:r>
        <w:rPr>
          <w:color w:val="auto"/>
        </w:rPr>
        <w:t xml:space="preserve"> RTO 燃料废气一起排放，</w:t>
      </w:r>
      <w:r>
        <w:rPr>
          <w:rFonts w:hint="eastAsia"/>
          <w:color w:val="auto"/>
          <w:lang w:eastAsia="zh-CN"/>
        </w:rPr>
        <w:t>排气筒高度 25m</w:t>
      </w:r>
      <w:r>
        <w:rPr>
          <w:color w:val="auto"/>
        </w:rPr>
        <w:t>，排放口编号为DA001</w:t>
      </w:r>
      <w:r>
        <w:t>，</w:t>
      </w:r>
      <w:r>
        <w:rPr>
          <w:rFonts w:hint="eastAsia"/>
          <w:lang w:val="en-US" w:eastAsia="zh-CN"/>
        </w:rPr>
        <w:t>根据《</w:t>
      </w:r>
      <w:r>
        <w:rPr>
          <w:rFonts w:hint="eastAsia" w:ascii="Times New Roman" w:hAnsi="Times New Roman" w:eastAsia="宋体" w:cs="Times New Roman"/>
          <w:color w:val="auto"/>
          <w:szCs w:val="28"/>
          <w:u w:val="none" w:color="auto"/>
          <w:lang w:val="en-US" w:eastAsia="zh-CN"/>
        </w:rPr>
        <w:t>关于印发工业源挥发性有机物和氮氧化物减排量核算方法的通知》（粤环函[2023]538号），单层密闭负压收集效率为90%，采用</w:t>
      </w:r>
      <w:r>
        <w:rPr>
          <w:rFonts w:hint="default" w:ascii="Times New Roman" w:hAnsi="Times New Roman" w:eastAsia="宋体" w:cs="Times New Roman"/>
          <w:color w:val="auto"/>
          <w:szCs w:val="28"/>
          <w:u w:val="none" w:color="auto"/>
          <w:lang w:val="en-US" w:eastAsia="zh-CN"/>
        </w:rPr>
        <w:t>旋转式分子筛吸附-脱附-蓄热燃烧</w:t>
      </w:r>
      <w:r>
        <w:rPr>
          <w:rFonts w:hint="eastAsia" w:ascii="Times New Roman" w:hAnsi="Times New Roman" w:eastAsia="宋体" w:cs="Times New Roman"/>
          <w:color w:val="auto"/>
          <w:szCs w:val="28"/>
          <w:u w:val="none" w:color="auto"/>
          <w:lang w:val="en-US" w:eastAsia="zh-CN"/>
        </w:rPr>
        <w:t>装置，处理效率为85%，采用</w:t>
      </w:r>
      <w:r>
        <w:rPr>
          <w:rFonts w:hint="default" w:ascii="Times New Roman" w:hAnsi="Times New Roman" w:eastAsia="宋体" w:cs="Times New Roman"/>
          <w:color w:val="auto"/>
          <w:szCs w:val="28"/>
          <w:u w:val="none" w:color="auto"/>
          <w:lang w:val="en-US" w:eastAsia="zh-CN"/>
        </w:rPr>
        <w:t>蓄热燃烧</w:t>
      </w:r>
      <w:r>
        <w:rPr>
          <w:rFonts w:hint="eastAsia" w:ascii="Times New Roman" w:hAnsi="Times New Roman" w:eastAsia="宋体" w:cs="Times New Roman"/>
          <w:color w:val="auto"/>
          <w:szCs w:val="28"/>
          <w:u w:val="none" w:color="auto"/>
          <w:lang w:val="en-US" w:eastAsia="zh-CN"/>
        </w:rPr>
        <w:t>装置处理效率为90%。</w:t>
      </w:r>
    </w:p>
    <w:p w14:paraId="37328838">
      <w:pPr>
        <w:pStyle w:val="65"/>
        <w:numPr>
          <w:ilvl w:val="0"/>
          <w:numId w:val="31"/>
        </w:numPr>
        <w:rPr>
          <w:rFonts w:hint="eastAsia" w:ascii="Times New Roman" w:hAnsi="Times New Roman" w:eastAsia="宋体" w:cs="Times New Roman"/>
          <w:color w:val="auto"/>
          <w:lang w:val="en-US" w:eastAsia="zh-CN"/>
        </w:rPr>
      </w:pPr>
      <w:r>
        <w:rPr>
          <w:rFonts w:hint="eastAsia"/>
          <w:color w:val="auto"/>
          <w:lang w:val="en-US" w:eastAsia="zh-CN"/>
        </w:rPr>
        <w:t>合掌废气</w:t>
      </w:r>
    </w:p>
    <w:p w14:paraId="6003FD1F">
      <w:pPr>
        <w:bidi w:val="0"/>
        <w:rPr>
          <w:rFonts w:hint="default"/>
          <w:lang w:val="en-US" w:eastAsia="zh-CN"/>
        </w:rPr>
      </w:pPr>
      <w:r>
        <w:t>合掌</w:t>
      </w:r>
      <w:r>
        <w:rPr>
          <w:rFonts w:hint="eastAsia"/>
          <w:lang w:val="en-US" w:eastAsia="zh-CN"/>
        </w:rPr>
        <w:t>使用四氢呋喃</w:t>
      </w:r>
      <w:r>
        <w:t>，属于有机溶剂，按 100%挥发</w:t>
      </w:r>
      <w:r>
        <w:rPr>
          <w:rFonts w:hint="eastAsia"/>
          <w:lang w:eastAsia="zh-CN"/>
        </w:rPr>
        <w:t>，</w:t>
      </w:r>
      <w:r>
        <w:rPr>
          <w:rFonts w:hint="eastAsia"/>
          <w:lang w:val="en-US" w:eastAsia="zh-CN"/>
        </w:rPr>
        <w:t>VOCs产生量为0.870t/a。</w:t>
      </w:r>
    </w:p>
    <w:p w14:paraId="66DCDAF3">
      <w:pPr>
        <w:pStyle w:val="65"/>
        <w:numPr>
          <w:ilvl w:val="0"/>
          <w:numId w:val="31"/>
        </w:numPr>
        <w:rPr>
          <w:rFonts w:hint="eastAsia" w:ascii="Times New Roman" w:hAnsi="Times New Roman" w:eastAsia="宋体" w:cs="Times New Roman"/>
          <w:color w:val="auto"/>
          <w:lang w:val="en-US" w:eastAsia="zh-CN"/>
        </w:rPr>
      </w:pPr>
      <w:r>
        <w:rPr>
          <w:rFonts w:hint="eastAsia"/>
          <w:color w:val="auto"/>
          <w:lang w:val="en-US" w:eastAsia="zh-CN"/>
        </w:rPr>
        <w:t>定型废气</w:t>
      </w:r>
    </w:p>
    <w:p w14:paraId="6C9E3B67">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cs="Times New Roman"/>
        </w:rPr>
      </w:pPr>
      <w:r>
        <w:rPr>
          <w:rFonts w:hint="eastAsia" w:ascii="Times New Roman" w:hAnsi="Times New Roman" w:cs="Times New Roman"/>
        </w:rPr>
        <w:t>项目</w:t>
      </w:r>
      <w:r>
        <w:rPr>
          <w:rFonts w:hint="eastAsia" w:ascii="Times New Roman" w:hAnsi="Times New Roman" w:cs="Times New Roman"/>
          <w:lang w:val="en-US" w:eastAsia="zh-CN"/>
        </w:rPr>
        <w:t>PVC定型</w:t>
      </w:r>
      <w:r>
        <w:rPr>
          <w:rFonts w:hint="eastAsia" w:ascii="Times New Roman" w:hAnsi="Times New Roman" w:cs="Times New Roman"/>
        </w:rPr>
        <w:t>过程中会产生有机废气，用非甲烷总烃表征。根据</w:t>
      </w:r>
      <w:r>
        <w:rPr>
          <w:rFonts w:ascii="Times New Roman" w:hAnsi="Times New Roman" w:cs="Times New Roman"/>
        </w:rPr>
        <w:t>《广东省塑料制品与制造业、人造石制造业、电子元件制造业挥发性有机化合物排放系数使用指南》</w:t>
      </w:r>
      <w:r>
        <w:rPr>
          <w:rFonts w:hint="eastAsia" w:ascii="Times New Roman" w:hAnsi="Times New Roman" w:cs="Times New Roman"/>
        </w:rPr>
        <w:t>表4-1，收集效率为0，治理效率为0的情况下，塑料制品与制造业成型工序VOCs排放系数为2.368kg/t 塑胶原料用量，</w:t>
      </w:r>
      <w:r>
        <w:rPr>
          <w:rFonts w:hint="eastAsia" w:ascii="Times New Roman" w:hAnsi="Times New Roman" w:cs="Times New Roman"/>
          <w:lang w:val="en-US" w:eastAsia="zh-CN"/>
        </w:rPr>
        <w:t>项目塑料原料用量为235t/a，则</w:t>
      </w:r>
      <w:r>
        <w:rPr>
          <w:rFonts w:hint="eastAsia" w:ascii="Times New Roman" w:hAnsi="Times New Roman" w:cs="Times New Roman"/>
          <w:lang w:eastAsia="zh-CN"/>
        </w:rPr>
        <w:t>塑料</w:t>
      </w:r>
      <w:r>
        <w:rPr>
          <w:rFonts w:hint="eastAsia" w:ascii="Times New Roman" w:hAnsi="Times New Roman" w:cs="Times New Roman"/>
          <w:lang w:val="en-US" w:eastAsia="zh-CN"/>
        </w:rPr>
        <w:t>定型</w:t>
      </w:r>
      <w:r>
        <w:rPr>
          <w:rFonts w:hint="eastAsia" w:ascii="Times New Roman" w:hAnsi="Times New Roman" w:cs="Times New Roman"/>
          <w:lang w:eastAsia="zh-CN"/>
        </w:rPr>
        <w:t>加工</w:t>
      </w:r>
      <w:r>
        <w:rPr>
          <w:rFonts w:hint="eastAsia" w:ascii="Times New Roman" w:hAnsi="Times New Roman" w:cs="Times New Roman"/>
          <w:lang w:val="en-US" w:eastAsia="zh-CN"/>
        </w:rPr>
        <w:t>产生</w:t>
      </w:r>
      <w:r>
        <w:rPr>
          <w:rFonts w:hint="eastAsia" w:ascii="Times New Roman" w:hAnsi="Times New Roman" w:cs="Times New Roman"/>
        </w:rPr>
        <w:t>的非甲烷总烃</w:t>
      </w:r>
      <w:r>
        <w:rPr>
          <w:rFonts w:ascii="Times New Roman" w:hAnsi="Times New Roman" w:cs="Times New Roman"/>
        </w:rPr>
        <w:t>量</w:t>
      </w:r>
      <w:r>
        <w:rPr>
          <w:rFonts w:hint="eastAsia" w:ascii="Times New Roman" w:hAnsi="Times New Roman" w:cs="Times New Roman"/>
        </w:rPr>
        <w:t>为</w:t>
      </w:r>
      <w:r>
        <w:rPr>
          <w:rFonts w:hint="eastAsia" w:ascii="Times New Roman" w:hAnsi="Times New Roman" w:cs="Times New Roman"/>
          <w:lang w:val="en-US" w:eastAsia="zh-CN"/>
        </w:rPr>
        <w:t>325t/a</w:t>
      </w:r>
      <w:r>
        <w:rPr>
          <w:rFonts w:hint="eastAsia" w:ascii="Times New Roman" w:hAnsi="Times New Roman" w:cs="Times New Roman"/>
        </w:rPr>
        <w:t>×2.368kg/t 塑胶原料用量=</w:t>
      </w:r>
      <w:r>
        <w:rPr>
          <w:rFonts w:hint="eastAsia" w:ascii="Times New Roman" w:hAnsi="Times New Roman" w:cs="Times New Roman"/>
          <w:lang w:val="en-US" w:eastAsia="zh-CN"/>
        </w:rPr>
        <w:t>0.556</w:t>
      </w:r>
      <w:r>
        <w:rPr>
          <w:rFonts w:hint="eastAsia" w:ascii="Times New Roman" w:hAnsi="Times New Roman" w:cs="Times New Roman"/>
        </w:rPr>
        <w:t>t/a。</w:t>
      </w:r>
    </w:p>
    <w:p w14:paraId="377836BC">
      <w:pPr>
        <w:bidi w:val="0"/>
        <w:rPr>
          <w:rFonts w:hint="eastAsia"/>
        </w:rPr>
      </w:pPr>
      <w:r>
        <w:rPr>
          <w:rFonts w:hint="eastAsia"/>
        </w:rPr>
        <w:t>参考文献《气相色谱</w:t>
      </w:r>
      <w:r>
        <w:rPr>
          <w:rFonts w:hint="eastAsia"/>
          <w:lang w:val="en-US" w:eastAsia="zh-CN"/>
        </w:rPr>
        <w:t>-</w:t>
      </w:r>
      <w:r>
        <w:rPr>
          <w:rFonts w:hint="eastAsia"/>
        </w:rPr>
        <w:t>质谱法分析聚氯乙烯加热分解产物》（中国卫生检验杂志，2008年4月）表2，1</w:t>
      </w:r>
      <w:r>
        <w:rPr>
          <w:rFonts w:hint="eastAsia"/>
          <w:lang w:val="en-US" w:eastAsia="zh-CN"/>
        </w:rPr>
        <w:t>9</w:t>
      </w:r>
      <w:r>
        <w:rPr>
          <w:rFonts w:hint="eastAsia"/>
        </w:rPr>
        <w:t>0℃下聚氯乙烯热解产物有HCl、氯乙烯、乙烯、</w:t>
      </w:r>
      <w:r>
        <w:rPr>
          <w:rFonts w:hint="eastAsia"/>
          <w:lang w:val="en-US" w:eastAsia="zh-CN"/>
        </w:rPr>
        <w:t>一氯己烷、二氯甲烷、三氯甲烷、</w:t>
      </w:r>
      <w:r>
        <w:rPr>
          <w:rFonts w:hint="eastAsia"/>
        </w:rPr>
        <w:t>二氯乙烯、四氯化碳、三氯乙烯</w:t>
      </w:r>
      <w:r>
        <w:rPr>
          <w:rFonts w:hint="eastAsia"/>
          <w:lang w:eastAsia="zh-CN"/>
        </w:rPr>
        <w:t>、</w:t>
      </w:r>
      <w:r>
        <w:rPr>
          <w:rFonts w:hint="eastAsia"/>
          <w:lang w:val="en-US" w:eastAsia="zh-CN"/>
        </w:rPr>
        <w:t>二氯乙烷、苯、甲苯、四氯乙烯</w:t>
      </w:r>
      <w:r>
        <w:rPr>
          <w:rFonts w:hint="eastAsia"/>
        </w:rPr>
        <w:t>，</w:t>
      </w:r>
      <w:r>
        <w:rPr>
          <w:rFonts w:hint="eastAsia"/>
          <w:lang w:val="en-US" w:eastAsia="zh-CN"/>
        </w:rPr>
        <w:t>污染物产生量见下表分析</w:t>
      </w:r>
      <w:r>
        <w:t>。</w:t>
      </w:r>
    </w:p>
    <w:p w14:paraId="5419EFC3">
      <w:pPr>
        <w:pStyle w:val="62"/>
        <w:numPr>
          <w:ilvl w:val="0"/>
          <w:numId w:val="30"/>
        </w:numPr>
        <w:tabs>
          <w:tab w:val="left" w:pos="2411"/>
        </w:tabs>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PVC塑料单体含量一览表</w:t>
      </w:r>
    </w:p>
    <w:tbl>
      <w:tblPr>
        <w:tblStyle w:val="38"/>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2046"/>
        <w:gridCol w:w="1855"/>
        <w:gridCol w:w="1855"/>
        <w:gridCol w:w="1859"/>
      </w:tblGrid>
      <w:tr w14:paraId="4F1235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noWrap/>
            <w:vAlign w:val="center"/>
          </w:tcPr>
          <w:p w14:paraId="38649E75">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PVC投入量</w:t>
            </w:r>
            <w:r>
              <w:rPr>
                <w:rFonts w:hint="default" w:ascii="Times New Roman" w:hAnsi="Times New Roman" w:cs="Times New Roman"/>
                <w:color w:val="auto"/>
                <w:lang w:val="en-US" w:eastAsia="zh-CN"/>
              </w:rPr>
              <w:t>t/a</w:t>
            </w:r>
          </w:p>
        </w:tc>
        <w:tc>
          <w:tcPr>
            <w:tcW w:w="1998" w:type="dxa"/>
            <w:noWrap/>
            <w:vAlign w:val="center"/>
          </w:tcPr>
          <w:p w14:paraId="5BF3A785">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加热至</w:t>
            </w:r>
            <w:r>
              <w:rPr>
                <w:rFonts w:hint="default" w:ascii="Times New Roman" w:hAnsi="Times New Roman" w:cs="Times New Roman"/>
                <w:color w:val="auto"/>
                <w:lang w:val="en-US" w:eastAsia="zh-CN"/>
              </w:rPr>
              <w:t>1</w:t>
            </w:r>
            <w:r>
              <w:rPr>
                <w:rFonts w:hint="eastAsia" w:ascii="Times New Roman" w:hAnsi="Times New Roman" w:cs="Times New Roman"/>
                <w:color w:val="auto"/>
                <w:lang w:val="en-US" w:eastAsia="zh-CN"/>
              </w:rPr>
              <w:t>9</w:t>
            </w: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℃热解产物的种类</w:t>
            </w:r>
          </w:p>
        </w:tc>
        <w:tc>
          <w:tcPr>
            <w:tcW w:w="1812" w:type="dxa"/>
            <w:noWrap/>
            <w:vAlign w:val="center"/>
          </w:tcPr>
          <w:p w14:paraId="3BA9F9B9">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浓度</w:t>
            </w:r>
          </w:p>
          <w:p w14:paraId="3ACAEE84">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mg/m</w:t>
            </w:r>
            <w:r>
              <w:rPr>
                <w:rFonts w:hint="eastAsia" w:ascii="Times New Roman" w:hAnsi="Times New Roman" w:cs="Times New Roman"/>
                <w:color w:val="auto"/>
                <w:vertAlign w:val="superscript"/>
                <w:lang w:val="en-US" w:eastAsia="zh-CN"/>
              </w:rPr>
              <w:t>3</w:t>
            </w:r>
          </w:p>
        </w:tc>
        <w:tc>
          <w:tcPr>
            <w:tcW w:w="1812" w:type="dxa"/>
            <w:noWrap/>
            <w:vAlign w:val="center"/>
          </w:tcPr>
          <w:p w14:paraId="54B0DE4E">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产污量</w:t>
            </w:r>
          </w:p>
          <w:p w14:paraId="4A261F1A">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g/t-原料</w:t>
            </w:r>
          </w:p>
        </w:tc>
        <w:tc>
          <w:tcPr>
            <w:tcW w:w="1816" w:type="dxa"/>
            <w:noWrap/>
            <w:vAlign w:val="center"/>
          </w:tcPr>
          <w:p w14:paraId="01978472">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污染物产生量</w:t>
            </w:r>
          </w:p>
          <w:p w14:paraId="1A83EFB5">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kg/</w:t>
            </w:r>
            <w:r>
              <w:rPr>
                <w:rFonts w:hint="default" w:ascii="Times New Roman" w:hAnsi="Times New Roman" w:cs="Times New Roman"/>
                <w:color w:val="auto"/>
                <w:lang w:val="en-US" w:eastAsia="zh-CN"/>
              </w:rPr>
              <w:t>a</w:t>
            </w:r>
          </w:p>
        </w:tc>
      </w:tr>
      <w:tr w14:paraId="7F495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restart"/>
            <w:noWrap/>
            <w:vAlign w:val="center"/>
          </w:tcPr>
          <w:p w14:paraId="567FBCB2">
            <w:pPr>
              <w:pStyle w:val="59"/>
              <w:bidi w:val="0"/>
              <w:rPr>
                <w:rFonts w:ascii="Times New Roman" w:hAnsi="Times New Roman" w:cs="Times New Roman"/>
                <w:color w:val="auto"/>
              </w:rPr>
            </w:pPr>
            <w:r>
              <w:rPr>
                <w:rFonts w:hint="eastAsia" w:ascii="Times New Roman" w:hAnsi="Times New Roman" w:cs="Times New Roman"/>
                <w:lang w:val="en-US" w:eastAsia="zh-CN"/>
              </w:rPr>
              <w:t>235</w:t>
            </w:r>
          </w:p>
        </w:tc>
        <w:tc>
          <w:tcPr>
            <w:tcW w:w="1998" w:type="dxa"/>
            <w:noWrap/>
            <w:vAlign w:val="center"/>
          </w:tcPr>
          <w:p w14:paraId="7AAF7AC5">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氯化氢</w:t>
            </w:r>
          </w:p>
        </w:tc>
        <w:tc>
          <w:tcPr>
            <w:tcW w:w="1812" w:type="dxa"/>
            <w:noWrap/>
            <w:vAlign w:val="center"/>
          </w:tcPr>
          <w:p w14:paraId="10A6204D">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16.83</w:t>
            </w:r>
          </w:p>
        </w:tc>
        <w:tc>
          <w:tcPr>
            <w:tcW w:w="1812" w:type="dxa"/>
            <w:noWrap/>
            <w:vAlign w:val="center"/>
          </w:tcPr>
          <w:p w14:paraId="13C7942C">
            <w:pPr>
              <w:pStyle w:val="59"/>
              <w:bidi w:val="0"/>
              <w:rPr>
                <w:rFonts w:ascii="Times New Roman" w:hAnsi="Times New Roman" w:cs="Times New Roman"/>
                <w:color w:val="auto"/>
              </w:rPr>
            </w:pPr>
            <w:r>
              <w:rPr>
                <w:rFonts w:hint="default" w:ascii="Times New Roman" w:hAnsi="Times New Roman" w:cs="Times New Roman"/>
                <w:color w:val="auto"/>
                <w:lang w:val="en-US" w:eastAsia="zh-CN"/>
              </w:rPr>
              <w:t>0.1683</w:t>
            </w:r>
          </w:p>
        </w:tc>
        <w:tc>
          <w:tcPr>
            <w:tcW w:w="1816" w:type="dxa"/>
            <w:noWrap/>
            <w:vAlign w:val="center"/>
          </w:tcPr>
          <w:p w14:paraId="7508FC83">
            <w:pPr>
              <w:pStyle w:val="59"/>
              <w:bidi w:val="0"/>
            </w:pPr>
            <w:r>
              <w:rPr>
                <w:rFonts w:hint="default"/>
                <w:lang w:val="en-US" w:eastAsia="zh-CN"/>
              </w:rPr>
              <w:t xml:space="preserve">0.040 </w:t>
            </w:r>
          </w:p>
        </w:tc>
      </w:tr>
      <w:tr w14:paraId="50014F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ign w:val="center"/>
          </w:tcPr>
          <w:p w14:paraId="657DFACD">
            <w:pPr>
              <w:pStyle w:val="59"/>
              <w:bidi w:val="0"/>
              <w:rPr>
                <w:rFonts w:hint="default" w:ascii="Times New Roman" w:hAnsi="Times New Roman" w:cs="Times New Roman"/>
                <w:color w:val="auto"/>
                <w:lang w:val="en-US" w:eastAsia="zh-CN"/>
              </w:rPr>
            </w:pPr>
          </w:p>
        </w:tc>
        <w:tc>
          <w:tcPr>
            <w:tcW w:w="1998" w:type="dxa"/>
            <w:noWrap/>
            <w:vAlign w:val="center"/>
          </w:tcPr>
          <w:p w14:paraId="67AE96EB">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氯乙烯</w:t>
            </w:r>
          </w:p>
        </w:tc>
        <w:tc>
          <w:tcPr>
            <w:tcW w:w="1812" w:type="dxa"/>
            <w:noWrap/>
            <w:vAlign w:val="center"/>
          </w:tcPr>
          <w:p w14:paraId="11ACB1D4">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18.23</w:t>
            </w:r>
          </w:p>
        </w:tc>
        <w:tc>
          <w:tcPr>
            <w:tcW w:w="1812" w:type="dxa"/>
            <w:noWrap/>
            <w:vAlign w:val="center"/>
          </w:tcPr>
          <w:p w14:paraId="798BACA7">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0.1823</w:t>
            </w:r>
          </w:p>
        </w:tc>
        <w:tc>
          <w:tcPr>
            <w:tcW w:w="1816" w:type="dxa"/>
            <w:noWrap/>
            <w:vAlign w:val="center"/>
          </w:tcPr>
          <w:p w14:paraId="2672914B">
            <w:pPr>
              <w:pStyle w:val="59"/>
              <w:bidi w:val="0"/>
              <w:rPr>
                <w:rFonts w:hint="default"/>
                <w:lang w:val="en-US" w:eastAsia="zh-CN"/>
              </w:rPr>
            </w:pPr>
            <w:r>
              <w:rPr>
                <w:rFonts w:hint="default"/>
                <w:lang w:val="en-US" w:eastAsia="zh-CN"/>
              </w:rPr>
              <w:t xml:space="preserve">0.043 </w:t>
            </w:r>
          </w:p>
        </w:tc>
      </w:tr>
      <w:tr w14:paraId="250BEC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ign w:val="center"/>
          </w:tcPr>
          <w:p w14:paraId="0B1D595C">
            <w:pPr>
              <w:pStyle w:val="59"/>
              <w:bidi w:val="0"/>
              <w:rPr>
                <w:rFonts w:hint="default" w:ascii="Times New Roman" w:hAnsi="Times New Roman" w:cs="Times New Roman"/>
                <w:color w:val="auto"/>
                <w:lang w:val="en-US" w:eastAsia="zh-CN"/>
              </w:rPr>
            </w:pPr>
          </w:p>
        </w:tc>
        <w:tc>
          <w:tcPr>
            <w:tcW w:w="1998" w:type="dxa"/>
            <w:noWrap/>
            <w:vAlign w:val="center"/>
          </w:tcPr>
          <w:p w14:paraId="18CAFEAB">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乙烯</w:t>
            </w:r>
          </w:p>
        </w:tc>
        <w:tc>
          <w:tcPr>
            <w:tcW w:w="1812" w:type="dxa"/>
            <w:noWrap/>
            <w:vAlign w:val="center"/>
          </w:tcPr>
          <w:p w14:paraId="5C2C01AF">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7.53</w:t>
            </w:r>
          </w:p>
        </w:tc>
        <w:tc>
          <w:tcPr>
            <w:tcW w:w="1812" w:type="dxa"/>
            <w:noWrap/>
            <w:vAlign w:val="center"/>
          </w:tcPr>
          <w:p w14:paraId="04EDF50A">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0.0753</w:t>
            </w:r>
          </w:p>
        </w:tc>
        <w:tc>
          <w:tcPr>
            <w:tcW w:w="1816" w:type="dxa"/>
            <w:noWrap/>
            <w:vAlign w:val="center"/>
          </w:tcPr>
          <w:p w14:paraId="7916F278">
            <w:pPr>
              <w:pStyle w:val="59"/>
              <w:bidi w:val="0"/>
              <w:rPr>
                <w:rFonts w:hint="default"/>
                <w:lang w:val="en-US" w:eastAsia="zh-CN"/>
              </w:rPr>
            </w:pPr>
            <w:r>
              <w:rPr>
                <w:rFonts w:hint="default"/>
                <w:lang w:val="en-US" w:eastAsia="zh-CN"/>
              </w:rPr>
              <w:t xml:space="preserve">0.018 </w:t>
            </w:r>
          </w:p>
        </w:tc>
      </w:tr>
      <w:tr w14:paraId="3D5079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ign w:val="center"/>
          </w:tcPr>
          <w:p w14:paraId="14D336A0">
            <w:pPr>
              <w:pStyle w:val="59"/>
              <w:bidi w:val="0"/>
              <w:rPr>
                <w:rFonts w:hint="default" w:ascii="Times New Roman" w:hAnsi="Times New Roman" w:cs="Times New Roman"/>
                <w:color w:val="auto"/>
                <w:lang w:val="en-US" w:eastAsia="zh-CN"/>
              </w:rPr>
            </w:pPr>
          </w:p>
        </w:tc>
        <w:tc>
          <w:tcPr>
            <w:tcW w:w="1998" w:type="dxa"/>
            <w:noWrap/>
            <w:vAlign w:val="center"/>
          </w:tcPr>
          <w:p w14:paraId="7F60EEF2">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一氯甲烷</w:t>
            </w:r>
          </w:p>
        </w:tc>
        <w:tc>
          <w:tcPr>
            <w:tcW w:w="1812" w:type="dxa"/>
            <w:noWrap/>
            <w:vAlign w:val="center"/>
          </w:tcPr>
          <w:p w14:paraId="73CC2EB2">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1.73</w:t>
            </w:r>
          </w:p>
        </w:tc>
        <w:tc>
          <w:tcPr>
            <w:tcW w:w="1812" w:type="dxa"/>
            <w:noWrap/>
            <w:vAlign w:val="center"/>
          </w:tcPr>
          <w:p w14:paraId="4900D579">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0.0173</w:t>
            </w:r>
          </w:p>
        </w:tc>
        <w:tc>
          <w:tcPr>
            <w:tcW w:w="1816" w:type="dxa"/>
            <w:noWrap/>
            <w:vAlign w:val="center"/>
          </w:tcPr>
          <w:p w14:paraId="64EC37A8">
            <w:pPr>
              <w:pStyle w:val="59"/>
              <w:bidi w:val="0"/>
              <w:rPr>
                <w:rFonts w:hint="default"/>
                <w:lang w:val="en-US" w:eastAsia="zh-CN"/>
              </w:rPr>
            </w:pPr>
            <w:r>
              <w:rPr>
                <w:rFonts w:hint="default"/>
                <w:lang w:val="en-US" w:eastAsia="zh-CN"/>
              </w:rPr>
              <w:t xml:space="preserve">0.004 </w:t>
            </w:r>
          </w:p>
        </w:tc>
      </w:tr>
      <w:tr w14:paraId="1F19A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ign w:val="center"/>
          </w:tcPr>
          <w:p w14:paraId="54E6F916">
            <w:pPr>
              <w:pStyle w:val="59"/>
              <w:bidi w:val="0"/>
              <w:rPr>
                <w:rFonts w:ascii="Times New Roman" w:hAnsi="Times New Roman" w:cs="Times New Roman"/>
                <w:color w:val="auto"/>
              </w:rPr>
            </w:pPr>
          </w:p>
        </w:tc>
        <w:tc>
          <w:tcPr>
            <w:tcW w:w="1998" w:type="dxa"/>
            <w:noWrap/>
            <w:vAlign w:val="center"/>
          </w:tcPr>
          <w:p w14:paraId="0EA2D47C">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二氯乙烯</w:t>
            </w:r>
          </w:p>
        </w:tc>
        <w:tc>
          <w:tcPr>
            <w:tcW w:w="1812" w:type="dxa"/>
            <w:noWrap/>
            <w:vAlign w:val="center"/>
          </w:tcPr>
          <w:p w14:paraId="04F85301">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9.63</w:t>
            </w:r>
          </w:p>
        </w:tc>
        <w:tc>
          <w:tcPr>
            <w:tcW w:w="1812" w:type="dxa"/>
            <w:noWrap/>
            <w:vAlign w:val="center"/>
          </w:tcPr>
          <w:p w14:paraId="215A34AB">
            <w:pPr>
              <w:pStyle w:val="59"/>
              <w:bidi w:val="0"/>
              <w:rPr>
                <w:rFonts w:ascii="Times New Roman" w:hAnsi="Times New Roman" w:cs="Times New Roman"/>
                <w:color w:val="auto"/>
              </w:rPr>
            </w:pPr>
            <w:r>
              <w:rPr>
                <w:rFonts w:hint="default" w:ascii="Times New Roman" w:hAnsi="Times New Roman" w:cs="Times New Roman"/>
                <w:color w:val="auto"/>
                <w:lang w:val="en-US" w:eastAsia="zh-CN"/>
              </w:rPr>
              <w:t>0.0963</w:t>
            </w:r>
          </w:p>
        </w:tc>
        <w:tc>
          <w:tcPr>
            <w:tcW w:w="1816" w:type="dxa"/>
            <w:noWrap/>
            <w:vAlign w:val="center"/>
          </w:tcPr>
          <w:p w14:paraId="3ACABA9E">
            <w:pPr>
              <w:pStyle w:val="59"/>
              <w:bidi w:val="0"/>
            </w:pPr>
            <w:r>
              <w:rPr>
                <w:rFonts w:hint="default"/>
                <w:lang w:val="en-US" w:eastAsia="zh-CN"/>
              </w:rPr>
              <w:t xml:space="preserve">0.023 </w:t>
            </w:r>
          </w:p>
        </w:tc>
      </w:tr>
      <w:tr w14:paraId="4614BD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ign w:val="center"/>
          </w:tcPr>
          <w:p w14:paraId="54AD41E8">
            <w:pPr>
              <w:pStyle w:val="59"/>
              <w:bidi w:val="0"/>
              <w:rPr>
                <w:rFonts w:ascii="Times New Roman" w:hAnsi="Times New Roman" w:cs="Times New Roman"/>
                <w:color w:val="auto"/>
              </w:rPr>
            </w:pPr>
          </w:p>
        </w:tc>
        <w:tc>
          <w:tcPr>
            <w:tcW w:w="1998" w:type="dxa"/>
            <w:noWrap/>
            <w:vAlign w:val="center"/>
          </w:tcPr>
          <w:p w14:paraId="01A82C70">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二氯甲烷</w:t>
            </w:r>
          </w:p>
        </w:tc>
        <w:tc>
          <w:tcPr>
            <w:tcW w:w="1812" w:type="dxa"/>
            <w:noWrap/>
            <w:vAlign w:val="center"/>
          </w:tcPr>
          <w:p w14:paraId="2650C161">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3.12</w:t>
            </w:r>
          </w:p>
        </w:tc>
        <w:tc>
          <w:tcPr>
            <w:tcW w:w="1812" w:type="dxa"/>
            <w:noWrap/>
            <w:vAlign w:val="center"/>
          </w:tcPr>
          <w:p w14:paraId="14EF2242">
            <w:pPr>
              <w:pStyle w:val="59"/>
              <w:bidi w:val="0"/>
              <w:rPr>
                <w:rFonts w:ascii="Times New Roman" w:hAnsi="Times New Roman" w:cs="Times New Roman"/>
                <w:color w:val="auto"/>
              </w:rPr>
            </w:pPr>
            <w:r>
              <w:rPr>
                <w:rFonts w:hint="default" w:ascii="Times New Roman" w:hAnsi="Times New Roman" w:cs="Times New Roman"/>
                <w:color w:val="auto"/>
                <w:lang w:val="en-US" w:eastAsia="zh-CN"/>
              </w:rPr>
              <w:t>0.0312</w:t>
            </w:r>
          </w:p>
        </w:tc>
        <w:tc>
          <w:tcPr>
            <w:tcW w:w="1816" w:type="dxa"/>
            <w:noWrap/>
            <w:vAlign w:val="center"/>
          </w:tcPr>
          <w:p w14:paraId="1BF2A990">
            <w:pPr>
              <w:pStyle w:val="59"/>
              <w:bidi w:val="0"/>
              <w:rPr>
                <w:rFonts w:hint="eastAsia"/>
              </w:rPr>
            </w:pPr>
            <w:r>
              <w:rPr>
                <w:rFonts w:hint="default"/>
                <w:lang w:val="en-US" w:eastAsia="zh-CN"/>
              </w:rPr>
              <w:t xml:space="preserve">0.007 </w:t>
            </w:r>
          </w:p>
        </w:tc>
      </w:tr>
      <w:tr w14:paraId="47945F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ign w:val="center"/>
          </w:tcPr>
          <w:p w14:paraId="7E3AA9ED">
            <w:pPr>
              <w:pStyle w:val="59"/>
              <w:bidi w:val="0"/>
              <w:rPr>
                <w:rFonts w:ascii="Times New Roman" w:hAnsi="Times New Roman" w:cs="Times New Roman"/>
                <w:color w:val="auto"/>
              </w:rPr>
            </w:pPr>
          </w:p>
        </w:tc>
        <w:tc>
          <w:tcPr>
            <w:tcW w:w="1998" w:type="dxa"/>
            <w:noWrap/>
            <w:vAlign w:val="center"/>
          </w:tcPr>
          <w:p w14:paraId="2AA6CFFE">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四氯化碳</w:t>
            </w:r>
          </w:p>
        </w:tc>
        <w:tc>
          <w:tcPr>
            <w:tcW w:w="1812" w:type="dxa"/>
            <w:noWrap/>
            <w:vAlign w:val="center"/>
          </w:tcPr>
          <w:p w14:paraId="55D008C8">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11.24</w:t>
            </w:r>
          </w:p>
        </w:tc>
        <w:tc>
          <w:tcPr>
            <w:tcW w:w="1812" w:type="dxa"/>
            <w:noWrap/>
            <w:vAlign w:val="center"/>
          </w:tcPr>
          <w:p w14:paraId="195F1D55">
            <w:pPr>
              <w:pStyle w:val="59"/>
              <w:bidi w:val="0"/>
              <w:rPr>
                <w:rFonts w:ascii="Times New Roman" w:hAnsi="Times New Roman" w:cs="Times New Roman"/>
                <w:color w:val="auto"/>
              </w:rPr>
            </w:pPr>
            <w:r>
              <w:rPr>
                <w:rFonts w:hint="default" w:ascii="Times New Roman" w:hAnsi="Times New Roman" w:cs="Times New Roman"/>
                <w:color w:val="auto"/>
                <w:lang w:val="en-US" w:eastAsia="zh-CN"/>
              </w:rPr>
              <w:t>0.1124</w:t>
            </w:r>
          </w:p>
        </w:tc>
        <w:tc>
          <w:tcPr>
            <w:tcW w:w="1816" w:type="dxa"/>
            <w:noWrap/>
            <w:vAlign w:val="center"/>
          </w:tcPr>
          <w:p w14:paraId="34396506">
            <w:pPr>
              <w:pStyle w:val="59"/>
              <w:bidi w:val="0"/>
              <w:rPr>
                <w:rFonts w:hint="eastAsia"/>
              </w:rPr>
            </w:pPr>
            <w:r>
              <w:rPr>
                <w:rFonts w:hint="default"/>
                <w:lang w:val="en-US" w:eastAsia="zh-CN"/>
              </w:rPr>
              <w:t xml:space="preserve">0.026 </w:t>
            </w:r>
          </w:p>
        </w:tc>
      </w:tr>
      <w:tr w14:paraId="700AB4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0"/>
            <w:vAlign w:val="center"/>
          </w:tcPr>
          <w:p w14:paraId="7EACD0E3">
            <w:pPr>
              <w:pStyle w:val="59"/>
              <w:bidi w:val="0"/>
              <w:rPr>
                <w:rFonts w:ascii="Times New Roman" w:hAnsi="Times New Roman" w:cs="Times New Roman"/>
                <w:color w:val="auto"/>
              </w:rPr>
            </w:pPr>
          </w:p>
        </w:tc>
        <w:tc>
          <w:tcPr>
            <w:tcW w:w="1998" w:type="dxa"/>
            <w:noWrap w:val="0"/>
            <w:vAlign w:val="center"/>
          </w:tcPr>
          <w:p w14:paraId="103D4FF0">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三氯甲烷</w:t>
            </w:r>
          </w:p>
        </w:tc>
        <w:tc>
          <w:tcPr>
            <w:tcW w:w="1812" w:type="dxa"/>
            <w:noWrap w:val="0"/>
            <w:vAlign w:val="center"/>
          </w:tcPr>
          <w:p w14:paraId="5BBBA101">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3.97</w:t>
            </w:r>
          </w:p>
        </w:tc>
        <w:tc>
          <w:tcPr>
            <w:tcW w:w="1812" w:type="dxa"/>
            <w:noWrap w:val="0"/>
            <w:vAlign w:val="center"/>
          </w:tcPr>
          <w:p w14:paraId="125D8899">
            <w:pPr>
              <w:pStyle w:val="59"/>
              <w:bidi w:val="0"/>
              <w:rPr>
                <w:rFonts w:ascii="Times New Roman" w:hAnsi="Times New Roman" w:cs="Times New Roman"/>
                <w:color w:val="auto"/>
              </w:rPr>
            </w:pPr>
            <w:r>
              <w:rPr>
                <w:rFonts w:hint="default" w:ascii="Times New Roman" w:hAnsi="Times New Roman" w:cs="Times New Roman"/>
                <w:color w:val="auto"/>
                <w:lang w:val="en-US" w:eastAsia="zh-CN"/>
              </w:rPr>
              <w:t>0.0397</w:t>
            </w:r>
          </w:p>
        </w:tc>
        <w:tc>
          <w:tcPr>
            <w:tcW w:w="1816" w:type="dxa"/>
            <w:noWrap w:val="0"/>
            <w:vAlign w:val="center"/>
          </w:tcPr>
          <w:p w14:paraId="1BD1A3DD">
            <w:pPr>
              <w:pStyle w:val="59"/>
              <w:bidi w:val="0"/>
            </w:pPr>
            <w:r>
              <w:rPr>
                <w:rFonts w:hint="default"/>
                <w:lang w:val="en-US" w:eastAsia="zh-CN"/>
              </w:rPr>
              <w:t xml:space="preserve">0.009 </w:t>
            </w:r>
          </w:p>
        </w:tc>
      </w:tr>
      <w:tr w14:paraId="439AC7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0"/>
            <w:vAlign w:val="center"/>
          </w:tcPr>
          <w:p w14:paraId="09C4EB33">
            <w:pPr>
              <w:pStyle w:val="59"/>
              <w:bidi w:val="0"/>
              <w:rPr>
                <w:rFonts w:ascii="Times New Roman" w:hAnsi="Times New Roman" w:cs="Times New Roman"/>
                <w:color w:val="auto"/>
              </w:rPr>
            </w:pPr>
          </w:p>
        </w:tc>
        <w:tc>
          <w:tcPr>
            <w:tcW w:w="1998" w:type="dxa"/>
            <w:noWrap w:val="0"/>
            <w:vAlign w:val="center"/>
          </w:tcPr>
          <w:p w14:paraId="1ED762CA">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二氯乙烷</w:t>
            </w:r>
          </w:p>
        </w:tc>
        <w:tc>
          <w:tcPr>
            <w:tcW w:w="1812" w:type="dxa"/>
            <w:noWrap w:val="0"/>
            <w:vAlign w:val="center"/>
          </w:tcPr>
          <w:p w14:paraId="6F0825FD">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1.54</w:t>
            </w:r>
          </w:p>
        </w:tc>
        <w:tc>
          <w:tcPr>
            <w:tcW w:w="1812" w:type="dxa"/>
            <w:noWrap w:val="0"/>
            <w:vAlign w:val="center"/>
          </w:tcPr>
          <w:p w14:paraId="19BD7F62">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0.0154</w:t>
            </w:r>
          </w:p>
        </w:tc>
        <w:tc>
          <w:tcPr>
            <w:tcW w:w="1816" w:type="dxa"/>
            <w:noWrap w:val="0"/>
            <w:vAlign w:val="center"/>
          </w:tcPr>
          <w:p w14:paraId="40DBE59A">
            <w:pPr>
              <w:pStyle w:val="59"/>
              <w:bidi w:val="0"/>
            </w:pPr>
            <w:r>
              <w:rPr>
                <w:rFonts w:hint="default"/>
                <w:lang w:val="en-US" w:eastAsia="zh-CN"/>
              </w:rPr>
              <w:t xml:space="preserve">0.004 </w:t>
            </w:r>
          </w:p>
        </w:tc>
      </w:tr>
      <w:tr w14:paraId="5BFE51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0"/>
            <w:vAlign w:val="center"/>
          </w:tcPr>
          <w:p w14:paraId="77072FB1">
            <w:pPr>
              <w:pStyle w:val="59"/>
              <w:bidi w:val="0"/>
              <w:rPr>
                <w:rFonts w:ascii="Times New Roman" w:hAnsi="Times New Roman" w:cs="Times New Roman"/>
                <w:color w:val="auto"/>
              </w:rPr>
            </w:pPr>
          </w:p>
        </w:tc>
        <w:tc>
          <w:tcPr>
            <w:tcW w:w="1998" w:type="dxa"/>
            <w:noWrap w:val="0"/>
            <w:vAlign w:val="center"/>
          </w:tcPr>
          <w:p w14:paraId="74C55256">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苯</w:t>
            </w:r>
          </w:p>
        </w:tc>
        <w:tc>
          <w:tcPr>
            <w:tcW w:w="1812" w:type="dxa"/>
            <w:noWrap w:val="0"/>
            <w:vAlign w:val="center"/>
          </w:tcPr>
          <w:p w14:paraId="421FC83F">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0.94</w:t>
            </w:r>
          </w:p>
        </w:tc>
        <w:tc>
          <w:tcPr>
            <w:tcW w:w="1812" w:type="dxa"/>
            <w:noWrap w:val="0"/>
            <w:vAlign w:val="center"/>
          </w:tcPr>
          <w:p w14:paraId="323005FE">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0.0094</w:t>
            </w:r>
          </w:p>
        </w:tc>
        <w:tc>
          <w:tcPr>
            <w:tcW w:w="1816" w:type="dxa"/>
            <w:noWrap w:val="0"/>
            <w:vAlign w:val="center"/>
          </w:tcPr>
          <w:p w14:paraId="753F80DB">
            <w:pPr>
              <w:pStyle w:val="59"/>
              <w:bidi w:val="0"/>
              <w:rPr>
                <w:rFonts w:hint="default"/>
                <w:lang w:val="en-US" w:eastAsia="zh-CN"/>
              </w:rPr>
            </w:pPr>
            <w:r>
              <w:rPr>
                <w:rFonts w:hint="default"/>
                <w:lang w:val="en-US" w:eastAsia="zh-CN"/>
              </w:rPr>
              <w:t xml:space="preserve">0.002 </w:t>
            </w:r>
          </w:p>
        </w:tc>
      </w:tr>
      <w:tr w14:paraId="20F031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0"/>
            <w:vAlign w:val="center"/>
          </w:tcPr>
          <w:p w14:paraId="424B9FAC">
            <w:pPr>
              <w:pStyle w:val="59"/>
              <w:bidi w:val="0"/>
              <w:rPr>
                <w:rFonts w:ascii="Times New Roman" w:hAnsi="Times New Roman" w:cs="Times New Roman"/>
                <w:color w:val="auto"/>
              </w:rPr>
            </w:pPr>
          </w:p>
        </w:tc>
        <w:tc>
          <w:tcPr>
            <w:tcW w:w="1998" w:type="dxa"/>
            <w:noWrap w:val="0"/>
            <w:vAlign w:val="center"/>
          </w:tcPr>
          <w:p w14:paraId="27E450FC">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三氯乙烯</w:t>
            </w:r>
          </w:p>
        </w:tc>
        <w:tc>
          <w:tcPr>
            <w:tcW w:w="1812" w:type="dxa"/>
            <w:noWrap w:val="0"/>
            <w:vAlign w:val="center"/>
          </w:tcPr>
          <w:p w14:paraId="348C08B5">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9.53</w:t>
            </w:r>
          </w:p>
        </w:tc>
        <w:tc>
          <w:tcPr>
            <w:tcW w:w="1812" w:type="dxa"/>
            <w:noWrap w:val="0"/>
            <w:vAlign w:val="center"/>
          </w:tcPr>
          <w:p w14:paraId="2DE05C57">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0.0953</w:t>
            </w:r>
          </w:p>
        </w:tc>
        <w:tc>
          <w:tcPr>
            <w:tcW w:w="1816" w:type="dxa"/>
            <w:noWrap w:val="0"/>
            <w:vAlign w:val="center"/>
          </w:tcPr>
          <w:p w14:paraId="1D3A7D5B">
            <w:pPr>
              <w:pStyle w:val="59"/>
              <w:bidi w:val="0"/>
              <w:rPr>
                <w:rFonts w:hint="default"/>
                <w:lang w:val="en-US" w:eastAsia="zh-CN"/>
              </w:rPr>
            </w:pPr>
            <w:r>
              <w:rPr>
                <w:rFonts w:hint="default"/>
                <w:lang w:val="en-US" w:eastAsia="zh-CN"/>
              </w:rPr>
              <w:t xml:space="preserve">0.022 </w:t>
            </w:r>
          </w:p>
        </w:tc>
      </w:tr>
      <w:tr w14:paraId="39FF9A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0"/>
            <w:vAlign w:val="center"/>
          </w:tcPr>
          <w:p w14:paraId="58F1B70E">
            <w:pPr>
              <w:pStyle w:val="59"/>
              <w:bidi w:val="0"/>
              <w:rPr>
                <w:rFonts w:ascii="Times New Roman" w:hAnsi="Times New Roman" w:cs="Times New Roman"/>
                <w:color w:val="auto"/>
              </w:rPr>
            </w:pPr>
          </w:p>
        </w:tc>
        <w:tc>
          <w:tcPr>
            <w:tcW w:w="1998" w:type="dxa"/>
            <w:noWrap w:val="0"/>
            <w:vAlign w:val="center"/>
          </w:tcPr>
          <w:p w14:paraId="6F34DA44">
            <w:pPr>
              <w:pStyle w:val="59"/>
              <w:bidi w:val="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甲苯</w:t>
            </w:r>
          </w:p>
        </w:tc>
        <w:tc>
          <w:tcPr>
            <w:tcW w:w="1812" w:type="dxa"/>
            <w:noWrap w:val="0"/>
            <w:vAlign w:val="center"/>
          </w:tcPr>
          <w:p w14:paraId="264FB9A2">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0.43</w:t>
            </w:r>
          </w:p>
        </w:tc>
        <w:tc>
          <w:tcPr>
            <w:tcW w:w="1812" w:type="dxa"/>
            <w:noWrap w:val="0"/>
            <w:vAlign w:val="center"/>
          </w:tcPr>
          <w:p w14:paraId="586CD08F">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0.0043</w:t>
            </w:r>
          </w:p>
        </w:tc>
        <w:tc>
          <w:tcPr>
            <w:tcW w:w="1816" w:type="dxa"/>
            <w:noWrap w:val="0"/>
            <w:vAlign w:val="center"/>
          </w:tcPr>
          <w:p w14:paraId="0C1FA9BB">
            <w:pPr>
              <w:pStyle w:val="59"/>
              <w:bidi w:val="0"/>
              <w:rPr>
                <w:rFonts w:hint="default"/>
                <w:lang w:val="en-US" w:eastAsia="zh-CN"/>
              </w:rPr>
            </w:pPr>
            <w:r>
              <w:rPr>
                <w:rFonts w:hint="default"/>
                <w:lang w:val="en-US" w:eastAsia="zh-CN"/>
              </w:rPr>
              <w:t xml:space="preserve">0.001 </w:t>
            </w:r>
          </w:p>
        </w:tc>
      </w:tr>
      <w:tr w14:paraId="51F1BB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6" w:type="dxa"/>
            <w:vMerge w:val="continue"/>
            <w:noWrap w:val="0"/>
            <w:vAlign w:val="center"/>
          </w:tcPr>
          <w:p w14:paraId="1CC04D93">
            <w:pPr>
              <w:pStyle w:val="59"/>
              <w:bidi w:val="0"/>
              <w:rPr>
                <w:rFonts w:ascii="Times New Roman" w:hAnsi="Times New Roman" w:cs="Times New Roman"/>
                <w:color w:val="auto"/>
              </w:rPr>
            </w:pPr>
          </w:p>
        </w:tc>
        <w:tc>
          <w:tcPr>
            <w:tcW w:w="1998" w:type="dxa"/>
            <w:noWrap w:val="0"/>
            <w:vAlign w:val="center"/>
          </w:tcPr>
          <w:p w14:paraId="42CB0A6F">
            <w:pPr>
              <w:pStyle w:val="59"/>
              <w:bidi w:val="0"/>
              <w:rPr>
                <w:rFonts w:ascii="Times New Roman" w:hAnsi="Times New Roman" w:cs="Times New Roman"/>
                <w:color w:val="auto"/>
              </w:rPr>
            </w:pPr>
            <w:r>
              <w:rPr>
                <w:rFonts w:hint="eastAsia" w:ascii="Times New Roman" w:hAnsi="Times New Roman" w:cs="Times New Roman"/>
                <w:color w:val="auto"/>
                <w:lang w:val="en-US" w:eastAsia="zh-CN"/>
              </w:rPr>
              <w:t>四氯乙烯</w:t>
            </w:r>
          </w:p>
        </w:tc>
        <w:tc>
          <w:tcPr>
            <w:tcW w:w="1812" w:type="dxa"/>
            <w:noWrap w:val="0"/>
            <w:vAlign w:val="center"/>
          </w:tcPr>
          <w:p w14:paraId="660B48E0">
            <w:pPr>
              <w:pStyle w:val="5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3.98</w:t>
            </w:r>
          </w:p>
        </w:tc>
        <w:tc>
          <w:tcPr>
            <w:tcW w:w="1812" w:type="dxa"/>
            <w:noWrap w:val="0"/>
            <w:vAlign w:val="center"/>
          </w:tcPr>
          <w:p w14:paraId="0AF19393">
            <w:pPr>
              <w:pStyle w:val="59"/>
              <w:bidi w:val="0"/>
              <w:rPr>
                <w:rFonts w:ascii="Times New Roman" w:hAnsi="Times New Roman" w:cs="Times New Roman"/>
                <w:color w:val="auto"/>
              </w:rPr>
            </w:pPr>
            <w:r>
              <w:rPr>
                <w:rFonts w:hint="default" w:ascii="Times New Roman" w:hAnsi="Times New Roman" w:cs="Times New Roman"/>
                <w:color w:val="auto"/>
                <w:lang w:val="en-US" w:eastAsia="zh-CN"/>
              </w:rPr>
              <w:t>0.0398</w:t>
            </w:r>
          </w:p>
        </w:tc>
        <w:tc>
          <w:tcPr>
            <w:tcW w:w="1816" w:type="dxa"/>
            <w:noWrap w:val="0"/>
            <w:vAlign w:val="center"/>
          </w:tcPr>
          <w:p w14:paraId="469329BC">
            <w:pPr>
              <w:pStyle w:val="59"/>
              <w:bidi w:val="0"/>
            </w:pPr>
            <w:r>
              <w:rPr>
                <w:rFonts w:hint="default"/>
                <w:lang w:val="en-US" w:eastAsia="zh-CN"/>
              </w:rPr>
              <w:t xml:space="preserve">0.009 </w:t>
            </w:r>
          </w:p>
        </w:tc>
      </w:tr>
      <w:tr w14:paraId="178E27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4" w:type="dxa"/>
            <w:gridSpan w:val="5"/>
            <w:noWrap w:val="0"/>
            <w:vAlign w:val="center"/>
          </w:tcPr>
          <w:p w14:paraId="315E24CC">
            <w:pPr>
              <w:pStyle w:val="59"/>
              <w:bidi w:val="0"/>
              <w:jc w:val="left"/>
              <w:rPr>
                <w:rFonts w:hint="eastAsia" w:ascii="Times New Roman" w:hAnsi="Times New Roman" w:cs="Times New Roman"/>
                <w:color w:val="auto"/>
                <w:lang w:eastAsia="zh-CN"/>
              </w:rPr>
            </w:pPr>
            <w:r>
              <w:rPr>
                <w:rFonts w:hint="eastAsia" w:ascii="Times New Roman" w:hAnsi="Times New Roman" w:cs="Times New Roman"/>
                <w:color w:val="auto"/>
              </w:rPr>
              <w:t>注：文献中表2污染物测定浓度*</w:t>
            </w:r>
            <w:r>
              <w:rPr>
                <w:rFonts w:hint="eastAsia" w:ascii="Times New Roman" w:hAnsi="Times New Roman" w:cs="Times New Roman"/>
                <w:color w:val="auto"/>
                <w:lang w:val="en-US" w:eastAsia="zh-CN"/>
              </w:rPr>
              <w:t>250mL</w:t>
            </w:r>
            <w:r>
              <w:rPr>
                <w:rFonts w:hint="eastAsia" w:ascii="Times New Roman" w:hAnsi="Times New Roman" w:cs="Times New Roman"/>
                <w:color w:val="auto"/>
              </w:rPr>
              <w:t>碘量瓶容积*10</w:t>
            </w:r>
            <w:r>
              <w:rPr>
                <w:rFonts w:hint="eastAsia" w:ascii="Times New Roman" w:hAnsi="Times New Roman" w:cs="Times New Roman"/>
                <w:color w:val="auto"/>
                <w:vertAlign w:val="superscript"/>
              </w:rPr>
              <w:t>－</w:t>
            </w:r>
            <w:r>
              <w:rPr>
                <w:rFonts w:hint="eastAsia" w:ascii="Times New Roman" w:hAnsi="Times New Roman" w:cs="Times New Roman"/>
                <w:color w:val="auto"/>
                <w:vertAlign w:val="superscript"/>
                <w:lang w:val="en-US" w:eastAsia="zh-CN"/>
              </w:rPr>
              <w:t>3</w:t>
            </w:r>
            <w:r>
              <w:rPr>
                <w:rFonts w:ascii="Times New Roman" w:hAnsi="Times New Roman" w:cs="Times New Roman"/>
                <w:color w:val="auto"/>
              </w:rPr>
              <w:t>÷</w:t>
            </w:r>
            <w:r>
              <w:rPr>
                <w:rFonts w:hint="eastAsia" w:ascii="Times New Roman" w:hAnsi="Times New Roman" w:cs="Times New Roman"/>
                <w:color w:val="auto"/>
              </w:rPr>
              <w:t>样品质量</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25g</w:t>
            </w:r>
            <w:r>
              <w:rPr>
                <w:rFonts w:hint="eastAsia" w:ascii="Times New Roman" w:hAnsi="Times New Roman" w:cs="Times New Roman"/>
                <w:color w:val="auto"/>
                <w:lang w:eastAsia="zh-CN"/>
              </w:rPr>
              <w:t>）</w:t>
            </w:r>
            <w:r>
              <w:rPr>
                <w:rFonts w:hint="eastAsia" w:ascii="Times New Roman" w:hAnsi="Times New Roman" w:cs="Times New Roman"/>
                <w:color w:val="auto"/>
              </w:rPr>
              <w:t>＝加热</w:t>
            </w:r>
            <w:r>
              <w:rPr>
                <w:rFonts w:ascii="Times New Roman" w:hAnsi="Times New Roman" w:cs="Times New Roman"/>
                <w:color w:val="auto"/>
              </w:rPr>
              <w:t>产污量</w:t>
            </w:r>
            <w:r>
              <w:rPr>
                <w:rFonts w:hint="eastAsia" w:ascii="Times New Roman" w:hAnsi="Times New Roman" w:cs="Times New Roman"/>
                <w:color w:val="auto"/>
              </w:rPr>
              <w:t>（</w:t>
            </w:r>
            <w:r>
              <w:rPr>
                <w:rFonts w:ascii="Times New Roman" w:hAnsi="Times New Roman" w:cs="Times New Roman"/>
                <w:color w:val="auto"/>
              </w:rPr>
              <w:t>g/t-原料</w:t>
            </w:r>
            <w:r>
              <w:rPr>
                <w:rFonts w:hint="eastAsia" w:ascii="Times New Roman" w:hAnsi="Times New Roman" w:cs="Times New Roman"/>
                <w:color w:val="auto"/>
              </w:rPr>
              <w:t>）</w:t>
            </w:r>
            <w:r>
              <w:rPr>
                <w:rFonts w:hint="eastAsia" w:ascii="Times New Roman" w:hAnsi="Times New Roman" w:cs="Times New Roman"/>
                <w:color w:val="auto"/>
                <w:lang w:eastAsia="zh-CN"/>
              </w:rPr>
              <w:t>。</w:t>
            </w:r>
          </w:p>
          <w:p w14:paraId="30819400">
            <w:pPr>
              <w:pStyle w:val="59"/>
              <w:bidi w:val="0"/>
              <w:jc w:val="left"/>
              <w:rPr>
                <w:rFonts w:hint="eastAsia" w:ascii="Times New Roman" w:hAnsi="Times New Roman" w:cs="Times New Roman"/>
                <w:color w:val="auto"/>
                <w:lang w:eastAsia="zh-CN"/>
              </w:rPr>
            </w:pPr>
            <w:r>
              <w:rPr>
                <w:rFonts w:hint="eastAsia" w:ascii="Times New Roman" w:hAnsi="Times New Roman" w:cs="Times New Roman"/>
                <w:color w:val="auto"/>
                <w:lang w:val="en-US" w:eastAsia="zh-CN"/>
              </w:rPr>
              <w:t>由于</w:t>
            </w:r>
            <w:r>
              <w:rPr>
                <w:rFonts w:hint="eastAsia" w:ascii="Times New Roman" w:hAnsi="Times New Roman" w:cs="Times New Roman"/>
                <w:color w:val="auto"/>
              </w:rPr>
              <w:t>乙烯、</w:t>
            </w:r>
            <w:r>
              <w:rPr>
                <w:rFonts w:hint="eastAsia" w:ascii="Times New Roman" w:hAnsi="Times New Roman" w:cs="Times New Roman"/>
                <w:color w:val="auto"/>
                <w:lang w:val="en-US" w:eastAsia="zh-CN"/>
              </w:rPr>
              <w:t>一氯甲烷、二氯乙烯、二氯甲烷</w:t>
            </w:r>
            <w:r>
              <w:rPr>
                <w:rFonts w:hint="eastAsia" w:ascii="Times New Roman" w:hAnsi="Times New Roman" w:cs="Times New Roman"/>
                <w:color w:val="auto"/>
              </w:rPr>
              <w:t>、四氯化碳</w:t>
            </w:r>
            <w:r>
              <w:rPr>
                <w:rFonts w:hint="eastAsia" w:ascii="Times New Roman" w:hAnsi="Times New Roman" w:cs="Times New Roman"/>
                <w:color w:val="auto"/>
                <w:lang w:val="en-US" w:eastAsia="zh-CN"/>
              </w:rPr>
              <w:t>、三氯甲烷</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二氯乙烷</w:t>
            </w:r>
            <w:r>
              <w:rPr>
                <w:rFonts w:hint="eastAsia" w:ascii="Times New Roman" w:hAnsi="Times New Roman" w:cs="Times New Roman"/>
                <w:color w:val="auto"/>
              </w:rPr>
              <w:t>、</w:t>
            </w:r>
            <w:r>
              <w:rPr>
                <w:rFonts w:hint="eastAsia" w:ascii="Times New Roman" w:hAnsi="Times New Roman" w:cs="Times New Roman"/>
                <w:color w:val="auto"/>
                <w:lang w:val="en-US" w:eastAsia="zh-CN"/>
              </w:rPr>
              <w:t>苯、甲苯、</w:t>
            </w:r>
            <w:r>
              <w:rPr>
                <w:rFonts w:hint="eastAsia" w:ascii="Times New Roman" w:hAnsi="Times New Roman" w:cs="Times New Roman"/>
                <w:color w:val="auto"/>
              </w:rPr>
              <w:t>三氯乙烯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四氯乙烯</w:t>
            </w:r>
            <w:r>
              <w:rPr>
                <w:rFonts w:hint="eastAsia" w:ascii="Times New Roman" w:hAnsi="Times New Roman" w:eastAsia="宋体" w:cs="Times New Roman"/>
                <w:color w:val="auto"/>
              </w:rPr>
              <w:t>未有相关排放标准，</w:t>
            </w:r>
            <w:r>
              <w:rPr>
                <w:rFonts w:hint="eastAsia" w:ascii="Times New Roman" w:hAnsi="Times New Roman" w:eastAsia="宋体" w:cs="Times New Roman"/>
                <w:color w:val="auto"/>
                <w:lang w:val="en-US" w:eastAsia="zh-CN"/>
              </w:rPr>
              <w:t>且排放量小，归入非甲烷总烃分析</w:t>
            </w:r>
            <w:r>
              <w:rPr>
                <w:rFonts w:hint="eastAsia" w:ascii="Times New Roman" w:hAnsi="Times New Roman" w:eastAsia="宋体" w:cs="Times New Roman"/>
                <w:color w:val="auto"/>
                <w:lang w:eastAsia="zh-CN"/>
              </w:rPr>
              <w:t>；</w:t>
            </w:r>
          </w:p>
        </w:tc>
      </w:tr>
    </w:tbl>
    <w:p w14:paraId="454B1CEA">
      <w:pPr>
        <w:bidi w:val="0"/>
        <w:rPr>
          <w:rFonts w:hint="default" w:ascii="Times New Roman" w:hAnsi="Times New Roman" w:eastAsia="宋体" w:cs="Times New Roman"/>
          <w:color w:val="auto"/>
          <w:lang w:val="en-US" w:eastAsia="zh-CN"/>
        </w:rPr>
      </w:pPr>
      <w:r>
        <w:rPr>
          <w:rFonts w:hint="eastAsia"/>
          <w:color w:val="auto"/>
        </w:rPr>
        <w:t>根据《广东省生态环境厅关于印发工业源挥发性有机物和氮氧化物减排量核算方法的通知》（粤环函〔2023〕538 号）表3.3-2，</w:t>
      </w:r>
      <w:r>
        <w:rPr>
          <w:color w:val="auto"/>
        </w:rPr>
        <w:t>包围型集气罩相应工位所有VOCs逸散点控制风速不小于0.3m/s</w:t>
      </w:r>
      <w:r>
        <w:rPr>
          <w:rFonts w:hint="eastAsia"/>
          <w:color w:val="auto"/>
        </w:rPr>
        <w:t>，收集效率取50%</w:t>
      </w:r>
      <w:r>
        <w:rPr>
          <w:rFonts w:hint="eastAsia"/>
          <w:color w:val="auto"/>
          <w:lang w:eastAsia="zh-CN"/>
        </w:rPr>
        <w:t>，</w:t>
      </w:r>
      <w:r>
        <w:rPr>
          <w:rFonts w:hint="eastAsia"/>
          <w:color w:val="auto"/>
          <w:lang w:val="en-US" w:eastAsia="zh-CN"/>
        </w:rPr>
        <w:t>合掌机、定型机设置</w:t>
      </w:r>
      <w:r>
        <w:rPr>
          <w:color w:val="auto"/>
        </w:rPr>
        <w:t>包围型集气罩</w:t>
      </w:r>
      <w:r>
        <w:rPr>
          <w:rFonts w:hint="eastAsia"/>
          <w:color w:val="auto"/>
          <w:lang w:val="en-US" w:eastAsia="zh-CN"/>
        </w:rPr>
        <w:t>，</w:t>
      </w:r>
      <w:r>
        <w:rPr>
          <w:rFonts w:hint="eastAsia"/>
          <w:color w:val="auto"/>
        </w:rPr>
        <w:t>废气收集效率取50%。</w:t>
      </w:r>
      <w:r>
        <w:rPr>
          <w:rFonts w:hint="eastAsia"/>
          <w:color w:val="auto"/>
          <w:lang w:val="en-US" w:eastAsia="zh-CN"/>
        </w:rPr>
        <w:t>活性炭吸附装置处理效率按80%计。</w:t>
      </w:r>
    </w:p>
    <w:p w14:paraId="58A6FB7A">
      <w:pPr>
        <w:pStyle w:val="65"/>
        <w:numPr>
          <w:ilvl w:val="0"/>
          <w:numId w:val="31"/>
        </w:num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复合废气</w:t>
      </w:r>
    </w:p>
    <w:p w14:paraId="0F09C0F8">
      <w:pPr>
        <w:rPr>
          <w:rFonts w:hint="eastAsia" w:ascii="Times New Roman" w:hAnsi="Times New Roman" w:eastAsia="宋体" w:cs="Times New Roman"/>
          <w:color w:val="auto"/>
          <w:lang w:val="en-US" w:eastAsia="zh-CN"/>
        </w:rPr>
      </w:pPr>
      <w:r>
        <w:rPr>
          <w:rFonts w:hint="default" w:ascii="Times New Roman" w:hAnsi="Times New Roman" w:cs="Times New Roman"/>
          <w:color w:val="auto"/>
          <w:szCs w:val="28"/>
          <w:u w:val="none" w:color="auto"/>
        </w:rPr>
        <w:t>复合工序主要是将不同材料的膜通过复合机、无溶剂复合机复合在一起，两两之间通过无溶剂胶水</w:t>
      </w:r>
      <w:r>
        <w:rPr>
          <w:rFonts w:hint="eastAsia" w:ascii="Times New Roman" w:hAnsi="Times New Roman" w:eastAsia="宋体" w:cs="Times New Roman"/>
          <w:color w:val="auto"/>
          <w:szCs w:val="28"/>
          <w:u w:val="none" w:color="auto"/>
          <w:lang w:eastAsia="zh-CN"/>
        </w:rPr>
        <w:t>黏结</w:t>
      </w:r>
      <w:r>
        <w:rPr>
          <w:rFonts w:hint="default" w:ascii="Times New Roman" w:hAnsi="Times New Roman" w:cs="Times New Roman"/>
          <w:color w:val="auto"/>
          <w:szCs w:val="28"/>
          <w:u w:val="none" w:color="auto"/>
        </w:rPr>
        <w:t>，复合温度约为55</w:t>
      </w:r>
      <w:r>
        <w:rPr>
          <w:rFonts w:hint="eastAsia" w:ascii="Times New Roman" w:hAnsi="Times New Roman" w:eastAsia="宋体" w:cs="Times New Roman"/>
          <w:color w:val="auto"/>
          <w:szCs w:val="28"/>
          <w:u w:val="none" w:color="auto"/>
          <w:lang w:val="en-US" w:eastAsia="zh-CN"/>
        </w:rPr>
        <w:t>~</w:t>
      </w:r>
      <w:r>
        <w:rPr>
          <w:rFonts w:hint="default" w:ascii="Times New Roman" w:hAnsi="Times New Roman" w:cs="Times New Roman"/>
          <w:color w:val="auto"/>
          <w:szCs w:val="28"/>
          <w:u w:val="none" w:color="auto"/>
        </w:rPr>
        <w:t>80℃反复两两复合可生产出多层复合膜，在此过程中，胶水</w:t>
      </w:r>
      <w:r>
        <w:rPr>
          <w:rFonts w:hint="eastAsia" w:ascii="Times New Roman" w:hAnsi="Times New Roman" w:cs="Times New Roman"/>
          <w:color w:val="auto"/>
          <w:szCs w:val="28"/>
          <w:u w:val="none" w:color="auto"/>
          <w:lang w:val="en-US" w:eastAsia="zh-CN"/>
        </w:rPr>
        <w:t>固化会</w:t>
      </w:r>
      <w:r>
        <w:rPr>
          <w:rFonts w:hint="default" w:ascii="Times New Roman" w:hAnsi="Times New Roman" w:cs="Times New Roman"/>
          <w:color w:val="auto"/>
          <w:szCs w:val="28"/>
          <w:u w:val="none" w:color="auto"/>
        </w:rPr>
        <w:t>产生一定量的挥发性有机废气。</w:t>
      </w:r>
      <w:r>
        <w:rPr>
          <w:rFonts w:hint="eastAsia" w:ascii="Times New Roman" w:hAnsi="Times New Roman" w:cs="Times New Roman"/>
          <w:color w:val="auto"/>
          <w:szCs w:val="28"/>
          <w:u w:val="none" w:color="auto"/>
          <w:lang w:val="en-US" w:eastAsia="zh-CN"/>
        </w:rPr>
        <w:t>根据附件可知，胶水的VOCs含量7g/kg，则</w:t>
      </w:r>
      <w:r>
        <w:rPr>
          <w:rFonts w:hint="eastAsia" w:ascii="Times New Roman" w:hAnsi="Times New Roman" w:eastAsia="宋体" w:cs="Times New Roman"/>
          <w:color w:val="auto"/>
          <w:lang w:val="en-US" w:eastAsia="zh-CN"/>
        </w:rPr>
        <w:t>复合时产生的VOCs量为0.032t/a、0.05kg/h。</w:t>
      </w:r>
    </w:p>
    <w:p w14:paraId="78882905">
      <w:pPr>
        <w:ind w:firstLine="480"/>
        <w:rPr>
          <w:rFonts w:hint="eastAsia" w:ascii="Times New Roman" w:hAnsi="Times New Roman" w:cs="Times New Roman"/>
        </w:rPr>
      </w:pPr>
      <w:r>
        <w:rPr>
          <w:rFonts w:hint="eastAsia" w:ascii="Times New Roman" w:hAnsi="Times New Roman" w:cs="Times New Roman"/>
        </w:rPr>
        <w:t>根据《</w:t>
      </w:r>
      <w:r>
        <w:rPr>
          <w:rFonts w:ascii="Times New Roman" w:hAnsi="Times New Roman" w:cs="Times New Roman"/>
        </w:rPr>
        <w:fldChar w:fldCharType="begin"/>
      </w:r>
      <w:r>
        <w:rPr>
          <w:rFonts w:ascii="Times New Roman" w:hAnsi="Times New Roman" w:cs="Times New Roman"/>
        </w:rPr>
        <w:instrText xml:space="preserve">HYPERLINK "https://www.mee.gov.cn/ywgz/fgbz/bz/bzwb/dqhjbh/dqgdwrywrwpfbz/201906/W020190606587693632696.pdf"</w:instrText>
      </w:r>
      <w:r>
        <w:rPr>
          <w:rFonts w:ascii="Times New Roman" w:hAnsi="Times New Roman" w:cs="Times New Roman"/>
        </w:rPr>
        <w:fldChar w:fldCharType="separate"/>
      </w:r>
      <w:r>
        <w:rPr>
          <w:rFonts w:hint="eastAsia" w:ascii="Times New Roman" w:hAnsi="Times New Roman" w:cs="Times New Roman"/>
        </w:rPr>
        <w:t>挥发性有机物无组织排放控制标准》（GB 37822—2019）</w:t>
      </w:r>
      <w:r>
        <w:rPr>
          <w:rFonts w:ascii="Times New Roman" w:hAnsi="Times New Roman" w:cs="Times New Roman"/>
        </w:rPr>
        <w:fldChar w:fldCharType="end"/>
      </w:r>
      <w:r>
        <w:rPr>
          <w:rFonts w:hint="eastAsia" w:ascii="Times New Roman" w:hAnsi="Times New Roman" w:cs="Times New Roman"/>
        </w:rPr>
        <w:t>10.3.2：“收集的废气中NMHC初始排放速率&gt;3kg/h时，应配置VOCs处理设施，处理效率不应低于80%；对于重点地区，收集的废气中NMHC初始排放速率&gt;2kg/h时，应配置VOCs处理设施，处理效率不应低于80%；采用的原辅材料符合国家有关低VOCs含量产品规定的除外”。</w:t>
      </w:r>
    </w:p>
    <w:p w14:paraId="53DAB368">
      <w:pPr>
        <w:bidi w:val="0"/>
        <w:rPr>
          <w:rFonts w:hint="eastAsia" w:ascii="Times New Roman" w:hAnsi="Times New Roman" w:cs="Times New Roman"/>
        </w:rPr>
      </w:pPr>
      <w:r>
        <w:rPr>
          <w:rFonts w:hint="eastAsia" w:ascii="Times New Roman" w:hAnsi="Times New Roman" w:cs="Times New Roman"/>
        </w:rPr>
        <w:t>根据《重点行业挥发性有机物综合治理方案》（环大气〔2019〕53号）：“企业采用符合国家有关低VOCs含量产品规定的涂料、油墨、胶粘剂等，排放浓度稳定达标且排放速率、排放绩效等满足相关规定的，相应生产工序可不要求建设末端治理设施。使用的原辅材料VOCs含量（质量比）低于10%的工序，可不要求采取无组织排放收集措施。”本项目使用的胶粘剂符合国家有关低VOCs含量产品规定，VOCs含量（质量比）低于10%，产生速率为0.0</w:t>
      </w:r>
      <w:r>
        <w:rPr>
          <w:rFonts w:hint="eastAsia" w:ascii="Times New Roman" w:hAnsi="Times New Roman" w:cs="Times New Roman"/>
          <w:lang w:val="en-US" w:eastAsia="zh-CN"/>
        </w:rPr>
        <w:t>07</w:t>
      </w:r>
      <w:r>
        <w:rPr>
          <w:rFonts w:hint="eastAsia" w:ascii="Times New Roman" w:hAnsi="Times New Roman" w:cs="Times New Roman"/>
        </w:rPr>
        <w:t>kg/h，初始排放速率＜2kg/h，因此不配置VOCs处理设施。</w:t>
      </w:r>
    </w:p>
    <w:p w14:paraId="79AABD5C">
      <w:pPr>
        <w:pStyle w:val="65"/>
        <w:numPr>
          <w:ilvl w:val="0"/>
          <w:numId w:val="31"/>
        </w:num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臭气浓度</w:t>
      </w:r>
    </w:p>
    <w:p w14:paraId="453331F8">
      <w:pPr>
        <w:bidi w:val="0"/>
      </w:pPr>
      <w:r>
        <w:t>本项目调墨、印刷</w:t>
      </w:r>
      <w:r>
        <w:rPr>
          <w:rFonts w:hint="eastAsia"/>
          <w:lang w:eastAsia="zh-CN"/>
        </w:rPr>
        <w:t>、</w:t>
      </w:r>
      <w:r>
        <w:rPr>
          <w:rFonts w:hint="eastAsia"/>
          <w:lang w:val="en-US" w:eastAsia="zh-CN"/>
        </w:rPr>
        <w:t>烘干</w:t>
      </w:r>
      <w:r>
        <w:t>、</w:t>
      </w:r>
      <w:r>
        <w:rPr>
          <w:rFonts w:hint="eastAsia"/>
          <w:lang w:val="en-US" w:eastAsia="zh-CN"/>
        </w:rPr>
        <w:t>洗机</w:t>
      </w:r>
      <w:r>
        <w:t>过程中会有少量恶臭气味产生，此类物质逸出和扩散机理复杂，废气源强难于计算，且含量较小，成分较为复杂，以臭气浓度为表征。本文引用张欢等在《恶臭污染评价分级方法》中基于韦伯-费希纳公式所建立的臭气强度与臭气浓度的关系，将国外臭气强度6级法与我国《恶臭污染物排放标准》（GB14554-1993）结合（详见下表），该分级法以臭气强度的嗅觉感觉和实验经验为分级依据，对臭气浓度进行等级划分，提高了分级的准确程度。</w:t>
      </w:r>
    </w:p>
    <w:p w14:paraId="660BCF8F">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rPr>
        <w:t>与恶臭气体对应的臭气浓度限值</w:t>
      </w:r>
    </w:p>
    <w:tbl>
      <w:tblPr>
        <w:tblStyle w:val="105"/>
        <w:tblW w:w="929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0"/>
        <w:gridCol w:w="1870"/>
        <w:gridCol w:w="1258"/>
        <w:gridCol w:w="4921"/>
      </w:tblGrid>
      <w:tr w14:paraId="69F6D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trPr>
        <w:tc>
          <w:tcPr>
            <w:tcW w:w="1250" w:type="dxa"/>
            <w:tcBorders>
              <w:top w:val="single" w:color="000000" w:sz="16" w:space="0"/>
              <w:left w:val="nil"/>
            </w:tcBorders>
            <w:vAlign w:val="center"/>
          </w:tcPr>
          <w:p w14:paraId="09E74411">
            <w:pPr>
              <w:pStyle w:val="59"/>
              <w:bidi w:val="0"/>
              <w:jc w:val="center"/>
            </w:pPr>
            <w:r>
              <w:t>分级</w:t>
            </w:r>
          </w:p>
        </w:tc>
        <w:tc>
          <w:tcPr>
            <w:tcW w:w="1870" w:type="dxa"/>
            <w:tcBorders>
              <w:top w:val="single" w:color="000000" w:sz="16" w:space="0"/>
            </w:tcBorders>
            <w:vAlign w:val="center"/>
          </w:tcPr>
          <w:p w14:paraId="37447D25">
            <w:pPr>
              <w:pStyle w:val="59"/>
              <w:bidi w:val="0"/>
              <w:jc w:val="center"/>
            </w:pPr>
            <w:r>
              <w:t>臭气强度（无量</w:t>
            </w:r>
          </w:p>
          <w:p w14:paraId="54E0BA4B">
            <w:pPr>
              <w:pStyle w:val="59"/>
              <w:bidi w:val="0"/>
              <w:jc w:val="center"/>
            </w:pPr>
            <w:r>
              <w:t>纲）</w:t>
            </w:r>
          </w:p>
        </w:tc>
        <w:tc>
          <w:tcPr>
            <w:tcW w:w="1258" w:type="dxa"/>
            <w:tcBorders>
              <w:top w:val="single" w:color="000000" w:sz="16" w:space="0"/>
            </w:tcBorders>
            <w:vAlign w:val="center"/>
          </w:tcPr>
          <w:p w14:paraId="1E547E48">
            <w:pPr>
              <w:pStyle w:val="59"/>
              <w:bidi w:val="0"/>
              <w:jc w:val="center"/>
            </w:pPr>
            <w:r>
              <w:t>臭气浓度</w:t>
            </w:r>
          </w:p>
          <w:p w14:paraId="72669160">
            <w:pPr>
              <w:pStyle w:val="59"/>
              <w:bidi w:val="0"/>
              <w:jc w:val="center"/>
            </w:pPr>
            <w:r>
              <w:t>（无量纲）</w:t>
            </w:r>
          </w:p>
        </w:tc>
        <w:tc>
          <w:tcPr>
            <w:tcW w:w="4921" w:type="dxa"/>
            <w:tcBorders>
              <w:top w:val="single" w:color="000000" w:sz="16" w:space="0"/>
              <w:right w:val="nil"/>
            </w:tcBorders>
            <w:vAlign w:val="center"/>
          </w:tcPr>
          <w:p w14:paraId="6A6FEE92">
            <w:pPr>
              <w:pStyle w:val="59"/>
              <w:bidi w:val="0"/>
              <w:jc w:val="center"/>
            </w:pPr>
            <w:r>
              <w:t>嗅觉感受</w:t>
            </w:r>
          </w:p>
        </w:tc>
      </w:tr>
      <w:tr w14:paraId="1C958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50" w:type="dxa"/>
            <w:tcBorders>
              <w:left w:val="nil"/>
            </w:tcBorders>
            <w:vAlign w:val="center"/>
          </w:tcPr>
          <w:p w14:paraId="1BC0101F">
            <w:pPr>
              <w:pStyle w:val="59"/>
              <w:bidi w:val="0"/>
              <w:jc w:val="center"/>
            </w:pPr>
            <w:r>
              <w:t>0</w:t>
            </w:r>
          </w:p>
        </w:tc>
        <w:tc>
          <w:tcPr>
            <w:tcW w:w="1870" w:type="dxa"/>
            <w:vAlign w:val="center"/>
          </w:tcPr>
          <w:p w14:paraId="1B04A042">
            <w:pPr>
              <w:pStyle w:val="59"/>
              <w:bidi w:val="0"/>
              <w:jc w:val="center"/>
            </w:pPr>
            <w:r>
              <w:t>0</w:t>
            </w:r>
          </w:p>
        </w:tc>
        <w:tc>
          <w:tcPr>
            <w:tcW w:w="1258" w:type="dxa"/>
            <w:vAlign w:val="center"/>
          </w:tcPr>
          <w:p w14:paraId="47BC76FE">
            <w:pPr>
              <w:pStyle w:val="59"/>
              <w:bidi w:val="0"/>
              <w:jc w:val="center"/>
            </w:pPr>
            <w:r>
              <w:t>10</w:t>
            </w:r>
          </w:p>
        </w:tc>
        <w:tc>
          <w:tcPr>
            <w:tcW w:w="4921" w:type="dxa"/>
            <w:tcBorders>
              <w:right w:val="nil"/>
            </w:tcBorders>
            <w:vAlign w:val="center"/>
          </w:tcPr>
          <w:p w14:paraId="4E7F6EB6">
            <w:pPr>
              <w:pStyle w:val="59"/>
              <w:bidi w:val="0"/>
              <w:jc w:val="center"/>
            </w:pPr>
            <w:r>
              <w:t>无臭</w:t>
            </w:r>
          </w:p>
        </w:tc>
      </w:tr>
      <w:tr w14:paraId="0A3E8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50" w:type="dxa"/>
            <w:tcBorders>
              <w:left w:val="nil"/>
            </w:tcBorders>
            <w:vAlign w:val="center"/>
          </w:tcPr>
          <w:p w14:paraId="712F87FF">
            <w:pPr>
              <w:pStyle w:val="59"/>
              <w:bidi w:val="0"/>
              <w:jc w:val="center"/>
            </w:pPr>
            <w:r>
              <w:t>1</w:t>
            </w:r>
          </w:p>
        </w:tc>
        <w:tc>
          <w:tcPr>
            <w:tcW w:w="1870" w:type="dxa"/>
            <w:vAlign w:val="center"/>
          </w:tcPr>
          <w:p w14:paraId="11A7E0A0">
            <w:pPr>
              <w:pStyle w:val="59"/>
              <w:bidi w:val="0"/>
              <w:jc w:val="center"/>
            </w:pPr>
            <w:r>
              <w:t>1</w:t>
            </w:r>
          </w:p>
        </w:tc>
        <w:tc>
          <w:tcPr>
            <w:tcW w:w="1258" w:type="dxa"/>
            <w:vAlign w:val="center"/>
          </w:tcPr>
          <w:p w14:paraId="60C94764">
            <w:pPr>
              <w:pStyle w:val="59"/>
              <w:bidi w:val="0"/>
              <w:jc w:val="center"/>
            </w:pPr>
            <w:r>
              <w:t>23</w:t>
            </w:r>
          </w:p>
        </w:tc>
        <w:tc>
          <w:tcPr>
            <w:tcW w:w="4921" w:type="dxa"/>
            <w:tcBorders>
              <w:right w:val="nil"/>
            </w:tcBorders>
            <w:vAlign w:val="center"/>
          </w:tcPr>
          <w:p w14:paraId="3D05701F">
            <w:pPr>
              <w:pStyle w:val="59"/>
              <w:bidi w:val="0"/>
              <w:jc w:val="center"/>
            </w:pPr>
            <w:r>
              <w:t>能稍微感觉到极弱臭味，臭味似有似无</w:t>
            </w:r>
          </w:p>
        </w:tc>
      </w:tr>
      <w:tr w14:paraId="229BC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50" w:type="dxa"/>
            <w:tcBorders>
              <w:left w:val="nil"/>
            </w:tcBorders>
            <w:vAlign w:val="center"/>
          </w:tcPr>
          <w:p w14:paraId="42CD6731">
            <w:pPr>
              <w:pStyle w:val="59"/>
              <w:bidi w:val="0"/>
              <w:jc w:val="center"/>
            </w:pPr>
            <w:r>
              <w:t>2</w:t>
            </w:r>
          </w:p>
        </w:tc>
        <w:tc>
          <w:tcPr>
            <w:tcW w:w="1870" w:type="dxa"/>
            <w:vAlign w:val="center"/>
          </w:tcPr>
          <w:p w14:paraId="57C576BB">
            <w:pPr>
              <w:pStyle w:val="59"/>
              <w:bidi w:val="0"/>
              <w:jc w:val="center"/>
            </w:pPr>
            <w:r>
              <w:t>2</w:t>
            </w:r>
          </w:p>
        </w:tc>
        <w:tc>
          <w:tcPr>
            <w:tcW w:w="1258" w:type="dxa"/>
            <w:vAlign w:val="center"/>
          </w:tcPr>
          <w:p w14:paraId="3876A7D0">
            <w:pPr>
              <w:pStyle w:val="59"/>
              <w:bidi w:val="0"/>
              <w:jc w:val="center"/>
            </w:pPr>
            <w:r>
              <w:t>51</w:t>
            </w:r>
          </w:p>
        </w:tc>
        <w:tc>
          <w:tcPr>
            <w:tcW w:w="4921" w:type="dxa"/>
            <w:tcBorders>
              <w:right w:val="nil"/>
            </w:tcBorders>
            <w:vAlign w:val="center"/>
          </w:tcPr>
          <w:p w14:paraId="6E449793">
            <w:pPr>
              <w:pStyle w:val="59"/>
              <w:bidi w:val="0"/>
              <w:jc w:val="center"/>
            </w:pPr>
            <w:r>
              <w:t>能辨别处何种气味的臭味，例如可以勉强嗅到酸味</w:t>
            </w:r>
          </w:p>
          <w:p w14:paraId="7018B124">
            <w:pPr>
              <w:pStyle w:val="59"/>
              <w:bidi w:val="0"/>
              <w:jc w:val="center"/>
            </w:pPr>
            <w:r>
              <w:t>或糊焦味</w:t>
            </w:r>
          </w:p>
        </w:tc>
      </w:tr>
      <w:tr w14:paraId="7A8A7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50" w:type="dxa"/>
            <w:tcBorders>
              <w:left w:val="nil"/>
            </w:tcBorders>
            <w:vAlign w:val="center"/>
          </w:tcPr>
          <w:p w14:paraId="378E9EE5">
            <w:pPr>
              <w:pStyle w:val="59"/>
              <w:bidi w:val="0"/>
              <w:jc w:val="center"/>
            </w:pPr>
            <w:r>
              <w:t>3</w:t>
            </w:r>
          </w:p>
        </w:tc>
        <w:tc>
          <w:tcPr>
            <w:tcW w:w="1870" w:type="dxa"/>
            <w:vAlign w:val="center"/>
          </w:tcPr>
          <w:p w14:paraId="4C14DEA0">
            <w:pPr>
              <w:pStyle w:val="59"/>
              <w:bidi w:val="0"/>
              <w:jc w:val="center"/>
            </w:pPr>
            <w:r>
              <w:t>3</w:t>
            </w:r>
          </w:p>
        </w:tc>
        <w:tc>
          <w:tcPr>
            <w:tcW w:w="1258" w:type="dxa"/>
            <w:vAlign w:val="center"/>
          </w:tcPr>
          <w:p w14:paraId="28225764">
            <w:pPr>
              <w:pStyle w:val="59"/>
              <w:bidi w:val="0"/>
              <w:jc w:val="center"/>
            </w:pPr>
            <w:r>
              <w:t>117</w:t>
            </w:r>
          </w:p>
        </w:tc>
        <w:tc>
          <w:tcPr>
            <w:tcW w:w="4921" w:type="dxa"/>
            <w:tcBorders>
              <w:right w:val="nil"/>
            </w:tcBorders>
            <w:vAlign w:val="center"/>
          </w:tcPr>
          <w:p w14:paraId="1C93B64E">
            <w:pPr>
              <w:pStyle w:val="59"/>
              <w:bidi w:val="0"/>
              <w:jc w:val="center"/>
            </w:pPr>
            <w:r>
              <w:t>能明显嗅到臭味，例如医院里明显的来苏水气味</w:t>
            </w:r>
          </w:p>
        </w:tc>
      </w:tr>
      <w:tr w14:paraId="4A5FD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50" w:type="dxa"/>
            <w:tcBorders>
              <w:left w:val="nil"/>
            </w:tcBorders>
            <w:vAlign w:val="center"/>
          </w:tcPr>
          <w:p w14:paraId="6769DFC6">
            <w:pPr>
              <w:pStyle w:val="59"/>
              <w:bidi w:val="0"/>
              <w:jc w:val="center"/>
            </w:pPr>
            <w:r>
              <w:t>4</w:t>
            </w:r>
          </w:p>
        </w:tc>
        <w:tc>
          <w:tcPr>
            <w:tcW w:w="1870" w:type="dxa"/>
            <w:vAlign w:val="center"/>
          </w:tcPr>
          <w:p w14:paraId="4872F9E3">
            <w:pPr>
              <w:pStyle w:val="59"/>
              <w:bidi w:val="0"/>
              <w:jc w:val="center"/>
            </w:pPr>
            <w:r>
              <w:t>4</w:t>
            </w:r>
          </w:p>
        </w:tc>
        <w:tc>
          <w:tcPr>
            <w:tcW w:w="1258" w:type="dxa"/>
            <w:vAlign w:val="center"/>
          </w:tcPr>
          <w:p w14:paraId="08EB28BC">
            <w:pPr>
              <w:pStyle w:val="59"/>
              <w:bidi w:val="0"/>
              <w:jc w:val="center"/>
            </w:pPr>
            <w:r>
              <w:t>265</w:t>
            </w:r>
          </w:p>
        </w:tc>
        <w:tc>
          <w:tcPr>
            <w:tcW w:w="4921" w:type="dxa"/>
            <w:tcBorders>
              <w:right w:val="nil"/>
            </w:tcBorders>
            <w:vAlign w:val="center"/>
          </w:tcPr>
          <w:p w14:paraId="6809BF0E">
            <w:pPr>
              <w:pStyle w:val="59"/>
              <w:bidi w:val="0"/>
              <w:jc w:val="center"/>
            </w:pPr>
            <w:r>
              <w:t>强烈臭气味，例如管理不善的厕所发出的气味</w:t>
            </w:r>
          </w:p>
        </w:tc>
      </w:tr>
      <w:tr w14:paraId="6EC05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250" w:type="dxa"/>
            <w:tcBorders>
              <w:left w:val="nil"/>
              <w:bottom w:val="single" w:color="000000" w:sz="16" w:space="0"/>
            </w:tcBorders>
            <w:vAlign w:val="center"/>
          </w:tcPr>
          <w:p w14:paraId="4B56E182">
            <w:pPr>
              <w:pStyle w:val="59"/>
              <w:bidi w:val="0"/>
              <w:jc w:val="center"/>
            </w:pPr>
            <w:r>
              <w:t>5</w:t>
            </w:r>
          </w:p>
        </w:tc>
        <w:tc>
          <w:tcPr>
            <w:tcW w:w="1870" w:type="dxa"/>
            <w:tcBorders>
              <w:bottom w:val="single" w:color="000000" w:sz="16" w:space="0"/>
            </w:tcBorders>
            <w:vAlign w:val="center"/>
          </w:tcPr>
          <w:p w14:paraId="559E1EA1">
            <w:pPr>
              <w:pStyle w:val="59"/>
              <w:bidi w:val="0"/>
              <w:jc w:val="center"/>
            </w:pPr>
            <w:r>
              <w:t>5</w:t>
            </w:r>
          </w:p>
        </w:tc>
        <w:tc>
          <w:tcPr>
            <w:tcW w:w="1258" w:type="dxa"/>
            <w:tcBorders>
              <w:bottom w:val="single" w:color="000000" w:sz="16" w:space="0"/>
            </w:tcBorders>
            <w:vAlign w:val="center"/>
          </w:tcPr>
          <w:p w14:paraId="2C2E93F1">
            <w:pPr>
              <w:pStyle w:val="59"/>
              <w:bidi w:val="0"/>
              <w:jc w:val="center"/>
            </w:pPr>
            <w:r>
              <w:t>600</w:t>
            </w:r>
          </w:p>
        </w:tc>
        <w:tc>
          <w:tcPr>
            <w:tcW w:w="4921" w:type="dxa"/>
            <w:tcBorders>
              <w:bottom w:val="single" w:color="000000" w:sz="16" w:space="0"/>
              <w:right w:val="nil"/>
            </w:tcBorders>
            <w:vAlign w:val="center"/>
          </w:tcPr>
          <w:p w14:paraId="40F4ACAF">
            <w:pPr>
              <w:pStyle w:val="59"/>
              <w:bidi w:val="0"/>
              <w:jc w:val="center"/>
            </w:pPr>
            <w:r>
              <w:t>强烈恶臭气味，使人感到恶心、呕吐、头疼、甚至</w:t>
            </w:r>
          </w:p>
          <w:p w14:paraId="73B9755C">
            <w:pPr>
              <w:pStyle w:val="59"/>
              <w:bidi w:val="0"/>
              <w:jc w:val="center"/>
            </w:pPr>
            <w:r>
              <w:t>可以引起气管炎的强烈气味</w:t>
            </w:r>
          </w:p>
        </w:tc>
      </w:tr>
    </w:tbl>
    <w:p w14:paraId="09CC2249">
      <w:pPr>
        <w:spacing w:before="212" w:line="359" w:lineRule="auto"/>
        <w:ind w:left="53" w:right="196" w:firstLine="477"/>
        <w:rPr>
          <w:rFonts w:ascii="宋体" w:hAnsi="宋体" w:eastAsia="宋体" w:cs="宋体"/>
          <w:sz w:val="24"/>
          <w:szCs w:val="24"/>
        </w:rPr>
      </w:pPr>
      <w:r>
        <w:rPr>
          <w:rFonts w:ascii="宋体" w:hAnsi="宋体" w:eastAsia="宋体" w:cs="宋体"/>
          <w:spacing w:val="4"/>
          <w:sz w:val="24"/>
          <w:szCs w:val="24"/>
        </w:rPr>
        <w:t>本项目恶臭气体为勉强能闻到有气味，但在感到很正常</w:t>
      </w:r>
      <w:r>
        <w:rPr>
          <w:rFonts w:ascii="宋体" w:hAnsi="宋体" w:eastAsia="宋体" w:cs="宋体"/>
          <w:spacing w:val="3"/>
          <w:sz w:val="24"/>
          <w:szCs w:val="24"/>
        </w:rPr>
        <w:t>范围内，根据上表可知本</w:t>
      </w:r>
      <w:r>
        <w:rPr>
          <w:rFonts w:ascii="宋体" w:hAnsi="宋体" w:eastAsia="宋体" w:cs="宋体"/>
          <w:spacing w:val="-3"/>
          <w:sz w:val="24"/>
          <w:szCs w:val="24"/>
        </w:rPr>
        <w:t>项目恶臭强度一般在</w:t>
      </w:r>
      <w:r>
        <w:rPr>
          <w:rFonts w:ascii="宋体" w:hAnsi="宋体" w:eastAsia="宋体" w:cs="宋体"/>
          <w:spacing w:val="-22"/>
          <w:sz w:val="24"/>
          <w:szCs w:val="24"/>
        </w:rPr>
        <w:t xml:space="preserve"> </w:t>
      </w:r>
      <w:r>
        <w:rPr>
          <w:rFonts w:ascii="Times New Roman" w:hAnsi="Times New Roman" w:eastAsia="Times New Roman" w:cs="Times New Roman"/>
          <w:spacing w:val="-3"/>
          <w:sz w:val="24"/>
          <w:szCs w:val="24"/>
        </w:rPr>
        <w:t xml:space="preserve">1~2 </w:t>
      </w:r>
      <w:r>
        <w:rPr>
          <w:rFonts w:ascii="宋体" w:hAnsi="宋体" w:eastAsia="宋体" w:cs="宋体"/>
          <w:spacing w:val="-3"/>
          <w:sz w:val="24"/>
          <w:szCs w:val="24"/>
        </w:rPr>
        <w:t>级，折合臭气浓度为</w:t>
      </w:r>
      <w:r>
        <w:rPr>
          <w:rFonts w:ascii="宋体" w:hAnsi="宋体" w:eastAsia="宋体" w:cs="宋体"/>
          <w:spacing w:val="-54"/>
          <w:sz w:val="24"/>
          <w:szCs w:val="24"/>
        </w:rPr>
        <w:t xml:space="preserve"> </w:t>
      </w:r>
      <w:r>
        <w:rPr>
          <w:rFonts w:ascii="Times New Roman" w:hAnsi="Times New Roman" w:eastAsia="Times New Roman" w:cs="Times New Roman"/>
          <w:spacing w:val="-3"/>
          <w:sz w:val="24"/>
          <w:szCs w:val="24"/>
        </w:rPr>
        <w:t>23~51</w:t>
      </w:r>
      <w:r>
        <w:rPr>
          <w:rFonts w:ascii="宋体" w:hAnsi="宋体" w:eastAsia="宋体" w:cs="宋体"/>
          <w:spacing w:val="-3"/>
          <w:sz w:val="24"/>
          <w:szCs w:val="24"/>
        </w:rPr>
        <w:t>（无量纲）。</w:t>
      </w:r>
    </w:p>
    <w:p w14:paraId="5C79AD00">
      <w:pPr>
        <w:pStyle w:val="65"/>
        <w:numPr>
          <w:ilvl w:val="0"/>
          <w:numId w:val="31"/>
        </w:num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RTO 燃料废气</w:t>
      </w:r>
    </w:p>
    <w:p w14:paraId="4ECDF95D">
      <w:pPr>
        <w:bidi w:val="0"/>
      </w:pPr>
      <w:r>
        <w:t>本项目 RTO 设施采用天然气助燃，</w:t>
      </w:r>
      <w:r>
        <w:rPr>
          <w:rFonts w:hint="eastAsia"/>
          <w:lang w:val="en-US" w:eastAsia="zh-CN"/>
        </w:rPr>
        <w:t>根据上文分析，本项目年用</w:t>
      </w:r>
      <w:r>
        <w:rPr>
          <w:rFonts w:hint="default"/>
          <w:lang w:val="en-US" w:eastAsia="zh-CN"/>
        </w:rPr>
        <w:t>129850</w:t>
      </w:r>
      <w:r>
        <w:rPr>
          <w:rFonts w:hint="eastAsia"/>
          <w:lang w:val="en-US" w:eastAsia="zh-CN"/>
        </w:rPr>
        <w:t>m³天然气，</w:t>
      </w:r>
      <w:r>
        <w:t>会产生天然气燃料废气，主要污染物为二氧化硫、氮氧化物和颗粒物。一般认为，当炉膛温度超过 1100℃, 才有可能产生热力型氮氧化物和快速型氮氧化物，本项目 RTO 装置运行温度约为 800℃, 故正常情况下， RTO 运行过程不会产生产生热力型氮氧化物和快速型氮氧化物，仅产生燃料型氮氧化物；二噁英主要来源于含氯有机物高温分解或不完全燃烧，根据原辅材料理化性质分析，本项目所用的油性油墨、稀释剂和清洗剂的挥发份主要涉及碳、氢、氧，不涉及氯、氮，故有机废气燃烧过程不产生氮氧化物和二噁英。</w:t>
      </w:r>
    </w:p>
    <w:p w14:paraId="401F9F55">
      <w:pPr>
        <w:bidi w:val="0"/>
      </w:pPr>
      <w:r>
        <w:rPr>
          <w:rFonts w:hint="eastAsia"/>
          <w:lang w:val="en-US" w:eastAsia="zh-CN"/>
        </w:rPr>
        <w:t>根据</w:t>
      </w:r>
      <w:r>
        <w:t>《排放源统计调查产排污核算方法和系数手册》中“33-37,431-434 机械行业系数手册”中 14 涂装—天然气工业炉窑产污系数：</w:t>
      </w:r>
      <w:r>
        <w:rPr>
          <w:rFonts w:hint="eastAsia"/>
          <w:lang w:val="en-US" w:eastAsia="zh-CN"/>
        </w:rPr>
        <w:t>废气量13.6立方米</w:t>
      </w:r>
      <w:r>
        <w:t>/立方米-原料</w:t>
      </w:r>
      <w:r>
        <w:rPr>
          <w:rFonts w:hint="eastAsia"/>
          <w:lang w:val="en-US" w:eastAsia="zh-CN"/>
        </w:rPr>
        <w:t>、</w:t>
      </w:r>
      <w:r>
        <w:t>颗粒物 0.000286 千克/立方米-原料、二氧化硫 0.000002S 千克/万立方米-原料、氮氧化物 0.00187 千克/立方米-原料。</w:t>
      </w:r>
    </w:p>
    <w:p w14:paraId="3C8774CB">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rPr>
        <w:t>燃料废气产生量核算一览表</w:t>
      </w:r>
    </w:p>
    <w:tbl>
      <w:tblPr>
        <w:tblStyle w:val="105"/>
        <w:tblW w:w="90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9"/>
        <w:gridCol w:w="1558"/>
        <w:gridCol w:w="1277"/>
        <w:gridCol w:w="1702"/>
        <w:gridCol w:w="1198"/>
        <w:gridCol w:w="1476"/>
      </w:tblGrid>
      <w:tr w14:paraId="58C72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trPr>
        <w:tc>
          <w:tcPr>
            <w:tcW w:w="1869" w:type="dxa"/>
            <w:tcBorders>
              <w:top w:val="single" w:color="000000" w:sz="16" w:space="0"/>
              <w:left w:val="nil"/>
            </w:tcBorders>
            <w:vAlign w:val="center"/>
          </w:tcPr>
          <w:p w14:paraId="7DA90F42">
            <w:pPr>
              <w:pStyle w:val="59"/>
              <w:bidi w:val="0"/>
              <w:jc w:val="center"/>
            </w:pPr>
            <w:r>
              <w:t>燃料名称</w:t>
            </w:r>
          </w:p>
        </w:tc>
        <w:tc>
          <w:tcPr>
            <w:tcW w:w="1558" w:type="dxa"/>
            <w:tcBorders>
              <w:top w:val="single" w:color="000000" w:sz="16" w:space="0"/>
            </w:tcBorders>
            <w:vAlign w:val="center"/>
          </w:tcPr>
          <w:p w14:paraId="54CED3A6">
            <w:pPr>
              <w:pStyle w:val="59"/>
              <w:bidi w:val="0"/>
              <w:jc w:val="center"/>
            </w:pPr>
            <w:r>
              <w:t>年用量（m</w:t>
            </w:r>
            <w:r>
              <w:rPr>
                <w:vertAlign w:val="superscript"/>
              </w:rPr>
              <w:t>3</w:t>
            </w:r>
            <w:r>
              <w:t>/a）</w:t>
            </w:r>
          </w:p>
        </w:tc>
        <w:tc>
          <w:tcPr>
            <w:tcW w:w="1277" w:type="dxa"/>
            <w:tcBorders>
              <w:top w:val="single" w:color="000000" w:sz="16" w:space="0"/>
            </w:tcBorders>
            <w:vAlign w:val="center"/>
          </w:tcPr>
          <w:p w14:paraId="617A3835">
            <w:pPr>
              <w:pStyle w:val="59"/>
              <w:bidi w:val="0"/>
              <w:jc w:val="center"/>
            </w:pPr>
            <w:r>
              <w:t>污染物名称</w:t>
            </w:r>
          </w:p>
        </w:tc>
        <w:tc>
          <w:tcPr>
            <w:tcW w:w="1702" w:type="dxa"/>
            <w:tcBorders>
              <w:top w:val="single" w:color="000000" w:sz="16" w:space="0"/>
            </w:tcBorders>
            <w:vAlign w:val="center"/>
          </w:tcPr>
          <w:p w14:paraId="49470529">
            <w:pPr>
              <w:pStyle w:val="59"/>
              <w:bidi w:val="0"/>
              <w:jc w:val="center"/>
            </w:pPr>
            <w:r>
              <w:t>产污系数（千克/立方米-原料）</w:t>
            </w:r>
          </w:p>
        </w:tc>
        <w:tc>
          <w:tcPr>
            <w:tcW w:w="1198" w:type="dxa"/>
            <w:tcBorders>
              <w:top w:val="single" w:color="000000" w:sz="16" w:space="0"/>
            </w:tcBorders>
            <w:vAlign w:val="center"/>
          </w:tcPr>
          <w:p w14:paraId="0182DD60">
            <w:pPr>
              <w:pStyle w:val="59"/>
              <w:bidi w:val="0"/>
              <w:jc w:val="center"/>
            </w:pPr>
            <w:r>
              <w:t>污染物产生量（t/a）</w:t>
            </w:r>
          </w:p>
        </w:tc>
        <w:tc>
          <w:tcPr>
            <w:tcW w:w="1476" w:type="dxa"/>
            <w:tcBorders>
              <w:top w:val="single" w:color="000000" w:sz="16" w:space="0"/>
              <w:right w:val="nil"/>
            </w:tcBorders>
            <w:vAlign w:val="center"/>
          </w:tcPr>
          <w:p w14:paraId="3FD53625">
            <w:pPr>
              <w:pStyle w:val="59"/>
              <w:bidi w:val="0"/>
              <w:jc w:val="center"/>
            </w:pPr>
            <w:r>
              <w:t>污染物产生速率（kg/h）</w:t>
            </w:r>
          </w:p>
        </w:tc>
      </w:tr>
      <w:tr w14:paraId="44A11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69" w:type="dxa"/>
            <w:vMerge w:val="restart"/>
            <w:tcBorders>
              <w:left w:val="nil"/>
              <w:bottom w:val="nil"/>
            </w:tcBorders>
            <w:vAlign w:val="center"/>
          </w:tcPr>
          <w:p w14:paraId="5CD0C754">
            <w:pPr>
              <w:pStyle w:val="59"/>
              <w:bidi w:val="0"/>
              <w:jc w:val="center"/>
            </w:pPr>
            <w:r>
              <w:t>天然气</w:t>
            </w:r>
          </w:p>
        </w:tc>
        <w:tc>
          <w:tcPr>
            <w:tcW w:w="1558" w:type="dxa"/>
            <w:vMerge w:val="restart"/>
            <w:tcBorders>
              <w:bottom w:val="nil"/>
            </w:tcBorders>
            <w:vAlign w:val="center"/>
          </w:tcPr>
          <w:p w14:paraId="1B78FA39">
            <w:pPr>
              <w:pStyle w:val="59"/>
              <w:bidi w:val="0"/>
              <w:jc w:val="center"/>
            </w:pPr>
            <w:r>
              <w:rPr>
                <w:rFonts w:hint="default"/>
                <w:lang w:val="en-US" w:eastAsia="zh-CN"/>
              </w:rPr>
              <w:t>129850</w:t>
            </w:r>
          </w:p>
        </w:tc>
        <w:tc>
          <w:tcPr>
            <w:tcW w:w="1277" w:type="dxa"/>
            <w:vAlign w:val="center"/>
          </w:tcPr>
          <w:p w14:paraId="39344444">
            <w:pPr>
              <w:pStyle w:val="59"/>
              <w:bidi w:val="0"/>
              <w:jc w:val="center"/>
            </w:pPr>
            <w:r>
              <w:t>颗粒物</w:t>
            </w:r>
          </w:p>
        </w:tc>
        <w:tc>
          <w:tcPr>
            <w:tcW w:w="1702" w:type="dxa"/>
            <w:vAlign w:val="center"/>
          </w:tcPr>
          <w:p w14:paraId="05F40622">
            <w:pPr>
              <w:pStyle w:val="59"/>
              <w:bidi w:val="0"/>
              <w:jc w:val="center"/>
            </w:pPr>
            <w:r>
              <w:t>0.000286</w:t>
            </w:r>
          </w:p>
        </w:tc>
        <w:tc>
          <w:tcPr>
            <w:tcW w:w="1198" w:type="dxa"/>
            <w:vAlign w:val="center"/>
          </w:tcPr>
          <w:p w14:paraId="6CE4C054">
            <w:pPr>
              <w:pStyle w:val="59"/>
              <w:bidi w:val="0"/>
            </w:pPr>
            <w:r>
              <w:rPr>
                <w:rFonts w:hint="default"/>
                <w:lang w:val="en-US" w:eastAsia="zh-CN"/>
              </w:rPr>
              <w:t xml:space="preserve">0.037 </w:t>
            </w:r>
          </w:p>
        </w:tc>
        <w:tc>
          <w:tcPr>
            <w:tcW w:w="1476" w:type="dxa"/>
            <w:tcBorders>
              <w:right w:val="nil"/>
            </w:tcBorders>
            <w:vAlign w:val="center"/>
          </w:tcPr>
          <w:p w14:paraId="2C6668CF">
            <w:pPr>
              <w:pStyle w:val="59"/>
              <w:bidi w:val="0"/>
            </w:pPr>
            <w:r>
              <w:rPr>
                <w:rFonts w:hint="default"/>
                <w:lang w:val="en-US" w:eastAsia="zh-CN"/>
              </w:rPr>
              <w:t xml:space="preserve">0.031 </w:t>
            </w:r>
          </w:p>
        </w:tc>
      </w:tr>
      <w:tr w14:paraId="4FF1C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69" w:type="dxa"/>
            <w:vMerge w:val="continue"/>
            <w:tcBorders>
              <w:top w:val="nil"/>
              <w:left w:val="nil"/>
              <w:bottom w:val="nil"/>
            </w:tcBorders>
            <w:vAlign w:val="center"/>
          </w:tcPr>
          <w:p w14:paraId="69035EB4">
            <w:pPr>
              <w:pStyle w:val="59"/>
              <w:bidi w:val="0"/>
              <w:jc w:val="center"/>
            </w:pPr>
          </w:p>
        </w:tc>
        <w:tc>
          <w:tcPr>
            <w:tcW w:w="1558" w:type="dxa"/>
            <w:vMerge w:val="continue"/>
            <w:tcBorders>
              <w:top w:val="nil"/>
              <w:bottom w:val="nil"/>
            </w:tcBorders>
            <w:vAlign w:val="center"/>
          </w:tcPr>
          <w:p w14:paraId="509CECD8">
            <w:pPr>
              <w:pStyle w:val="59"/>
              <w:bidi w:val="0"/>
              <w:jc w:val="center"/>
            </w:pPr>
          </w:p>
        </w:tc>
        <w:tc>
          <w:tcPr>
            <w:tcW w:w="1277" w:type="dxa"/>
            <w:vAlign w:val="center"/>
          </w:tcPr>
          <w:p w14:paraId="312BEA1B">
            <w:pPr>
              <w:pStyle w:val="59"/>
              <w:bidi w:val="0"/>
              <w:jc w:val="center"/>
            </w:pPr>
            <w:r>
              <w:t>氮氧化物</w:t>
            </w:r>
          </w:p>
        </w:tc>
        <w:tc>
          <w:tcPr>
            <w:tcW w:w="1702" w:type="dxa"/>
            <w:vAlign w:val="center"/>
          </w:tcPr>
          <w:p w14:paraId="00BACBDA">
            <w:pPr>
              <w:pStyle w:val="59"/>
              <w:bidi w:val="0"/>
              <w:jc w:val="center"/>
            </w:pPr>
            <w:r>
              <w:t>0.00187</w:t>
            </w:r>
          </w:p>
        </w:tc>
        <w:tc>
          <w:tcPr>
            <w:tcW w:w="1198" w:type="dxa"/>
            <w:vAlign w:val="center"/>
          </w:tcPr>
          <w:p w14:paraId="137BBEAC">
            <w:pPr>
              <w:pStyle w:val="59"/>
              <w:bidi w:val="0"/>
            </w:pPr>
            <w:r>
              <w:rPr>
                <w:rFonts w:hint="default"/>
                <w:lang w:val="en-US" w:eastAsia="zh-CN"/>
              </w:rPr>
              <w:t xml:space="preserve">0.243 </w:t>
            </w:r>
          </w:p>
        </w:tc>
        <w:tc>
          <w:tcPr>
            <w:tcW w:w="1476" w:type="dxa"/>
            <w:tcBorders>
              <w:right w:val="nil"/>
            </w:tcBorders>
            <w:vAlign w:val="center"/>
          </w:tcPr>
          <w:p w14:paraId="56A7E590">
            <w:pPr>
              <w:pStyle w:val="59"/>
              <w:bidi w:val="0"/>
            </w:pPr>
            <w:r>
              <w:rPr>
                <w:rFonts w:hint="default"/>
                <w:lang w:val="en-US" w:eastAsia="zh-CN"/>
              </w:rPr>
              <w:t xml:space="preserve">0.206 </w:t>
            </w:r>
          </w:p>
        </w:tc>
      </w:tr>
      <w:tr w14:paraId="2AEC6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69" w:type="dxa"/>
            <w:vMerge w:val="continue"/>
            <w:tcBorders>
              <w:top w:val="nil"/>
              <w:left w:val="nil"/>
              <w:bottom w:val="single" w:color="000000" w:sz="16" w:space="0"/>
            </w:tcBorders>
            <w:vAlign w:val="center"/>
          </w:tcPr>
          <w:p w14:paraId="60BA22A0">
            <w:pPr>
              <w:pStyle w:val="59"/>
              <w:bidi w:val="0"/>
              <w:jc w:val="center"/>
            </w:pPr>
          </w:p>
        </w:tc>
        <w:tc>
          <w:tcPr>
            <w:tcW w:w="1558" w:type="dxa"/>
            <w:vMerge w:val="continue"/>
            <w:tcBorders>
              <w:top w:val="nil"/>
              <w:bottom w:val="single" w:color="000000" w:sz="16" w:space="0"/>
            </w:tcBorders>
            <w:vAlign w:val="center"/>
          </w:tcPr>
          <w:p w14:paraId="53E0AAB6">
            <w:pPr>
              <w:pStyle w:val="59"/>
              <w:bidi w:val="0"/>
              <w:jc w:val="center"/>
            </w:pPr>
          </w:p>
        </w:tc>
        <w:tc>
          <w:tcPr>
            <w:tcW w:w="1277" w:type="dxa"/>
            <w:tcBorders>
              <w:bottom w:val="single" w:color="000000" w:sz="16" w:space="0"/>
            </w:tcBorders>
            <w:vAlign w:val="center"/>
          </w:tcPr>
          <w:p w14:paraId="55EC9FFB">
            <w:pPr>
              <w:pStyle w:val="59"/>
              <w:bidi w:val="0"/>
              <w:jc w:val="center"/>
            </w:pPr>
            <w:r>
              <w:t>二氧化硫</w:t>
            </w:r>
          </w:p>
        </w:tc>
        <w:tc>
          <w:tcPr>
            <w:tcW w:w="1702" w:type="dxa"/>
            <w:tcBorders>
              <w:bottom w:val="single" w:color="000000" w:sz="16" w:space="0"/>
            </w:tcBorders>
            <w:vAlign w:val="center"/>
          </w:tcPr>
          <w:p w14:paraId="3420F76A">
            <w:pPr>
              <w:pStyle w:val="59"/>
              <w:bidi w:val="0"/>
              <w:jc w:val="center"/>
            </w:pPr>
            <w:r>
              <w:t>0.000002S</w:t>
            </w:r>
          </w:p>
        </w:tc>
        <w:tc>
          <w:tcPr>
            <w:tcW w:w="1198" w:type="dxa"/>
            <w:tcBorders>
              <w:bottom w:val="single" w:color="000000" w:sz="16" w:space="0"/>
            </w:tcBorders>
            <w:vAlign w:val="center"/>
          </w:tcPr>
          <w:p w14:paraId="3AF2CC74">
            <w:pPr>
              <w:pStyle w:val="59"/>
              <w:bidi w:val="0"/>
            </w:pPr>
            <w:r>
              <w:rPr>
                <w:rFonts w:hint="default"/>
                <w:lang w:val="en-US" w:eastAsia="zh-CN"/>
              </w:rPr>
              <w:t xml:space="preserve">0.003 </w:t>
            </w:r>
          </w:p>
        </w:tc>
        <w:tc>
          <w:tcPr>
            <w:tcW w:w="1476" w:type="dxa"/>
            <w:tcBorders>
              <w:bottom w:val="single" w:color="000000" w:sz="16" w:space="0"/>
              <w:right w:val="nil"/>
            </w:tcBorders>
            <w:vAlign w:val="center"/>
          </w:tcPr>
          <w:p w14:paraId="142D5779">
            <w:pPr>
              <w:pStyle w:val="59"/>
              <w:bidi w:val="0"/>
            </w:pPr>
            <w:r>
              <w:rPr>
                <w:rFonts w:hint="default"/>
                <w:lang w:val="en-US" w:eastAsia="zh-CN"/>
              </w:rPr>
              <w:t xml:space="preserve">0.002 </w:t>
            </w:r>
          </w:p>
        </w:tc>
      </w:tr>
    </w:tbl>
    <w:p w14:paraId="5BD9A2D6">
      <w:pPr>
        <w:bidi w:val="0"/>
        <w:rPr>
          <w:rFonts w:hint="eastAsia" w:ascii="Times New Roman" w:hAnsi="Times New Roman" w:eastAsia="仿宋" w:cs="Times New Roman"/>
          <w:sz w:val="28"/>
          <w:szCs w:val="28"/>
          <w:lang w:val="en-US" w:eastAsia="zh-CN"/>
        </w:rPr>
      </w:pPr>
      <w:r>
        <w:rPr>
          <w:rFonts w:ascii="宋体" w:hAnsi="宋体" w:eastAsia="宋体" w:cs="宋体"/>
          <w:spacing w:val="3"/>
          <w:sz w:val="21"/>
          <w:szCs w:val="21"/>
        </w:rPr>
        <w:t>注：</w:t>
      </w:r>
      <w:r>
        <w:rPr>
          <w:rFonts w:ascii="Times New Roman" w:hAnsi="Times New Roman" w:eastAsia="Times New Roman" w:cs="Times New Roman"/>
          <w:spacing w:val="3"/>
          <w:sz w:val="21"/>
          <w:szCs w:val="21"/>
        </w:rPr>
        <w:t>[1]</w:t>
      </w:r>
      <w:r>
        <w:rPr>
          <w:rFonts w:ascii="宋体" w:hAnsi="宋体" w:eastAsia="宋体" w:cs="宋体"/>
          <w:spacing w:val="3"/>
          <w:sz w:val="21"/>
          <w:szCs w:val="21"/>
        </w:rPr>
        <w:t>二氧化硫的产排污系数是以含硫量（</w:t>
      </w:r>
      <w:r>
        <w:rPr>
          <w:rFonts w:ascii="Times New Roman" w:hAnsi="Times New Roman" w:eastAsia="Times New Roman" w:cs="Times New Roman"/>
          <w:spacing w:val="3"/>
          <w:sz w:val="21"/>
          <w:szCs w:val="21"/>
        </w:rPr>
        <w:t>S</w:t>
      </w:r>
      <w:r>
        <w:rPr>
          <w:rFonts w:ascii="宋体" w:hAnsi="宋体" w:eastAsia="宋体" w:cs="宋体"/>
          <w:spacing w:val="3"/>
          <w:sz w:val="21"/>
          <w:szCs w:val="21"/>
        </w:rPr>
        <w:t>）的形式表示的，其中含硫量（</w:t>
      </w:r>
      <w:r>
        <w:rPr>
          <w:rFonts w:ascii="Times New Roman" w:hAnsi="Times New Roman" w:eastAsia="Times New Roman" w:cs="Times New Roman"/>
          <w:spacing w:val="3"/>
          <w:sz w:val="21"/>
          <w:szCs w:val="21"/>
        </w:rPr>
        <w:t>S</w:t>
      </w:r>
      <w:r>
        <w:rPr>
          <w:rFonts w:ascii="宋体" w:hAnsi="宋体" w:eastAsia="宋体" w:cs="宋体"/>
          <w:spacing w:val="3"/>
          <w:sz w:val="21"/>
          <w:szCs w:val="21"/>
        </w:rPr>
        <w:t>）是指燃气收</w:t>
      </w:r>
      <w:r>
        <w:rPr>
          <w:rFonts w:ascii="宋体" w:hAnsi="宋体" w:eastAsia="宋体" w:cs="宋体"/>
          <w:spacing w:val="2"/>
          <w:sz w:val="21"/>
          <w:szCs w:val="21"/>
        </w:rPr>
        <w:t>到基硫分含量，单位为毫克</w:t>
      </w:r>
      <w:r>
        <w:rPr>
          <w:rFonts w:ascii="Times New Roman" w:hAnsi="Times New Roman" w:eastAsia="Times New Roman" w:cs="Times New Roman"/>
          <w:spacing w:val="2"/>
          <w:sz w:val="21"/>
          <w:szCs w:val="21"/>
        </w:rPr>
        <w:t>/</w:t>
      </w:r>
      <w:r>
        <w:rPr>
          <w:rFonts w:ascii="宋体" w:hAnsi="宋体" w:eastAsia="宋体" w:cs="宋体"/>
          <w:spacing w:val="2"/>
          <w:sz w:val="21"/>
          <w:szCs w:val="21"/>
        </w:rPr>
        <w:t>立方米。根据《天然气》（</w:t>
      </w:r>
      <w:r>
        <w:rPr>
          <w:rFonts w:ascii="Times New Roman" w:hAnsi="Times New Roman" w:eastAsia="Times New Roman" w:cs="Times New Roman"/>
          <w:sz w:val="21"/>
          <w:szCs w:val="21"/>
        </w:rPr>
        <w:t>GB</w:t>
      </w:r>
      <w:r>
        <w:rPr>
          <w:rFonts w:ascii="Times New Roman" w:hAnsi="Times New Roman" w:eastAsia="Times New Roman" w:cs="Times New Roman"/>
          <w:spacing w:val="2"/>
          <w:sz w:val="21"/>
          <w:szCs w:val="21"/>
        </w:rPr>
        <w:t>17820-2018</w:t>
      </w:r>
      <w:r>
        <w:rPr>
          <w:rFonts w:ascii="宋体" w:hAnsi="宋体" w:eastAsia="宋体" w:cs="宋体"/>
          <w:spacing w:val="6"/>
          <w:sz w:val="21"/>
          <w:szCs w:val="21"/>
        </w:rPr>
        <w:t>），</w:t>
      </w:r>
      <w:r>
        <w:rPr>
          <w:rFonts w:ascii="宋体" w:hAnsi="宋体" w:eastAsia="宋体" w:cs="宋体"/>
          <w:spacing w:val="2"/>
          <w:sz w:val="21"/>
          <w:szCs w:val="21"/>
        </w:rPr>
        <w:t>作为</w:t>
      </w:r>
      <w:r>
        <w:rPr>
          <w:rFonts w:ascii="宋体" w:hAnsi="宋体" w:eastAsia="宋体" w:cs="宋体"/>
          <w:spacing w:val="1"/>
          <w:sz w:val="21"/>
          <w:szCs w:val="21"/>
        </w:rPr>
        <w:t>民用燃料的二类天</w:t>
      </w:r>
      <w:r>
        <w:rPr>
          <w:rFonts w:ascii="宋体" w:hAnsi="宋体" w:eastAsia="宋体" w:cs="宋体"/>
          <w:spacing w:val="-1"/>
          <w:sz w:val="21"/>
          <w:szCs w:val="21"/>
        </w:rPr>
        <w:t>然气，总硫含量应符合≤</w:t>
      </w:r>
      <w:r>
        <w:rPr>
          <w:rFonts w:ascii="Times New Roman" w:hAnsi="Times New Roman" w:eastAsia="Times New Roman" w:cs="Times New Roman"/>
          <w:spacing w:val="-1"/>
          <w:sz w:val="21"/>
          <w:szCs w:val="21"/>
        </w:rPr>
        <w:t>100mg/m</w:t>
      </w:r>
      <w:r>
        <w:rPr>
          <w:rFonts w:ascii="Times New Roman" w:hAnsi="Times New Roman" w:eastAsia="Times New Roman" w:cs="Times New Roman"/>
          <w:spacing w:val="-1"/>
          <w:position w:val="6"/>
          <w:sz w:val="13"/>
          <w:szCs w:val="13"/>
        </w:rPr>
        <w:t>3</w:t>
      </w:r>
      <w:r>
        <w:rPr>
          <w:rFonts w:ascii="Times New Roman" w:hAnsi="Times New Roman" w:eastAsia="Times New Roman" w:cs="Times New Roman"/>
          <w:spacing w:val="29"/>
          <w:w w:val="101"/>
          <w:position w:val="6"/>
          <w:sz w:val="13"/>
          <w:szCs w:val="13"/>
        </w:rPr>
        <w:t xml:space="preserve"> </w:t>
      </w:r>
      <w:r>
        <w:rPr>
          <w:rFonts w:ascii="宋体" w:hAnsi="宋体" w:eastAsia="宋体" w:cs="宋体"/>
          <w:spacing w:val="-1"/>
          <w:sz w:val="21"/>
          <w:szCs w:val="21"/>
        </w:rPr>
        <w:t>的技术指标。本项目所用天然</w:t>
      </w:r>
      <w:r>
        <w:rPr>
          <w:rFonts w:ascii="宋体" w:hAnsi="宋体" w:eastAsia="宋体" w:cs="宋体"/>
          <w:spacing w:val="-2"/>
          <w:sz w:val="21"/>
          <w:szCs w:val="21"/>
        </w:rPr>
        <w:t xml:space="preserve">气含硫量按 </w:t>
      </w:r>
      <w:r>
        <w:rPr>
          <w:rFonts w:ascii="Times New Roman" w:hAnsi="Times New Roman" w:eastAsia="Times New Roman" w:cs="Times New Roman"/>
          <w:spacing w:val="-2"/>
          <w:sz w:val="21"/>
          <w:szCs w:val="21"/>
        </w:rPr>
        <w:t>100mg/m</w:t>
      </w:r>
      <w:r>
        <w:rPr>
          <w:rFonts w:ascii="Times New Roman" w:hAnsi="Times New Roman" w:eastAsia="Times New Roman" w:cs="Times New Roman"/>
          <w:spacing w:val="-2"/>
          <w:position w:val="6"/>
          <w:sz w:val="13"/>
          <w:szCs w:val="13"/>
        </w:rPr>
        <w:t>3</w:t>
      </w:r>
      <w:r>
        <w:rPr>
          <w:rFonts w:ascii="Times New Roman" w:hAnsi="Times New Roman" w:eastAsia="Times New Roman" w:cs="Times New Roman"/>
          <w:spacing w:val="11"/>
          <w:w w:val="102"/>
          <w:position w:val="6"/>
          <w:sz w:val="13"/>
          <w:szCs w:val="13"/>
        </w:rPr>
        <w:t xml:space="preserve"> </w:t>
      </w:r>
      <w:r>
        <w:rPr>
          <w:rFonts w:ascii="宋体" w:hAnsi="宋体" w:eastAsia="宋体" w:cs="宋体"/>
          <w:spacing w:val="-2"/>
          <w:sz w:val="21"/>
          <w:szCs w:val="21"/>
        </w:rPr>
        <w:t>计。例如燃</w:t>
      </w:r>
      <w:r>
        <w:rPr>
          <w:rFonts w:ascii="宋体" w:hAnsi="宋体" w:eastAsia="宋体" w:cs="宋体"/>
          <w:spacing w:val="-3"/>
          <w:sz w:val="21"/>
          <w:szCs w:val="21"/>
        </w:rPr>
        <w:t>料中含硫量（</w:t>
      </w:r>
      <w:r>
        <w:rPr>
          <w:rFonts w:ascii="Times New Roman" w:hAnsi="Times New Roman" w:eastAsia="Times New Roman" w:cs="Times New Roman"/>
          <w:spacing w:val="-3"/>
          <w:sz w:val="21"/>
          <w:szCs w:val="21"/>
        </w:rPr>
        <w:t>S</w:t>
      </w:r>
      <w:r>
        <w:rPr>
          <w:rFonts w:ascii="宋体" w:hAnsi="宋体" w:eastAsia="宋体" w:cs="宋体"/>
          <w:spacing w:val="-3"/>
          <w:sz w:val="21"/>
          <w:szCs w:val="21"/>
        </w:rPr>
        <w:t>）为</w:t>
      </w:r>
      <w:r>
        <w:rPr>
          <w:rFonts w:ascii="宋体" w:hAnsi="宋体" w:eastAsia="宋体" w:cs="宋体"/>
          <w:spacing w:val="-1"/>
          <w:sz w:val="21"/>
          <w:szCs w:val="21"/>
        </w:rPr>
        <w:t xml:space="preserve"> </w:t>
      </w:r>
      <w:r>
        <w:rPr>
          <w:rFonts w:ascii="Times New Roman" w:hAnsi="Times New Roman" w:eastAsia="Times New Roman" w:cs="Times New Roman"/>
          <w:spacing w:val="-3"/>
          <w:sz w:val="21"/>
          <w:szCs w:val="21"/>
        </w:rPr>
        <w:t xml:space="preserve">100 </w:t>
      </w:r>
      <w:r>
        <w:rPr>
          <w:rFonts w:ascii="宋体" w:hAnsi="宋体" w:eastAsia="宋体" w:cs="宋体"/>
          <w:spacing w:val="-3"/>
          <w:sz w:val="21"/>
          <w:szCs w:val="21"/>
        </w:rPr>
        <w:t>毫克</w:t>
      </w:r>
      <w:r>
        <w:rPr>
          <w:rFonts w:ascii="Times New Roman" w:hAnsi="Times New Roman" w:eastAsia="Times New Roman" w:cs="Times New Roman"/>
          <w:spacing w:val="-3"/>
          <w:sz w:val="21"/>
          <w:szCs w:val="21"/>
        </w:rPr>
        <w:t>/</w:t>
      </w:r>
      <w:r>
        <w:rPr>
          <w:rFonts w:ascii="宋体" w:hAnsi="宋体" w:eastAsia="宋体" w:cs="宋体"/>
          <w:spacing w:val="-3"/>
          <w:sz w:val="21"/>
          <w:szCs w:val="21"/>
        </w:rPr>
        <w:t>立方米，则</w:t>
      </w:r>
      <w:r>
        <w:rPr>
          <w:rFonts w:ascii="宋体" w:hAnsi="宋体" w:eastAsia="宋体" w:cs="宋体"/>
          <w:spacing w:val="-39"/>
          <w:sz w:val="21"/>
          <w:szCs w:val="21"/>
        </w:rPr>
        <w:t xml:space="preserve"> </w:t>
      </w:r>
      <w:r>
        <w:rPr>
          <w:rFonts w:ascii="Times New Roman" w:hAnsi="Times New Roman" w:eastAsia="Times New Roman" w:cs="Times New Roman"/>
          <w:spacing w:val="-3"/>
          <w:sz w:val="21"/>
          <w:szCs w:val="21"/>
        </w:rPr>
        <w:t>S=100</w:t>
      </w:r>
      <w:r>
        <w:rPr>
          <w:rFonts w:ascii="宋体" w:hAnsi="宋体" w:eastAsia="宋体" w:cs="宋体"/>
          <w:spacing w:val="-3"/>
          <w:sz w:val="21"/>
          <w:szCs w:val="21"/>
        </w:rPr>
        <w:t>。</w:t>
      </w:r>
    </w:p>
    <w:p w14:paraId="127DC352">
      <w:pPr>
        <w:pStyle w:val="65"/>
        <w:numPr>
          <w:ilvl w:val="0"/>
          <w:numId w:val="31"/>
        </w:numPr>
        <w:rPr>
          <w:color w:val="auto"/>
        </w:rPr>
      </w:pPr>
      <w:r>
        <w:rPr>
          <w:rFonts w:hint="eastAsia"/>
          <w:color w:val="auto"/>
          <w:lang w:val="en-US" w:eastAsia="zh-CN"/>
        </w:rPr>
        <w:t>废气汇总</w:t>
      </w:r>
    </w:p>
    <w:p w14:paraId="697B7A84">
      <w:pPr>
        <w:pStyle w:val="62"/>
        <w:numPr>
          <w:ilvl w:val="0"/>
          <w:numId w:val="30"/>
        </w:numPr>
        <w:tabs>
          <w:tab w:val="left" w:pos="2411"/>
        </w:tabs>
        <w:ind w:left="0" w:leftChars="0" w:firstLine="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项目废气产排污一览表</w:t>
      </w:r>
    </w:p>
    <w:tbl>
      <w:tblPr>
        <w:tblStyle w:val="38"/>
        <w:tblW w:w="4996"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37"/>
        <w:gridCol w:w="982"/>
        <w:gridCol w:w="983"/>
        <w:gridCol w:w="840"/>
        <w:gridCol w:w="724"/>
        <w:gridCol w:w="1020"/>
        <w:gridCol w:w="1016"/>
        <w:gridCol w:w="1026"/>
        <w:gridCol w:w="712"/>
        <w:gridCol w:w="942"/>
      </w:tblGrid>
      <w:tr w14:paraId="70A1F59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blHeader/>
        </w:trPr>
        <w:tc>
          <w:tcPr>
            <w:tcW w:w="558" w:type="pct"/>
            <w:vMerge w:val="restart"/>
            <w:tcBorders>
              <w:top w:val="single" w:color="000000" w:sz="12" w:space="0"/>
              <w:left w:val="nil"/>
              <w:tl2br w:val="nil"/>
            </w:tcBorders>
            <w:shd w:val="clear" w:color="auto" w:fill="FFFFFF"/>
            <w:vAlign w:val="center"/>
          </w:tcPr>
          <w:p w14:paraId="2A9E0BC8">
            <w:pPr>
              <w:pStyle w:val="59"/>
              <w:bidi w:val="0"/>
              <w:rPr>
                <w:rFonts w:hint="eastAsia"/>
                <w:b w:val="0"/>
                <w:color w:val="000000"/>
              </w:rPr>
            </w:pPr>
            <w:r>
              <w:rPr>
                <w:rFonts w:hint="eastAsia"/>
                <w:b w:val="0"/>
                <w:color w:val="000000"/>
                <w:lang w:val="en-US" w:eastAsia="zh-CN"/>
              </w:rPr>
              <w:t>工序</w:t>
            </w:r>
            <w:r>
              <w:rPr>
                <w:rFonts w:hint="default"/>
                <w:b w:val="0"/>
                <w:color w:val="000000"/>
                <w:lang w:val="en-US" w:eastAsia="zh-CN"/>
              </w:rPr>
              <w:t>/</w:t>
            </w:r>
            <w:r>
              <w:rPr>
                <w:rFonts w:hint="eastAsia"/>
                <w:b w:val="0"/>
                <w:color w:val="000000"/>
                <w:lang w:val="en-US" w:eastAsia="zh-CN"/>
              </w:rPr>
              <w:t>生产线</w:t>
            </w:r>
          </w:p>
        </w:tc>
        <w:tc>
          <w:tcPr>
            <w:tcW w:w="528" w:type="pct"/>
            <w:vMerge w:val="restart"/>
            <w:tcBorders>
              <w:top w:val="single" w:color="000000" w:sz="12" w:space="0"/>
            </w:tcBorders>
            <w:shd w:val="clear" w:color="auto" w:fill="FFFFFF"/>
            <w:vAlign w:val="center"/>
          </w:tcPr>
          <w:p w14:paraId="0DC53C4D">
            <w:pPr>
              <w:pStyle w:val="59"/>
              <w:bidi w:val="0"/>
              <w:rPr>
                <w:rFonts w:hint="eastAsia"/>
                <w:b w:val="0"/>
                <w:color w:val="000000"/>
              </w:rPr>
            </w:pPr>
            <w:r>
              <w:rPr>
                <w:rFonts w:hint="eastAsia"/>
                <w:b w:val="0"/>
                <w:color w:val="000000"/>
                <w:lang w:val="en-US" w:eastAsia="zh-CN"/>
              </w:rPr>
              <w:t>装置</w:t>
            </w:r>
          </w:p>
        </w:tc>
        <w:tc>
          <w:tcPr>
            <w:tcW w:w="529" w:type="pct"/>
            <w:vMerge w:val="restart"/>
            <w:tcBorders>
              <w:top w:val="single" w:color="000000" w:sz="12" w:space="0"/>
            </w:tcBorders>
            <w:shd w:val="clear" w:color="auto" w:fill="FFFFFF"/>
            <w:vAlign w:val="center"/>
          </w:tcPr>
          <w:p w14:paraId="7168B8E9">
            <w:pPr>
              <w:pStyle w:val="59"/>
              <w:bidi w:val="0"/>
              <w:rPr>
                <w:rFonts w:hint="eastAsia"/>
                <w:b w:val="0"/>
                <w:color w:val="000000"/>
              </w:rPr>
            </w:pPr>
            <w:r>
              <w:rPr>
                <w:rFonts w:hint="eastAsia"/>
                <w:b w:val="0"/>
                <w:color w:val="000000"/>
                <w:lang w:val="en-US" w:eastAsia="zh-CN"/>
              </w:rPr>
              <w:t>污染物</w:t>
            </w:r>
          </w:p>
        </w:tc>
        <w:tc>
          <w:tcPr>
            <w:tcW w:w="452" w:type="pct"/>
            <w:vMerge w:val="restart"/>
            <w:tcBorders>
              <w:top w:val="single" w:color="000000" w:sz="12" w:space="0"/>
            </w:tcBorders>
            <w:shd w:val="clear" w:color="auto" w:fill="FFFFFF"/>
            <w:vAlign w:val="center"/>
          </w:tcPr>
          <w:p w14:paraId="064DA215">
            <w:pPr>
              <w:pStyle w:val="59"/>
              <w:bidi w:val="0"/>
              <w:rPr>
                <w:rFonts w:hint="eastAsia"/>
                <w:b w:val="0"/>
                <w:color w:val="000000"/>
              </w:rPr>
            </w:pPr>
            <w:r>
              <w:rPr>
                <w:rFonts w:hint="eastAsia"/>
                <w:b w:val="0"/>
                <w:color w:val="000000"/>
                <w:lang w:val="en-US" w:eastAsia="zh-CN"/>
              </w:rPr>
              <w:t>产生量</w:t>
            </w:r>
            <w:r>
              <w:rPr>
                <w:rFonts w:hint="default"/>
                <w:b w:val="0"/>
                <w:color w:val="000000"/>
                <w:lang w:val="en-US" w:eastAsia="zh-CN"/>
              </w:rPr>
              <w:t>t/a</w:t>
            </w:r>
          </w:p>
        </w:tc>
        <w:tc>
          <w:tcPr>
            <w:tcW w:w="2039" w:type="pct"/>
            <w:gridSpan w:val="4"/>
            <w:tcBorders>
              <w:top w:val="single" w:color="000000" w:sz="12" w:space="0"/>
            </w:tcBorders>
            <w:shd w:val="clear" w:color="auto" w:fill="FFFFFF"/>
            <w:vAlign w:val="center"/>
          </w:tcPr>
          <w:p w14:paraId="4612398B">
            <w:pPr>
              <w:pStyle w:val="59"/>
              <w:bidi w:val="0"/>
              <w:rPr>
                <w:rFonts w:hint="eastAsia"/>
                <w:b w:val="0"/>
                <w:color w:val="000000"/>
              </w:rPr>
            </w:pPr>
            <w:r>
              <w:rPr>
                <w:rFonts w:hint="eastAsia"/>
                <w:b w:val="0"/>
                <w:color w:val="000000"/>
                <w:lang w:val="en-US" w:eastAsia="zh-CN"/>
              </w:rPr>
              <w:t>有组织</w:t>
            </w:r>
          </w:p>
        </w:tc>
        <w:tc>
          <w:tcPr>
            <w:tcW w:w="383" w:type="pct"/>
            <w:tcBorders>
              <w:top w:val="single" w:color="000000" w:sz="12" w:space="0"/>
            </w:tcBorders>
            <w:shd w:val="clear" w:color="auto" w:fill="FFFFFF"/>
            <w:vAlign w:val="center"/>
          </w:tcPr>
          <w:p w14:paraId="2B38469F">
            <w:pPr>
              <w:pStyle w:val="59"/>
              <w:bidi w:val="0"/>
              <w:rPr>
                <w:rFonts w:hint="eastAsia"/>
                <w:b w:val="0"/>
                <w:color w:val="000000"/>
              </w:rPr>
            </w:pPr>
            <w:r>
              <w:rPr>
                <w:rFonts w:hint="eastAsia"/>
                <w:b w:val="0"/>
                <w:color w:val="000000"/>
                <w:lang w:val="en-US" w:eastAsia="zh-CN"/>
              </w:rPr>
              <w:t>无组织</w:t>
            </w:r>
          </w:p>
        </w:tc>
        <w:tc>
          <w:tcPr>
            <w:tcW w:w="507" w:type="pct"/>
            <w:vMerge w:val="restart"/>
            <w:tcBorders>
              <w:top w:val="single" w:color="000000" w:sz="12" w:space="0"/>
              <w:right w:val="nil"/>
            </w:tcBorders>
            <w:shd w:val="clear" w:color="auto" w:fill="FFFFFF"/>
            <w:vAlign w:val="center"/>
          </w:tcPr>
          <w:p w14:paraId="70B659A1">
            <w:pPr>
              <w:pStyle w:val="59"/>
              <w:bidi w:val="0"/>
              <w:rPr>
                <w:rFonts w:hint="eastAsia"/>
                <w:b w:val="0"/>
                <w:color w:val="000000"/>
              </w:rPr>
            </w:pPr>
            <w:r>
              <w:rPr>
                <w:rFonts w:hint="eastAsia"/>
                <w:b w:val="0"/>
                <w:color w:val="000000"/>
                <w:lang w:val="en-US" w:eastAsia="zh-CN"/>
              </w:rPr>
              <w:t>排放时间</w:t>
            </w:r>
            <w:r>
              <w:rPr>
                <w:rFonts w:hint="default"/>
                <w:b w:val="0"/>
                <w:color w:val="000000"/>
                <w:lang w:val="en-US" w:eastAsia="zh-CN"/>
              </w:rPr>
              <w:t>h</w:t>
            </w:r>
          </w:p>
        </w:tc>
      </w:tr>
      <w:tr w14:paraId="061EA9D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58" w:type="pct"/>
            <w:vMerge w:val="continue"/>
            <w:tcBorders>
              <w:left w:val="nil"/>
            </w:tcBorders>
            <w:shd w:val="clear" w:color="auto" w:fill="FFFFFF"/>
            <w:vAlign w:val="center"/>
          </w:tcPr>
          <w:p w14:paraId="7DC41EBA">
            <w:pPr>
              <w:pStyle w:val="59"/>
              <w:bidi w:val="0"/>
              <w:rPr>
                <w:rFonts w:hint="eastAsia"/>
                <w:b w:val="0"/>
                <w:color w:val="000000"/>
              </w:rPr>
            </w:pPr>
          </w:p>
        </w:tc>
        <w:tc>
          <w:tcPr>
            <w:tcW w:w="528" w:type="pct"/>
            <w:vMerge w:val="continue"/>
            <w:shd w:val="clear" w:color="auto" w:fill="FFFFFF"/>
            <w:vAlign w:val="center"/>
          </w:tcPr>
          <w:p w14:paraId="4C268968">
            <w:pPr>
              <w:pStyle w:val="59"/>
              <w:bidi w:val="0"/>
              <w:rPr>
                <w:rFonts w:hint="eastAsia"/>
                <w:b w:val="0"/>
                <w:color w:val="000000"/>
              </w:rPr>
            </w:pPr>
          </w:p>
        </w:tc>
        <w:tc>
          <w:tcPr>
            <w:tcW w:w="529" w:type="pct"/>
            <w:vMerge w:val="continue"/>
            <w:shd w:val="clear" w:color="auto" w:fill="FFFFFF"/>
            <w:vAlign w:val="center"/>
          </w:tcPr>
          <w:p w14:paraId="26ADCD0D">
            <w:pPr>
              <w:pStyle w:val="59"/>
              <w:bidi w:val="0"/>
              <w:rPr>
                <w:rFonts w:hint="eastAsia"/>
                <w:b w:val="0"/>
                <w:color w:val="000000"/>
              </w:rPr>
            </w:pPr>
          </w:p>
        </w:tc>
        <w:tc>
          <w:tcPr>
            <w:tcW w:w="452" w:type="pct"/>
            <w:vMerge w:val="continue"/>
            <w:shd w:val="clear" w:color="auto" w:fill="FFFFFF"/>
            <w:vAlign w:val="center"/>
          </w:tcPr>
          <w:p w14:paraId="76001209">
            <w:pPr>
              <w:pStyle w:val="59"/>
              <w:bidi w:val="0"/>
              <w:rPr>
                <w:rFonts w:hint="eastAsia"/>
                <w:b w:val="0"/>
                <w:color w:val="000000"/>
              </w:rPr>
            </w:pPr>
          </w:p>
        </w:tc>
        <w:tc>
          <w:tcPr>
            <w:tcW w:w="390" w:type="pct"/>
            <w:shd w:val="clear" w:color="auto" w:fill="FFFFFF"/>
            <w:vAlign w:val="center"/>
          </w:tcPr>
          <w:p w14:paraId="1D6E2981">
            <w:pPr>
              <w:pStyle w:val="59"/>
              <w:bidi w:val="0"/>
              <w:rPr>
                <w:rFonts w:hint="eastAsia"/>
                <w:b w:val="0"/>
                <w:color w:val="000000"/>
              </w:rPr>
            </w:pPr>
            <w:r>
              <w:rPr>
                <w:rFonts w:hint="eastAsia"/>
                <w:b w:val="0"/>
                <w:color w:val="000000"/>
                <w:lang w:val="en-US" w:eastAsia="zh-CN"/>
              </w:rPr>
              <w:t>废气收集效率</w:t>
            </w:r>
          </w:p>
        </w:tc>
        <w:tc>
          <w:tcPr>
            <w:tcW w:w="549" w:type="pct"/>
            <w:shd w:val="clear" w:color="auto" w:fill="FFFFFF"/>
            <w:vAlign w:val="center"/>
          </w:tcPr>
          <w:p w14:paraId="44294EBE">
            <w:pPr>
              <w:pStyle w:val="59"/>
              <w:bidi w:val="0"/>
              <w:rPr>
                <w:rFonts w:hint="eastAsia"/>
                <w:b w:val="0"/>
                <w:color w:val="000000"/>
              </w:rPr>
            </w:pPr>
            <w:r>
              <w:rPr>
                <w:rFonts w:hint="eastAsia"/>
                <w:b w:val="0"/>
                <w:color w:val="000000"/>
                <w:lang w:val="en-US" w:eastAsia="zh-CN"/>
              </w:rPr>
              <w:t>收集量</w:t>
            </w:r>
            <w:r>
              <w:rPr>
                <w:rFonts w:hint="default"/>
                <w:b w:val="0"/>
                <w:color w:val="000000"/>
                <w:lang w:val="en-US" w:eastAsia="zh-CN"/>
              </w:rPr>
              <w:t>t/a</w:t>
            </w:r>
          </w:p>
        </w:tc>
        <w:tc>
          <w:tcPr>
            <w:tcW w:w="547" w:type="pct"/>
            <w:shd w:val="clear" w:color="auto" w:fill="FFFFFF"/>
            <w:vAlign w:val="center"/>
          </w:tcPr>
          <w:p w14:paraId="5B6E53CC">
            <w:pPr>
              <w:pStyle w:val="59"/>
              <w:bidi w:val="0"/>
              <w:rPr>
                <w:rFonts w:hint="eastAsia"/>
                <w:b w:val="0"/>
                <w:color w:val="000000"/>
              </w:rPr>
            </w:pPr>
            <w:r>
              <w:rPr>
                <w:rFonts w:hint="eastAsia"/>
                <w:b w:val="0"/>
                <w:color w:val="000000"/>
                <w:lang w:val="en-US" w:eastAsia="zh-CN"/>
              </w:rPr>
              <w:t>处理效率</w:t>
            </w:r>
          </w:p>
        </w:tc>
        <w:tc>
          <w:tcPr>
            <w:tcW w:w="552" w:type="pct"/>
            <w:shd w:val="clear" w:color="auto" w:fill="FFFFFF"/>
            <w:vAlign w:val="center"/>
          </w:tcPr>
          <w:p w14:paraId="31426396">
            <w:pPr>
              <w:pStyle w:val="59"/>
              <w:bidi w:val="0"/>
              <w:rPr>
                <w:rFonts w:hint="eastAsia"/>
                <w:b w:val="0"/>
                <w:color w:val="000000"/>
              </w:rPr>
            </w:pPr>
            <w:r>
              <w:rPr>
                <w:rFonts w:hint="eastAsia"/>
                <w:b w:val="0"/>
                <w:color w:val="000000"/>
                <w:lang w:val="en-US" w:eastAsia="zh-CN"/>
              </w:rPr>
              <w:t>排放量</w:t>
            </w:r>
            <w:r>
              <w:rPr>
                <w:rFonts w:hint="default"/>
                <w:b w:val="0"/>
                <w:color w:val="000000"/>
                <w:lang w:val="en-US" w:eastAsia="zh-CN"/>
              </w:rPr>
              <w:t>t/a</w:t>
            </w:r>
          </w:p>
        </w:tc>
        <w:tc>
          <w:tcPr>
            <w:tcW w:w="383" w:type="pct"/>
            <w:shd w:val="clear" w:color="auto" w:fill="FFFFFF"/>
            <w:vAlign w:val="center"/>
          </w:tcPr>
          <w:p w14:paraId="07785567">
            <w:pPr>
              <w:pStyle w:val="59"/>
              <w:bidi w:val="0"/>
              <w:rPr>
                <w:rFonts w:hint="eastAsia"/>
                <w:b w:val="0"/>
                <w:color w:val="000000"/>
              </w:rPr>
            </w:pPr>
            <w:r>
              <w:rPr>
                <w:rFonts w:hint="eastAsia"/>
                <w:b w:val="0"/>
                <w:color w:val="000000"/>
                <w:lang w:val="en-US" w:eastAsia="zh-CN"/>
              </w:rPr>
              <w:t>排放量</w:t>
            </w:r>
            <w:r>
              <w:rPr>
                <w:rFonts w:hint="default"/>
                <w:b w:val="0"/>
                <w:color w:val="000000"/>
                <w:lang w:val="en-US" w:eastAsia="zh-CN"/>
              </w:rPr>
              <w:t>t/a</w:t>
            </w:r>
          </w:p>
        </w:tc>
        <w:tc>
          <w:tcPr>
            <w:tcW w:w="507" w:type="pct"/>
            <w:vMerge w:val="continue"/>
            <w:tcBorders>
              <w:right w:val="nil"/>
            </w:tcBorders>
            <w:shd w:val="clear" w:color="auto" w:fill="FFFFFF"/>
            <w:vAlign w:val="center"/>
          </w:tcPr>
          <w:p w14:paraId="44623BD8">
            <w:pPr>
              <w:pStyle w:val="59"/>
              <w:bidi w:val="0"/>
              <w:rPr>
                <w:rFonts w:hint="eastAsia"/>
                <w:b w:val="0"/>
                <w:color w:val="000000"/>
              </w:rPr>
            </w:pPr>
          </w:p>
        </w:tc>
      </w:tr>
      <w:tr w14:paraId="2711A36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tcBorders>
              <w:left w:val="nil"/>
            </w:tcBorders>
            <w:shd w:val="clear" w:color="auto" w:fill="FFFFFF"/>
            <w:vAlign w:val="center"/>
          </w:tcPr>
          <w:p w14:paraId="0248E6DC">
            <w:pPr>
              <w:pStyle w:val="59"/>
              <w:bidi w:val="0"/>
              <w:rPr>
                <w:rFonts w:hint="eastAsia"/>
                <w:b w:val="0"/>
                <w:color w:val="000000"/>
              </w:rPr>
            </w:pPr>
            <w:r>
              <w:rPr>
                <w:rFonts w:hint="eastAsia"/>
                <w:b w:val="0"/>
                <w:color w:val="000000"/>
                <w:lang w:val="en-US" w:eastAsia="zh-CN"/>
              </w:rPr>
              <w:t>印刷、调墨、危废贮存</w:t>
            </w:r>
          </w:p>
        </w:tc>
        <w:tc>
          <w:tcPr>
            <w:tcW w:w="528" w:type="pct"/>
            <w:shd w:val="clear" w:color="auto" w:fill="FFFFFF"/>
            <w:vAlign w:val="center"/>
          </w:tcPr>
          <w:p w14:paraId="44466055">
            <w:pPr>
              <w:pStyle w:val="59"/>
              <w:bidi w:val="0"/>
              <w:rPr>
                <w:rFonts w:hint="eastAsia"/>
                <w:b w:val="0"/>
                <w:color w:val="000000"/>
              </w:rPr>
            </w:pPr>
            <w:r>
              <w:rPr>
                <w:rFonts w:hint="eastAsia"/>
                <w:b w:val="0"/>
                <w:color w:val="000000"/>
                <w:lang w:val="en-US" w:eastAsia="zh-CN"/>
              </w:rPr>
              <w:t>印刷机、调墨房、危废暂存间</w:t>
            </w:r>
          </w:p>
        </w:tc>
        <w:tc>
          <w:tcPr>
            <w:tcW w:w="529" w:type="pct"/>
            <w:shd w:val="clear" w:color="auto" w:fill="FFFFFF"/>
            <w:vAlign w:val="center"/>
          </w:tcPr>
          <w:p w14:paraId="4362A4E1">
            <w:pPr>
              <w:pStyle w:val="59"/>
              <w:bidi w:val="0"/>
              <w:rPr>
                <w:rFonts w:hint="eastAsia"/>
                <w:b w:val="0"/>
                <w:color w:val="000000"/>
              </w:rPr>
            </w:pPr>
            <w:r>
              <w:rPr>
                <w:rFonts w:hint="eastAsia"/>
                <w:b w:val="0"/>
                <w:color w:val="000000"/>
                <w:lang w:val="en-US" w:eastAsia="zh-CN"/>
              </w:rPr>
              <w:t>总VOCs</w:t>
            </w:r>
          </w:p>
        </w:tc>
        <w:tc>
          <w:tcPr>
            <w:tcW w:w="840" w:type="dxa"/>
            <w:shd w:val="clear" w:color="auto" w:fill="FFFFFF"/>
            <w:noWrap/>
            <w:vAlign w:val="center"/>
          </w:tcPr>
          <w:p w14:paraId="3C5A1708">
            <w:pPr>
              <w:pStyle w:val="59"/>
              <w:bidi w:val="0"/>
              <w:rPr>
                <w:rFonts w:hint="default"/>
              </w:rPr>
            </w:pPr>
            <w:r>
              <w:rPr>
                <w:rFonts w:hint="default"/>
                <w:lang w:val="en-US" w:eastAsia="zh-CN"/>
              </w:rPr>
              <w:t xml:space="preserve">22.171 </w:t>
            </w:r>
          </w:p>
        </w:tc>
        <w:tc>
          <w:tcPr>
            <w:tcW w:w="724" w:type="dxa"/>
            <w:shd w:val="clear" w:color="auto" w:fill="FFFFFF"/>
            <w:noWrap/>
            <w:vAlign w:val="center"/>
          </w:tcPr>
          <w:p w14:paraId="2016405D">
            <w:pPr>
              <w:pStyle w:val="59"/>
              <w:bidi w:val="0"/>
              <w:rPr>
                <w:rFonts w:hint="default"/>
              </w:rPr>
            </w:pPr>
            <w:r>
              <w:rPr>
                <w:rFonts w:hint="default"/>
                <w:lang w:val="en-US" w:eastAsia="zh-CN"/>
              </w:rPr>
              <w:t>90%</w:t>
            </w:r>
          </w:p>
        </w:tc>
        <w:tc>
          <w:tcPr>
            <w:tcW w:w="1020" w:type="dxa"/>
            <w:shd w:val="clear" w:color="auto" w:fill="FFFFFF"/>
            <w:noWrap/>
            <w:vAlign w:val="center"/>
          </w:tcPr>
          <w:p w14:paraId="0C2AD614">
            <w:pPr>
              <w:pStyle w:val="59"/>
              <w:bidi w:val="0"/>
              <w:rPr>
                <w:rFonts w:hint="eastAsia"/>
              </w:rPr>
            </w:pPr>
            <w:r>
              <w:rPr>
                <w:rFonts w:hint="eastAsia"/>
                <w:lang w:val="en-US" w:eastAsia="zh-CN"/>
              </w:rPr>
              <w:t xml:space="preserve">19.954 </w:t>
            </w:r>
          </w:p>
        </w:tc>
        <w:tc>
          <w:tcPr>
            <w:tcW w:w="1016" w:type="dxa"/>
            <w:shd w:val="clear" w:color="auto" w:fill="FFFFFF"/>
            <w:noWrap/>
            <w:vAlign w:val="center"/>
          </w:tcPr>
          <w:p w14:paraId="746812E1">
            <w:pPr>
              <w:pStyle w:val="59"/>
              <w:bidi w:val="0"/>
              <w:rPr>
                <w:rFonts w:hint="default"/>
              </w:rPr>
            </w:pPr>
            <w:r>
              <w:rPr>
                <w:rFonts w:hint="default"/>
                <w:lang w:val="en-US" w:eastAsia="zh-CN"/>
              </w:rPr>
              <w:t>85%</w:t>
            </w:r>
          </w:p>
        </w:tc>
        <w:tc>
          <w:tcPr>
            <w:tcW w:w="1026" w:type="dxa"/>
            <w:shd w:val="clear" w:color="auto" w:fill="FFFFFF"/>
            <w:noWrap/>
            <w:vAlign w:val="center"/>
          </w:tcPr>
          <w:p w14:paraId="5B61EED8">
            <w:pPr>
              <w:pStyle w:val="59"/>
              <w:bidi w:val="0"/>
              <w:rPr>
                <w:rFonts w:hint="eastAsia"/>
              </w:rPr>
            </w:pPr>
            <w:r>
              <w:rPr>
                <w:rFonts w:hint="eastAsia"/>
                <w:lang w:val="en-US" w:eastAsia="zh-CN"/>
              </w:rPr>
              <w:t xml:space="preserve">2.993 </w:t>
            </w:r>
          </w:p>
        </w:tc>
        <w:tc>
          <w:tcPr>
            <w:tcW w:w="712" w:type="dxa"/>
            <w:shd w:val="clear" w:color="auto" w:fill="FFFFFF"/>
            <w:noWrap/>
            <w:vAlign w:val="center"/>
          </w:tcPr>
          <w:p w14:paraId="704C6752">
            <w:pPr>
              <w:pStyle w:val="59"/>
              <w:bidi w:val="0"/>
              <w:rPr>
                <w:rFonts w:hint="eastAsia"/>
              </w:rPr>
            </w:pPr>
            <w:r>
              <w:rPr>
                <w:rFonts w:hint="eastAsia"/>
                <w:lang w:val="en-US" w:eastAsia="zh-CN"/>
              </w:rPr>
              <w:t xml:space="preserve">2.217 </w:t>
            </w:r>
          </w:p>
        </w:tc>
        <w:tc>
          <w:tcPr>
            <w:tcW w:w="942" w:type="dxa"/>
            <w:tcBorders>
              <w:right w:val="nil"/>
            </w:tcBorders>
            <w:shd w:val="clear" w:color="auto" w:fill="FFFFFF"/>
            <w:noWrap/>
            <w:vAlign w:val="center"/>
          </w:tcPr>
          <w:p w14:paraId="490F7487">
            <w:pPr>
              <w:pStyle w:val="59"/>
              <w:bidi w:val="0"/>
              <w:rPr>
                <w:rFonts w:hint="default"/>
              </w:rPr>
            </w:pPr>
            <w:r>
              <w:rPr>
                <w:rFonts w:hint="default"/>
                <w:lang w:val="en-US" w:eastAsia="zh-CN"/>
              </w:rPr>
              <w:t xml:space="preserve">1896 </w:t>
            </w:r>
          </w:p>
        </w:tc>
      </w:tr>
      <w:tr w14:paraId="6FD503A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tcBorders>
              <w:left w:val="nil"/>
            </w:tcBorders>
            <w:shd w:val="clear" w:color="auto" w:fill="FFFFFF"/>
            <w:vAlign w:val="center"/>
          </w:tcPr>
          <w:p w14:paraId="055E4C38">
            <w:pPr>
              <w:pStyle w:val="59"/>
              <w:bidi w:val="0"/>
              <w:rPr>
                <w:rFonts w:hint="eastAsia"/>
                <w:b w:val="0"/>
                <w:color w:val="000000"/>
              </w:rPr>
            </w:pPr>
            <w:r>
              <w:rPr>
                <w:rFonts w:hint="eastAsia"/>
                <w:b w:val="0"/>
                <w:color w:val="000000"/>
                <w:lang w:val="en-US" w:eastAsia="zh-CN"/>
              </w:rPr>
              <w:t>烘干</w:t>
            </w:r>
          </w:p>
        </w:tc>
        <w:tc>
          <w:tcPr>
            <w:tcW w:w="528" w:type="pct"/>
            <w:shd w:val="clear" w:color="auto" w:fill="FFFFFF"/>
            <w:vAlign w:val="center"/>
          </w:tcPr>
          <w:p w14:paraId="3828D5B0">
            <w:pPr>
              <w:pStyle w:val="59"/>
              <w:bidi w:val="0"/>
              <w:rPr>
                <w:rFonts w:hint="eastAsia"/>
                <w:b w:val="0"/>
                <w:color w:val="000000"/>
              </w:rPr>
            </w:pPr>
            <w:r>
              <w:rPr>
                <w:rFonts w:hint="eastAsia"/>
                <w:b w:val="0"/>
                <w:color w:val="000000"/>
                <w:lang w:val="en-US" w:eastAsia="zh-CN"/>
              </w:rPr>
              <w:t>印刷机</w:t>
            </w:r>
          </w:p>
        </w:tc>
        <w:tc>
          <w:tcPr>
            <w:tcW w:w="529" w:type="pct"/>
            <w:shd w:val="clear" w:color="auto" w:fill="FFFFFF"/>
            <w:vAlign w:val="center"/>
          </w:tcPr>
          <w:p w14:paraId="1F9F9337">
            <w:pPr>
              <w:pStyle w:val="59"/>
              <w:bidi w:val="0"/>
              <w:rPr>
                <w:rFonts w:hint="eastAsia"/>
                <w:b w:val="0"/>
                <w:color w:val="000000"/>
              </w:rPr>
            </w:pPr>
            <w:r>
              <w:rPr>
                <w:rFonts w:hint="eastAsia"/>
                <w:b w:val="0"/>
                <w:color w:val="000000"/>
                <w:lang w:val="en-US" w:eastAsia="zh-CN"/>
              </w:rPr>
              <w:t>总VOCs</w:t>
            </w:r>
          </w:p>
        </w:tc>
        <w:tc>
          <w:tcPr>
            <w:tcW w:w="840" w:type="dxa"/>
            <w:shd w:val="clear" w:color="auto" w:fill="FFFFFF"/>
            <w:noWrap/>
            <w:vAlign w:val="center"/>
          </w:tcPr>
          <w:p w14:paraId="17A6073C">
            <w:pPr>
              <w:pStyle w:val="59"/>
              <w:bidi w:val="0"/>
              <w:rPr>
                <w:rFonts w:hint="default"/>
              </w:rPr>
            </w:pPr>
            <w:r>
              <w:rPr>
                <w:rFonts w:hint="default"/>
                <w:lang w:val="en-US" w:eastAsia="zh-CN"/>
              </w:rPr>
              <w:t xml:space="preserve">33.256 </w:t>
            </w:r>
          </w:p>
        </w:tc>
        <w:tc>
          <w:tcPr>
            <w:tcW w:w="724" w:type="dxa"/>
            <w:shd w:val="clear" w:color="auto" w:fill="FFFFFF"/>
            <w:noWrap/>
            <w:vAlign w:val="center"/>
          </w:tcPr>
          <w:p w14:paraId="4A0290EA">
            <w:pPr>
              <w:pStyle w:val="59"/>
              <w:bidi w:val="0"/>
              <w:rPr>
                <w:rFonts w:hint="default"/>
              </w:rPr>
            </w:pPr>
            <w:r>
              <w:rPr>
                <w:rFonts w:hint="default"/>
                <w:lang w:val="en-US" w:eastAsia="zh-CN"/>
              </w:rPr>
              <w:t>90%</w:t>
            </w:r>
          </w:p>
        </w:tc>
        <w:tc>
          <w:tcPr>
            <w:tcW w:w="1020" w:type="dxa"/>
            <w:shd w:val="clear" w:color="auto" w:fill="FFFFFF"/>
            <w:noWrap/>
            <w:vAlign w:val="center"/>
          </w:tcPr>
          <w:p w14:paraId="41CF8F9A">
            <w:pPr>
              <w:pStyle w:val="59"/>
              <w:bidi w:val="0"/>
              <w:rPr>
                <w:rFonts w:hint="eastAsia"/>
              </w:rPr>
            </w:pPr>
            <w:r>
              <w:rPr>
                <w:rFonts w:hint="eastAsia"/>
                <w:lang w:val="en-US" w:eastAsia="zh-CN"/>
              </w:rPr>
              <w:t xml:space="preserve">29.930 </w:t>
            </w:r>
          </w:p>
        </w:tc>
        <w:tc>
          <w:tcPr>
            <w:tcW w:w="1016" w:type="dxa"/>
            <w:shd w:val="clear" w:color="auto" w:fill="FFFFFF"/>
            <w:noWrap/>
            <w:vAlign w:val="center"/>
          </w:tcPr>
          <w:p w14:paraId="57A62922">
            <w:pPr>
              <w:pStyle w:val="59"/>
              <w:bidi w:val="0"/>
              <w:rPr>
                <w:rFonts w:hint="default"/>
              </w:rPr>
            </w:pPr>
            <w:r>
              <w:rPr>
                <w:rFonts w:hint="default"/>
                <w:lang w:val="en-US" w:eastAsia="zh-CN"/>
              </w:rPr>
              <w:t>90%</w:t>
            </w:r>
          </w:p>
        </w:tc>
        <w:tc>
          <w:tcPr>
            <w:tcW w:w="1026" w:type="dxa"/>
            <w:shd w:val="clear" w:color="auto" w:fill="FFFFFF"/>
            <w:noWrap/>
            <w:vAlign w:val="center"/>
          </w:tcPr>
          <w:p w14:paraId="7EB50CBC">
            <w:pPr>
              <w:pStyle w:val="59"/>
              <w:bidi w:val="0"/>
              <w:rPr>
                <w:rFonts w:hint="eastAsia"/>
              </w:rPr>
            </w:pPr>
            <w:r>
              <w:rPr>
                <w:rFonts w:hint="eastAsia"/>
                <w:lang w:val="en-US" w:eastAsia="zh-CN"/>
              </w:rPr>
              <w:t xml:space="preserve">2.993 </w:t>
            </w:r>
          </w:p>
        </w:tc>
        <w:tc>
          <w:tcPr>
            <w:tcW w:w="712" w:type="dxa"/>
            <w:shd w:val="clear" w:color="auto" w:fill="FFFFFF"/>
            <w:noWrap/>
            <w:vAlign w:val="center"/>
          </w:tcPr>
          <w:p w14:paraId="6D1BD1FF">
            <w:pPr>
              <w:pStyle w:val="59"/>
              <w:bidi w:val="0"/>
              <w:rPr>
                <w:rFonts w:hint="eastAsia"/>
              </w:rPr>
            </w:pPr>
            <w:r>
              <w:rPr>
                <w:rFonts w:hint="eastAsia"/>
                <w:lang w:val="en-US" w:eastAsia="zh-CN"/>
              </w:rPr>
              <w:t xml:space="preserve">3.326 </w:t>
            </w:r>
          </w:p>
        </w:tc>
        <w:tc>
          <w:tcPr>
            <w:tcW w:w="942" w:type="dxa"/>
            <w:tcBorders>
              <w:right w:val="nil"/>
            </w:tcBorders>
            <w:shd w:val="clear" w:color="auto" w:fill="FFFFFF"/>
            <w:noWrap/>
            <w:vAlign w:val="center"/>
          </w:tcPr>
          <w:p w14:paraId="63E0FC9E">
            <w:pPr>
              <w:pStyle w:val="59"/>
              <w:bidi w:val="0"/>
              <w:rPr>
                <w:rFonts w:hint="default"/>
              </w:rPr>
            </w:pPr>
            <w:r>
              <w:rPr>
                <w:rFonts w:hint="default"/>
                <w:lang w:val="en-US" w:eastAsia="zh-CN"/>
              </w:rPr>
              <w:t xml:space="preserve">1896 </w:t>
            </w:r>
          </w:p>
        </w:tc>
      </w:tr>
      <w:tr w14:paraId="3EB4F22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tcBorders>
              <w:left w:val="nil"/>
            </w:tcBorders>
            <w:shd w:val="clear" w:color="auto" w:fill="FFFFFF"/>
            <w:vAlign w:val="center"/>
          </w:tcPr>
          <w:p w14:paraId="3640D421">
            <w:pPr>
              <w:pStyle w:val="59"/>
              <w:bidi w:val="0"/>
              <w:rPr>
                <w:rFonts w:hint="eastAsia"/>
                <w:b w:val="0"/>
                <w:color w:val="000000"/>
              </w:rPr>
            </w:pPr>
            <w:r>
              <w:rPr>
                <w:rFonts w:hint="eastAsia"/>
                <w:b w:val="0"/>
                <w:color w:val="000000"/>
                <w:lang w:val="en-US" w:eastAsia="zh-CN"/>
              </w:rPr>
              <w:t>洗机</w:t>
            </w:r>
          </w:p>
        </w:tc>
        <w:tc>
          <w:tcPr>
            <w:tcW w:w="528" w:type="pct"/>
            <w:shd w:val="clear" w:color="auto" w:fill="FFFFFF"/>
            <w:noWrap/>
            <w:vAlign w:val="center"/>
          </w:tcPr>
          <w:p w14:paraId="35AA7776">
            <w:pPr>
              <w:pStyle w:val="59"/>
              <w:bidi w:val="0"/>
              <w:rPr>
                <w:rFonts w:hint="eastAsia"/>
                <w:b w:val="0"/>
                <w:color w:val="000000"/>
              </w:rPr>
            </w:pPr>
            <w:r>
              <w:rPr>
                <w:rFonts w:hint="eastAsia"/>
                <w:b w:val="0"/>
                <w:color w:val="000000"/>
                <w:lang w:val="en-US" w:eastAsia="zh-CN"/>
              </w:rPr>
              <w:t>印刷机</w:t>
            </w:r>
          </w:p>
        </w:tc>
        <w:tc>
          <w:tcPr>
            <w:tcW w:w="529" w:type="pct"/>
            <w:shd w:val="clear" w:color="auto" w:fill="FFFFFF"/>
            <w:vAlign w:val="center"/>
          </w:tcPr>
          <w:p w14:paraId="6B1F9DEC">
            <w:pPr>
              <w:pStyle w:val="59"/>
              <w:bidi w:val="0"/>
              <w:rPr>
                <w:rFonts w:hint="eastAsia"/>
                <w:b w:val="0"/>
                <w:color w:val="000000"/>
              </w:rPr>
            </w:pPr>
            <w:r>
              <w:rPr>
                <w:rFonts w:hint="eastAsia"/>
                <w:b w:val="0"/>
                <w:color w:val="000000"/>
                <w:lang w:val="en-US" w:eastAsia="zh-CN"/>
              </w:rPr>
              <w:t>总VOCs</w:t>
            </w:r>
          </w:p>
        </w:tc>
        <w:tc>
          <w:tcPr>
            <w:tcW w:w="840" w:type="dxa"/>
            <w:shd w:val="clear" w:color="auto" w:fill="FFFFFF"/>
            <w:noWrap/>
            <w:vAlign w:val="center"/>
          </w:tcPr>
          <w:p w14:paraId="593A82C1">
            <w:pPr>
              <w:pStyle w:val="59"/>
              <w:bidi w:val="0"/>
              <w:rPr>
                <w:rFonts w:hint="eastAsia"/>
              </w:rPr>
            </w:pPr>
            <w:r>
              <w:rPr>
                <w:rFonts w:hint="default"/>
                <w:lang w:val="en-US" w:eastAsia="zh-CN"/>
              </w:rPr>
              <w:t xml:space="preserve">0.300 </w:t>
            </w:r>
          </w:p>
        </w:tc>
        <w:tc>
          <w:tcPr>
            <w:tcW w:w="724" w:type="dxa"/>
            <w:shd w:val="clear" w:color="auto" w:fill="FFFFFF"/>
            <w:noWrap/>
            <w:vAlign w:val="center"/>
          </w:tcPr>
          <w:p w14:paraId="57BBDC58">
            <w:pPr>
              <w:pStyle w:val="59"/>
              <w:bidi w:val="0"/>
              <w:rPr>
                <w:rFonts w:hint="eastAsia"/>
              </w:rPr>
            </w:pPr>
            <w:r>
              <w:rPr>
                <w:rFonts w:hint="default"/>
                <w:lang w:val="en-US" w:eastAsia="zh-CN"/>
              </w:rPr>
              <w:t>90%</w:t>
            </w:r>
          </w:p>
        </w:tc>
        <w:tc>
          <w:tcPr>
            <w:tcW w:w="1020" w:type="dxa"/>
            <w:shd w:val="clear" w:color="auto" w:fill="FFFFFF"/>
            <w:noWrap/>
            <w:vAlign w:val="center"/>
          </w:tcPr>
          <w:p w14:paraId="7CEAA423">
            <w:pPr>
              <w:pStyle w:val="59"/>
              <w:bidi w:val="0"/>
              <w:rPr>
                <w:rFonts w:hint="eastAsia"/>
              </w:rPr>
            </w:pPr>
            <w:r>
              <w:rPr>
                <w:rFonts w:hint="eastAsia"/>
                <w:lang w:val="en-US" w:eastAsia="zh-CN"/>
              </w:rPr>
              <w:t xml:space="preserve">0.270 </w:t>
            </w:r>
          </w:p>
        </w:tc>
        <w:tc>
          <w:tcPr>
            <w:tcW w:w="1016" w:type="dxa"/>
            <w:shd w:val="clear" w:color="auto" w:fill="FFFFFF"/>
            <w:noWrap/>
            <w:vAlign w:val="center"/>
          </w:tcPr>
          <w:p w14:paraId="5315F8A2">
            <w:pPr>
              <w:pStyle w:val="59"/>
              <w:bidi w:val="0"/>
              <w:rPr>
                <w:rFonts w:hint="eastAsia"/>
              </w:rPr>
            </w:pPr>
            <w:r>
              <w:rPr>
                <w:rFonts w:hint="default"/>
                <w:lang w:val="en-US" w:eastAsia="zh-CN"/>
              </w:rPr>
              <w:t>85%</w:t>
            </w:r>
          </w:p>
        </w:tc>
        <w:tc>
          <w:tcPr>
            <w:tcW w:w="1026" w:type="dxa"/>
            <w:shd w:val="clear" w:color="auto" w:fill="FFFFFF"/>
            <w:noWrap/>
            <w:vAlign w:val="center"/>
          </w:tcPr>
          <w:p w14:paraId="4D30AC0E">
            <w:pPr>
              <w:pStyle w:val="59"/>
              <w:bidi w:val="0"/>
              <w:rPr>
                <w:rFonts w:hint="eastAsia"/>
              </w:rPr>
            </w:pPr>
            <w:r>
              <w:rPr>
                <w:rFonts w:hint="eastAsia"/>
                <w:lang w:val="en-US" w:eastAsia="zh-CN"/>
              </w:rPr>
              <w:t xml:space="preserve">0.041 </w:t>
            </w:r>
          </w:p>
        </w:tc>
        <w:tc>
          <w:tcPr>
            <w:tcW w:w="712" w:type="dxa"/>
            <w:shd w:val="clear" w:color="auto" w:fill="FFFFFF"/>
            <w:noWrap/>
            <w:vAlign w:val="center"/>
          </w:tcPr>
          <w:p w14:paraId="16096EE9">
            <w:pPr>
              <w:pStyle w:val="59"/>
              <w:bidi w:val="0"/>
              <w:rPr>
                <w:rFonts w:hint="eastAsia"/>
              </w:rPr>
            </w:pPr>
            <w:r>
              <w:rPr>
                <w:rFonts w:hint="eastAsia"/>
                <w:lang w:val="en-US" w:eastAsia="zh-CN"/>
              </w:rPr>
              <w:t xml:space="preserve">0.030 </w:t>
            </w:r>
          </w:p>
        </w:tc>
        <w:tc>
          <w:tcPr>
            <w:tcW w:w="942" w:type="dxa"/>
            <w:tcBorders>
              <w:right w:val="nil"/>
            </w:tcBorders>
            <w:shd w:val="clear" w:color="auto" w:fill="FFFFFF"/>
            <w:noWrap/>
            <w:vAlign w:val="center"/>
          </w:tcPr>
          <w:p w14:paraId="2E96CD25">
            <w:pPr>
              <w:pStyle w:val="59"/>
              <w:bidi w:val="0"/>
              <w:rPr>
                <w:rFonts w:hint="default"/>
              </w:rPr>
            </w:pPr>
            <w:r>
              <w:rPr>
                <w:rFonts w:hint="default"/>
                <w:lang w:val="en-US" w:eastAsia="zh-CN"/>
              </w:rPr>
              <w:t xml:space="preserve">300 </w:t>
            </w:r>
          </w:p>
        </w:tc>
      </w:tr>
      <w:tr w14:paraId="315023C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tcBorders>
              <w:left w:val="nil"/>
            </w:tcBorders>
            <w:shd w:val="clear" w:color="auto" w:fill="FFFFFF"/>
            <w:vAlign w:val="center"/>
          </w:tcPr>
          <w:p w14:paraId="73CBAB04">
            <w:pPr>
              <w:pStyle w:val="59"/>
              <w:bidi w:val="0"/>
              <w:rPr>
                <w:rFonts w:hint="eastAsia"/>
                <w:b w:val="0"/>
                <w:color w:val="000000"/>
              </w:rPr>
            </w:pPr>
            <w:r>
              <w:rPr>
                <w:rFonts w:hint="eastAsia"/>
                <w:b w:val="0"/>
                <w:color w:val="000000"/>
                <w:lang w:val="en-US" w:eastAsia="zh-CN"/>
              </w:rPr>
              <w:t>复合</w:t>
            </w:r>
          </w:p>
        </w:tc>
        <w:tc>
          <w:tcPr>
            <w:tcW w:w="528" w:type="pct"/>
            <w:shd w:val="clear" w:color="auto" w:fill="FFFFFF"/>
            <w:noWrap/>
            <w:vAlign w:val="center"/>
          </w:tcPr>
          <w:p w14:paraId="16DAD60E">
            <w:pPr>
              <w:pStyle w:val="59"/>
              <w:bidi w:val="0"/>
              <w:rPr>
                <w:rFonts w:hint="eastAsia"/>
                <w:b w:val="0"/>
                <w:color w:val="000000"/>
              </w:rPr>
            </w:pPr>
            <w:r>
              <w:rPr>
                <w:rFonts w:hint="eastAsia"/>
                <w:b w:val="0"/>
                <w:color w:val="000000"/>
                <w:lang w:val="en-US" w:eastAsia="zh-CN"/>
              </w:rPr>
              <w:t>复合机</w:t>
            </w:r>
          </w:p>
        </w:tc>
        <w:tc>
          <w:tcPr>
            <w:tcW w:w="529" w:type="pct"/>
            <w:shd w:val="clear" w:color="auto" w:fill="FFFFFF"/>
            <w:noWrap/>
            <w:vAlign w:val="center"/>
          </w:tcPr>
          <w:p w14:paraId="691EA437">
            <w:pPr>
              <w:pStyle w:val="59"/>
              <w:bidi w:val="0"/>
              <w:rPr>
                <w:rFonts w:hint="eastAsia"/>
                <w:b w:val="0"/>
                <w:color w:val="000000"/>
              </w:rPr>
            </w:pPr>
            <w:r>
              <w:rPr>
                <w:rFonts w:hint="eastAsia"/>
                <w:b w:val="0"/>
                <w:color w:val="000000"/>
                <w:lang w:val="en-US" w:eastAsia="zh-CN"/>
              </w:rPr>
              <w:t>NMHC</w:t>
            </w:r>
          </w:p>
        </w:tc>
        <w:tc>
          <w:tcPr>
            <w:tcW w:w="840" w:type="dxa"/>
            <w:shd w:val="clear" w:color="auto" w:fill="FFFFFF"/>
            <w:noWrap/>
            <w:vAlign w:val="center"/>
          </w:tcPr>
          <w:p w14:paraId="78CD67D3">
            <w:pPr>
              <w:pStyle w:val="59"/>
              <w:bidi w:val="0"/>
              <w:rPr>
                <w:rFonts w:hint="eastAsia"/>
              </w:rPr>
            </w:pPr>
            <w:r>
              <w:rPr>
                <w:rFonts w:hint="eastAsia"/>
                <w:lang w:val="en-US" w:eastAsia="zh-CN"/>
              </w:rPr>
              <w:t xml:space="preserve">0.032 </w:t>
            </w:r>
          </w:p>
        </w:tc>
        <w:tc>
          <w:tcPr>
            <w:tcW w:w="724" w:type="dxa"/>
            <w:shd w:val="clear" w:color="auto" w:fill="FFFFFF"/>
            <w:noWrap/>
            <w:vAlign w:val="center"/>
          </w:tcPr>
          <w:p w14:paraId="255EDED3">
            <w:pPr>
              <w:pStyle w:val="59"/>
              <w:bidi w:val="0"/>
              <w:rPr>
                <w:rFonts w:hint="eastAsia"/>
              </w:rPr>
            </w:pPr>
            <w:r>
              <w:rPr>
                <w:rFonts w:hint="eastAsia"/>
                <w:lang w:val="en-US" w:eastAsia="zh-CN"/>
              </w:rPr>
              <w:t>0%</w:t>
            </w:r>
          </w:p>
        </w:tc>
        <w:tc>
          <w:tcPr>
            <w:tcW w:w="1020" w:type="dxa"/>
            <w:shd w:val="clear" w:color="auto" w:fill="FFFFFF"/>
            <w:noWrap/>
            <w:vAlign w:val="center"/>
          </w:tcPr>
          <w:p w14:paraId="280B91F7">
            <w:pPr>
              <w:pStyle w:val="59"/>
              <w:bidi w:val="0"/>
              <w:rPr>
                <w:rFonts w:hint="eastAsia"/>
              </w:rPr>
            </w:pPr>
            <w:r>
              <w:rPr>
                <w:rFonts w:hint="eastAsia"/>
                <w:lang w:val="en-US" w:eastAsia="zh-CN"/>
              </w:rPr>
              <w:t xml:space="preserve">0.000 </w:t>
            </w:r>
          </w:p>
        </w:tc>
        <w:tc>
          <w:tcPr>
            <w:tcW w:w="1016" w:type="dxa"/>
            <w:shd w:val="clear" w:color="auto" w:fill="FFFFFF"/>
            <w:noWrap/>
            <w:vAlign w:val="center"/>
          </w:tcPr>
          <w:p w14:paraId="49313A67">
            <w:pPr>
              <w:pStyle w:val="59"/>
              <w:bidi w:val="0"/>
              <w:rPr>
                <w:rFonts w:hint="eastAsia"/>
              </w:rPr>
            </w:pPr>
            <w:r>
              <w:rPr>
                <w:rFonts w:hint="eastAsia"/>
                <w:lang w:val="en-US" w:eastAsia="zh-CN"/>
              </w:rPr>
              <w:t>0%</w:t>
            </w:r>
          </w:p>
        </w:tc>
        <w:tc>
          <w:tcPr>
            <w:tcW w:w="1026" w:type="dxa"/>
            <w:shd w:val="clear" w:color="auto" w:fill="FFFFFF"/>
            <w:noWrap/>
            <w:vAlign w:val="center"/>
          </w:tcPr>
          <w:p w14:paraId="200E9C18">
            <w:pPr>
              <w:pStyle w:val="59"/>
              <w:bidi w:val="0"/>
              <w:rPr>
                <w:rFonts w:hint="eastAsia"/>
              </w:rPr>
            </w:pPr>
            <w:r>
              <w:rPr>
                <w:rFonts w:hint="eastAsia"/>
                <w:lang w:val="en-US" w:eastAsia="zh-CN"/>
              </w:rPr>
              <w:t xml:space="preserve">0.000 </w:t>
            </w:r>
          </w:p>
        </w:tc>
        <w:tc>
          <w:tcPr>
            <w:tcW w:w="712" w:type="dxa"/>
            <w:shd w:val="clear" w:color="auto" w:fill="FFFFFF"/>
            <w:noWrap/>
            <w:vAlign w:val="center"/>
          </w:tcPr>
          <w:p w14:paraId="63FA994F">
            <w:pPr>
              <w:pStyle w:val="59"/>
              <w:bidi w:val="0"/>
              <w:rPr>
                <w:rFonts w:hint="eastAsia"/>
              </w:rPr>
            </w:pPr>
            <w:r>
              <w:rPr>
                <w:rFonts w:hint="eastAsia"/>
                <w:lang w:val="en-US" w:eastAsia="zh-CN"/>
              </w:rPr>
              <w:t xml:space="preserve">0.032 </w:t>
            </w:r>
          </w:p>
        </w:tc>
        <w:tc>
          <w:tcPr>
            <w:tcW w:w="942" w:type="dxa"/>
            <w:tcBorders>
              <w:right w:val="nil"/>
            </w:tcBorders>
            <w:shd w:val="clear" w:color="auto" w:fill="FFFFFF"/>
            <w:noWrap/>
            <w:vAlign w:val="center"/>
          </w:tcPr>
          <w:p w14:paraId="396B2458">
            <w:pPr>
              <w:pStyle w:val="59"/>
              <w:bidi w:val="0"/>
              <w:rPr>
                <w:rFonts w:hint="default"/>
              </w:rPr>
            </w:pPr>
            <w:r>
              <w:rPr>
                <w:rFonts w:hint="default"/>
                <w:lang w:val="en-US" w:eastAsia="zh-CN"/>
              </w:rPr>
              <w:t xml:space="preserve">643 </w:t>
            </w:r>
          </w:p>
        </w:tc>
      </w:tr>
      <w:tr w14:paraId="62E6C46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restart"/>
            <w:tcBorders>
              <w:left w:val="nil"/>
            </w:tcBorders>
            <w:shd w:val="clear" w:color="auto" w:fill="FFFFFF"/>
            <w:vAlign w:val="center"/>
          </w:tcPr>
          <w:p w14:paraId="043B8DAE">
            <w:pPr>
              <w:pStyle w:val="59"/>
              <w:bidi w:val="0"/>
              <w:rPr>
                <w:rFonts w:hint="eastAsia"/>
                <w:b w:val="0"/>
                <w:color w:val="000000"/>
              </w:rPr>
            </w:pPr>
            <w:r>
              <w:rPr>
                <w:rFonts w:hint="eastAsia"/>
                <w:b w:val="0"/>
                <w:color w:val="000000"/>
                <w:lang w:val="en-US" w:eastAsia="zh-CN"/>
              </w:rPr>
              <w:t>定型</w:t>
            </w:r>
          </w:p>
        </w:tc>
        <w:tc>
          <w:tcPr>
            <w:tcW w:w="528" w:type="pct"/>
            <w:vMerge w:val="restart"/>
            <w:shd w:val="clear" w:color="auto" w:fill="FFFFFF"/>
            <w:noWrap/>
            <w:vAlign w:val="center"/>
          </w:tcPr>
          <w:p w14:paraId="0A414950">
            <w:pPr>
              <w:pStyle w:val="59"/>
              <w:bidi w:val="0"/>
              <w:rPr>
                <w:rFonts w:hint="eastAsia"/>
                <w:b w:val="0"/>
                <w:color w:val="000000"/>
              </w:rPr>
            </w:pPr>
            <w:r>
              <w:rPr>
                <w:rFonts w:hint="eastAsia"/>
                <w:b w:val="0"/>
                <w:color w:val="000000"/>
                <w:lang w:val="en-US" w:eastAsia="zh-CN"/>
              </w:rPr>
              <w:t>定型机</w:t>
            </w:r>
          </w:p>
        </w:tc>
        <w:tc>
          <w:tcPr>
            <w:tcW w:w="529" w:type="pct"/>
            <w:shd w:val="clear" w:color="auto" w:fill="FFFFFF"/>
            <w:noWrap/>
            <w:vAlign w:val="center"/>
          </w:tcPr>
          <w:p w14:paraId="4C29CCC9">
            <w:pPr>
              <w:pStyle w:val="59"/>
              <w:bidi w:val="0"/>
              <w:rPr>
                <w:rFonts w:hint="eastAsia"/>
                <w:b w:val="0"/>
                <w:color w:val="000000"/>
              </w:rPr>
            </w:pPr>
            <w:r>
              <w:rPr>
                <w:rFonts w:hint="eastAsia"/>
                <w:b w:val="0"/>
                <w:color w:val="000000"/>
                <w:lang w:val="en-US" w:eastAsia="zh-CN"/>
              </w:rPr>
              <w:t>NMHC</w:t>
            </w:r>
          </w:p>
        </w:tc>
        <w:tc>
          <w:tcPr>
            <w:tcW w:w="840" w:type="dxa"/>
            <w:shd w:val="clear" w:color="auto" w:fill="FFFFFF"/>
            <w:noWrap/>
            <w:vAlign w:val="center"/>
          </w:tcPr>
          <w:p w14:paraId="3AE06F48">
            <w:pPr>
              <w:pStyle w:val="59"/>
              <w:bidi w:val="0"/>
              <w:rPr>
                <w:rFonts w:hint="eastAsia"/>
              </w:rPr>
            </w:pPr>
            <w:r>
              <w:rPr>
                <w:rFonts w:hint="eastAsia"/>
                <w:lang w:val="en-US" w:eastAsia="zh-CN"/>
              </w:rPr>
              <w:t xml:space="preserve">0.556 </w:t>
            </w:r>
          </w:p>
        </w:tc>
        <w:tc>
          <w:tcPr>
            <w:tcW w:w="724" w:type="dxa"/>
            <w:shd w:val="clear" w:color="auto" w:fill="FFFFFF"/>
            <w:noWrap/>
            <w:vAlign w:val="center"/>
          </w:tcPr>
          <w:p w14:paraId="7A4EDF78">
            <w:pPr>
              <w:pStyle w:val="59"/>
              <w:bidi w:val="0"/>
              <w:rPr>
                <w:rFonts w:hint="default"/>
              </w:rPr>
            </w:pPr>
            <w:r>
              <w:rPr>
                <w:rFonts w:hint="eastAsia"/>
                <w:lang w:val="en-US" w:eastAsia="zh-CN"/>
              </w:rPr>
              <w:t>50%</w:t>
            </w:r>
          </w:p>
        </w:tc>
        <w:tc>
          <w:tcPr>
            <w:tcW w:w="1020" w:type="dxa"/>
            <w:shd w:val="clear" w:color="auto" w:fill="FFFFFF"/>
            <w:noWrap/>
            <w:vAlign w:val="center"/>
          </w:tcPr>
          <w:p w14:paraId="4E14BBF8">
            <w:pPr>
              <w:pStyle w:val="59"/>
              <w:bidi w:val="0"/>
              <w:rPr>
                <w:rFonts w:hint="eastAsia"/>
              </w:rPr>
            </w:pPr>
            <w:r>
              <w:rPr>
                <w:rFonts w:hint="eastAsia"/>
                <w:lang w:val="en-US" w:eastAsia="zh-CN"/>
              </w:rPr>
              <w:t xml:space="preserve">0.278 </w:t>
            </w:r>
          </w:p>
        </w:tc>
        <w:tc>
          <w:tcPr>
            <w:tcW w:w="1016" w:type="dxa"/>
            <w:shd w:val="clear" w:color="auto" w:fill="FFFFFF"/>
            <w:noWrap/>
            <w:vAlign w:val="center"/>
          </w:tcPr>
          <w:p w14:paraId="5C51BDE6">
            <w:pPr>
              <w:pStyle w:val="59"/>
              <w:bidi w:val="0"/>
              <w:rPr>
                <w:rFonts w:hint="eastAsia"/>
              </w:rPr>
            </w:pPr>
            <w:r>
              <w:rPr>
                <w:rFonts w:hint="eastAsia"/>
                <w:lang w:val="en-US" w:eastAsia="zh-CN"/>
              </w:rPr>
              <w:t>80%</w:t>
            </w:r>
          </w:p>
        </w:tc>
        <w:tc>
          <w:tcPr>
            <w:tcW w:w="1026" w:type="dxa"/>
            <w:shd w:val="clear" w:color="auto" w:fill="FFFFFF"/>
            <w:noWrap/>
            <w:vAlign w:val="center"/>
          </w:tcPr>
          <w:p w14:paraId="3F809020">
            <w:pPr>
              <w:pStyle w:val="59"/>
              <w:bidi w:val="0"/>
              <w:rPr>
                <w:rFonts w:hint="eastAsia"/>
              </w:rPr>
            </w:pPr>
            <w:r>
              <w:rPr>
                <w:rFonts w:hint="eastAsia"/>
                <w:lang w:val="en-US" w:eastAsia="zh-CN"/>
              </w:rPr>
              <w:t xml:space="preserve">0.056 </w:t>
            </w:r>
          </w:p>
        </w:tc>
        <w:tc>
          <w:tcPr>
            <w:tcW w:w="712" w:type="dxa"/>
            <w:shd w:val="clear" w:color="auto" w:fill="FFFFFF"/>
            <w:noWrap/>
            <w:vAlign w:val="center"/>
          </w:tcPr>
          <w:p w14:paraId="79DEB711">
            <w:pPr>
              <w:pStyle w:val="59"/>
              <w:bidi w:val="0"/>
              <w:rPr>
                <w:rFonts w:hint="eastAsia"/>
              </w:rPr>
            </w:pPr>
            <w:r>
              <w:rPr>
                <w:rFonts w:hint="eastAsia"/>
                <w:lang w:val="en-US" w:eastAsia="zh-CN"/>
              </w:rPr>
              <w:t xml:space="preserve">0.278 </w:t>
            </w:r>
          </w:p>
        </w:tc>
        <w:tc>
          <w:tcPr>
            <w:tcW w:w="942" w:type="dxa"/>
            <w:tcBorders>
              <w:right w:val="nil"/>
            </w:tcBorders>
            <w:shd w:val="clear" w:color="auto" w:fill="FFFFFF"/>
            <w:noWrap/>
            <w:vAlign w:val="center"/>
          </w:tcPr>
          <w:p w14:paraId="7C6DDC76">
            <w:pPr>
              <w:pStyle w:val="59"/>
              <w:bidi w:val="0"/>
              <w:rPr>
                <w:rFonts w:hint="default"/>
              </w:rPr>
            </w:pPr>
            <w:r>
              <w:rPr>
                <w:rFonts w:hint="default"/>
                <w:lang w:val="en-US" w:eastAsia="zh-CN"/>
              </w:rPr>
              <w:t xml:space="preserve">2418 </w:t>
            </w:r>
          </w:p>
        </w:tc>
      </w:tr>
      <w:tr w14:paraId="19C11B0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continue"/>
            <w:tcBorders>
              <w:left w:val="nil"/>
            </w:tcBorders>
            <w:shd w:val="clear" w:color="auto" w:fill="FFFFFF"/>
            <w:vAlign w:val="center"/>
          </w:tcPr>
          <w:p w14:paraId="303A1453">
            <w:pPr>
              <w:pStyle w:val="59"/>
              <w:bidi w:val="0"/>
              <w:rPr>
                <w:rFonts w:hint="eastAsia"/>
                <w:b w:val="0"/>
                <w:color w:val="000000"/>
              </w:rPr>
            </w:pPr>
          </w:p>
        </w:tc>
        <w:tc>
          <w:tcPr>
            <w:tcW w:w="528" w:type="pct"/>
            <w:vMerge w:val="continue"/>
            <w:shd w:val="clear" w:color="auto" w:fill="FFFFFF"/>
            <w:noWrap/>
            <w:vAlign w:val="center"/>
          </w:tcPr>
          <w:p w14:paraId="2609C55C">
            <w:pPr>
              <w:pStyle w:val="59"/>
              <w:bidi w:val="0"/>
              <w:rPr>
                <w:rFonts w:hint="eastAsia"/>
                <w:b w:val="0"/>
                <w:color w:val="000000"/>
              </w:rPr>
            </w:pPr>
          </w:p>
        </w:tc>
        <w:tc>
          <w:tcPr>
            <w:tcW w:w="529" w:type="pct"/>
            <w:shd w:val="clear" w:color="auto" w:fill="FFFFFF"/>
            <w:noWrap/>
            <w:vAlign w:val="center"/>
          </w:tcPr>
          <w:p w14:paraId="2A81A6B8">
            <w:pPr>
              <w:pStyle w:val="59"/>
              <w:bidi w:val="0"/>
              <w:rPr>
                <w:rFonts w:hint="eastAsia"/>
                <w:b w:val="0"/>
                <w:color w:val="000000"/>
              </w:rPr>
            </w:pPr>
            <w:r>
              <w:rPr>
                <w:rFonts w:hint="eastAsia"/>
                <w:b w:val="0"/>
                <w:color w:val="000000"/>
                <w:lang w:val="en-US" w:eastAsia="zh-CN"/>
              </w:rPr>
              <w:t>氯化氢</w:t>
            </w:r>
          </w:p>
        </w:tc>
        <w:tc>
          <w:tcPr>
            <w:tcW w:w="840" w:type="dxa"/>
            <w:shd w:val="clear" w:color="auto" w:fill="FFFFFF"/>
            <w:noWrap/>
            <w:vAlign w:val="center"/>
          </w:tcPr>
          <w:p w14:paraId="73F4D3CD">
            <w:pPr>
              <w:pStyle w:val="59"/>
              <w:bidi w:val="0"/>
              <w:rPr>
                <w:rFonts w:hint="eastAsia"/>
              </w:rPr>
            </w:pPr>
            <w:r>
              <w:rPr>
                <w:rFonts w:hint="eastAsia"/>
                <w:lang w:val="en-US" w:eastAsia="zh-CN"/>
              </w:rPr>
              <w:t xml:space="preserve">0.000040 </w:t>
            </w:r>
          </w:p>
        </w:tc>
        <w:tc>
          <w:tcPr>
            <w:tcW w:w="724" w:type="dxa"/>
            <w:shd w:val="clear" w:color="auto" w:fill="FFFFFF"/>
            <w:noWrap/>
            <w:vAlign w:val="center"/>
          </w:tcPr>
          <w:p w14:paraId="7E559894">
            <w:pPr>
              <w:pStyle w:val="59"/>
              <w:bidi w:val="0"/>
              <w:rPr>
                <w:rFonts w:hint="default"/>
              </w:rPr>
            </w:pPr>
            <w:r>
              <w:rPr>
                <w:rFonts w:hint="eastAsia"/>
                <w:lang w:val="en-US" w:eastAsia="zh-CN"/>
              </w:rPr>
              <w:t>50%</w:t>
            </w:r>
          </w:p>
        </w:tc>
        <w:tc>
          <w:tcPr>
            <w:tcW w:w="1020" w:type="dxa"/>
            <w:shd w:val="clear" w:color="auto" w:fill="FFFFFF"/>
            <w:noWrap/>
            <w:vAlign w:val="center"/>
          </w:tcPr>
          <w:p w14:paraId="537D90A0">
            <w:pPr>
              <w:pStyle w:val="59"/>
              <w:bidi w:val="0"/>
              <w:rPr>
                <w:rFonts w:hint="eastAsia"/>
              </w:rPr>
            </w:pPr>
            <w:r>
              <w:rPr>
                <w:rFonts w:hint="eastAsia"/>
                <w:lang w:val="en-US" w:eastAsia="zh-CN"/>
              </w:rPr>
              <w:t xml:space="preserve">0.000020 </w:t>
            </w:r>
          </w:p>
        </w:tc>
        <w:tc>
          <w:tcPr>
            <w:tcW w:w="1016" w:type="dxa"/>
            <w:shd w:val="clear" w:color="auto" w:fill="FFFFFF"/>
            <w:noWrap/>
            <w:vAlign w:val="center"/>
          </w:tcPr>
          <w:p w14:paraId="3252AD3E">
            <w:pPr>
              <w:pStyle w:val="59"/>
              <w:bidi w:val="0"/>
              <w:rPr>
                <w:rFonts w:hint="eastAsia"/>
              </w:rPr>
            </w:pPr>
            <w:r>
              <w:rPr>
                <w:rFonts w:hint="eastAsia"/>
                <w:lang w:val="en-US" w:eastAsia="zh-CN"/>
              </w:rPr>
              <w:t>80%</w:t>
            </w:r>
          </w:p>
        </w:tc>
        <w:tc>
          <w:tcPr>
            <w:tcW w:w="1026" w:type="dxa"/>
            <w:shd w:val="clear" w:color="auto" w:fill="FFFFFF"/>
            <w:noWrap/>
            <w:vAlign w:val="center"/>
          </w:tcPr>
          <w:p w14:paraId="39AD3AC9">
            <w:pPr>
              <w:pStyle w:val="59"/>
              <w:bidi w:val="0"/>
              <w:rPr>
                <w:rFonts w:hint="eastAsia"/>
              </w:rPr>
            </w:pPr>
            <w:r>
              <w:rPr>
                <w:rFonts w:hint="eastAsia"/>
                <w:lang w:val="en-US" w:eastAsia="zh-CN"/>
              </w:rPr>
              <w:t xml:space="preserve">0.000004 </w:t>
            </w:r>
          </w:p>
        </w:tc>
        <w:tc>
          <w:tcPr>
            <w:tcW w:w="712" w:type="dxa"/>
            <w:shd w:val="clear" w:color="auto" w:fill="FFFFFF"/>
            <w:noWrap/>
            <w:vAlign w:val="center"/>
          </w:tcPr>
          <w:p w14:paraId="159BD409">
            <w:pPr>
              <w:pStyle w:val="59"/>
              <w:bidi w:val="0"/>
              <w:rPr>
                <w:rFonts w:hint="eastAsia"/>
              </w:rPr>
            </w:pPr>
            <w:r>
              <w:rPr>
                <w:rFonts w:hint="eastAsia"/>
                <w:lang w:val="en-US" w:eastAsia="zh-CN"/>
              </w:rPr>
              <w:t xml:space="preserve">0.000020 </w:t>
            </w:r>
          </w:p>
        </w:tc>
        <w:tc>
          <w:tcPr>
            <w:tcW w:w="942" w:type="dxa"/>
            <w:tcBorders>
              <w:right w:val="nil"/>
            </w:tcBorders>
            <w:shd w:val="clear" w:color="auto" w:fill="FFFFFF"/>
            <w:noWrap/>
            <w:vAlign w:val="center"/>
          </w:tcPr>
          <w:p w14:paraId="5468A17C">
            <w:pPr>
              <w:pStyle w:val="59"/>
              <w:bidi w:val="0"/>
              <w:rPr>
                <w:rFonts w:hint="default"/>
              </w:rPr>
            </w:pPr>
            <w:r>
              <w:rPr>
                <w:rFonts w:hint="default"/>
                <w:lang w:val="en-US" w:eastAsia="zh-CN"/>
              </w:rPr>
              <w:t xml:space="preserve">2418 </w:t>
            </w:r>
          </w:p>
        </w:tc>
      </w:tr>
      <w:tr w14:paraId="72BC785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continue"/>
            <w:tcBorders>
              <w:left w:val="nil"/>
            </w:tcBorders>
            <w:shd w:val="clear" w:color="auto" w:fill="FFFFFF"/>
            <w:vAlign w:val="center"/>
          </w:tcPr>
          <w:p w14:paraId="55E62946">
            <w:pPr>
              <w:pStyle w:val="59"/>
              <w:bidi w:val="0"/>
              <w:rPr>
                <w:rFonts w:hint="eastAsia"/>
                <w:b w:val="0"/>
                <w:color w:val="000000"/>
              </w:rPr>
            </w:pPr>
          </w:p>
        </w:tc>
        <w:tc>
          <w:tcPr>
            <w:tcW w:w="528" w:type="pct"/>
            <w:vMerge w:val="continue"/>
            <w:shd w:val="clear" w:color="auto" w:fill="FFFFFF"/>
            <w:noWrap/>
            <w:vAlign w:val="center"/>
          </w:tcPr>
          <w:p w14:paraId="77A56A5B">
            <w:pPr>
              <w:pStyle w:val="59"/>
              <w:bidi w:val="0"/>
              <w:rPr>
                <w:rFonts w:hint="eastAsia"/>
                <w:b w:val="0"/>
                <w:color w:val="000000"/>
              </w:rPr>
            </w:pPr>
          </w:p>
        </w:tc>
        <w:tc>
          <w:tcPr>
            <w:tcW w:w="529" w:type="pct"/>
            <w:shd w:val="clear" w:color="auto" w:fill="FFFFFF"/>
            <w:noWrap/>
            <w:vAlign w:val="center"/>
          </w:tcPr>
          <w:p w14:paraId="7972D034">
            <w:pPr>
              <w:pStyle w:val="59"/>
              <w:bidi w:val="0"/>
              <w:rPr>
                <w:rFonts w:hint="eastAsia"/>
                <w:b w:val="0"/>
                <w:color w:val="000000"/>
                <w:lang w:val="en-US" w:eastAsia="zh-CN"/>
              </w:rPr>
            </w:pPr>
            <w:r>
              <w:rPr>
                <w:rFonts w:hint="eastAsia"/>
                <w:b w:val="0"/>
                <w:color w:val="000000"/>
                <w:lang w:val="en-US" w:eastAsia="zh-CN"/>
              </w:rPr>
              <w:t>氯乙烯</w:t>
            </w:r>
          </w:p>
        </w:tc>
        <w:tc>
          <w:tcPr>
            <w:tcW w:w="840" w:type="dxa"/>
            <w:shd w:val="clear" w:color="auto" w:fill="FFFFFF"/>
            <w:noWrap/>
            <w:vAlign w:val="center"/>
          </w:tcPr>
          <w:p w14:paraId="10F8C454">
            <w:pPr>
              <w:pStyle w:val="59"/>
              <w:bidi w:val="0"/>
              <w:rPr>
                <w:rFonts w:hint="eastAsia"/>
                <w:lang w:val="en-US" w:eastAsia="zh-CN"/>
              </w:rPr>
            </w:pPr>
            <w:r>
              <w:rPr>
                <w:rFonts w:hint="eastAsia"/>
                <w:lang w:val="en-US" w:eastAsia="zh-CN"/>
              </w:rPr>
              <w:t xml:space="preserve">0.000043 </w:t>
            </w:r>
          </w:p>
        </w:tc>
        <w:tc>
          <w:tcPr>
            <w:tcW w:w="724" w:type="dxa"/>
            <w:shd w:val="clear" w:color="auto" w:fill="FFFFFF"/>
            <w:noWrap/>
            <w:vAlign w:val="center"/>
          </w:tcPr>
          <w:p w14:paraId="013848DE">
            <w:pPr>
              <w:pStyle w:val="59"/>
              <w:bidi w:val="0"/>
              <w:rPr>
                <w:rFonts w:hint="default"/>
                <w:lang w:val="en-US" w:eastAsia="zh-CN"/>
              </w:rPr>
            </w:pPr>
            <w:r>
              <w:rPr>
                <w:rFonts w:hint="eastAsia"/>
                <w:lang w:val="en-US" w:eastAsia="zh-CN"/>
              </w:rPr>
              <w:t>50%</w:t>
            </w:r>
          </w:p>
        </w:tc>
        <w:tc>
          <w:tcPr>
            <w:tcW w:w="1020" w:type="dxa"/>
            <w:shd w:val="clear" w:color="auto" w:fill="FFFFFF"/>
            <w:noWrap/>
            <w:vAlign w:val="center"/>
          </w:tcPr>
          <w:p w14:paraId="1F6E9113">
            <w:pPr>
              <w:pStyle w:val="59"/>
              <w:bidi w:val="0"/>
              <w:rPr>
                <w:rFonts w:hint="eastAsia"/>
                <w:lang w:val="en-US" w:eastAsia="zh-CN"/>
              </w:rPr>
            </w:pPr>
            <w:r>
              <w:rPr>
                <w:rFonts w:hint="eastAsia"/>
                <w:lang w:val="en-US" w:eastAsia="zh-CN"/>
              </w:rPr>
              <w:t xml:space="preserve">0.000021 </w:t>
            </w:r>
          </w:p>
        </w:tc>
        <w:tc>
          <w:tcPr>
            <w:tcW w:w="1016" w:type="dxa"/>
            <w:shd w:val="clear" w:color="auto" w:fill="FFFFFF"/>
            <w:noWrap/>
            <w:vAlign w:val="center"/>
          </w:tcPr>
          <w:p w14:paraId="71B8828F">
            <w:pPr>
              <w:pStyle w:val="59"/>
              <w:bidi w:val="0"/>
              <w:rPr>
                <w:rFonts w:hint="eastAsia"/>
                <w:lang w:val="en-US" w:eastAsia="zh-CN"/>
              </w:rPr>
            </w:pPr>
            <w:r>
              <w:rPr>
                <w:rFonts w:hint="eastAsia"/>
                <w:lang w:val="en-US" w:eastAsia="zh-CN"/>
              </w:rPr>
              <w:t>80%</w:t>
            </w:r>
          </w:p>
        </w:tc>
        <w:tc>
          <w:tcPr>
            <w:tcW w:w="1026" w:type="dxa"/>
            <w:shd w:val="clear" w:color="auto" w:fill="FFFFFF"/>
            <w:noWrap/>
            <w:vAlign w:val="center"/>
          </w:tcPr>
          <w:p w14:paraId="3FB90357">
            <w:pPr>
              <w:pStyle w:val="59"/>
              <w:bidi w:val="0"/>
              <w:rPr>
                <w:rFonts w:hint="eastAsia"/>
                <w:lang w:val="en-US" w:eastAsia="zh-CN"/>
              </w:rPr>
            </w:pPr>
            <w:r>
              <w:rPr>
                <w:rFonts w:hint="eastAsia"/>
                <w:lang w:val="en-US" w:eastAsia="zh-CN"/>
              </w:rPr>
              <w:t xml:space="preserve">0.000004 </w:t>
            </w:r>
          </w:p>
        </w:tc>
        <w:tc>
          <w:tcPr>
            <w:tcW w:w="712" w:type="dxa"/>
            <w:shd w:val="clear" w:color="auto" w:fill="FFFFFF"/>
            <w:noWrap/>
            <w:vAlign w:val="center"/>
          </w:tcPr>
          <w:p w14:paraId="271F2DF3">
            <w:pPr>
              <w:pStyle w:val="59"/>
              <w:bidi w:val="0"/>
              <w:rPr>
                <w:rFonts w:hint="eastAsia"/>
                <w:lang w:val="en-US" w:eastAsia="zh-CN"/>
              </w:rPr>
            </w:pPr>
            <w:r>
              <w:rPr>
                <w:rFonts w:hint="eastAsia"/>
                <w:lang w:val="en-US" w:eastAsia="zh-CN"/>
              </w:rPr>
              <w:t xml:space="preserve">0.000021 </w:t>
            </w:r>
          </w:p>
        </w:tc>
        <w:tc>
          <w:tcPr>
            <w:tcW w:w="942" w:type="dxa"/>
            <w:tcBorders>
              <w:right w:val="nil"/>
            </w:tcBorders>
            <w:shd w:val="clear" w:color="auto" w:fill="FFFFFF"/>
            <w:noWrap/>
            <w:vAlign w:val="center"/>
          </w:tcPr>
          <w:p w14:paraId="0E34F0D7">
            <w:pPr>
              <w:pStyle w:val="59"/>
              <w:bidi w:val="0"/>
              <w:rPr>
                <w:rFonts w:hint="default"/>
                <w:lang w:val="en-US" w:eastAsia="zh-CN"/>
              </w:rPr>
            </w:pPr>
            <w:r>
              <w:rPr>
                <w:rFonts w:hint="default"/>
                <w:lang w:val="en-US" w:eastAsia="zh-CN"/>
              </w:rPr>
              <w:t xml:space="preserve">2418 </w:t>
            </w:r>
          </w:p>
        </w:tc>
      </w:tr>
      <w:tr w14:paraId="5F7B696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continue"/>
            <w:tcBorders>
              <w:left w:val="nil"/>
            </w:tcBorders>
            <w:shd w:val="clear" w:color="auto" w:fill="FFFFFF"/>
            <w:vAlign w:val="center"/>
          </w:tcPr>
          <w:p w14:paraId="15985CC2">
            <w:pPr>
              <w:pStyle w:val="59"/>
              <w:bidi w:val="0"/>
              <w:rPr>
                <w:rFonts w:hint="eastAsia"/>
                <w:b w:val="0"/>
                <w:color w:val="000000"/>
              </w:rPr>
            </w:pPr>
          </w:p>
        </w:tc>
        <w:tc>
          <w:tcPr>
            <w:tcW w:w="528" w:type="pct"/>
            <w:vMerge w:val="continue"/>
            <w:shd w:val="clear" w:color="auto" w:fill="FFFFFF"/>
            <w:noWrap/>
            <w:vAlign w:val="center"/>
          </w:tcPr>
          <w:p w14:paraId="105506AB">
            <w:pPr>
              <w:pStyle w:val="59"/>
              <w:bidi w:val="0"/>
              <w:rPr>
                <w:rFonts w:hint="eastAsia"/>
                <w:b w:val="0"/>
                <w:color w:val="000000"/>
              </w:rPr>
            </w:pPr>
          </w:p>
        </w:tc>
        <w:tc>
          <w:tcPr>
            <w:tcW w:w="529" w:type="pct"/>
            <w:shd w:val="clear" w:color="auto" w:fill="FFFFFF"/>
            <w:noWrap/>
            <w:vAlign w:val="center"/>
          </w:tcPr>
          <w:p w14:paraId="174AB6D0">
            <w:pPr>
              <w:pStyle w:val="59"/>
              <w:bidi w:val="0"/>
              <w:rPr>
                <w:rFonts w:hint="eastAsia"/>
                <w:b w:val="0"/>
                <w:color w:val="000000"/>
                <w:lang w:val="en-US" w:eastAsia="zh-CN"/>
              </w:rPr>
            </w:pPr>
            <w:r>
              <w:rPr>
                <w:rFonts w:hint="eastAsia"/>
                <w:b w:val="0"/>
                <w:color w:val="000000"/>
                <w:lang w:val="en-US" w:eastAsia="zh-CN"/>
              </w:rPr>
              <w:t>苯</w:t>
            </w:r>
          </w:p>
        </w:tc>
        <w:tc>
          <w:tcPr>
            <w:tcW w:w="840" w:type="dxa"/>
            <w:shd w:val="clear" w:color="auto" w:fill="FFFFFF"/>
            <w:noWrap/>
            <w:vAlign w:val="center"/>
          </w:tcPr>
          <w:p w14:paraId="747FD3C8">
            <w:pPr>
              <w:pStyle w:val="59"/>
              <w:bidi w:val="0"/>
              <w:rPr>
                <w:rFonts w:hint="eastAsia"/>
                <w:lang w:val="en-US" w:eastAsia="zh-CN"/>
              </w:rPr>
            </w:pPr>
            <w:r>
              <w:rPr>
                <w:rFonts w:hint="eastAsia"/>
                <w:lang w:val="en-US" w:eastAsia="zh-CN"/>
              </w:rPr>
              <w:t xml:space="preserve">0.000002 </w:t>
            </w:r>
          </w:p>
        </w:tc>
        <w:tc>
          <w:tcPr>
            <w:tcW w:w="724" w:type="dxa"/>
            <w:shd w:val="clear" w:color="auto" w:fill="FFFFFF"/>
            <w:noWrap/>
            <w:vAlign w:val="center"/>
          </w:tcPr>
          <w:p w14:paraId="5B294A84">
            <w:pPr>
              <w:pStyle w:val="59"/>
              <w:bidi w:val="0"/>
              <w:rPr>
                <w:rFonts w:hint="default"/>
                <w:lang w:val="en-US" w:eastAsia="zh-CN"/>
              </w:rPr>
            </w:pPr>
            <w:r>
              <w:rPr>
                <w:rFonts w:hint="eastAsia"/>
                <w:lang w:val="en-US" w:eastAsia="zh-CN"/>
              </w:rPr>
              <w:t>50%</w:t>
            </w:r>
          </w:p>
        </w:tc>
        <w:tc>
          <w:tcPr>
            <w:tcW w:w="1020" w:type="dxa"/>
            <w:shd w:val="clear" w:color="auto" w:fill="FFFFFF"/>
            <w:noWrap/>
            <w:vAlign w:val="center"/>
          </w:tcPr>
          <w:p w14:paraId="210BEDB3">
            <w:pPr>
              <w:pStyle w:val="59"/>
              <w:bidi w:val="0"/>
              <w:rPr>
                <w:rFonts w:hint="eastAsia"/>
                <w:lang w:val="en-US" w:eastAsia="zh-CN"/>
              </w:rPr>
            </w:pPr>
            <w:r>
              <w:rPr>
                <w:rFonts w:hint="eastAsia"/>
                <w:lang w:val="en-US" w:eastAsia="zh-CN"/>
              </w:rPr>
              <w:t xml:space="preserve">0.000001 </w:t>
            </w:r>
          </w:p>
        </w:tc>
        <w:tc>
          <w:tcPr>
            <w:tcW w:w="1016" w:type="dxa"/>
            <w:shd w:val="clear" w:color="auto" w:fill="FFFFFF"/>
            <w:noWrap/>
            <w:vAlign w:val="center"/>
          </w:tcPr>
          <w:p w14:paraId="00BF59A2">
            <w:pPr>
              <w:pStyle w:val="59"/>
              <w:bidi w:val="0"/>
              <w:rPr>
                <w:rFonts w:hint="eastAsia"/>
                <w:lang w:val="en-US" w:eastAsia="zh-CN"/>
              </w:rPr>
            </w:pPr>
            <w:r>
              <w:rPr>
                <w:rFonts w:hint="eastAsia"/>
                <w:lang w:val="en-US" w:eastAsia="zh-CN"/>
              </w:rPr>
              <w:t>80%</w:t>
            </w:r>
          </w:p>
        </w:tc>
        <w:tc>
          <w:tcPr>
            <w:tcW w:w="1026" w:type="dxa"/>
            <w:shd w:val="clear" w:color="auto" w:fill="FFFFFF"/>
            <w:noWrap/>
            <w:vAlign w:val="center"/>
          </w:tcPr>
          <w:p w14:paraId="6C5C3203">
            <w:pPr>
              <w:pStyle w:val="59"/>
              <w:bidi w:val="0"/>
              <w:rPr>
                <w:rFonts w:hint="eastAsia"/>
                <w:lang w:val="en-US" w:eastAsia="zh-CN"/>
              </w:rPr>
            </w:pPr>
            <w:r>
              <w:rPr>
                <w:rFonts w:hint="eastAsia"/>
                <w:lang w:val="en-US" w:eastAsia="zh-CN"/>
              </w:rPr>
              <w:t xml:space="preserve">0.000000 </w:t>
            </w:r>
          </w:p>
        </w:tc>
        <w:tc>
          <w:tcPr>
            <w:tcW w:w="712" w:type="dxa"/>
            <w:shd w:val="clear" w:color="auto" w:fill="FFFFFF"/>
            <w:noWrap/>
            <w:vAlign w:val="center"/>
          </w:tcPr>
          <w:p w14:paraId="74286D69">
            <w:pPr>
              <w:pStyle w:val="59"/>
              <w:bidi w:val="0"/>
              <w:rPr>
                <w:rFonts w:hint="eastAsia"/>
                <w:lang w:val="en-US" w:eastAsia="zh-CN"/>
              </w:rPr>
            </w:pPr>
            <w:r>
              <w:rPr>
                <w:rFonts w:hint="eastAsia"/>
                <w:lang w:val="en-US" w:eastAsia="zh-CN"/>
              </w:rPr>
              <w:t xml:space="preserve">0.000001 </w:t>
            </w:r>
          </w:p>
        </w:tc>
        <w:tc>
          <w:tcPr>
            <w:tcW w:w="942" w:type="dxa"/>
            <w:tcBorders>
              <w:right w:val="nil"/>
            </w:tcBorders>
            <w:shd w:val="clear" w:color="auto" w:fill="FFFFFF"/>
            <w:noWrap/>
            <w:vAlign w:val="center"/>
          </w:tcPr>
          <w:p w14:paraId="15C2DFA6">
            <w:pPr>
              <w:pStyle w:val="59"/>
              <w:bidi w:val="0"/>
              <w:rPr>
                <w:rFonts w:hint="default"/>
                <w:lang w:val="en-US" w:eastAsia="zh-CN"/>
              </w:rPr>
            </w:pPr>
            <w:r>
              <w:rPr>
                <w:rFonts w:hint="default"/>
                <w:lang w:val="en-US" w:eastAsia="zh-CN"/>
              </w:rPr>
              <w:t xml:space="preserve">2418 </w:t>
            </w:r>
          </w:p>
        </w:tc>
      </w:tr>
      <w:tr w14:paraId="4BA5B74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continue"/>
            <w:tcBorders>
              <w:left w:val="nil"/>
            </w:tcBorders>
            <w:shd w:val="clear" w:color="auto" w:fill="FFFFFF"/>
            <w:vAlign w:val="center"/>
          </w:tcPr>
          <w:p w14:paraId="6BABB727">
            <w:pPr>
              <w:pStyle w:val="59"/>
              <w:bidi w:val="0"/>
              <w:rPr>
                <w:rFonts w:hint="eastAsia"/>
                <w:b w:val="0"/>
                <w:color w:val="000000"/>
              </w:rPr>
            </w:pPr>
          </w:p>
        </w:tc>
        <w:tc>
          <w:tcPr>
            <w:tcW w:w="528" w:type="pct"/>
            <w:vMerge w:val="continue"/>
            <w:shd w:val="clear" w:color="auto" w:fill="FFFFFF"/>
            <w:noWrap/>
            <w:vAlign w:val="center"/>
          </w:tcPr>
          <w:p w14:paraId="6882964E">
            <w:pPr>
              <w:pStyle w:val="59"/>
              <w:bidi w:val="0"/>
              <w:rPr>
                <w:rFonts w:hint="eastAsia"/>
                <w:b w:val="0"/>
                <w:color w:val="000000"/>
              </w:rPr>
            </w:pPr>
          </w:p>
        </w:tc>
        <w:tc>
          <w:tcPr>
            <w:tcW w:w="529" w:type="pct"/>
            <w:shd w:val="clear" w:color="auto" w:fill="FFFFFF"/>
            <w:noWrap/>
            <w:vAlign w:val="center"/>
          </w:tcPr>
          <w:p w14:paraId="36C41A62">
            <w:pPr>
              <w:pStyle w:val="59"/>
              <w:bidi w:val="0"/>
              <w:rPr>
                <w:rFonts w:hint="eastAsia"/>
                <w:b w:val="0"/>
                <w:color w:val="000000"/>
                <w:lang w:val="en-US" w:eastAsia="zh-CN"/>
              </w:rPr>
            </w:pPr>
            <w:r>
              <w:rPr>
                <w:rFonts w:hint="eastAsia"/>
                <w:b w:val="0"/>
                <w:color w:val="000000"/>
                <w:lang w:val="en-US" w:eastAsia="zh-CN"/>
              </w:rPr>
              <w:t>甲苯</w:t>
            </w:r>
          </w:p>
        </w:tc>
        <w:tc>
          <w:tcPr>
            <w:tcW w:w="840" w:type="dxa"/>
            <w:shd w:val="clear" w:color="auto" w:fill="FFFFFF"/>
            <w:noWrap/>
            <w:vAlign w:val="center"/>
          </w:tcPr>
          <w:p w14:paraId="3B3AE15D">
            <w:pPr>
              <w:pStyle w:val="59"/>
              <w:bidi w:val="0"/>
              <w:rPr>
                <w:rFonts w:hint="eastAsia"/>
                <w:lang w:val="en-US" w:eastAsia="zh-CN"/>
              </w:rPr>
            </w:pPr>
            <w:r>
              <w:rPr>
                <w:rFonts w:hint="eastAsia"/>
                <w:lang w:val="en-US" w:eastAsia="zh-CN"/>
              </w:rPr>
              <w:t xml:space="preserve">0.000001 </w:t>
            </w:r>
          </w:p>
        </w:tc>
        <w:tc>
          <w:tcPr>
            <w:tcW w:w="724" w:type="dxa"/>
            <w:shd w:val="clear" w:color="auto" w:fill="FFFFFF"/>
            <w:noWrap/>
            <w:vAlign w:val="center"/>
          </w:tcPr>
          <w:p w14:paraId="288B48EC">
            <w:pPr>
              <w:pStyle w:val="59"/>
              <w:bidi w:val="0"/>
              <w:rPr>
                <w:rFonts w:hint="default"/>
                <w:lang w:val="en-US" w:eastAsia="zh-CN"/>
              </w:rPr>
            </w:pPr>
            <w:r>
              <w:rPr>
                <w:rFonts w:hint="eastAsia"/>
                <w:lang w:val="en-US" w:eastAsia="zh-CN"/>
              </w:rPr>
              <w:t>50%</w:t>
            </w:r>
          </w:p>
        </w:tc>
        <w:tc>
          <w:tcPr>
            <w:tcW w:w="1020" w:type="dxa"/>
            <w:shd w:val="clear" w:color="auto" w:fill="FFFFFF"/>
            <w:noWrap/>
            <w:vAlign w:val="center"/>
          </w:tcPr>
          <w:p w14:paraId="68ED183B">
            <w:pPr>
              <w:pStyle w:val="59"/>
              <w:bidi w:val="0"/>
              <w:rPr>
                <w:rFonts w:hint="eastAsia"/>
                <w:lang w:val="en-US" w:eastAsia="zh-CN"/>
              </w:rPr>
            </w:pPr>
            <w:r>
              <w:rPr>
                <w:rFonts w:hint="eastAsia"/>
                <w:lang w:val="en-US" w:eastAsia="zh-CN"/>
              </w:rPr>
              <w:t xml:space="preserve">0.000001 </w:t>
            </w:r>
          </w:p>
        </w:tc>
        <w:tc>
          <w:tcPr>
            <w:tcW w:w="1016" w:type="dxa"/>
            <w:shd w:val="clear" w:color="auto" w:fill="FFFFFF"/>
            <w:noWrap/>
            <w:vAlign w:val="center"/>
          </w:tcPr>
          <w:p w14:paraId="60904263">
            <w:pPr>
              <w:pStyle w:val="59"/>
              <w:bidi w:val="0"/>
              <w:rPr>
                <w:rFonts w:hint="eastAsia"/>
                <w:lang w:val="en-US" w:eastAsia="zh-CN"/>
              </w:rPr>
            </w:pPr>
            <w:r>
              <w:rPr>
                <w:rFonts w:hint="eastAsia"/>
                <w:lang w:val="en-US" w:eastAsia="zh-CN"/>
              </w:rPr>
              <w:t>80%</w:t>
            </w:r>
          </w:p>
        </w:tc>
        <w:tc>
          <w:tcPr>
            <w:tcW w:w="1026" w:type="dxa"/>
            <w:shd w:val="clear" w:color="auto" w:fill="FFFFFF"/>
            <w:noWrap/>
            <w:vAlign w:val="center"/>
          </w:tcPr>
          <w:p w14:paraId="58BA1FC6">
            <w:pPr>
              <w:pStyle w:val="59"/>
              <w:bidi w:val="0"/>
              <w:rPr>
                <w:rFonts w:hint="eastAsia"/>
                <w:lang w:val="en-US" w:eastAsia="zh-CN"/>
              </w:rPr>
            </w:pPr>
            <w:r>
              <w:rPr>
                <w:rFonts w:hint="eastAsia"/>
                <w:lang w:val="en-US" w:eastAsia="zh-CN"/>
              </w:rPr>
              <w:t xml:space="preserve">0.000000 </w:t>
            </w:r>
          </w:p>
        </w:tc>
        <w:tc>
          <w:tcPr>
            <w:tcW w:w="712" w:type="dxa"/>
            <w:shd w:val="clear" w:color="auto" w:fill="FFFFFF"/>
            <w:noWrap/>
            <w:vAlign w:val="center"/>
          </w:tcPr>
          <w:p w14:paraId="02CA2CC5">
            <w:pPr>
              <w:pStyle w:val="59"/>
              <w:bidi w:val="0"/>
              <w:rPr>
                <w:rFonts w:hint="eastAsia"/>
                <w:lang w:val="en-US" w:eastAsia="zh-CN"/>
              </w:rPr>
            </w:pPr>
            <w:r>
              <w:rPr>
                <w:rFonts w:hint="eastAsia"/>
                <w:lang w:val="en-US" w:eastAsia="zh-CN"/>
              </w:rPr>
              <w:t xml:space="preserve">0.000001 </w:t>
            </w:r>
          </w:p>
        </w:tc>
        <w:tc>
          <w:tcPr>
            <w:tcW w:w="942" w:type="dxa"/>
            <w:tcBorders>
              <w:right w:val="nil"/>
            </w:tcBorders>
            <w:shd w:val="clear" w:color="auto" w:fill="FFFFFF"/>
            <w:noWrap/>
            <w:vAlign w:val="center"/>
          </w:tcPr>
          <w:p w14:paraId="18475B8B">
            <w:pPr>
              <w:pStyle w:val="59"/>
              <w:bidi w:val="0"/>
              <w:rPr>
                <w:rFonts w:hint="default"/>
                <w:lang w:val="en-US" w:eastAsia="zh-CN"/>
              </w:rPr>
            </w:pPr>
            <w:r>
              <w:rPr>
                <w:rFonts w:hint="default"/>
                <w:lang w:val="en-US" w:eastAsia="zh-CN"/>
              </w:rPr>
              <w:t xml:space="preserve">2418 </w:t>
            </w:r>
          </w:p>
        </w:tc>
      </w:tr>
      <w:tr w14:paraId="3762529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tcBorders>
              <w:left w:val="nil"/>
            </w:tcBorders>
            <w:shd w:val="clear" w:color="auto" w:fill="FFFFFF"/>
            <w:vAlign w:val="center"/>
          </w:tcPr>
          <w:p w14:paraId="3FB306B5">
            <w:pPr>
              <w:pStyle w:val="59"/>
              <w:bidi w:val="0"/>
              <w:rPr>
                <w:rFonts w:hint="eastAsia"/>
                <w:b w:val="0"/>
                <w:color w:val="000000"/>
              </w:rPr>
            </w:pPr>
            <w:r>
              <w:rPr>
                <w:rFonts w:hint="eastAsia"/>
                <w:b w:val="0"/>
                <w:color w:val="000000"/>
                <w:lang w:val="en-US" w:eastAsia="zh-CN"/>
              </w:rPr>
              <w:t>合掌</w:t>
            </w:r>
          </w:p>
        </w:tc>
        <w:tc>
          <w:tcPr>
            <w:tcW w:w="528" w:type="pct"/>
            <w:shd w:val="clear" w:color="auto" w:fill="FFFFFF"/>
            <w:noWrap/>
            <w:vAlign w:val="center"/>
          </w:tcPr>
          <w:p w14:paraId="69A11174">
            <w:pPr>
              <w:pStyle w:val="59"/>
              <w:bidi w:val="0"/>
              <w:rPr>
                <w:rFonts w:hint="eastAsia"/>
                <w:b w:val="0"/>
                <w:color w:val="000000"/>
              </w:rPr>
            </w:pPr>
            <w:r>
              <w:rPr>
                <w:rFonts w:hint="eastAsia"/>
                <w:b w:val="0"/>
                <w:color w:val="000000"/>
                <w:lang w:val="en-US" w:eastAsia="zh-CN"/>
              </w:rPr>
              <w:t>合掌机</w:t>
            </w:r>
          </w:p>
        </w:tc>
        <w:tc>
          <w:tcPr>
            <w:tcW w:w="529" w:type="pct"/>
            <w:shd w:val="clear" w:color="auto" w:fill="FFFFFF"/>
            <w:noWrap/>
            <w:vAlign w:val="center"/>
          </w:tcPr>
          <w:p w14:paraId="1265EFC0">
            <w:pPr>
              <w:pStyle w:val="59"/>
              <w:bidi w:val="0"/>
              <w:rPr>
                <w:rFonts w:hint="eastAsia"/>
                <w:b w:val="0"/>
                <w:color w:val="000000"/>
                <w:lang w:val="en-US" w:eastAsia="zh-CN"/>
              </w:rPr>
            </w:pPr>
            <w:r>
              <w:rPr>
                <w:rFonts w:hint="eastAsia"/>
                <w:b w:val="0"/>
                <w:color w:val="000000"/>
                <w:lang w:val="en-US" w:eastAsia="zh-CN"/>
              </w:rPr>
              <w:t>总VOCs</w:t>
            </w:r>
          </w:p>
        </w:tc>
        <w:tc>
          <w:tcPr>
            <w:tcW w:w="840" w:type="dxa"/>
            <w:shd w:val="clear" w:color="auto" w:fill="FFFFFF"/>
            <w:noWrap/>
            <w:vAlign w:val="center"/>
          </w:tcPr>
          <w:p w14:paraId="4999EB3F">
            <w:pPr>
              <w:pStyle w:val="59"/>
              <w:bidi w:val="0"/>
              <w:rPr>
                <w:rFonts w:hint="eastAsia"/>
                <w:lang w:val="en-US" w:eastAsia="zh-CN"/>
              </w:rPr>
            </w:pPr>
            <w:r>
              <w:rPr>
                <w:rFonts w:hint="eastAsia"/>
                <w:lang w:val="en-US" w:eastAsia="zh-CN"/>
              </w:rPr>
              <w:t xml:space="preserve">0.870 </w:t>
            </w:r>
          </w:p>
        </w:tc>
        <w:tc>
          <w:tcPr>
            <w:tcW w:w="724" w:type="dxa"/>
            <w:shd w:val="clear" w:color="auto" w:fill="FFFFFF"/>
            <w:noWrap/>
            <w:vAlign w:val="center"/>
          </w:tcPr>
          <w:p w14:paraId="4B50DE0C">
            <w:pPr>
              <w:pStyle w:val="59"/>
              <w:bidi w:val="0"/>
              <w:rPr>
                <w:rFonts w:hint="default"/>
                <w:lang w:val="en-US" w:eastAsia="zh-CN"/>
              </w:rPr>
            </w:pPr>
            <w:r>
              <w:rPr>
                <w:rFonts w:hint="eastAsia"/>
                <w:lang w:val="en-US" w:eastAsia="zh-CN"/>
              </w:rPr>
              <w:t>50%</w:t>
            </w:r>
          </w:p>
        </w:tc>
        <w:tc>
          <w:tcPr>
            <w:tcW w:w="1020" w:type="dxa"/>
            <w:shd w:val="clear" w:color="auto" w:fill="FFFFFF"/>
            <w:noWrap/>
            <w:vAlign w:val="center"/>
          </w:tcPr>
          <w:p w14:paraId="7D636017">
            <w:pPr>
              <w:pStyle w:val="59"/>
              <w:bidi w:val="0"/>
              <w:rPr>
                <w:rFonts w:hint="eastAsia"/>
                <w:lang w:val="en-US" w:eastAsia="zh-CN"/>
              </w:rPr>
            </w:pPr>
            <w:r>
              <w:rPr>
                <w:rFonts w:hint="eastAsia"/>
                <w:lang w:val="en-US" w:eastAsia="zh-CN"/>
              </w:rPr>
              <w:t xml:space="preserve">0.435 </w:t>
            </w:r>
          </w:p>
        </w:tc>
        <w:tc>
          <w:tcPr>
            <w:tcW w:w="1016" w:type="dxa"/>
            <w:shd w:val="clear" w:color="auto" w:fill="FFFFFF"/>
            <w:noWrap/>
            <w:vAlign w:val="center"/>
          </w:tcPr>
          <w:p w14:paraId="67D4B4CE">
            <w:pPr>
              <w:pStyle w:val="59"/>
              <w:bidi w:val="0"/>
              <w:rPr>
                <w:rFonts w:hint="eastAsia"/>
                <w:lang w:val="en-US" w:eastAsia="zh-CN"/>
              </w:rPr>
            </w:pPr>
            <w:r>
              <w:rPr>
                <w:rFonts w:hint="eastAsia"/>
                <w:lang w:val="en-US" w:eastAsia="zh-CN"/>
              </w:rPr>
              <w:t>80%</w:t>
            </w:r>
          </w:p>
        </w:tc>
        <w:tc>
          <w:tcPr>
            <w:tcW w:w="1026" w:type="dxa"/>
            <w:shd w:val="clear" w:color="auto" w:fill="FFFFFF"/>
            <w:noWrap/>
            <w:vAlign w:val="center"/>
          </w:tcPr>
          <w:p w14:paraId="514A6B2C">
            <w:pPr>
              <w:pStyle w:val="59"/>
              <w:bidi w:val="0"/>
              <w:rPr>
                <w:rFonts w:hint="eastAsia"/>
                <w:lang w:val="en-US" w:eastAsia="zh-CN"/>
              </w:rPr>
            </w:pPr>
            <w:r>
              <w:rPr>
                <w:rFonts w:hint="eastAsia"/>
                <w:lang w:val="en-US" w:eastAsia="zh-CN"/>
              </w:rPr>
              <w:t xml:space="preserve">0.087 </w:t>
            </w:r>
          </w:p>
        </w:tc>
        <w:tc>
          <w:tcPr>
            <w:tcW w:w="712" w:type="dxa"/>
            <w:shd w:val="clear" w:color="auto" w:fill="FFFFFF"/>
            <w:noWrap/>
            <w:vAlign w:val="center"/>
          </w:tcPr>
          <w:p w14:paraId="0B3D4341">
            <w:pPr>
              <w:pStyle w:val="59"/>
              <w:bidi w:val="0"/>
              <w:rPr>
                <w:rFonts w:hint="eastAsia"/>
                <w:lang w:val="en-US" w:eastAsia="zh-CN"/>
              </w:rPr>
            </w:pPr>
            <w:r>
              <w:rPr>
                <w:rFonts w:hint="eastAsia"/>
                <w:lang w:val="en-US" w:eastAsia="zh-CN"/>
              </w:rPr>
              <w:t xml:space="preserve">0.435 </w:t>
            </w:r>
          </w:p>
        </w:tc>
        <w:tc>
          <w:tcPr>
            <w:tcW w:w="942" w:type="dxa"/>
            <w:tcBorders>
              <w:right w:val="nil"/>
            </w:tcBorders>
            <w:shd w:val="clear" w:color="auto" w:fill="FFFFFF"/>
            <w:noWrap/>
            <w:vAlign w:val="center"/>
          </w:tcPr>
          <w:p w14:paraId="771C18C8">
            <w:pPr>
              <w:pStyle w:val="59"/>
              <w:bidi w:val="0"/>
              <w:rPr>
                <w:rFonts w:hint="default"/>
                <w:lang w:val="en-US" w:eastAsia="zh-CN"/>
              </w:rPr>
            </w:pPr>
            <w:r>
              <w:rPr>
                <w:rFonts w:hint="default"/>
                <w:lang w:val="en-US" w:eastAsia="zh-CN"/>
              </w:rPr>
              <w:t xml:space="preserve">2418 </w:t>
            </w:r>
          </w:p>
        </w:tc>
      </w:tr>
      <w:tr w14:paraId="17CD499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restart"/>
            <w:tcBorders>
              <w:left w:val="nil"/>
            </w:tcBorders>
            <w:shd w:val="clear" w:color="auto" w:fill="FFFFFF"/>
            <w:vAlign w:val="center"/>
          </w:tcPr>
          <w:p w14:paraId="55CF1E9A">
            <w:pPr>
              <w:pStyle w:val="59"/>
              <w:bidi w:val="0"/>
              <w:rPr>
                <w:rFonts w:hint="eastAsia"/>
                <w:b w:val="0"/>
                <w:color w:val="000000"/>
              </w:rPr>
            </w:pPr>
            <w:r>
              <w:rPr>
                <w:rFonts w:hint="eastAsia"/>
                <w:b w:val="0"/>
                <w:color w:val="000000"/>
                <w:lang w:val="en-US" w:eastAsia="zh-CN"/>
              </w:rPr>
              <w:t>RTO天然气助燃</w:t>
            </w:r>
          </w:p>
        </w:tc>
        <w:tc>
          <w:tcPr>
            <w:tcW w:w="528" w:type="pct"/>
            <w:vMerge w:val="restart"/>
            <w:shd w:val="clear" w:color="auto" w:fill="FFFFFF"/>
            <w:noWrap/>
            <w:vAlign w:val="center"/>
          </w:tcPr>
          <w:p w14:paraId="6B5AD1C3">
            <w:pPr>
              <w:pStyle w:val="59"/>
              <w:bidi w:val="0"/>
              <w:rPr>
                <w:rFonts w:hint="eastAsia"/>
                <w:b w:val="0"/>
                <w:color w:val="000000"/>
              </w:rPr>
            </w:pPr>
            <w:r>
              <w:rPr>
                <w:rFonts w:hint="eastAsia"/>
                <w:b w:val="0"/>
                <w:color w:val="000000"/>
                <w:lang w:val="en-US" w:eastAsia="zh-CN"/>
              </w:rPr>
              <w:t>RTO</w:t>
            </w:r>
          </w:p>
        </w:tc>
        <w:tc>
          <w:tcPr>
            <w:tcW w:w="529" w:type="pct"/>
            <w:shd w:val="clear" w:color="auto" w:fill="FFFFFF"/>
            <w:noWrap/>
            <w:vAlign w:val="center"/>
          </w:tcPr>
          <w:p w14:paraId="3FD20523">
            <w:pPr>
              <w:pStyle w:val="59"/>
              <w:bidi w:val="0"/>
              <w:rPr>
                <w:rFonts w:hint="eastAsia"/>
                <w:b w:val="0"/>
                <w:color w:val="000000"/>
                <w:lang w:val="en-US" w:eastAsia="zh-CN"/>
              </w:rPr>
            </w:pPr>
            <w:r>
              <w:rPr>
                <w:rFonts w:hint="eastAsia"/>
                <w:b w:val="0"/>
                <w:color w:val="000000"/>
                <w:lang w:val="en-US" w:eastAsia="zh-CN"/>
              </w:rPr>
              <w:t>氮氧化物</w:t>
            </w:r>
          </w:p>
        </w:tc>
        <w:tc>
          <w:tcPr>
            <w:tcW w:w="840" w:type="dxa"/>
            <w:shd w:val="clear" w:color="auto" w:fill="FFFFFF"/>
            <w:noWrap/>
            <w:vAlign w:val="center"/>
          </w:tcPr>
          <w:p w14:paraId="28A58FD5">
            <w:pPr>
              <w:pStyle w:val="59"/>
              <w:bidi w:val="0"/>
              <w:rPr>
                <w:rFonts w:hint="eastAsia"/>
                <w:lang w:val="en-US" w:eastAsia="zh-CN"/>
              </w:rPr>
            </w:pPr>
            <w:r>
              <w:rPr>
                <w:rFonts w:hint="eastAsia"/>
                <w:lang w:val="en-US" w:eastAsia="zh-CN"/>
              </w:rPr>
              <w:t xml:space="preserve">0.206 </w:t>
            </w:r>
          </w:p>
        </w:tc>
        <w:tc>
          <w:tcPr>
            <w:tcW w:w="724" w:type="dxa"/>
            <w:shd w:val="clear" w:color="auto" w:fill="FFFFFF"/>
            <w:noWrap/>
            <w:vAlign w:val="center"/>
          </w:tcPr>
          <w:p w14:paraId="372740EF">
            <w:pPr>
              <w:pStyle w:val="59"/>
              <w:bidi w:val="0"/>
              <w:rPr>
                <w:rFonts w:hint="default"/>
                <w:lang w:val="en-US" w:eastAsia="zh-CN"/>
              </w:rPr>
            </w:pPr>
            <w:r>
              <w:rPr>
                <w:rFonts w:hint="eastAsia"/>
                <w:lang w:val="en-US" w:eastAsia="zh-CN"/>
              </w:rPr>
              <w:t>100%</w:t>
            </w:r>
          </w:p>
        </w:tc>
        <w:tc>
          <w:tcPr>
            <w:tcW w:w="1020" w:type="dxa"/>
            <w:shd w:val="clear" w:color="auto" w:fill="FFFFFF"/>
            <w:noWrap/>
            <w:vAlign w:val="center"/>
          </w:tcPr>
          <w:p w14:paraId="17237FF2">
            <w:pPr>
              <w:pStyle w:val="59"/>
              <w:bidi w:val="0"/>
              <w:rPr>
                <w:rFonts w:hint="eastAsia"/>
                <w:lang w:val="en-US" w:eastAsia="zh-CN"/>
              </w:rPr>
            </w:pPr>
            <w:r>
              <w:rPr>
                <w:rFonts w:hint="eastAsia"/>
                <w:lang w:val="en-US" w:eastAsia="zh-CN"/>
              </w:rPr>
              <w:t xml:space="preserve">0.206 </w:t>
            </w:r>
          </w:p>
        </w:tc>
        <w:tc>
          <w:tcPr>
            <w:tcW w:w="1016" w:type="dxa"/>
            <w:shd w:val="clear" w:color="auto" w:fill="FFFFFF"/>
            <w:noWrap/>
            <w:vAlign w:val="center"/>
          </w:tcPr>
          <w:p w14:paraId="2B4574B2">
            <w:pPr>
              <w:pStyle w:val="59"/>
              <w:bidi w:val="0"/>
              <w:rPr>
                <w:rFonts w:hint="eastAsia"/>
                <w:lang w:val="en-US" w:eastAsia="zh-CN"/>
              </w:rPr>
            </w:pPr>
            <w:r>
              <w:rPr>
                <w:rFonts w:hint="eastAsia"/>
                <w:lang w:val="en-US" w:eastAsia="zh-CN"/>
              </w:rPr>
              <w:t>0%</w:t>
            </w:r>
          </w:p>
        </w:tc>
        <w:tc>
          <w:tcPr>
            <w:tcW w:w="1026" w:type="dxa"/>
            <w:shd w:val="clear" w:color="auto" w:fill="FFFFFF"/>
            <w:noWrap/>
            <w:vAlign w:val="center"/>
          </w:tcPr>
          <w:p w14:paraId="5CA5CF2F">
            <w:pPr>
              <w:pStyle w:val="59"/>
              <w:bidi w:val="0"/>
              <w:rPr>
                <w:rFonts w:hint="eastAsia"/>
                <w:lang w:val="en-US" w:eastAsia="zh-CN"/>
              </w:rPr>
            </w:pPr>
            <w:r>
              <w:rPr>
                <w:rFonts w:hint="eastAsia"/>
                <w:lang w:val="en-US" w:eastAsia="zh-CN"/>
              </w:rPr>
              <w:t xml:space="preserve">0.206 </w:t>
            </w:r>
          </w:p>
        </w:tc>
        <w:tc>
          <w:tcPr>
            <w:tcW w:w="712" w:type="dxa"/>
            <w:shd w:val="clear" w:color="auto" w:fill="FFFFFF"/>
            <w:noWrap/>
            <w:vAlign w:val="center"/>
          </w:tcPr>
          <w:p w14:paraId="25CAB595">
            <w:pPr>
              <w:pStyle w:val="59"/>
              <w:bidi w:val="0"/>
              <w:rPr>
                <w:rFonts w:hint="eastAsia"/>
                <w:lang w:val="en-US" w:eastAsia="zh-CN"/>
              </w:rPr>
            </w:pPr>
            <w:r>
              <w:rPr>
                <w:rFonts w:hint="eastAsia"/>
                <w:lang w:val="en-US" w:eastAsia="zh-CN"/>
              </w:rPr>
              <w:t xml:space="preserve">0.000 </w:t>
            </w:r>
          </w:p>
        </w:tc>
        <w:tc>
          <w:tcPr>
            <w:tcW w:w="942" w:type="dxa"/>
            <w:tcBorders>
              <w:right w:val="nil"/>
            </w:tcBorders>
            <w:shd w:val="clear" w:color="auto" w:fill="FFFFFF"/>
            <w:noWrap/>
            <w:vAlign w:val="center"/>
          </w:tcPr>
          <w:p w14:paraId="62AACEAD">
            <w:pPr>
              <w:pStyle w:val="59"/>
              <w:bidi w:val="0"/>
              <w:rPr>
                <w:rFonts w:hint="default"/>
                <w:lang w:val="en-US" w:eastAsia="zh-CN"/>
              </w:rPr>
            </w:pPr>
            <w:r>
              <w:rPr>
                <w:rFonts w:hint="default"/>
                <w:lang w:val="en-US" w:eastAsia="zh-CN"/>
              </w:rPr>
              <w:t>1180</w:t>
            </w:r>
          </w:p>
        </w:tc>
      </w:tr>
      <w:tr w14:paraId="43476E4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continue"/>
            <w:tcBorders>
              <w:left w:val="nil"/>
            </w:tcBorders>
            <w:shd w:val="clear" w:color="auto" w:fill="FFFFFF"/>
            <w:vAlign w:val="center"/>
          </w:tcPr>
          <w:p w14:paraId="3C53947A">
            <w:pPr>
              <w:pStyle w:val="59"/>
              <w:bidi w:val="0"/>
              <w:rPr>
                <w:rFonts w:hint="eastAsia"/>
                <w:b w:val="0"/>
                <w:color w:val="000000"/>
              </w:rPr>
            </w:pPr>
          </w:p>
        </w:tc>
        <w:tc>
          <w:tcPr>
            <w:tcW w:w="528" w:type="pct"/>
            <w:vMerge w:val="continue"/>
            <w:shd w:val="clear" w:color="auto" w:fill="FFFFFF"/>
            <w:noWrap/>
            <w:vAlign w:val="center"/>
          </w:tcPr>
          <w:p w14:paraId="2D1DC813">
            <w:pPr>
              <w:pStyle w:val="59"/>
              <w:bidi w:val="0"/>
              <w:rPr>
                <w:rFonts w:hint="eastAsia"/>
                <w:b w:val="0"/>
                <w:color w:val="000000"/>
              </w:rPr>
            </w:pPr>
          </w:p>
        </w:tc>
        <w:tc>
          <w:tcPr>
            <w:tcW w:w="529" w:type="pct"/>
            <w:shd w:val="clear" w:color="auto" w:fill="FFFFFF"/>
            <w:noWrap/>
            <w:vAlign w:val="center"/>
          </w:tcPr>
          <w:p w14:paraId="7563F7BB">
            <w:pPr>
              <w:pStyle w:val="59"/>
              <w:bidi w:val="0"/>
              <w:rPr>
                <w:rFonts w:hint="eastAsia"/>
                <w:b w:val="0"/>
                <w:color w:val="000000"/>
                <w:lang w:val="en-US" w:eastAsia="zh-CN"/>
              </w:rPr>
            </w:pPr>
            <w:r>
              <w:rPr>
                <w:rFonts w:hint="eastAsia"/>
                <w:b w:val="0"/>
                <w:color w:val="000000"/>
                <w:lang w:val="en-US" w:eastAsia="zh-CN"/>
              </w:rPr>
              <w:t>二氧化硫</w:t>
            </w:r>
          </w:p>
        </w:tc>
        <w:tc>
          <w:tcPr>
            <w:tcW w:w="840" w:type="dxa"/>
            <w:shd w:val="clear" w:color="auto" w:fill="FFFFFF"/>
            <w:noWrap/>
            <w:vAlign w:val="center"/>
          </w:tcPr>
          <w:p w14:paraId="6E0C536F">
            <w:pPr>
              <w:pStyle w:val="59"/>
              <w:bidi w:val="0"/>
              <w:rPr>
                <w:rFonts w:hint="eastAsia"/>
                <w:lang w:val="en-US" w:eastAsia="zh-CN"/>
              </w:rPr>
            </w:pPr>
            <w:r>
              <w:rPr>
                <w:rFonts w:hint="eastAsia"/>
                <w:lang w:val="en-US" w:eastAsia="zh-CN"/>
              </w:rPr>
              <w:t xml:space="preserve">0.002 </w:t>
            </w:r>
          </w:p>
        </w:tc>
        <w:tc>
          <w:tcPr>
            <w:tcW w:w="724" w:type="dxa"/>
            <w:shd w:val="clear" w:color="auto" w:fill="FFFFFF"/>
            <w:noWrap/>
            <w:vAlign w:val="center"/>
          </w:tcPr>
          <w:p w14:paraId="7F116976">
            <w:pPr>
              <w:pStyle w:val="59"/>
              <w:bidi w:val="0"/>
              <w:rPr>
                <w:rFonts w:hint="default"/>
                <w:lang w:val="en-US" w:eastAsia="zh-CN"/>
              </w:rPr>
            </w:pPr>
            <w:r>
              <w:rPr>
                <w:rFonts w:hint="default"/>
                <w:lang w:val="en-US" w:eastAsia="zh-CN"/>
              </w:rPr>
              <w:t>100%</w:t>
            </w:r>
          </w:p>
        </w:tc>
        <w:tc>
          <w:tcPr>
            <w:tcW w:w="1020" w:type="dxa"/>
            <w:shd w:val="clear" w:color="auto" w:fill="FFFFFF"/>
            <w:noWrap/>
            <w:vAlign w:val="center"/>
          </w:tcPr>
          <w:p w14:paraId="04AD651F">
            <w:pPr>
              <w:pStyle w:val="59"/>
              <w:bidi w:val="0"/>
              <w:rPr>
                <w:rFonts w:hint="eastAsia"/>
                <w:lang w:val="en-US" w:eastAsia="zh-CN"/>
              </w:rPr>
            </w:pPr>
            <w:r>
              <w:rPr>
                <w:rFonts w:hint="eastAsia"/>
                <w:lang w:val="en-US" w:eastAsia="zh-CN"/>
              </w:rPr>
              <w:t xml:space="preserve">0.002 </w:t>
            </w:r>
          </w:p>
        </w:tc>
        <w:tc>
          <w:tcPr>
            <w:tcW w:w="1016" w:type="dxa"/>
            <w:shd w:val="clear" w:color="auto" w:fill="FFFFFF"/>
            <w:noWrap/>
            <w:vAlign w:val="center"/>
          </w:tcPr>
          <w:p w14:paraId="44296BA4">
            <w:pPr>
              <w:pStyle w:val="59"/>
              <w:bidi w:val="0"/>
              <w:rPr>
                <w:rFonts w:hint="eastAsia"/>
                <w:lang w:val="en-US" w:eastAsia="zh-CN"/>
              </w:rPr>
            </w:pPr>
            <w:r>
              <w:rPr>
                <w:rFonts w:hint="eastAsia"/>
                <w:lang w:val="en-US" w:eastAsia="zh-CN"/>
              </w:rPr>
              <w:t>0%</w:t>
            </w:r>
          </w:p>
        </w:tc>
        <w:tc>
          <w:tcPr>
            <w:tcW w:w="1026" w:type="dxa"/>
            <w:shd w:val="clear" w:color="auto" w:fill="FFFFFF"/>
            <w:noWrap/>
            <w:vAlign w:val="center"/>
          </w:tcPr>
          <w:p w14:paraId="715E1275">
            <w:pPr>
              <w:pStyle w:val="59"/>
              <w:bidi w:val="0"/>
              <w:rPr>
                <w:rFonts w:hint="eastAsia"/>
                <w:lang w:val="en-US" w:eastAsia="zh-CN"/>
              </w:rPr>
            </w:pPr>
            <w:r>
              <w:rPr>
                <w:rFonts w:hint="eastAsia"/>
                <w:lang w:val="en-US" w:eastAsia="zh-CN"/>
              </w:rPr>
              <w:t xml:space="preserve">0.002 </w:t>
            </w:r>
          </w:p>
        </w:tc>
        <w:tc>
          <w:tcPr>
            <w:tcW w:w="712" w:type="dxa"/>
            <w:shd w:val="clear" w:color="auto" w:fill="FFFFFF"/>
            <w:noWrap/>
            <w:vAlign w:val="center"/>
          </w:tcPr>
          <w:p w14:paraId="658B263A">
            <w:pPr>
              <w:pStyle w:val="59"/>
              <w:bidi w:val="0"/>
              <w:rPr>
                <w:rFonts w:hint="eastAsia"/>
                <w:lang w:val="en-US" w:eastAsia="zh-CN"/>
              </w:rPr>
            </w:pPr>
            <w:r>
              <w:rPr>
                <w:rFonts w:hint="eastAsia"/>
                <w:lang w:val="en-US" w:eastAsia="zh-CN"/>
              </w:rPr>
              <w:t xml:space="preserve">0.000 </w:t>
            </w:r>
          </w:p>
        </w:tc>
        <w:tc>
          <w:tcPr>
            <w:tcW w:w="942" w:type="dxa"/>
            <w:tcBorders>
              <w:right w:val="nil"/>
            </w:tcBorders>
            <w:shd w:val="clear" w:color="auto" w:fill="FFFFFF"/>
            <w:noWrap/>
            <w:vAlign w:val="center"/>
          </w:tcPr>
          <w:p w14:paraId="5B0D16EE">
            <w:pPr>
              <w:pStyle w:val="59"/>
              <w:bidi w:val="0"/>
              <w:rPr>
                <w:rFonts w:hint="default"/>
                <w:lang w:val="en-US" w:eastAsia="zh-CN"/>
              </w:rPr>
            </w:pPr>
            <w:r>
              <w:rPr>
                <w:rFonts w:hint="default"/>
                <w:lang w:val="en-US" w:eastAsia="zh-CN"/>
              </w:rPr>
              <w:t>1180</w:t>
            </w:r>
          </w:p>
        </w:tc>
      </w:tr>
      <w:tr w14:paraId="7A65483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8" w:type="pct"/>
            <w:vMerge w:val="continue"/>
            <w:tcBorders>
              <w:left w:val="nil"/>
              <w:bottom w:val="single" w:color="000000" w:sz="12" w:space="0"/>
            </w:tcBorders>
            <w:shd w:val="clear" w:color="auto" w:fill="FFFFFF"/>
            <w:vAlign w:val="center"/>
          </w:tcPr>
          <w:p w14:paraId="011D82C5">
            <w:pPr>
              <w:pStyle w:val="59"/>
              <w:bidi w:val="0"/>
              <w:rPr>
                <w:rFonts w:hint="eastAsia"/>
                <w:b w:val="0"/>
                <w:color w:val="000000"/>
              </w:rPr>
            </w:pPr>
          </w:p>
        </w:tc>
        <w:tc>
          <w:tcPr>
            <w:tcW w:w="528" w:type="pct"/>
            <w:vMerge w:val="continue"/>
            <w:tcBorders>
              <w:bottom w:val="single" w:color="000000" w:sz="12" w:space="0"/>
            </w:tcBorders>
            <w:shd w:val="clear" w:color="auto" w:fill="FFFFFF"/>
            <w:noWrap/>
            <w:vAlign w:val="center"/>
          </w:tcPr>
          <w:p w14:paraId="04B96ADF">
            <w:pPr>
              <w:pStyle w:val="59"/>
              <w:bidi w:val="0"/>
              <w:rPr>
                <w:rFonts w:hint="eastAsia"/>
                <w:b w:val="0"/>
                <w:color w:val="000000"/>
              </w:rPr>
            </w:pPr>
          </w:p>
        </w:tc>
        <w:tc>
          <w:tcPr>
            <w:tcW w:w="529" w:type="pct"/>
            <w:tcBorders>
              <w:bottom w:val="single" w:color="000000" w:sz="12" w:space="0"/>
            </w:tcBorders>
            <w:shd w:val="clear" w:color="auto" w:fill="FFFFFF"/>
            <w:noWrap/>
            <w:vAlign w:val="center"/>
          </w:tcPr>
          <w:p w14:paraId="4D478DB6">
            <w:pPr>
              <w:pStyle w:val="59"/>
              <w:bidi w:val="0"/>
              <w:rPr>
                <w:rFonts w:hint="eastAsia"/>
                <w:b w:val="0"/>
                <w:color w:val="000000"/>
                <w:lang w:val="en-US" w:eastAsia="zh-CN"/>
              </w:rPr>
            </w:pPr>
            <w:r>
              <w:rPr>
                <w:rFonts w:hint="eastAsia"/>
                <w:b w:val="0"/>
                <w:color w:val="000000"/>
                <w:lang w:val="en-US" w:eastAsia="zh-CN"/>
              </w:rPr>
              <w:t>颗粒物</w:t>
            </w:r>
          </w:p>
        </w:tc>
        <w:tc>
          <w:tcPr>
            <w:tcW w:w="840" w:type="dxa"/>
            <w:tcBorders>
              <w:bottom w:val="single" w:color="000000" w:sz="12" w:space="0"/>
            </w:tcBorders>
            <w:shd w:val="clear" w:color="auto" w:fill="FFFFFF"/>
            <w:noWrap/>
            <w:vAlign w:val="center"/>
          </w:tcPr>
          <w:p w14:paraId="33E2085F">
            <w:pPr>
              <w:pStyle w:val="59"/>
              <w:bidi w:val="0"/>
              <w:rPr>
                <w:rFonts w:hint="eastAsia"/>
                <w:lang w:val="en-US" w:eastAsia="zh-CN"/>
              </w:rPr>
            </w:pPr>
            <w:r>
              <w:rPr>
                <w:rFonts w:hint="eastAsia"/>
                <w:lang w:val="en-US" w:eastAsia="zh-CN"/>
              </w:rPr>
              <w:t xml:space="preserve">0.031 </w:t>
            </w:r>
          </w:p>
        </w:tc>
        <w:tc>
          <w:tcPr>
            <w:tcW w:w="724" w:type="dxa"/>
            <w:tcBorders>
              <w:bottom w:val="single" w:color="000000" w:sz="12" w:space="0"/>
            </w:tcBorders>
            <w:shd w:val="clear" w:color="auto" w:fill="FFFFFF"/>
            <w:noWrap/>
            <w:vAlign w:val="center"/>
          </w:tcPr>
          <w:p w14:paraId="2C1F7A16">
            <w:pPr>
              <w:pStyle w:val="59"/>
              <w:bidi w:val="0"/>
              <w:rPr>
                <w:rFonts w:hint="default"/>
                <w:lang w:val="en-US" w:eastAsia="zh-CN"/>
              </w:rPr>
            </w:pPr>
            <w:r>
              <w:rPr>
                <w:rFonts w:hint="default"/>
                <w:lang w:val="en-US" w:eastAsia="zh-CN"/>
              </w:rPr>
              <w:t>100%</w:t>
            </w:r>
          </w:p>
        </w:tc>
        <w:tc>
          <w:tcPr>
            <w:tcW w:w="1020" w:type="dxa"/>
            <w:tcBorders>
              <w:bottom w:val="single" w:color="000000" w:sz="12" w:space="0"/>
            </w:tcBorders>
            <w:shd w:val="clear" w:color="auto" w:fill="FFFFFF"/>
            <w:noWrap/>
            <w:vAlign w:val="center"/>
          </w:tcPr>
          <w:p w14:paraId="6E11C535">
            <w:pPr>
              <w:pStyle w:val="59"/>
              <w:bidi w:val="0"/>
              <w:rPr>
                <w:rFonts w:hint="eastAsia"/>
                <w:lang w:val="en-US" w:eastAsia="zh-CN"/>
              </w:rPr>
            </w:pPr>
            <w:r>
              <w:rPr>
                <w:rFonts w:hint="eastAsia"/>
                <w:lang w:val="en-US" w:eastAsia="zh-CN"/>
              </w:rPr>
              <w:t xml:space="preserve">0.031 </w:t>
            </w:r>
          </w:p>
        </w:tc>
        <w:tc>
          <w:tcPr>
            <w:tcW w:w="1016" w:type="dxa"/>
            <w:tcBorders>
              <w:bottom w:val="single" w:color="000000" w:sz="12" w:space="0"/>
            </w:tcBorders>
            <w:shd w:val="clear" w:color="auto" w:fill="FFFFFF"/>
            <w:noWrap/>
            <w:vAlign w:val="center"/>
          </w:tcPr>
          <w:p w14:paraId="4A28AF25">
            <w:pPr>
              <w:pStyle w:val="59"/>
              <w:bidi w:val="0"/>
              <w:rPr>
                <w:rFonts w:hint="eastAsia"/>
                <w:lang w:val="en-US" w:eastAsia="zh-CN"/>
              </w:rPr>
            </w:pPr>
            <w:r>
              <w:rPr>
                <w:rFonts w:hint="eastAsia"/>
                <w:lang w:val="en-US" w:eastAsia="zh-CN"/>
              </w:rPr>
              <w:t>0%</w:t>
            </w:r>
          </w:p>
        </w:tc>
        <w:tc>
          <w:tcPr>
            <w:tcW w:w="1026" w:type="dxa"/>
            <w:tcBorders>
              <w:bottom w:val="single" w:color="000000" w:sz="12" w:space="0"/>
            </w:tcBorders>
            <w:shd w:val="clear" w:color="auto" w:fill="FFFFFF"/>
            <w:noWrap/>
            <w:vAlign w:val="center"/>
          </w:tcPr>
          <w:p w14:paraId="5945BB9B">
            <w:pPr>
              <w:pStyle w:val="59"/>
              <w:bidi w:val="0"/>
              <w:rPr>
                <w:rFonts w:hint="eastAsia"/>
                <w:lang w:val="en-US" w:eastAsia="zh-CN"/>
              </w:rPr>
            </w:pPr>
            <w:r>
              <w:rPr>
                <w:rFonts w:hint="eastAsia"/>
                <w:lang w:val="en-US" w:eastAsia="zh-CN"/>
              </w:rPr>
              <w:t xml:space="preserve">0.031 </w:t>
            </w:r>
          </w:p>
        </w:tc>
        <w:tc>
          <w:tcPr>
            <w:tcW w:w="712" w:type="dxa"/>
            <w:tcBorders>
              <w:bottom w:val="single" w:color="000000" w:sz="12" w:space="0"/>
            </w:tcBorders>
            <w:shd w:val="clear" w:color="auto" w:fill="FFFFFF"/>
            <w:noWrap/>
            <w:vAlign w:val="center"/>
          </w:tcPr>
          <w:p w14:paraId="4D10BB94">
            <w:pPr>
              <w:pStyle w:val="59"/>
              <w:bidi w:val="0"/>
              <w:rPr>
                <w:rFonts w:hint="eastAsia"/>
                <w:lang w:val="en-US" w:eastAsia="zh-CN"/>
              </w:rPr>
            </w:pPr>
            <w:r>
              <w:rPr>
                <w:rFonts w:hint="eastAsia"/>
                <w:lang w:val="en-US" w:eastAsia="zh-CN"/>
              </w:rPr>
              <w:t xml:space="preserve">0.000 </w:t>
            </w:r>
          </w:p>
        </w:tc>
        <w:tc>
          <w:tcPr>
            <w:tcW w:w="942" w:type="dxa"/>
            <w:tcBorders>
              <w:bottom w:val="single" w:color="000000" w:sz="12" w:space="0"/>
              <w:right w:val="nil"/>
            </w:tcBorders>
            <w:shd w:val="clear" w:color="auto" w:fill="FFFFFF"/>
            <w:noWrap/>
            <w:vAlign w:val="center"/>
          </w:tcPr>
          <w:p w14:paraId="52AB9ED4">
            <w:pPr>
              <w:pStyle w:val="59"/>
              <w:bidi w:val="0"/>
              <w:rPr>
                <w:rFonts w:hint="default"/>
                <w:lang w:val="en-US" w:eastAsia="zh-CN"/>
              </w:rPr>
            </w:pPr>
            <w:r>
              <w:rPr>
                <w:rFonts w:hint="default"/>
                <w:lang w:val="en-US" w:eastAsia="zh-CN"/>
              </w:rPr>
              <w:t>1180</w:t>
            </w:r>
          </w:p>
        </w:tc>
      </w:tr>
    </w:tbl>
    <w:p w14:paraId="12819AFB">
      <w:pPr>
        <w:pStyle w:val="65"/>
        <w:numPr>
          <w:ilvl w:val="0"/>
          <w:numId w:val="31"/>
        </w:numPr>
        <w:rPr>
          <w:color w:val="auto"/>
        </w:rPr>
      </w:pPr>
      <w:r>
        <w:rPr>
          <w:rFonts w:hint="eastAsia"/>
          <w:color w:val="auto"/>
        </w:rPr>
        <w:t>非正常工况排污</w:t>
      </w:r>
    </w:p>
    <w:p w14:paraId="5363487C">
      <w:pPr>
        <w:ind w:firstLine="480"/>
        <w:rPr>
          <w:color w:val="auto"/>
        </w:rPr>
      </w:pPr>
      <w:r>
        <w:rPr>
          <w:rFonts w:hint="eastAsia"/>
          <w:color w:val="auto"/>
        </w:rPr>
        <w:t>（1）非正常停电</w:t>
      </w:r>
    </w:p>
    <w:p w14:paraId="1AF9F06A">
      <w:pPr>
        <w:ind w:firstLine="480"/>
        <w:rPr>
          <w:color w:val="auto"/>
        </w:rPr>
      </w:pPr>
      <w:r>
        <w:rPr>
          <w:rFonts w:hint="eastAsia"/>
          <w:color w:val="auto"/>
        </w:rPr>
        <w:t>若出现非正常情况停电，各装置立即停止运行，风机及泵停止运转，此时废气处理装置不再运行，已抽吸的废气经排气筒排放。</w:t>
      </w:r>
    </w:p>
    <w:p w14:paraId="2849060B">
      <w:pPr>
        <w:ind w:firstLine="480"/>
        <w:rPr>
          <w:color w:val="auto"/>
        </w:rPr>
      </w:pPr>
      <w:r>
        <w:rPr>
          <w:rFonts w:hint="eastAsia"/>
          <w:color w:val="auto"/>
        </w:rPr>
        <w:t>（2）开、停车</w:t>
      </w:r>
    </w:p>
    <w:p w14:paraId="51DCA3A8">
      <w:pPr>
        <w:ind w:firstLine="480"/>
        <w:rPr>
          <w:color w:val="auto"/>
        </w:rPr>
      </w:pPr>
      <w:r>
        <w:rPr>
          <w:rFonts w:hint="eastAsia"/>
          <w:color w:val="auto"/>
        </w:rPr>
        <w:t>由于工况不稳定导致</w:t>
      </w:r>
      <w:r>
        <w:rPr>
          <w:rFonts w:hint="eastAsia"/>
          <w:color w:val="auto"/>
          <w:lang w:val="en-US" w:eastAsia="zh-CN"/>
        </w:rPr>
        <w:t>RTO</w:t>
      </w:r>
      <w:r>
        <w:rPr>
          <w:color w:val="auto"/>
        </w:rPr>
        <w:t>非正常工况</w:t>
      </w:r>
      <w:r>
        <w:rPr>
          <w:rFonts w:hint="eastAsia"/>
          <w:color w:val="auto"/>
        </w:rPr>
        <w:t>产生，</w:t>
      </w:r>
      <w:r>
        <w:rPr>
          <w:color w:val="auto"/>
        </w:rPr>
        <w:t>情景预设如下所示：</w:t>
      </w:r>
    </w:p>
    <w:p w14:paraId="3E7AA49E">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rPr>
        <w:t>非正常排放参数表</w:t>
      </w:r>
    </w:p>
    <w:tbl>
      <w:tblPr>
        <w:tblStyle w:val="38"/>
        <w:tblW w:w="907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1329"/>
        <w:gridCol w:w="1512"/>
        <w:gridCol w:w="1512"/>
        <w:gridCol w:w="1512"/>
        <w:gridCol w:w="1512"/>
      </w:tblGrid>
      <w:tr w14:paraId="5E2876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695" w:type="dxa"/>
            <w:vAlign w:val="center"/>
          </w:tcPr>
          <w:p w14:paraId="1701BCBD">
            <w:pPr>
              <w:pStyle w:val="69"/>
              <w:rPr>
                <w:color w:val="auto"/>
              </w:rPr>
            </w:pPr>
            <w:r>
              <w:rPr>
                <w:rFonts w:hint="eastAsia"/>
                <w:color w:val="auto"/>
              </w:rPr>
              <w:t>非正常排放源</w:t>
            </w:r>
          </w:p>
        </w:tc>
        <w:tc>
          <w:tcPr>
            <w:tcW w:w="1329" w:type="dxa"/>
            <w:vAlign w:val="center"/>
          </w:tcPr>
          <w:p w14:paraId="51CFC725">
            <w:pPr>
              <w:pStyle w:val="69"/>
              <w:rPr>
                <w:color w:val="auto"/>
              </w:rPr>
            </w:pPr>
            <w:r>
              <w:rPr>
                <w:rFonts w:hint="eastAsia"/>
                <w:color w:val="auto"/>
              </w:rPr>
              <w:t>非正常排放原因</w:t>
            </w:r>
          </w:p>
        </w:tc>
        <w:tc>
          <w:tcPr>
            <w:tcW w:w="1512" w:type="dxa"/>
            <w:vAlign w:val="center"/>
          </w:tcPr>
          <w:p w14:paraId="0F6D119B">
            <w:pPr>
              <w:pStyle w:val="69"/>
              <w:rPr>
                <w:color w:val="auto"/>
              </w:rPr>
            </w:pPr>
            <w:r>
              <w:rPr>
                <w:rFonts w:hint="eastAsia"/>
                <w:color w:val="auto"/>
              </w:rPr>
              <w:t>污染物</w:t>
            </w:r>
          </w:p>
        </w:tc>
        <w:tc>
          <w:tcPr>
            <w:tcW w:w="1512" w:type="dxa"/>
            <w:vAlign w:val="center"/>
          </w:tcPr>
          <w:p w14:paraId="41991D1C">
            <w:pPr>
              <w:pStyle w:val="69"/>
              <w:rPr>
                <w:color w:val="auto"/>
              </w:rPr>
            </w:pPr>
            <w:r>
              <w:rPr>
                <w:rFonts w:hint="eastAsia"/>
                <w:color w:val="auto"/>
              </w:rPr>
              <w:t>非正常排放速率（kg/h）</w:t>
            </w:r>
          </w:p>
        </w:tc>
        <w:tc>
          <w:tcPr>
            <w:tcW w:w="1512" w:type="dxa"/>
            <w:vAlign w:val="center"/>
          </w:tcPr>
          <w:p w14:paraId="2AE423C3">
            <w:pPr>
              <w:pStyle w:val="69"/>
              <w:rPr>
                <w:color w:val="auto"/>
              </w:rPr>
            </w:pPr>
            <w:r>
              <w:rPr>
                <w:rFonts w:hint="eastAsia"/>
                <w:color w:val="auto"/>
              </w:rPr>
              <w:t>单次持续时间/h</w:t>
            </w:r>
          </w:p>
        </w:tc>
        <w:tc>
          <w:tcPr>
            <w:tcW w:w="1512" w:type="dxa"/>
            <w:vAlign w:val="center"/>
          </w:tcPr>
          <w:p w14:paraId="2941CBDB">
            <w:pPr>
              <w:pStyle w:val="69"/>
              <w:rPr>
                <w:color w:val="auto"/>
              </w:rPr>
            </w:pPr>
            <w:r>
              <w:rPr>
                <w:rFonts w:hint="eastAsia"/>
                <w:color w:val="auto"/>
              </w:rPr>
              <w:t>年发生频次/次</w:t>
            </w:r>
          </w:p>
        </w:tc>
      </w:tr>
      <w:tr w14:paraId="543408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95" w:type="dxa"/>
            <w:vAlign w:val="center"/>
          </w:tcPr>
          <w:p w14:paraId="7E9F96B2">
            <w:pPr>
              <w:pStyle w:val="59"/>
              <w:rPr>
                <w:rFonts w:hint="eastAsia" w:eastAsia="宋体"/>
                <w:color w:val="auto"/>
                <w:lang w:eastAsia="zh-CN"/>
              </w:rPr>
            </w:pPr>
            <w:r>
              <w:rPr>
                <w:rFonts w:hint="eastAsia"/>
                <w:color w:val="auto"/>
                <w:lang w:val="en-US" w:eastAsia="zh-CN"/>
              </w:rPr>
              <w:t>印刷</w:t>
            </w:r>
          </w:p>
        </w:tc>
        <w:tc>
          <w:tcPr>
            <w:tcW w:w="1329" w:type="dxa"/>
            <w:vAlign w:val="center"/>
          </w:tcPr>
          <w:p w14:paraId="5305296E">
            <w:pPr>
              <w:pStyle w:val="59"/>
              <w:rPr>
                <w:rFonts w:hint="default" w:eastAsia="宋体"/>
                <w:color w:val="auto"/>
                <w:lang w:val="en-US" w:eastAsia="zh-CN"/>
              </w:rPr>
            </w:pPr>
            <w:r>
              <w:rPr>
                <w:rFonts w:hint="eastAsia"/>
                <w:color w:val="auto"/>
                <w:lang w:val="en-US" w:eastAsia="zh-CN"/>
              </w:rPr>
              <w:t>废气治理设施故障</w:t>
            </w:r>
          </w:p>
        </w:tc>
        <w:tc>
          <w:tcPr>
            <w:tcW w:w="1512" w:type="dxa"/>
            <w:vAlign w:val="center"/>
          </w:tcPr>
          <w:p w14:paraId="418FA39A">
            <w:pPr>
              <w:pStyle w:val="59"/>
              <w:rPr>
                <w:rFonts w:hint="default" w:eastAsia="宋体"/>
                <w:color w:val="auto"/>
                <w:lang w:val="en-US" w:eastAsia="zh-CN"/>
              </w:rPr>
            </w:pPr>
            <w:r>
              <w:rPr>
                <w:rFonts w:hint="eastAsia"/>
                <w:color w:val="auto"/>
                <w:lang w:val="en-US" w:eastAsia="zh-CN"/>
              </w:rPr>
              <w:t>总VOCs</w:t>
            </w:r>
          </w:p>
        </w:tc>
        <w:tc>
          <w:tcPr>
            <w:tcW w:w="1512" w:type="dxa"/>
            <w:vAlign w:val="center"/>
          </w:tcPr>
          <w:p w14:paraId="19F75F79">
            <w:pPr>
              <w:pStyle w:val="59"/>
              <w:rPr>
                <w:rFonts w:hint="default" w:eastAsia="宋体"/>
                <w:color w:val="auto"/>
                <w:lang w:val="en-US" w:eastAsia="zh-CN"/>
              </w:rPr>
            </w:pPr>
            <w:r>
              <w:rPr>
                <w:rFonts w:hint="eastAsia"/>
                <w:color w:val="auto"/>
                <w:lang w:val="en-US" w:eastAsia="zh-CN"/>
              </w:rPr>
              <w:t>22.834</w:t>
            </w:r>
          </w:p>
        </w:tc>
        <w:tc>
          <w:tcPr>
            <w:tcW w:w="1512" w:type="dxa"/>
            <w:vAlign w:val="center"/>
          </w:tcPr>
          <w:p w14:paraId="6BA2B472">
            <w:pPr>
              <w:pStyle w:val="59"/>
              <w:rPr>
                <w:rFonts w:hint="eastAsia" w:eastAsia="宋体"/>
                <w:color w:val="auto"/>
                <w:lang w:eastAsia="zh-CN"/>
              </w:rPr>
            </w:pPr>
            <w:r>
              <w:rPr>
                <w:rFonts w:hint="eastAsia"/>
                <w:color w:val="auto"/>
              </w:rPr>
              <w:t>0.</w:t>
            </w:r>
            <w:r>
              <w:rPr>
                <w:rFonts w:hint="eastAsia"/>
                <w:color w:val="auto"/>
                <w:lang w:val="en-US" w:eastAsia="zh-CN"/>
              </w:rPr>
              <w:t>5</w:t>
            </w:r>
          </w:p>
        </w:tc>
        <w:tc>
          <w:tcPr>
            <w:tcW w:w="1512" w:type="dxa"/>
            <w:vAlign w:val="center"/>
          </w:tcPr>
          <w:p w14:paraId="7679B40D">
            <w:pPr>
              <w:pStyle w:val="59"/>
              <w:rPr>
                <w:rFonts w:hint="eastAsia" w:eastAsia="宋体"/>
                <w:color w:val="auto"/>
                <w:lang w:eastAsia="zh-CN"/>
              </w:rPr>
            </w:pPr>
            <w:r>
              <w:rPr>
                <w:rFonts w:hint="eastAsia"/>
                <w:color w:val="auto"/>
                <w:lang w:val="en-US" w:eastAsia="zh-CN"/>
              </w:rPr>
              <w:t>1</w:t>
            </w:r>
          </w:p>
        </w:tc>
      </w:tr>
    </w:tbl>
    <w:p w14:paraId="5FCA8B98">
      <w:pPr>
        <w:ind w:firstLine="480"/>
        <w:rPr>
          <w:color w:val="auto"/>
        </w:rPr>
        <w:sectPr>
          <w:pgSz w:w="11906" w:h="16838"/>
          <w:pgMar w:top="1417" w:right="1417" w:bottom="1417" w:left="1417" w:header="992" w:footer="992" w:gutter="0"/>
          <w:pgNumType w:fmt="decimal"/>
          <w:cols w:space="720" w:num="1"/>
          <w:docGrid w:type="lines" w:linePitch="312" w:charSpace="0"/>
        </w:sectPr>
      </w:pPr>
    </w:p>
    <w:p w14:paraId="6AA66A6E">
      <w:pPr>
        <w:pStyle w:val="62"/>
        <w:numPr>
          <w:ilvl w:val="0"/>
          <w:numId w:val="30"/>
        </w:numPr>
        <w:tabs>
          <w:tab w:val="left" w:pos="2411"/>
        </w:tabs>
        <w:ind w:left="0" w:leftChars="0" w:firstLine="0" w:firstLineChars="0"/>
        <w:rPr>
          <w:color w:val="auto"/>
        </w:rPr>
      </w:pPr>
      <w:r>
        <w:rPr>
          <w:rFonts w:hint="eastAsia" w:ascii="Times New Roman" w:hAnsi="Times New Roman" w:eastAsia="宋体" w:cs="Times New Roman"/>
        </w:rPr>
        <w:t>废气污染源源强核算结果及相关参数一览</w:t>
      </w:r>
    </w:p>
    <w:tbl>
      <w:tblPr>
        <w:tblStyle w:val="38"/>
        <w:tblW w:w="1418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230"/>
        <w:gridCol w:w="900"/>
        <w:gridCol w:w="885"/>
        <w:gridCol w:w="972"/>
        <w:gridCol w:w="773"/>
        <w:gridCol w:w="952"/>
        <w:gridCol w:w="952"/>
        <w:gridCol w:w="1144"/>
        <w:gridCol w:w="760"/>
        <w:gridCol w:w="951"/>
        <w:gridCol w:w="945"/>
        <w:gridCol w:w="934"/>
        <w:gridCol w:w="922"/>
        <w:gridCol w:w="917"/>
      </w:tblGrid>
      <w:tr w14:paraId="0FF5E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952" w:type="dxa"/>
            <w:vMerge w:val="restart"/>
            <w:vAlign w:val="center"/>
          </w:tcPr>
          <w:p w14:paraId="279697A8">
            <w:pPr>
              <w:pStyle w:val="69"/>
              <w:jc w:val="center"/>
              <w:rPr>
                <w:color w:val="auto"/>
                <w:szCs w:val="22"/>
              </w:rPr>
            </w:pPr>
            <w:r>
              <w:rPr>
                <w:rFonts w:hint="eastAsia"/>
                <w:color w:val="auto"/>
                <w:szCs w:val="22"/>
              </w:rPr>
              <w:t>工序/</w:t>
            </w:r>
          </w:p>
          <w:p w14:paraId="2F495B4E">
            <w:pPr>
              <w:pStyle w:val="69"/>
              <w:jc w:val="center"/>
              <w:rPr>
                <w:color w:val="auto"/>
                <w:szCs w:val="22"/>
              </w:rPr>
            </w:pPr>
            <w:r>
              <w:rPr>
                <w:rFonts w:hint="eastAsia"/>
                <w:color w:val="auto"/>
                <w:szCs w:val="22"/>
              </w:rPr>
              <w:t>生产线</w:t>
            </w:r>
          </w:p>
        </w:tc>
        <w:tc>
          <w:tcPr>
            <w:tcW w:w="1230" w:type="dxa"/>
            <w:vMerge w:val="restart"/>
            <w:vAlign w:val="center"/>
          </w:tcPr>
          <w:p w14:paraId="4D5B2DB2">
            <w:pPr>
              <w:pStyle w:val="69"/>
              <w:jc w:val="center"/>
              <w:rPr>
                <w:color w:val="auto"/>
                <w:szCs w:val="22"/>
              </w:rPr>
            </w:pPr>
            <w:r>
              <w:rPr>
                <w:rFonts w:hint="eastAsia"/>
                <w:color w:val="auto"/>
                <w:szCs w:val="22"/>
              </w:rPr>
              <w:t>装置</w:t>
            </w:r>
          </w:p>
        </w:tc>
        <w:tc>
          <w:tcPr>
            <w:tcW w:w="900" w:type="dxa"/>
            <w:vMerge w:val="restart"/>
            <w:vAlign w:val="center"/>
          </w:tcPr>
          <w:p w14:paraId="3A7AAF22">
            <w:pPr>
              <w:pStyle w:val="69"/>
              <w:jc w:val="center"/>
              <w:rPr>
                <w:color w:val="auto"/>
                <w:szCs w:val="22"/>
              </w:rPr>
            </w:pPr>
            <w:r>
              <w:rPr>
                <w:rFonts w:hint="eastAsia"/>
                <w:color w:val="auto"/>
                <w:szCs w:val="22"/>
              </w:rPr>
              <w:t>污染源</w:t>
            </w:r>
          </w:p>
        </w:tc>
        <w:tc>
          <w:tcPr>
            <w:tcW w:w="885" w:type="dxa"/>
            <w:vMerge w:val="restart"/>
            <w:vAlign w:val="center"/>
          </w:tcPr>
          <w:p w14:paraId="0391D9B9">
            <w:pPr>
              <w:pStyle w:val="69"/>
              <w:jc w:val="center"/>
              <w:rPr>
                <w:color w:val="auto"/>
                <w:szCs w:val="22"/>
              </w:rPr>
            </w:pPr>
            <w:r>
              <w:rPr>
                <w:rFonts w:hint="eastAsia"/>
                <w:color w:val="auto"/>
                <w:szCs w:val="22"/>
              </w:rPr>
              <w:t>污染物</w:t>
            </w:r>
          </w:p>
        </w:tc>
        <w:tc>
          <w:tcPr>
            <w:tcW w:w="3649" w:type="dxa"/>
            <w:gridSpan w:val="4"/>
            <w:vAlign w:val="center"/>
          </w:tcPr>
          <w:p w14:paraId="4E49537C">
            <w:pPr>
              <w:pStyle w:val="69"/>
              <w:jc w:val="center"/>
              <w:rPr>
                <w:color w:val="auto"/>
                <w:szCs w:val="22"/>
              </w:rPr>
            </w:pPr>
            <w:r>
              <w:rPr>
                <w:rFonts w:hint="eastAsia"/>
                <w:color w:val="auto"/>
                <w:szCs w:val="22"/>
              </w:rPr>
              <w:t>污染物产生</w:t>
            </w:r>
          </w:p>
        </w:tc>
        <w:tc>
          <w:tcPr>
            <w:tcW w:w="1904" w:type="dxa"/>
            <w:gridSpan w:val="2"/>
            <w:vAlign w:val="center"/>
          </w:tcPr>
          <w:p w14:paraId="0B2DEB9B">
            <w:pPr>
              <w:pStyle w:val="69"/>
              <w:jc w:val="center"/>
              <w:rPr>
                <w:color w:val="auto"/>
                <w:szCs w:val="22"/>
              </w:rPr>
            </w:pPr>
            <w:r>
              <w:rPr>
                <w:rFonts w:hint="eastAsia"/>
                <w:color w:val="auto"/>
                <w:szCs w:val="22"/>
              </w:rPr>
              <w:t>治理措施</w:t>
            </w:r>
          </w:p>
        </w:tc>
        <w:tc>
          <w:tcPr>
            <w:tcW w:w="3752" w:type="dxa"/>
            <w:gridSpan w:val="4"/>
            <w:vAlign w:val="center"/>
          </w:tcPr>
          <w:p w14:paraId="2325FBE8">
            <w:pPr>
              <w:pStyle w:val="69"/>
              <w:jc w:val="center"/>
              <w:rPr>
                <w:color w:val="auto"/>
                <w:szCs w:val="22"/>
              </w:rPr>
            </w:pPr>
            <w:r>
              <w:rPr>
                <w:rFonts w:hint="eastAsia"/>
                <w:color w:val="auto"/>
                <w:szCs w:val="22"/>
              </w:rPr>
              <w:t>污染物排放</w:t>
            </w:r>
          </w:p>
        </w:tc>
        <w:tc>
          <w:tcPr>
            <w:tcW w:w="917" w:type="dxa"/>
            <w:vMerge w:val="restart"/>
            <w:vAlign w:val="center"/>
          </w:tcPr>
          <w:p w14:paraId="551E2C0E">
            <w:pPr>
              <w:pStyle w:val="69"/>
              <w:jc w:val="center"/>
              <w:rPr>
                <w:color w:val="auto"/>
                <w:szCs w:val="22"/>
              </w:rPr>
            </w:pPr>
            <w:r>
              <w:rPr>
                <w:rFonts w:hint="eastAsia"/>
                <w:color w:val="auto"/>
                <w:szCs w:val="22"/>
              </w:rPr>
              <w:t>排放</w:t>
            </w:r>
          </w:p>
          <w:p w14:paraId="15CAFD09">
            <w:pPr>
              <w:pStyle w:val="69"/>
              <w:jc w:val="center"/>
              <w:rPr>
                <w:color w:val="auto"/>
                <w:szCs w:val="22"/>
              </w:rPr>
            </w:pPr>
            <w:r>
              <w:rPr>
                <w:rFonts w:hint="eastAsia"/>
                <w:color w:val="auto"/>
                <w:szCs w:val="22"/>
              </w:rPr>
              <w:t>时间/h</w:t>
            </w:r>
          </w:p>
        </w:tc>
      </w:tr>
      <w:tr w14:paraId="55CD0B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952" w:type="dxa"/>
            <w:vMerge w:val="continue"/>
            <w:vAlign w:val="center"/>
          </w:tcPr>
          <w:p w14:paraId="152FE5CC">
            <w:pPr>
              <w:pStyle w:val="69"/>
              <w:jc w:val="center"/>
              <w:rPr>
                <w:color w:val="auto"/>
                <w:szCs w:val="22"/>
              </w:rPr>
            </w:pPr>
          </w:p>
        </w:tc>
        <w:tc>
          <w:tcPr>
            <w:tcW w:w="1230" w:type="dxa"/>
            <w:vMerge w:val="continue"/>
            <w:vAlign w:val="center"/>
          </w:tcPr>
          <w:p w14:paraId="40B30CC5">
            <w:pPr>
              <w:pStyle w:val="69"/>
              <w:jc w:val="center"/>
              <w:rPr>
                <w:color w:val="auto"/>
                <w:szCs w:val="22"/>
              </w:rPr>
            </w:pPr>
          </w:p>
        </w:tc>
        <w:tc>
          <w:tcPr>
            <w:tcW w:w="900" w:type="dxa"/>
            <w:vMerge w:val="continue"/>
            <w:vAlign w:val="center"/>
          </w:tcPr>
          <w:p w14:paraId="46BFA974">
            <w:pPr>
              <w:pStyle w:val="69"/>
              <w:jc w:val="center"/>
              <w:rPr>
                <w:color w:val="auto"/>
                <w:szCs w:val="22"/>
              </w:rPr>
            </w:pPr>
          </w:p>
        </w:tc>
        <w:tc>
          <w:tcPr>
            <w:tcW w:w="885" w:type="dxa"/>
            <w:vMerge w:val="continue"/>
            <w:vAlign w:val="center"/>
          </w:tcPr>
          <w:p w14:paraId="3862490E">
            <w:pPr>
              <w:pStyle w:val="69"/>
              <w:jc w:val="center"/>
              <w:rPr>
                <w:color w:val="auto"/>
                <w:szCs w:val="22"/>
              </w:rPr>
            </w:pPr>
          </w:p>
        </w:tc>
        <w:tc>
          <w:tcPr>
            <w:tcW w:w="972" w:type="dxa"/>
            <w:vAlign w:val="center"/>
          </w:tcPr>
          <w:p w14:paraId="3120DF5E">
            <w:pPr>
              <w:pStyle w:val="69"/>
              <w:jc w:val="center"/>
              <w:rPr>
                <w:color w:val="auto"/>
                <w:szCs w:val="22"/>
              </w:rPr>
            </w:pPr>
            <w:r>
              <w:rPr>
                <w:rFonts w:hint="eastAsia"/>
                <w:color w:val="auto"/>
                <w:szCs w:val="22"/>
              </w:rPr>
              <w:t>核算</w:t>
            </w:r>
          </w:p>
          <w:p w14:paraId="1CE17B14">
            <w:pPr>
              <w:pStyle w:val="69"/>
              <w:jc w:val="center"/>
              <w:rPr>
                <w:color w:val="auto"/>
                <w:szCs w:val="22"/>
              </w:rPr>
            </w:pPr>
            <w:r>
              <w:rPr>
                <w:rFonts w:hint="eastAsia"/>
                <w:color w:val="auto"/>
                <w:szCs w:val="22"/>
              </w:rPr>
              <w:t>方法</w:t>
            </w:r>
          </w:p>
        </w:tc>
        <w:tc>
          <w:tcPr>
            <w:tcW w:w="773" w:type="dxa"/>
            <w:vAlign w:val="center"/>
          </w:tcPr>
          <w:p w14:paraId="0C274473">
            <w:pPr>
              <w:pStyle w:val="69"/>
              <w:jc w:val="center"/>
              <w:rPr>
                <w:color w:val="auto"/>
                <w:szCs w:val="22"/>
              </w:rPr>
            </w:pPr>
            <w:r>
              <w:rPr>
                <w:rFonts w:hint="eastAsia"/>
                <w:color w:val="auto"/>
                <w:szCs w:val="22"/>
              </w:rPr>
              <w:t>废气产生量/（m</w:t>
            </w:r>
            <w:r>
              <w:rPr>
                <w:rFonts w:hint="eastAsia"/>
                <w:color w:val="auto"/>
                <w:szCs w:val="22"/>
                <w:vertAlign w:val="superscript"/>
              </w:rPr>
              <w:t xml:space="preserve"> 3 </w:t>
            </w:r>
            <w:r>
              <w:rPr>
                <w:rFonts w:hint="eastAsia"/>
                <w:color w:val="auto"/>
                <w:szCs w:val="22"/>
              </w:rPr>
              <w:t>/h）</w:t>
            </w:r>
          </w:p>
        </w:tc>
        <w:tc>
          <w:tcPr>
            <w:tcW w:w="952" w:type="dxa"/>
            <w:vAlign w:val="center"/>
          </w:tcPr>
          <w:p w14:paraId="0A2C3BAD">
            <w:pPr>
              <w:pStyle w:val="69"/>
              <w:jc w:val="center"/>
              <w:rPr>
                <w:color w:val="auto"/>
                <w:szCs w:val="22"/>
              </w:rPr>
            </w:pPr>
            <w:r>
              <w:rPr>
                <w:rFonts w:hint="eastAsia"/>
                <w:color w:val="auto"/>
                <w:szCs w:val="22"/>
              </w:rPr>
              <w:t>产生浓度/（mg/m</w:t>
            </w:r>
            <w:r>
              <w:rPr>
                <w:rFonts w:hint="eastAsia"/>
                <w:color w:val="auto"/>
                <w:szCs w:val="22"/>
                <w:vertAlign w:val="superscript"/>
              </w:rPr>
              <w:t>3</w:t>
            </w:r>
            <w:r>
              <w:rPr>
                <w:rFonts w:hint="eastAsia"/>
                <w:color w:val="auto"/>
                <w:szCs w:val="22"/>
              </w:rPr>
              <w:t>）</w:t>
            </w:r>
          </w:p>
        </w:tc>
        <w:tc>
          <w:tcPr>
            <w:tcW w:w="952" w:type="dxa"/>
            <w:vAlign w:val="center"/>
          </w:tcPr>
          <w:p w14:paraId="5D468470">
            <w:pPr>
              <w:pStyle w:val="69"/>
              <w:jc w:val="center"/>
              <w:rPr>
                <w:color w:val="auto"/>
                <w:szCs w:val="22"/>
              </w:rPr>
            </w:pPr>
            <w:r>
              <w:rPr>
                <w:rFonts w:hint="eastAsia"/>
                <w:color w:val="auto"/>
                <w:szCs w:val="22"/>
              </w:rPr>
              <w:t>产生量/（kg/h）</w:t>
            </w:r>
          </w:p>
        </w:tc>
        <w:tc>
          <w:tcPr>
            <w:tcW w:w="1144" w:type="dxa"/>
            <w:vAlign w:val="center"/>
          </w:tcPr>
          <w:p w14:paraId="23704CE9">
            <w:pPr>
              <w:pStyle w:val="69"/>
              <w:jc w:val="center"/>
              <w:rPr>
                <w:color w:val="auto"/>
                <w:szCs w:val="22"/>
              </w:rPr>
            </w:pPr>
            <w:r>
              <w:rPr>
                <w:rFonts w:hint="eastAsia"/>
                <w:color w:val="auto"/>
                <w:szCs w:val="22"/>
              </w:rPr>
              <w:t>工艺</w:t>
            </w:r>
          </w:p>
        </w:tc>
        <w:tc>
          <w:tcPr>
            <w:tcW w:w="760" w:type="dxa"/>
            <w:vAlign w:val="center"/>
          </w:tcPr>
          <w:p w14:paraId="14B8E959">
            <w:pPr>
              <w:pStyle w:val="69"/>
              <w:jc w:val="center"/>
              <w:rPr>
                <w:color w:val="auto"/>
                <w:szCs w:val="22"/>
              </w:rPr>
            </w:pPr>
            <w:r>
              <w:rPr>
                <w:rFonts w:hint="eastAsia"/>
                <w:color w:val="auto"/>
                <w:szCs w:val="22"/>
              </w:rPr>
              <w:t>效率/%</w:t>
            </w:r>
          </w:p>
        </w:tc>
        <w:tc>
          <w:tcPr>
            <w:tcW w:w="951" w:type="dxa"/>
            <w:vAlign w:val="center"/>
          </w:tcPr>
          <w:p w14:paraId="7BE7D731">
            <w:pPr>
              <w:pStyle w:val="69"/>
              <w:jc w:val="center"/>
              <w:rPr>
                <w:color w:val="auto"/>
                <w:szCs w:val="22"/>
              </w:rPr>
            </w:pPr>
            <w:r>
              <w:rPr>
                <w:rFonts w:hint="eastAsia"/>
                <w:color w:val="auto"/>
                <w:szCs w:val="22"/>
              </w:rPr>
              <w:t>核算</w:t>
            </w:r>
          </w:p>
          <w:p w14:paraId="695846D0">
            <w:pPr>
              <w:pStyle w:val="69"/>
              <w:jc w:val="center"/>
              <w:rPr>
                <w:color w:val="auto"/>
                <w:szCs w:val="22"/>
              </w:rPr>
            </w:pPr>
            <w:r>
              <w:rPr>
                <w:rFonts w:hint="eastAsia"/>
                <w:color w:val="auto"/>
                <w:szCs w:val="22"/>
              </w:rPr>
              <w:t>方法</w:t>
            </w:r>
          </w:p>
        </w:tc>
        <w:tc>
          <w:tcPr>
            <w:tcW w:w="945" w:type="dxa"/>
            <w:vAlign w:val="center"/>
          </w:tcPr>
          <w:p w14:paraId="2C25F69F">
            <w:pPr>
              <w:pStyle w:val="69"/>
              <w:jc w:val="center"/>
              <w:rPr>
                <w:color w:val="auto"/>
                <w:szCs w:val="22"/>
              </w:rPr>
            </w:pPr>
            <w:r>
              <w:rPr>
                <w:rFonts w:hint="eastAsia"/>
                <w:color w:val="auto"/>
                <w:szCs w:val="22"/>
              </w:rPr>
              <w:t>废气排放量</w:t>
            </w:r>
          </w:p>
          <w:p w14:paraId="2D7B5567">
            <w:pPr>
              <w:pStyle w:val="69"/>
              <w:jc w:val="center"/>
              <w:rPr>
                <w:color w:val="auto"/>
                <w:szCs w:val="22"/>
              </w:rPr>
            </w:pPr>
            <w:r>
              <w:rPr>
                <w:rFonts w:hint="eastAsia"/>
                <w:color w:val="auto"/>
                <w:szCs w:val="22"/>
              </w:rPr>
              <w:t>/（m</w:t>
            </w:r>
            <w:r>
              <w:rPr>
                <w:rFonts w:hint="eastAsia"/>
                <w:color w:val="auto"/>
                <w:szCs w:val="22"/>
                <w:vertAlign w:val="superscript"/>
              </w:rPr>
              <w:t xml:space="preserve">3 </w:t>
            </w:r>
            <w:r>
              <w:rPr>
                <w:rFonts w:hint="eastAsia"/>
                <w:color w:val="auto"/>
                <w:szCs w:val="22"/>
              </w:rPr>
              <w:t>/h）</w:t>
            </w:r>
          </w:p>
        </w:tc>
        <w:tc>
          <w:tcPr>
            <w:tcW w:w="934" w:type="dxa"/>
            <w:vAlign w:val="center"/>
          </w:tcPr>
          <w:p w14:paraId="1E168021">
            <w:pPr>
              <w:pStyle w:val="69"/>
              <w:jc w:val="center"/>
              <w:rPr>
                <w:color w:val="auto"/>
                <w:szCs w:val="22"/>
              </w:rPr>
            </w:pPr>
            <w:r>
              <w:rPr>
                <w:rFonts w:hint="eastAsia"/>
                <w:color w:val="auto"/>
                <w:szCs w:val="22"/>
              </w:rPr>
              <w:t>排放浓度/（mg/m</w:t>
            </w:r>
            <w:r>
              <w:rPr>
                <w:rFonts w:hint="eastAsia"/>
                <w:color w:val="auto"/>
                <w:szCs w:val="22"/>
                <w:vertAlign w:val="superscript"/>
              </w:rPr>
              <w:t xml:space="preserve">3 </w:t>
            </w:r>
            <w:r>
              <w:rPr>
                <w:rFonts w:hint="eastAsia"/>
                <w:color w:val="auto"/>
                <w:szCs w:val="22"/>
              </w:rPr>
              <w:t>）</w:t>
            </w:r>
          </w:p>
        </w:tc>
        <w:tc>
          <w:tcPr>
            <w:tcW w:w="922" w:type="dxa"/>
            <w:vAlign w:val="center"/>
          </w:tcPr>
          <w:p w14:paraId="7A887B6A">
            <w:pPr>
              <w:pStyle w:val="69"/>
              <w:jc w:val="center"/>
              <w:rPr>
                <w:color w:val="auto"/>
                <w:szCs w:val="22"/>
              </w:rPr>
            </w:pPr>
            <w:r>
              <w:rPr>
                <w:rFonts w:hint="eastAsia"/>
                <w:color w:val="auto"/>
                <w:szCs w:val="22"/>
              </w:rPr>
              <w:t>排放量/</w:t>
            </w:r>
          </w:p>
          <w:p w14:paraId="1B3430A9">
            <w:pPr>
              <w:pStyle w:val="69"/>
              <w:jc w:val="center"/>
              <w:rPr>
                <w:color w:val="auto"/>
                <w:szCs w:val="22"/>
              </w:rPr>
            </w:pPr>
            <w:r>
              <w:rPr>
                <w:rFonts w:hint="eastAsia"/>
                <w:color w:val="auto"/>
                <w:szCs w:val="22"/>
              </w:rPr>
              <w:t>（kg/h）</w:t>
            </w:r>
          </w:p>
        </w:tc>
        <w:tc>
          <w:tcPr>
            <w:tcW w:w="917" w:type="dxa"/>
            <w:vMerge w:val="continue"/>
            <w:vAlign w:val="center"/>
          </w:tcPr>
          <w:p w14:paraId="366FD8DF">
            <w:pPr>
              <w:pStyle w:val="69"/>
              <w:jc w:val="center"/>
              <w:rPr>
                <w:color w:val="auto"/>
                <w:szCs w:val="22"/>
              </w:rPr>
            </w:pPr>
          </w:p>
        </w:tc>
      </w:tr>
      <w:tr w14:paraId="3E995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Align w:val="center"/>
          </w:tcPr>
          <w:p w14:paraId="559D647C">
            <w:pPr>
              <w:pStyle w:val="59"/>
              <w:bidi w:val="0"/>
            </w:pPr>
            <w:r>
              <w:rPr>
                <w:rFonts w:hint="eastAsia"/>
                <w:lang w:val="en-US" w:eastAsia="zh-CN"/>
              </w:rPr>
              <w:t>印刷、烘干、调墨、洗机、危废贮存</w:t>
            </w:r>
          </w:p>
        </w:tc>
        <w:tc>
          <w:tcPr>
            <w:tcW w:w="1230" w:type="dxa"/>
            <w:vAlign w:val="center"/>
          </w:tcPr>
          <w:p w14:paraId="385094F1">
            <w:pPr>
              <w:pStyle w:val="59"/>
              <w:bidi w:val="0"/>
              <w:rPr>
                <w:rFonts w:hint="default"/>
                <w:lang w:val="en-US"/>
              </w:rPr>
            </w:pPr>
            <w:r>
              <w:rPr>
                <w:rFonts w:hint="eastAsia"/>
                <w:lang w:val="en-US" w:eastAsia="zh-CN"/>
              </w:rPr>
              <w:t>印刷机、调墨房、危废暂存间</w:t>
            </w:r>
          </w:p>
        </w:tc>
        <w:tc>
          <w:tcPr>
            <w:tcW w:w="900" w:type="dxa"/>
            <w:vMerge w:val="restart"/>
            <w:vAlign w:val="center"/>
          </w:tcPr>
          <w:p w14:paraId="0BD42B88">
            <w:pPr>
              <w:pStyle w:val="59"/>
              <w:bidi w:val="0"/>
            </w:pPr>
            <w:r>
              <w:rPr>
                <w:rFonts w:hint="eastAsia"/>
                <w:lang w:val="en-US" w:eastAsia="zh-CN"/>
              </w:rPr>
              <w:t>DA001</w:t>
            </w:r>
          </w:p>
        </w:tc>
        <w:tc>
          <w:tcPr>
            <w:tcW w:w="885" w:type="dxa"/>
            <w:vAlign w:val="center"/>
          </w:tcPr>
          <w:p w14:paraId="39F25144">
            <w:pPr>
              <w:pStyle w:val="59"/>
              <w:bidi w:val="0"/>
            </w:pPr>
            <w:r>
              <w:rPr>
                <w:rFonts w:hint="eastAsia"/>
                <w:lang w:val="en-US" w:eastAsia="zh-CN"/>
              </w:rPr>
              <w:t>总VOCs</w:t>
            </w:r>
          </w:p>
        </w:tc>
        <w:tc>
          <w:tcPr>
            <w:tcW w:w="972" w:type="dxa"/>
            <w:vAlign w:val="center"/>
          </w:tcPr>
          <w:p w14:paraId="0EB66F1E">
            <w:pPr>
              <w:pStyle w:val="59"/>
              <w:bidi w:val="0"/>
            </w:pPr>
            <w:r>
              <w:rPr>
                <w:rFonts w:hint="eastAsia"/>
                <w:lang w:val="en-US" w:eastAsia="zh-CN"/>
              </w:rPr>
              <w:t>物料衡算法</w:t>
            </w:r>
          </w:p>
        </w:tc>
        <w:tc>
          <w:tcPr>
            <w:tcW w:w="773" w:type="dxa"/>
            <w:vAlign w:val="center"/>
          </w:tcPr>
          <w:p w14:paraId="70D34354">
            <w:pPr>
              <w:pStyle w:val="59"/>
              <w:bidi w:val="0"/>
            </w:pPr>
            <w:r>
              <w:rPr>
                <w:rFonts w:hint="eastAsia"/>
                <w:lang w:val="en-US" w:eastAsia="zh-CN"/>
              </w:rPr>
              <w:t>30000</w:t>
            </w:r>
          </w:p>
        </w:tc>
        <w:tc>
          <w:tcPr>
            <w:tcW w:w="952" w:type="dxa"/>
            <w:vAlign w:val="center"/>
          </w:tcPr>
          <w:p w14:paraId="2F3E8B1D">
            <w:pPr>
              <w:pStyle w:val="59"/>
              <w:bidi w:val="0"/>
            </w:pPr>
            <w:r>
              <w:rPr>
                <w:rFonts w:hint="eastAsia"/>
                <w:lang w:val="en-US" w:eastAsia="zh-CN"/>
              </w:rPr>
              <w:t xml:space="preserve">881.56 </w:t>
            </w:r>
          </w:p>
        </w:tc>
        <w:tc>
          <w:tcPr>
            <w:tcW w:w="952" w:type="dxa"/>
            <w:vAlign w:val="center"/>
          </w:tcPr>
          <w:p w14:paraId="0F52578C">
            <w:pPr>
              <w:pStyle w:val="59"/>
              <w:bidi w:val="0"/>
            </w:pPr>
            <w:r>
              <w:rPr>
                <w:rFonts w:hint="eastAsia"/>
                <w:lang w:val="en-US" w:eastAsia="zh-CN"/>
              </w:rPr>
              <w:t xml:space="preserve">26.447 </w:t>
            </w:r>
          </w:p>
        </w:tc>
        <w:tc>
          <w:tcPr>
            <w:tcW w:w="1144" w:type="dxa"/>
            <w:vAlign w:val="center"/>
          </w:tcPr>
          <w:p w14:paraId="049A9A45">
            <w:pPr>
              <w:pStyle w:val="59"/>
              <w:bidi w:val="0"/>
            </w:pPr>
            <w:r>
              <w:rPr>
                <w:rFonts w:hint="eastAsia"/>
                <w:lang w:val="en-US" w:eastAsia="zh-CN"/>
              </w:rPr>
              <w:t>旋转式分子筛吸附-脱附-蓄热燃烧</w:t>
            </w:r>
          </w:p>
        </w:tc>
        <w:tc>
          <w:tcPr>
            <w:tcW w:w="760" w:type="dxa"/>
            <w:vAlign w:val="center"/>
          </w:tcPr>
          <w:p w14:paraId="0C85E735">
            <w:pPr>
              <w:pStyle w:val="59"/>
              <w:bidi w:val="0"/>
            </w:pPr>
            <w:r>
              <w:rPr>
                <w:rFonts w:hint="default"/>
                <w:lang w:val="en-US" w:eastAsia="zh-CN"/>
              </w:rPr>
              <w:t>88%</w:t>
            </w:r>
          </w:p>
        </w:tc>
        <w:tc>
          <w:tcPr>
            <w:tcW w:w="951" w:type="dxa"/>
            <w:vAlign w:val="center"/>
          </w:tcPr>
          <w:p w14:paraId="383E1B05">
            <w:pPr>
              <w:pStyle w:val="59"/>
              <w:bidi w:val="0"/>
            </w:pPr>
            <w:r>
              <w:rPr>
                <w:rFonts w:hint="eastAsia"/>
                <w:lang w:val="en-US" w:eastAsia="zh-CN"/>
              </w:rPr>
              <w:t>物料衡算法</w:t>
            </w:r>
          </w:p>
        </w:tc>
        <w:tc>
          <w:tcPr>
            <w:tcW w:w="945" w:type="dxa"/>
            <w:vAlign w:val="center"/>
          </w:tcPr>
          <w:p w14:paraId="0EF58427">
            <w:pPr>
              <w:pStyle w:val="59"/>
              <w:bidi w:val="0"/>
            </w:pPr>
            <w:r>
              <w:rPr>
                <w:rFonts w:hint="eastAsia"/>
                <w:lang w:val="en-US" w:eastAsia="zh-CN"/>
              </w:rPr>
              <w:t>30000</w:t>
            </w:r>
          </w:p>
        </w:tc>
        <w:tc>
          <w:tcPr>
            <w:tcW w:w="934" w:type="dxa"/>
            <w:vAlign w:val="center"/>
          </w:tcPr>
          <w:p w14:paraId="1A544662">
            <w:pPr>
              <w:pStyle w:val="59"/>
              <w:bidi w:val="0"/>
            </w:pPr>
            <w:r>
              <w:rPr>
                <w:rFonts w:hint="eastAsia"/>
                <w:lang w:val="en-US" w:eastAsia="zh-CN"/>
              </w:rPr>
              <w:t xml:space="preserve">105.93 </w:t>
            </w:r>
          </w:p>
        </w:tc>
        <w:tc>
          <w:tcPr>
            <w:tcW w:w="922" w:type="dxa"/>
            <w:vAlign w:val="center"/>
          </w:tcPr>
          <w:p w14:paraId="56C582EE">
            <w:pPr>
              <w:pStyle w:val="59"/>
              <w:bidi w:val="0"/>
            </w:pPr>
            <w:r>
              <w:rPr>
                <w:rFonts w:hint="eastAsia"/>
                <w:lang w:val="en-US" w:eastAsia="zh-CN"/>
              </w:rPr>
              <w:t xml:space="preserve">3.178 </w:t>
            </w:r>
          </w:p>
        </w:tc>
        <w:tc>
          <w:tcPr>
            <w:tcW w:w="917" w:type="dxa"/>
            <w:vAlign w:val="center"/>
          </w:tcPr>
          <w:p w14:paraId="5AFAADB2">
            <w:pPr>
              <w:pStyle w:val="59"/>
              <w:bidi w:val="0"/>
            </w:pPr>
            <w:r>
              <w:rPr>
                <w:rFonts w:hint="eastAsia"/>
                <w:lang w:val="en-US" w:eastAsia="zh-CN"/>
              </w:rPr>
              <w:t xml:space="preserve">1896 </w:t>
            </w:r>
          </w:p>
        </w:tc>
      </w:tr>
      <w:tr w14:paraId="1004B7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restart"/>
            <w:vAlign w:val="center"/>
          </w:tcPr>
          <w:p w14:paraId="05751B31">
            <w:pPr>
              <w:pStyle w:val="59"/>
              <w:bidi w:val="0"/>
            </w:pPr>
            <w:r>
              <w:rPr>
                <w:rFonts w:hint="eastAsia"/>
                <w:lang w:val="en-US" w:eastAsia="zh-CN"/>
              </w:rPr>
              <w:t>RTO天然气助燃</w:t>
            </w:r>
          </w:p>
        </w:tc>
        <w:tc>
          <w:tcPr>
            <w:tcW w:w="1230" w:type="dxa"/>
            <w:vMerge w:val="restart"/>
            <w:vAlign w:val="center"/>
          </w:tcPr>
          <w:p w14:paraId="698F830B">
            <w:pPr>
              <w:pStyle w:val="59"/>
              <w:bidi w:val="0"/>
            </w:pPr>
            <w:r>
              <w:rPr>
                <w:rFonts w:hint="eastAsia"/>
                <w:lang w:val="en-US" w:eastAsia="zh-CN"/>
              </w:rPr>
              <w:t>RTO</w:t>
            </w:r>
          </w:p>
        </w:tc>
        <w:tc>
          <w:tcPr>
            <w:tcW w:w="900" w:type="dxa"/>
            <w:vMerge w:val="continue"/>
            <w:vAlign w:val="center"/>
          </w:tcPr>
          <w:p w14:paraId="1FF7C66B">
            <w:pPr>
              <w:pStyle w:val="59"/>
              <w:bidi w:val="0"/>
            </w:pPr>
          </w:p>
        </w:tc>
        <w:tc>
          <w:tcPr>
            <w:tcW w:w="885" w:type="dxa"/>
            <w:vAlign w:val="center"/>
          </w:tcPr>
          <w:p w14:paraId="3CD3F81D">
            <w:pPr>
              <w:pStyle w:val="59"/>
              <w:bidi w:val="0"/>
            </w:pPr>
            <w:r>
              <w:rPr>
                <w:rFonts w:hint="eastAsia"/>
                <w:lang w:val="en-US" w:eastAsia="zh-CN"/>
              </w:rPr>
              <w:t>氮氧化物</w:t>
            </w:r>
          </w:p>
        </w:tc>
        <w:tc>
          <w:tcPr>
            <w:tcW w:w="972" w:type="dxa"/>
            <w:vAlign w:val="center"/>
          </w:tcPr>
          <w:p w14:paraId="5A55DFB5">
            <w:pPr>
              <w:pStyle w:val="59"/>
              <w:bidi w:val="0"/>
            </w:pPr>
            <w:r>
              <w:rPr>
                <w:rFonts w:hint="eastAsia"/>
                <w:lang w:val="en-US" w:eastAsia="zh-CN"/>
              </w:rPr>
              <w:t>产污系数法</w:t>
            </w:r>
          </w:p>
        </w:tc>
        <w:tc>
          <w:tcPr>
            <w:tcW w:w="773" w:type="dxa"/>
            <w:vAlign w:val="center"/>
          </w:tcPr>
          <w:p w14:paraId="37B73132">
            <w:pPr>
              <w:pStyle w:val="59"/>
              <w:bidi w:val="0"/>
            </w:pPr>
            <w:r>
              <w:rPr>
                <w:rFonts w:hint="eastAsia"/>
                <w:lang w:val="en-US" w:eastAsia="zh-CN"/>
              </w:rPr>
              <w:t xml:space="preserve">1497 </w:t>
            </w:r>
          </w:p>
        </w:tc>
        <w:tc>
          <w:tcPr>
            <w:tcW w:w="952" w:type="dxa"/>
            <w:vAlign w:val="center"/>
          </w:tcPr>
          <w:p w14:paraId="3F2F5D7C">
            <w:pPr>
              <w:pStyle w:val="59"/>
              <w:bidi w:val="0"/>
            </w:pPr>
            <w:r>
              <w:rPr>
                <w:rFonts w:hint="eastAsia"/>
                <w:lang w:val="en-US" w:eastAsia="zh-CN"/>
              </w:rPr>
              <w:t xml:space="preserve">116.53 </w:t>
            </w:r>
          </w:p>
        </w:tc>
        <w:tc>
          <w:tcPr>
            <w:tcW w:w="952" w:type="dxa"/>
            <w:vAlign w:val="center"/>
          </w:tcPr>
          <w:p w14:paraId="046AB363">
            <w:pPr>
              <w:pStyle w:val="59"/>
              <w:bidi w:val="0"/>
            </w:pPr>
            <w:r>
              <w:rPr>
                <w:rFonts w:hint="eastAsia"/>
                <w:lang w:val="en-US" w:eastAsia="zh-CN"/>
              </w:rPr>
              <w:t xml:space="preserve">0.174 </w:t>
            </w:r>
          </w:p>
        </w:tc>
        <w:tc>
          <w:tcPr>
            <w:tcW w:w="1144" w:type="dxa"/>
            <w:vAlign w:val="center"/>
          </w:tcPr>
          <w:p w14:paraId="048CB84E">
            <w:pPr>
              <w:pStyle w:val="59"/>
              <w:bidi w:val="0"/>
            </w:pPr>
            <w:r>
              <w:rPr>
                <w:rFonts w:hint="eastAsia"/>
                <w:lang w:val="en-US" w:eastAsia="zh-CN"/>
              </w:rPr>
              <w:t>直排</w:t>
            </w:r>
          </w:p>
        </w:tc>
        <w:tc>
          <w:tcPr>
            <w:tcW w:w="760" w:type="dxa"/>
            <w:vAlign w:val="center"/>
          </w:tcPr>
          <w:p w14:paraId="24AEF025">
            <w:pPr>
              <w:pStyle w:val="59"/>
              <w:bidi w:val="0"/>
            </w:pPr>
            <w:r>
              <w:rPr>
                <w:rFonts w:hint="eastAsia"/>
                <w:lang w:val="en-US" w:eastAsia="zh-CN"/>
              </w:rPr>
              <w:t>0</w:t>
            </w:r>
          </w:p>
        </w:tc>
        <w:tc>
          <w:tcPr>
            <w:tcW w:w="951" w:type="dxa"/>
            <w:vAlign w:val="center"/>
          </w:tcPr>
          <w:p w14:paraId="49BC75F2">
            <w:pPr>
              <w:pStyle w:val="59"/>
              <w:bidi w:val="0"/>
            </w:pPr>
            <w:r>
              <w:rPr>
                <w:rFonts w:hint="eastAsia"/>
                <w:lang w:val="en-US" w:eastAsia="zh-CN"/>
              </w:rPr>
              <w:t>产污系数法</w:t>
            </w:r>
          </w:p>
        </w:tc>
        <w:tc>
          <w:tcPr>
            <w:tcW w:w="945" w:type="dxa"/>
            <w:vAlign w:val="center"/>
          </w:tcPr>
          <w:p w14:paraId="469FF9D9">
            <w:pPr>
              <w:pStyle w:val="59"/>
              <w:bidi w:val="0"/>
            </w:pPr>
            <w:r>
              <w:rPr>
                <w:rFonts w:hint="eastAsia"/>
                <w:lang w:val="en-US" w:eastAsia="zh-CN"/>
              </w:rPr>
              <w:t xml:space="preserve">1497 </w:t>
            </w:r>
          </w:p>
        </w:tc>
        <w:tc>
          <w:tcPr>
            <w:tcW w:w="934" w:type="dxa"/>
            <w:vAlign w:val="center"/>
          </w:tcPr>
          <w:p w14:paraId="67AC7740">
            <w:pPr>
              <w:pStyle w:val="59"/>
              <w:bidi w:val="0"/>
            </w:pPr>
            <w:r>
              <w:rPr>
                <w:rFonts w:hint="eastAsia"/>
                <w:lang w:val="en-US" w:eastAsia="zh-CN"/>
              </w:rPr>
              <w:t xml:space="preserve">116.53 </w:t>
            </w:r>
          </w:p>
        </w:tc>
        <w:tc>
          <w:tcPr>
            <w:tcW w:w="922" w:type="dxa"/>
            <w:vAlign w:val="center"/>
          </w:tcPr>
          <w:p w14:paraId="5AD9E0B4">
            <w:pPr>
              <w:pStyle w:val="59"/>
              <w:bidi w:val="0"/>
            </w:pPr>
            <w:r>
              <w:rPr>
                <w:rFonts w:hint="eastAsia"/>
                <w:lang w:val="en-US" w:eastAsia="zh-CN"/>
              </w:rPr>
              <w:t xml:space="preserve">0.174 </w:t>
            </w:r>
          </w:p>
        </w:tc>
        <w:tc>
          <w:tcPr>
            <w:tcW w:w="917" w:type="dxa"/>
            <w:vAlign w:val="center"/>
          </w:tcPr>
          <w:p w14:paraId="30A40822">
            <w:pPr>
              <w:pStyle w:val="59"/>
              <w:bidi w:val="0"/>
            </w:pPr>
            <w:r>
              <w:rPr>
                <w:rFonts w:hint="eastAsia"/>
                <w:lang w:val="en-US" w:eastAsia="zh-CN"/>
              </w:rPr>
              <w:t xml:space="preserve">1180 </w:t>
            </w:r>
          </w:p>
        </w:tc>
      </w:tr>
      <w:tr w14:paraId="20EEF8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2EFB1426">
            <w:pPr>
              <w:pStyle w:val="59"/>
              <w:bidi w:val="0"/>
            </w:pPr>
          </w:p>
        </w:tc>
        <w:tc>
          <w:tcPr>
            <w:tcW w:w="1230" w:type="dxa"/>
            <w:vMerge w:val="continue"/>
            <w:vAlign w:val="center"/>
          </w:tcPr>
          <w:p w14:paraId="7117E954">
            <w:pPr>
              <w:pStyle w:val="59"/>
              <w:bidi w:val="0"/>
            </w:pPr>
          </w:p>
        </w:tc>
        <w:tc>
          <w:tcPr>
            <w:tcW w:w="900" w:type="dxa"/>
            <w:vMerge w:val="continue"/>
            <w:vAlign w:val="center"/>
          </w:tcPr>
          <w:p w14:paraId="1C6420AA">
            <w:pPr>
              <w:pStyle w:val="59"/>
              <w:bidi w:val="0"/>
            </w:pPr>
          </w:p>
        </w:tc>
        <w:tc>
          <w:tcPr>
            <w:tcW w:w="885" w:type="dxa"/>
            <w:vAlign w:val="center"/>
          </w:tcPr>
          <w:p w14:paraId="49D39158">
            <w:pPr>
              <w:pStyle w:val="59"/>
              <w:bidi w:val="0"/>
            </w:pPr>
            <w:r>
              <w:rPr>
                <w:rFonts w:hint="eastAsia"/>
                <w:lang w:val="en-US" w:eastAsia="zh-CN"/>
              </w:rPr>
              <w:t>二氧化硫</w:t>
            </w:r>
          </w:p>
        </w:tc>
        <w:tc>
          <w:tcPr>
            <w:tcW w:w="972" w:type="dxa"/>
            <w:vAlign w:val="center"/>
          </w:tcPr>
          <w:p w14:paraId="5339E5C7">
            <w:pPr>
              <w:pStyle w:val="59"/>
              <w:bidi w:val="0"/>
            </w:pPr>
            <w:r>
              <w:rPr>
                <w:rFonts w:hint="eastAsia"/>
                <w:lang w:val="en-US" w:eastAsia="zh-CN"/>
              </w:rPr>
              <w:t>产污系数法</w:t>
            </w:r>
          </w:p>
        </w:tc>
        <w:tc>
          <w:tcPr>
            <w:tcW w:w="773" w:type="dxa"/>
            <w:vAlign w:val="center"/>
          </w:tcPr>
          <w:p w14:paraId="6C89670D">
            <w:pPr>
              <w:pStyle w:val="59"/>
              <w:bidi w:val="0"/>
            </w:pPr>
            <w:r>
              <w:rPr>
                <w:rFonts w:hint="eastAsia"/>
                <w:lang w:val="en-US" w:eastAsia="zh-CN"/>
              </w:rPr>
              <w:t xml:space="preserve">1497 </w:t>
            </w:r>
          </w:p>
        </w:tc>
        <w:tc>
          <w:tcPr>
            <w:tcW w:w="952" w:type="dxa"/>
            <w:vAlign w:val="center"/>
          </w:tcPr>
          <w:p w14:paraId="21EBA8B4">
            <w:pPr>
              <w:pStyle w:val="59"/>
              <w:bidi w:val="0"/>
            </w:pPr>
            <w:r>
              <w:rPr>
                <w:rFonts w:hint="eastAsia"/>
                <w:lang w:val="en-US" w:eastAsia="zh-CN"/>
              </w:rPr>
              <w:t xml:space="preserve">1.25 </w:t>
            </w:r>
          </w:p>
        </w:tc>
        <w:tc>
          <w:tcPr>
            <w:tcW w:w="952" w:type="dxa"/>
            <w:vAlign w:val="center"/>
          </w:tcPr>
          <w:p w14:paraId="6337A1E6">
            <w:pPr>
              <w:pStyle w:val="59"/>
              <w:bidi w:val="0"/>
            </w:pPr>
            <w:r>
              <w:rPr>
                <w:rFonts w:hint="eastAsia"/>
                <w:lang w:val="en-US" w:eastAsia="zh-CN"/>
              </w:rPr>
              <w:t xml:space="preserve">0.002 </w:t>
            </w:r>
          </w:p>
        </w:tc>
        <w:tc>
          <w:tcPr>
            <w:tcW w:w="1144" w:type="dxa"/>
            <w:vAlign w:val="center"/>
          </w:tcPr>
          <w:p w14:paraId="26D9F3A9">
            <w:pPr>
              <w:pStyle w:val="59"/>
              <w:bidi w:val="0"/>
            </w:pPr>
            <w:r>
              <w:rPr>
                <w:rFonts w:hint="eastAsia"/>
                <w:lang w:val="en-US" w:eastAsia="zh-CN"/>
              </w:rPr>
              <w:t>直排</w:t>
            </w:r>
          </w:p>
        </w:tc>
        <w:tc>
          <w:tcPr>
            <w:tcW w:w="760" w:type="dxa"/>
            <w:vAlign w:val="center"/>
          </w:tcPr>
          <w:p w14:paraId="3320BC07">
            <w:pPr>
              <w:pStyle w:val="59"/>
              <w:bidi w:val="0"/>
            </w:pPr>
            <w:r>
              <w:rPr>
                <w:rFonts w:hint="eastAsia"/>
                <w:lang w:val="en-US" w:eastAsia="zh-CN"/>
              </w:rPr>
              <w:t>0</w:t>
            </w:r>
          </w:p>
        </w:tc>
        <w:tc>
          <w:tcPr>
            <w:tcW w:w="951" w:type="dxa"/>
            <w:vAlign w:val="center"/>
          </w:tcPr>
          <w:p w14:paraId="2CCFC520">
            <w:pPr>
              <w:pStyle w:val="59"/>
              <w:bidi w:val="0"/>
            </w:pPr>
            <w:r>
              <w:rPr>
                <w:rFonts w:hint="eastAsia"/>
                <w:lang w:val="en-US" w:eastAsia="zh-CN"/>
              </w:rPr>
              <w:t>产污系数法</w:t>
            </w:r>
          </w:p>
        </w:tc>
        <w:tc>
          <w:tcPr>
            <w:tcW w:w="945" w:type="dxa"/>
            <w:vAlign w:val="center"/>
          </w:tcPr>
          <w:p w14:paraId="013807C3">
            <w:pPr>
              <w:pStyle w:val="59"/>
              <w:bidi w:val="0"/>
            </w:pPr>
            <w:r>
              <w:rPr>
                <w:rFonts w:hint="eastAsia"/>
                <w:lang w:val="en-US" w:eastAsia="zh-CN"/>
              </w:rPr>
              <w:t xml:space="preserve">1497 </w:t>
            </w:r>
          </w:p>
        </w:tc>
        <w:tc>
          <w:tcPr>
            <w:tcW w:w="934" w:type="dxa"/>
            <w:vAlign w:val="center"/>
          </w:tcPr>
          <w:p w14:paraId="10E13EA5">
            <w:pPr>
              <w:pStyle w:val="59"/>
              <w:bidi w:val="0"/>
            </w:pPr>
            <w:r>
              <w:rPr>
                <w:rFonts w:hint="eastAsia"/>
                <w:lang w:val="en-US" w:eastAsia="zh-CN"/>
              </w:rPr>
              <w:t xml:space="preserve">1.25 </w:t>
            </w:r>
          </w:p>
        </w:tc>
        <w:tc>
          <w:tcPr>
            <w:tcW w:w="922" w:type="dxa"/>
            <w:vAlign w:val="center"/>
          </w:tcPr>
          <w:p w14:paraId="3986E45D">
            <w:pPr>
              <w:pStyle w:val="59"/>
              <w:bidi w:val="0"/>
            </w:pPr>
            <w:r>
              <w:rPr>
                <w:rFonts w:hint="eastAsia"/>
                <w:lang w:val="en-US" w:eastAsia="zh-CN"/>
              </w:rPr>
              <w:t xml:space="preserve">0.002 </w:t>
            </w:r>
          </w:p>
        </w:tc>
        <w:tc>
          <w:tcPr>
            <w:tcW w:w="917" w:type="dxa"/>
            <w:vAlign w:val="center"/>
          </w:tcPr>
          <w:p w14:paraId="10081F06">
            <w:pPr>
              <w:pStyle w:val="59"/>
              <w:bidi w:val="0"/>
            </w:pPr>
            <w:r>
              <w:rPr>
                <w:rFonts w:hint="eastAsia"/>
                <w:lang w:val="en-US" w:eastAsia="zh-CN"/>
              </w:rPr>
              <w:t xml:space="preserve">1180 </w:t>
            </w:r>
          </w:p>
        </w:tc>
      </w:tr>
      <w:tr w14:paraId="059A6D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00F2327F">
            <w:pPr>
              <w:pStyle w:val="59"/>
              <w:bidi w:val="0"/>
            </w:pPr>
          </w:p>
        </w:tc>
        <w:tc>
          <w:tcPr>
            <w:tcW w:w="1230" w:type="dxa"/>
            <w:vMerge w:val="continue"/>
            <w:vAlign w:val="center"/>
          </w:tcPr>
          <w:p w14:paraId="6CE4F9F8">
            <w:pPr>
              <w:pStyle w:val="59"/>
              <w:bidi w:val="0"/>
            </w:pPr>
          </w:p>
        </w:tc>
        <w:tc>
          <w:tcPr>
            <w:tcW w:w="900" w:type="dxa"/>
            <w:vMerge w:val="continue"/>
            <w:vAlign w:val="center"/>
          </w:tcPr>
          <w:p w14:paraId="5DDFE25B">
            <w:pPr>
              <w:pStyle w:val="59"/>
              <w:bidi w:val="0"/>
            </w:pPr>
          </w:p>
        </w:tc>
        <w:tc>
          <w:tcPr>
            <w:tcW w:w="885" w:type="dxa"/>
            <w:vAlign w:val="center"/>
          </w:tcPr>
          <w:p w14:paraId="4EE1A796">
            <w:pPr>
              <w:pStyle w:val="59"/>
              <w:bidi w:val="0"/>
            </w:pPr>
            <w:r>
              <w:rPr>
                <w:rFonts w:hint="eastAsia"/>
                <w:lang w:val="en-US" w:eastAsia="zh-CN"/>
              </w:rPr>
              <w:t>颗粒物</w:t>
            </w:r>
          </w:p>
        </w:tc>
        <w:tc>
          <w:tcPr>
            <w:tcW w:w="972" w:type="dxa"/>
            <w:vAlign w:val="center"/>
          </w:tcPr>
          <w:p w14:paraId="359EA68E">
            <w:pPr>
              <w:pStyle w:val="59"/>
              <w:bidi w:val="0"/>
            </w:pPr>
            <w:r>
              <w:rPr>
                <w:rFonts w:hint="eastAsia"/>
                <w:lang w:val="en-US" w:eastAsia="zh-CN"/>
              </w:rPr>
              <w:t>产污系数法</w:t>
            </w:r>
          </w:p>
        </w:tc>
        <w:tc>
          <w:tcPr>
            <w:tcW w:w="773" w:type="dxa"/>
            <w:vAlign w:val="center"/>
          </w:tcPr>
          <w:p w14:paraId="73C31CFC">
            <w:pPr>
              <w:pStyle w:val="59"/>
              <w:bidi w:val="0"/>
            </w:pPr>
            <w:r>
              <w:rPr>
                <w:rFonts w:hint="eastAsia"/>
                <w:lang w:val="en-US" w:eastAsia="zh-CN"/>
              </w:rPr>
              <w:t xml:space="preserve">1497 </w:t>
            </w:r>
          </w:p>
        </w:tc>
        <w:tc>
          <w:tcPr>
            <w:tcW w:w="952" w:type="dxa"/>
            <w:vAlign w:val="center"/>
          </w:tcPr>
          <w:p w14:paraId="6170ACA4">
            <w:pPr>
              <w:pStyle w:val="59"/>
              <w:bidi w:val="0"/>
            </w:pPr>
            <w:r>
              <w:rPr>
                <w:rFonts w:hint="eastAsia"/>
                <w:lang w:val="en-US" w:eastAsia="zh-CN"/>
              </w:rPr>
              <w:t xml:space="preserve">17.82 </w:t>
            </w:r>
          </w:p>
        </w:tc>
        <w:tc>
          <w:tcPr>
            <w:tcW w:w="952" w:type="dxa"/>
            <w:vAlign w:val="center"/>
          </w:tcPr>
          <w:p w14:paraId="32CA852A">
            <w:pPr>
              <w:pStyle w:val="59"/>
              <w:bidi w:val="0"/>
            </w:pPr>
            <w:r>
              <w:rPr>
                <w:rFonts w:hint="eastAsia"/>
                <w:lang w:val="en-US" w:eastAsia="zh-CN"/>
              </w:rPr>
              <w:t xml:space="preserve">0.027 </w:t>
            </w:r>
          </w:p>
        </w:tc>
        <w:tc>
          <w:tcPr>
            <w:tcW w:w="1144" w:type="dxa"/>
            <w:vAlign w:val="center"/>
          </w:tcPr>
          <w:p w14:paraId="3360A214">
            <w:pPr>
              <w:pStyle w:val="59"/>
              <w:bidi w:val="0"/>
            </w:pPr>
            <w:r>
              <w:rPr>
                <w:rFonts w:hint="eastAsia"/>
                <w:lang w:val="en-US" w:eastAsia="zh-CN"/>
              </w:rPr>
              <w:t>直排</w:t>
            </w:r>
          </w:p>
        </w:tc>
        <w:tc>
          <w:tcPr>
            <w:tcW w:w="760" w:type="dxa"/>
            <w:vAlign w:val="center"/>
          </w:tcPr>
          <w:p w14:paraId="4FA62F7E">
            <w:pPr>
              <w:pStyle w:val="59"/>
              <w:bidi w:val="0"/>
            </w:pPr>
            <w:r>
              <w:rPr>
                <w:rFonts w:hint="eastAsia"/>
                <w:lang w:val="en-US" w:eastAsia="zh-CN"/>
              </w:rPr>
              <w:t>0</w:t>
            </w:r>
          </w:p>
        </w:tc>
        <w:tc>
          <w:tcPr>
            <w:tcW w:w="951" w:type="dxa"/>
            <w:vAlign w:val="center"/>
          </w:tcPr>
          <w:p w14:paraId="552521A3">
            <w:pPr>
              <w:pStyle w:val="59"/>
              <w:bidi w:val="0"/>
            </w:pPr>
            <w:r>
              <w:rPr>
                <w:rFonts w:hint="eastAsia"/>
                <w:lang w:val="en-US" w:eastAsia="zh-CN"/>
              </w:rPr>
              <w:t>产污系数法</w:t>
            </w:r>
          </w:p>
        </w:tc>
        <w:tc>
          <w:tcPr>
            <w:tcW w:w="945" w:type="dxa"/>
            <w:vAlign w:val="center"/>
          </w:tcPr>
          <w:p w14:paraId="5A057C71">
            <w:pPr>
              <w:pStyle w:val="59"/>
              <w:bidi w:val="0"/>
            </w:pPr>
            <w:r>
              <w:rPr>
                <w:rFonts w:hint="eastAsia"/>
                <w:lang w:val="en-US" w:eastAsia="zh-CN"/>
              </w:rPr>
              <w:t xml:space="preserve">1497 </w:t>
            </w:r>
          </w:p>
        </w:tc>
        <w:tc>
          <w:tcPr>
            <w:tcW w:w="934" w:type="dxa"/>
            <w:vAlign w:val="center"/>
          </w:tcPr>
          <w:p w14:paraId="4916AB70">
            <w:pPr>
              <w:pStyle w:val="59"/>
              <w:bidi w:val="0"/>
            </w:pPr>
            <w:r>
              <w:rPr>
                <w:rFonts w:hint="eastAsia"/>
                <w:lang w:val="en-US" w:eastAsia="zh-CN"/>
              </w:rPr>
              <w:t xml:space="preserve">17.82 </w:t>
            </w:r>
          </w:p>
        </w:tc>
        <w:tc>
          <w:tcPr>
            <w:tcW w:w="922" w:type="dxa"/>
            <w:vAlign w:val="center"/>
          </w:tcPr>
          <w:p w14:paraId="31A8A2A8">
            <w:pPr>
              <w:pStyle w:val="59"/>
              <w:bidi w:val="0"/>
            </w:pPr>
            <w:r>
              <w:rPr>
                <w:rFonts w:hint="eastAsia"/>
                <w:lang w:val="en-US" w:eastAsia="zh-CN"/>
              </w:rPr>
              <w:t xml:space="preserve">0.027 </w:t>
            </w:r>
          </w:p>
        </w:tc>
        <w:tc>
          <w:tcPr>
            <w:tcW w:w="917" w:type="dxa"/>
            <w:vAlign w:val="center"/>
          </w:tcPr>
          <w:p w14:paraId="6D17D85A">
            <w:pPr>
              <w:pStyle w:val="59"/>
              <w:bidi w:val="0"/>
            </w:pPr>
            <w:r>
              <w:rPr>
                <w:rFonts w:hint="eastAsia"/>
                <w:lang w:val="en-US" w:eastAsia="zh-CN"/>
              </w:rPr>
              <w:t xml:space="preserve">1180 </w:t>
            </w:r>
          </w:p>
        </w:tc>
      </w:tr>
      <w:tr w14:paraId="0685B0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restart"/>
            <w:vAlign w:val="center"/>
          </w:tcPr>
          <w:p w14:paraId="5DF12ED2">
            <w:pPr>
              <w:pStyle w:val="59"/>
              <w:bidi w:val="0"/>
            </w:pPr>
            <w:r>
              <w:rPr>
                <w:rFonts w:hint="eastAsia"/>
                <w:lang w:val="en-US" w:eastAsia="zh-CN"/>
              </w:rPr>
              <w:t>合掌、定型</w:t>
            </w:r>
          </w:p>
        </w:tc>
        <w:tc>
          <w:tcPr>
            <w:tcW w:w="1230" w:type="dxa"/>
            <w:vMerge w:val="restart"/>
            <w:vAlign w:val="center"/>
          </w:tcPr>
          <w:p w14:paraId="60C90C67">
            <w:pPr>
              <w:pStyle w:val="59"/>
              <w:bidi w:val="0"/>
            </w:pPr>
            <w:r>
              <w:rPr>
                <w:rFonts w:hint="eastAsia"/>
                <w:lang w:val="en-US" w:eastAsia="zh-CN"/>
              </w:rPr>
              <w:t>合掌机、定型机</w:t>
            </w:r>
          </w:p>
        </w:tc>
        <w:tc>
          <w:tcPr>
            <w:tcW w:w="900" w:type="dxa"/>
            <w:vMerge w:val="restart"/>
            <w:vAlign w:val="center"/>
          </w:tcPr>
          <w:p w14:paraId="1457AB43">
            <w:pPr>
              <w:pStyle w:val="59"/>
              <w:bidi w:val="0"/>
            </w:pPr>
            <w:r>
              <w:rPr>
                <w:rFonts w:hint="eastAsia"/>
                <w:lang w:val="en-US" w:eastAsia="zh-CN"/>
              </w:rPr>
              <w:t>DA002</w:t>
            </w:r>
          </w:p>
        </w:tc>
        <w:tc>
          <w:tcPr>
            <w:tcW w:w="885" w:type="dxa"/>
            <w:vAlign w:val="center"/>
          </w:tcPr>
          <w:p w14:paraId="102AF41D">
            <w:pPr>
              <w:pStyle w:val="59"/>
              <w:bidi w:val="0"/>
              <w:rPr>
                <w:rFonts w:hint="eastAsia"/>
              </w:rPr>
            </w:pPr>
            <w:r>
              <w:rPr>
                <w:rFonts w:hint="eastAsia"/>
                <w:lang w:val="en-US" w:eastAsia="zh-CN"/>
              </w:rPr>
              <w:t>NMHC</w:t>
            </w:r>
          </w:p>
        </w:tc>
        <w:tc>
          <w:tcPr>
            <w:tcW w:w="972" w:type="dxa"/>
            <w:vAlign w:val="center"/>
          </w:tcPr>
          <w:p w14:paraId="18DF0AE1">
            <w:pPr>
              <w:pStyle w:val="59"/>
              <w:bidi w:val="0"/>
              <w:rPr>
                <w:rFonts w:hint="eastAsia"/>
              </w:rPr>
            </w:pPr>
            <w:r>
              <w:rPr>
                <w:rFonts w:hint="eastAsia"/>
                <w:lang w:val="en-US" w:eastAsia="zh-CN"/>
              </w:rPr>
              <w:t>产污系数法</w:t>
            </w:r>
          </w:p>
        </w:tc>
        <w:tc>
          <w:tcPr>
            <w:tcW w:w="773" w:type="dxa"/>
            <w:vAlign w:val="center"/>
          </w:tcPr>
          <w:p w14:paraId="6ED0E10C">
            <w:pPr>
              <w:pStyle w:val="59"/>
              <w:bidi w:val="0"/>
              <w:rPr>
                <w:rFonts w:hint="eastAsia"/>
              </w:rPr>
            </w:pPr>
            <w:r>
              <w:rPr>
                <w:rFonts w:hint="eastAsia"/>
                <w:lang w:val="en-US" w:eastAsia="zh-CN"/>
              </w:rPr>
              <w:t xml:space="preserve">15000 </w:t>
            </w:r>
          </w:p>
        </w:tc>
        <w:tc>
          <w:tcPr>
            <w:tcW w:w="952" w:type="dxa"/>
            <w:vAlign w:val="center"/>
          </w:tcPr>
          <w:p w14:paraId="2DB4514D">
            <w:pPr>
              <w:pStyle w:val="59"/>
              <w:bidi w:val="0"/>
              <w:rPr>
                <w:rFonts w:hint="eastAsia"/>
              </w:rPr>
            </w:pPr>
            <w:r>
              <w:rPr>
                <w:rFonts w:hint="eastAsia"/>
                <w:lang w:val="en-US" w:eastAsia="zh-CN"/>
              </w:rPr>
              <w:t xml:space="preserve">9.59 </w:t>
            </w:r>
          </w:p>
        </w:tc>
        <w:tc>
          <w:tcPr>
            <w:tcW w:w="952" w:type="dxa"/>
            <w:vAlign w:val="center"/>
          </w:tcPr>
          <w:p w14:paraId="594ADCDD">
            <w:pPr>
              <w:pStyle w:val="59"/>
              <w:bidi w:val="0"/>
              <w:rPr>
                <w:rFonts w:hint="eastAsia"/>
              </w:rPr>
            </w:pPr>
            <w:r>
              <w:rPr>
                <w:rFonts w:hint="eastAsia"/>
                <w:lang w:val="en-US" w:eastAsia="zh-CN"/>
              </w:rPr>
              <w:t xml:space="preserve">0.144 </w:t>
            </w:r>
          </w:p>
        </w:tc>
        <w:tc>
          <w:tcPr>
            <w:tcW w:w="1144" w:type="dxa"/>
            <w:vMerge w:val="restart"/>
            <w:vAlign w:val="center"/>
          </w:tcPr>
          <w:p w14:paraId="32B66C77">
            <w:pPr>
              <w:pStyle w:val="59"/>
              <w:bidi w:val="0"/>
              <w:rPr>
                <w:rFonts w:hint="eastAsia"/>
              </w:rPr>
            </w:pPr>
            <w:r>
              <w:rPr>
                <w:rFonts w:hint="eastAsia"/>
                <w:lang w:val="en-US" w:eastAsia="zh-CN"/>
              </w:rPr>
              <w:t>活性炭吸附</w:t>
            </w:r>
          </w:p>
        </w:tc>
        <w:tc>
          <w:tcPr>
            <w:tcW w:w="760" w:type="dxa"/>
            <w:vAlign w:val="center"/>
          </w:tcPr>
          <w:p w14:paraId="4C6A6A0C">
            <w:pPr>
              <w:pStyle w:val="59"/>
              <w:bidi w:val="0"/>
              <w:rPr>
                <w:rFonts w:hint="eastAsia"/>
              </w:rPr>
            </w:pPr>
            <w:r>
              <w:rPr>
                <w:rFonts w:hint="eastAsia"/>
                <w:lang w:val="en-US" w:eastAsia="zh-CN"/>
              </w:rPr>
              <w:t>80%</w:t>
            </w:r>
          </w:p>
        </w:tc>
        <w:tc>
          <w:tcPr>
            <w:tcW w:w="951" w:type="dxa"/>
            <w:vAlign w:val="center"/>
          </w:tcPr>
          <w:p w14:paraId="13B536EC">
            <w:pPr>
              <w:pStyle w:val="59"/>
              <w:bidi w:val="0"/>
              <w:rPr>
                <w:rFonts w:hint="eastAsia"/>
              </w:rPr>
            </w:pPr>
            <w:r>
              <w:rPr>
                <w:rFonts w:hint="eastAsia"/>
                <w:lang w:val="en-US" w:eastAsia="zh-CN"/>
              </w:rPr>
              <w:t>产污系数法</w:t>
            </w:r>
          </w:p>
        </w:tc>
        <w:tc>
          <w:tcPr>
            <w:tcW w:w="945" w:type="dxa"/>
            <w:vAlign w:val="center"/>
          </w:tcPr>
          <w:p w14:paraId="0ACE8A83">
            <w:pPr>
              <w:pStyle w:val="59"/>
              <w:bidi w:val="0"/>
              <w:rPr>
                <w:rFonts w:hint="eastAsia"/>
              </w:rPr>
            </w:pPr>
            <w:r>
              <w:rPr>
                <w:rFonts w:hint="eastAsia"/>
                <w:lang w:val="en-US" w:eastAsia="zh-CN"/>
              </w:rPr>
              <w:t xml:space="preserve">15000 </w:t>
            </w:r>
          </w:p>
        </w:tc>
        <w:tc>
          <w:tcPr>
            <w:tcW w:w="934" w:type="dxa"/>
            <w:vAlign w:val="center"/>
          </w:tcPr>
          <w:p w14:paraId="1E60FAC9">
            <w:pPr>
              <w:pStyle w:val="59"/>
              <w:bidi w:val="0"/>
              <w:rPr>
                <w:rFonts w:hint="eastAsia"/>
              </w:rPr>
            </w:pPr>
            <w:r>
              <w:rPr>
                <w:rFonts w:hint="eastAsia"/>
                <w:lang w:val="en-US" w:eastAsia="zh-CN"/>
              </w:rPr>
              <w:t xml:space="preserve">1.92 </w:t>
            </w:r>
          </w:p>
        </w:tc>
        <w:tc>
          <w:tcPr>
            <w:tcW w:w="922" w:type="dxa"/>
            <w:vAlign w:val="center"/>
          </w:tcPr>
          <w:p w14:paraId="578E47FF">
            <w:pPr>
              <w:pStyle w:val="59"/>
              <w:bidi w:val="0"/>
              <w:rPr>
                <w:rFonts w:hint="eastAsia"/>
              </w:rPr>
            </w:pPr>
            <w:r>
              <w:rPr>
                <w:rFonts w:hint="eastAsia"/>
                <w:lang w:val="en-US" w:eastAsia="zh-CN"/>
              </w:rPr>
              <w:t xml:space="preserve">0.029 </w:t>
            </w:r>
          </w:p>
        </w:tc>
        <w:tc>
          <w:tcPr>
            <w:tcW w:w="917" w:type="dxa"/>
            <w:vAlign w:val="center"/>
          </w:tcPr>
          <w:p w14:paraId="0598DA9C">
            <w:pPr>
              <w:pStyle w:val="59"/>
              <w:bidi w:val="0"/>
              <w:rPr>
                <w:rFonts w:hint="eastAsia"/>
              </w:rPr>
            </w:pPr>
            <w:r>
              <w:rPr>
                <w:rFonts w:hint="eastAsia"/>
                <w:lang w:val="en-US" w:eastAsia="zh-CN"/>
              </w:rPr>
              <w:t xml:space="preserve">1934 </w:t>
            </w:r>
          </w:p>
        </w:tc>
      </w:tr>
      <w:tr w14:paraId="37EA75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2FC04968">
            <w:pPr>
              <w:pStyle w:val="59"/>
              <w:bidi w:val="0"/>
            </w:pPr>
          </w:p>
        </w:tc>
        <w:tc>
          <w:tcPr>
            <w:tcW w:w="1230" w:type="dxa"/>
            <w:vMerge w:val="continue"/>
            <w:vAlign w:val="center"/>
          </w:tcPr>
          <w:p w14:paraId="2FFC0159">
            <w:pPr>
              <w:pStyle w:val="59"/>
              <w:bidi w:val="0"/>
            </w:pPr>
          </w:p>
        </w:tc>
        <w:tc>
          <w:tcPr>
            <w:tcW w:w="900" w:type="dxa"/>
            <w:vMerge w:val="continue"/>
            <w:vAlign w:val="center"/>
          </w:tcPr>
          <w:p w14:paraId="29C20B0D">
            <w:pPr>
              <w:pStyle w:val="59"/>
              <w:bidi w:val="0"/>
            </w:pPr>
          </w:p>
        </w:tc>
        <w:tc>
          <w:tcPr>
            <w:tcW w:w="885" w:type="dxa"/>
            <w:vAlign w:val="center"/>
          </w:tcPr>
          <w:p w14:paraId="781B595B">
            <w:pPr>
              <w:pStyle w:val="59"/>
              <w:bidi w:val="0"/>
            </w:pPr>
            <w:r>
              <w:rPr>
                <w:rFonts w:hint="eastAsia"/>
                <w:lang w:val="en-US" w:eastAsia="zh-CN"/>
              </w:rPr>
              <w:t>氯化氢</w:t>
            </w:r>
          </w:p>
        </w:tc>
        <w:tc>
          <w:tcPr>
            <w:tcW w:w="972" w:type="dxa"/>
            <w:vAlign w:val="center"/>
          </w:tcPr>
          <w:p w14:paraId="1EEAD617">
            <w:pPr>
              <w:pStyle w:val="59"/>
              <w:bidi w:val="0"/>
            </w:pPr>
            <w:r>
              <w:rPr>
                <w:rFonts w:hint="eastAsia"/>
                <w:lang w:val="en-US" w:eastAsia="zh-CN"/>
              </w:rPr>
              <w:t>产污系数法</w:t>
            </w:r>
          </w:p>
        </w:tc>
        <w:tc>
          <w:tcPr>
            <w:tcW w:w="773" w:type="dxa"/>
            <w:vAlign w:val="center"/>
          </w:tcPr>
          <w:p w14:paraId="7B79380F">
            <w:pPr>
              <w:pStyle w:val="59"/>
              <w:bidi w:val="0"/>
            </w:pPr>
            <w:r>
              <w:rPr>
                <w:rFonts w:hint="eastAsia"/>
                <w:lang w:val="en-US" w:eastAsia="zh-CN"/>
              </w:rPr>
              <w:t xml:space="preserve">15000 </w:t>
            </w:r>
          </w:p>
        </w:tc>
        <w:tc>
          <w:tcPr>
            <w:tcW w:w="952" w:type="dxa"/>
            <w:vAlign w:val="center"/>
          </w:tcPr>
          <w:p w14:paraId="4F6C4163">
            <w:pPr>
              <w:pStyle w:val="59"/>
              <w:bidi w:val="0"/>
            </w:pPr>
            <w:r>
              <w:rPr>
                <w:rFonts w:hint="eastAsia"/>
                <w:lang w:val="en-US" w:eastAsia="zh-CN"/>
              </w:rPr>
              <w:t xml:space="preserve">0.000682 </w:t>
            </w:r>
          </w:p>
        </w:tc>
        <w:tc>
          <w:tcPr>
            <w:tcW w:w="952" w:type="dxa"/>
            <w:vAlign w:val="center"/>
          </w:tcPr>
          <w:p w14:paraId="01BE32B4">
            <w:pPr>
              <w:pStyle w:val="59"/>
              <w:bidi w:val="0"/>
            </w:pPr>
            <w:r>
              <w:rPr>
                <w:rFonts w:hint="eastAsia"/>
                <w:lang w:val="en-US" w:eastAsia="zh-CN"/>
              </w:rPr>
              <w:t xml:space="preserve">0.000010 </w:t>
            </w:r>
          </w:p>
        </w:tc>
        <w:tc>
          <w:tcPr>
            <w:tcW w:w="1144" w:type="dxa"/>
            <w:vMerge w:val="continue"/>
            <w:vAlign w:val="center"/>
          </w:tcPr>
          <w:p w14:paraId="117B4640">
            <w:pPr>
              <w:pStyle w:val="59"/>
              <w:bidi w:val="0"/>
            </w:pPr>
          </w:p>
        </w:tc>
        <w:tc>
          <w:tcPr>
            <w:tcW w:w="760" w:type="dxa"/>
            <w:vAlign w:val="center"/>
          </w:tcPr>
          <w:p w14:paraId="39022DC2">
            <w:pPr>
              <w:pStyle w:val="59"/>
              <w:bidi w:val="0"/>
            </w:pPr>
            <w:r>
              <w:rPr>
                <w:rFonts w:hint="eastAsia"/>
                <w:lang w:val="en-US" w:eastAsia="zh-CN"/>
              </w:rPr>
              <w:t>80%</w:t>
            </w:r>
          </w:p>
        </w:tc>
        <w:tc>
          <w:tcPr>
            <w:tcW w:w="951" w:type="dxa"/>
            <w:vAlign w:val="center"/>
          </w:tcPr>
          <w:p w14:paraId="62E99111">
            <w:pPr>
              <w:pStyle w:val="59"/>
              <w:bidi w:val="0"/>
            </w:pPr>
            <w:r>
              <w:rPr>
                <w:rFonts w:hint="eastAsia"/>
                <w:lang w:val="en-US" w:eastAsia="zh-CN"/>
              </w:rPr>
              <w:t>产污系数法</w:t>
            </w:r>
          </w:p>
        </w:tc>
        <w:tc>
          <w:tcPr>
            <w:tcW w:w="945" w:type="dxa"/>
            <w:vAlign w:val="center"/>
          </w:tcPr>
          <w:p w14:paraId="1710FC04">
            <w:pPr>
              <w:pStyle w:val="59"/>
              <w:bidi w:val="0"/>
            </w:pPr>
            <w:r>
              <w:rPr>
                <w:rFonts w:hint="eastAsia"/>
                <w:lang w:val="en-US" w:eastAsia="zh-CN"/>
              </w:rPr>
              <w:t xml:space="preserve">15000 </w:t>
            </w:r>
          </w:p>
        </w:tc>
        <w:tc>
          <w:tcPr>
            <w:tcW w:w="934" w:type="dxa"/>
            <w:vAlign w:val="center"/>
          </w:tcPr>
          <w:p w14:paraId="2685D4E3">
            <w:pPr>
              <w:pStyle w:val="59"/>
              <w:bidi w:val="0"/>
            </w:pPr>
            <w:r>
              <w:rPr>
                <w:rFonts w:hint="eastAsia"/>
                <w:lang w:val="en-US" w:eastAsia="zh-CN"/>
              </w:rPr>
              <w:t xml:space="preserve">0.000136 </w:t>
            </w:r>
          </w:p>
        </w:tc>
        <w:tc>
          <w:tcPr>
            <w:tcW w:w="922" w:type="dxa"/>
            <w:vAlign w:val="center"/>
          </w:tcPr>
          <w:p w14:paraId="6B23EA64">
            <w:pPr>
              <w:pStyle w:val="59"/>
              <w:bidi w:val="0"/>
            </w:pPr>
            <w:r>
              <w:rPr>
                <w:rFonts w:hint="eastAsia"/>
                <w:lang w:val="en-US" w:eastAsia="zh-CN"/>
              </w:rPr>
              <w:t xml:space="preserve">0.000002 </w:t>
            </w:r>
          </w:p>
        </w:tc>
        <w:tc>
          <w:tcPr>
            <w:tcW w:w="917" w:type="dxa"/>
            <w:vAlign w:val="center"/>
          </w:tcPr>
          <w:p w14:paraId="0CFA0DE6">
            <w:pPr>
              <w:pStyle w:val="59"/>
              <w:bidi w:val="0"/>
            </w:pPr>
            <w:r>
              <w:rPr>
                <w:rFonts w:hint="eastAsia"/>
                <w:lang w:val="en-US" w:eastAsia="zh-CN"/>
              </w:rPr>
              <w:t xml:space="preserve">1934 </w:t>
            </w:r>
          </w:p>
        </w:tc>
      </w:tr>
      <w:tr w14:paraId="62251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3EC340B2">
            <w:pPr>
              <w:pStyle w:val="59"/>
              <w:bidi w:val="0"/>
              <w:rPr>
                <w:rFonts w:hint="eastAsia"/>
                <w:lang w:val="en-US" w:eastAsia="zh-CN"/>
              </w:rPr>
            </w:pPr>
          </w:p>
        </w:tc>
        <w:tc>
          <w:tcPr>
            <w:tcW w:w="1230" w:type="dxa"/>
            <w:vMerge w:val="continue"/>
            <w:vAlign w:val="center"/>
          </w:tcPr>
          <w:p w14:paraId="3747C59D">
            <w:pPr>
              <w:pStyle w:val="59"/>
              <w:bidi w:val="0"/>
              <w:rPr>
                <w:rFonts w:hint="eastAsia"/>
                <w:lang w:val="en-US" w:eastAsia="zh-CN"/>
              </w:rPr>
            </w:pPr>
          </w:p>
        </w:tc>
        <w:tc>
          <w:tcPr>
            <w:tcW w:w="900" w:type="dxa"/>
            <w:vMerge w:val="continue"/>
            <w:vAlign w:val="center"/>
          </w:tcPr>
          <w:p w14:paraId="3E436AB3">
            <w:pPr>
              <w:pStyle w:val="59"/>
              <w:bidi w:val="0"/>
              <w:rPr>
                <w:rFonts w:hint="eastAsia"/>
                <w:lang w:val="en-US" w:eastAsia="zh-CN"/>
              </w:rPr>
            </w:pPr>
          </w:p>
        </w:tc>
        <w:tc>
          <w:tcPr>
            <w:tcW w:w="885" w:type="dxa"/>
            <w:vAlign w:val="center"/>
          </w:tcPr>
          <w:p w14:paraId="48542C6C">
            <w:pPr>
              <w:pStyle w:val="59"/>
              <w:bidi w:val="0"/>
              <w:rPr>
                <w:rFonts w:hint="eastAsia"/>
                <w:lang w:val="en-US" w:eastAsia="zh-CN"/>
              </w:rPr>
            </w:pPr>
            <w:r>
              <w:rPr>
                <w:rFonts w:hint="eastAsia"/>
                <w:lang w:val="en-US" w:eastAsia="zh-CN"/>
              </w:rPr>
              <w:t>氯乙烯</w:t>
            </w:r>
          </w:p>
        </w:tc>
        <w:tc>
          <w:tcPr>
            <w:tcW w:w="972" w:type="dxa"/>
            <w:vAlign w:val="center"/>
          </w:tcPr>
          <w:p w14:paraId="7AF15D44">
            <w:pPr>
              <w:pStyle w:val="59"/>
              <w:bidi w:val="0"/>
              <w:rPr>
                <w:rFonts w:hint="eastAsia"/>
                <w:lang w:val="en-US" w:eastAsia="zh-CN"/>
              </w:rPr>
            </w:pPr>
            <w:r>
              <w:rPr>
                <w:rFonts w:hint="eastAsia"/>
                <w:lang w:val="en-US" w:eastAsia="zh-CN"/>
              </w:rPr>
              <w:t>产污系数法</w:t>
            </w:r>
          </w:p>
        </w:tc>
        <w:tc>
          <w:tcPr>
            <w:tcW w:w="773" w:type="dxa"/>
            <w:vAlign w:val="center"/>
          </w:tcPr>
          <w:p w14:paraId="668E8A26">
            <w:pPr>
              <w:pStyle w:val="59"/>
              <w:bidi w:val="0"/>
              <w:rPr>
                <w:rFonts w:hint="eastAsia"/>
                <w:lang w:val="en-US" w:eastAsia="zh-CN"/>
              </w:rPr>
            </w:pPr>
            <w:r>
              <w:rPr>
                <w:rFonts w:hint="eastAsia"/>
                <w:lang w:val="en-US" w:eastAsia="zh-CN"/>
              </w:rPr>
              <w:t xml:space="preserve">15000 </w:t>
            </w:r>
          </w:p>
        </w:tc>
        <w:tc>
          <w:tcPr>
            <w:tcW w:w="952" w:type="dxa"/>
            <w:vAlign w:val="center"/>
          </w:tcPr>
          <w:p w14:paraId="4225AE91">
            <w:pPr>
              <w:pStyle w:val="59"/>
              <w:bidi w:val="0"/>
              <w:rPr>
                <w:rFonts w:hint="eastAsia"/>
                <w:lang w:val="en-US" w:eastAsia="zh-CN"/>
              </w:rPr>
            </w:pPr>
            <w:r>
              <w:rPr>
                <w:rFonts w:hint="eastAsia"/>
                <w:lang w:val="en-US" w:eastAsia="zh-CN"/>
              </w:rPr>
              <w:t xml:space="preserve">0.000738 </w:t>
            </w:r>
          </w:p>
        </w:tc>
        <w:tc>
          <w:tcPr>
            <w:tcW w:w="952" w:type="dxa"/>
            <w:vAlign w:val="center"/>
          </w:tcPr>
          <w:p w14:paraId="492B773C">
            <w:pPr>
              <w:pStyle w:val="59"/>
              <w:bidi w:val="0"/>
              <w:rPr>
                <w:rFonts w:hint="eastAsia"/>
                <w:lang w:val="en-US" w:eastAsia="zh-CN"/>
              </w:rPr>
            </w:pPr>
            <w:r>
              <w:rPr>
                <w:rFonts w:hint="eastAsia"/>
                <w:lang w:val="en-US" w:eastAsia="zh-CN"/>
              </w:rPr>
              <w:t xml:space="preserve">0.000011 </w:t>
            </w:r>
          </w:p>
        </w:tc>
        <w:tc>
          <w:tcPr>
            <w:tcW w:w="1144" w:type="dxa"/>
            <w:vMerge w:val="continue"/>
            <w:vAlign w:val="center"/>
          </w:tcPr>
          <w:p w14:paraId="6BD9AA9A">
            <w:pPr>
              <w:pStyle w:val="59"/>
              <w:bidi w:val="0"/>
              <w:rPr>
                <w:rFonts w:hint="eastAsia"/>
                <w:lang w:val="en-US" w:eastAsia="zh-CN"/>
              </w:rPr>
            </w:pPr>
          </w:p>
        </w:tc>
        <w:tc>
          <w:tcPr>
            <w:tcW w:w="760" w:type="dxa"/>
            <w:vAlign w:val="center"/>
          </w:tcPr>
          <w:p w14:paraId="7F4F5EC7">
            <w:pPr>
              <w:pStyle w:val="59"/>
              <w:bidi w:val="0"/>
              <w:rPr>
                <w:rFonts w:hint="eastAsia"/>
                <w:lang w:val="en-US" w:eastAsia="zh-CN"/>
              </w:rPr>
            </w:pPr>
            <w:r>
              <w:rPr>
                <w:rFonts w:hint="eastAsia"/>
                <w:lang w:val="en-US" w:eastAsia="zh-CN"/>
              </w:rPr>
              <w:t>80%</w:t>
            </w:r>
          </w:p>
        </w:tc>
        <w:tc>
          <w:tcPr>
            <w:tcW w:w="951" w:type="dxa"/>
            <w:vAlign w:val="center"/>
          </w:tcPr>
          <w:p w14:paraId="3A8F4007">
            <w:pPr>
              <w:pStyle w:val="59"/>
              <w:bidi w:val="0"/>
              <w:rPr>
                <w:rFonts w:hint="eastAsia"/>
                <w:lang w:val="en-US" w:eastAsia="zh-CN"/>
              </w:rPr>
            </w:pPr>
            <w:r>
              <w:rPr>
                <w:rFonts w:hint="eastAsia"/>
                <w:lang w:val="en-US" w:eastAsia="zh-CN"/>
              </w:rPr>
              <w:t>产污系数法</w:t>
            </w:r>
          </w:p>
        </w:tc>
        <w:tc>
          <w:tcPr>
            <w:tcW w:w="945" w:type="dxa"/>
            <w:vAlign w:val="center"/>
          </w:tcPr>
          <w:p w14:paraId="06C9B21A">
            <w:pPr>
              <w:pStyle w:val="59"/>
              <w:bidi w:val="0"/>
              <w:rPr>
                <w:rFonts w:hint="eastAsia"/>
                <w:lang w:val="en-US" w:eastAsia="zh-CN"/>
              </w:rPr>
            </w:pPr>
            <w:r>
              <w:rPr>
                <w:rFonts w:hint="eastAsia"/>
                <w:lang w:val="en-US" w:eastAsia="zh-CN"/>
              </w:rPr>
              <w:t xml:space="preserve">15000 </w:t>
            </w:r>
          </w:p>
        </w:tc>
        <w:tc>
          <w:tcPr>
            <w:tcW w:w="934" w:type="dxa"/>
            <w:vAlign w:val="center"/>
          </w:tcPr>
          <w:p w14:paraId="7444E91C">
            <w:pPr>
              <w:pStyle w:val="59"/>
              <w:bidi w:val="0"/>
              <w:rPr>
                <w:rFonts w:hint="eastAsia"/>
                <w:lang w:val="en-US" w:eastAsia="zh-CN"/>
              </w:rPr>
            </w:pPr>
            <w:r>
              <w:rPr>
                <w:rFonts w:hint="eastAsia"/>
                <w:lang w:val="en-US" w:eastAsia="zh-CN"/>
              </w:rPr>
              <w:t xml:space="preserve">0.000148 </w:t>
            </w:r>
          </w:p>
        </w:tc>
        <w:tc>
          <w:tcPr>
            <w:tcW w:w="922" w:type="dxa"/>
            <w:vAlign w:val="center"/>
          </w:tcPr>
          <w:p w14:paraId="69461C8B">
            <w:pPr>
              <w:pStyle w:val="59"/>
              <w:bidi w:val="0"/>
              <w:rPr>
                <w:rFonts w:hint="eastAsia"/>
                <w:lang w:val="en-US" w:eastAsia="zh-CN"/>
              </w:rPr>
            </w:pPr>
            <w:r>
              <w:rPr>
                <w:rFonts w:hint="eastAsia"/>
                <w:lang w:val="en-US" w:eastAsia="zh-CN"/>
              </w:rPr>
              <w:t xml:space="preserve">0.000002 </w:t>
            </w:r>
          </w:p>
        </w:tc>
        <w:tc>
          <w:tcPr>
            <w:tcW w:w="917" w:type="dxa"/>
            <w:vAlign w:val="center"/>
          </w:tcPr>
          <w:p w14:paraId="35509669">
            <w:pPr>
              <w:pStyle w:val="59"/>
              <w:bidi w:val="0"/>
              <w:rPr>
                <w:rFonts w:hint="eastAsia"/>
                <w:lang w:val="en-US" w:eastAsia="zh-CN"/>
              </w:rPr>
            </w:pPr>
            <w:r>
              <w:rPr>
                <w:rFonts w:hint="eastAsia"/>
                <w:lang w:val="en-US" w:eastAsia="zh-CN"/>
              </w:rPr>
              <w:t xml:space="preserve">1934 </w:t>
            </w:r>
          </w:p>
        </w:tc>
      </w:tr>
      <w:tr w14:paraId="328FC6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0C5DF791">
            <w:pPr>
              <w:pStyle w:val="59"/>
              <w:bidi w:val="0"/>
              <w:rPr>
                <w:rFonts w:hint="eastAsia"/>
                <w:lang w:val="en-US" w:eastAsia="zh-CN"/>
              </w:rPr>
            </w:pPr>
          </w:p>
        </w:tc>
        <w:tc>
          <w:tcPr>
            <w:tcW w:w="1230" w:type="dxa"/>
            <w:vMerge w:val="continue"/>
            <w:vAlign w:val="center"/>
          </w:tcPr>
          <w:p w14:paraId="7C4C1E88">
            <w:pPr>
              <w:pStyle w:val="59"/>
              <w:bidi w:val="0"/>
              <w:rPr>
                <w:rFonts w:hint="eastAsia"/>
                <w:lang w:val="en-US" w:eastAsia="zh-CN"/>
              </w:rPr>
            </w:pPr>
          </w:p>
        </w:tc>
        <w:tc>
          <w:tcPr>
            <w:tcW w:w="900" w:type="dxa"/>
            <w:vMerge w:val="continue"/>
            <w:vAlign w:val="center"/>
          </w:tcPr>
          <w:p w14:paraId="341467DF">
            <w:pPr>
              <w:pStyle w:val="59"/>
              <w:bidi w:val="0"/>
              <w:rPr>
                <w:rFonts w:hint="eastAsia"/>
                <w:lang w:val="en-US" w:eastAsia="zh-CN"/>
              </w:rPr>
            </w:pPr>
          </w:p>
        </w:tc>
        <w:tc>
          <w:tcPr>
            <w:tcW w:w="885" w:type="dxa"/>
            <w:vAlign w:val="center"/>
          </w:tcPr>
          <w:p w14:paraId="77AA0719">
            <w:pPr>
              <w:pStyle w:val="59"/>
              <w:bidi w:val="0"/>
              <w:rPr>
                <w:rFonts w:hint="eastAsia"/>
                <w:lang w:val="en-US" w:eastAsia="zh-CN"/>
              </w:rPr>
            </w:pPr>
            <w:r>
              <w:rPr>
                <w:rFonts w:hint="eastAsia"/>
                <w:lang w:val="en-US" w:eastAsia="zh-CN"/>
              </w:rPr>
              <w:t>苯</w:t>
            </w:r>
          </w:p>
        </w:tc>
        <w:tc>
          <w:tcPr>
            <w:tcW w:w="972" w:type="dxa"/>
            <w:vAlign w:val="center"/>
          </w:tcPr>
          <w:p w14:paraId="6616E70D">
            <w:pPr>
              <w:pStyle w:val="59"/>
              <w:bidi w:val="0"/>
              <w:rPr>
                <w:rFonts w:hint="eastAsia"/>
                <w:lang w:val="en-US" w:eastAsia="zh-CN"/>
              </w:rPr>
            </w:pPr>
            <w:r>
              <w:rPr>
                <w:rFonts w:hint="eastAsia"/>
                <w:lang w:val="en-US" w:eastAsia="zh-CN"/>
              </w:rPr>
              <w:t>产污系数法</w:t>
            </w:r>
          </w:p>
        </w:tc>
        <w:tc>
          <w:tcPr>
            <w:tcW w:w="773" w:type="dxa"/>
            <w:vAlign w:val="center"/>
          </w:tcPr>
          <w:p w14:paraId="1F88EC51">
            <w:pPr>
              <w:pStyle w:val="59"/>
              <w:bidi w:val="0"/>
              <w:rPr>
                <w:rFonts w:hint="eastAsia"/>
                <w:lang w:val="en-US" w:eastAsia="zh-CN"/>
              </w:rPr>
            </w:pPr>
            <w:r>
              <w:rPr>
                <w:rFonts w:hint="eastAsia"/>
                <w:lang w:val="en-US" w:eastAsia="zh-CN"/>
              </w:rPr>
              <w:t xml:space="preserve">15000 </w:t>
            </w:r>
          </w:p>
        </w:tc>
        <w:tc>
          <w:tcPr>
            <w:tcW w:w="952" w:type="dxa"/>
            <w:vAlign w:val="center"/>
          </w:tcPr>
          <w:p w14:paraId="7253B9EA">
            <w:pPr>
              <w:pStyle w:val="59"/>
              <w:bidi w:val="0"/>
              <w:rPr>
                <w:rFonts w:hint="eastAsia"/>
                <w:lang w:val="en-US" w:eastAsia="zh-CN"/>
              </w:rPr>
            </w:pPr>
            <w:r>
              <w:rPr>
                <w:rFonts w:hint="eastAsia"/>
                <w:lang w:val="en-US" w:eastAsia="zh-CN"/>
              </w:rPr>
              <w:t xml:space="preserve">0.000038 </w:t>
            </w:r>
          </w:p>
        </w:tc>
        <w:tc>
          <w:tcPr>
            <w:tcW w:w="952" w:type="dxa"/>
            <w:vAlign w:val="center"/>
          </w:tcPr>
          <w:p w14:paraId="0A0DBE3C">
            <w:pPr>
              <w:pStyle w:val="59"/>
              <w:bidi w:val="0"/>
              <w:rPr>
                <w:rFonts w:hint="eastAsia"/>
                <w:lang w:val="en-US" w:eastAsia="zh-CN"/>
              </w:rPr>
            </w:pPr>
            <w:r>
              <w:rPr>
                <w:rFonts w:hint="eastAsia"/>
                <w:lang w:val="en-US" w:eastAsia="zh-CN"/>
              </w:rPr>
              <w:t xml:space="preserve">0.000001 </w:t>
            </w:r>
          </w:p>
        </w:tc>
        <w:tc>
          <w:tcPr>
            <w:tcW w:w="1144" w:type="dxa"/>
            <w:vMerge w:val="continue"/>
            <w:vAlign w:val="center"/>
          </w:tcPr>
          <w:p w14:paraId="00A9D194">
            <w:pPr>
              <w:pStyle w:val="59"/>
              <w:bidi w:val="0"/>
              <w:rPr>
                <w:rFonts w:hint="eastAsia"/>
                <w:lang w:val="en-US" w:eastAsia="zh-CN"/>
              </w:rPr>
            </w:pPr>
          </w:p>
        </w:tc>
        <w:tc>
          <w:tcPr>
            <w:tcW w:w="760" w:type="dxa"/>
            <w:vAlign w:val="center"/>
          </w:tcPr>
          <w:p w14:paraId="7732414F">
            <w:pPr>
              <w:pStyle w:val="59"/>
              <w:bidi w:val="0"/>
              <w:rPr>
                <w:rFonts w:hint="eastAsia"/>
                <w:lang w:val="en-US" w:eastAsia="zh-CN"/>
              </w:rPr>
            </w:pPr>
            <w:r>
              <w:rPr>
                <w:rFonts w:hint="eastAsia"/>
                <w:lang w:val="en-US" w:eastAsia="zh-CN"/>
              </w:rPr>
              <w:t>80%</w:t>
            </w:r>
          </w:p>
        </w:tc>
        <w:tc>
          <w:tcPr>
            <w:tcW w:w="951" w:type="dxa"/>
            <w:vAlign w:val="center"/>
          </w:tcPr>
          <w:p w14:paraId="1612130F">
            <w:pPr>
              <w:pStyle w:val="59"/>
              <w:bidi w:val="0"/>
              <w:rPr>
                <w:rFonts w:hint="eastAsia"/>
                <w:lang w:val="en-US" w:eastAsia="zh-CN"/>
              </w:rPr>
            </w:pPr>
            <w:r>
              <w:rPr>
                <w:rFonts w:hint="eastAsia"/>
                <w:lang w:val="en-US" w:eastAsia="zh-CN"/>
              </w:rPr>
              <w:t>产污系数法</w:t>
            </w:r>
          </w:p>
        </w:tc>
        <w:tc>
          <w:tcPr>
            <w:tcW w:w="945" w:type="dxa"/>
            <w:vAlign w:val="center"/>
          </w:tcPr>
          <w:p w14:paraId="60427EB2">
            <w:pPr>
              <w:pStyle w:val="59"/>
              <w:bidi w:val="0"/>
              <w:rPr>
                <w:rFonts w:hint="eastAsia"/>
                <w:lang w:val="en-US" w:eastAsia="zh-CN"/>
              </w:rPr>
            </w:pPr>
            <w:r>
              <w:rPr>
                <w:rFonts w:hint="eastAsia"/>
                <w:lang w:val="en-US" w:eastAsia="zh-CN"/>
              </w:rPr>
              <w:t xml:space="preserve">15000 </w:t>
            </w:r>
          </w:p>
        </w:tc>
        <w:tc>
          <w:tcPr>
            <w:tcW w:w="934" w:type="dxa"/>
            <w:vAlign w:val="center"/>
          </w:tcPr>
          <w:p w14:paraId="244DDF25">
            <w:pPr>
              <w:pStyle w:val="59"/>
              <w:bidi w:val="0"/>
              <w:rPr>
                <w:rFonts w:hint="eastAsia"/>
                <w:lang w:val="en-US" w:eastAsia="zh-CN"/>
              </w:rPr>
            </w:pPr>
            <w:r>
              <w:rPr>
                <w:rFonts w:hint="eastAsia"/>
                <w:lang w:val="en-US" w:eastAsia="zh-CN"/>
              </w:rPr>
              <w:t xml:space="preserve">0.000008 </w:t>
            </w:r>
          </w:p>
        </w:tc>
        <w:tc>
          <w:tcPr>
            <w:tcW w:w="922" w:type="dxa"/>
            <w:vAlign w:val="center"/>
          </w:tcPr>
          <w:p w14:paraId="7A13EBB8">
            <w:pPr>
              <w:pStyle w:val="59"/>
              <w:bidi w:val="0"/>
              <w:rPr>
                <w:rFonts w:hint="eastAsia"/>
                <w:lang w:val="en-US" w:eastAsia="zh-CN"/>
              </w:rPr>
            </w:pPr>
            <w:r>
              <w:rPr>
                <w:rFonts w:hint="eastAsia"/>
                <w:lang w:val="en-US" w:eastAsia="zh-CN"/>
              </w:rPr>
              <w:t xml:space="preserve">0.000000 </w:t>
            </w:r>
          </w:p>
        </w:tc>
        <w:tc>
          <w:tcPr>
            <w:tcW w:w="917" w:type="dxa"/>
            <w:vAlign w:val="center"/>
          </w:tcPr>
          <w:p w14:paraId="5A929C3F">
            <w:pPr>
              <w:pStyle w:val="59"/>
              <w:bidi w:val="0"/>
              <w:rPr>
                <w:rFonts w:hint="eastAsia"/>
                <w:lang w:val="en-US" w:eastAsia="zh-CN"/>
              </w:rPr>
            </w:pPr>
            <w:r>
              <w:rPr>
                <w:rFonts w:hint="eastAsia"/>
                <w:lang w:val="en-US" w:eastAsia="zh-CN"/>
              </w:rPr>
              <w:t xml:space="preserve">1934 </w:t>
            </w:r>
          </w:p>
        </w:tc>
      </w:tr>
      <w:tr w14:paraId="7DEBD5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2585720C">
            <w:pPr>
              <w:pStyle w:val="59"/>
              <w:bidi w:val="0"/>
              <w:rPr>
                <w:rFonts w:hint="eastAsia"/>
                <w:lang w:val="en-US" w:eastAsia="zh-CN"/>
              </w:rPr>
            </w:pPr>
          </w:p>
        </w:tc>
        <w:tc>
          <w:tcPr>
            <w:tcW w:w="1230" w:type="dxa"/>
            <w:vMerge w:val="continue"/>
            <w:vAlign w:val="center"/>
          </w:tcPr>
          <w:p w14:paraId="411396A9">
            <w:pPr>
              <w:pStyle w:val="59"/>
              <w:bidi w:val="0"/>
              <w:rPr>
                <w:rFonts w:hint="eastAsia"/>
                <w:lang w:val="en-US" w:eastAsia="zh-CN"/>
              </w:rPr>
            </w:pPr>
          </w:p>
        </w:tc>
        <w:tc>
          <w:tcPr>
            <w:tcW w:w="900" w:type="dxa"/>
            <w:vMerge w:val="continue"/>
            <w:vAlign w:val="center"/>
          </w:tcPr>
          <w:p w14:paraId="14948083">
            <w:pPr>
              <w:pStyle w:val="59"/>
              <w:bidi w:val="0"/>
              <w:rPr>
                <w:rFonts w:hint="eastAsia"/>
                <w:lang w:val="en-US" w:eastAsia="zh-CN"/>
              </w:rPr>
            </w:pPr>
          </w:p>
        </w:tc>
        <w:tc>
          <w:tcPr>
            <w:tcW w:w="885" w:type="dxa"/>
            <w:vAlign w:val="center"/>
          </w:tcPr>
          <w:p w14:paraId="4FC55628">
            <w:pPr>
              <w:pStyle w:val="59"/>
              <w:bidi w:val="0"/>
              <w:rPr>
                <w:rFonts w:hint="eastAsia"/>
                <w:lang w:val="en-US" w:eastAsia="zh-CN"/>
              </w:rPr>
            </w:pPr>
            <w:r>
              <w:rPr>
                <w:rFonts w:hint="eastAsia"/>
                <w:lang w:val="en-US" w:eastAsia="zh-CN"/>
              </w:rPr>
              <w:t>甲苯</w:t>
            </w:r>
          </w:p>
        </w:tc>
        <w:tc>
          <w:tcPr>
            <w:tcW w:w="972" w:type="dxa"/>
            <w:vAlign w:val="center"/>
          </w:tcPr>
          <w:p w14:paraId="168F56E5">
            <w:pPr>
              <w:pStyle w:val="59"/>
              <w:bidi w:val="0"/>
              <w:rPr>
                <w:rFonts w:hint="eastAsia"/>
                <w:lang w:val="en-US" w:eastAsia="zh-CN"/>
              </w:rPr>
            </w:pPr>
            <w:r>
              <w:rPr>
                <w:rFonts w:hint="eastAsia"/>
                <w:lang w:val="en-US" w:eastAsia="zh-CN"/>
              </w:rPr>
              <w:t>产污系数法</w:t>
            </w:r>
          </w:p>
        </w:tc>
        <w:tc>
          <w:tcPr>
            <w:tcW w:w="773" w:type="dxa"/>
            <w:vAlign w:val="center"/>
          </w:tcPr>
          <w:p w14:paraId="194EED83">
            <w:pPr>
              <w:pStyle w:val="59"/>
              <w:bidi w:val="0"/>
              <w:rPr>
                <w:rFonts w:hint="eastAsia"/>
                <w:lang w:val="en-US" w:eastAsia="zh-CN"/>
              </w:rPr>
            </w:pPr>
            <w:r>
              <w:rPr>
                <w:rFonts w:hint="eastAsia"/>
                <w:lang w:val="en-US" w:eastAsia="zh-CN"/>
              </w:rPr>
              <w:t xml:space="preserve">15000 </w:t>
            </w:r>
          </w:p>
        </w:tc>
        <w:tc>
          <w:tcPr>
            <w:tcW w:w="952" w:type="dxa"/>
            <w:vAlign w:val="center"/>
          </w:tcPr>
          <w:p w14:paraId="3AF6FC67">
            <w:pPr>
              <w:pStyle w:val="59"/>
              <w:bidi w:val="0"/>
              <w:rPr>
                <w:rFonts w:hint="eastAsia"/>
                <w:lang w:val="en-US" w:eastAsia="zh-CN"/>
              </w:rPr>
            </w:pPr>
            <w:r>
              <w:rPr>
                <w:rFonts w:hint="eastAsia"/>
                <w:lang w:val="en-US" w:eastAsia="zh-CN"/>
              </w:rPr>
              <w:t xml:space="preserve">0.000017 </w:t>
            </w:r>
          </w:p>
        </w:tc>
        <w:tc>
          <w:tcPr>
            <w:tcW w:w="952" w:type="dxa"/>
            <w:vAlign w:val="center"/>
          </w:tcPr>
          <w:p w14:paraId="17FAE8DC">
            <w:pPr>
              <w:pStyle w:val="59"/>
              <w:bidi w:val="0"/>
              <w:rPr>
                <w:rFonts w:hint="eastAsia"/>
                <w:lang w:val="en-US" w:eastAsia="zh-CN"/>
              </w:rPr>
            </w:pPr>
            <w:r>
              <w:rPr>
                <w:rFonts w:hint="eastAsia"/>
                <w:lang w:val="en-US" w:eastAsia="zh-CN"/>
              </w:rPr>
              <w:t xml:space="preserve">0.000000 </w:t>
            </w:r>
          </w:p>
        </w:tc>
        <w:tc>
          <w:tcPr>
            <w:tcW w:w="1144" w:type="dxa"/>
            <w:vMerge w:val="continue"/>
            <w:vAlign w:val="center"/>
          </w:tcPr>
          <w:p w14:paraId="2A6C2F1A">
            <w:pPr>
              <w:pStyle w:val="59"/>
              <w:bidi w:val="0"/>
              <w:rPr>
                <w:rFonts w:hint="eastAsia"/>
                <w:lang w:val="en-US" w:eastAsia="zh-CN"/>
              </w:rPr>
            </w:pPr>
          </w:p>
        </w:tc>
        <w:tc>
          <w:tcPr>
            <w:tcW w:w="760" w:type="dxa"/>
            <w:vAlign w:val="center"/>
          </w:tcPr>
          <w:p w14:paraId="0AE5BBD9">
            <w:pPr>
              <w:pStyle w:val="59"/>
              <w:bidi w:val="0"/>
              <w:rPr>
                <w:rFonts w:hint="eastAsia"/>
                <w:lang w:val="en-US" w:eastAsia="zh-CN"/>
              </w:rPr>
            </w:pPr>
            <w:r>
              <w:rPr>
                <w:rFonts w:hint="eastAsia"/>
                <w:lang w:val="en-US" w:eastAsia="zh-CN"/>
              </w:rPr>
              <w:t>80%</w:t>
            </w:r>
          </w:p>
        </w:tc>
        <w:tc>
          <w:tcPr>
            <w:tcW w:w="951" w:type="dxa"/>
            <w:vAlign w:val="center"/>
          </w:tcPr>
          <w:p w14:paraId="234776C4">
            <w:pPr>
              <w:pStyle w:val="59"/>
              <w:bidi w:val="0"/>
              <w:rPr>
                <w:rFonts w:hint="eastAsia"/>
                <w:lang w:val="en-US" w:eastAsia="zh-CN"/>
              </w:rPr>
            </w:pPr>
            <w:r>
              <w:rPr>
                <w:rFonts w:hint="eastAsia"/>
                <w:lang w:val="en-US" w:eastAsia="zh-CN"/>
              </w:rPr>
              <w:t>产污系数法</w:t>
            </w:r>
          </w:p>
        </w:tc>
        <w:tc>
          <w:tcPr>
            <w:tcW w:w="945" w:type="dxa"/>
            <w:vAlign w:val="center"/>
          </w:tcPr>
          <w:p w14:paraId="794F3E01">
            <w:pPr>
              <w:pStyle w:val="59"/>
              <w:bidi w:val="0"/>
              <w:rPr>
                <w:rFonts w:hint="eastAsia"/>
                <w:lang w:val="en-US" w:eastAsia="zh-CN"/>
              </w:rPr>
            </w:pPr>
            <w:r>
              <w:rPr>
                <w:rFonts w:hint="eastAsia"/>
                <w:lang w:val="en-US" w:eastAsia="zh-CN"/>
              </w:rPr>
              <w:t xml:space="preserve">15000 </w:t>
            </w:r>
          </w:p>
        </w:tc>
        <w:tc>
          <w:tcPr>
            <w:tcW w:w="934" w:type="dxa"/>
            <w:vAlign w:val="center"/>
          </w:tcPr>
          <w:p w14:paraId="173E5B39">
            <w:pPr>
              <w:pStyle w:val="59"/>
              <w:bidi w:val="0"/>
              <w:rPr>
                <w:rFonts w:hint="eastAsia"/>
                <w:lang w:val="en-US" w:eastAsia="zh-CN"/>
              </w:rPr>
            </w:pPr>
            <w:r>
              <w:rPr>
                <w:rFonts w:hint="eastAsia"/>
                <w:lang w:val="en-US" w:eastAsia="zh-CN"/>
              </w:rPr>
              <w:t xml:space="preserve">0.000003 </w:t>
            </w:r>
          </w:p>
        </w:tc>
        <w:tc>
          <w:tcPr>
            <w:tcW w:w="922" w:type="dxa"/>
            <w:vAlign w:val="center"/>
          </w:tcPr>
          <w:p w14:paraId="7D3D8713">
            <w:pPr>
              <w:pStyle w:val="59"/>
              <w:bidi w:val="0"/>
              <w:rPr>
                <w:rFonts w:hint="eastAsia"/>
                <w:lang w:val="en-US" w:eastAsia="zh-CN"/>
              </w:rPr>
            </w:pPr>
            <w:r>
              <w:rPr>
                <w:rFonts w:hint="eastAsia"/>
                <w:lang w:val="en-US" w:eastAsia="zh-CN"/>
              </w:rPr>
              <w:t xml:space="preserve">0.000000 </w:t>
            </w:r>
          </w:p>
        </w:tc>
        <w:tc>
          <w:tcPr>
            <w:tcW w:w="917" w:type="dxa"/>
            <w:vAlign w:val="center"/>
          </w:tcPr>
          <w:p w14:paraId="36B62516">
            <w:pPr>
              <w:pStyle w:val="59"/>
              <w:bidi w:val="0"/>
              <w:rPr>
                <w:rFonts w:hint="eastAsia"/>
                <w:lang w:val="en-US" w:eastAsia="zh-CN"/>
              </w:rPr>
            </w:pPr>
            <w:r>
              <w:rPr>
                <w:rFonts w:hint="eastAsia"/>
                <w:lang w:val="en-US" w:eastAsia="zh-CN"/>
              </w:rPr>
              <w:t xml:space="preserve">1934 </w:t>
            </w:r>
          </w:p>
        </w:tc>
      </w:tr>
      <w:tr w14:paraId="70570B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580FB969">
            <w:pPr>
              <w:pStyle w:val="59"/>
              <w:bidi w:val="0"/>
              <w:rPr>
                <w:rFonts w:hint="eastAsia"/>
                <w:lang w:val="en-US" w:eastAsia="zh-CN"/>
              </w:rPr>
            </w:pPr>
          </w:p>
        </w:tc>
        <w:tc>
          <w:tcPr>
            <w:tcW w:w="1230" w:type="dxa"/>
            <w:vMerge w:val="continue"/>
            <w:vAlign w:val="center"/>
          </w:tcPr>
          <w:p w14:paraId="27B7E40F">
            <w:pPr>
              <w:pStyle w:val="59"/>
              <w:bidi w:val="0"/>
              <w:rPr>
                <w:rFonts w:hint="eastAsia"/>
                <w:lang w:val="en-US" w:eastAsia="zh-CN"/>
              </w:rPr>
            </w:pPr>
          </w:p>
        </w:tc>
        <w:tc>
          <w:tcPr>
            <w:tcW w:w="900" w:type="dxa"/>
            <w:vMerge w:val="continue"/>
            <w:vAlign w:val="center"/>
          </w:tcPr>
          <w:p w14:paraId="31B850C4">
            <w:pPr>
              <w:pStyle w:val="59"/>
              <w:bidi w:val="0"/>
              <w:rPr>
                <w:rFonts w:hint="eastAsia"/>
                <w:lang w:val="en-US" w:eastAsia="zh-CN"/>
              </w:rPr>
            </w:pPr>
          </w:p>
        </w:tc>
        <w:tc>
          <w:tcPr>
            <w:tcW w:w="885" w:type="dxa"/>
            <w:vAlign w:val="center"/>
          </w:tcPr>
          <w:p w14:paraId="0E9977F7">
            <w:pPr>
              <w:pStyle w:val="59"/>
              <w:bidi w:val="0"/>
              <w:rPr>
                <w:rFonts w:hint="eastAsia"/>
                <w:lang w:val="en-US" w:eastAsia="zh-CN"/>
              </w:rPr>
            </w:pPr>
            <w:r>
              <w:rPr>
                <w:rFonts w:hint="eastAsia"/>
                <w:lang w:val="en-US" w:eastAsia="zh-CN"/>
              </w:rPr>
              <w:t>总VOCs</w:t>
            </w:r>
          </w:p>
        </w:tc>
        <w:tc>
          <w:tcPr>
            <w:tcW w:w="972" w:type="dxa"/>
            <w:vAlign w:val="center"/>
          </w:tcPr>
          <w:p w14:paraId="62B2936C">
            <w:pPr>
              <w:pStyle w:val="59"/>
              <w:bidi w:val="0"/>
              <w:rPr>
                <w:rFonts w:hint="eastAsia"/>
                <w:lang w:val="en-US" w:eastAsia="zh-CN"/>
              </w:rPr>
            </w:pPr>
            <w:r>
              <w:rPr>
                <w:rFonts w:hint="eastAsia"/>
                <w:lang w:val="en-US" w:eastAsia="zh-CN"/>
              </w:rPr>
              <w:t>物料衡算法</w:t>
            </w:r>
          </w:p>
        </w:tc>
        <w:tc>
          <w:tcPr>
            <w:tcW w:w="773" w:type="dxa"/>
            <w:vAlign w:val="center"/>
          </w:tcPr>
          <w:p w14:paraId="5239605B">
            <w:pPr>
              <w:pStyle w:val="59"/>
              <w:bidi w:val="0"/>
              <w:rPr>
                <w:rFonts w:hint="eastAsia"/>
                <w:lang w:val="en-US" w:eastAsia="zh-CN"/>
              </w:rPr>
            </w:pPr>
            <w:r>
              <w:rPr>
                <w:rFonts w:hint="eastAsia"/>
                <w:lang w:val="en-US" w:eastAsia="zh-CN"/>
              </w:rPr>
              <w:t xml:space="preserve">15000 </w:t>
            </w:r>
          </w:p>
        </w:tc>
        <w:tc>
          <w:tcPr>
            <w:tcW w:w="952" w:type="dxa"/>
            <w:vAlign w:val="center"/>
          </w:tcPr>
          <w:p w14:paraId="7966BE5A">
            <w:pPr>
              <w:pStyle w:val="59"/>
              <w:bidi w:val="0"/>
              <w:rPr>
                <w:rFonts w:hint="eastAsia"/>
                <w:lang w:val="en-US" w:eastAsia="zh-CN"/>
              </w:rPr>
            </w:pPr>
            <w:r>
              <w:rPr>
                <w:rFonts w:hint="eastAsia"/>
                <w:lang w:val="en-US" w:eastAsia="zh-CN"/>
              </w:rPr>
              <w:t xml:space="preserve">30.00 </w:t>
            </w:r>
          </w:p>
        </w:tc>
        <w:tc>
          <w:tcPr>
            <w:tcW w:w="952" w:type="dxa"/>
            <w:vAlign w:val="center"/>
          </w:tcPr>
          <w:p w14:paraId="5BD36BB5">
            <w:pPr>
              <w:pStyle w:val="59"/>
              <w:bidi w:val="0"/>
              <w:rPr>
                <w:rFonts w:hint="eastAsia"/>
                <w:lang w:val="en-US" w:eastAsia="zh-CN"/>
              </w:rPr>
            </w:pPr>
            <w:r>
              <w:rPr>
                <w:rFonts w:hint="eastAsia"/>
                <w:lang w:val="en-US" w:eastAsia="zh-CN"/>
              </w:rPr>
              <w:t xml:space="preserve">0.450 </w:t>
            </w:r>
          </w:p>
        </w:tc>
        <w:tc>
          <w:tcPr>
            <w:tcW w:w="1144" w:type="dxa"/>
            <w:vMerge w:val="continue"/>
            <w:vAlign w:val="center"/>
          </w:tcPr>
          <w:p w14:paraId="2BF25051">
            <w:pPr>
              <w:pStyle w:val="59"/>
              <w:bidi w:val="0"/>
              <w:rPr>
                <w:rFonts w:hint="eastAsia"/>
                <w:lang w:val="en-US" w:eastAsia="zh-CN"/>
              </w:rPr>
            </w:pPr>
          </w:p>
        </w:tc>
        <w:tc>
          <w:tcPr>
            <w:tcW w:w="760" w:type="dxa"/>
            <w:vAlign w:val="center"/>
          </w:tcPr>
          <w:p w14:paraId="01C973D0">
            <w:pPr>
              <w:pStyle w:val="59"/>
              <w:bidi w:val="0"/>
              <w:rPr>
                <w:rFonts w:hint="eastAsia"/>
                <w:lang w:val="en-US" w:eastAsia="zh-CN"/>
              </w:rPr>
            </w:pPr>
            <w:r>
              <w:rPr>
                <w:rFonts w:hint="eastAsia"/>
                <w:lang w:val="en-US" w:eastAsia="zh-CN"/>
              </w:rPr>
              <w:t>80%</w:t>
            </w:r>
          </w:p>
        </w:tc>
        <w:tc>
          <w:tcPr>
            <w:tcW w:w="951" w:type="dxa"/>
            <w:vAlign w:val="center"/>
          </w:tcPr>
          <w:p w14:paraId="5CF30F0B">
            <w:pPr>
              <w:pStyle w:val="59"/>
              <w:bidi w:val="0"/>
              <w:rPr>
                <w:rFonts w:hint="eastAsia"/>
                <w:lang w:val="en-US" w:eastAsia="zh-CN"/>
              </w:rPr>
            </w:pPr>
            <w:r>
              <w:rPr>
                <w:rFonts w:hint="eastAsia"/>
                <w:lang w:val="en-US" w:eastAsia="zh-CN"/>
              </w:rPr>
              <w:t>物料衡算法</w:t>
            </w:r>
          </w:p>
        </w:tc>
        <w:tc>
          <w:tcPr>
            <w:tcW w:w="945" w:type="dxa"/>
            <w:vAlign w:val="center"/>
          </w:tcPr>
          <w:p w14:paraId="722E3B5C">
            <w:pPr>
              <w:pStyle w:val="59"/>
              <w:bidi w:val="0"/>
              <w:rPr>
                <w:rFonts w:hint="eastAsia"/>
                <w:lang w:val="en-US" w:eastAsia="zh-CN"/>
              </w:rPr>
            </w:pPr>
            <w:r>
              <w:rPr>
                <w:rFonts w:hint="eastAsia"/>
                <w:lang w:val="en-US" w:eastAsia="zh-CN"/>
              </w:rPr>
              <w:t xml:space="preserve">15000 </w:t>
            </w:r>
          </w:p>
        </w:tc>
        <w:tc>
          <w:tcPr>
            <w:tcW w:w="934" w:type="dxa"/>
            <w:vAlign w:val="center"/>
          </w:tcPr>
          <w:p w14:paraId="2FB11FD0">
            <w:pPr>
              <w:pStyle w:val="59"/>
              <w:bidi w:val="0"/>
              <w:rPr>
                <w:rFonts w:hint="eastAsia"/>
                <w:lang w:val="en-US" w:eastAsia="zh-CN"/>
              </w:rPr>
            </w:pPr>
            <w:r>
              <w:rPr>
                <w:rFonts w:hint="eastAsia"/>
                <w:lang w:val="en-US" w:eastAsia="zh-CN"/>
              </w:rPr>
              <w:t xml:space="preserve">6.00 </w:t>
            </w:r>
          </w:p>
        </w:tc>
        <w:tc>
          <w:tcPr>
            <w:tcW w:w="922" w:type="dxa"/>
            <w:vAlign w:val="center"/>
          </w:tcPr>
          <w:p w14:paraId="4FCA5706">
            <w:pPr>
              <w:pStyle w:val="59"/>
              <w:bidi w:val="0"/>
              <w:rPr>
                <w:rFonts w:hint="eastAsia"/>
                <w:lang w:val="en-US" w:eastAsia="zh-CN"/>
              </w:rPr>
            </w:pPr>
            <w:r>
              <w:rPr>
                <w:rFonts w:hint="eastAsia"/>
                <w:lang w:val="en-US" w:eastAsia="zh-CN"/>
              </w:rPr>
              <w:t xml:space="preserve">0.090 </w:t>
            </w:r>
          </w:p>
        </w:tc>
        <w:tc>
          <w:tcPr>
            <w:tcW w:w="917" w:type="dxa"/>
            <w:vAlign w:val="center"/>
          </w:tcPr>
          <w:p w14:paraId="01292FAD">
            <w:pPr>
              <w:pStyle w:val="59"/>
              <w:bidi w:val="0"/>
              <w:rPr>
                <w:rFonts w:hint="eastAsia"/>
                <w:lang w:val="en-US" w:eastAsia="zh-CN"/>
              </w:rPr>
            </w:pPr>
            <w:r>
              <w:rPr>
                <w:rFonts w:hint="eastAsia"/>
                <w:lang w:val="en-US" w:eastAsia="zh-CN"/>
              </w:rPr>
              <w:t xml:space="preserve">1934 </w:t>
            </w:r>
          </w:p>
        </w:tc>
      </w:tr>
      <w:tr w14:paraId="6CEDB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restart"/>
            <w:vAlign w:val="center"/>
          </w:tcPr>
          <w:p w14:paraId="59DAFDF9">
            <w:pPr>
              <w:pStyle w:val="59"/>
              <w:bidi w:val="0"/>
              <w:rPr>
                <w:rFonts w:hint="eastAsia"/>
                <w:lang w:val="en-US" w:eastAsia="zh-CN"/>
              </w:rPr>
            </w:pPr>
            <w:r>
              <w:rPr>
                <w:rFonts w:hint="eastAsia"/>
                <w:lang w:val="en-US" w:eastAsia="zh-CN"/>
              </w:rPr>
              <w:t>印刷、烘干、调墨、洗机、危废贮存、合掌、定型</w:t>
            </w:r>
          </w:p>
        </w:tc>
        <w:tc>
          <w:tcPr>
            <w:tcW w:w="1230" w:type="dxa"/>
            <w:vMerge w:val="restart"/>
            <w:vAlign w:val="center"/>
          </w:tcPr>
          <w:p w14:paraId="5BA829A4">
            <w:pPr>
              <w:pStyle w:val="59"/>
              <w:bidi w:val="0"/>
              <w:rPr>
                <w:rFonts w:hint="eastAsia"/>
                <w:lang w:val="en-US" w:eastAsia="zh-CN"/>
              </w:rPr>
            </w:pPr>
            <w:r>
              <w:rPr>
                <w:rFonts w:hint="eastAsia"/>
                <w:lang w:val="en-US" w:eastAsia="zh-CN"/>
              </w:rPr>
              <w:t>印刷机、调墨房、危废暂存间、合掌机、定型机</w:t>
            </w:r>
          </w:p>
        </w:tc>
        <w:tc>
          <w:tcPr>
            <w:tcW w:w="900" w:type="dxa"/>
            <w:vMerge w:val="restart"/>
            <w:vAlign w:val="center"/>
          </w:tcPr>
          <w:p w14:paraId="40CADA46">
            <w:pPr>
              <w:pStyle w:val="59"/>
              <w:bidi w:val="0"/>
              <w:rPr>
                <w:rFonts w:hint="eastAsia"/>
                <w:lang w:val="en-US" w:eastAsia="zh-CN"/>
              </w:rPr>
            </w:pPr>
            <w:r>
              <w:rPr>
                <w:rFonts w:hint="eastAsia"/>
                <w:lang w:val="en-US" w:eastAsia="zh-CN"/>
              </w:rPr>
              <w:t>无组织</w:t>
            </w:r>
          </w:p>
        </w:tc>
        <w:tc>
          <w:tcPr>
            <w:tcW w:w="885" w:type="dxa"/>
            <w:vAlign w:val="center"/>
          </w:tcPr>
          <w:p w14:paraId="63DB1836">
            <w:pPr>
              <w:pStyle w:val="59"/>
              <w:bidi w:val="0"/>
              <w:rPr>
                <w:rFonts w:hint="eastAsia"/>
                <w:lang w:val="en-US" w:eastAsia="zh-CN"/>
              </w:rPr>
            </w:pPr>
            <w:r>
              <w:rPr>
                <w:rFonts w:hint="eastAsia"/>
                <w:lang w:val="en-US" w:eastAsia="zh-CN"/>
              </w:rPr>
              <w:t>总VOCs</w:t>
            </w:r>
          </w:p>
        </w:tc>
        <w:tc>
          <w:tcPr>
            <w:tcW w:w="972" w:type="dxa"/>
            <w:vAlign w:val="center"/>
          </w:tcPr>
          <w:p w14:paraId="10459EB8">
            <w:pPr>
              <w:pStyle w:val="59"/>
              <w:bidi w:val="0"/>
              <w:rPr>
                <w:rFonts w:hint="eastAsia"/>
                <w:lang w:val="en-US" w:eastAsia="zh-CN"/>
              </w:rPr>
            </w:pPr>
            <w:r>
              <w:rPr>
                <w:rFonts w:hint="eastAsia"/>
                <w:lang w:val="en-US" w:eastAsia="zh-CN"/>
              </w:rPr>
              <w:t>物料衡算法</w:t>
            </w:r>
          </w:p>
        </w:tc>
        <w:tc>
          <w:tcPr>
            <w:tcW w:w="773" w:type="dxa"/>
            <w:vAlign w:val="center"/>
          </w:tcPr>
          <w:p w14:paraId="5BC0B141">
            <w:pPr>
              <w:pStyle w:val="59"/>
              <w:bidi w:val="0"/>
              <w:rPr>
                <w:rFonts w:hint="eastAsia"/>
                <w:lang w:val="en-US" w:eastAsia="zh-CN"/>
              </w:rPr>
            </w:pPr>
            <w:r>
              <w:rPr>
                <w:rFonts w:hint="eastAsia"/>
                <w:lang w:val="en-US" w:eastAsia="zh-CN"/>
              </w:rPr>
              <w:t>/</w:t>
            </w:r>
          </w:p>
        </w:tc>
        <w:tc>
          <w:tcPr>
            <w:tcW w:w="952" w:type="dxa"/>
            <w:vAlign w:val="center"/>
          </w:tcPr>
          <w:p w14:paraId="380ABD72">
            <w:pPr>
              <w:pStyle w:val="59"/>
              <w:bidi w:val="0"/>
              <w:rPr>
                <w:rFonts w:hint="eastAsia"/>
                <w:lang w:val="en-US" w:eastAsia="zh-CN"/>
              </w:rPr>
            </w:pPr>
            <w:r>
              <w:rPr>
                <w:rFonts w:hint="eastAsia"/>
                <w:lang w:val="en-US" w:eastAsia="zh-CN"/>
              </w:rPr>
              <w:t>/</w:t>
            </w:r>
          </w:p>
        </w:tc>
        <w:tc>
          <w:tcPr>
            <w:tcW w:w="952" w:type="dxa"/>
            <w:vAlign w:val="center"/>
          </w:tcPr>
          <w:p w14:paraId="7FF6DC17">
            <w:pPr>
              <w:pStyle w:val="59"/>
              <w:bidi w:val="0"/>
              <w:rPr>
                <w:rFonts w:hint="eastAsia"/>
                <w:lang w:val="en-US" w:eastAsia="zh-CN"/>
              </w:rPr>
            </w:pPr>
            <w:r>
              <w:rPr>
                <w:rFonts w:hint="eastAsia"/>
                <w:lang w:val="en-US" w:eastAsia="zh-CN"/>
              </w:rPr>
              <w:t xml:space="preserve">3.473 </w:t>
            </w:r>
          </w:p>
        </w:tc>
        <w:tc>
          <w:tcPr>
            <w:tcW w:w="1144" w:type="dxa"/>
            <w:vMerge w:val="restart"/>
            <w:vAlign w:val="center"/>
          </w:tcPr>
          <w:p w14:paraId="4C32A440">
            <w:pPr>
              <w:pStyle w:val="59"/>
              <w:bidi w:val="0"/>
              <w:rPr>
                <w:rFonts w:hint="eastAsia"/>
                <w:lang w:val="en-US" w:eastAsia="zh-CN"/>
              </w:rPr>
            </w:pPr>
            <w:r>
              <w:rPr>
                <w:rFonts w:hint="eastAsia"/>
                <w:lang w:val="en-US" w:eastAsia="zh-CN"/>
              </w:rPr>
              <w:t>密闭车间，加强抽风</w:t>
            </w:r>
          </w:p>
        </w:tc>
        <w:tc>
          <w:tcPr>
            <w:tcW w:w="760" w:type="dxa"/>
            <w:vAlign w:val="center"/>
          </w:tcPr>
          <w:p w14:paraId="79CDDD5B">
            <w:pPr>
              <w:pStyle w:val="59"/>
              <w:bidi w:val="0"/>
              <w:rPr>
                <w:rFonts w:hint="eastAsia"/>
                <w:lang w:val="en-US" w:eastAsia="zh-CN"/>
              </w:rPr>
            </w:pPr>
            <w:r>
              <w:rPr>
                <w:rFonts w:hint="eastAsia"/>
                <w:lang w:val="en-US" w:eastAsia="zh-CN"/>
              </w:rPr>
              <w:t>0</w:t>
            </w:r>
          </w:p>
        </w:tc>
        <w:tc>
          <w:tcPr>
            <w:tcW w:w="951" w:type="dxa"/>
            <w:vAlign w:val="center"/>
          </w:tcPr>
          <w:p w14:paraId="19C96AF7">
            <w:pPr>
              <w:pStyle w:val="59"/>
              <w:bidi w:val="0"/>
              <w:rPr>
                <w:rFonts w:hint="eastAsia"/>
                <w:lang w:val="en-US" w:eastAsia="zh-CN"/>
              </w:rPr>
            </w:pPr>
            <w:r>
              <w:rPr>
                <w:rFonts w:hint="eastAsia"/>
                <w:lang w:val="en-US" w:eastAsia="zh-CN"/>
              </w:rPr>
              <w:t>物料衡算法</w:t>
            </w:r>
          </w:p>
        </w:tc>
        <w:tc>
          <w:tcPr>
            <w:tcW w:w="945" w:type="dxa"/>
            <w:vAlign w:val="center"/>
          </w:tcPr>
          <w:p w14:paraId="05B4288B">
            <w:pPr>
              <w:pStyle w:val="59"/>
              <w:bidi w:val="0"/>
              <w:rPr>
                <w:rFonts w:hint="eastAsia"/>
                <w:lang w:val="en-US" w:eastAsia="zh-CN"/>
              </w:rPr>
            </w:pPr>
            <w:r>
              <w:rPr>
                <w:rFonts w:hint="eastAsia"/>
                <w:lang w:val="en-US" w:eastAsia="zh-CN"/>
              </w:rPr>
              <w:t>/</w:t>
            </w:r>
          </w:p>
        </w:tc>
        <w:tc>
          <w:tcPr>
            <w:tcW w:w="934" w:type="dxa"/>
            <w:vAlign w:val="center"/>
          </w:tcPr>
          <w:p w14:paraId="21681B03">
            <w:pPr>
              <w:pStyle w:val="59"/>
              <w:bidi w:val="0"/>
              <w:rPr>
                <w:rFonts w:hint="eastAsia"/>
                <w:lang w:val="en-US" w:eastAsia="zh-CN"/>
              </w:rPr>
            </w:pPr>
            <w:r>
              <w:rPr>
                <w:rFonts w:hint="eastAsia"/>
                <w:lang w:val="en-US" w:eastAsia="zh-CN"/>
              </w:rPr>
              <w:t>/</w:t>
            </w:r>
          </w:p>
        </w:tc>
        <w:tc>
          <w:tcPr>
            <w:tcW w:w="922" w:type="dxa"/>
            <w:vAlign w:val="center"/>
          </w:tcPr>
          <w:p w14:paraId="0C4B6C10">
            <w:pPr>
              <w:pStyle w:val="59"/>
              <w:bidi w:val="0"/>
              <w:rPr>
                <w:rFonts w:hint="eastAsia"/>
                <w:lang w:val="en-US" w:eastAsia="zh-CN"/>
              </w:rPr>
            </w:pPr>
            <w:r>
              <w:rPr>
                <w:rFonts w:hint="eastAsia"/>
                <w:lang w:val="en-US" w:eastAsia="zh-CN"/>
              </w:rPr>
              <w:t xml:space="preserve">3.473 </w:t>
            </w:r>
          </w:p>
        </w:tc>
        <w:tc>
          <w:tcPr>
            <w:tcW w:w="917" w:type="dxa"/>
            <w:vAlign w:val="center"/>
          </w:tcPr>
          <w:p w14:paraId="688A5484">
            <w:pPr>
              <w:pStyle w:val="59"/>
              <w:bidi w:val="0"/>
              <w:rPr>
                <w:rFonts w:hint="eastAsia"/>
                <w:lang w:val="en-US" w:eastAsia="zh-CN"/>
              </w:rPr>
            </w:pPr>
            <w:r>
              <w:rPr>
                <w:rFonts w:hint="eastAsia"/>
                <w:lang w:val="en-US" w:eastAsia="zh-CN"/>
              </w:rPr>
              <w:t xml:space="preserve">1896 </w:t>
            </w:r>
          </w:p>
        </w:tc>
      </w:tr>
      <w:tr w14:paraId="2FDD0A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54D1F736">
            <w:pPr>
              <w:pStyle w:val="59"/>
              <w:bidi w:val="0"/>
              <w:rPr>
                <w:rFonts w:hint="eastAsia"/>
                <w:lang w:val="en-US" w:eastAsia="zh-CN"/>
              </w:rPr>
            </w:pPr>
          </w:p>
        </w:tc>
        <w:tc>
          <w:tcPr>
            <w:tcW w:w="1230" w:type="dxa"/>
            <w:vMerge w:val="continue"/>
            <w:vAlign w:val="center"/>
          </w:tcPr>
          <w:p w14:paraId="5B89EA0D">
            <w:pPr>
              <w:pStyle w:val="59"/>
              <w:bidi w:val="0"/>
              <w:rPr>
                <w:rFonts w:hint="eastAsia"/>
                <w:lang w:val="en-US" w:eastAsia="zh-CN"/>
              </w:rPr>
            </w:pPr>
          </w:p>
        </w:tc>
        <w:tc>
          <w:tcPr>
            <w:tcW w:w="900" w:type="dxa"/>
            <w:vMerge w:val="continue"/>
            <w:vAlign w:val="center"/>
          </w:tcPr>
          <w:p w14:paraId="35C1092D">
            <w:pPr>
              <w:pStyle w:val="59"/>
              <w:bidi w:val="0"/>
              <w:rPr>
                <w:rFonts w:hint="eastAsia"/>
                <w:lang w:val="en-US" w:eastAsia="zh-CN"/>
              </w:rPr>
            </w:pPr>
          </w:p>
        </w:tc>
        <w:tc>
          <w:tcPr>
            <w:tcW w:w="885" w:type="dxa"/>
            <w:vAlign w:val="center"/>
          </w:tcPr>
          <w:p w14:paraId="6E8F3309">
            <w:pPr>
              <w:pStyle w:val="59"/>
              <w:bidi w:val="0"/>
              <w:rPr>
                <w:rFonts w:hint="eastAsia"/>
                <w:lang w:val="en-US" w:eastAsia="zh-CN"/>
              </w:rPr>
            </w:pPr>
            <w:r>
              <w:rPr>
                <w:rFonts w:hint="eastAsia"/>
                <w:lang w:val="en-US" w:eastAsia="zh-CN"/>
              </w:rPr>
              <w:t>NMHC</w:t>
            </w:r>
          </w:p>
        </w:tc>
        <w:tc>
          <w:tcPr>
            <w:tcW w:w="972" w:type="dxa"/>
            <w:vAlign w:val="center"/>
          </w:tcPr>
          <w:p w14:paraId="755E0542">
            <w:pPr>
              <w:pStyle w:val="59"/>
              <w:bidi w:val="0"/>
              <w:rPr>
                <w:rFonts w:hint="eastAsia"/>
                <w:lang w:val="en-US" w:eastAsia="zh-CN"/>
              </w:rPr>
            </w:pPr>
            <w:r>
              <w:rPr>
                <w:rFonts w:hint="eastAsia"/>
                <w:lang w:val="en-US" w:eastAsia="zh-CN"/>
              </w:rPr>
              <w:t>产污系数法</w:t>
            </w:r>
          </w:p>
        </w:tc>
        <w:tc>
          <w:tcPr>
            <w:tcW w:w="773" w:type="dxa"/>
            <w:vAlign w:val="center"/>
          </w:tcPr>
          <w:p w14:paraId="2D18E7D0">
            <w:pPr>
              <w:pStyle w:val="59"/>
              <w:bidi w:val="0"/>
              <w:rPr>
                <w:rFonts w:hint="eastAsia"/>
                <w:lang w:val="en-US" w:eastAsia="zh-CN"/>
              </w:rPr>
            </w:pPr>
            <w:r>
              <w:rPr>
                <w:rFonts w:hint="eastAsia"/>
                <w:lang w:val="en-US" w:eastAsia="zh-CN"/>
              </w:rPr>
              <w:t>/</w:t>
            </w:r>
          </w:p>
        </w:tc>
        <w:tc>
          <w:tcPr>
            <w:tcW w:w="952" w:type="dxa"/>
            <w:vAlign w:val="center"/>
          </w:tcPr>
          <w:p w14:paraId="6C21B3A1">
            <w:pPr>
              <w:pStyle w:val="59"/>
              <w:bidi w:val="0"/>
              <w:rPr>
                <w:rFonts w:hint="eastAsia"/>
                <w:lang w:val="en-US" w:eastAsia="zh-CN"/>
              </w:rPr>
            </w:pPr>
            <w:r>
              <w:rPr>
                <w:rFonts w:hint="eastAsia"/>
                <w:lang w:val="en-US" w:eastAsia="zh-CN"/>
              </w:rPr>
              <w:t>/</w:t>
            </w:r>
          </w:p>
        </w:tc>
        <w:tc>
          <w:tcPr>
            <w:tcW w:w="952" w:type="dxa"/>
            <w:vAlign w:val="center"/>
          </w:tcPr>
          <w:p w14:paraId="327DC7DE">
            <w:pPr>
              <w:pStyle w:val="59"/>
              <w:bidi w:val="0"/>
              <w:rPr>
                <w:rFonts w:hint="eastAsia"/>
                <w:lang w:val="en-US" w:eastAsia="zh-CN"/>
              </w:rPr>
            </w:pPr>
            <w:r>
              <w:rPr>
                <w:rFonts w:hint="eastAsia"/>
                <w:lang w:val="en-US" w:eastAsia="zh-CN"/>
              </w:rPr>
              <w:t xml:space="preserve">0.144 </w:t>
            </w:r>
          </w:p>
        </w:tc>
        <w:tc>
          <w:tcPr>
            <w:tcW w:w="1144" w:type="dxa"/>
            <w:vMerge w:val="continue"/>
            <w:vAlign w:val="center"/>
          </w:tcPr>
          <w:p w14:paraId="45F0002E">
            <w:pPr>
              <w:pStyle w:val="59"/>
              <w:bidi w:val="0"/>
              <w:rPr>
                <w:rFonts w:hint="eastAsia"/>
                <w:lang w:val="en-US" w:eastAsia="zh-CN"/>
              </w:rPr>
            </w:pPr>
          </w:p>
        </w:tc>
        <w:tc>
          <w:tcPr>
            <w:tcW w:w="760" w:type="dxa"/>
            <w:vAlign w:val="center"/>
          </w:tcPr>
          <w:p w14:paraId="458D4746">
            <w:pPr>
              <w:pStyle w:val="59"/>
              <w:bidi w:val="0"/>
              <w:rPr>
                <w:rFonts w:hint="eastAsia"/>
                <w:lang w:val="en-US" w:eastAsia="zh-CN"/>
              </w:rPr>
            </w:pPr>
            <w:r>
              <w:rPr>
                <w:rFonts w:hint="eastAsia"/>
                <w:lang w:val="en-US" w:eastAsia="zh-CN"/>
              </w:rPr>
              <w:t>0</w:t>
            </w:r>
          </w:p>
        </w:tc>
        <w:tc>
          <w:tcPr>
            <w:tcW w:w="951" w:type="dxa"/>
            <w:vAlign w:val="center"/>
          </w:tcPr>
          <w:p w14:paraId="023C5D8B">
            <w:pPr>
              <w:pStyle w:val="59"/>
              <w:bidi w:val="0"/>
              <w:rPr>
                <w:rFonts w:hint="eastAsia"/>
                <w:lang w:val="en-US" w:eastAsia="zh-CN"/>
              </w:rPr>
            </w:pPr>
            <w:r>
              <w:rPr>
                <w:rFonts w:hint="eastAsia"/>
                <w:lang w:val="en-US" w:eastAsia="zh-CN"/>
              </w:rPr>
              <w:t>产污系数法</w:t>
            </w:r>
          </w:p>
        </w:tc>
        <w:tc>
          <w:tcPr>
            <w:tcW w:w="945" w:type="dxa"/>
            <w:vAlign w:val="center"/>
          </w:tcPr>
          <w:p w14:paraId="1C5A9DC7">
            <w:pPr>
              <w:pStyle w:val="59"/>
              <w:bidi w:val="0"/>
              <w:rPr>
                <w:rFonts w:hint="eastAsia"/>
                <w:lang w:val="en-US" w:eastAsia="zh-CN"/>
              </w:rPr>
            </w:pPr>
            <w:r>
              <w:rPr>
                <w:rFonts w:hint="eastAsia"/>
                <w:lang w:val="en-US" w:eastAsia="zh-CN"/>
              </w:rPr>
              <w:t>/</w:t>
            </w:r>
          </w:p>
        </w:tc>
        <w:tc>
          <w:tcPr>
            <w:tcW w:w="934" w:type="dxa"/>
            <w:vAlign w:val="center"/>
          </w:tcPr>
          <w:p w14:paraId="0E197753">
            <w:pPr>
              <w:pStyle w:val="59"/>
              <w:bidi w:val="0"/>
              <w:rPr>
                <w:rFonts w:hint="eastAsia"/>
                <w:lang w:val="en-US" w:eastAsia="zh-CN"/>
              </w:rPr>
            </w:pPr>
            <w:r>
              <w:rPr>
                <w:rFonts w:hint="eastAsia"/>
                <w:lang w:val="en-US" w:eastAsia="zh-CN"/>
              </w:rPr>
              <w:t>/</w:t>
            </w:r>
          </w:p>
        </w:tc>
        <w:tc>
          <w:tcPr>
            <w:tcW w:w="922" w:type="dxa"/>
            <w:vAlign w:val="center"/>
          </w:tcPr>
          <w:p w14:paraId="6485F48A">
            <w:pPr>
              <w:pStyle w:val="59"/>
              <w:bidi w:val="0"/>
              <w:rPr>
                <w:rFonts w:hint="eastAsia"/>
                <w:lang w:val="en-US" w:eastAsia="zh-CN"/>
              </w:rPr>
            </w:pPr>
            <w:r>
              <w:rPr>
                <w:rFonts w:hint="eastAsia"/>
                <w:lang w:val="en-US" w:eastAsia="zh-CN"/>
              </w:rPr>
              <w:t xml:space="preserve">0.144 </w:t>
            </w:r>
          </w:p>
        </w:tc>
        <w:tc>
          <w:tcPr>
            <w:tcW w:w="917" w:type="dxa"/>
            <w:vAlign w:val="center"/>
          </w:tcPr>
          <w:p w14:paraId="0046C04B">
            <w:pPr>
              <w:pStyle w:val="59"/>
              <w:bidi w:val="0"/>
              <w:rPr>
                <w:rFonts w:hint="eastAsia"/>
                <w:lang w:val="en-US" w:eastAsia="zh-CN"/>
              </w:rPr>
            </w:pPr>
            <w:r>
              <w:rPr>
                <w:rFonts w:hint="eastAsia"/>
                <w:lang w:val="en-US" w:eastAsia="zh-CN"/>
              </w:rPr>
              <w:t xml:space="preserve">1934 </w:t>
            </w:r>
          </w:p>
        </w:tc>
      </w:tr>
      <w:tr w14:paraId="62FC95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3D7F40F8">
            <w:pPr>
              <w:pStyle w:val="59"/>
              <w:bidi w:val="0"/>
              <w:rPr>
                <w:rFonts w:hint="eastAsia"/>
                <w:lang w:val="en-US" w:eastAsia="zh-CN"/>
              </w:rPr>
            </w:pPr>
          </w:p>
        </w:tc>
        <w:tc>
          <w:tcPr>
            <w:tcW w:w="1230" w:type="dxa"/>
            <w:vMerge w:val="continue"/>
            <w:vAlign w:val="center"/>
          </w:tcPr>
          <w:p w14:paraId="1B99A509">
            <w:pPr>
              <w:pStyle w:val="59"/>
              <w:bidi w:val="0"/>
              <w:rPr>
                <w:rFonts w:hint="eastAsia"/>
                <w:lang w:val="en-US" w:eastAsia="zh-CN"/>
              </w:rPr>
            </w:pPr>
          </w:p>
        </w:tc>
        <w:tc>
          <w:tcPr>
            <w:tcW w:w="900" w:type="dxa"/>
            <w:vMerge w:val="continue"/>
            <w:vAlign w:val="center"/>
          </w:tcPr>
          <w:p w14:paraId="4D32A8F2">
            <w:pPr>
              <w:pStyle w:val="59"/>
              <w:bidi w:val="0"/>
              <w:rPr>
                <w:rFonts w:hint="eastAsia"/>
                <w:lang w:val="en-US" w:eastAsia="zh-CN"/>
              </w:rPr>
            </w:pPr>
          </w:p>
        </w:tc>
        <w:tc>
          <w:tcPr>
            <w:tcW w:w="885" w:type="dxa"/>
            <w:vAlign w:val="center"/>
          </w:tcPr>
          <w:p w14:paraId="3E8C1772">
            <w:pPr>
              <w:pStyle w:val="59"/>
              <w:bidi w:val="0"/>
              <w:rPr>
                <w:rFonts w:hint="eastAsia"/>
                <w:lang w:val="en-US" w:eastAsia="zh-CN"/>
              </w:rPr>
            </w:pPr>
            <w:r>
              <w:rPr>
                <w:rFonts w:hint="eastAsia"/>
                <w:lang w:val="en-US" w:eastAsia="zh-CN"/>
              </w:rPr>
              <w:t>氯化氢</w:t>
            </w:r>
          </w:p>
        </w:tc>
        <w:tc>
          <w:tcPr>
            <w:tcW w:w="972" w:type="dxa"/>
            <w:vAlign w:val="center"/>
          </w:tcPr>
          <w:p w14:paraId="298F38F8">
            <w:pPr>
              <w:pStyle w:val="59"/>
              <w:bidi w:val="0"/>
              <w:rPr>
                <w:rFonts w:hint="eastAsia"/>
                <w:lang w:val="en-US" w:eastAsia="zh-CN"/>
              </w:rPr>
            </w:pPr>
            <w:r>
              <w:rPr>
                <w:rFonts w:hint="eastAsia"/>
                <w:lang w:val="en-US" w:eastAsia="zh-CN"/>
              </w:rPr>
              <w:t>产污系数法</w:t>
            </w:r>
          </w:p>
        </w:tc>
        <w:tc>
          <w:tcPr>
            <w:tcW w:w="773" w:type="dxa"/>
            <w:vAlign w:val="center"/>
          </w:tcPr>
          <w:p w14:paraId="53E16D67">
            <w:pPr>
              <w:pStyle w:val="59"/>
              <w:bidi w:val="0"/>
              <w:rPr>
                <w:rFonts w:hint="eastAsia"/>
                <w:lang w:val="en-US" w:eastAsia="zh-CN"/>
              </w:rPr>
            </w:pPr>
            <w:r>
              <w:rPr>
                <w:rFonts w:hint="eastAsia"/>
                <w:lang w:val="en-US" w:eastAsia="zh-CN"/>
              </w:rPr>
              <w:t>/</w:t>
            </w:r>
          </w:p>
        </w:tc>
        <w:tc>
          <w:tcPr>
            <w:tcW w:w="952" w:type="dxa"/>
            <w:vAlign w:val="center"/>
          </w:tcPr>
          <w:p w14:paraId="6EA305A3">
            <w:pPr>
              <w:pStyle w:val="59"/>
              <w:bidi w:val="0"/>
              <w:rPr>
                <w:rFonts w:hint="eastAsia"/>
                <w:lang w:val="en-US" w:eastAsia="zh-CN"/>
              </w:rPr>
            </w:pPr>
            <w:r>
              <w:rPr>
                <w:rFonts w:hint="eastAsia"/>
                <w:lang w:val="en-US" w:eastAsia="zh-CN"/>
              </w:rPr>
              <w:t>/</w:t>
            </w:r>
          </w:p>
        </w:tc>
        <w:tc>
          <w:tcPr>
            <w:tcW w:w="952" w:type="dxa"/>
            <w:vAlign w:val="center"/>
          </w:tcPr>
          <w:p w14:paraId="1006AA09">
            <w:pPr>
              <w:pStyle w:val="59"/>
              <w:bidi w:val="0"/>
              <w:rPr>
                <w:rFonts w:hint="eastAsia"/>
                <w:lang w:val="en-US" w:eastAsia="zh-CN"/>
              </w:rPr>
            </w:pPr>
            <w:r>
              <w:rPr>
                <w:rFonts w:hint="eastAsia"/>
                <w:lang w:val="en-US" w:eastAsia="zh-CN"/>
              </w:rPr>
              <w:t xml:space="preserve">0.000010 </w:t>
            </w:r>
          </w:p>
        </w:tc>
        <w:tc>
          <w:tcPr>
            <w:tcW w:w="1144" w:type="dxa"/>
            <w:vMerge w:val="continue"/>
            <w:vAlign w:val="center"/>
          </w:tcPr>
          <w:p w14:paraId="0D638DB8">
            <w:pPr>
              <w:pStyle w:val="59"/>
              <w:bidi w:val="0"/>
              <w:rPr>
                <w:rFonts w:hint="eastAsia"/>
                <w:lang w:val="en-US" w:eastAsia="zh-CN"/>
              </w:rPr>
            </w:pPr>
          </w:p>
        </w:tc>
        <w:tc>
          <w:tcPr>
            <w:tcW w:w="760" w:type="dxa"/>
            <w:vAlign w:val="center"/>
          </w:tcPr>
          <w:p w14:paraId="1DC2818D">
            <w:pPr>
              <w:pStyle w:val="59"/>
              <w:bidi w:val="0"/>
              <w:rPr>
                <w:rFonts w:hint="eastAsia"/>
                <w:lang w:val="en-US" w:eastAsia="zh-CN"/>
              </w:rPr>
            </w:pPr>
            <w:r>
              <w:rPr>
                <w:rFonts w:hint="eastAsia"/>
                <w:lang w:val="en-US" w:eastAsia="zh-CN"/>
              </w:rPr>
              <w:t>0</w:t>
            </w:r>
          </w:p>
        </w:tc>
        <w:tc>
          <w:tcPr>
            <w:tcW w:w="951" w:type="dxa"/>
            <w:vAlign w:val="center"/>
          </w:tcPr>
          <w:p w14:paraId="0AB68460">
            <w:pPr>
              <w:pStyle w:val="59"/>
              <w:bidi w:val="0"/>
              <w:rPr>
                <w:rFonts w:hint="eastAsia"/>
                <w:lang w:val="en-US" w:eastAsia="zh-CN"/>
              </w:rPr>
            </w:pPr>
            <w:r>
              <w:rPr>
                <w:rFonts w:hint="eastAsia"/>
                <w:lang w:val="en-US" w:eastAsia="zh-CN"/>
              </w:rPr>
              <w:t>产污系数法</w:t>
            </w:r>
          </w:p>
        </w:tc>
        <w:tc>
          <w:tcPr>
            <w:tcW w:w="945" w:type="dxa"/>
            <w:vAlign w:val="center"/>
          </w:tcPr>
          <w:p w14:paraId="41FA8F38">
            <w:pPr>
              <w:pStyle w:val="59"/>
              <w:bidi w:val="0"/>
              <w:rPr>
                <w:rFonts w:hint="eastAsia"/>
                <w:lang w:val="en-US" w:eastAsia="zh-CN"/>
              </w:rPr>
            </w:pPr>
            <w:r>
              <w:rPr>
                <w:rFonts w:hint="eastAsia"/>
                <w:lang w:val="en-US" w:eastAsia="zh-CN"/>
              </w:rPr>
              <w:t>/</w:t>
            </w:r>
          </w:p>
        </w:tc>
        <w:tc>
          <w:tcPr>
            <w:tcW w:w="934" w:type="dxa"/>
            <w:vAlign w:val="center"/>
          </w:tcPr>
          <w:p w14:paraId="62BB6E83">
            <w:pPr>
              <w:pStyle w:val="59"/>
              <w:bidi w:val="0"/>
              <w:rPr>
                <w:rFonts w:hint="eastAsia"/>
                <w:lang w:val="en-US" w:eastAsia="zh-CN"/>
              </w:rPr>
            </w:pPr>
            <w:r>
              <w:rPr>
                <w:rFonts w:hint="eastAsia"/>
                <w:lang w:val="en-US" w:eastAsia="zh-CN"/>
              </w:rPr>
              <w:t>/</w:t>
            </w:r>
          </w:p>
        </w:tc>
        <w:tc>
          <w:tcPr>
            <w:tcW w:w="922" w:type="dxa"/>
            <w:vAlign w:val="center"/>
          </w:tcPr>
          <w:p w14:paraId="08D41C5C">
            <w:pPr>
              <w:pStyle w:val="59"/>
              <w:bidi w:val="0"/>
              <w:rPr>
                <w:rFonts w:hint="eastAsia"/>
                <w:lang w:val="en-US" w:eastAsia="zh-CN"/>
              </w:rPr>
            </w:pPr>
            <w:r>
              <w:rPr>
                <w:rFonts w:hint="eastAsia"/>
                <w:lang w:val="en-US" w:eastAsia="zh-CN"/>
              </w:rPr>
              <w:t xml:space="preserve">0.000010 </w:t>
            </w:r>
          </w:p>
        </w:tc>
        <w:tc>
          <w:tcPr>
            <w:tcW w:w="917" w:type="dxa"/>
            <w:vAlign w:val="center"/>
          </w:tcPr>
          <w:p w14:paraId="5D91F4DF">
            <w:pPr>
              <w:pStyle w:val="59"/>
              <w:bidi w:val="0"/>
              <w:rPr>
                <w:rFonts w:hint="eastAsia"/>
                <w:lang w:val="en-US" w:eastAsia="zh-CN"/>
              </w:rPr>
            </w:pPr>
            <w:r>
              <w:rPr>
                <w:rFonts w:hint="eastAsia"/>
                <w:lang w:val="en-US" w:eastAsia="zh-CN"/>
              </w:rPr>
              <w:t xml:space="preserve">1934 </w:t>
            </w:r>
          </w:p>
        </w:tc>
      </w:tr>
      <w:tr w14:paraId="61B4D0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5A73A702">
            <w:pPr>
              <w:pStyle w:val="59"/>
              <w:bidi w:val="0"/>
              <w:rPr>
                <w:rFonts w:hint="eastAsia"/>
                <w:lang w:val="en-US" w:eastAsia="zh-CN"/>
              </w:rPr>
            </w:pPr>
          </w:p>
        </w:tc>
        <w:tc>
          <w:tcPr>
            <w:tcW w:w="1230" w:type="dxa"/>
            <w:vMerge w:val="continue"/>
            <w:vAlign w:val="center"/>
          </w:tcPr>
          <w:p w14:paraId="16AA07BA">
            <w:pPr>
              <w:pStyle w:val="59"/>
              <w:bidi w:val="0"/>
              <w:rPr>
                <w:rFonts w:hint="eastAsia"/>
                <w:lang w:val="en-US" w:eastAsia="zh-CN"/>
              </w:rPr>
            </w:pPr>
          </w:p>
        </w:tc>
        <w:tc>
          <w:tcPr>
            <w:tcW w:w="900" w:type="dxa"/>
            <w:vMerge w:val="continue"/>
            <w:vAlign w:val="center"/>
          </w:tcPr>
          <w:p w14:paraId="2979507C">
            <w:pPr>
              <w:pStyle w:val="59"/>
              <w:bidi w:val="0"/>
              <w:rPr>
                <w:rFonts w:hint="eastAsia"/>
                <w:lang w:val="en-US" w:eastAsia="zh-CN"/>
              </w:rPr>
            </w:pPr>
          </w:p>
        </w:tc>
        <w:tc>
          <w:tcPr>
            <w:tcW w:w="885" w:type="dxa"/>
            <w:vAlign w:val="center"/>
          </w:tcPr>
          <w:p w14:paraId="73DF02D6">
            <w:pPr>
              <w:pStyle w:val="59"/>
              <w:bidi w:val="0"/>
              <w:rPr>
                <w:rFonts w:hint="eastAsia"/>
                <w:lang w:val="en-US" w:eastAsia="zh-CN"/>
              </w:rPr>
            </w:pPr>
            <w:r>
              <w:rPr>
                <w:rFonts w:hint="eastAsia"/>
                <w:lang w:val="en-US" w:eastAsia="zh-CN"/>
              </w:rPr>
              <w:t>氯乙烯</w:t>
            </w:r>
          </w:p>
        </w:tc>
        <w:tc>
          <w:tcPr>
            <w:tcW w:w="972" w:type="dxa"/>
            <w:vAlign w:val="center"/>
          </w:tcPr>
          <w:p w14:paraId="1BD19DC3">
            <w:pPr>
              <w:pStyle w:val="59"/>
              <w:bidi w:val="0"/>
              <w:rPr>
                <w:rFonts w:hint="eastAsia"/>
                <w:lang w:val="en-US" w:eastAsia="zh-CN"/>
              </w:rPr>
            </w:pPr>
            <w:r>
              <w:rPr>
                <w:rFonts w:hint="eastAsia"/>
                <w:lang w:val="en-US" w:eastAsia="zh-CN"/>
              </w:rPr>
              <w:t>产污系数法</w:t>
            </w:r>
          </w:p>
        </w:tc>
        <w:tc>
          <w:tcPr>
            <w:tcW w:w="773" w:type="dxa"/>
            <w:vAlign w:val="center"/>
          </w:tcPr>
          <w:p w14:paraId="70A0DC5A">
            <w:pPr>
              <w:pStyle w:val="59"/>
              <w:bidi w:val="0"/>
              <w:rPr>
                <w:rFonts w:hint="eastAsia"/>
                <w:lang w:val="en-US" w:eastAsia="zh-CN"/>
              </w:rPr>
            </w:pPr>
            <w:r>
              <w:rPr>
                <w:rFonts w:hint="eastAsia"/>
                <w:lang w:val="en-US" w:eastAsia="zh-CN"/>
              </w:rPr>
              <w:t>/</w:t>
            </w:r>
          </w:p>
        </w:tc>
        <w:tc>
          <w:tcPr>
            <w:tcW w:w="952" w:type="dxa"/>
            <w:vAlign w:val="center"/>
          </w:tcPr>
          <w:p w14:paraId="5BA3CB33">
            <w:pPr>
              <w:pStyle w:val="59"/>
              <w:bidi w:val="0"/>
              <w:rPr>
                <w:rFonts w:hint="eastAsia"/>
                <w:lang w:val="en-US" w:eastAsia="zh-CN"/>
              </w:rPr>
            </w:pPr>
            <w:r>
              <w:rPr>
                <w:rFonts w:hint="eastAsia"/>
                <w:lang w:val="en-US" w:eastAsia="zh-CN"/>
              </w:rPr>
              <w:t>/</w:t>
            </w:r>
          </w:p>
        </w:tc>
        <w:tc>
          <w:tcPr>
            <w:tcW w:w="952" w:type="dxa"/>
            <w:vAlign w:val="center"/>
          </w:tcPr>
          <w:p w14:paraId="3C657BAD">
            <w:pPr>
              <w:pStyle w:val="59"/>
              <w:bidi w:val="0"/>
              <w:rPr>
                <w:rFonts w:hint="eastAsia"/>
                <w:lang w:val="en-US" w:eastAsia="zh-CN"/>
              </w:rPr>
            </w:pPr>
            <w:r>
              <w:rPr>
                <w:rFonts w:hint="eastAsia"/>
                <w:lang w:val="en-US" w:eastAsia="zh-CN"/>
              </w:rPr>
              <w:t xml:space="preserve">0.000011 </w:t>
            </w:r>
          </w:p>
        </w:tc>
        <w:tc>
          <w:tcPr>
            <w:tcW w:w="1144" w:type="dxa"/>
            <w:vMerge w:val="continue"/>
            <w:vAlign w:val="center"/>
          </w:tcPr>
          <w:p w14:paraId="6E4963AA">
            <w:pPr>
              <w:pStyle w:val="59"/>
              <w:bidi w:val="0"/>
              <w:rPr>
                <w:rFonts w:hint="eastAsia"/>
                <w:lang w:val="en-US" w:eastAsia="zh-CN"/>
              </w:rPr>
            </w:pPr>
          </w:p>
        </w:tc>
        <w:tc>
          <w:tcPr>
            <w:tcW w:w="760" w:type="dxa"/>
            <w:vAlign w:val="center"/>
          </w:tcPr>
          <w:p w14:paraId="10F178A0">
            <w:pPr>
              <w:pStyle w:val="59"/>
              <w:bidi w:val="0"/>
              <w:rPr>
                <w:rFonts w:hint="eastAsia"/>
                <w:lang w:val="en-US" w:eastAsia="zh-CN"/>
              </w:rPr>
            </w:pPr>
            <w:r>
              <w:rPr>
                <w:rFonts w:hint="eastAsia"/>
                <w:lang w:val="en-US" w:eastAsia="zh-CN"/>
              </w:rPr>
              <w:t>0</w:t>
            </w:r>
          </w:p>
        </w:tc>
        <w:tc>
          <w:tcPr>
            <w:tcW w:w="951" w:type="dxa"/>
            <w:vAlign w:val="center"/>
          </w:tcPr>
          <w:p w14:paraId="3C4322DC">
            <w:pPr>
              <w:pStyle w:val="59"/>
              <w:bidi w:val="0"/>
              <w:rPr>
                <w:rFonts w:hint="eastAsia"/>
                <w:lang w:val="en-US" w:eastAsia="zh-CN"/>
              </w:rPr>
            </w:pPr>
            <w:r>
              <w:rPr>
                <w:rFonts w:hint="eastAsia"/>
                <w:lang w:val="en-US" w:eastAsia="zh-CN"/>
              </w:rPr>
              <w:t>产污系数法</w:t>
            </w:r>
          </w:p>
        </w:tc>
        <w:tc>
          <w:tcPr>
            <w:tcW w:w="945" w:type="dxa"/>
            <w:vAlign w:val="center"/>
          </w:tcPr>
          <w:p w14:paraId="098B8799">
            <w:pPr>
              <w:pStyle w:val="59"/>
              <w:bidi w:val="0"/>
              <w:rPr>
                <w:rFonts w:hint="eastAsia"/>
                <w:lang w:val="en-US" w:eastAsia="zh-CN"/>
              </w:rPr>
            </w:pPr>
            <w:r>
              <w:rPr>
                <w:rFonts w:hint="eastAsia"/>
                <w:lang w:val="en-US" w:eastAsia="zh-CN"/>
              </w:rPr>
              <w:t>/</w:t>
            </w:r>
          </w:p>
        </w:tc>
        <w:tc>
          <w:tcPr>
            <w:tcW w:w="934" w:type="dxa"/>
            <w:vAlign w:val="center"/>
          </w:tcPr>
          <w:p w14:paraId="77FDFFDC">
            <w:pPr>
              <w:pStyle w:val="59"/>
              <w:bidi w:val="0"/>
              <w:rPr>
                <w:rFonts w:hint="eastAsia"/>
                <w:lang w:val="en-US" w:eastAsia="zh-CN"/>
              </w:rPr>
            </w:pPr>
            <w:r>
              <w:rPr>
                <w:rFonts w:hint="eastAsia"/>
                <w:lang w:val="en-US" w:eastAsia="zh-CN"/>
              </w:rPr>
              <w:t>/</w:t>
            </w:r>
          </w:p>
        </w:tc>
        <w:tc>
          <w:tcPr>
            <w:tcW w:w="922" w:type="dxa"/>
            <w:vAlign w:val="center"/>
          </w:tcPr>
          <w:p w14:paraId="2DFA194A">
            <w:pPr>
              <w:pStyle w:val="59"/>
              <w:bidi w:val="0"/>
              <w:rPr>
                <w:rFonts w:hint="eastAsia"/>
                <w:lang w:val="en-US" w:eastAsia="zh-CN"/>
              </w:rPr>
            </w:pPr>
            <w:r>
              <w:rPr>
                <w:rFonts w:hint="eastAsia"/>
                <w:lang w:val="en-US" w:eastAsia="zh-CN"/>
              </w:rPr>
              <w:t xml:space="preserve">0.000011 </w:t>
            </w:r>
          </w:p>
        </w:tc>
        <w:tc>
          <w:tcPr>
            <w:tcW w:w="917" w:type="dxa"/>
            <w:vAlign w:val="center"/>
          </w:tcPr>
          <w:p w14:paraId="4BC70F28">
            <w:pPr>
              <w:pStyle w:val="59"/>
              <w:bidi w:val="0"/>
              <w:rPr>
                <w:rFonts w:hint="eastAsia"/>
                <w:lang w:val="en-US" w:eastAsia="zh-CN"/>
              </w:rPr>
            </w:pPr>
            <w:r>
              <w:rPr>
                <w:rFonts w:hint="eastAsia"/>
                <w:lang w:val="en-US" w:eastAsia="zh-CN"/>
              </w:rPr>
              <w:t xml:space="preserve">1934 </w:t>
            </w:r>
          </w:p>
        </w:tc>
      </w:tr>
      <w:tr w14:paraId="561DB4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039FDDFE">
            <w:pPr>
              <w:pStyle w:val="59"/>
              <w:bidi w:val="0"/>
              <w:rPr>
                <w:rFonts w:hint="eastAsia"/>
                <w:lang w:val="en-US" w:eastAsia="zh-CN"/>
              </w:rPr>
            </w:pPr>
          </w:p>
        </w:tc>
        <w:tc>
          <w:tcPr>
            <w:tcW w:w="1230" w:type="dxa"/>
            <w:vMerge w:val="continue"/>
            <w:vAlign w:val="center"/>
          </w:tcPr>
          <w:p w14:paraId="31520356">
            <w:pPr>
              <w:pStyle w:val="59"/>
              <w:bidi w:val="0"/>
              <w:rPr>
                <w:rFonts w:hint="eastAsia"/>
                <w:lang w:val="en-US" w:eastAsia="zh-CN"/>
              </w:rPr>
            </w:pPr>
          </w:p>
        </w:tc>
        <w:tc>
          <w:tcPr>
            <w:tcW w:w="900" w:type="dxa"/>
            <w:vMerge w:val="continue"/>
            <w:vAlign w:val="center"/>
          </w:tcPr>
          <w:p w14:paraId="4C3B0B3B">
            <w:pPr>
              <w:pStyle w:val="59"/>
              <w:bidi w:val="0"/>
              <w:rPr>
                <w:rFonts w:hint="eastAsia"/>
                <w:lang w:val="en-US" w:eastAsia="zh-CN"/>
              </w:rPr>
            </w:pPr>
          </w:p>
        </w:tc>
        <w:tc>
          <w:tcPr>
            <w:tcW w:w="885" w:type="dxa"/>
            <w:vAlign w:val="center"/>
          </w:tcPr>
          <w:p w14:paraId="2B2E77D0">
            <w:pPr>
              <w:pStyle w:val="59"/>
              <w:bidi w:val="0"/>
              <w:rPr>
                <w:rFonts w:hint="eastAsia"/>
                <w:lang w:val="en-US" w:eastAsia="zh-CN"/>
              </w:rPr>
            </w:pPr>
            <w:r>
              <w:rPr>
                <w:rFonts w:hint="eastAsia"/>
                <w:lang w:val="en-US" w:eastAsia="zh-CN"/>
              </w:rPr>
              <w:t>苯</w:t>
            </w:r>
          </w:p>
        </w:tc>
        <w:tc>
          <w:tcPr>
            <w:tcW w:w="972" w:type="dxa"/>
            <w:vAlign w:val="center"/>
          </w:tcPr>
          <w:p w14:paraId="1A475BB3">
            <w:pPr>
              <w:pStyle w:val="59"/>
              <w:bidi w:val="0"/>
              <w:rPr>
                <w:rFonts w:hint="eastAsia"/>
                <w:lang w:val="en-US" w:eastAsia="zh-CN"/>
              </w:rPr>
            </w:pPr>
            <w:r>
              <w:rPr>
                <w:rFonts w:hint="eastAsia"/>
                <w:lang w:val="en-US" w:eastAsia="zh-CN"/>
              </w:rPr>
              <w:t>产污系数法</w:t>
            </w:r>
          </w:p>
        </w:tc>
        <w:tc>
          <w:tcPr>
            <w:tcW w:w="773" w:type="dxa"/>
            <w:vAlign w:val="center"/>
          </w:tcPr>
          <w:p w14:paraId="073CD7C3">
            <w:pPr>
              <w:pStyle w:val="59"/>
              <w:bidi w:val="0"/>
              <w:rPr>
                <w:rFonts w:hint="eastAsia"/>
                <w:lang w:val="en-US" w:eastAsia="zh-CN"/>
              </w:rPr>
            </w:pPr>
            <w:r>
              <w:rPr>
                <w:rFonts w:hint="eastAsia"/>
                <w:lang w:val="en-US" w:eastAsia="zh-CN"/>
              </w:rPr>
              <w:t>/</w:t>
            </w:r>
          </w:p>
        </w:tc>
        <w:tc>
          <w:tcPr>
            <w:tcW w:w="952" w:type="dxa"/>
            <w:vAlign w:val="center"/>
          </w:tcPr>
          <w:p w14:paraId="5DCE1132">
            <w:pPr>
              <w:pStyle w:val="59"/>
              <w:bidi w:val="0"/>
              <w:rPr>
                <w:rFonts w:hint="eastAsia"/>
                <w:lang w:val="en-US" w:eastAsia="zh-CN"/>
              </w:rPr>
            </w:pPr>
            <w:r>
              <w:rPr>
                <w:rFonts w:hint="eastAsia"/>
                <w:lang w:val="en-US" w:eastAsia="zh-CN"/>
              </w:rPr>
              <w:t>/</w:t>
            </w:r>
          </w:p>
        </w:tc>
        <w:tc>
          <w:tcPr>
            <w:tcW w:w="952" w:type="dxa"/>
            <w:vAlign w:val="center"/>
          </w:tcPr>
          <w:p w14:paraId="0CB1AF0E">
            <w:pPr>
              <w:pStyle w:val="59"/>
              <w:bidi w:val="0"/>
              <w:rPr>
                <w:rFonts w:hint="eastAsia"/>
                <w:lang w:val="en-US" w:eastAsia="zh-CN"/>
              </w:rPr>
            </w:pPr>
            <w:r>
              <w:rPr>
                <w:rFonts w:hint="eastAsia"/>
                <w:lang w:val="en-US" w:eastAsia="zh-CN"/>
              </w:rPr>
              <w:t xml:space="preserve">0.000001 </w:t>
            </w:r>
          </w:p>
        </w:tc>
        <w:tc>
          <w:tcPr>
            <w:tcW w:w="1144" w:type="dxa"/>
            <w:vMerge w:val="continue"/>
            <w:vAlign w:val="center"/>
          </w:tcPr>
          <w:p w14:paraId="62170AC1">
            <w:pPr>
              <w:pStyle w:val="59"/>
              <w:bidi w:val="0"/>
              <w:rPr>
                <w:rFonts w:hint="eastAsia"/>
                <w:lang w:val="en-US" w:eastAsia="zh-CN"/>
              </w:rPr>
            </w:pPr>
          </w:p>
        </w:tc>
        <w:tc>
          <w:tcPr>
            <w:tcW w:w="760" w:type="dxa"/>
            <w:vAlign w:val="center"/>
          </w:tcPr>
          <w:p w14:paraId="2B07A8EC">
            <w:pPr>
              <w:pStyle w:val="59"/>
              <w:bidi w:val="0"/>
              <w:rPr>
                <w:rFonts w:hint="eastAsia"/>
                <w:lang w:val="en-US" w:eastAsia="zh-CN"/>
              </w:rPr>
            </w:pPr>
            <w:r>
              <w:rPr>
                <w:rFonts w:hint="eastAsia"/>
                <w:lang w:val="en-US" w:eastAsia="zh-CN"/>
              </w:rPr>
              <w:t>0</w:t>
            </w:r>
          </w:p>
        </w:tc>
        <w:tc>
          <w:tcPr>
            <w:tcW w:w="951" w:type="dxa"/>
            <w:vAlign w:val="center"/>
          </w:tcPr>
          <w:p w14:paraId="60615CE7">
            <w:pPr>
              <w:pStyle w:val="59"/>
              <w:bidi w:val="0"/>
              <w:rPr>
                <w:rFonts w:hint="eastAsia"/>
                <w:lang w:val="en-US" w:eastAsia="zh-CN"/>
              </w:rPr>
            </w:pPr>
            <w:r>
              <w:rPr>
                <w:rFonts w:hint="eastAsia"/>
                <w:lang w:val="en-US" w:eastAsia="zh-CN"/>
              </w:rPr>
              <w:t>产污系数法</w:t>
            </w:r>
          </w:p>
        </w:tc>
        <w:tc>
          <w:tcPr>
            <w:tcW w:w="945" w:type="dxa"/>
            <w:vAlign w:val="center"/>
          </w:tcPr>
          <w:p w14:paraId="35AE577E">
            <w:pPr>
              <w:pStyle w:val="59"/>
              <w:bidi w:val="0"/>
              <w:rPr>
                <w:rFonts w:hint="eastAsia"/>
                <w:lang w:val="en-US" w:eastAsia="zh-CN"/>
              </w:rPr>
            </w:pPr>
            <w:r>
              <w:rPr>
                <w:rFonts w:hint="eastAsia"/>
                <w:lang w:val="en-US" w:eastAsia="zh-CN"/>
              </w:rPr>
              <w:t>/</w:t>
            </w:r>
          </w:p>
        </w:tc>
        <w:tc>
          <w:tcPr>
            <w:tcW w:w="934" w:type="dxa"/>
            <w:vAlign w:val="center"/>
          </w:tcPr>
          <w:p w14:paraId="0E9FC32E">
            <w:pPr>
              <w:pStyle w:val="59"/>
              <w:bidi w:val="0"/>
              <w:rPr>
                <w:rFonts w:hint="eastAsia"/>
                <w:lang w:val="en-US" w:eastAsia="zh-CN"/>
              </w:rPr>
            </w:pPr>
            <w:r>
              <w:rPr>
                <w:rFonts w:hint="eastAsia"/>
                <w:lang w:val="en-US" w:eastAsia="zh-CN"/>
              </w:rPr>
              <w:t>/</w:t>
            </w:r>
          </w:p>
        </w:tc>
        <w:tc>
          <w:tcPr>
            <w:tcW w:w="922" w:type="dxa"/>
            <w:vAlign w:val="center"/>
          </w:tcPr>
          <w:p w14:paraId="706214CA">
            <w:pPr>
              <w:pStyle w:val="59"/>
              <w:bidi w:val="0"/>
              <w:rPr>
                <w:rFonts w:hint="eastAsia"/>
                <w:lang w:val="en-US" w:eastAsia="zh-CN"/>
              </w:rPr>
            </w:pPr>
            <w:r>
              <w:rPr>
                <w:rFonts w:hint="eastAsia"/>
                <w:lang w:val="en-US" w:eastAsia="zh-CN"/>
              </w:rPr>
              <w:t xml:space="preserve">0.000001 </w:t>
            </w:r>
          </w:p>
        </w:tc>
        <w:tc>
          <w:tcPr>
            <w:tcW w:w="917" w:type="dxa"/>
            <w:vAlign w:val="center"/>
          </w:tcPr>
          <w:p w14:paraId="33C725E2">
            <w:pPr>
              <w:pStyle w:val="59"/>
              <w:bidi w:val="0"/>
              <w:rPr>
                <w:rFonts w:hint="eastAsia"/>
                <w:lang w:val="en-US" w:eastAsia="zh-CN"/>
              </w:rPr>
            </w:pPr>
            <w:r>
              <w:rPr>
                <w:rFonts w:hint="eastAsia"/>
                <w:lang w:val="en-US" w:eastAsia="zh-CN"/>
              </w:rPr>
              <w:t xml:space="preserve">1934 </w:t>
            </w:r>
          </w:p>
        </w:tc>
      </w:tr>
      <w:tr w14:paraId="019600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Merge w:val="continue"/>
            <w:vAlign w:val="center"/>
          </w:tcPr>
          <w:p w14:paraId="6D9A5DA6">
            <w:pPr>
              <w:pStyle w:val="59"/>
              <w:bidi w:val="0"/>
              <w:rPr>
                <w:rFonts w:hint="eastAsia"/>
                <w:lang w:val="en-US" w:eastAsia="zh-CN"/>
              </w:rPr>
            </w:pPr>
          </w:p>
        </w:tc>
        <w:tc>
          <w:tcPr>
            <w:tcW w:w="1230" w:type="dxa"/>
            <w:vMerge w:val="continue"/>
            <w:vAlign w:val="center"/>
          </w:tcPr>
          <w:p w14:paraId="4AB0BFBA">
            <w:pPr>
              <w:pStyle w:val="59"/>
              <w:bidi w:val="0"/>
              <w:rPr>
                <w:rFonts w:hint="eastAsia"/>
                <w:lang w:val="en-US" w:eastAsia="zh-CN"/>
              </w:rPr>
            </w:pPr>
          </w:p>
        </w:tc>
        <w:tc>
          <w:tcPr>
            <w:tcW w:w="900" w:type="dxa"/>
            <w:vMerge w:val="continue"/>
            <w:vAlign w:val="center"/>
          </w:tcPr>
          <w:p w14:paraId="0AD46F93">
            <w:pPr>
              <w:pStyle w:val="59"/>
              <w:bidi w:val="0"/>
              <w:rPr>
                <w:rFonts w:hint="eastAsia"/>
                <w:lang w:val="en-US" w:eastAsia="zh-CN"/>
              </w:rPr>
            </w:pPr>
          </w:p>
        </w:tc>
        <w:tc>
          <w:tcPr>
            <w:tcW w:w="885" w:type="dxa"/>
            <w:vAlign w:val="center"/>
          </w:tcPr>
          <w:p w14:paraId="30270E01">
            <w:pPr>
              <w:pStyle w:val="59"/>
              <w:bidi w:val="0"/>
              <w:rPr>
                <w:rFonts w:hint="eastAsia"/>
                <w:lang w:val="en-US" w:eastAsia="zh-CN"/>
              </w:rPr>
            </w:pPr>
            <w:r>
              <w:rPr>
                <w:rFonts w:hint="eastAsia"/>
                <w:lang w:val="en-US" w:eastAsia="zh-CN"/>
              </w:rPr>
              <w:t>甲苯</w:t>
            </w:r>
          </w:p>
        </w:tc>
        <w:tc>
          <w:tcPr>
            <w:tcW w:w="972" w:type="dxa"/>
            <w:vAlign w:val="center"/>
          </w:tcPr>
          <w:p w14:paraId="01539099">
            <w:pPr>
              <w:pStyle w:val="59"/>
              <w:bidi w:val="0"/>
              <w:rPr>
                <w:rFonts w:hint="eastAsia"/>
                <w:lang w:val="en-US" w:eastAsia="zh-CN"/>
              </w:rPr>
            </w:pPr>
            <w:r>
              <w:rPr>
                <w:rFonts w:hint="eastAsia"/>
                <w:lang w:val="en-US" w:eastAsia="zh-CN"/>
              </w:rPr>
              <w:t>产污系数法</w:t>
            </w:r>
          </w:p>
        </w:tc>
        <w:tc>
          <w:tcPr>
            <w:tcW w:w="773" w:type="dxa"/>
            <w:vAlign w:val="center"/>
          </w:tcPr>
          <w:p w14:paraId="10E50712">
            <w:pPr>
              <w:pStyle w:val="59"/>
              <w:bidi w:val="0"/>
              <w:rPr>
                <w:rFonts w:hint="eastAsia"/>
                <w:lang w:val="en-US" w:eastAsia="zh-CN"/>
              </w:rPr>
            </w:pPr>
            <w:r>
              <w:rPr>
                <w:rFonts w:hint="eastAsia"/>
                <w:lang w:val="en-US" w:eastAsia="zh-CN"/>
              </w:rPr>
              <w:t>/</w:t>
            </w:r>
          </w:p>
        </w:tc>
        <w:tc>
          <w:tcPr>
            <w:tcW w:w="952" w:type="dxa"/>
            <w:vAlign w:val="center"/>
          </w:tcPr>
          <w:p w14:paraId="0A8F322F">
            <w:pPr>
              <w:pStyle w:val="59"/>
              <w:bidi w:val="0"/>
              <w:rPr>
                <w:rFonts w:hint="eastAsia"/>
                <w:lang w:val="en-US" w:eastAsia="zh-CN"/>
              </w:rPr>
            </w:pPr>
            <w:r>
              <w:rPr>
                <w:rFonts w:hint="eastAsia"/>
                <w:lang w:val="en-US" w:eastAsia="zh-CN"/>
              </w:rPr>
              <w:t>/</w:t>
            </w:r>
          </w:p>
        </w:tc>
        <w:tc>
          <w:tcPr>
            <w:tcW w:w="952" w:type="dxa"/>
            <w:vAlign w:val="center"/>
          </w:tcPr>
          <w:p w14:paraId="30C96040">
            <w:pPr>
              <w:pStyle w:val="59"/>
              <w:bidi w:val="0"/>
              <w:rPr>
                <w:rFonts w:hint="eastAsia"/>
                <w:lang w:val="en-US" w:eastAsia="zh-CN"/>
              </w:rPr>
            </w:pPr>
            <w:r>
              <w:rPr>
                <w:rFonts w:hint="eastAsia"/>
                <w:lang w:val="en-US" w:eastAsia="zh-CN"/>
              </w:rPr>
              <w:t xml:space="preserve">0.000000 </w:t>
            </w:r>
          </w:p>
        </w:tc>
        <w:tc>
          <w:tcPr>
            <w:tcW w:w="1144" w:type="dxa"/>
            <w:vMerge w:val="continue"/>
            <w:vAlign w:val="center"/>
          </w:tcPr>
          <w:p w14:paraId="5FD1C2FA">
            <w:pPr>
              <w:pStyle w:val="59"/>
              <w:bidi w:val="0"/>
              <w:rPr>
                <w:rFonts w:hint="eastAsia"/>
                <w:lang w:val="en-US" w:eastAsia="zh-CN"/>
              </w:rPr>
            </w:pPr>
          </w:p>
        </w:tc>
        <w:tc>
          <w:tcPr>
            <w:tcW w:w="760" w:type="dxa"/>
            <w:vAlign w:val="center"/>
          </w:tcPr>
          <w:p w14:paraId="077D5A79">
            <w:pPr>
              <w:pStyle w:val="59"/>
              <w:bidi w:val="0"/>
              <w:rPr>
                <w:rFonts w:hint="eastAsia"/>
                <w:lang w:val="en-US" w:eastAsia="zh-CN"/>
              </w:rPr>
            </w:pPr>
            <w:r>
              <w:rPr>
                <w:rFonts w:hint="eastAsia"/>
                <w:lang w:val="en-US" w:eastAsia="zh-CN"/>
              </w:rPr>
              <w:t>0</w:t>
            </w:r>
          </w:p>
        </w:tc>
        <w:tc>
          <w:tcPr>
            <w:tcW w:w="951" w:type="dxa"/>
            <w:vAlign w:val="center"/>
          </w:tcPr>
          <w:p w14:paraId="55244DAF">
            <w:pPr>
              <w:pStyle w:val="59"/>
              <w:bidi w:val="0"/>
              <w:rPr>
                <w:rFonts w:hint="eastAsia"/>
                <w:lang w:val="en-US" w:eastAsia="zh-CN"/>
              </w:rPr>
            </w:pPr>
            <w:r>
              <w:rPr>
                <w:rFonts w:hint="eastAsia"/>
                <w:lang w:val="en-US" w:eastAsia="zh-CN"/>
              </w:rPr>
              <w:t>产污系数法</w:t>
            </w:r>
          </w:p>
        </w:tc>
        <w:tc>
          <w:tcPr>
            <w:tcW w:w="945" w:type="dxa"/>
            <w:vAlign w:val="center"/>
          </w:tcPr>
          <w:p w14:paraId="47AA45E4">
            <w:pPr>
              <w:pStyle w:val="59"/>
              <w:bidi w:val="0"/>
              <w:rPr>
                <w:rFonts w:hint="eastAsia"/>
                <w:lang w:val="en-US" w:eastAsia="zh-CN"/>
              </w:rPr>
            </w:pPr>
            <w:r>
              <w:rPr>
                <w:rFonts w:hint="eastAsia"/>
                <w:lang w:val="en-US" w:eastAsia="zh-CN"/>
              </w:rPr>
              <w:t>/</w:t>
            </w:r>
          </w:p>
        </w:tc>
        <w:tc>
          <w:tcPr>
            <w:tcW w:w="934" w:type="dxa"/>
            <w:vAlign w:val="center"/>
          </w:tcPr>
          <w:p w14:paraId="2C1790C1">
            <w:pPr>
              <w:pStyle w:val="59"/>
              <w:bidi w:val="0"/>
              <w:rPr>
                <w:rFonts w:hint="eastAsia"/>
                <w:lang w:val="en-US" w:eastAsia="zh-CN"/>
              </w:rPr>
            </w:pPr>
            <w:r>
              <w:rPr>
                <w:rFonts w:hint="eastAsia"/>
                <w:lang w:val="en-US" w:eastAsia="zh-CN"/>
              </w:rPr>
              <w:t>/</w:t>
            </w:r>
          </w:p>
        </w:tc>
        <w:tc>
          <w:tcPr>
            <w:tcW w:w="922" w:type="dxa"/>
            <w:vAlign w:val="center"/>
          </w:tcPr>
          <w:p w14:paraId="78D51F84">
            <w:pPr>
              <w:pStyle w:val="59"/>
              <w:bidi w:val="0"/>
              <w:rPr>
                <w:rFonts w:hint="eastAsia"/>
                <w:lang w:val="en-US" w:eastAsia="zh-CN"/>
              </w:rPr>
            </w:pPr>
            <w:r>
              <w:rPr>
                <w:rFonts w:hint="eastAsia"/>
                <w:lang w:val="en-US" w:eastAsia="zh-CN"/>
              </w:rPr>
              <w:t xml:space="preserve">0.000000 </w:t>
            </w:r>
          </w:p>
        </w:tc>
        <w:tc>
          <w:tcPr>
            <w:tcW w:w="917" w:type="dxa"/>
            <w:vAlign w:val="center"/>
          </w:tcPr>
          <w:p w14:paraId="19866130">
            <w:pPr>
              <w:pStyle w:val="59"/>
              <w:bidi w:val="0"/>
              <w:rPr>
                <w:rFonts w:hint="eastAsia"/>
                <w:lang w:val="en-US" w:eastAsia="zh-CN"/>
              </w:rPr>
            </w:pPr>
            <w:r>
              <w:rPr>
                <w:rFonts w:hint="eastAsia"/>
                <w:lang w:val="en-US" w:eastAsia="zh-CN"/>
              </w:rPr>
              <w:t xml:space="preserve">1934 </w:t>
            </w:r>
          </w:p>
        </w:tc>
      </w:tr>
      <w:tr w14:paraId="5C5250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2" w:type="dxa"/>
            <w:vAlign w:val="center"/>
          </w:tcPr>
          <w:p w14:paraId="581FC4D7">
            <w:pPr>
              <w:pStyle w:val="59"/>
              <w:bidi w:val="0"/>
              <w:rPr>
                <w:rFonts w:hint="eastAsia"/>
                <w:lang w:val="en-US" w:eastAsia="zh-CN"/>
              </w:rPr>
            </w:pPr>
            <w:r>
              <w:rPr>
                <w:rFonts w:hint="eastAsia"/>
                <w:lang w:val="en-US" w:eastAsia="zh-CN"/>
              </w:rPr>
              <w:t>复合</w:t>
            </w:r>
          </w:p>
        </w:tc>
        <w:tc>
          <w:tcPr>
            <w:tcW w:w="1230" w:type="dxa"/>
            <w:vAlign w:val="center"/>
          </w:tcPr>
          <w:p w14:paraId="0C275F5B">
            <w:pPr>
              <w:pStyle w:val="59"/>
              <w:bidi w:val="0"/>
              <w:rPr>
                <w:rFonts w:hint="eastAsia"/>
                <w:lang w:val="en-US" w:eastAsia="zh-CN"/>
              </w:rPr>
            </w:pPr>
            <w:r>
              <w:rPr>
                <w:rFonts w:hint="eastAsia"/>
                <w:lang w:val="en-US" w:eastAsia="zh-CN"/>
              </w:rPr>
              <w:t>复合机</w:t>
            </w:r>
          </w:p>
        </w:tc>
        <w:tc>
          <w:tcPr>
            <w:tcW w:w="900" w:type="dxa"/>
            <w:vAlign w:val="center"/>
          </w:tcPr>
          <w:p w14:paraId="7C89155C">
            <w:pPr>
              <w:pStyle w:val="59"/>
              <w:bidi w:val="0"/>
              <w:rPr>
                <w:rFonts w:hint="eastAsia"/>
                <w:lang w:val="en-US" w:eastAsia="zh-CN"/>
              </w:rPr>
            </w:pPr>
            <w:r>
              <w:rPr>
                <w:rFonts w:hint="eastAsia"/>
                <w:lang w:val="en-US" w:eastAsia="zh-CN"/>
              </w:rPr>
              <w:t>无组织</w:t>
            </w:r>
          </w:p>
        </w:tc>
        <w:tc>
          <w:tcPr>
            <w:tcW w:w="885" w:type="dxa"/>
            <w:vAlign w:val="center"/>
          </w:tcPr>
          <w:p w14:paraId="724FF6E9">
            <w:pPr>
              <w:pStyle w:val="59"/>
              <w:bidi w:val="0"/>
              <w:rPr>
                <w:rFonts w:hint="eastAsia"/>
                <w:lang w:val="en-US" w:eastAsia="zh-CN"/>
              </w:rPr>
            </w:pPr>
            <w:r>
              <w:rPr>
                <w:rFonts w:hint="eastAsia"/>
                <w:lang w:val="en-US" w:eastAsia="zh-CN"/>
              </w:rPr>
              <w:t>NMHC</w:t>
            </w:r>
          </w:p>
        </w:tc>
        <w:tc>
          <w:tcPr>
            <w:tcW w:w="972" w:type="dxa"/>
            <w:vAlign w:val="center"/>
          </w:tcPr>
          <w:p w14:paraId="67736192">
            <w:pPr>
              <w:pStyle w:val="59"/>
              <w:bidi w:val="0"/>
              <w:rPr>
                <w:rFonts w:hint="eastAsia"/>
                <w:lang w:val="en-US" w:eastAsia="zh-CN"/>
              </w:rPr>
            </w:pPr>
            <w:r>
              <w:rPr>
                <w:rFonts w:hint="eastAsia"/>
                <w:lang w:val="en-US" w:eastAsia="zh-CN"/>
              </w:rPr>
              <w:t>物料衡算法</w:t>
            </w:r>
          </w:p>
        </w:tc>
        <w:tc>
          <w:tcPr>
            <w:tcW w:w="773" w:type="dxa"/>
            <w:vAlign w:val="center"/>
          </w:tcPr>
          <w:p w14:paraId="1DC97ED7">
            <w:pPr>
              <w:pStyle w:val="59"/>
              <w:bidi w:val="0"/>
              <w:rPr>
                <w:rFonts w:hint="eastAsia"/>
                <w:lang w:val="en-US" w:eastAsia="zh-CN"/>
              </w:rPr>
            </w:pPr>
            <w:r>
              <w:rPr>
                <w:rFonts w:hint="eastAsia"/>
                <w:lang w:val="en-US" w:eastAsia="zh-CN"/>
              </w:rPr>
              <w:t>/</w:t>
            </w:r>
          </w:p>
        </w:tc>
        <w:tc>
          <w:tcPr>
            <w:tcW w:w="952" w:type="dxa"/>
            <w:vAlign w:val="center"/>
          </w:tcPr>
          <w:p w14:paraId="3438AB9A">
            <w:pPr>
              <w:pStyle w:val="59"/>
              <w:bidi w:val="0"/>
              <w:rPr>
                <w:rFonts w:hint="eastAsia"/>
                <w:lang w:val="en-US" w:eastAsia="zh-CN"/>
              </w:rPr>
            </w:pPr>
            <w:r>
              <w:rPr>
                <w:rFonts w:hint="eastAsia"/>
                <w:lang w:val="en-US" w:eastAsia="zh-CN"/>
              </w:rPr>
              <w:t>/</w:t>
            </w:r>
          </w:p>
        </w:tc>
        <w:tc>
          <w:tcPr>
            <w:tcW w:w="952" w:type="dxa"/>
            <w:vAlign w:val="center"/>
          </w:tcPr>
          <w:p w14:paraId="38CACBB8">
            <w:pPr>
              <w:pStyle w:val="59"/>
              <w:bidi w:val="0"/>
              <w:rPr>
                <w:rFonts w:hint="eastAsia"/>
                <w:lang w:val="en-US" w:eastAsia="zh-CN"/>
              </w:rPr>
            </w:pPr>
            <w:r>
              <w:rPr>
                <w:rFonts w:hint="eastAsia"/>
                <w:lang w:val="en-US" w:eastAsia="zh-CN"/>
              </w:rPr>
              <w:t xml:space="preserve">0.050 </w:t>
            </w:r>
          </w:p>
        </w:tc>
        <w:tc>
          <w:tcPr>
            <w:tcW w:w="1144" w:type="dxa"/>
            <w:vAlign w:val="center"/>
          </w:tcPr>
          <w:p w14:paraId="16E61CD8">
            <w:pPr>
              <w:pStyle w:val="59"/>
              <w:bidi w:val="0"/>
              <w:rPr>
                <w:rFonts w:hint="eastAsia"/>
                <w:lang w:val="en-US" w:eastAsia="zh-CN"/>
              </w:rPr>
            </w:pPr>
            <w:r>
              <w:rPr>
                <w:rFonts w:hint="eastAsia"/>
                <w:lang w:val="en-US" w:eastAsia="zh-CN"/>
              </w:rPr>
              <w:t>密闭车间，加强抽风</w:t>
            </w:r>
          </w:p>
        </w:tc>
        <w:tc>
          <w:tcPr>
            <w:tcW w:w="760" w:type="dxa"/>
            <w:vAlign w:val="center"/>
          </w:tcPr>
          <w:p w14:paraId="5FA26907">
            <w:pPr>
              <w:pStyle w:val="59"/>
              <w:bidi w:val="0"/>
              <w:rPr>
                <w:rFonts w:hint="eastAsia"/>
                <w:lang w:val="en-US" w:eastAsia="zh-CN"/>
              </w:rPr>
            </w:pPr>
            <w:r>
              <w:rPr>
                <w:rFonts w:hint="eastAsia"/>
                <w:lang w:val="en-US" w:eastAsia="zh-CN"/>
              </w:rPr>
              <w:t>0</w:t>
            </w:r>
          </w:p>
        </w:tc>
        <w:tc>
          <w:tcPr>
            <w:tcW w:w="951" w:type="dxa"/>
            <w:vAlign w:val="center"/>
          </w:tcPr>
          <w:p w14:paraId="58781330">
            <w:pPr>
              <w:pStyle w:val="59"/>
              <w:bidi w:val="0"/>
              <w:rPr>
                <w:rFonts w:hint="eastAsia"/>
                <w:lang w:val="en-US" w:eastAsia="zh-CN"/>
              </w:rPr>
            </w:pPr>
            <w:r>
              <w:rPr>
                <w:rFonts w:hint="eastAsia"/>
                <w:lang w:val="en-US" w:eastAsia="zh-CN"/>
              </w:rPr>
              <w:t>物料衡算法</w:t>
            </w:r>
          </w:p>
        </w:tc>
        <w:tc>
          <w:tcPr>
            <w:tcW w:w="945" w:type="dxa"/>
            <w:vAlign w:val="center"/>
          </w:tcPr>
          <w:p w14:paraId="407E10BF">
            <w:pPr>
              <w:pStyle w:val="59"/>
              <w:bidi w:val="0"/>
              <w:rPr>
                <w:rFonts w:hint="eastAsia"/>
                <w:lang w:val="en-US" w:eastAsia="zh-CN"/>
              </w:rPr>
            </w:pPr>
            <w:r>
              <w:rPr>
                <w:rFonts w:hint="eastAsia"/>
                <w:lang w:val="en-US" w:eastAsia="zh-CN"/>
              </w:rPr>
              <w:t>/</w:t>
            </w:r>
          </w:p>
        </w:tc>
        <w:tc>
          <w:tcPr>
            <w:tcW w:w="934" w:type="dxa"/>
            <w:vAlign w:val="center"/>
          </w:tcPr>
          <w:p w14:paraId="4C519511">
            <w:pPr>
              <w:pStyle w:val="59"/>
              <w:bidi w:val="0"/>
              <w:rPr>
                <w:rFonts w:hint="eastAsia"/>
                <w:lang w:val="en-US" w:eastAsia="zh-CN"/>
              </w:rPr>
            </w:pPr>
            <w:r>
              <w:rPr>
                <w:rFonts w:hint="eastAsia"/>
                <w:lang w:val="en-US" w:eastAsia="zh-CN"/>
              </w:rPr>
              <w:t>/</w:t>
            </w:r>
          </w:p>
        </w:tc>
        <w:tc>
          <w:tcPr>
            <w:tcW w:w="922" w:type="dxa"/>
            <w:vAlign w:val="center"/>
          </w:tcPr>
          <w:p w14:paraId="0A4EA4FB">
            <w:pPr>
              <w:pStyle w:val="59"/>
              <w:bidi w:val="0"/>
              <w:rPr>
                <w:rFonts w:hint="eastAsia"/>
                <w:lang w:val="en-US" w:eastAsia="zh-CN"/>
              </w:rPr>
            </w:pPr>
            <w:r>
              <w:rPr>
                <w:rFonts w:hint="eastAsia"/>
                <w:lang w:val="en-US" w:eastAsia="zh-CN"/>
              </w:rPr>
              <w:t xml:space="preserve">0.050 </w:t>
            </w:r>
          </w:p>
        </w:tc>
        <w:tc>
          <w:tcPr>
            <w:tcW w:w="917" w:type="dxa"/>
            <w:vAlign w:val="center"/>
          </w:tcPr>
          <w:p w14:paraId="5F7796A1">
            <w:pPr>
              <w:pStyle w:val="59"/>
              <w:bidi w:val="0"/>
              <w:rPr>
                <w:rFonts w:hint="eastAsia"/>
                <w:lang w:val="en-US" w:eastAsia="zh-CN"/>
              </w:rPr>
            </w:pPr>
            <w:r>
              <w:rPr>
                <w:rFonts w:hint="eastAsia"/>
                <w:lang w:val="en-US" w:eastAsia="zh-CN"/>
              </w:rPr>
              <w:t xml:space="preserve">643 </w:t>
            </w:r>
          </w:p>
        </w:tc>
      </w:tr>
    </w:tbl>
    <w:p w14:paraId="2225E358">
      <w:pPr>
        <w:pStyle w:val="62"/>
        <w:rPr>
          <w:color w:val="auto"/>
        </w:rPr>
        <w:sectPr>
          <w:pgSz w:w="16838" w:h="11906" w:orient="landscape"/>
          <w:pgMar w:top="1417" w:right="1417" w:bottom="1417" w:left="1417" w:header="992" w:footer="992" w:gutter="0"/>
          <w:pgNumType w:fmt="decimal"/>
          <w:cols w:space="720" w:num="1"/>
          <w:docGrid w:type="lines" w:linePitch="312" w:charSpace="0"/>
        </w:sectPr>
      </w:pPr>
    </w:p>
    <w:p w14:paraId="12670F24">
      <w:pPr>
        <w:pStyle w:val="64"/>
        <w:numPr>
          <w:ilvl w:val="2"/>
          <w:numId w:val="8"/>
        </w:numPr>
        <w:spacing w:before="156" w:after="15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噪声源</w:t>
      </w:r>
    </w:p>
    <w:p w14:paraId="16CE40AA">
      <w:pPr>
        <w:ind w:firstLine="480"/>
        <w:jc w:val="left"/>
        <w:rPr>
          <w:color w:val="auto"/>
          <w:szCs w:val="24"/>
        </w:rPr>
      </w:pPr>
      <w:r>
        <w:rPr>
          <w:rFonts w:hint="eastAsia"/>
          <w:color w:val="auto"/>
          <w:szCs w:val="24"/>
        </w:rPr>
        <w:t>根据本项目的主要生产和辅助设备情况分析，项目生产过程中所产生的噪声主要来自</w:t>
      </w:r>
      <w:r>
        <w:rPr>
          <w:rFonts w:hint="eastAsia"/>
          <w:color w:val="auto"/>
          <w:szCs w:val="24"/>
          <w:lang w:val="en-US" w:eastAsia="zh-CN"/>
        </w:rPr>
        <w:t>风机</w:t>
      </w:r>
      <w:r>
        <w:rPr>
          <w:rFonts w:hint="eastAsia"/>
          <w:color w:val="auto"/>
          <w:szCs w:val="24"/>
        </w:rPr>
        <w:t>等。噪声级一般在70～90dB(A)之间，主要噪声源及源强情况见</w:t>
      </w:r>
      <w:r>
        <w:rPr>
          <w:rFonts w:hint="eastAsia"/>
          <w:color w:val="auto"/>
          <w:szCs w:val="24"/>
          <w:lang w:eastAsia="zh-CN"/>
        </w:rPr>
        <w:t>表</w:t>
      </w:r>
      <w:r>
        <w:rPr>
          <w:rFonts w:hint="eastAsia"/>
          <w:color w:val="auto"/>
          <w:szCs w:val="24"/>
          <w:lang w:val="en-US" w:eastAsia="zh-CN"/>
        </w:rPr>
        <w:t>2.6</w:t>
      </w:r>
      <w:r>
        <w:rPr>
          <w:rFonts w:hint="eastAsia"/>
          <w:color w:val="auto"/>
          <w:szCs w:val="24"/>
        </w:rPr>
        <w:t>-</w:t>
      </w:r>
      <w:r>
        <w:rPr>
          <w:rFonts w:hint="eastAsia"/>
          <w:color w:val="auto"/>
          <w:szCs w:val="24"/>
          <w:lang w:val="en-US" w:eastAsia="zh-CN"/>
        </w:rPr>
        <w:t>9</w:t>
      </w:r>
      <w:r>
        <w:rPr>
          <w:rFonts w:hint="eastAsia"/>
          <w:color w:val="auto"/>
          <w:szCs w:val="24"/>
        </w:rPr>
        <w:t>。主要统计70</w:t>
      </w:r>
      <w:r>
        <w:rPr>
          <w:color w:val="auto"/>
          <w:szCs w:val="24"/>
        </w:rPr>
        <w:t>dB(A)</w:t>
      </w:r>
      <w:r>
        <w:rPr>
          <w:rFonts w:hint="eastAsia"/>
          <w:color w:val="auto"/>
          <w:szCs w:val="24"/>
        </w:rPr>
        <w:t>以上的设备。</w:t>
      </w:r>
    </w:p>
    <w:p w14:paraId="27F03B1F">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lang w:val="en-US" w:eastAsia="zh-CN"/>
        </w:rPr>
        <w:t>全厂</w:t>
      </w:r>
      <w:r>
        <w:rPr>
          <w:rFonts w:hint="eastAsia" w:ascii="Times New Roman" w:hAnsi="Times New Roman" w:eastAsia="宋体" w:cs="Times New Roman"/>
        </w:rPr>
        <w:t>噪声污染源源强核算结果及相关参数一览表</w:t>
      </w:r>
    </w:p>
    <w:tbl>
      <w:tblPr>
        <w:tblStyle w:val="38"/>
        <w:tblW w:w="1400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566"/>
        <w:gridCol w:w="1014"/>
        <w:gridCol w:w="1290"/>
        <w:gridCol w:w="1290"/>
        <w:gridCol w:w="1290"/>
        <w:gridCol w:w="1391"/>
        <w:gridCol w:w="1189"/>
        <w:gridCol w:w="1290"/>
        <w:gridCol w:w="1290"/>
        <w:gridCol w:w="1101"/>
      </w:tblGrid>
      <w:tr w14:paraId="63092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290" w:type="dxa"/>
            <w:vMerge w:val="restart"/>
            <w:vAlign w:val="center"/>
          </w:tcPr>
          <w:p w14:paraId="2FE9DA5B">
            <w:pPr>
              <w:pStyle w:val="69"/>
              <w:rPr>
                <w:color w:val="auto"/>
              </w:rPr>
            </w:pPr>
            <w:r>
              <w:rPr>
                <w:rFonts w:hint="eastAsia"/>
                <w:color w:val="auto"/>
              </w:rPr>
              <w:t>工序/</w:t>
            </w:r>
          </w:p>
          <w:p w14:paraId="1ACD32DA">
            <w:pPr>
              <w:pStyle w:val="69"/>
              <w:rPr>
                <w:color w:val="auto"/>
              </w:rPr>
            </w:pPr>
            <w:r>
              <w:rPr>
                <w:rFonts w:hint="eastAsia"/>
                <w:color w:val="auto"/>
              </w:rPr>
              <w:t>生产线</w:t>
            </w:r>
          </w:p>
        </w:tc>
        <w:tc>
          <w:tcPr>
            <w:tcW w:w="1566" w:type="dxa"/>
            <w:vMerge w:val="restart"/>
            <w:vAlign w:val="center"/>
          </w:tcPr>
          <w:p w14:paraId="733BED7F">
            <w:pPr>
              <w:pStyle w:val="69"/>
              <w:rPr>
                <w:color w:val="auto"/>
              </w:rPr>
            </w:pPr>
            <w:r>
              <w:rPr>
                <w:rFonts w:hint="eastAsia"/>
                <w:color w:val="auto"/>
              </w:rPr>
              <w:t>装置</w:t>
            </w:r>
          </w:p>
        </w:tc>
        <w:tc>
          <w:tcPr>
            <w:tcW w:w="1014" w:type="dxa"/>
            <w:vMerge w:val="restart"/>
            <w:vAlign w:val="center"/>
          </w:tcPr>
          <w:p w14:paraId="0752D889">
            <w:pPr>
              <w:pStyle w:val="69"/>
              <w:rPr>
                <w:color w:val="auto"/>
              </w:rPr>
            </w:pPr>
            <w:r>
              <w:rPr>
                <w:rFonts w:hint="eastAsia"/>
                <w:color w:val="auto"/>
              </w:rPr>
              <w:t>噪声源</w:t>
            </w:r>
          </w:p>
        </w:tc>
        <w:tc>
          <w:tcPr>
            <w:tcW w:w="1290" w:type="dxa"/>
            <w:vMerge w:val="restart"/>
            <w:vAlign w:val="center"/>
          </w:tcPr>
          <w:p w14:paraId="61BEFB9A">
            <w:pPr>
              <w:pStyle w:val="69"/>
              <w:rPr>
                <w:color w:val="auto"/>
              </w:rPr>
            </w:pPr>
            <w:r>
              <w:rPr>
                <w:rFonts w:hint="eastAsia"/>
                <w:color w:val="auto"/>
              </w:rPr>
              <w:t>声源类型</w:t>
            </w:r>
          </w:p>
          <w:p w14:paraId="7EA078F3">
            <w:pPr>
              <w:pStyle w:val="69"/>
              <w:rPr>
                <w:color w:val="auto"/>
              </w:rPr>
            </w:pPr>
            <w:r>
              <w:rPr>
                <w:rFonts w:hint="eastAsia"/>
                <w:color w:val="auto"/>
              </w:rPr>
              <w:t>（频发、偶发等）</w:t>
            </w:r>
          </w:p>
        </w:tc>
        <w:tc>
          <w:tcPr>
            <w:tcW w:w="2580" w:type="dxa"/>
            <w:gridSpan w:val="2"/>
            <w:vAlign w:val="center"/>
          </w:tcPr>
          <w:p w14:paraId="481A6E84">
            <w:pPr>
              <w:pStyle w:val="69"/>
              <w:rPr>
                <w:color w:val="auto"/>
              </w:rPr>
            </w:pPr>
            <w:r>
              <w:rPr>
                <w:rFonts w:hint="eastAsia"/>
                <w:color w:val="auto"/>
              </w:rPr>
              <w:t>噪声源强</w:t>
            </w:r>
          </w:p>
        </w:tc>
        <w:tc>
          <w:tcPr>
            <w:tcW w:w="2580" w:type="dxa"/>
            <w:gridSpan w:val="2"/>
            <w:vAlign w:val="center"/>
          </w:tcPr>
          <w:p w14:paraId="2E5C474A">
            <w:pPr>
              <w:pStyle w:val="69"/>
              <w:rPr>
                <w:color w:val="auto"/>
              </w:rPr>
            </w:pPr>
            <w:r>
              <w:rPr>
                <w:rFonts w:hint="eastAsia"/>
                <w:color w:val="auto"/>
              </w:rPr>
              <w:t>降噪措施</w:t>
            </w:r>
          </w:p>
        </w:tc>
        <w:tc>
          <w:tcPr>
            <w:tcW w:w="2580" w:type="dxa"/>
            <w:gridSpan w:val="2"/>
            <w:vAlign w:val="center"/>
          </w:tcPr>
          <w:p w14:paraId="26ADD39F">
            <w:pPr>
              <w:pStyle w:val="69"/>
              <w:rPr>
                <w:color w:val="auto"/>
              </w:rPr>
            </w:pPr>
            <w:r>
              <w:rPr>
                <w:rFonts w:hint="eastAsia"/>
                <w:color w:val="auto"/>
              </w:rPr>
              <w:t>噪声排放值</w:t>
            </w:r>
          </w:p>
        </w:tc>
        <w:tc>
          <w:tcPr>
            <w:tcW w:w="1101" w:type="dxa"/>
            <w:vMerge w:val="restart"/>
            <w:vAlign w:val="center"/>
          </w:tcPr>
          <w:p w14:paraId="665F276E">
            <w:pPr>
              <w:pStyle w:val="69"/>
              <w:rPr>
                <w:color w:val="auto"/>
              </w:rPr>
            </w:pPr>
            <w:r>
              <w:rPr>
                <w:rFonts w:hint="eastAsia"/>
                <w:color w:val="auto"/>
              </w:rPr>
              <w:t>持续</w:t>
            </w:r>
          </w:p>
          <w:p w14:paraId="02ED9781">
            <w:pPr>
              <w:pStyle w:val="69"/>
              <w:rPr>
                <w:color w:val="auto"/>
              </w:rPr>
            </w:pPr>
            <w:r>
              <w:rPr>
                <w:rFonts w:hint="eastAsia"/>
                <w:color w:val="auto"/>
              </w:rPr>
              <w:t>时间/h</w:t>
            </w:r>
          </w:p>
        </w:tc>
      </w:tr>
      <w:tr w14:paraId="17A0AC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90" w:type="dxa"/>
            <w:vMerge w:val="continue"/>
            <w:vAlign w:val="center"/>
          </w:tcPr>
          <w:p w14:paraId="361CCB01">
            <w:pPr>
              <w:pStyle w:val="69"/>
              <w:rPr>
                <w:color w:val="auto"/>
              </w:rPr>
            </w:pPr>
          </w:p>
        </w:tc>
        <w:tc>
          <w:tcPr>
            <w:tcW w:w="1566" w:type="dxa"/>
            <w:vMerge w:val="continue"/>
            <w:vAlign w:val="center"/>
          </w:tcPr>
          <w:p w14:paraId="00209D14">
            <w:pPr>
              <w:pStyle w:val="69"/>
              <w:rPr>
                <w:color w:val="auto"/>
              </w:rPr>
            </w:pPr>
          </w:p>
        </w:tc>
        <w:tc>
          <w:tcPr>
            <w:tcW w:w="1014" w:type="dxa"/>
            <w:vMerge w:val="continue"/>
            <w:vAlign w:val="center"/>
          </w:tcPr>
          <w:p w14:paraId="0B73BD78">
            <w:pPr>
              <w:pStyle w:val="69"/>
              <w:rPr>
                <w:color w:val="auto"/>
              </w:rPr>
            </w:pPr>
          </w:p>
        </w:tc>
        <w:tc>
          <w:tcPr>
            <w:tcW w:w="1290" w:type="dxa"/>
            <w:vMerge w:val="continue"/>
            <w:vAlign w:val="center"/>
          </w:tcPr>
          <w:p w14:paraId="2A23E57C">
            <w:pPr>
              <w:pStyle w:val="69"/>
              <w:rPr>
                <w:color w:val="auto"/>
              </w:rPr>
            </w:pPr>
          </w:p>
        </w:tc>
        <w:tc>
          <w:tcPr>
            <w:tcW w:w="1290" w:type="dxa"/>
            <w:vAlign w:val="center"/>
          </w:tcPr>
          <w:p w14:paraId="2DDCB42A">
            <w:pPr>
              <w:pStyle w:val="69"/>
              <w:rPr>
                <w:color w:val="auto"/>
              </w:rPr>
            </w:pPr>
            <w:r>
              <w:rPr>
                <w:rFonts w:hint="eastAsia"/>
                <w:color w:val="auto"/>
              </w:rPr>
              <w:t>核算方法</w:t>
            </w:r>
          </w:p>
        </w:tc>
        <w:tc>
          <w:tcPr>
            <w:tcW w:w="1290" w:type="dxa"/>
            <w:vAlign w:val="center"/>
          </w:tcPr>
          <w:p w14:paraId="035ECDC5">
            <w:pPr>
              <w:pStyle w:val="69"/>
              <w:rPr>
                <w:color w:val="auto"/>
              </w:rPr>
            </w:pPr>
            <w:r>
              <w:rPr>
                <w:rFonts w:hint="eastAsia"/>
                <w:color w:val="auto"/>
              </w:rPr>
              <w:t>噪声值dB（A）</w:t>
            </w:r>
          </w:p>
        </w:tc>
        <w:tc>
          <w:tcPr>
            <w:tcW w:w="1391" w:type="dxa"/>
            <w:vAlign w:val="center"/>
          </w:tcPr>
          <w:p w14:paraId="5A07174D">
            <w:pPr>
              <w:pStyle w:val="69"/>
              <w:rPr>
                <w:color w:val="auto"/>
              </w:rPr>
            </w:pPr>
            <w:r>
              <w:rPr>
                <w:rFonts w:hint="eastAsia"/>
                <w:color w:val="auto"/>
              </w:rPr>
              <w:t>工艺</w:t>
            </w:r>
          </w:p>
        </w:tc>
        <w:tc>
          <w:tcPr>
            <w:tcW w:w="1189" w:type="dxa"/>
            <w:vAlign w:val="center"/>
          </w:tcPr>
          <w:p w14:paraId="1AD4281A">
            <w:pPr>
              <w:pStyle w:val="69"/>
              <w:rPr>
                <w:color w:val="auto"/>
              </w:rPr>
            </w:pPr>
            <w:r>
              <w:rPr>
                <w:rFonts w:hint="eastAsia"/>
                <w:color w:val="auto"/>
              </w:rPr>
              <w:t>降噪效果</w:t>
            </w:r>
          </w:p>
        </w:tc>
        <w:tc>
          <w:tcPr>
            <w:tcW w:w="1290" w:type="dxa"/>
            <w:vAlign w:val="center"/>
          </w:tcPr>
          <w:p w14:paraId="5881E689">
            <w:pPr>
              <w:pStyle w:val="69"/>
              <w:rPr>
                <w:color w:val="auto"/>
              </w:rPr>
            </w:pPr>
            <w:r>
              <w:rPr>
                <w:rFonts w:hint="eastAsia"/>
                <w:color w:val="auto"/>
              </w:rPr>
              <w:t>核算方法</w:t>
            </w:r>
          </w:p>
        </w:tc>
        <w:tc>
          <w:tcPr>
            <w:tcW w:w="1290" w:type="dxa"/>
            <w:vAlign w:val="center"/>
          </w:tcPr>
          <w:p w14:paraId="483879CE">
            <w:pPr>
              <w:pStyle w:val="69"/>
              <w:rPr>
                <w:color w:val="auto"/>
              </w:rPr>
            </w:pPr>
            <w:r>
              <w:rPr>
                <w:rFonts w:hint="eastAsia"/>
                <w:color w:val="auto"/>
              </w:rPr>
              <w:t>噪声值dB（A）</w:t>
            </w:r>
          </w:p>
        </w:tc>
        <w:tc>
          <w:tcPr>
            <w:tcW w:w="1101" w:type="dxa"/>
            <w:vMerge w:val="continue"/>
            <w:vAlign w:val="center"/>
          </w:tcPr>
          <w:p w14:paraId="0515219E">
            <w:pPr>
              <w:pStyle w:val="69"/>
              <w:rPr>
                <w:color w:val="auto"/>
              </w:rPr>
            </w:pPr>
          </w:p>
        </w:tc>
      </w:tr>
      <w:tr w14:paraId="6D7442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90" w:type="dxa"/>
            <w:vAlign w:val="center"/>
          </w:tcPr>
          <w:p w14:paraId="3D960335">
            <w:pPr>
              <w:pStyle w:val="59"/>
              <w:rPr>
                <w:rFonts w:hint="eastAsia" w:eastAsia="宋体"/>
                <w:color w:val="auto"/>
                <w:lang w:eastAsia="zh-CN"/>
              </w:rPr>
            </w:pPr>
            <w:r>
              <w:rPr>
                <w:rFonts w:hint="eastAsia"/>
                <w:color w:val="auto"/>
                <w:lang w:val="en-US" w:eastAsia="zh-CN"/>
              </w:rPr>
              <w:t>分切</w:t>
            </w:r>
          </w:p>
        </w:tc>
        <w:tc>
          <w:tcPr>
            <w:tcW w:w="1566" w:type="dxa"/>
            <w:shd w:val="clear" w:color="auto" w:fill="auto"/>
            <w:vAlign w:val="center"/>
          </w:tcPr>
          <w:p w14:paraId="3C09E8F7">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分切机</w:t>
            </w:r>
          </w:p>
        </w:tc>
        <w:tc>
          <w:tcPr>
            <w:tcW w:w="1014" w:type="dxa"/>
            <w:vAlign w:val="center"/>
          </w:tcPr>
          <w:p w14:paraId="74A77C1C">
            <w:pPr>
              <w:pStyle w:val="69"/>
              <w:rPr>
                <w:color w:val="auto"/>
              </w:rPr>
            </w:pPr>
            <w:r>
              <w:rPr>
                <w:rFonts w:hint="eastAsia"/>
                <w:color w:val="auto"/>
              </w:rPr>
              <w:t>设备</w:t>
            </w:r>
          </w:p>
        </w:tc>
        <w:tc>
          <w:tcPr>
            <w:tcW w:w="1290" w:type="dxa"/>
            <w:vAlign w:val="center"/>
          </w:tcPr>
          <w:p w14:paraId="3FF57E64">
            <w:pPr>
              <w:pStyle w:val="69"/>
              <w:rPr>
                <w:color w:val="auto"/>
              </w:rPr>
            </w:pPr>
            <w:r>
              <w:rPr>
                <w:rFonts w:hint="eastAsia"/>
                <w:color w:val="auto"/>
              </w:rPr>
              <w:t>频发</w:t>
            </w:r>
          </w:p>
        </w:tc>
        <w:tc>
          <w:tcPr>
            <w:tcW w:w="1290" w:type="dxa"/>
            <w:vAlign w:val="center"/>
          </w:tcPr>
          <w:p w14:paraId="5C329771">
            <w:pPr>
              <w:pStyle w:val="69"/>
              <w:rPr>
                <w:color w:val="auto"/>
              </w:rPr>
            </w:pPr>
            <w:r>
              <w:rPr>
                <w:rFonts w:hint="eastAsia"/>
                <w:color w:val="auto"/>
              </w:rPr>
              <w:t>经验法</w:t>
            </w:r>
          </w:p>
        </w:tc>
        <w:tc>
          <w:tcPr>
            <w:tcW w:w="1290" w:type="dxa"/>
            <w:vAlign w:val="center"/>
          </w:tcPr>
          <w:p w14:paraId="18EEB0DF">
            <w:pPr>
              <w:pStyle w:val="59"/>
              <w:ind w:firstLine="0" w:firstLineChars="0"/>
              <w:jc w:val="center"/>
              <w:rPr>
                <w:rFonts w:hint="eastAsia" w:ascii="Times New Roman" w:hAnsi="Times New Roman" w:eastAsia="宋体" w:cs="Times New Roman"/>
                <w:color w:val="auto"/>
                <w:kern w:val="0"/>
                <w:sz w:val="21"/>
                <w:szCs w:val="20"/>
                <w:lang w:val="en-US" w:eastAsia="zh-CN" w:bidi="ar-SA"/>
              </w:rPr>
            </w:pPr>
            <w:r>
              <w:rPr>
                <w:rFonts w:hint="eastAsia"/>
                <w:color w:val="auto"/>
              </w:rPr>
              <w:t>80~90</w:t>
            </w:r>
          </w:p>
        </w:tc>
        <w:tc>
          <w:tcPr>
            <w:tcW w:w="1391" w:type="dxa"/>
            <w:vAlign w:val="center"/>
          </w:tcPr>
          <w:p w14:paraId="28A9B36B">
            <w:pPr>
              <w:pStyle w:val="69"/>
              <w:rPr>
                <w:color w:val="auto"/>
              </w:rPr>
            </w:pPr>
            <w:r>
              <w:rPr>
                <w:color w:val="auto"/>
              </w:rPr>
              <w:t>隔声降噪、厂房布局</w:t>
            </w:r>
          </w:p>
        </w:tc>
        <w:tc>
          <w:tcPr>
            <w:tcW w:w="1189" w:type="dxa"/>
            <w:vAlign w:val="center"/>
          </w:tcPr>
          <w:p w14:paraId="591DD628">
            <w:pPr>
              <w:pStyle w:val="69"/>
              <w:rPr>
                <w:color w:val="auto"/>
              </w:rPr>
            </w:pPr>
            <w:r>
              <w:rPr>
                <w:color w:val="auto"/>
              </w:rPr>
              <w:t>15~2</w:t>
            </w:r>
            <w:r>
              <w:rPr>
                <w:rFonts w:hint="eastAsia"/>
                <w:color w:val="auto"/>
              </w:rPr>
              <w:t>5</w:t>
            </w:r>
          </w:p>
        </w:tc>
        <w:tc>
          <w:tcPr>
            <w:tcW w:w="1290" w:type="dxa"/>
            <w:vAlign w:val="center"/>
          </w:tcPr>
          <w:p w14:paraId="574FEF19">
            <w:pPr>
              <w:pStyle w:val="69"/>
              <w:rPr>
                <w:color w:val="auto"/>
              </w:rPr>
            </w:pPr>
            <w:r>
              <w:rPr>
                <w:rFonts w:hint="eastAsia"/>
                <w:color w:val="auto"/>
              </w:rPr>
              <w:t>预测法</w:t>
            </w:r>
          </w:p>
        </w:tc>
        <w:tc>
          <w:tcPr>
            <w:tcW w:w="1290" w:type="dxa"/>
            <w:vAlign w:val="center"/>
          </w:tcPr>
          <w:p w14:paraId="6E136A5F">
            <w:pPr>
              <w:pStyle w:val="69"/>
              <w:rPr>
                <w:color w:val="auto"/>
              </w:rPr>
            </w:pPr>
            <w:r>
              <w:rPr>
                <w:rFonts w:hint="eastAsia"/>
                <w:color w:val="auto"/>
              </w:rPr>
              <w:t>≤65</w:t>
            </w:r>
          </w:p>
        </w:tc>
        <w:tc>
          <w:tcPr>
            <w:tcW w:w="1101" w:type="dxa"/>
            <w:vAlign w:val="center"/>
          </w:tcPr>
          <w:p w14:paraId="26E424F0">
            <w:pPr>
              <w:pStyle w:val="69"/>
              <w:rPr>
                <w:color w:val="auto"/>
              </w:rPr>
            </w:pPr>
            <w:r>
              <w:rPr>
                <w:rFonts w:hint="eastAsia"/>
                <w:color w:val="auto"/>
                <w:lang w:val="en-US" w:eastAsia="zh-CN"/>
              </w:rPr>
              <w:t>15</w:t>
            </w:r>
            <w:r>
              <w:rPr>
                <w:rFonts w:hint="eastAsia"/>
                <w:color w:val="auto"/>
              </w:rPr>
              <w:t>00</w:t>
            </w:r>
          </w:p>
        </w:tc>
      </w:tr>
      <w:tr w14:paraId="196BA7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90" w:type="dxa"/>
            <w:vAlign w:val="center"/>
          </w:tcPr>
          <w:p w14:paraId="3775095C">
            <w:pPr>
              <w:pStyle w:val="59"/>
              <w:rPr>
                <w:rFonts w:hint="eastAsia" w:eastAsia="宋体"/>
                <w:color w:val="auto"/>
                <w:lang w:val="en-US" w:eastAsia="zh-CN"/>
              </w:rPr>
            </w:pPr>
            <w:r>
              <w:rPr>
                <w:rFonts w:hint="eastAsia"/>
                <w:color w:val="auto"/>
                <w:lang w:val="en-US" w:eastAsia="zh-CN"/>
              </w:rPr>
              <w:t>打孔</w:t>
            </w:r>
          </w:p>
        </w:tc>
        <w:tc>
          <w:tcPr>
            <w:tcW w:w="1566" w:type="dxa"/>
            <w:shd w:val="clear" w:color="auto" w:fill="auto"/>
            <w:vAlign w:val="center"/>
          </w:tcPr>
          <w:p w14:paraId="123043B3">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打孔机</w:t>
            </w:r>
          </w:p>
        </w:tc>
        <w:tc>
          <w:tcPr>
            <w:tcW w:w="1014" w:type="dxa"/>
            <w:vAlign w:val="center"/>
          </w:tcPr>
          <w:p w14:paraId="06D93959">
            <w:pPr>
              <w:pStyle w:val="69"/>
              <w:rPr>
                <w:color w:val="auto"/>
              </w:rPr>
            </w:pPr>
            <w:r>
              <w:rPr>
                <w:rFonts w:hint="eastAsia"/>
                <w:color w:val="auto"/>
              </w:rPr>
              <w:t>设备</w:t>
            </w:r>
          </w:p>
        </w:tc>
        <w:tc>
          <w:tcPr>
            <w:tcW w:w="1290" w:type="dxa"/>
            <w:vAlign w:val="center"/>
          </w:tcPr>
          <w:p w14:paraId="26616DE4">
            <w:pPr>
              <w:pStyle w:val="69"/>
              <w:rPr>
                <w:color w:val="auto"/>
              </w:rPr>
            </w:pPr>
            <w:r>
              <w:rPr>
                <w:rFonts w:hint="eastAsia"/>
                <w:color w:val="auto"/>
              </w:rPr>
              <w:t>频发</w:t>
            </w:r>
          </w:p>
        </w:tc>
        <w:tc>
          <w:tcPr>
            <w:tcW w:w="1290" w:type="dxa"/>
            <w:vAlign w:val="center"/>
          </w:tcPr>
          <w:p w14:paraId="16EC8E9C">
            <w:pPr>
              <w:pStyle w:val="69"/>
              <w:rPr>
                <w:color w:val="auto"/>
              </w:rPr>
            </w:pPr>
            <w:r>
              <w:rPr>
                <w:rFonts w:hint="eastAsia"/>
                <w:color w:val="auto"/>
              </w:rPr>
              <w:t>经验法</w:t>
            </w:r>
          </w:p>
        </w:tc>
        <w:tc>
          <w:tcPr>
            <w:tcW w:w="1290" w:type="dxa"/>
            <w:vAlign w:val="center"/>
          </w:tcPr>
          <w:p w14:paraId="13308EBC">
            <w:pPr>
              <w:pStyle w:val="59"/>
              <w:ind w:firstLine="0" w:firstLineChars="0"/>
              <w:jc w:val="center"/>
              <w:rPr>
                <w:rFonts w:hint="eastAsia" w:ascii="Times New Roman" w:hAnsi="Times New Roman" w:eastAsia="宋体" w:cs="Times New Roman"/>
                <w:color w:val="auto"/>
                <w:kern w:val="0"/>
                <w:sz w:val="21"/>
                <w:szCs w:val="20"/>
                <w:lang w:val="en-US" w:eastAsia="zh-CN" w:bidi="ar-SA"/>
              </w:rPr>
            </w:pPr>
            <w:r>
              <w:rPr>
                <w:rFonts w:hint="eastAsia"/>
                <w:color w:val="auto"/>
              </w:rPr>
              <w:t>80~90</w:t>
            </w:r>
          </w:p>
        </w:tc>
        <w:tc>
          <w:tcPr>
            <w:tcW w:w="1391" w:type="dxa"/>
            <w:vAlign w:val="center"/>
          </w:tcPr>
          <w:p w14:paraId="7F81AA26">
            <w:pPr>
              <w:pStyle w:val="69"/>
              <w:rPr>
                <w:color w:val="auto"/>
              </w:rPr>
            </w:pPr>
            <w:r>
              <w:rPr>
                <w:color w:val="auto"/>
              </w:rPr>
              <w:t>隔声降噪、厂房布局</w:t>
            </w:r>
          </w:p>
        </w:tc>
        <w:tc>
          <w:tcPr>
            <w:tcW w:w="1189" w:type="dxa"/>
            <w:vAlign w:val="center"/>
          </w:tcPr>
          <w:p w14:paraId="1D76B7D3">
            <w:pPr>
              <w:pStyle w:val="69"/>
              <w:rPr>
                <w:color w:val="auto"/>
              </w:rPr>
            </w:pPr>
            <w:r>
              <w:rPr>
                <w:color w:val="auto"/>
              </w:rPr>
              <w:t>15~2</w:t>
            </w:r>
            <w:r>
              <w:rPr>
                <w:rFonts w:hint="eastAsia"/>
                <w:color w:val="auto"/>
              </w:rPr>
              <w:t>5</w:t>
            </w:r>
          </w:p>
        </w:tc>
        <w:tc>
          <w:tcPr>
            <w:tcW w:w="1290" w:type="dxa"/>
            <w:vAlign w:val="center"/>
          </w:tcPr>
          <w:p w14:paraId="30358108">
            <w:pPr>
              <w:pStyle w:val="69"/>
              <w:rPr>
                <w:color w:val="auto"/>
              </w:rPr>
            </w:pPr>
            <w:r>
              <w:rPr>
                <w:rFonts w:hint="eastAsia"/>
                <w:color w:val="auto"/>
              </w:rPr>
              <w:t>预测法</w:t>
            </w:r>
          </w:p>
        </w:tc>
        <w:tc>
          <w:tcPr>
            <w:tcW w:w="1290" w:type="dxa"/>
            <w:vAlign w:val="center"/>
          </w:tcPr>
          <w:p w14:paraId="32D1370A">
            <w:pPr>
              <w:pStyle w:val="69"/>
              <w:rPr>
                <w:color w:val="auto"/>
              </w:rPr>
            </w:pPr>
            <w:r>
              <w:rPr>
                <w:rFonts w:hint="eastAsia"/>
                <w:color w:val="auto"/>
              </w:rPr>
              <w:t>≤65</w:t>
            </w:r>
          </w:p>
        </w:tc>
        <w:tc>
          <w:tcPr>
            <w:tcW w:w="1101" w:type="dxa"/>
            <w:vAlign w:val="center"/>
          </w:tcPr>
          <w:p w14:paraId="097F1C8F">
            <w:pPr>
              <w:pStyle w:val="69"/>
              <w:bidi w:val="0"/>
              <w:rPr>
                <w:color w:val="auto"/>
              </w:rPr>
            </w:pPr>
            <w:r>
              <w:rPr>
                <w:rFonts w:hint="eastAsia"/>
                <w:color w:val="auto"/>
                <w:lang w:val="en-US" w:eastAsia="zh-CN"/>
              </w:rPr>
              <w:t>15</w:t>
            </w:r>
            <w:r>
              <w:rPr>
                <w:rFonts w:hint="eastAsia"/>
                <w:color w:val="auto"/>
              </w:rPr>
              <w:t>00</w:t>
            </w:r>
          </w:p>
        </w:tc>
      </w:tr>
      <w:tr w14:paraId="0AE96B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90" w:type="dxa"/>
            <w:vAlign w:val="center"/>
          </w:tcPr>
          <w:p w14:paraId="61A201C4">
            <w:pPr>
              <w:pStyle w:val="59"/>
              <w:rPr>
                <w:rFonts w:hint="default" w:eastAsia="宋体"/>
                <w:color w:val="auto"/>
                <w:lang w:val="en-US" w:eastAsia="zh-CN"/>
              </w:rPr>
            </w:pPr>
            <w:r>
              <w:rPr>
                <w:rFonts w:hint="eastAsia"/>
                <w:color w:val="auto"/>
                <w:lang w:val="en-US" w:eastAsia="zh-CN"/>
              </w:rPr>
              <w:t>废气处理</w:t>
            </w:r>
          </w:p>
        </w:tc>
        <w:tc>
          <w:tcPr>
            <w:tcW w:w="1566" w:type="dxa"/>
            <w:vAlign w:val="center"/>
          </w:tcPr>
          <w:p w14:paraId="45DC4375">
            <w:pPr>
              <w:pStyle w:val="59"/>
              <w:ind w:firstLine="0" w:firstLineChars="0"/>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Times New Roman" w:cs="Times New Roman"/>
                <w:spacing w:val="-4"/>
              </w:rPr>
              <w:t xml:space="preserve">RTO </w:t>
            </w:r>
            <w:r>
              <w:rPr>
                <w:spacing w:val="-4"/>
              </w:rPr>
              <w:t>变频风机</w:t>
            </w:r>
          </w:p>
        </w:tc>
        <w:tc>
          <w:tcPr>
            <w:tcW w:w="1014" w:type="dxa"/>
            <w:vAlign w:val="center"/>
          </w:tcPr>
          <w:p w14:paraId="02C03929">
            <w:pPr>
              <w:pStyle w:val="69"/>
              <w:rPr>
                <w:color w:val="auto"/>
              </w:rPr>
            </w:pPr>
            <w:r>
              <w:rPr>
                <w:rFonts w:hint="eastAsia"/>
                <w:color w:val="auto"/>
              </w:rPr>
              <w:t>设备</w:t>
            </w:r>
          </w:p>
        </w:tc>
        <w:tc>
          <w:tcPr>
            <w:tcW w:w="1290" w:type="dxa"/>
            <w:vAlign w:val="center"/>
          </w:tcPr>
          <w:p w14:paraId="69C636D4">
            <w:pPr>
              <w:pStyle w:val="69"/>
              <w:rPr>
                <w:color w:val="auto"/>
              </w:rPr>
            </w:pPr>
            <w:r>
              <w:rPr>
                <w:rFonts w:hint="eastAsia"/>
                <w:color w:val="auto"/>
              </w:rPr>
              <w:t>频发</w:t>
            </w:r>
          </w:p>
        </w:tc>
        <w:tc>
          <w:tcPr>
            <w:tcW w:w="1290" w:type="dxa"/>
            <w:vAlign w:val="center"/>
          </w:tcPr>
          <w:p w14:paraId="7676A528">
            <w:pPr>
              <w:pStyle w:val="69"/>
              <w:rPr>
                <w:color w:val="auto"/>
              </w:rPr>
            </w:pPr>
            <w:r>
              <w:rPr>
                <w:rFonts w:hint="eastAsia"/>
                <w:color w:val="auto"/>
              </w:rPr>
              <w:t>经验法</w:t>
            </w:r>
          </w:p>
        </w:tc>
        <w:tc>
          <w:tcPr>
            <w:tcW w:w="1290" w:type="dxa"/>
            <w:vAlign w:val="center"/>
          </w:tcPr>
          <w:p w14:paraId="00C7552E">
            <w:pPr>
              <w:pStyle w:val="59"/>
              <w:ind w:firstLine="0" w:firstLineChars="0"/>
              <w:jc w:val="center"/>
              <w:rPr>
                <w:rFonts w:hint="eastAsia" w:ascii="Times New Roman" w:hAnsi="Times New Roman" w:eastAsia="宋体" w:cs="Times New Roman"/>
                <w:color w:val="auto"/>
                <w:kern w:val="0"/>
                <w:sz w:val="21"/>
                <w:szCs w:val="20"/>
                <w:lang w:val="en-US" w:eastAsia="zh-CN" w:bidi="ar-SA"/>
              </w:rPr>
            </w:pPr>
            <w:r>
              <w:rPr>
                <w:rFonts w:hint="eastAsia"/>
                <w:color w:val="auto"/>
              </w:rPr>
              <w:t>80~90</w:t>
            </w:r>
          </w:p>
        </w:tc>
        <w:tc>
          <w:tcPr>
            <w:tcW w:w="1391" w:type="dxa"/>
            <w:vAlign w:val="center"/>
          </w:tcPr>
          <w:p w14:paraId="7A1861DE">
            <w:pPr>
              <w:pStyle w:val="69"/>
              <w:rPr>
                <w:color w:val="auto"/>
              </w:rPr>
            </w:pPr>
            <w:r>
              <w:rPr>
                <w:color w:val="auto"/>
              </w:rPr>
              <w:t>隔声降噪、厂房布局</w:t>
            </w:r>
          </w:p>
        </w:tc>
        <w:tc>
          <w:tcPr>
            <w:tcW w:w="1189" w:type="dxa"/>
            <w:vAlign w:val="center"/>
          </w:tcPr>
          <w:p w14:paraId="526AD323">
            <w:pPr>
              <w:pStyle w:val="69"/>
              <w:rPr>
                <w:color w:val="auto"/>
              </w:rPr>
            </w:pPr>
            <w:r>
              <w:rPr>
                <w:color w:val="auto"/>
              </w:rPr>
              <w:t>15~2</w:t>
            </w:r>
            <w:r>
              <w:rPr>
                <w:rFonts w:hint="eastAsia"/>
                <w:color w:val="auto"/>
              </w:rPr>
              <w:t>5</w:t>
            </w:r>
          </w:p>
        </w:tc>
        <w:tc>
          <w:tcPr>
            <w:tcW w:w="1290" w:type="dxa"/>
            <w:vAlign w:val="center"/>
          </w:tcPr>
          <w:p w14:paraId="6599315C">
            <w:pPr>
              <w:pStyle w:val="69"/>
              <w:rPr>
                <w:color w:val="auto"/>
              </w:rPr>
            </w:pPr>
            <w:r>
              <w:rPr>
                <w:rFonts w:hint="eastAsia"/>
                <w:color w:val="auto"/>
              </w:rPr>
              <w:t>预测法</w:t>
            </w:r>
          </w:p>
        </w:tc>
        <w:tc>
          <w:tcPr>
            <w:tcW w:w="1290" w:type="dxa"/>
            <w:vAlign w:val="center"/>
          </w:tcPr>
          <w:p w14:paraId="6F1B514C">
            <w:pPr>
              <w:pStyle w:val="69"/>
              <w:rPr>
                <w:color w:val="auto"/>
              </w:rPr>
            </w:pPr>
            <w:r>
              <w:rPr>
                <w:rFonts w:hint="eastAsia"/>
                <w:color w:val="auto"/>
              </w:rPr>
              <w:t>≤65</w:t>
            </w:r>
          </w:p>
        </w:tc>
        <w:tc>
          <w:tcPr>
            <w:tcW w:w="1101" w:type="dxa"/>
            <w:vAlign w:val="center"/>
          </w:tcPr>
          <w:p w14:paraId="332644F0">
            <w:pPr>
              <w:pStyle w:val="69"/>
              <w:bidi w:val="0"/>
              <w:rPr>
                <w:color w:val="auto"/>
              </w:rPr>
            </w:pPr>
            <w:r>
              <w:rPr>
                <w:rFonts w:hint="eastAsia"/>
                <w:color w:val="auto"/>
                <w:lang w:val="en-US" w:eastAsia="zh-CN"/>
              </w:rPr>
              <w:t>15</w:t>
            </w:r>
            <w:r>
              <w:rPr>
                <w:rFonts w:hint="eastAsia"/>
                <w:color w:val="auto"/>
              </w:rPr>
              <w:t>00</w:t>
            </w:r>
          </w:p>
        </w:tc>
      </w:tr>
    </w:tbl>
    <w:p w14:paraId="5D815D8D">
      <w:pPr>
        <w:pStyle w:val="63"/>
        <w:ind w:firstLine="420"/>
        <w:rPr>
          <w:color w:val="auto"/>
        </w:rPr>
      </w:pPr>
      <w:r>
        <w:rPr>
          <w:color w:val="auto"/>
        </w:rPr>
        <w:t>注：（1）其他声源主要是指撞击噪声等。（2）声源表达量：A 声功率级（L Aw ），或中心频率为 63～8000 Hz 8个倍频带的声功率级（L w ）；距离声源 r 处的 A 声级[L A(r) ]或中心频率为 63～8 000 Hz 8 个倍频带的声压级[L P(r) ]。</w:t>
      </w:r>
    </w:p>
    <w:p w14:paraId="7FEAE318">
      <w:pPr>
        <w:pStyle w:val="64"/>
        <w:spacing w:before="168" w:after="168"/>
        <w:rPr>
          <w:color w:val="auto"/>
        </w:rPr>
        <w:sectPr>
          <w:pgSz w:w="16838" w:h="11906" w:orient="landscape"/>
          <w:pgMar w:top="1417" w:right="1417" w:bottom="1417" w:left="1417" w:header="992" w:footer="992" w:gutter="0"/>
          <w:pgNumType w:fmt="decimal"/>
          <w:cols w:space="720" w:num="1"/>
          <w:docGrid w:type="lines" w:linePitch="336" w:charSpace="0"/>
        </w:sectPr>
      </w:pPr>
    </w:p>
    <w:p w14:paraId="6275965B">
      <w:pPr>
        <w:pStyle w:val="64"/>
        <w:numPr>
          <w:ilvl w:val="2"/>
          <w:numId w:val="8"/>
        </w:numPr>
        <w:spacing w:before="156" w:after="15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固废污染源</w:t>
      </w:r>
    </w:p>
    <w:p w14:paraId="741C9B8A">
      <w:pPr>
        <w:pStyle w:val="65"/>
        <w:bidi w:val="0"/>
      </w:pPr>
      <w:r>
        <w:rPr>
          <w:rFonts w:hint="eastAsia"/>
        </w:rPr>
        <w:t>1、生活垃圾</w:t>
      </w:r>
    </w:p>
    <w:p w14:paraId="170991CD">
      <w:pPr>
        <w:ind w:firstLine="480"/>
        <w:rPr>
          <w:color w:val="auto"/>
        </w:rPr>
      </w:pPr>
      <w:r>
        <w:rPr>
          <w:rFonts w:hint="eastAsia"/>
          <w:color w:val="auto"/>
        </w:rPr>
        <w:t>项目</w:t>
      </w:r>
      <w:r>
        <w:rPr>
          <w:rFonts w:hint="eastAsia"/>
          <w:color w:val="auto"/>
          <w:lang w:val="en-US" w:eastAsia="zh-CN"/>
        </w:rPr>
        <w:t>共3</w:t>
      </w:r>
      <w:r>
        <w:rPr>
          <w:rFonts w:hint="eastAsia"/>
          <w:color w:val="auto"/>
        </w:rPr>
        <w:t>0</w:t>
      </w:r>
      <w:r>
        <w:rPr>
          <w:color w:val="auto"/>
        </w:rPr>
        <w:t>名员工</w:t>
      </w:r>
      <w:r>
        <w:rPr>
          <w:rFonts w:hint="eastAsia"/>
          <w:color w:val="auto"/>
        </w:rPr>
        <w:t>，</w:t>
      </w:r>
      <w:r>
        <w:rPr>
          <w:color w:val="auto"/>
        </w:rPr>
        <w:t>生活垃圾按0.5kg/人•d计算，预计</w:t>
      </w:r>
      <w:r>
        <w:rPr>
          <w:rFonts w:hint="eastAsia"/>
          <w:color w:val="auto"/>
        </w:rPr>
        <w:t>生活垃圾</w:t>
      </w:r>
      <w:r>
        <w:rPr>
          <w:color w:val="auto"/>
        </w:rPr>
        <w:t>产生量约为</w:t>
      </w:r>
      <w:r>
        <w:rPr>
          <w:rFonts w:hint="eastAsia"/>
          <w:color w:val="auto"/>
          <w:lang w:val="en-US" w:eastAsia="zh-CN"/>
        </w:rPr>
        <w:t>4.5</w:t>
      </w:r>
      <w:r>
        <w:rPr>
          <w:color w:val="auto"/>
        </w:rPr>
        <w:t>t/a，生活垃圾按指定地点堆放，并每日由环卫部门清理运走。</w:t>
      </w:r>
    </w:p>
    <w:p w14:paraId="7668590B">
      <w:pPr>
        <w:pStyle w:val="65"/>
        <w:rPr>
          <w:rFonts w:hint="default" w:eastAsia="宋体"/>
          <w:color w:val="auto"/>
          <w:lang w:val="en-US" w:eastAsia="zh-CN"/>
        </w:rPr>
      </w:pPr>
      <w:r>
        <w:rPr>
          <w:rFonts w:hint="eastAsia"/>
          <w:color w:val="auto"/>
        </w:rPr>
        <w:t>2、一般</w:t>
      </w:r>
      <w:r>
        <w:rPr>
          <w:rFonts w:hint="eastAsia"/>
          <w:color w:val="auto"/>
          <w:lang w:val="en-US" w:eastAsia="zh-CN"/>
        </w:rPr>
        <w:t>固体废物</w:t>
      </w:r>
    </w:p>
    <w:p w14:paraId="4BA22F60">
      <w:pPr>
        <w:keepNext w:val="0"/>
        <w:keepLines w:val="0"/>
        <w:pageBreakBefore w:val="0"/>
        <w:widowControl w:val="0"/>
        <w:numPr>
          <w:ilvl w:val="0"/>
          <w:numId w:val="33"/>
        </w:numPr>
        <w:kinsoku/>
        <w:wordWrap/>
        <w:overflowPunct/>
        <w:topLinePunct w:val="0"/>
        <w:autoSpaceDE/>
        <w:autoSpaceDN/>
        <w:bidi w:val="0"/>
        <w:adjustRightInd/>
        <w:snapToGrid/>
        <w:ind w:left="0"/>
        <w:textAlignment w:val="auto"/>
      </w:pPr>
      <w:r>
        <w:t>废边角料</w:t>
      </w:r>
    </w:p>
    <w:p w14:paraId="2BAE2773">
      <w:pPr>
        <w:bidi w:val="0"/>
      </w:pPr>
      <w:r>
        <w:t>本项目分切、打孔过程中会产生少量的废边角料，约占产品量的1%，产生量约</w:t>
      </w:r>
      <w:r>
        <w:rPr>
          <w:rFonts w:hint="eastAsia"/>
          <w:lang w:val="en-US" w:eastAsia="zh-CN"/>
        </w:rPr>
        <w:t>5</w:t>
      </w:r>
      <w:r>
        <w:t>t/a，根据《一般固体废物分类与代码》（GB/T39198-2020），代码为“292-006- 99”，经收集后</w:t>
      </w:r>
      <w:r>
        <w:rPr>
          <w:rFonts w:hint="eastAsia"/>
        </w:rPr>
        <w:t>交资源回收利用单位</w:t>
      </w:r>
      <w:r>
        <w:rPr>
          <w:rFonts w:hint="eastAsia"/>
          <w:lang w:val="en-US" w:eastAsia="zh-CN"/>
        </w:rPr>
        <w:t>或</w:t>
      </w:r>
      <w:r>
        <w:rPr>
          <w:rFonts w:hint="eastAsia"/>
        </w:rPr>
        <w:t>一般固废处理公司进行处理</w:t>
      </w:r>
      <w:r>
        <w:t>。</w:t>
      </w:r>
    </w:p>
    <w:p w14:paraId="4A515FB2">
      <w:pPr>
        <w:keepNext w:val="0"/>
        <w:keepLines w:val="0"/>
        <w:pageBreakBefore w:val="0"/>
        <w:widowControl w:val="0"/>
        <w:numPr>
          <w:ilvl w:val="0"/>
          <w:numId w:val="33"/>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ascii="Times New Roman" w:hAnsi="Times New Roman" w:eastAsia="宋体" w:cs="Times New Roman"/>
        </w:rPr>
        <w:t>次品</w:t>
      </w:r>
    </w:p>
    <w:p w14:paraId="0C76200F">
      <w:pPr>
        <w:bidi w:val="0"/>
      </w:pPr>
      <w:r>
        <w:t>本项目印刷、品质检验、复检过程中会产生少量的次品，约占产品量的</w:t>
      </w:r>
      <w:r>
        <w:rPr>
          <w:rFonts w:hint="eastAsia"/>
          <w:lang w:val="en-US" w:eastAsia="zh-CN"/>
        </w:rPr>
        <w:t>2</w:t>
      </w:r>
      <w:r>
        <w:t>%，产生量约</w:t>
      </w:r>
      <w:r>
        <w:rPr>
          <w:rFonts w:hint="eastAsia"/>
          <w:lang w:val="en-US" w:eastAsia="zh-CN"/>
        </w:rPr>
        <w:t>10</w:t>
      </w:r>
      <w:r>
        <w:t>t/a，根据《一般固体废物分类与代码》（GB/T39198-2020），代码为“292- 006-99”，经收集后</w:t>
      </w:r>
      <w:r>
        <w:rPr>
          <w:rFonts w:hint="eastAsia"/>
        </w:rPr>
        <w:t>交资源回收利用单位</w:t>
      </w:r>
      <w:r>
        <w:rPr>
          <w:rFonts w:hint="eastAsia"/>
          <w:lang w:val="en-US" w:eastAsia="zh-CN"/>
        </w:rPr>
        <w:t>或</w:t>
      </w:r>
      <w:r>
        <w:rPr>
          <w:rFonts w:hint="eastAsia"/>
        </w:rPr>
        <w:t>一般固废处理公司进行处理</w:t>
      </w:r>
      <w:r>
        <w:t>。</w:t>
      </w:r>
    </w:p>
    <w:p w14:paraId="1CD7A38D">
      <w:pPr>
        <w:keepNext w:val="0"/>
        <w:keepLines w:val="0"/>
        <w:pageBreakBefore w:val="0"/>
        <w:widowControl w:val="0"/>
        <w:numPr>
          <w:ilvl w:val="0"/>
          <w:numId w:val="33"/>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ascii="Times New Roman" w:hAnsi="Times New Roman" w:eastAsia="宋体" w:cs="Times New Roman"/>
        </w:rPr>
        <w:t>废普通包装物</w:t>
      </w:r>
    </w:p>
    <w:p w14:paraId="757D98CA">
      <w:pPr>
        <w:bidi w:val="0"/>
      </w:pPr>
      <w:r>
        <w:t>原材料薄膜等用纸皮、塑料袋、薄膜等进行包装，因此上述原材料的包装物可按一般固废处置，废普通包装物产生量约为</w:t>
      </w:r>
      <w:r>
        <w:rPr>
          <w:rFonts w:hint="eastAsia"/>
          <w:lang w:val="en-US" w:eastAsia="zh-CN"/>
        </w:rPr>
        <w:t>2</w:t>
      </w:r>
      <w:r>
        <w:t>t/a，根据《一般固体废物分类与代码》 （GB/T39198-2020），代码为“292-006-07”，经收集后</w:t>
      </w:r>
      <w:r>
        <w:rPr>
          <w:rFonts w:hint="eastAsia"/>
        </w:rPr>
        <w:t>交资源回收利用单位</w:t>
      </w:r>
      <w:r>
        <w:rPr>
          <w:rFonts w:hint="eastAsia"/>
          <w:lang w:val="en-US" w:eastAsia="zh-CN"/>
        </w:rPr>
        <w:t>或</w:t>
      </w:r>
      <w:r>
        <w:rPr>
          <w:rFonts w:hint="eastAsia"/>
        </w:rPr>
        <w:t>一般固废处理公司进行处理</w:t>
      </w:r>
      <w:r>
        <w:t>。</w:t>
      </w:r>
    </w:p>
    <w:p w14:paraId="02B78DF1">
      <w:pPr>
        <w:keepNext w:val="0"/>
        <w:keepLines w:val="0"/>
        <w:pageBreakBefore w:val="0"/>
        <w:widowControl w:val="0"/>
        <w:numPr>
          <w:ilvl w:val="0"/>
          <w:numId w:val="33"/>
        </w:numPr>
        <w:kinsoku/>
        <w:wordWrap/>
        <w:overflowPunct/>
        <w:topLinePunct w:val="0"/>
        <w:autoSpaceDE/>
        <w:autoSpaceDN/>
        <w:bidi w:val="0"/>
        <w:adjustRightInd/>
        <w:snapToGrid/>
        <w:ind w:left="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废印版</w:t>
      </w:r>
    </w:p>
    <w:p w14:paraId="6A9E6302">
      <w:pPr>
        <w:bidi w:val="0"/>
        <w:rPr>
          <w:rFonts w:hint="default"/>
          <w:lang w:val="en-US" w:eastAsia="zh-CN"/>
        </w:rPr>
      </w:pPr>
      <w:r>
        <w:rPr>
          <w:rFonts w:hint="eastAsia"/>
          <w:lang w:val="en-US" w:eastAsia="zh-CN"/>
        </w:rPr>
        <w:t>废印版主要为不锈钢，每年产生量约1吨，</w:t>
      </w:r>
      <w:r>
        <w:t>经收集后</w:t>
      </w:r>
      <w:r>
        <w:rPr>
          <w:rFonts w:hint="eastAsia"/>
        </w:rPr>
        <w:t>交资源回收利用单位</w:t>
      </w:r>
      <w:r>
        <w:rPr>
          <w:rFonts w:hint="eastAsia"/>
          <w:lang w:val="en-US" w:eastAsia="zh-CN"/>
        </w:rPr>
        <w:t>或</w:t>
      </w:r>
      <w:r>
        <w:rPr>
          <w:rFonts w:hint="eastAsia"/>
        </w:rPr>
        <w:t>一般固废处理公司进行处理</w:t>
      </w:r>
      <w:r>
        <w:t>。</w:t>
      </w:r>
    </w:p>
    <w:p w14:paraId="7B7BEA40">
      <w:pPr>
        <w:pStyle w:val="65"/>
        <w:rPr>
          <w:color w:val="auto"/>
        </w:rPr>
      </w:pPr>
      <w:r>
        <w:rPr>
          <w:rFonts w:hint="eastAsia"/>
          <w:color w:val="auto"/>
        </w:rPr>
        <w:t>3、危险废物</w:t>
      </w:r>
    </w:p>
    <w:p w14:paraId="667C90AC">
      <w:pPr>
        <w:keepNext w:val="0"/>
        <w:keepLines w:val="0"/>
        <w:pageBreakBefore w:val="0"/>
        <w:widowControl w:val="0"/>
        <w:numPr>
          <w:ilvl w:val="0"/>
          <w:numId w:val="34"/>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ascii="Times New Roman" w:hAnsi="Times New Roman" w:eastAsia="宋体" w:cs="Times New Roman"/>
        </w:rPr>
        <w:t>废</w:t>
      </w:r>
      <w:r>
        <w:rPr>
          <w:rFonts w:hint="eastAsia" w:ascii="Times New Roman" w:hAnsi="Times New Roman" w:eastAsia="宋体" w:cs="Times New Roman"/>
          <w:lang w:val="en-US" w:eastAsia="zh-CN"/>
        </w:rPr>
        <w:t>包装桶</w:t>
      </w:r>
    </w:p>
    <w:p w14:paraId="0B0CFCA5">
      <w:pPr>
        <w:bidi w:val="0"/>
        <w:rPr>
          <w:rFonts w:hint="eastAsia"/>
          <w:color w:val="auto"/>
        </w:rPr>
      </w:pPr>
      <w:r>
        <w:t>项目油性油墨、稀释剂和</w:t>
      </w:r>
      <w:r>
        <w:rPr>
          <w:rFonts w:hint="eastAsia"/>
          <w:lang w:val="en-US" w:eastAsia="zh-CN"/>
        </w:rPr>
        <w:t>无溶剂聚氨酯</w:t>
      </w:r>
      <w:r>
        <w:t>胶水使用过程中会产生一定量的废化学品包装物，</w:t>
      </w:r>
      <w:r>
        <w:rPr>
          <w:color w:val="auto"/>
        </w:rPr>
        <w:t>属于</w:t>
      </w:r>
      <w:r>
        <w:rPr>
          <w:rFonts w:hint="eastAsia"/>
          <w:color w:val="auto"/>
          <w:lang w:eastAsia="zh-CN"/>
        </w:rPr>
        <w:t>《国家危险废物名录》（2025年本）</w:t>
      </w:r>
      <w:r>
        <w:rPr>
          <w:color w:val="auto"/>
        </w:rPr>
        <w:t>中的</w:t>
      </w:r>
      <w:r>
        <w:rPr>
          <w:rFonts w:hint="eastAsia"/>
          <w:color w:val="auto"/>
        </w:rPr>
        <w:t xml:space="preserve">HW49 </w:t>
      </w:r>
      <w:r>
        <w:rPr>
          <w:color w:val="auto"/>
        </w:rPr>
        <w:t>900-041-49含有或沾染毒性、感染性危险废物的废弃包装物、容器、过滤吸附介质</w:t>
      </w:r>
      <w:r>
        <w:rPr>
          <w:rFonts w:hint="eastAsia"/>
          <w:color w:val="auto"/>
        </w:rPr>
        <w:t>；</w:t>
      </w:r>
      <w:r>
        <w:rPr>
          <w:color w:val="auto"/>
        </w:rPr>
        <w:t>暂存于危险废物贮存区，</w:t>
      </w:r>
      <w:r>
        <w:rPr>
          <w:rFonts w:hint="eastAsia"/>
          <w:color w:val="auto"/>
        </w:rPr>
        <w:t>定期</w:t>
      </w:r>
      <w:r>
        <w:rPr>
          <w:color w:val="auto"/>
        </w:rPr>
        <w:t>交由取得危险废物经营许可证的单位进行处理</w:t>
      </w:r>
      <w:r>
        <w:rPr>
          <w:rFonts w:hint="eastAsia"/>
          <w:color w:val="auto"/>
        </w:rPr>
        <w:t>。</w:t>
      </w:r>
    </w:p>
    <w:p w14:paraId="022CF31C">
      <w:pPr>
        <w:bidi w:val="0"/>
      </w:pPr>
      <w:r>
        <w:t>具体如下。</w:t>
      </w:r>
    </w:p>
    <w:p w14:paraId="02115511">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rPr>
        <w:t>原辅材料包装废料统计表</w:t>
      </w:r>
    </w:p>
    <w:tbl>
      <w:tblPr>
        <w:tblStyle w:val="38"/>
        <w:tblW w:w="9097"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79"/>
        <w:gridCol w:w="1392"/>
        <w:gridCol w:w="1206"/>
        <w:gridCol w:w="860"/>
        <w:gridCol w:w="860"/>
        <w:gridCol w:w="1015"/>
        <w:gridCol w:w="1020"/>
        <w:gridCol w:w="2065"/>
      </w:tblGrid>
      <w:tr w14:paraId="000E6E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blHeader/>
          <w:jc w:val="center"/>
        </w:trPr>
        <w:tc>
          <w:tcPr>
            <w:tcW w:w="679" w:type="dxa"/>
            <w:tcMar>
              <w:top w:w="15" w:type="dxa"/>
              <w:left w:w="15" w:type="dxa"/>
              <w:right w:w="15" w:type="dxa"/>
            </w:tcMar>
            <w:vAlign w:val="center"/>
          </w:tcPr>
          <w:p w14:paraId="62DC5E1E">
            <w:pPr>
              <w:pStyle w:val="59"/>
              <w:rPr>
                <w:color w:val="auto"/>
              </w:rPr>
            </w:pPr>
            <w:r>
              <w:rPr>
                <w:rFonts w:hint="eastAsia"/>
                <w:color w:val="auto"/>
              </w:rPr>
              <w:t>序号</w:t>
            </w:r>
          </w:p>
        </w:tc>
        <w:tc>
          <w:tcPr>
            <w:tcW w:w="1392" w:type="dxa"/>
            <w:tcMar>
              <w:top w:w="15" w:type="dxa"/>
              <w:left w:w="15" w:type="dxa"/>
              <w:right w:w="15" w:type="dxa"/>
            </w:tcMar>
            <w:vAlign w:val="center"/>
          </w:tcPr>
          <w:p w14:paraId="71C5264D">
            <w:pPr>
              <w:pStyle w:val="59"/>
              <w:rPr>
                <w:color w:val="auto"/>
              </w:rPr>
            </w:pPr>
            <w:r>
              <w:rPr>
                <w:rFonts w:hint="eastAsia"/>
                <w:color w:val="auto"/>
              </w:rPr>
              <w:t>原辅材料</w:t>
            </w:r>
          </w:p>
        </w:tc>
        <w:tc>
          <w:tcPr>
            <w:tcW w:w="1206" w:type="dxa"/>
            <w:tcMar>
              <w:top w:w="15" w:type="dxa"/>
              <w:left w:w="15" w:type="dxa"/>
              <w:right w:w="15" w:type="dxa"/>
            </w:tcMar>
            <w:vAlign w:val="center"/>
          </w:tcPr>
          <w:p w14:paraId="5ACCA608">
            <w:pPr>
              <w:pStyle w:val="59"/>
              <w:rPr>
                <w:color w:val="auto"/>
              </w:rPr>
            </w:pPr>
            <w:r>
              <w:rPr>
                <w:rFonts w:hint="eastAsia"/>
                <w:color w:val="auto"/>
              </w:rPr>
              <w:t>包装方式</w:t>
            </w:r>
          </w:p>
        </w:tc>
        <w:tc>
          <w:tcPr>
            <w:tcW w:w="860" w:type="dxa"/>
            <w:tcMar>
              <w:top w:w="15" w:type="dxa"/>
              <w:left w:w="15" w:type="dxa"/>
              <w:right w:w="15" w:type="dxa"/>
            </w:tcMar>
            <w:vAlign w:val="center"/>
          </w:tcPr>
          <w:p w14:paraId="447F69FB">
            <w:pPr>
              <w:pStyle w:val="59"/>
              <w:rPr>
                <w:color w:val="auto"/>
              </w:rPr>
            </w:pPr>
            <w:r>
              <w:rPr>
                <w:color w:val="auto"/>
              </w:rPr>
              <w:t>年用量（吨）</w:t>
            </w:r>
          </w:p>
        </w:tc>
        <w:tc>
          <w:tcPr>
            <w:tcW w:w="860" w:type="dxa"/>
            <w:tcMar>
              <w:top w:w="15" w:type="dxa"/>
              <w:left w:w="15" w:type="dxa"/>
              <w:right w:w="15" w:type="dxa"/>
            </w:tcMar>
            <w:vAlign w:val="center"/>
          </w:tcPr>
          <w:p w14:paraId="599978E4">
            <w:pPr>
              <w:pStyle w:val="59"/>
              <w:rPr>
                <w:color w:val="auto"/>
              </w:rPr>
            </w:pPr>
            <w:r>
              <w:rPr>
                <w:rFonts w:hint="eastAsia"/>
                <w:color w:val="auto"/>
              </w:rPr>
              <w:t>皮重</w:t>
            </w:r>
            <w:r>
              <w:rPr>
                <w:color w:val="auto"/>
              </w:rPr>
              <w:t>kg</w:t>
            </w:r>
          </w:p>
        </w:tc>
        <w:tc>
          <w:tcPr>
            <w:tcW w:w="1015" w:type="dxa"/>
            <w:tcMar>
              <w:top w:w="15" w:type="dxa"/>
              <w:left w:w="15" w:type="dxa"/>
              <w:right w:w="15" w:type="dxa"/>
            </w:tcMar>
            <w:vAlign w:val="center"/>
          </w:tcPr>
          <w:p w14:paraId="07EECA75">
            <w:pPr>
              <w:pStyle w:val="59"/>
              <w:rPr>
                <w:color w:val="auto"/>
              </w:rPr>
            </w:pPr>
            <w:r>
              <w:rPr>
                <w:rFonts w:hint="eastAsia"/>
                <w:color w:val="auto"/>
              </w:rPr>
              <w:t>废包装数量（个）</w:t>
            </w:r>
          </w:p>
        </w:tc>
        <w:tc>
          <w:tcPr>
            <w:tcW w:w="1020" w:type="dxa"/>
            <w:tcMar>
              <w:top w:w="15" w:type="dxa"/>
              <w:left w:w="15" w:type="dxa"/>
              <w:right w:w="15" w:type="dxa"/>
            </w:tcMar>
            <w:vAlign w:val="center"/>
          </w:tcPr>
          <w:p w14:paraId="01981F28">
            <w:pPr>
              <w:pStyle w:val="59"/>
              <w:rPr>
                <w:color w:val="auto"/>
              </w:rPr>
            </w:pPr>
            <w:r>
              <w:rPr>
                <w:rFonts w:hint="eastAsia"/>
                <w:color w:val="auto"/>
              </w:rPr>
              <w:t>重量</w:t>
            </w:r>
            <w:r>
              <w:rPr>
                <w:color w:val="auto"/>
              </w:rPr>
              <w:t>t/a</w:t>
            </w:r>
          </w:p>
        </w:tc>
        <w:tc>
          <w:tcPr>
            <w:tcW w:w="2065" w:type="dxa"/>
            <w:tcMar>
              <w:top w:w="15" w:type="dxa"/>
              <w:left w:w="15" w:type="dxa"/>
              <w:right w:w="15" w:type="dxa"/>
            </w:tcMar>
            <w:vAlign w:val="center"/>
          </w:tcPr>
          <w:p w14:paraId="5F8EC154">
            <w:pPr>
              <w:pStyle w:val="59"/>
              <w:rPr>
                <w:color w:val="auto"/>
              </w:rPr>
            </w:pPr>
            <w:r>
              <w:rPr>
                <w:rFonts w:hint="eastAsia"/>
                <w:color w:val="auto"/>
              </w:rPr>
              <w:t>去向</w:t>
            </w:r>
          </w:p>
        </w:tc>
      </w:tr>
      <w:tr w14:paraId="1EF643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center"/>
          </w:tcPr>
          <w:p w14:paraId="5EF4F156">
            <w:pPr>
              <w:pStyle w:val="59"/>
              <w:numPr>
                <w:ilvl w:val="0"/>
                <w:numId w:val="35"/>
              </w:numPr>
              <w:bidi w:val="0"/>
              <w:ind w:left="425" w:leftChars="0" w:hanging="425" w:firstLineChars="0"/>
            </w:pPr>
          </w:p>
        </w:tc>
        <w:tc>
          <w:tcPr>
            <w:tcW w:w="1392" w:type="dxa"/>
            <w:tcMar>
              <w:top w:w="15" w:type="dxa"/>
              <w:left w:w="15" w:type="dxa"/>
              <w:right w:w="15" w:type="dxa"/>
            </w:tcMar>
            <w:vAlign w:val="center"/>
          </w:tcPr>
          <w:p w14:paraId="7CBEC821">
            <w:pPr>
              <w:pStyle w:val="59"/>
              <w:bidi w:val="0"/>
            </w:pPr>
            <w:r>
              <w:rPr>
                <w:rFonts w:hint="eastAsia"/>
                <w:lang w:val="en-US" w:eastAsia="zh-CN"/>
              </w:rPr>
              <w:t>溶剂型油墨</w:t>
            </w:r>
          </w:p>
        </w:tc>
        <w:tc>
          <w:tcPr>
            <w:tcW w:w="1206" w:type="dxa"/>
            <w:tcMar>
              <w:top w:w="15" w:type="dxa"/>
              <w:left w:w="15" w:type="dxa"/>
              <w:right w:w="15" w:type="dxa"/>
            </w:tcMar>
            <w:vAlign w:val="center"/>
          </w:tcPr>
          <w:p w14:paraId="3CF181AF">
            <w:pPr>
              <w:pStyle w:val="59"/>
              <w:bidi w:val="0"/>
            </w:pPr>
            <w:r>
              <w:rPr>
                <w:rFonts w:hint="default"/>
                <w:lang w:val="en-US" w:eastAsia="zh-CN"/>
              </w:rPr>
              <w:t>18kg/桶</w:t>
            </w:r>
          </w:p>
        </w:tc>
        <w:tc>
          <w:tcPr>
            <w:tcW w:w="860" w:type="dxa"/>
            <w:tcMar>
              <w:top w:w="15" w:type="dxa"/>
              <w:left w:w="15" w:type="dxa"/>
              <w:right w:w="15" w:type="dxa"/>
            </w:tcMar>
            <w:vAlign w:val="center"/>
          </w:tcPr>
          <w:p w14:paraId="66852EF7">
            <w:pPr>
              <w:pStyle w:val="59"/>
              <w:bidi w:val="0"/>
            </w:pPr>
            <w:r>
              <w:rPr>
                <w:rFonts w:hint="default"/>
                <w:lang w:val="en-US" w:eastAsia="zh-CN"/>
              </w:rPr>
              <w:t xml:space="preserve">74.80 </w:t>
            </w:r>
          </w:p>
        </w:tc>
        <w:tc>
          <w:tcPr>
            <w:tcW w:w="860" w:type="dxa"/>
            <w:noWrap/>
            <w:tcMar>
              <w:top w:w="15" w:type="dxa"/>
              <w:left w:w="15" w:type="dxa"/>
              <w:right w:w="15" w:type="dxa"/>
            </w:tcMar>
            <w:vAlign w:val="center"/>
          </w:tcPr>
          <w:p w14:paraId="4B7A11AF">
            <w:pPr>
              <w:pStyle w:val="59"/>
              <w:bidi w:val="0"/>
            </w:pPr>
            <w:r>
              <w:rPr>
                <w:rFonts w:hint="default"/>
                <w:lang w:val="en-US" w:eastAsia="zh-CN"/>
              </w:rPr>
              <w:t>1.5</w:t>
            </w:r>
          </w:p>
        </w:tc>
        <w:tc>
          <w:tcPr>
            <w:tcW w:w="1015" w:type="dxa"/>
            <w:noWrap/>
            <w:tcMar>
              <w:top w:w="15" w:type="dxa"/>
              <w:left w:w="15" w:type="dxa"/>
              <w:right w:w="15" w:type="dxa"/>
            </w:tcMar>
            <w:vAlign w:val="center"/>
          </w:tcPr>
          <w:p w14:paraId="40B31973">
            <w:pPr>
              <w:pStyle w:val="59"/>
              <w:bidi w:val="0"/>
            </w:pPr>
            <w:r>
              <w:rPr>
                <w:rFonts w:hint="default"/>
                <w:lang w:val="en-US" w:eastAsia="zh-CN"/>
              </w:rPr>
              <w:t xml:space="preserve">4156 </w:t>
            </w:r>
          </w:p>
        </w:tc>
        <w:tc>
          <w:tcPr>
            <w:tcW w:w="1020" w:type="dxa"/>
            <w:noWrap/>
            <w:tcMar>
              <w:top w:w="15" w:type="dxa"/>
              <w:left w:w="15" w:type="dxa"/>
              <w:right w:w="15" w:type="dxa"/>
            </w:tcMar>
            <w:vAlign w:val="center"/>
          </w:tcPr>
          <w:p w14:paraId="23361B71">
            <w:pPr>
              <w:pStyle w:val="59"/>
              <w:bidi w:val="0"/>
            </w:pPr>
            <w:r>
              <w:rPr>
                <w:rFonts w:hint="default"/>
                <w:lang w:val="en-US" w:eastAsia="zh-CN"/>
              </w:rPr>
              <w:t xml:space="preserve">6.233 </w:t>
            </w:r>
          </w:p>
        </w:tc>
        <w:tc>
          <w:tcPr>
            <w:tcW w:w="2065" w:type="dxa"/>
            <w:vMerge w:val="restart"/>
            <w:noWrap/>
            <w:tcMar>
              <w:top w:w="15" w:type="dxa"/>
              <w:left w:w="15" w:type="dxa"/>
              <w:right w:w="15" w:type="dxa"/>
            </w:tcMar>
            <w:vAlign w:val="center"/>
          </w:tcPr>
          <w:p w14:paraId="0DC99616">
            <w:pPr>
              <w:pStyle w:val="59"/>
              <w:rPr>
                <w:color w:val="auto"/>
              </w:rPr>
            </w:pPr>
            <w:r>
              <w:rPr>
                <w:rFonts w:hint="eastAsia"/>
                <w:color w:val="auto"/>
              </w:rPr>
              <w:t>定期</w:t>
            </w:r>
            <w:r>
              <w:rPr>
                <w:color w:val="auto"/>
              </w:rPr>
              <w:t>交由取得危险废物经营许可证的单位进行处理</w:t>
            </w:r>
          </w:p>
        </w:tc>
      </w:tr>
      <w:tr w14:paraId="509621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center"/>
          </w:tcPr>
          <w:p w14:paraId="3918DB7F">
            <w:pPr>
              <w:pStyle w:val="59"/>
              <w:numPr>
                <w:ilvl w:val="0"/>
                <w:numId w:val="35"/>
              </w:numPr>
              <w:bidi w:val="0"/>
              <w:ind w:left="425" w:leftChars="0" w:hanging="425" w:firstLineChars="0"/>
            </w:pPr>
          </w:p>
        </w:tc>
        <w:tc>
          <w:tcPr>
            <w:tcW w:w="1392" w:type="dxa"/>
            <w:tcMar>
              <w:top w:w="15" w:type="dxa"/>
              <w:left w:w="15" w:type="dxa"/>
              <w:right w:w="15" w:type="dxa"/>
            </w:tcMar>
            <w:vAlign w:val="center"/>
          </w:tcPr>
          <w:p w14:paraId="2EB400E9">
            <w:pPr>
              <w:pStyle w:val="59"/>
              <w:bidi w:val="0"/>
            </w:pPr>
            <w:r>
              <w:rPr>
                <w:rFonts w:hint="eastAsia"/>
                <w:lang w:val="en-US" w:eastAsia="zh-CN"/>
              </w:rPr>
              <w:t>乙酸乙酯</w:t>
            </w:r>
          </w:p>
        </w:tc>
        <w:tc>
          <w:tcPr>
            <w:tcW w:w="1206" w:type="dxa"/>
            <w:tcMar>
              <w:top w:w="15" w:type="dxa"/>
              <w:left w:w="15" w:type="dxa"/>
              <w:right w:w="15" w:type="dxa"/>
            </w:tcMar>
            <w:vAlign w:val="center"/>
          </w:tcPr>
          <w:p w14:paraId="555DF318">
            <w:pPr>
              <w:pStyle w:val="59"/>
              <w:bidi w:val="0"/>
            </w:pPr>
            <w:r>
              <w:rPr>
                <w:rFonts w:hint="default"/>
                <w:lang w:val="en-US" w:eastAsia="zh-CN"/>
              </w:rPr>
              <w:t>180kg/桶</w:t>
            </w:r>
          </w:p>
        </w:tc>
        <w:tc>
          <w:tcPr>
            <w:tcW w:w="860" w:type="dxa"/>
            <w:tcMar>
              <w:top w:w="15" w:type="dxa"/>
              <w:left w:w="15" w:type="dxa"/>
              <w:right w:w="15" w:type="dxa"/>
            </w:tcMar>
            <w:vAlign w:val="center"/>
          </w:tcPr>
          <w:p w14:paraId="751E8025">
            <w:pPr>
              <w:pStyle w:val="59"/>
              <w:bidi w:val="0"/>
            </w:pPr>
            <w:r>
              <w:rPr>
                <w:rFonts w:hint="default"/>
                <w:lang w:val="en-US" w:eastAsia="zh-CN"/>
              </w:rPr>
              <w:t xml:space="preserve">3.29 </w:t>
            </w:r>
          </w:p>
        </w:tc>
        <w:tc>
          <w:tcPr>
            <w:tcW w:w="860" w:type="dxa"/>
            <w:noWrap/>
            <w:tcMar>
              <w:top w:w="15" w:type="dxa"/>
              <w:left w:w="15" w:type="dxa"/>
              <w:right w:w="15" w:type="dxa"/>
            </w:tcMar>
            <w:vAlign w:val="center"/>
          </w:tcPr>
          <w:p w14:paraId="41B68E18">
            <w:pPr>
              <w:pStyle w:val="59"/>
              <w:bidi w:val="0"/>
            </w:pPr>
            <w:r>
              <w:rPr>
                <w:rFonts w:hint="default"/>
                <w:lang w:val="en-US" w:eastAsia="zh-CN"/>
              </w:rPr>
              <w:t>18</w:t>
            </w:r>
          </w:p>
        </w:tc>
        <w:tc>
          <w:tcPr>
            <w:tcW w:w="1015" w:type="dxa"/>
            <w:noWrap/>
            <w:tcMar>
              <w:top w:w="15" w:type="dxa"/>
              <w:left w:w="15" w:type="dxa"/>
              <w:right w:w="15" w:type="dxa"/>
            </w:tcMar>
            <w:vAlign w:val="center"/>
          </w:tcPr>
          <w:p w14:paraId="5FBD8C20">
            <w:pPr>
              <w:pStyle w:val="59"/>
              <w:bidi w:val="0"/>
            </w:pPr>
            <w:r>
              <w:rPr>
                <w:rFonts w:hint="default"/>
                <w:lang w:val="en-US" w:eastAsia="zh-CN"/>
              </w:rPr>
              <w:t xml:space="preserve">18 </w:t>
            </w:r>
          </w:p>
        </w:tc>
        <w:tc>
          <w:tcPr>
            <w:tcW w:w="1020" w:type="dxa"/>
            <w:noWrap/>
            <w:tcMar>
              <w:top w:w="15" w:type="dxa"/>
              <w:left w:w="15" w:type="dxa"/>
              <w:right w:w="15" w:type="dxa"/>
            </w:tcMar>
            <w:vAlign w:val="center"/>
          </w:tcPr>
          <w:p w14:paraId="7C0735F6">
            <w:pPr>
              <w:pStyle w:val="59"/>
              <w:bidi w:val="0"/>
            </w:pPr>
            <w:r>
              <w:rPr>
                <w:rFonts w:hint="default"/>
                <w:lang w:val="en-US" w:eastAsia="zh-CN"/>
              </w:rPr>
              <w:t xml:space="preserve">0.329 </w:t>
            </w:r>
          </w:p>
        </w:tc>
        <w:tc>
          <w:tcPr>
            <w:tcW w:w="2065" w:type="dxa"/>
            <w:vMerge w:val="continue"/>
            <w:noWrap/>
            <w:tcMar>
              <w:top w:w="15" w:type="dxa"/>
              <w:left w:w="15" w:type="dxa"/>
              <w:right w:w="15" w:type="dxa"/>
            </w:tcMar>
            <w:vAlign w:val="center"/>
          </w:tcPr>
          <w:p w14:paraId="7452EB25">
            <w:pPr>
              <w:pStyle w:val="59"/>
              <w:rPr>
                <w:color w:val="auto"/>
              </w:rPr>
            </w:pPr>
          </w:p>
        </w:tc>
      </w:tr>
      <w:tr w14:paraId="526F34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center"/>
          </w:tcPr>
          <w:p w14:paraId="305B8154">
            <w:pPr>
              <w:pStyle w:val="59"/>
              <w:numPr>
                <w:ilvl w:val="0"/>
                <w:numId w:val="35"/>
              </w:numPr>
              <w:bidi w:val="0"/>
              <w:ind w:left="425" w:leftChars="0" w:hanging="425" w:firstLineChars="0"/>
            </w:pPr>
          </w:p>
        </w:tc>
        <w:tc>
          <w:tcPr>
            <w:tcW w:w="1392" w:type="dxa"/>
            <w:tcMar>
              <w:top w:w="15" w:type="dxa"/>
              <w:left w:w="15" w:type="dxa"/>
              <w:right w:w="15" w:type="dxa"/>
            </w:tcMar>
            <w:vAlign w:val="center"/>
          </w:tcPr>
          <w:p w14:paraId="216FEB77">
            <w:pPr>
              <w:pStyle w:val="59"/>
              <w:bidi w:val="0"/>
            </w:pPr>
            <w:r>
              <w:rPr>
                <w:rFonts w:hint="eastAsia"/>
                <w:lang w:val="en-US" w:eastAsia="zh-CN"/>
              </w:rPr>
              <w:t>乙酸丙酯</w:t>
            </w:r>
          </w:p>
        </w:tc>
        <w:tc>
          <w:tcPr>
            <w:tcW w:w="1206" w:type="dxa"/>
            <w:tcMar>
              <w:top w:w="15" w:type="dxa"/>
              <w:left w:w="15" w:type="dxa"/>
              <w:right w:w="15" w:type="dxa"/>
            </w:tcMar>
            <w:vAlign w:val="center"/>
          </w:tcPr>
          <w:p w14:paraId="7AB91EB9">
            <w:pPr>
              <w:pStyle w:val="59"/>
              <w:bidi w:val="0"/>
            </w:pPr>
            <w:r>
              <w:rPr>
                <w:rFonts w:hint="default"/>
                <w:lang w:val="en-US" w:eastAsia="zh-CN"/>
              </w:rPr>
              <w:t>180kg/桶</w:t>
            </w:r>
          </w:p>
        </w:tc>
        <w:tc>
          <w:tcPr>
            <w:tcW w:w="860" w:type="dxa"/>
            <w:tcMar>
              <w:top w:w="15" w:type="dxa"/>
              <w:left w:w="15" w:type="dxa"/>
              <w:right w:w="15" w:type="dxa"/>
            </w:tcMar>
            <w:vAlign w:val="center"/>
          </w:tcPr>
          <w:p w14:paraId="755D8916">
            <w:pPr>
              <w:pStyle w:val="59"/>
              <w:bidi w:val="0"/>
              <w:rPr>
                <w:rFonts w:hint="default"/>
                <w:lang w:val="en-US"/>
              </w:rPr>
            </w:pPr>
            <w:r>
              <w:rPr>
                <w:rFonts w:hint="default"/>
                <w:lang w:val="en-US" w:eastAsia="zh-CN"/>
              </w:rPr>
              <w:t xml:space="preserve">8.98 </w:t>
            </w:r>
          </w:p>
        </w:tc>
        <w:tc>
          <w:tcPr>
            <w:tcW w:w="860" w:type="dxa"/>
            <w:noWrap/>
            <w:tcMar>
              <w:top w:w="15" w:type="dxa"/>
              <w:left w:w="15" w:type="dxa"/>
              <w:right w:w="15" w:type="dxa"/>
            </w:tcMar>
            <w:vAlign w:val="center"/>
          </w:tcPr>
          <w:p w14:paraId="2D5E38FC">
            <w:pPr>
              <w:pStyle w:val="59"/>
              <w:bidi w:val="0"/>
            </w:pPr>
            <w:r>
              <w:rPr>
                <w:rFonts w:hint="default"/>
                <w:lang w:val="en-US" w:eastAsia="zh-CN"/>
              </w:rPr>
              <w:t>16</w:t>
            </w:r>
          </w:p>
        </w:tc>
        <w:tc>
          <w:tcPr>
            <w:tcW w:w="1015" w:type="dxa"/>
            <w:noWrap/>
            <w:tcMar>
              <w:top w:w="15" w:type="dxa"/>
              <w:left w:w="15" w:type="dxa"/>
              <w:right w:w="15" w:type="dxa"/>
            </w:tcMar>
            <w:vAlign w:val="center"/>
          </w:tcPr>
          <w:p w14:paraId="3A57D9DB">
            <w:pPr>
              <w:pStyle w:val="59"/>
              <w:bidi w:val="0"/>
              <w:rPr>
                <w:rFonts w:hint="default"/>
                <w:lang w:val="en-US"/>
              </w:rPr>
            </w:pPr>
            <w:r>
              <w:rPr>
                <w:rFonts w:hint="default"/>
                <w:lang w:val="en-US" w:eastAsia="zh-CN"/>
              </w:rPr>
              <w:t xml:space="preserve">50 </w:t>
            </w:r>
          </w:p>
        </w:tc>
        <w:tc>
          <w:tcPr>
            <w:tcW w:w="1020" w:type="dxa"/>
            <w:noWrap/>
            <w:tcMar>
              <w:top w:w="15" w:type="dxa"/>
              <w:left w:w="15" w:type="dxa"/>
              <w:right w:w="15" w:type="dxa"/>
            </w:tcMar>
            <w:vAlign w:val="center"/>
          </w:tcPr>
          <w:p w14:paraId="743ED3AC">
            <w:pPr>
              <w:pStyle w:val="59"/>
              <w:bidi w:val="0"/>
              <w:rPr>
                <w:rFonts w:hint="default"/>
                <w:lang w:val="en-US"/>
              </w:rPr>
            </w:pPr>
            <w:r>
              <w:rPr>
                <w:rFonts w:hint="default"/>
                <w:lang w:val="en-US" w:eastAsia="zh-CN"/>
              </w:rPr>
              <w:t xml:space="preserve">0.798 </w:t>
            </w:r>
          </w:p>
        </w:tc>
        <w:tc>
          <w:tcPr>
            <w:tcW w:w="2065" w:type="dxa"/>
            <w:vMerge w:val="continue"/>
            <w:noWrap/>
            <w:tcMar>
              <w:top w:w="15" w:type="dxa"/>
              <w:left w:w="15" w:type="dxa"/>
              <w:right w:w="15" w:type="dxa"/>
            </w:tcMar>
            <w:vAlign w:val="center"/>
          </w:tcPr>
          <w:p w14:paraId="420021E0">
            <w:pPr>
              <w:pStyle w:val="59"/>
              <w:rPr>
                <w:color w:val="auto"/>
              </w:rPr>
            </w:pPr>
          </w:p>
        </w:tc>
      </w:tr>
      <w:tr w14:paraId="75934F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center"/>
          </w:tcPr>
          <w:p w14:paraId="44EC135C">
            <w:pPr>
              <w:pStyle w:val="59"/>
              <w:numPr>
                <w:ilvl w:val="0"/>
                <w:numId w:val="35"/>
              </w:numPr>
              <w:bidi w:val="0"/>
              <w:ind w:left="425" w:leftChars="0" w:hanging="425" w:firstLineChars="0"/>
            </w:pPr>
          </w:p>
        </w:tc>
        <w:tc>
          <w:tcPr>
            <w:tcW w:w="1392" w:type="dxa"/>
            <w:tcMar>
              <w:top w:w="15" w:type="dxa"/>
              <w:left w:w="15" w:type="dxa"/>
              <w:right w:w="15" w:type="dxa"/>
            </w:tcMar>
            <w:vAlign w:val="center"/>
          </w:tcPr>
          <w:p w14:paraId="26520795">
            <w:pPr>
              <w:pStyle w:val="59"/>
              <w:bidi w:val="0"/>
            </w:pPr>
            <w:r>
              <w:rPr>
                <w:rFonts w:hint="eastAsia"/>
                <w:lang w:val="en-US" w:eastAsia="zh-CN"/>
              </w:rPr>
              <w:t>异丙醇</w:t>
            </w:r>
          </w:p>
        </w:tc>
        <w:tc>
          <w:tcPr>
            <w:tcW w:w="1206" w:type="dxa"/>
            <w:tcMar>
              <w:top w:w="15" w:type="dxa"/>
              <w:left w:w="15" w:type="dxa"/>
              <w:right w:w="15" w:type="dxa"/>
            </w:tcMar>
            <w:vAlign w:val="center"/>
          </w:tcPr>
          <w:p w14:paraId="593E9469">
            <w:pPr>
              <w:pStyle w:val="59"/>
              <w:bidi w:val="0"/>
            </w:pPr>
            <w:r>
              <w:rPr>
                <w:rFonts w:hint="default"/>
                <w:lang w:val="en-US" w:eastAsia="zh-CN"/>
              </w:rPr>
              <w:t>160kg/桶</w:t>
            </w:r>
          </w:p>
        </w:tc>
        <w:tc>
          <w:tcPr>
            <w:tcW w:w="860" w:type="dxa"/>
            <w:tcMar>
              <w:top w:w="15" w:type="dxa"/>
              <w:left w:w="15" w:type="dxa"/>
              <w:right w:w="15" w:type="dxa"/>
            </w:tcMar>
            <w:vAlign w:val="center"/>
          </w:tcPr>
          <w:p w14:paraId="4625CC2B">
            <w:pPr>
              <w:pStyle w:val="59"/>
              <w:bidi w:val="0"/>
            </w:pPr>
            <w:r>
              <w:rPr>
                <w:rFonts w:hint="default"/>
                <w:lang w:val="en-US" w:eastAsia="zh-CN"/>
              </w:rPr>
              <w:t xml:space="preserve">1.50 </w:t>
            </w:r>
          </w:p>
        </w:tc>
        <w:tc>
          <w:tcPr>
            <w:tcW w:w="860" w:type="dxa"/>
            <w:noWrap/>
            <w:tcMar>
              <w:top w:w="15" w:type="dxa"/>
              <w:left w:w="15" w:type="dxa"/>
              <w:right w:w="15" w:type="dxa"/>
            </w:tcMar>
            <w:vAlign w:val="center"/>
          </w:tcPr>
          <w:p w14:paraId="7CE3414F">
            <w:pPr>
              <w:pStyle w:val="59"/>
              <w:bidi w:val="0"/>
            </w:pPr>
            <w:r>
              <w:rPr>
                <w:rFonts w:hint="default"/>
                <w:lang w:val="en-US" w:eastAsia="zh-CN"/>
              </w:rPr>
              <w:t>16</w:t>
            </w:r>
          </w:p>
        </w:tc>
        <w:tc>
          <w:tcPr>
            <w:tcW w:w="1015" w:type="dxa"/>
            <w:noWrap/>
            <w:tcMar>
              <w:top w:w="15" w:type="dxa"/>
              <w:left w:w="15" w:type="dxa"/>
              <w:right w:w="15" w:type="dxa"/>
            </w:tcMar>
            <w:vAlign w:val="center"/>
          </w:tcPr>
          <w:p w14:paraId="1F7C79D6">
            <w:pPr>
              <w:pStyle w:val="59"/>
              <w:bidi w:val="0"/>
            </w:pPr>
            <w:r>
              <w:rPr>
                <w:rFonts w:hint="default"/>
                <w:lang w:val="en-US" w:eastAsia="zh-CN"/>
              </w:rPr>
              <w:t xml:space="preserve">9 </w:t>
            </w:r>
          </w:p>
        </w:tc>
        <w:tc>
          <w:tcPr>
            <w:tcW w:w="1020" w:type="dxa"/>
            <w:noWrap/>
            <w:tcMar>
              <w:top w:w="15" w:type="dxa"/>
              <w:left w:w="15" w:type="dxa"/>
              <w:right w:w="15" w:type="dxa"/>
            </w:tcMar>
            <w:vAlign w:val="center"/>
          </w:tcPr>
          <w:p w14:paraId="4631FBA9">
            <w:pPr>
              <w:pStyle w:val="59"/>
              <w:bidi w:val="0"/>
            </w:pPr>
            <w:r>
              <w:rPr>
                <w:rFonts w:hint="default"/>
                <w:lang w:val="en-US" w:eastAsia="zh-CN"/>
              </w:rPr>
              <w:t xml:space="preserve">0.150 </w:t>
            </w:r>
          </w:p>
        </w:tc>
        <w:tc>
          <w:tcPr>
            <w:tcW w:w="2065" w:type="dxa"/>
            <w:vMerge w:val="continue"/>
            <w:noWrap/>
            <w:tcMar>
              <w:top w:w="15" w:type="dxa"/>
              <w:left w:w="15" w:type="dxa"/>
              <w:right w:w="15" w:type="dxa"/>
            </w:tcMar>
            <w:vAlign w:val="center"/>
          </w:tcPr>
          <w:p w14:paraId="5C1FD274">
            <w:pPr>
              <w:pStyle w:val="59"/>
              <w:rPr>
                <w:color w:val="auto"/>
              </w:rPr>
            </w:pPr>
          </w:p>
        </w:tc>
      </w:tr>
      <w:tr w14:paraId="117E8B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center"/>
          </w:tcPr>
          <w:p w14:paraId="1336D842">
            <w:pPr>
              <w:pStyle w:val="59"/>
              <w:numPr>
                <w:ilvl w:val="0"/>
                <w:numId w:val="35"/>
              </w:numPr>
              <w:bidi w:val="0"/>
              <w:ind w:left="425" w:leftChars="0" w:hanging="425" w:firstLineChars="0"/>
            </w:pPr>
          </w:p>
        </w:tc>
        <w:tc>
          <w:tcPr>
            <w:tcW w:w="1392" w:type="dxa"/>
            <w:tcMar>
              <w:top w:w="15" w:type="dxa"/>
              <w:left w:w="15" w:type="dxa"/>
              <w:right w:w="15" w:type="dxa"/>
            </w:tcMar>
            <w:vAlign w:val="center"/>
          </w:tcPr>
          <w:p w14:paraId="677C60FC">
            <w:pPr>
              <w:pStyle w:val="59"/>
              <w:bidi w:val="0"/>
            </w:pPr>
            <w:r>
              <w:rPr>
                <w:rFonts w:hint="eastAsia"/>
                <w:lang w:val="en-US" w:eastAsia="zh-CN"/>
              </w:rPr>
              <w:t>乙酸丁酯</w:t>
            </w:r>
          </w:p>
        </w:tc>
        <w:tc>
          <w:tcPr>
            <w:tcW w:w="1206" w:type="dxa"/>
            <w:tcMar>
              <w:top w:w="15" w:type="dxa"/>
              <w:left w:w="15" w:type="dxa"/>
              <w:right w:w="15" w:type="dxa"/>
            </w:tcMar>
            <w:vAlign w:val="center"/>
          </w:tcPr>
          <w:p w14:paraId="65AFE3C0">
            <w:pPr>
              <w:pStyle w:val="59"/>
              <w:bidi w:val="0"/>
            </w:pPr>
            <w:r>
              <w:rPr>
                <w:rFonts w:hint="default"/>
                <w:lang w:val="en-US" w:eastAsia="zh-CN"/>
              </w:rPr>
              <w:t>25kg/桶</w:t>
            </w:r>
          </w:p>
        </w:tc>
        <w:tc>
          <w:tcPr>
            <w:tcW w:w="860" w:type="dxa"/>
            <w:tcMar>
              <w:top w:w="15" w:type="dxa"/>
              <w:left w:w="15" w:type="dxa"/>
              <w:right w:w="15" w:type="dxa"/>
            </w:tcMar>
            <w:vAlign w:val="center"/>
          </w:tcPr>
          <w:p w14:paraId="428C29A3">
            <w:pPr>
              <w:pStyle w:val="59"/>
              <w:bidi w:val="0"/>
            </w:pPr>
            <w:r>
              <w:rPr>
                <w:rFonts w:hint="default"/>
                <w:lang w:val="en-US" w:eastAsia="zh-CN"/>
              </w:rPr>
              <w:t xml:space="preserve">1.50 </w:t>
            </w:r>
          </w:p>
        </w:tc>
        <w:tc>
          <w:tcPr>
            <w:tcW w:w="860" w:type="dxa"/>
            <w:noWrap/>
            <w:tcMar>
              <w:top w:w="15" w:type="dxa"/>
              <w:left w:w="15" w:type="dxa"/>
              <w:right w:w="15" w:type="dxa"/>
            </w:tcMar>
            <w:vAlign w:val="center"/>
          </w:tcPr>
          <w:p w14:paraId="406DDFD3">
            <w:pPr>
              <w:pStyle w:val="59"/>
              <w:bidi w:val="0"/>
            </w:pPr>
            <w:r>
              <w:rPr>
                <w:rFonts w:hint="default"/>
                <w:lang w:val="en-US" w:eastAsia="zh-CN"/>
              </w:rPr>
              <w:t>1.5</w:t>
            </w:r>
          </w:p>
        </w:tc>
        <w:tc>
          <w:tcPr>
            <w:tcW w:w="1015" w:type="dxa"/>
            <w:noWrap/>
            <w:tcMar>
              <w:top w:w="15" w:type="dxa"/>
              <w:left w:w="15" w:type="dxa"/>
              <w:right w:w="15" w:type="dxa"/>
            </w:tcMar>
            <w:vAlign w:val="center"/>
          </w:tcPr>
          <w:p w14:paraId="7BC6AE91">
            <w:pPr>
              <w:pStyle w:val="59"/>
              <w:bidi w:val="0"/>
            </w:pPr>
            <w:r>
              <w:rPr>
                <w:rFonts w:hint="default"/>
                <w:lang w:val="en-US" w:eastAsia="zh-CN"/>
              </w:rPr>
              <w:t xml:space="preserve">60 </w:t>
            </w:r>
          </w:p>
        </w:tc>
        <w:tc>
          <w:tcPr>
            <w:tcW w:w="1020" w:type="dxa"/>
            <w:noWrap/>
            <w:tcMar>
              <w:top w:w="15" w:type="dxa"/>
              <w:left w:w="15" w:type="dxa"/>
              <w:right w:w="15" w:type="dxa"/>
            </w:tcMar>
            <w:vAlign w:val="center"/>
          </w:tcPr>
          <w:p w14:paraId="431A5E6F">
            <w:pPr>
              <w:pStyle w:val="59"/>
              <w:bidi w:val="0"/>
            </w:pPr>
            <w:r>
              <w:rPr>
                <w:rFonts w:hint="default"/>
                <w:lang w:val="en-US" w:eastAsia="zh-CN"/>
              </w:rPr>
              <w:t xml:space="preserve">0.090 </w:t>
            </w:r>
          </w:p>
        </w:tc>
        <w:tc>
          <w:tcPr>
            <w:tcW w:w="2065" w:type="dxa"/>
            <w:vMerge w:val="continue"/>
            <w:noWrap/>
            <w:tcMar>
              <w:top w:w="15" w:type="dxa"/>
              <w:left w:w="15" w:type="dxa"/>
              <w:right w:w="15" w:type="dxa"/>
            </w:tcMar>
            <w:vAlign w:val="center"/>
          </w:tcPr>
          <w:p w14:paraId="45226E99">
            <w:pPr>
              <w:pStyle w:val="59"/>
              <w:rPr>
                <w:color w:val="auto"/>
              </w:rPr>
            </w:pPr>
          </w:p>
        </w:tc>
      </w:tr>
      <w:tr w14:paraId="254DFD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top"/>
          </w:tcPr>
          <w:p w14:paraId="7B2B8067">
            <w:pPr>
              <w:pStyle w:val="59"/>
              <w:numPr>
                <w:ilvl w:val="0"/>
                <w:numId w:val="35"/>
              </w:numPr>
              <w:bidi w:val="0"/>
              <w:ind w:left="425" w:leftChars="0" w:hanging="425" w:firstLineChars="0"/>
              <w:rPr>
                <w:lang w:val="en-US" w:eastAsia="zh-CN"/>
              </w:rPr>
            </w:pPr>
          </w:p>
        </w:tc>
        <w:tc>
          <w:tcPr>
            <w:tcW w:w="1392" w:type="dxa"/>
            <w:tcMar>
              <w:top w:w="15" w:type="dxa"/>
              <w:left w:w="15" w:type="dxa"/>
              <w:right w:w="15" w:type="dxa"/>
            </w:tcMar>
            <w:vAlign w:val="center"/>
          </w:tcPr>
          <w:p w14:paraId="0A24EBA5">
            <w:pPr>
              <w:pStyle w:val="59"/>
              <w:bidi w:val="0"/>
            </w:pPr>
            <w:r>
              <w:rPr>
                <w:rFonts w:hint="eastAsia"/>
                <w:lang w:val="en-US" w:eastAsia="zh-CN"/>
              </w:rPr>
              <w:t>无溶剂胶水</w:t>
            </w:r>
          </w:p>
        </w:tc>
        <w:tc>
          <w:tcPr>
            <w:tcW w:w="1206" w:type="dxa"/>
            <w:tcMar>
              <w:top w:w="15" w:type="dxa"/>
              <w:left w:w="15" w:type="dxa"/>
              <w:right w:w="15" w:type="dxa"/>
            </w:tcMar>
            <w:vAlign w:val="center"/>
          </w:tcPr>
          <w:p w14:paraId="452D44A1">
            <w:pPr>
              <w:pStyle w:val="59"/>
              <w:bidi w:val="0"/>
            </w:pPr>
            <w:r>
              <w:rPr>
                <w:rFonts w:hint="default"/>
                <w:lang w:val="en-US" w:eastAsia="zh-CN"/>
              </w:rPr>
              <w:t>25kg/桶</w:t>
            </w:r>
          </w:p>
        </w:tc>
        <w:tc>
          <w:tcPr>
            <w:tcW w:w="860" w:type="dxa"/>
            <w:tcMar>
              <w:top w:w="15" w:type="dxa"/>
              <w:left w:w="15" w:type="dxa"/>
              <w:right w:w="15" w:type="dxa"/>
            </w:tcMar>
            <w:vAlign w:val="center"/>
          </w:tcPr>
          <w:p w14:paraId="023B67A1">
            <w:pPr>
              <w:pStyle w:val="59"/>
              <w:bidi w:val="0"/>
            </w:pPr>
            <w:r>
              <w:rPr>
                <w:rFonts w:hint="default"/>
                <w:lang w:val="en-US" w:eastAsia="zh-CN"/>
              </w:rPr>
              <w:t xml:space="preserve">4.6 </w:t>
            </w:r>
          </w:p>
        </w:tc>
        <w:tc>
          <w:tcPr>
            <w:tcW w:w="860" w:type="dxa"/>
            <w:noWrap/>
            <w:tcMar>
              <w:top w:w="15" w:type="dxa"/>
              <w:left w:w="15" w:type="dxa"/>
              <w:right w:w="15" w:type="dxa"/>
            </w:tcMar>
            <w:vAlign w:val="center"/>
          </w:tcPr>
          <w:p w14:paraId="777C4C18">
            <w:pPr>
              <w:pStyle w:val="59"/>
              <w:bidi w:val="0"/>
            </w:pPr>
            <w:r>
              <w:rPr>
                <w:rFonts w:hint="default"/>
                <w:lang w:val="en-US" w:eastAsia="zh-CN"/>
              </w:rPr>
              <w:t>1.5</w:t>
            </w:r>
          </w:p>
        </w:tc>
        <w:tc>
          <w:tcPr>
            <w:tcW w:w="1015" w:type="dxa"/>
            <w:noWrap/>
            <w:tcMar>
              <w:top w:w="15" w:type="dxa"/>
              <w:left w:w="15" w:type="dxa"/>
              <w:right w:w="15" w:type="dxa"/>
            </w:tcMar>
            <w:vAlign w:val="center"/>
          </w:tcPr>
          <w:p w14:paraId="58E995D9">
            <w:pPr>
              <w:pStyle w:val="59"/>
              <w:bidi w:val="0"/>
            </w:pPr>
            <w:r>
              <w:rPr>
                <w:rFonts w:hint="default"/>
                <w:lang w:val="en-US" w:eastAsia="zh-CN"/>
              </w:rPr>
              <w:t xml:space="preserve">185 </w:t>
            </w:r>
          </w:p>
        </w:tc>
        <w:tc>
          <w:tcPr>
            <w:tcW w:w="1020" w:type="dxa"/>
            <w:noWrap/>
            <w:tcMar>
              <w:top w:w="15" w:type="dxa"/>
              <w:left w:w="15" w:type="dxa"/>
              <w:right w:w="15" w:type="dxa"/>
            </w:tcMar>
            <w:vAlign w:val="center"/>
          </w:tcPr>
          <w:p w14:paraId="676488AF">
            <w:pPr>
              <w:pStyle w:val="59"/>
              <w:bidi w:val="0"/>
            </w:pPr>
            <w:r>
              <w:rPr>
                <w:rFonts w:hint="default"/>
                <w:lang w:val="en-US" w:eastAsia="zh-CN"/>
              </w:rPr>
              <w:t xml:space="preserve">0.278 </w:t>
            </w:r>
          </w:p>
        </w:tc>
        <w:tc>
          <w:tcPr>
            <w:tcW w:w="2065" w:type="dxa"/>
            <w:vMerge w:val="continue"/>
            <w:noWrap/>
            <w:tcMar>
              <w:top w:w="15" w:type="dxa"/>
              <w:left w:w="15" w:type="dxa"/>
              <w:right w:w="15" w:type="dxa"/>
            </w:tcMar>
            <w:vAlign w:val="center"/>
          </w:tcPr>
          <w:p w14:paraId="290C5F18">
            <w:pPr>
              <w:pStyle w:val="59"/>
              <w:rPr>
                <w:color w:val="auto"/>
              </w:rPr>
            </w:pPr>
          </w:p>
        </w:tc>
      </w:tr>
      <w:tr w14:paraId="644509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top"/>
          </w:tcPr>
          <w:p w14:paraId="27FE1B8A">
            <w:pPr>
              <w:pStyle w:val="59"/>
              <w:numPr>
                <w:ilvl w:val="0"/>
                <w:numId w:val="35"/>
              </w:numPr>
              <w:bidi w:val="0"/>
              <w:ind w:left="425" w:leftChars="0" w:hanging="425" w:firstLineChars="0"/>
              <w:rPr>
                <w:lang w:val="en-US" w:eastAsia="zh-CN"/>
              </w:rPr>
            </w:pPr>
          </w:p>
        </w:tc>
        <w:tc>
          <w:tcPr>
            <w:tcW w:w="1392" w:type="dxa"/>
            <w:tcMar>
              <w:top w:w="15" w:type="dxa"/>
              <w:left w:w="15" w:type="dxa"/>
              <w:right w:w="15" w:type="dxa"/>
            </w:tcMar>
            <w:vAlign w:val="center"/>
          </w:tcPr>
          <w:p w14:paraId="77191F68">
            <w:pPr>
              <w:pStyle w:val="59"/>
              <w:bidi w:val="0"/>
              <w:rPr>
                <w:rFonts w:hint="eastAsia"/>
                <w:lang w:val="en-US" w:eastAsia="zh-CN"/>
              </w:rPr>
            </w:pPr>
            <w:r>
              <w:rPr>
                <w:rFonts w:hint="eastAsia"/>
                <w:lang w:val="en-US" w:eastAsia="zh-CN"/>
              </w:rPr>
              <w:t>四氢呋喃</w:t>
            </w:r>
          </w:p>
        </w:tc>
        <w:tc>
          <w:tcPr>
            <w:tcW w:w="1206" w:type="dxa"/>
            <w:tcMar>
              <w:top w:w="15" w:type="dxa"/>
              <w:left w:w="15" w:type="dxa"/>
              <w:right w:w="15" w:type="dxa"/>
            </w:tcMar>
            <w:vAlign w:val="center"/>
          </w:tcPr>
          <w:p w14:paraId="10857F18">
            <w:pPr>
              <w:pStyle w:val="59"/>
              <w:bidi w:val="0"/>
              <w:rPr>
                <w:rFonts w:hint="default"/>
                <w:lang w:val="en-US" w:eastAsia="zh-CN"/>
              </w:rPr>
            </w:pPr>
            <w:r>
              <w:rPr>
                <w:rFonts w:hint="default"/>
                <w:lang w:val="en-US" w:eastAsia="zh-CN"/>
              </w:rPr>
              <w:t>25kg/桶</w:t>
            </w:r>
          </w:p>
        </w:tc>
        <w:tc>
          <w:tcPr>
            <w:tcW w:w="860" w:type="dxa"/>
            <w:tcMar>
              <w:top w:w="15" w:type="dxa"/>
              <w:left w:w="15" w:type="dxa"/>
              <w:right w:w="15" w:type="dxa"/>
            </w:tcMar>
            <w:vAlign w:val="center"/>
          </w:tcPr>
          <w:p w14:paraId="4EC91F03">
            <w:pPr>
              <w:pStyle w:val="59"/>
              <w:bidi w:val="0"/>
              <w:rPr>
                <w:rFonts w:hint="default"/>
                <w:lang w:val="en-US" w:eastAsia="zh-CN"/>
              </w:rPr>
            </w:pPr>
            <w:r>
              <w:rPr>
                <w:rFonts w:hint="eastAsia"/>
                <w:lang w:val="en-US" w:eastAsia="zh-CN"/>
              </w:rPr>
              <w:t>0.87</w:t>
            </w:r>
          </w:p>
        </w:tc>
        <w:tc>
          <w:tcPr>
            <w:tcW w:w="860" w:type="dxa"/>
            <w:noWrap/>
            <w:tcMar>
              <w:top w:w="15" w:type="dxa"/>
              <w:left w:w="15" w:type="dxa"/>
              <w:right w:w="15" w:type="dxa"/>
            </w:tcMar>
            <w:vAlign w:val="center"/>
          </w:tcPr>
          <w:p w14:paraId="12070659">
            <w:pPr>
              <w:pStyle w:val="59"/>
              <w:bidi w:val="0"/>
              <w:rPr>
                <w:rFonts w:hint="default"/>
                <w:lang w:val="en-US" w:eastAsia="zh-CN"/>
              </w:rPr>
            </w:pPr>
            <w:r>
              <w:rPr>
                <w:rFonts w:hint="default"/>
                <w:lang w:val="en-US" w:eastAsia="zh-CN"/>
              </w:rPr>
              <w:t>1.5</w:t>
            </w:r>
          </w:p>
        </w:tc>
        <w:tc>
          <w:tcPr>
            <w:tcW w:w="1015" w:type="dxa"/>
            <w:noWrap/>
            <w:tcMar>
              <w:top w:w="15" w:type="dxa"/>
              <w:left w:w="15" w:type="dxa"/>
              <w:right w:w="15" w:type="dxa"/>
            </w:tcMar>
            <w:vAlign w:val="center"/>
          </w:tcPr>
          <w:p w14:paraId="4A688626">
            <w:pPr>
              <w:pStyle w:val="59"/>
              <w:bidi w:val="0"/>
              <w:rPr>
                <w:rFonts w:hint="default"/>
                <w:lang w:val="en-US" w:eastAsia="zh-CN"/>
              </w:rPr>
            </w:pPr>
            <w:r>
              <w:rPr>
                <w:rFonts w:hint="eastAsia"/>
                <w:lang w:val="en-US" w:eastAsia="zh-CN"/>
              </w:rPr>
              <w:t>35</w:t>
            </w:r>
          </w:p>
        </w:tc>
        <w:tc>
          <w:tcPr>
            <w:tcW w:w="1020" w:type="dxa"/>
            <w:noWrap/>
            <w:tcMar>
              <w:top w:w="15" w:type="dxa"/>
              <w:left w:w="15" w:type="dxa"/>
              <w:right w:w="15" w:type="dxa"/>
            </w:tcMar>
            <w:vAlign w:val="center"/>
          </w:tcPr>
          <w:p w14:paraId="0C912403">
            <w:pPr>
              <w:pStyle w:val="59"/>
              <w:bidi w:val="0"/>
              <w:rPr>
                <w:rFonts w:hint="default"/>
                <w:lang w:val="en-US" w:eastAsia="zh-CN"/>
              </w:rPr>
            </w:pPr>
            <w:r>
              <w:rPr>
                <w:rFonts w:hint="default"/>
                <w:lang w:val="en-US" w:eastAsia="zh-CN"/>
              </w:rPr>
              <w:t>0.</w:t>
            </w:r>
            <w:r>
              <w:rPr>
                <w:rFonts w:hint="eastAsia"/>
                <w:lang w:val="en-US" w:eastAsia="zh-CN"/>
              </w:rPr>
              <w:t>052</w:t>
            </w:r>
          </w:p>
        </w:tc>
        <w:tc>
          <w:tcPr>
            <w:tcW w:w="2065" w:type="dxa"/>
            <w:vMerge w:val="continue"/>
            <w:noWrap/>
            <w:tcMar>
              <w:top w:w="15" w:type="dxa"/>
              <w:left w:w="15" w:type="dxa"/>
              <w:right w:w="15" w:type="dxa"/>
            </w:tcMar>
            <w:vAlign w:val="center"/>
          </w:tcPr>
          <w:p w14:paraId="07C3176E">
            <w:pPr>
              <w:pStyle w:val="59"/>
              <w:rPr>
                <w:color w:val="auto"/>
              </w:rPr>
            </w:pPr>
          </w:p>
        </w:tc>
      </w:tr>
      <w:tr w14:paraId="4F7A2C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79" w:type="dxa"/>
            <w:tcMar>
              <w:top w:w="15" w:type="dxa"/>
              <w:left w:w="15" w:type="dxa"/>
              <w:right w:w="15" w:type="dxa"/>
            </w:tcMar>
            <w:vAlign w:val="top"/>
          </w:tcPr>
          <w:p w14:paraId="22F608BA">
            <w:pPr>
              <w:pStyle w:val="59"/>
              <w:bidi w:val="0"/>
            </w:pPr>
          </w:p>
        </w:tc>
        <w:tc>
          <w:tcPr>
            <w:tcW w:w="5333" w:type="dxa"/>
            <w:gridSpan w:val="5"/>
            <w:tcMar>
              <w:top w:w="15" w:type="dxa"/>
              <w:left w:w="15" w:type="dxa"/>
              <w:right w:w="15" w:type="dxa"/>
            </w:tcMar>
            <w:vAlign w:val="top"/>
          </w:tcPr>
          <w:p w14:paraId="487E4E53">
            <w:pPr>
              <w:pStyle w:val="59"/>
              <w:bidi w:val="0"/>
              <w:rPr>
                <w:rFonts w:hint="eastAsia"/>
                <w:lang w:val="en-US" w:eastAsia="zh-CN"/>
              </w:rPr>
            </w:pPr>
            <w:r>
              <w:rPr>
                <w:rFonts w:hint="eastAsia"/>
                <w:lang w:val="en-US" w:eastAsia="zh-CN"/>
              </w:rPr>
              <w:t>合计</w:t>
            </w:r>
          </w:p>
        </w:tc>
        <w:tc>
          <w:tcPr>
            <w:tcW w:w="1020" w:type="dxa"/>
            <w:tcMar>
              <w:top w:w="15" w:type="dxa"/>
              <w:left w:w="15" w:type="dxa"/>
              <w:right w:w="15" w:type="dxa"/>
            </w:tcMar>
            <w:vAlign w:val="center"/>
          </w:tcPr>
          <w:p w14:paraId="4CA805B8">
            <w:pPr>
              <w:pStyle w:val="59"/>
              <w:bidi w:val="0"/>
            </w:pPr>
            <w:r>
              <w:rPr>
                <w:rFonts w:hint="eastAsia"/>
                <w:lang w:val="en-US" w:eastAsia="zh-CN"/>
              </w:rPr>
              <w:t>7.930</w:t>
            </w:r>
            <w:r>
              <w:rPr>
                <w:rFonts w:hint="default"/>
                <w:lang w:val="en-US" w:eastAsia="zh-CN"/>
              </w:rPr>
              <w:t xml:space="preserve"> </w:t>
            </w:r>
          </w:p>
        </w:tc>
        <w:tc>
          <w:tcPr>
            <w:tcW w:w="2065" w:type="dxa"/>
            <w:vMerge w:val="continue"/>
            <w:noWrap/>
            <w:tcMar>
              <w:top w:w="15" w:type="dxa"/>
              <w:left w:w="15" w:type="dxa"/>
              <w:right w:w="15" w:type="dxa"/>
            </w:tcMar>
            <w:vAlign w:val="center"/>
          </w:tcPr>
          <w:p w14:paraId="10161AFA">
            <w:pPr>
              <w:pStyle w:val="59"/>
              <w:rPr>
                <w:color w:val="auto"/>
              </w:rPr>
            </w:pPr>
          </w:p>
        </w:tc>
      </w:tr>
    </w:tbl>
    <w:p w14:paraId="4893D7E4">
      <w:pPr>
        <w:keepNext w:val="0"/>
        <w:keepLines w:val="0"/>
        <w:pageBreakBefore w:val="0"/>
        <w:widowControl w:val="0"/>
        <w:numPr>
          <w:ilvl w:val="0"/>
          <w:numId w:val="34"/>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ascii="Times New Roman" w:hAnsi="Times New Roman" w:eastAsia="宋体" w:cs="Times New Roman"/>
        </w:rPr>
        <w:t>废油墨</w:t>
      </w:r>
    </w:p>
    <w:p w14:paraId="0BC76EE6">
      <w:pPr>
        <w:bidi w:val="0"/>
      </w:pPr>
      <w:r>
        <w:t>本项目印刷生产线单个机台为专色专用，无需进行换色，仅在转换产品品种时，根据产品需求，个别机台需更换油墨种类，产生部分废油墨（含稀释剂）</w:t>
      </w:r>
      <w:r>
        <w:rPr>
          <w:rFonts w:hint="eastAsia"/>
          <w:lang w:eastAsia="zh-CN"/>
        </w:rPr>
        <w:t>，</w:t>
      </w:r>
      <w:r>
        <w:t>约占油性油墨（含稀释剂）消耗量 0.5%，产生量较少，油性油墨（含稀释剂）消耗量为</w:t>
      </w:r>
      <w:r>
        <w:rPr>
          <w:rFonts w:hint="eastAsia"/>
          <w:lang w:val="en-US" w:eastAsia="zh-CN"/>
        </w:rPr>
        <w:t>89.76</w:t>
      </w:r>
      <w:r>
        <w:t>t/a，则废油墨产生量约 0.</w:t>
      </w:r>
      <w:r>
        <w:rPr>
          <w:rFonts w:hint="eastAsia"/>
          <w:lang w:val="en-US" w:eastAsia="zh-CN"/>
        </w:rPr>
        <w:t>449</w:t>
      </w:r>
      <w:r>
        <w:t>t/a，属于危险废物，废物属于《国家危险废物名录（2025 版）》中 HW12 染料、涂料废物（危废代码 264-013-12），交由有相应危险废物处理资质的单位统一处置。</w:t>
      </w:r>
    </w:p>
    <w:p w14:paraId="7B9832F1">
      <w:pPr>
        <w:keepNext w:val="0"/>
        <w:keepLines w:val="0"/>
        <w:pageBreakBefore w:val="0"/>
        <w:widowControl w:val="0"/>
        <w:numPr>
          <w:ilvl w:val="0"/>
          <w:numId w:val="34"/>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hint="eastAsia" w:ascii="Times New Roman" w:hAnsi="Times New Roman" w:eastAsia="宋体" w:cs="Times New Roman"/>
          <w:lang w:eastAsia="zh-CN"/>
        </w:rPr>
        <w:t>废矿物油及其包装罐</w:t>
      </w:r>
    </w:p>
    <w:p w14:paraId="3491688B">
      <w:pPr>
        <w:bidi w:val="0"/>
      </w:pPr>
      <w:r>
        <w:t>设备维护时需更换机油，产生少量废机油和机油包装桶，其中废机油产生量约为0.2t/a，废机油桶产生量约 0.036t/a（具体见下表），合计约 0.2</w:t>
      </w:r>
      <w:r>
        <w:rPr>
          <w:rFonts w:hint="eastAsia"/>
          <w:lang w:val="en-US" w:eastAsia="zh-CN"/>
        </w:rPr>
        <w:t>36</w:t>
      </w:r>
      <w:r>
        <w:t>t/a，</w:t>
      </w:r>
      <w:r>
        <w:rPr>
          <w:color w:val="auto"/>
        </w:rPr>
        <w:t>属于</w:t>
      </w:r>
      <w:r>
        <w:rPr>
          <w:rFonts w:hint="eastAsia"/>
          <w:color w:val="auto"/>
          <w:lang w:eastAsia="zh-CN"/>
        </w:rPr>
        <w:t>《国家危险废物名录》（2025年本）</w:t>
      </w:r>
      <w:r>
        <w:rPr>
          <w:color w:val="auto"/>
        </w:rPr>
        <w:t>中的</w:t>
      </w:r>
      <w:r>
        <w:rPr>
          <w:rFonts w:hint="eastAsia"/>
          <w:color w:val="auto"/>
        </w:rPr>
        <w:t xml:space="preserve">HW08 </w:t>
      </w:r>
      <w:r>
        <w:rPr>
          <w:color w:val="auto"/>
        </w:rPr>
        <w:t>900-249-08</w:t>
      </w:r>
      <w:r>
        <w:rPr>
          <w:rFonts w:hint="eastAsia"/>
          <w:color w:val="auto"/>
        </w:rPr>
        <w:t>其他生产、销售、使用过程中产生的废矿物油及沾染矿物油的废弃包装物，</w:t>
      </w:r>
      <w:r>
        <w:rPr>
          <w:color w:val="auto"/>
        </w:rPr>
        <w:t>暂存于危险废物贮存区，</w:t>
      </w:r>
      <w:r>
        <w:rPr>
          <w:rFonts w:hint="eastAsia"/>
          <w:color w:val="auto"/>
        </w:rPr>
        <w:t>定期</w:t>
      </w:r>
      <w:r>
        <w:rPr>
          <w:color w:val="auto"/>
        </w:rPr>
        <w:t>交由取得危险废物经营许可证的单位进行处理</w:t>
      </w:r>
      <w:r>
        <w:rPr>
          <w:rFonts w:hint="eastAsia"/>
          <w:color w:val="auto"/>
        </w:rPr>
        <w:t>。</w:t>
      </w:r>
      <w:r>
        <w:t>。</w:t>
      </w:r>
    </w:p>
    <w:p w14:paraId="7D174F69">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rPr>
        <w:t>废油桶产生情况一览表</w:t>
      </w:r>
    </w:p>
    <w:tbl>
      <w:tblPr>
        <w:tblStyle w:val="105"/>
        <w:tblW w:w="9335"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9"/>
        <w:gridCol w:w="1390"/>
        <w:gridCol w:w="1390"/>
        <w:gridCol w:w="1193"/>
        <w:gridCol w:w="1380"/>
        <w:gridCol w:w="1191"/>
        <w:gridCol w:w="1392"/>
      </w:tblGrid>
      <w:tr w14:paraId="0E94C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399" w:type="dxa"/>
            <w:tcBorders>
              <w:top w:val="single" w:color="000000" w:sz="16" w:space="0"/>
              <w:left w:val="nil"/>
            </w:tcBorders>
            <w:vAlign w:val="center"/>
          </w:tcPr>
          <w:p w14:paraId="5A1A2EB7">
            <w:pPr>
              <w:pStyle w:val="59"/>
              <w:bidi w:val="0"/>
              <w:jc w:val="center"/>
            </w:pPr>
            <w:r>
              <w:t>原料名称</w:t>
            </w:r>
          </w:p>
        </w:tc>
        <w:tc>
          <w:tcPr>
            <w:tcW w:w="1390" w:type="dxa"/>
            <w:tcBorders>
              <w:top w:val="single" w:color="000000" w:sz="16" w:space="0"/>
            </w:tcBorders>
            <w:vAlign w:val="center"/>
          </w:tcPr>
          <w:p w14:paraId="5F7A3BF9">
            <w:pPr>
              <w:pStyle w:val="59"/>
              <w:bidi w:val="0"/>
              <w:jc w:val="center"/>
            </w:pPr>
            <w:r>
              <w:t>年用量（t/a）</w:t>
            </w:r>
          </w:p>
        </w:tc>
        <w:tc>
          <w:tcPr>
            <w:tcW w:w="1390" w:type="dxa"/>
            <w:tcBorders>
              <w:top w:val="single" w:color="000000" w:sz="16" w:space="0"/>
            </w:tcBorders>
            <w:vAlign w:val="center"/>
          </w:tcPr>
          <w:p w14:paraId="2320E961">
            <w:pPr>
              <w:pStyle w:val="59"/>
              <w:bidi w:val="0"/>
              <w:jc w:val="center"/>
            </w:pPr>
            <w:r>
              <w:t>包装方式和规格</w:t>
            </w:r>
          </w:p>
        </w:tc>
        <w:tc>
          <w:tcPr>
            <w:tcW w:w="1193" w:type="dxa"/>
            <w:tcBorders>
              <w:top w:val="single" w:color="000000" w:sz="16" w:space="0"/>
            </w:tcBorders>
            <w:vAlign w:val="center"/>
          </w:tcPr>
          <w:p w14:paraId="32E6547B">
            <w:pPr>
              <w:pStyle w:val="59"/>
              <w:bidi w:val="0"/>
              <w:jc w:val="center"/>
            </w:pPr>
            <w:r>
              <w:t>包装桶数量（个）</w:t>
            </w:r>
          </w:p>
        </w:tc>
        <w:tc>
          <w:tcPr>
            <w:tcW w:w="1380" w:type="dxa"/>
            <w:tcBorders>
              <w:top w:val="single" w:color="000000" w:sz="16" w:space="0"/>
            </w:tcBorders>
            <w:vAlign w:val="center"/>
          </w:tcPr>
          <w:p w14:paraId="3DF4284A">
            <w:pPr>
              <w:pStyle w:val="59"/>
              <w:bidi w:val="0"/>
              <w:jc w:val="center"/>
            </w:pPr>
            <w:r>
              <w:t>废油桶数量</w:t>
            </w:r>
          </w:p>
          <w:p w14:paraId="1AC00D72">
            <w:pPr>
              <w:pStyle w:val="59"/>
              <w:bidi w:val="0"/>
              <w:jc w:val="center"/>
            </w:pPr>
            <w:r>
              <w:t>（个）</w:t>
            </w:r>
          </w:p>
        </w:tc>
        <w:tc>
          <w:tcPr>
            <w:tcW w:w="1191" w:type="dxa"/>
            <w:tcBorders>
              <w:top w:val="single" w:color="000000" w:sz="16" w:space="0"/>
            </w:tcBorders>
            <w:vAlign w:val="center"/>
          </w:tcPr>
          <w:p w14:paraId="473E5AEA">
            <w:pPr>
              <w:pStyle w:val="59"/>
              <w:bidi w:val="0"/>
              <w:jc w:val="center"/>
            </w:pPr>
            <w:r>
              <w:t>单个空油桶重量（kg）</w:t>
            </w:r>
          </w:p>
        </w:tc>
        <w:tc>
          <w:tcPr>
            <w:tcW w:w="1392" w:type="dxa"/>
            <w:tcBorders>
              <w:top w:val="single" w:color="000000" w:sz="16" w:space="0"/>
              <w:right w:val="nil"/>
            </w:tcBorders>
            <w:vAlign w:val="center"/>
          </w:tcPr>
          <w:p w14:paraId="14231786">
            <w:pPr>
              <w:pStyle w:val="59"/>
              <w:bidi w:val="0"/>
              <w:jc w:val="center"/>
            </w:pPr>
            <w:r>
              <w:t>废油桶重量</w:t>
            </w:r>
          </w:p>
          <w:p w14:paraId="6C27E77C">
            <w:pPr>
              <w:pStyle w:val="59"/>
              <w:bidi w:val="0"/>
              <w:jc w:val="center"/>
            </w:pPr>
            <w:r>
              <w:t>（t/a）</w:t>
            </w:r>
          </w:p>
        </w:tc>
      </w:tr>
      <w:tr w14:paraId="6B0C7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399" w:type="dxa"/>
            <w:tcBorders>
              <w:left w:val="nil"/>
              <w:bottom w:val="single" w:color="000000" w:sz="16" w:space="0"/>
            </w:tcBorders>
            <w:vAlign w:val="center"/>
          </w:tcPr>
          <w:p w14:paraId="73D7D879">
            <w:pPr>
              <w:pStyle w:val="59"/>
              <w:bidi w:val="0"/>
              <w:jc w:val="center"/>
            </w:pPr>
            <w:r>
              <w:t>机油</w:t>
            </w:r>
          </w:p>
        </w:tc>
        <w:tc>
          <w:tcPr>
            <w:tcW w:w="1390" w:type="dxa"/>
            <w:tcBorders>
              <w:bottom w:val="single" w:color="000000" w:sz="16" w:space="0"/>
            </w:tcBorders>
            <w:vAlign w:val="center"/>
          </w:tcPr>
          <w:p w14:paraId="01954656">
            <w:pPr>
              <w:pStyle w:val="59"/>
              <w:bidi w:val="0"/>
              <w:jc w:val="center"/>
            </w:pPr>
            <w:r>
              <w:t>0.36</w:t>
            </w:r>
          </w:p>
        </w:tc>
        <w:tc>
          <w:tcPr>
            <w:tcW w:w="1390" w:type="dxa"/>
            <w:tcBorders>
              <w:bottom w:val="single" w:color="000000" w:sz="16" w:space="0"/>
            </w:tcBorders>
            <w:vAlign w:val="center"/>
          </w:tcPr>
          <w:p w14:paraId="56C27220">
            <w:pPr>
              <w:pStyle w:val="59"/>
              <w:bidi w:val="0"/>
              <w:jc w:val="center"/>
            </w:pPr>
            <w:r>
              <w:t>180kg/桶</w:t>
            </w:r>
          </w:p>
        </w:tc>
        <w:tc>
          <w:tcPr>
            <w:tcW w:w="1193" w:type="dxa"/>
            <w:tcBorders>
              <w:bottom w:val="single" w:color="000000" w:sz="16" w:space="0"/>
            </w:tcBorders>
            <w:vAlign w:val="center"/>
          </w:tcPr>
          <w:p w14:paraId="7445BD5B">
            <w:pPr>
              <w:pStyle w:val="59"/>
              <w:bidi w:val="0"/>
              <w:jc w:val="center"/>
            </w:pPr>
            <w:r>
              <w:t>2</w:t>
            </w:r>
          </w:p>
        </w:tc>
        <w:tc>
          <w:tcPr>
            <w:tcW w:w="1380" w:type="dxa"/>
            <w:tcBorders>
              <w:bottom w:val="single" w:color="000000" w:sz="16" w:space="0"/>
            </w:tcBorders>
            <w:vAlign w:val="center"/>
          </w:tcPr>
          <w:p w14:paraId="00BE4D89">
            <w:pPr>
              <w:pStyle w:val="59"/>
              <w:bidi w:val="0"/>
              <w:jc w:val="center"/>
            </w:pPr>
            <w:r>
              <w:t>2</w:t>
            </w:r>
          </w:p>
        </w:tc>
        <w:tc>
          <w:tcPr>
            <w:tcW w:w="1191" w:type="dxa"/>
            <w:tcBorders>
              <w:bottom w:val="single" w:color="000000" w:sz="16" w:space="0"/>
            </w:tcBorders>
            <w:vAlign w:val="center"/>
          </w:tcPr>
          <w:p w14:paraId="782C3244">
            <w:pPr>
              <w:pStyle w:val="59"/>
              <w:bidi w:val="0"/>
              <w:jc w:val="center"/>
            </w:pPr>
            <w:r>
              <w:t>18</w:t>
            </w:r>
          </w:p>
        </w:tc>
        <w:tc>
          <w:tcPr>
            <w:tcW w:w="1392" w:type="dxa"/>
            <w:tcBorders>
              <w:bottom w:val="single" w:color="000000" w:sz="16" w:space="0"/>
              <w:right w:val="nil"/>
            </w:tcBorders>
            <w:vAlign w:val="center"/>
          </w:tcPr>
          <w:p w14:paraId="3596C39B">
            <w:pPr>
              <w:pStyle w:val="59"/>
              <w:bidi w:val="0"/>
              <w:jc w:val="center"/>
            </w:pPr>
            <w:r>
              <w:t>0.036</w:t>
            </w:r>
          </w:p>
        </w:tc>
      </w:tr>
    </w:tbl>
    <w:p w14:paraId="679F6938">
      <w:pPr>
        <w:pStyle w:val="19"/>
        <w:spacing w:line="268" w:lineRule="auto"/>
        <w:rPr>
          <w:sz w:val="21"/>
        </w:rPr>
      </w:pPr>
    </w:p>
    <w:p w14:paraId="43751322">
      <w:pPr>
        <w:keepNext w:val="0"/>
        <w:keepLines w:val="0"/>
        <w:pageBreakBefore w:val="0"/>
        <w:widowControl w:val="0"/>
        <w:numPr>
          <w:ilvl w:val="0"/>
          <w:numId w:val="34"/>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ascii="Times New Roman" w:hAnsi="Times New Roman" w:eastAsia="宋体" w:cs="Times New Roman"/>
        </w:rPr>
        <w:t>废</w:t>
      </w:r>
      <w:r>
        <w:rPr>
          <w:rFonts w:hint="eastAsia" w:ascii="Times New Roman" w:hAnsi="Times New Roman" w:eastAsia="宋体" w:cs="Times New Roman"/>
          <w:lang w:val="en-US" w:eastAsia="zh-CN"/>
        </w:rPr>
        <w:t>擦机布和</w:t>
      </w:r>
      <w:r>
        <w:rPr>
          <w:rFonts w:ascii="Times New Roman" w:hAnsi="Times New Roman" w:eastAsia="宋体" w:cs="Times New Roman"/>
        </w:rPr>
        <w:t>手套</w:t>
      </w:r>
    </w:p>
    <w:p w14:paraId="5E05CB38">
      <w:pPr>
        <w:bidi w:val="0"/>
      </w:pPr>
      <w:r>
        <w:t>设备清理、设备维护过程会产生沾染油墨、稀释剂、机油的废抹布和废手套，印刷</w:t>
      </w:r>
      <w:r>
        <w:rPr>
          <w:rFonts w:hint="eastAsia"/>
          <w:lang w:val="en-US" w:eastAsia="zh-CN"/>
        </w:rPr>
        <w:t>机、复合机每天清洁</w:t>
      </w:r>
      <w:r>
        <w:t>，</w:t>
      </w:r>
      <w:r>
        <w:rPr>
          <w:rFonts w:hint="eastAsia"/>
          <w:lang w:val="en-US" w:eastAsia="zh-CN"/>
        </w:rPr>
        <w:t>每</w:t>
      </w:r>
      <w:r>
        <w:t>次产生废抹布手套约</w:t>
      </w:r>
      <w:r>
        <w:rPr>
          <w:rFonts w:hint="eastAsia"/>
          <w:lang w:val="en-US" w:eastAsia="zh-CN"/>
        </w:rPr>
        <w:t>20</w:t>
      </w:r>
      <w:r>
        <w:t>kg；设备维修保养</w:t>
      </w:r>
      <w:r>
        <w:rPr>
          <w:rFonts w:hint="eastAsia"/>
          <w:lang w:val="en-US" w:eastAsia="zh-CN"/>
        </w:rPr>
        <w:t>3</w:t>
      </w:r>
      <w:r>
        <w:t>个月/次，4 次/年，单次产生废抹布手套约 5kg。则合计废抹布手套产生量约</w:t>
      </w:r>
      <w:r>
        <w:rPr>
          <w:rFonts w:hint="eastAsia"/>
          <w:lang w:val="en-US" w:eastAsia="zh-CN"/>
        </w:rPr>
        <w:t>6.02</w:t>
      </w:r>
      <w:r>
        <w:t>t/a，属于</w:t>
      </w:r>
      <w:r>
        <w:rPr>
          <w:rFonts w:hint="eastAsia"/>
          <w:lang w:eastAsia="zh-CN"/>
        </w:rPr>
        <w:t>《国家危险废物名录》（2025年本）</w:t>
      </w:r>
      <w:r>
        <w:t>中的</w:t>
      </w:r>
      <w:r>
        <w:rPr>
          <w:rFonts w:hint="eastAsia"/>
        </w:rPr>
        <w:t xml:space="preserve">HW49 </w:t>
      </w:r>
      <w:r>
        <w:t>900-041-49含有或沾染毒性、感染性危险废物的废弃包装物、容器、过滤吸附介质</w:t>
      </w:r>
      <w:r>
        <w:rPr>
          <w:rFonts w:hint="eastAsia"/>
        </w:rPr>
        <w:t>，</w:t>
      </w:r>
      <w:r>
        <w:t>暂存于危险废物贮存区，</w:t>
      </w:r>
      <w:r>
        <w:rPr>
          <w:rFonts w:hint="eastAsia"/>
        </w:rPr>
        <w:t>定期</w:t>
      </w:r>
      <w:r>
        <w:t>交由取得危险废物经营许可证的单位进行处理</w:t>
      </w:r>
      <w:r>
        <w:rPr>
          <w:rFonts w:hint="eastAsia"/>
        </w:rPr>
        <w:t>。</w:t>
      </w:r>
    </w:p>
    <w:p w14:paraId="02F22A24">
      <w:pPr>
        <w:keepNext w:val="0"/>
        <w:keepLines w:val="0"/>
        <w:pageBreakBefore w:val="0"/>
        <w:widowControl w:val="0"/>
        <w:numPr>
          <w:ilvl w:val="0"/>
          <w:numId w:val="34"/>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ascii="Times New Roman" w:hAnsi="Times New Roman" w:eastAsia="宋体" w:cs="Times New Roman"/>
        </w:rPr>
        <w:t>废过滤袋</w:t>
      </w:r>
    </w:p>
    <w:p w14:paraId="42E8A9ED">
      <w:pPr>
        <w:bidi w:val="0"/>
      </w:pPr>
      <w:r>
        <w:t>项目设置1套干式过滤装置对废气进行预处理，干式过滤采用过滤袋，预计设置20 个过滤袋，每个过滤袋重量约3kg，每三个月更换一次，则年更换 4 次，则废过滤袋产生量共约0.24t/a。根据《国家危险废物名录》（2021 年版），废过滤袋属 HW49 其他废物，废物代码为 900-041-49 含有或沾染毒性、感染性危险废物的废弃包装物、容器、过滤吸附介质，交由有相应危险废物处理资质的单位统一处置。</w:t>
      </w:r>
    </w:p>
    <w:p w14:paraId="66E01032">
      <w:pPr>
        <w:keepNext w:val="0"/>
        <w:keepLines w:val="0"/>
        <w:pageBreakBefore w:val="0"/>
        <w:widowControl w:val="0"/>
        <w:numPr>
          <w:ilvl w:val="0"/>
          <w:numId w:val="34"/>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hint="eastAsia" w:ascii="Times New Roman" w:hAnsi="Times New Roman" w:eastAsia="宋体" w:cs="Times New Roman"/>
          <w:lang w:val="en-US" w:eastAsia="zh-CN"/>
        </w:rPr>
        <w:t>废活性炭</w:t>
      </w:r>
    </w:p>
    <w:p w14:paraId="0D38DDA1">
      <w:pPr>
        <w:bidi w:val="0"/>
        <w:rPr>
          <w:rFonts w:hint="default" w:eastAsia="宋体"/>
          <w:lang w:val="en-US" w:eastAsia="zh-CN"/>
        </w:rPr>
      </w:pPr>
      <w:r>
        <w:rPr>
          <w:rFonts w:hint="eastAsia"/>
          <w:lang w:val="en-US" w:eastAsia="zh-CN"/>
        </w:rPr>
        <w:t>根据大气环境保护措施及可行性分析章节，废活性炭产生量为7.045t/a，</w:t>
      </w:r>
      <w:r>
        <w:rPr>
          <w:rFonts w:hint="eastAsia"/>
          <w:color w:val="auto"/>
        </w:rPr>
        <w:t>该废物属于《国家危险废物名录》（202</w:t>
      </w:r>
      <w:r>
        <w:rPr>
          <w:rFonts w:hint="eastAsia"/>
          <w:color w:val="auto"/>
          <w:lang w:val="en-US" w:eastAsia="zh-CN"/>
        </w:rPr>
        <w:t>5</w:t>
      </w:r>
      <w:r>
        <w:rPr>
          <w:rFonts w:hint="eastAsia"/>
          <w:color w:val="auto"/>
        </w:rPr>
        <w:t>年本）中的HW49 900-039-49烟气、VOCs治理过程（不包括餐饮行业油烟治理过程）产生的废活性炭，应交由取得</w:t>
      </w:r>
      <w:r>
        <w:rPr>
          <w:color w:val="auto"/>
        </w:rPr>
        <w:t>危险废物经营许可证</w:t>
      </w:r>
      <w:r>
        <w:rPr>
          <w:rFonts w:hint="eastAsia"/>
          <w:color w:val="auto"/>
        </w:rPr>
        <w:t>的单位进行处理。</w:t>
      </w:r>
    </w:p>
    <w:p w14:paraId="135853AB">
      <w:pPr>
        <w:keepNext w:val="0"/>
        <w:keepLines w:val="0"/>
        <w:pageBreakBefore w:val="0"/>
        <w:widowControl w:val="0"/>
        <w:numPr>
          <w:ilvl w:val="0"/>
          <w:numId w:val="34"/>
        </w:numPr>
        <w:kinsoku/>
        <w:wordWrap/>
        <w:overflowPunct/>
        <w:topLinePunct w:val="0"/>
        <w:autoSpaceDE/>
        <w:autoSpaceDN/>
        <w:bidi w:val="0"/>
        <w:adjustRightInd/>
        <w:snapToGrid/>
        <w:ind w:left="0"/>
        <w:textAlignment w:val="auto"/>
        <w:rPr>
          <w:rFonts w:ascii="Times New Roman" w:hAnsi="Times New Roman" w:eastAsia="宋体" w:cs="Times New Roman"/>
        </w:rPr>
      </w:pPr>
      <w:r>
        <w:rPr>
          <w:rFonts w:ascii="Times New Roman" w:hAnsi="Times New Roman" w:eastAsia="宋体" w:cs="Times New Roman"/>
        </w:rPr>
        <w:t>废</w:t>
      </w:r>
      <w:r>
        <w:rPr>
          <w:rFonts w:hint="eastAsia" w:ascii="Times New Roman" w:hAnsi="Times New Roman" w:eastAsia="宋体" w:cs="Times New Roman"/>
          <w:lang w:val="en-US" w:eastAsia="zh-CN"/>
        </w:rPr>
        <w:t>分子筛</w:t>
      </w:r>
    </w:p>
    <w:p w14:paraId="06E1876A">
      <w:pPr>
        <w:bidi w:val="0"/>
      </w:pPr>
      <w:r>
        <w:t>项目共设计1套“干式过滤+沸石转轮吸附浓缩</w:t>
      </w:r>
      <w:r>
        <w:rPr>
          <w:rFonts w:hint="eastAsia"/>
          <w:lang w:val="en-US" w:eastAsia="zh-CN"/>
        </w:rPr>
        <w:t>-脱附</w:t>
      </w:r>
      <w:r>
        <w:t>装置”，配置四个吸附箱（三用一备），处理装置沸石填充量为 8m</w:t>
      </w:r>
      <w:r>
        <w:rPr>
          <w:vertAlign w:val="superscript"/>
        </w:rPr>
        <w:t>3</w:t>
      </w:r>
      <w:r>
        <w:t>。根据废气设计方案，沸石分子筛堆积密度约为 600- 700kg/m</w:t>
      </w:r>
      <w:r>
        <w:rPr>
          <w:vertAlign w:val="superscript"/>
        </w:rPr>
        <w:t>3</w:t>
      </w:r>
      <w:r>
        <w:t xml:space="preserve"> ，本次计算废分子筛密度取 700kg/m</w:t>
      </w:r>
      <w:r>
        <w:rPr>
          <w:vertAlign w:val="superscript"/>
        </w:rPr>
        <w:t>3</w:t>
      </w:r>
      <w:r>
        <w:t xml:space="preserve"> 。沸石分子筛可脱附再生，定期更换，项目拟每 3年更换一次沸石分子筛，则每次更换产生的废分子筛约5.60t，不暂存到厂区，更换时直接交供应商回收。</w:t>
      </w:r>
    </w:p>
    <w:p w14:paraId="7284B4F3">
      <w:pPr>
        <w:bidi w:val="0"/>
        <w:rPr>
          <w:rFonts w:hint="eastAsia"/>
          <w:lang w:val="en-US" w:eastAsia="zh-CN"/>
        </w:rPr>
        <w:sectPr>
          <w:pgSz w:w="11906" w:h="16838"/>
          <w:pgMar w:top="1417" w:right="1417" w:bottom="1417" w:left="1417" w:header="992" w:footer="992" w:gutter="0"/>
          <w:pgNumType w:fmt="decimal"/>
          <w:cols w:space="720" w:num="1"/>
          <w:docGrid w:type="lines" w:linePitch="312" w:charSpace="0"/>
        </w:sectPr>
      </w:pPr>
      <w:r>
        <w:t>废分子筛为废气处理过程中的危险废物，参考废活性炭危废类别，属《国家危险废物名录（2025 年版）》中HW49 其他废物，代码为 900-041-49。</w:t>
      </w:r>
    </w:p>
    <w:p w14:paraId="6924393D">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lang w:val="en-US" w:eastAsia="zh-CN"/>
        </w:rPr>
        <w:t>项目</w:t>
      </w:r>
      <w:r>
        <w:rPr>
          <w:rFonts w:hint="eastAsia" w:ascii="Times New Roman" w:hAnsi="Times New Roman" w:eastAsia="宋体" w:cs="Times New Roman"/>
        </w:rPr>
        <w:t>固体废物污染源源强核算结果及相关参数一览表</w:t>
      </w:r>
    </w:p>
    <w:tbl>
      <w:tblPr>
        <w:tblStyle w:val="38"/>
        <w:tblW w:w="1435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1923"/>
        <w:gridCol w:w="1971"/>
        <w:gridCol w:w="1875"/>
        <w:gridCol w:w="1553"/>
        <w:gridCol w:w="1132"/>
        <w:gridCol w:w="1112"/>
        <w:gridCol w:w="1149"/>
        <w:gridCol w:w="2139"/>
      </w:tblGrid>
      <w:tr w14:paraId="3760FA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502" w:type="dxa"/>
            <w:vMerge w:val="restart"/>
            <w:vAlign w:val="center"/>
          </w:tcPr>
          <w:p w14:paraId="031AE604">
            <w:pPr>
              <w:pStyle w:val="69"/>
              <w:rPr>
                <w:color w:val="auto"/>
              </w:rPr>
            </w:pPr>
            <w:bookmarkStart w:id="68" w:name="_Toc31651"/>
            <w:r>
              <w:rPr>
                <w:rFonts w:hint="eastAsia"/>
                <w:color w:val="auto"/>
              </w:rPr>
              <w:t>工序/生产线</w:t>
            </w:r>
          </w:p>
        </w:tc>
        <w:tc>
          <w:tcPr>
            <w:tcW w:w="1923" w:type="dxa"/>
            <w:vMerge w:val="restart"/>
            <w:vAlign w:val="center"/>
          </w:tcPr>
          <w:p w14:paraId="2FD5DE03">
            <w:pPr>
              <w:pStyle w:val="69"/>
              <w:rPr>
                <w:color w:val="auto"/>
              </w:rPr>
            </w:pPr>
            <w:r>
              <w:rPr>
                <w:rFonts w:hint="eastAsia"/>
                <w:color w:val="auto"/>
              </w:rPr>
              <w:t>装置</w:t>
            </w:r>
          </w:p>
        </w:tc>
        <w:tc>
          <w:tcPr>
            <w:tcW w:w="1971" w:type="dxa"/>
            <w:vMerge w:val="restart"/>
            <w:vAlign w:val="center"/>
          </w:tcPr>
          <w:p w14:paraId="5248B455">
            <w:pPr>
              <w:pStyle w:val="69"/>
              <w:rPr>
                <w:color w:val="auto"/>
              </w:rPr>
            </w:pPr>
            <w:r>
              <w:rPr>
                <w:color w:val="auto"/>
              </w:rPr>
              <w:t>固体废物名称</w:t>
            </w:r>
          </w:p>
        </w:tc>
        <w:tc>
          <w:tcPr>
            <w:tcW w:w="1875" w:type="dxa"/>
            <w:vMerge w:val="restart"/>
            <w:vAlign w:val="center"/>
          </w:tcPr>
          <w:p w14:paraId="4F9BD1A5">
            <w:pPr>
              <w:pStyle w:val="69"/>
              <w:rPr>
                <w:color w:val="auto"/>
              </w:rPr>
            </w:pPr>
            <w:r>
              <w:rPr>
                <w:color w:val="auto"/>
              </w:rPr>
              <w:t>固废属性</w:t>
            </w:r>
          </w:p>
        </w:tc>
        <w:tc>
          <w:tcPr>
            <w:tcW w:w="2685" w:type="dxa"/>
            <w:gridSpan w:val="2"/>
            <w:vAlign w:val="center"/>
          </w:tcPr>
          <w:p w14:paraId="437CFAEB">
            <w:pPr>
              <w:pStyle w:val="69"/>
              <w:rPr>
                <w:color w:val="auto"/>
              </w:rPr>
            </w:pPr>
            <w:r>
              <w:rPr>
                <w:color w:val="auto"/>
              </w:rPr>
              <w:t>产生</w:t>
            </w:r>
            <w:r>
              <w:rPr>
                <w:rFonts w:hint="eastAsia"/>
                <w:color w:val="auto"/>
              </w:rPr>
              <w:t>情况</w:t>
            </w:r>
          </w:p>
        </w:tc>
        <w:tc>
          <w:tcPr>
            <w:tcW w:w="2261" w:type="dxa"/>
            <w:gridSpan w:val="2"/>
            <w:vAlign w:val="center"/>
          </w:tcPr>
          <w:p w14:paraId="3AD01BA0">
            <w:pPr>
              <w:pStyle w:val="69"/>
              <w:rPr>
                <w:color w:val="auto"/>
              </w:rPr>
            </w:pPr>
            <w:r>
              <w:rPr>
                <w:color w:val="auto"/>
              </w:rPr>
              <w:t>处置措施</w:t>
            </w:r>
          </w:p>
        </w:tc>
        <w:tc>
          <w:tcPr>
            <w:tcW w:w="2139" w:type="dxa"/>
            <w:vMerge w:val="restart"/>
            <w:vAlign w:val="center"/>
          </w:tcPr>
          <w:p w14:paraId="1B1324EE">
            <w:pPr>
              <w:pStyle w:val="69"/>
              <w:rPr>
                <w:color w:val="auto"/>
              </w:rPr>
            </w:pPr>
            <w:r>
              <w:rPr>
                <w:color w:val="auto"/>
              </w:rPr>
              <w:t>最终去向</w:t>
            </w:r>
          </w:p>
        </w:tc>
      </w:tr>
      <w:tr w14:paraId="01302B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502" w:type="dxa"/>
            <w:vMerge w:val="continue"/>
            <w:vAlign w:val="center"/>
          </w:tcPr>
          <w:p w14:paraId="03FCC1EA">
            <w:pPr>
              <w:pStyle w:val="69"/>
              <w:rPr>
                <w:color w:val="auto"/>
              </w:rPr>
            </w:pPr>
          </w:p>
        </w:tc>
        <w:tc>
          <w:tcPr>
            <w:tcW w:w="1923" w:type="dxa"/>
            <w:vMerge w:val="continue"/>
            <w:vAlign w:val="center"/>
          </w:tcPr>
          <w:p w14:paraId="1B8B0F7C">
            <w:pPr>
              <w:pStyle w:val="69"/>
              <w:rPr>
                <w:color w:val="auto"/>
              </w:rPr>
            </w:pPr>
          </w:p>
        </w:tc>
        <w:tc>
          <w:tcPr>
            <w:tcW w:w="1971" w:type="dxa"/>
            <w:vMerge w:val="continue"/>
            <w:vAlign w:val="center"/>
          </w:tcPr>
          <w:p w14:paraId="7198D806">
            <w:pPr>
              <w:pStyle w:val="69"/>
              <w:rPr>
                <w:color w:val="auto"/>
              </w:rPr>
            </w:pPr>
          </w:p>
        </w:tc>
        <w:tc>
          <w:tcPr>
            <w:tcW w:w="1875" w:type="dxa"/>
            <w:vMerge w:val="continue"/>
            <w:vAlign w:val="center"/>
          </w:tcPr>
          <w:p w14:paraId="45D484F2">
            <w:pPr>
              <w:pStyle w:val="69"/>
              <w:rPr>
                <w:color w:val="auto"/>
              </w:rPr>
            </w:pPr>
          </w:p>
        </w:tc>
        <w:tc>
          <w:tcPr>
            <w:tcW w:w="1553" w:type="dxa"/>
            <w:vAlign w:val="center"/>
          </w:tcPr>
          <w:p w14:paraId="1A14502E">
            <w:pPr>
              <w:pStyle w:val="69"/>
              <w:rPr>
                <w:color w:val="auto"/>
              </w:rPr>
            </w:pPr>
            <w:r>
              <w:rPr>
                <w:color w:val="auto"/>
              </w:rPr>
              <w:t>核算方法</w:t>
            </w:r>
          </w:p>
        </w:tc>
        <w:tc>
          <w:tcPr>
            <w:tcW w:w="1132" w:type="dxa"/>
            <w:vAlign w:val="center"/>
          </w:tcPr>
          <w:p w14:paraId="52F8587C">
            <w:pPr>
              <w:pStyle w:val="69"/>
              <w:rPr>
                <w:color w:val="auto"/>
              </w:rPr>
            </w:pPr>
            <w:r>
              <w:rPr>
                <w:color w:val="auto"/>
              </w:rPr>
              <w:t>产生量/</w:t>
            </w:r>
            <w:r>
              <w:rPr>
                <w:rFonts w:hint="eastAsia"/>
                <w:color w:val="auto"/>
              </w:rPr>
              <w:t>（t/a）</w:t>
            </w:r>
          </w:p>
        </w:tc>
        <w:tc>
          <w:tcPr>
            <w:tcW w:w="1112" w:type="dxa"/>
            <w:vAlign w:val="center"/>
          </w:tcPr>
          <w:p w14:paraId="7ECC26F7">
            <w:pPr>
              <w:pStyle w:val="69"/>
              <w:rPr>
                <w:color w:val="auto"/>
              </w:rPr>
            </w:pPr>
            <w:r>
              <w:rPr>
                <w:color w:val="auto"/>
              </w:rPr>
              <w:t>工艺</w:t>
            </w:r>
          </w:p>
        </w:tc>
        <w:tc>
          <w:tcPr>
            <w:tcW w:w="1149" w:type="dxa"/>
            <w:vAlign w:val="center"/>
          </w:tcPr>
          <w:p w14:paraId="736C01C9">
            <w:pPr>
              <w:pStyle w:val="69"/>
              <w:rPr>
                <w:color w:val="auto"/>
              </w:rPr>
            </w:pPr>
            <w:r>
              <w:rPr>
                <w:rFonts w:hint="eastAsia"/>
                <w:color w:val="auto"/>
              </w:rPr>
              <w:t>处置</w:t>
            </w:r>
            <w:r>
              <w:rPr>
                <w:color w:val="auto"/>
              </w:rPr>
              <w:t>量/</w:t>
            </w:r>
            <w:r>
              <w:rPr>
                <w:rFonts w:hint="eastAsia"/>
                <w:color w:val="auto"/>
              </w:rPr>
              <w:t>（t/a）</w:t>
            </w:r>
          </w:p>
        </w:tc>
        <w:tc>
          <w:tcPr>
            <w:tcW w:w="2139" w:type="dxa"/>
            <w:vMerge w:val="continue"/>
            <w:vAlign w:val="center"/>
          </w:tcPr>
          <w:p w14:paraId="3146A579">
            <w:pPr>
              <w:pStyle w:val="69"/>
              <w:rPr>
                <w:color w:val="auto"/>
              </w:rPr>
            </w:pPr>
          </w:p>
        </w:tc>
      </w:tr>
      <w:tr w14:paraId="70C72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7B27237F">
            <w:pPr>
              <w:pStyle w:val="69"/>
              <w:rPr>
                <w:color w:val="auto"/>
              </w:rPr>
            </w:pPr>
            <w:r>
              <w:rPr>
                <w:rFonts w:hint="eastAsia"/>
                <w:color w:val="auto"/>
              </w:rPr>
              <w:t>/</w:t>
            </w:r>
          </w:p>
        </w:tc>
        <w:tc>
          <w:tcPr>
            <w:tcW w:w="1923" w:type="dxa"/>
            <w:vAlign w:val="center"/>
          </w:tcPr>
          <w:p w14:paraId="41CEFECB">
            <w:pPr>
              <w:pStyle w:val="69"/>
              <w:rPr>
                <w:color w:val="auto"/>
              </w:rPr>
            </w:pPr>
            <w:r>
              <w:rPr>
                <w:rFonts w:hint="eastAsia"/>
                <w:color w:val="auto"/>
              </w:rPr>
              <w:t>/</w:t>
            </w:r>
          </w:p>
        </w:tc>
        <w:tc>
          <w:tcPr>
            <w:tcW w:w="1971" w:type="dxa"/>
            <w:vAlign w:val="center"/>
          </w:tcPr>
          <w:p w14:paraId="672FD059">
            <w:pPr>
              <w:pStyle w:val="69"/>
              <w:rPr>
                <w:color w:val="auto"/>
              </w:rPr>
            </w:pPr>
            <w:r>
              <w:rPr>
                <w:color w:val="auto"/>
              </w:rPr>
              <w:t>生活垃圾</w:t>
            </w:r>
          </w:p>
        </w:tc>
        <w:tc>
          <w:tcPr>
            <w:tcW w:w="1875" w:type="dxa"/>
            <w:vAlign w:val="center"/>
          </w:tcPr>
          <w:p w14:paraId="027EBCCE">
            <w:pPr>
              <w:pStyle w:val="69"/>
              <w:rPr>
                <w:color w:val="auto"/>
              </w:rPr>
            </w:pPr>
            <w:r>
              <w:rPr>
                <w:color w:val="auto"/>
              </w:rPr>
              <w:t>生活垃圾</w:t>
            </w:r>
          </w:p>
        </w:tc>
        <w:tc>
          <w:tcPr>
            <w:tcW w:w="1553" w:type="dxa"/>
            <w:vAlign w:val="center"/>
          </w:tcPr>
          <w:p w14:paraId="514647A2">
            <w:pPr>
              <w:pStyle w:val="69"/>
              <w:rPr>
                <w:color w:val="auto"/>
              </w:rPr>
            </w:pPr>
            <w:r>
              <w:rPr>
                <w:color w:val="auto"/>
              </w:rPr>
              <w:t>产污系数法</w:t>
            </w:r>
          </w:p>
        </w:tc>
        <w:tc>
          <w:tcPr>
            <w:tcW w:w="1132" w:type="dxa"/>
            <w:vAlign w:val="center"/>
          </w:tcPr>
          <w:p w14:paraId="279D1286">
            <w:pPr>
              <w:pStyle w:val="69"/>
              <w:rPr>
                <w:rFonts w:hint="default" w:eastAsia="宋体"/>
                <w:color w:val="auto"/>
                <w:lang w:val="en-US" w:eastAsia="zh-CN"/>
              </w:rPr>
            </w:pPr>
            <w:r>
              <w:rPr>
                <w:rFonts w:hint="eastAsia"/>
                <w:color w:val="auto"/>
                <w:lang w:val="en-US" w:eastAsia="zh-CN"/>
              </w:rPr>
              <w:t>4.5</w:t>
            </w:r>
          </w:p>
        </w:tc>
        <w:tc>
          <w:tcPr>
            <w:tcW w:w="1112" w:type="dxa"/>
            <w:vAlign w:val="center"/>
          </w:tcPr>
          <w:p w14:paraId="101E36B1">
            <w:pPr>
              <w:pStyle w:val="69"/>
              <w:rPr>
                <w:color w:val="auto"/>
              </w:rPr>
            </w:pPr>
            <w:r>
              <w:rPr>
                <w:rFonts w:hint="eastAsia"/>
                <w:color w:val="auto"/>
              </w:rPr>
              <w:t>填埋</w:t>
            </w:r>
          </w:p>
        </w:tc>
        <w:tc>
          <w:tcPr>
            <w:tcW w:w="1149" w:type="dxa"/>
            <w:vAlign w:val="center"/>
          </w:tcPr>
          <w:p w14:paraId="0462CE7A">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w:t>
            </w:r>
          </w:p>
        </w:tc>
        <w:tc>
          <w:tcPr>
            <w:tcW w:w="2139" w:type="dxa"/>
            <w:vAlign w:val="center"/>
          </w:tcPr>
          <w:p w14:paraId="738F6FAE">
            <w:pPr>
              <w:pStyle w:val="69"/>
              <w:rPr>
                <w:color w:val="auto"/>
              </w:rPr>
            </w:pPr>
            <w:r>
              <w:rPr>
                <w:rFonts w:hint="eastAsia"/>
                <w:color w:val="auto"/>
              </w:rPr>
              <w:t>生活垃圾填埋场填埋</w:t>
            </w:r>
          </w:p>
        </w:tc>
      </w:tr>
      <w:tr w14:paraId="2AE054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6A0595B1">
            <w:pPr>
              <w:pStyle w:val="69"/>
              <w:rPr>
                <w:rFonts w:hint="default" w:eastAsia="宋体"/>
                <w:color w:val="auto"/>
                <w:lang w:val="en-US" w:eastAsia="zh-CN"/>
              </w:rPr>
            </w:pPr>
            <w:r>
              <w:rPr>
                <w:rFonts w:hint="eastAsia"/>
                <w:color w:val="auto"/>
                <w:lang w:val="en-US" w:eastAsia="zh-CN"/>
              </w:rPr>
              <w:t>分切、打孔</w:t>
            </w:r>
          </w:p>
        </w:tc>
        <w:tc>
          <w:tcPr>
            <w:tcW w:w="1923" w:type="dxa"/>
            <w:vAlign w:val="center"/>
          </w:tcPr>
          <w:p w14:paraId="448E5C67">
            <w:pPr>
              <w:pStyle w:val="69"/>
              <w:rPr>
                <w:rFonts w:hint="default" w:eastAsia="宋体"/>
                <w:color w:val="auto"/>
                <w:lang w:val="en-US" w:eastAsia="zh-CN"/>
              </w:rPr>
            </w:pPr>
            <w:r>
              <w:rPr>
                <w:rFonts w:hint="eastAsia"/>
                <w:color w:val="auto"/>
                <w:lang w:val="en-US" w:eastAsia="zh-CN"/>
              </w:rPr>
              <w:t>分切机、打孔机</w:t>
            </w:r>
          </w:p>
        </w:tc>
        <w:tc>
          <w:tcPr>
            <w:tcW w:w="1971" w:type="dxa"/>
            <w:vAlign w:val="center"/>
          </w:tcPr>
          <w:p w14:paraId="7C8E8840">
            <w:pPr>
              <w:pStyle w:val="59"/>
              <w:bidi w:val="0"/>
            </w:pPr>
            <w:r>
              <w:rPr>
                <w:rFonts w:hint="eastAsia"/>
                <w:lang w:val="en-US" w:eastAsia="zh-CN"/>
              </w:rPr>
              <w:t>废边角料</w:t>
            </w:r>
          </w:p>
        </w:tc>
        <w:tc>
          <w:tcPr>
            <w:tcW w:w="1875" w:type="dxa"/>
            <w:vAlign w:val="center"/>
          </w:tcPr>
          <w:p w14:paraId="65C5AF3A">
            <w:pPr>
              <w:pStyle w:val="69"/>
              <w:rPr>
                <w:color w:val="auto"/>
              </w:rPr>
            </w:pPr>
            <w:r>
              <w:rPr>
                <w:rFonts w:hint="eastAsia"/>
                <w:color w:val="auto"/>
              </w:rPr>
              <w:t>其他</w:t>
            </w:r>
            <w:r>
              <w:rPr>
                <w:color w:val="auto"/>
              </w:rPr>
              <w:t>固体废物</w:t>
            </w:r>
          </w:p>
        </w:tc>
        <w:tc>
          <w:tcPr>
            <w:tcW w:w="1553" w:type="dxa"/>
            <w:vAlign w:val="center"/>
          </w:tcPr>
          <w:p w14:paraId="687379A9">
            <w:pPr>
              <w:pStyle w:val="69"/>
              <w:rPr>
                <w:color w:val="auto"/>
              </w:rPr>
            </w:pPr>
            <w:r>
              <w:rPr>
                <w:color w:val="auto"/>
              </w:rPr>
              <w:t>产污系数法</w:t>
            </w:r>
          </w:p>
        </w:tc>
        <w:tc>
          <w:tcPr>
            <w:tcW w:w="1132" w:type="dxa"/>
            <w:vAlign w:val="center"/>
          </w:tcPr>
          <w:p w14:paraId="2D6F5869">
            <w:pPr>
              <w:pStyle w:val="59"/>
              <w:bidi w:val="0"/>
              <w:rPr>
                <w:rFonts w:hint="default"/>
                <w:lang w:val="en-US" w:eastAsia="zh-CN"/>
              </w:rPr>
            </w:pPr>
            <w:r>
              <w:rPr>
                <w:rFonts w:hint="default"/>
                <w:lang w:val="en-US" w:eastAsia="zh-CN"/>
              </w:rPr>
              <w:t xml:space="preserve">8.441 </w:t>
            </w:r>
          </w:p>
        </w:tc>
        <w:tc>
          <w:tcPr>
            <w:tcW w:w="1112" w:type="dxa"/>
            <w:vAlign w:val="center"/>
          </w:tcPr>
          <w:p w14:paraId="4D9D9841">
            <w:pPr>
              <w:pStyle w:val="69"/>
              <w:bidi w:val="0"/>
            </w:pPr>
            <w:r>
              <w:rPr>
                <w:rFonts w:hint="eastAsia"/>
                <w:lang w:val="en-US" w:eastAsia="zh-CN"/>
              </w:rPr>
              <w:t>委外处置</w:t>
            </w:r>
          </w:p>
        </w:tc>
        <w:tc>
          <w:tcPr>
            <w:tcW w:w="1149" w:type="dxa"/>
            <w:shd w:val="clear" w:color="auto" w:fill="auto"/>
            <w:vAlign w:val="center"/>
          </w:tcPr>
          <w:p w14:paraId="5EB50E8C">
            <w:pPr>
              <w:pStyle w:val="59"/>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 xml:space="preserve">8.441 </w:t>
            </w:r>
          </w:p>
        </w:tc>
        <w:tc>
          <w:tcPr>
            <w:tcW w:w="2139" w:type="dxa"/>
            <w:vMerge w:val="restart"/>
            <w:vAlign w:val="center"/>
          </w:tcPr>
          <w:p w14:paraId="6D4A94EA">
            <w:pPr>
              <w:pStyle w:val="69"/>
              <w:rPr>
                <w:color w:val="auto"/>
              </w:rPr>
            </w:pPr>
            <w:r>
              <w:rPr>
                <w:rFonts w:hint="eastAsia"/>
              </w:rPr>
              <w:t>交资源回收利用单位</w:t>
            </w:r>
            <w:r>
              <w:rPr>
                <w:rFonts w:hint="eastAsia"/>
                <w:lang w:val="en-US" w:eastAsia="zh-CN"/>
              </w:rPr>
              <w:t>或</w:t>
            </w:r>
            <w:r>
              <w:rPr>
                <w:rFonts w:hint="eastAsia"/>
              </w:rPr>
              <w:t>一般固废处理公司进行处理</w:t>
            </w:r>
          </w:p>
        </w:tc>
      </w:tr>
      <w:tr w14:paraId="2AC12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673476E1">
            <w:pPr>
              <w:pStyle w:val="69"/>
              <w:rPr>
                <w:rFonts w:hint="eastAsia" w:eastAsia="宋体"/>
                <w:color w:val="auto"/>
                <w:lang w:val="en-US" w:eastAsia="zh-CN"/>
              </w:rPr>
            </w:pPr>
            <w:r>
              <w:rPr>
                <w:rFonts w:hint="eastAsia"/>
                <w:color w:val="auto"/>
                <w:lang w:val="en-US" w:eastAsia="zh-CN"/>
              </w:rPr>
              <w:t>品检</w:t>
            </w:r>
          </w:p>
        </w:tc>
        <w:tc>
          <w:tcPr>
            <w:tcW w:w="1923" w:type="dxa"/>
            <w:vAlign w:val="center"/>
          </w:tcPr>
          <w:p w14:paraId="3C1BDD0F">
            <w:pPr>
              <w:pStyle w:val="69"/>
              <w:rPr>
                <w:rFonts w:hint="eastAsia" w:eastAsia="宋体"/>
                <w:color w:val="auto"/>
                <w:lang w:val="en-US" w:eastAsia="zh-CN"/>
              </w:rPr>
            </w:pPr>
            <w:r>
              <w:rPr>
                <w:rFonts w:hint="eastAsia"/>
                <w:color w:val="auto"/>
                <w:lang w:val="en-US" w:eastAsia="zh-CN"/>
              </w:rPr>
              <w:t>/</w:t>
            </w:r>
          </w:p>
        </w:tc>
        <w:tc>
          <w:tcPr>
            <w:tcW w:w="1971" w:type="dxa"/>
            <w:vAlign w:val="center"/>
          </w:tcPr>
          <w:p w14:paraId="7E6FA218">
            <w:pPr>
              <w:pStyle w:val="59"/>
              <w:bidi w:val="0"/>
            </w:pPr>
            <w:r>
              <w:rPr>
                <w:rFonts w:hint="eastAsia"/>
                <w:lang w:val="en-US" w:eastAsia="zh-CN"/>
              </w:rPr>
              <w:t>次品</w:t>
            </w:r>
          </w:p>
        </w:tc>
        <w:tc>
          <w:tcPr>
            <w:tcW w:w="1875" w:type="dxa"/>
            <w:vAlign w:val="center"/>
          </w:tcPr>
          <w:p w14:paraId="3F2EE8DE">
            <w:pPr>
              <w:pStyle w:val="69"/>
              <w:rPr>
                <w:color w:val="auto"/>
              </w:rPr>
            </w:pPr>
            <w:r>
              <w:rPr>
                <w:color w:val="auto"/>
              </w:rPr>
              <w:t>一般工业固体废物</w:t>
            </w:r>
          </w:p>
        </w:tc>
        <w:tc>
          <w:tcPr>
            <w:tcW w:w="1553" w:type="dxa"/>
            <w:vAlign w:val="center"/>
          </w:tcPr>
          <w:p w14:paraId="5FC2D51B">
            <w:pPr>
              <w:pStyle w:val="69"/>
              <w:rPr>
                <w:color w:val="auto"/>
              </w:rPr>
            </w:pPr>
            <w:r>
              <w:rPr>
                <w:color w:val="auto"/>
              </w:rPr>
              <w:t>产污系数法</w:t>
            </w:r>
          </w:p>
        </w:tc>
        <w:tc>
          <w:tcPr>
            <w:tcW w:w="1132" w:type="dxa"/>
            <w:vAlign w:val="center"/>
          </w:tcPr>
          <w:p w14:paraId="1D624787">
            <w:pPr>
              <w:pStyle w:val="59"/>
              <w:bidi w:val="0"/>
              <w:rPr>
                <w:rFonts w:hint="eastAsia"/>
                <w:lang w:eastAsia="zh-CN"/>
              </w:rPr>
            </w:pPr>
            <w:r>
              <w:rPr>
                <w:rFonts w:hint="default"/>
                <w:lang w:val="en-US" w:eastAsia="zh-CN"/>
              </w:rPr>
              <w:t xml:space="preserve">2.110 </w:t>
            </w:r>
          </w:p>
        </w:tc>
        <w:tc>
          <w:tcPr>
            <w:tcW w:w="1112" w:type="dxa"/>
            <w:vAlign w:val="center"/>
          </w:tcPr>
          <w:p w14:paraId="606074B8">
            <w:pPr>
              <w:pStyle w:val="69"/>
              <w:bidi w:val="0"/>
            </w:pPr>
            <w:r>
              <w:rPr>
                <w:rFonts w:hint="eastAsia"/>
                <w:lang w:val="en-US" w:eastAsia="zh-CN"/>
              </w:rPr>
              <w:t>委外处置</w:t>
            </w:r>
          </w:p>
        </w:tc>
        <w:tc>
          <w:tcPr>
            <w:tcW w:w="1149" w:type="dxa"/>
            <w:shd w:val="clear" w:color="auto" w:fill="auto"/>
            <w:vAlign w:val="center"/>
          </w:tcPr>
          <w:p w14:paraId="2801839F">
            <w:pPr>
              <w:pStyle w:val="59"/>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 xml:space="preserve">2.110 </w:t>
            </w:r>
          </w:p>
        </w:tc>
        <w:tc>
          <w:tcPr>
            <w:tcW w:w="2139" w:type="dxa"/>
            <w:vMerge w:val="continue"/>
            <w:vAlign w:val="center"/>
          </w:tcPr>
          <w:p w14:paraId="59670000">
            <w:pPr>
              <w:pStyle w:val="69"/>
              <w:rPr>
                <w:color w:val="auto"/>
              </w:rPr>
            </w:pPr>
          </w:p>
        </w:tc>
      </w:tr>
      <w:tr w14:paraId="7EA094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3A4440CA">
            <w:pPr>
              <w:pStyle w:val="59"/>
              <w:bidi w:val="0"/>
              <w:rPr>
                <w:rFonts w:hint="eastAsia" w:eastAsia="宋体"/>
                <w:color w:val="auto"/>
                <w:lang w:val="en-US" w:eastAsia="zh-CN"/>
              </w:rPr>
            </w:pPr>
            <w:r>
              <w:rPr>
                <w:rFonts w:hint="eastAsia"/>
                <w:color w:val="auto"/>
                <w:lang w:val="en-US" w:eastAsia="zh-CN"/>
              </w:rPr>
              <w:t>拆包</w:t>
            </w:r>
          </w:p>
        </w:tc>
        <w:tc>
          <w:tcPr>
            <w:tcW w:w="1923" w:type="dxa"/>
            <w:vAlign w:val="center"/>
          </w:tcPr>
          <w:p w14:paraId="6750C667">
            <w:pPr>
              <w:pStyle w:val="59"/>
              <w:bidi w:val="0"/>
              <w:rPr>
                <w:color w:val="auto"/>
              </w:rPr>
            </w:pPr>
            <w:r>
              <w:rPr>
                <w:rFonts w:hint="eastAsia"/>
                <w:color w:val="auto"/>
                <w:lang w:val="en-US" w:eastAsia="zh-CN"/>
              </w:rPr>
              <w:t>/</w:t>
            </w:r>
          </w:p>
        </w:tc>
        <w:tc>
          <w:tcPr>
            <w:tcW w:w="1971" w:type="dxa"/>
            <w:vAlign w:val="center"/>
          </w:tcPr>
          <w:p w14:paraId="5E748FDC">
            <w:pPr>
              <w:pStyle w:val="59"/>
              <w:bidi w:val="0"/>
            </w:pPr>
            <w:r>
              <w:rPr>
                <w:rFonts w:hint="eastAsia"/>
                <w:lang w:val="en-US" w:eastAsia="zh-CN"/>
              </w:rPr>
              <w:t>废普通包装物</w:t>
            </w:r>
          </w:p>
        </w:tc>
        <w:tc>
          <w:tcPr>
            <w:tcW w:w="1875" w:type="dxa"/>
            <w:vAlign w:val="center"/>
          </w:tcPr>
          <w:p w14:paraId="5CAD6BFC">
            <w:pPr>
              <w:pStyle w:val="69"/>
              <w:rPr>
                <w:color w:val="auto"/>
              </w:rPr>
            </w:pPr>
            <w:r>
              <w:rPr>
                <w:color w:val="auto"/>
              </w:rPr>
              <w:t>一般工业固体废物</w:t>
            </w:r>
          </w:p>
        </w:tc>
        <w:tc>
          <w:tcPr>
            <w:tcW w:w="1553" w:type="dxa"/>
            <w:vAlign w:val="center"/>
          </w:tcPr>
          <w:p w14:paraId="6673AAC1">
            <w:pPr>
              <w:pStyle w:val="69"/>
              <w:rPr>
                <w:color w:val="auto"/>
              </w:rPr>
            </w:pPr>
            <w:r>
              <w:rPr>
                <w:color w:val="auto"/>
              </w:rPr>
              <w:t>产污系数法</w:t>
            </w:r>
          </w:p>
        </w:tc>
        <w:tc>
          <w:tcPr>
            <w:tcW w:w="1132" w:type="dxa"/>
            <w:vAlign w:val="center"/>
          </w:tcPr>
          <w:p w14:paraId="5C58396E">
            <w:pPr>
              <w:pStyle w:val="59"/>
              <w:bidi w:val="0"/>
              <w:rPr>
                <w:rFonts w:hint="default"/>
                <w:lang w:val="en-US" w:eastAsia="zh-CN"/>
              </w:rPr>
            </w:pPr>
            <w:r>
              <w:rPr>
                <w:rFonts w:hint="default"/>
                <w:lang w:val="en-US" w:eastAsia="zh-CN"/>
              </w:rPr>
              <w:t xml:space="preserve">2.000 </w:t>
            </w:r>
          </w:p>
        </w:tc>
        <w:tc>
          <w:tcPr>
            <w:tcW w:w="1112" w:type="dxa"/>
            <w:vAlign w:val="center"/>
          </w:tcPr>
          <w:p w14:paraId="444593F6">
            <w:pPr>
              <w:pStyle w:val="69"/>
              <w:bidi w:val="0"/>
            </w:pPr>
            <w:r>
              <w:rPr>
                <w:rFonts w:hint="eastAsia"/>
                <w:lang w:val="en-US" w:eastAsia="zh-CN"/>
              </w:rPr>
              <w:t>委外处置</w:t>
            </w:r>
          </w:p>
        </w:tc>
        <w:tc>
          <w:tcPr>
            <w:tcW w:w="1149" w:type="dxa"/>
            <w:shd w:val="clear" w:color="auto" w:fill="auto"/>
            <w:vAlign w:val="center"/>
          </w:tcPr>
          <w:p w14:paraId="6419216A">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 xml:space="preserve">2.000 </w:t>
            </w:r>
          </w:p>
        </w:tc>
        <w:tc>
          <w:tcPr>
            <w:tcW w:w="2139" w:type="dxa"/>
            <w:vMerge w:val="continue"/>
            <w:vAlign w:val="center"/>
          </w:tcPr>
          <w:p w14:paraId="5CDF6E2B">
            <w:pPr>
              <w:pStyle w:val="69"/>
              <w:rPr>
                <w:color w:val="auto"/>
              </w:rPr>
            </w:pPr>
          </w:p>
        </w:tc>
      </w:tr>
      <w:tr w14:paraId="71B9A4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2AFA41CC">
            <w:pPr>
              <w:pStyle w:val="59"/>
              <w:bidi w:val="0"/>
              <w:rPr>
                <w:rFonts w:hint="default"/>
                <w:color w:val="auto"/>
                <w:lang w:val="en-US" w:eastAsia="zh-CN"/>
              </w:rPr>
            </w:pPr>
            <w:r>
              <w:rPr>
                <w:rFonts w:hint="eastAsia"/>
                <w:color w:val="auto"/>
                <w:lang w:val="en-US" w:eastAsia="zh-CN"/>
              </w:rPr>
              <w:t>印刷</w:t>
            </w:r>
          </w:p>
        </w:tc>
        <w:tc>
          <w:tcPr>
            <w:tcW w:w="1923" w:type="dxa"/>
            <w:vAlign w:val="center"/>
          </w:tcPr>
          <w:p w14:paraId="71AC34B4">
            <w:pPr>
              <w:pStyle w:val="59"/>
              <w:bidi w:val="0"/>
              <w:rPr>
                <w:rFonts w:hint="default"/>
                <w:color w:val="auto"/>
                <w:lang w:val="en-US" w:eastAsia="zh-CN"/>
              </w:rPr>
            </w:pPr>
            <w:r>
              <w:rPr>
                <w:rFonts w:hint="eastAsia"/>
                <w:color w:val="auto"/>
                <w:lang w:val="en-US" w:eastAsia="zh-CN"/>
              </w:rPr>
              <w:t>印刷机</w:t>
            </w:r>
          </w:p>
        </w:tc>
        <w:tc>
          <w:tcPr>
            <w:tcW w:w="1971" w:type="dxa"/>
            <w:vAlign w:val="center"/>
          </w:tcPr>
          <w:p w14:paraId="366C4803">
            <w:pPr>
              <w:pStyle w:val="59"/>
              <w:bidi w:val="0"/>
              <w:rPr>
                <w:rFonts w:hint="default"/>
                <w:lang w:val="en-US" w:eastAsia="zh-CN"/>
              </w:rPr>
            </w:pPr>
            <w:r>
              <w:rPr>
                <w:rFonts w:hint="eastAsia"/>
                <w:lang w:val="en-US" w:eastAsia="zh-CN"/>
              </w:rPr>
              <w:t>废印版</w:t>
            </w:r>
          </w:p>
        </w:tc>
        <w:tc>
          <w:tcPr>
            <w:tcW w:w="1875" w:type="dxa"/>
            <w:vAlign w:val="center"/>
          </w:tcPr>
          <w:p w14:paraId="0DF94485">
            <w:pPr>
              <w:pStyle w:val="69"/>
              <w:rPr>
                <w:color w:val="auto"/>
              </w:rPr>
            </w:pPr>
            <w:r>
              <w:rPr>
                <w:color w:val="auto"/>
              </w:rPr>
              <w:t>一般工业固体废物</w:t>
            </w:r>
          </w:p>
        </w:tc>
        <w:tc>
          <w:tcPr>
            <w:tcW w:w="1553" w:type="dxa"/>
            <w:vAlign w:val="center"/>
          </w:tcPr>
          <w:p w14:paraId="1659C0B1">
            <w:pPr>
              <w:pStyle w:val="69"/>
              <w:rPr>
                <w:color w:val="auto"/>
              </w:rPr>
            </w:pPr>
            <w:r>
              <w:rPr>
                <w:rFonts w:hint="eastAsia"/>
                <w:color w:val="auto"/>
              </w:rPr>
              <w:t>物料平衡法</w:t>
            </w:r>
          </w:p>
        </w:tc>
        <w:tc>
          <w:tcPr>
            <w:tcW w:w="1132" w:type="dxa"/>
            <w:vAlign w:val="center"/>
          </w:tcPr>
          <w:p w14:paraId="7380CA97">
            <w:pPr>
              <w:pStyle w:val="59"/>
              <w:bidi w:val="0"/>
              <w:rPr>
                <w:rFonts w:hint="default"/>
                <w:lang w:val="en-US" w:eastAsia="zh-CN"/>
              </w:rPr>
            </w:pPr>
            <w:r>
              <w:rPr>
                <w:rFonts w:hint="default"/>
                <w:lang w:val="en-US" w:eastAsia="zh-CN"/>
              </w:rPr>
              <w:t xml:space="preserve">1.000 </w:t>
            </w:r>
          </w:p>
        </w:tc>
        <w:tc>
          <w:tcPr>
            <w:tcW w:w="1112" w:type="dxa"/>
            <w:vAlign w:val="center"/>
          </w:tcPr>
          <w:p w14:paraId="6D9763B4">
            <w:pPr>
              <w:pStyle w:val="69"/>
              <w:bidi w:val="0"/>
              <w:rPr>
                <w:rFonts w:hint="eastAsia"/>
                <w:lang w:val="en-US" w:eastAsia="zh-CN"/>
              </w:rPr>
            </w:pPr>
            <w:r>
              <w:rPr>
                <w:rFonts w:hint="eastAsia"/>
                <w:lang w:val="en-US" w:eastAsia="zh-CN"/>
              </w:rPr>
              <w:t>委外利用</w:t>
            </w:r>
          </w:p>
        </w:tc>
        <w:tc>
          <w:tcPr>
            <w:tcW w:w="1149" w:type="dxa"/>
            <w:shd w:val="clear" w:color="auto" w:fill="auto"/>
            <w:vAlign w:val="center"/>
          </w:tcPr>
          <w:p w14:paraId="786E4B69">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 xml:space="preserve">1.000 </w:t>
            </w:r>
          </w:p>
        </w:tc>
        <w:tc>
          <w:tcPr>
            <w:tcW w:w="2139" w:type="dxa"/>
            <w:vMerge w:val="continue"/>
            <w:vAlign w:val="center"/>
          </w:tcPr>
          <w:p w14:paraId="576F1564">
            <w:pPr>
              <w:pStyle w:val="69"/>
              <w:rPr>
                <w:color w:val="auto"/>
              </w:rPr>
            </w:pPr>
          </w:p>
        </w:tc>
      </w:tr>
      <w:tr w14:paraId="25ED35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shd w:val="clear" w:color="auto" w:fill="auto"/>
            <w:vAlign w:val="center"/>
          </w:tcPr>
          <w:p w14:paraId="7D8750FF">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拆包</w:t>
            </w:r>
          </w:p>
        </w:tc>
        <w:tc>
          <w:tcPr>
            <w:tcW w:w="1923" w:type="dxa"/>
            <w:shd w:val="clear" w:color="auto" w:fill="auto"/>
            <w:vAlign w:val="center"/>
          </w:tcPr>
          <w:p w14:paraId="3B9DE2B4">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w:t>
            </w:r>
          </w:p>
        </w:tc>
        <w:tc>
          <w:tcPr>
            <w:tcW w:w="1971" w:type="dxa"/>
            <w:vAlign w:val="center"/>
          </w:tcPr>
          <w:p w14:paraId="36A8FBFF">
            <w:pPr>
              <w:pStyle w:val="59"/>
              <w:bidi w:val="0"/>
              <w:rPr>
                <w:rFonts w:hint="eastAsia"/>
              </w:rPr>
            </w:pPr>
            <w:r>
              <w:rPr>
                <w:rFonts w:hint="eastAsia"/>
                <w:lang w:val="en-US" w:eastAsia="zh-CN"/>
              </w:rPr>
              <w:t>废包装桶</w:t>
            </w:r>
          </w:p>
        </w:tc>
        <w:tc>
          <w:tcPr>
            <w:tcW w:w="1875" w:type="dxa"/>
            <w:vAlign w:val="center"/>
          </w:tcPr>
          <w:p w14:paraId="4BCEFEE4">
            <w:pPr>
              <w:pStyle w:val="69"/>
              <w:rPr>
                <w:color w:val="auto"/>
              </w:rPr>
            </w:pPr>
            <w:r>
              <w:rPr>
                <w:rFonts w:hint="eastAsia"/>
                <w:color w:val="auto"/>
              </w:rPr>
              <w:t>危险废物</w:t>
            </w:r>
          </w:p>
        </w:tc>
        <w:tc>
          <w:tcPr>
            <w:tcW w:w="1553" w:type="dxa"/>
            <w:vAlign w:val="center"/>
          </w:tcPr>
          <w:p w14:paraId="3E2CF4DF">
            <w:pPr>
              <w:pStyle w:val="69"/>
              <w:rPr>
                <w:color w:val="auto"/>
              </w:rPr>
            </w:pPr>
            <w:r>
              <w:rPr>
                <w:rFonts w:hint="eastAsia"/>
                <w:color w:val="auto"/>
              </w:rPr>
              <w:t>物料平衡法</w:t>
            </w:r>
          </w:p>
        </w:tc>
        <w:tc>
          <w:tcPr>
            <w:tcW w:w="1132" w:type="dxa"/>
            <w:vAlign w:val="center"/>
          </w:tcPr>
          <w:p w14:paraId="064E7DA6">
            <w:pPr>
              <w:pStyle w:val="59"/>
              <w:bidi w:val="0"/>
              <w:rPr>
                <w:rFonts w:hint="default"/>
                <w:lang w:val="en-US" w:eastAsia="zh-CN"/>
              </w:rPr>
            </w:pPr>
            <w:r>
              <w:rPr>
                <w:rFonts w:hint="eastAsia"/>
                <w:lang w:val="en-US" w:eastAsia="zh-CN"/>
              </w:rPr>
              <w:t>7.930</w:t>
            </w:r>
            <w:r>
              <w:rPr>
                <w:rFonts w:hint="default"/>
                <w:lang w:val="en-US" w:eastAsia="zh-CN"/>
              </w:rPr>
              <w:t xml:space="preserve"> </w:t>
            </w:r>
          </w:p>
        </w:tc>
        <w:tc>
          <w:tcPr>
            <w:tcW w:w="1112" w:type="dxa"/>
            <w:vAlign w:val="center"/>
          </w:tcPr>
          <w:p w14:paraId="10745F99">
            <w:pPr>
              <w:pStyle w:val="69"/>
              <w:bidi w:val="0"/>
              <w:rPr>
                <w:rFonts w:hint="eastAsia"/>
                <w:lang w:val="en-US" w:eastAsia="zh-CN"/>
              </w:rPr>
            </w:pPr>
            <w:r>
              <w:rPr>
                <w:rFonts w:hint="eastAsia"/>
                <w:lang w:val="en-US" w:eastAsia="zh-CN"/>
              </w:rPr>
              <w:t>委外利用</w:t>
            </w:r>
          </w:p>
        </w:tc>
        <w:tc>
          <w:tcPr>
            <w:tcW w:w="1149" w:type="dxa"/>
            <w:shd w:val="clear" w:color="auto" w:fill="auto"/>
            <w:vAlign w:val="center"/>
          </w:tcPr>
          <w:p w14:paraId="39AA3B8B">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7.930</w:t>
            </w:r>
            <w:r>
              <w:rPr>
                <w:rFonts w:hint="default"/>
                <w:lang w:val="en-US" w:eastAsia="zh-CN"/>
              </w:rPr>
              <w:t xml:space="preserve"> </w:t>
            </w:r>
          </w:p>
        </w:tc>
        <w:tc>
          <w:tcPr>
            <w:tcW w:w="2139" w:type="dxa"/>
            <w:vMerge w:val="restart"/>
            <w:vAlign w:val="center"/>
          </w:tcPr>
          <w:p w14:paraId="75A6D6EC">
            <w:pPr>
              <w:pStyle w:val="69"/>
              <w:rPr>
                <w:color w:val="auto"/>
              </w:rPr>
            </w:pPr>
            <w:r>
              <w:rPr>
                <w:color w:val="auto"/>
              </w:rPr>
              <w:t>交由取得危险废物经营许可证的单位进行处理</w:t>
            </w:r>
          </w:p>
        </w:tc>
      </w:tr>
      <w:tr w14:paraId="077BF3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1B458FFC">
            <w:pPr>
              <w:pStyle w:val="59"/>
              <w:bidi w:val="0"/>
              <w:rPr>
                <w:rFonts w:hint="eastAsia" w:eastAsia="宋体"/>
                <w:color w:val="auto"/>
                <w:lang w:val="en-US" w:eastAsia="zh-CN"/>
              </w:rPr>
            </w:pPr>
            <w:r>
              <w:rPr>
                <w:rFonts w:hint="eastAsia"/>
                <w:color w:val="auto"/>
                <w:lang w:val="en-US" w:eastAsia="zh-CN"/>
              </w:rPr>
              <w:t>换版</w:t>
            </w:r>
          </w:p>
        </w:tc>
        <w:tc>
          <w:tcPr>
            <w:tcW w:w="1923" w:type="dxa"/>
            <w:vAlign w:val="center"/>
          </w:tcPr>
          <w:p w14:paraId="0EE48B25">
            <w:pPr>
              <w:pStyle w:val="59"/>
              <w:bidi w:val="0"/>
              <w:rPr>
                <w:rFonts w:hint="eastAsia" w:eastAsia="宋体"/>
                <w:color w:val="auto"/>
                <w:lang w:val="en-US" w:eastAsia="zh-CN"/>
              </w:rPr>
            </w:pPr>
            <w:r>
              <w:rPr>
                <w:rFonts w:hint="eastAsia"/>
                <w:color w:val="auto"/>
                <w:lang w:val="en-US" w:eastAsia="zh-CN"/>
              </w:rPr>
              <w:t>印刷机</w:t>
            </w:r>
          </w:p>
        </w:tc>
        <w:tc>
          <w:tcPr>
            <w:tcW w:w="1971" w:type="dxa"/>
            <w:vAlign w:val="center"/>
          </w:tcPr>
          <w:p w14:paraId="7D903C70">
            <w:pPr>
              <w:pStyle w:val="59"/>
              <w:bidi w:val="0"/>
              <w:rPr>
                <w:rFonts w:hint="eastAsia"/>
              </w:rPr>
            </w:pPr>
            <w:r>
              <w:rPr>
                <w:rFonts w:hint="eastAsia"/>
                <w:lang w:val="en-US" w:eastAsia="zh-CN"/>
              </w:rPr>
              <w:t>废油墨</w:t>
            </w:r>
          </w:p>
        </w:tc>
        <w:tc>
          <w:tcPr>
            <w:tcW w:w="1875" w:type="dxa"/>
            <w:vAlign w:val="center"/>
          </w:tcPr>
          <w:p w14:paraId="711DE539">
            <w:pPr>
              <w:pStyle w:val="59"/>
              <w:bidi w:val="0"/>
              <w:rPr>
                <w:color w:val="auto"/>
              </w:rPr>
            </w:pPr>
            <w:r>
              <w:rPr>
                <w:rFonts w:hint="eastAsia"/>
                <w:color w:val="auto"/>
              </w:rPr>
              <w:t>危险废物</w:t>
            </w:r>
          </w:p>
        </w:tc>
        <w:tc>
          <w:tcPr>
            <w:tcW w:w="1553" w:type="dxa"/>
            <w:vAlign w:val="center"/>
          </w:tcPr>
          <w:p w14:paraId="5CBEB255">
            <w:pPr>
              <w:pStyle w:val="59"/>
              <w:bidi w:val="0"/>
              <w:rPr>
                <w:rFonts w:hint="eastAsia"/>
                <w:color w:val="auto"/>
              </w:rPr>
            </w:pPr>
            <w:r>
              <w:rPr>
                <w:rFonts w:hint="eastAsia"/>
                <w:color w:val="auto"/>
              </w:rPr>
              <w:t>物料平衡法</w:t>
            </w:r>
          </w:p>
        </w:tc>
        <w:tc>
          <w:tcPr>
            <w:tcW w:w="1132" w:type="dxa"/>
            <w:vAlign w:val="center"/>
          </w:tcPr>
          <w:p w14:paraId="497D0198">
            <w:pPr>
              <w:pStyle w:val="59"/>
              <w:bidi w:val="0"/>
              <w:rPr>
                <w:rFonts w:hint="default"/>
                <w:lang w:val="en-US" w:eastAsia="zh-CN"/>
              </w:rPr>
            </w:pPr>
            <w:r>
              <w:rPr>
                <w:rFonts w:hint="default"/>
                <w:lang w:val="en-US" w:eastAsia="zh-CN"/>
              </w:rPr>
              <w:t xml:space="preserve">0.449 </w:t>
            </w:r>
          </w:p>
        </w:tc>
        <w:tc>
          <w:tcPr>
            <w:tcW w:w="1112" w:type="dxa"/>
            <w:vAlign w:val="center"/>
          </w:tcPr>
          <w:p w14:paraId="4660EBB9">
            <w:pPr>
              <w:pStyle w:val="69"/>
              <w:bidi w:val="0"/>
              <w:rPr>
                <w:rFonts w:hint="eastAsia"/>
                <w:lang w:val="en-US" w:eastAsia="zh-CN"/>
              </w:rPr>
            </w:pPr>
            <w:r>
              <w:rPr>
                <w:rFonts w:hint="eastAsia"/>
                <w:lang w:val="en-US" w:eastAsia="zh-CN"/>
              </w:rPr>
              <w:t>委外处置</w:t>
            </w:r>
          </w:p>
        </w:tc>
        <w:tc>
          <w:tcPr>
            <w:tcW w:w="1149" w:type="dxa"/>
            <w:shd w:val="clear" w:color="auto" w:fill="auto"/>
            <w:vAlign w:val="center"/>
          </w:tcPr>
          <w:p w14:paraId="6B42B97B">
            <w:pPr>
              <w:pStyle w:val="59"/>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 xml:space="preserve">0.449 </w:t>
            </w:r>
          </w:p>
        </w:tc>
        <w:tc>
          <w:tcPr>
            <w:tcW w:w="2139" w:type="dxa"/>
            <w:vMerge w:val="continue"/>
            <w:vAlign w:val="center"/>
          </w:tcPr>
          <w:p w14:paraId="60FF18BF">
            <w:pPr>
              <w:pStyle w:val="69"/>
              <w:rPr>
                <w:rFonts w:hint="eastAsia"/>
                <w:color w:val="auto"/>
                <w:lang w:val="en-US" w:eastAsia="zh-CN"/>
              </w:rPr>
            </w:pPr>
          </w:p>
        </w:tc>
      </w:tr>
      <w:tr w14:paraId="693CA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0C31EC04">
            <w:pPr>
              <w:pStyle w:val="59"/>
              <w:bidi w:val="0"/>
              <w:rPr>
                <w:rFonts w:hint="default"/>
                <w:color w:val="auto"/>
                <w:lang w:val="en-US" w:eastAsia="zh-CN"/>
              </w:rPr>
            </w:pPr>
            <w:r>
              <w:rPr>
                <w:rFonts w:hint="eastAsia"/>
                <w:color w:val="auto"/>
                <w:lang w:val="en-US" w:eastAsia="zh-CN"/>
              </w:rPr>
              <w:t>维护、保养设备</w:t>
            </w:r>
          </w:p>
        </w:tc>
        <w:tc>
          <w:tcPr>
            <w:tcW w:w="1923" w:type="dxa"/>
            <w:vAlign w:val="center"/>
          </w:tcPr>
          <w:p w14:paraId="652E7AE4">
            <w:pPr>
              <w:pStyle w:val="59"/>
              <w:bidi w:val="0"/>
              <w:rPr>
                <w:rFonts w:hint="default"/>
                <w:color w:val="auto"/>
                <w:lang w:val="en-US" w:eastAsia="zh-CN"/>
              </w:rPr>
            </w:pPr>
            <w:r>
              <w:rPr>
                <w:rFonts w:hint="eastAsia"/>
                <w:color w:val="auto"/>
                <w:lang w:val="en-US" w:eastAsia="zh-CN"/>
              </w:rPr>
              <w:t>印刷机</w:t>
            </w:r>
          </w:p>
        </w:tc>
        <w:tc>
          <w:tcPr>
            <w:tcW w:w="1971" w:type="dxa"/>
            <w:vAlign w:val="center"/>
          </w:tcPr>
          <w:p w14:paraId="1C4A401A">
            <w:pPr>
              <w:pStyle w:val="59"/>
              <w:bidi w:val="0"/>
              <w:rPr>
                <w:lang w:val="en-US" w:eastAsia="zh-CN"/>
              </w:rPr>
            </w:pPr>
            <w:r>
              <w:rPr>
                <w:rFonts w:hint="eastAsia"/>
                <w:lang w:val="en-US" w:eastAsia="zh-CN"/>
              </w:rPr>
              <w:t>废矿物油及其包装罐</w:t>
            </w:r>
          </w:p>
        </w:tc>
        <w:tc>
          <w:tcPr>
            <w:tcW w:w="1875" w:type="dxa"/>
            <w:vAlign w:val="center"/>
          </w:tcPr>
          <w:p w14:paraId="36B332A6">
            <w:pPr>
              <w:pStyle w:val="59"/>
              <w:bidi w:val="0"/>
              <w:rPr>
                <w:color w:val="auto"/>
                <w:lang w:val="en-US" w:eastAsia="zh-CN"/>
              </w:rPr>
            </w:pPr>
            <w:r>
              <w:rPr>
                <w:rFonts w:hint="eastAsia"/>
                <w:color w:val="auto"/>
              </w:rPr>
              <w:t>危险废物</w:t>
            </w:r>
          </w:p>
        </w:tc>
        <w:tc>
          <w:tcPr>
            <w:tcW w:w="1553" w:type="dxa"/>
            <w:vAlign w:val="center"/>
          </w:tcPr>
          <w:p w14:paraId="73D39F9A">
            <w:pPr>
              <w:pStyle w:val="59"/>
              <w:bidi w:val="0"/>
              <w:rPr>
                <w:color w:val="auto"/>
                <w:lang w:val="en-US" w:eastAsia="zh-CN"/>
              </w:rPr>
            </w:pPr>
            <w:r>
              <w:rPr>
                <w:rFonts w:hint="eastAsia"/>
                <w:color w:val="auto"/>
              </w:rPr>
              <w:t>物料平衡法</w:t>
            </w:r>
          </w:p>
        </w:tc>
        <w:tc>
          <w:tcPr>
            <w:tcW w:w="1132" w:type="dxa"/>
            <w:vAlign w:val="center"/>
          </w:tcPr>
          <w:p w14:paraId="1AF169C7">
            <w:pPr>
              <w:pStyle w:val="59"/>
              <w:bidi w:val="0"/>
              <w:rPr>
                <w:rFonts w:hint="eastAsia"/>
                <w:lang w:val="en-US" w:eastAsia="zh-CN"/>
              </w:rPr>
            </w:pPr>
            <w:r>
              <w:rPr>
                <w:rFonts w:hint="default"/>
                <w:lang w:val="en-US" w:eastAsia="zh-CN"/>
              </w:rPr>
              <w:t xml:space="preserve">0.236 </w:t>
            </w:r>
          </w:p>
        </w:tc>
        <w:tc>
          <w:tcPr>
            <w:tcW w:w="1112" w:type="dxa"/>
            <w:vAlign w:val="center"/>
          </w:tcPr>
          <w:p w14:paraId="72030E3B">
            <w:pPr>
              <w:pStyle w:val="69"/>
              <w:bidi w:val="0"/>
              <w:rPr>
                <w:lang w:val="en-US" w:eastAsia="zh-CN"/>
              </w:rPr>
            </w:pPr>
            <w:r>
              <w:rPr>
                <w:rFonts w:hint="eastAsia"/>
                <w:lang w:val="en-US" w:eastAsia="zh-CN"/>
              </w:rPr>
              <w:t>委外处置</w:t>
            </w:r>
          </w:p>
        </w:tc>
        <w:tc>
          <w:tcPr>
            <w:tcW w:w="1149" w:type="dxa"/>
            <w:shd w:val="clear" w:color="auto" w:fill="auto"/>
            <w:vAlign w:val="center"/>
          </w:tcPr>
          <w:p w14:paraId="1CF5F717">
            <w:pPr>
              <w:pStyle w:val="59"/>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 xml:space="preserve">0.236 </w:t>
            </w:r>
          </w:p>
        </w:tc>
        <w:tc>
          <w:tcPr>
            <w:tcW w:w="2139" w:type="dxa"/>
            <w:vMerge w:val="continue"/>
            <w:vAlign w:val="center"/>
          </w:tcPr>
          <w:p w14:paraId="3FA14F85">
            <w:pPr>
              <w:pStyle w:val="69"/>
              <w:rPr>
                <w:color w:val="auto"/>
              </w:rPr>
            </w:pPr>
          </w:p>
        </w:tc>
      </w:tr>
      <w:tr w14:paraId="51367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54A63BFB">
            <w:pPr>
              <w:pStyle w:val="59"/>
              <w:bidi w:val="0"/>
              <w:rPr>
                <w:color w:val="auto"/>
              </w:rPr>
            </w:pPr>
            <w:r>
              <w:rPr>
                <w:rFonts w:hint="eastAsia"/>
                <w:color w:val="auto"/>
                <w:lang w:val="en-US" w:eastAsia="zh-CN"/>
              </w:rPr>
              <w:t>维护、保养设备</w:t>
            </w:r>
          </w:p>
        </w:tc>
        <w:tc>
          <w:tcPr>
            <w:tcW w:w="1923" w:type="dxa"/>
            <w:vAlign w:val="center"/>
          </w:tcPr>
          <w:p w14:paraId="6752E683">
            <w:pPr>
              <w:pStyle w:val="59"/>
              <w:bidi w:val="0"/>
              <w:rPr>
                <w:rFonts w:hint="eastAsia"/>
                <w:color w:val="auto"/>
                <w:lang w:val="en-US" w:eastAsia="zh-CN"/>
              </w:rPr>
            </w:pPr>
            <w:r>
              <w:rPr>
                <w:rFonts w:hint="eastAsia"/>
                <w:color w:val="auto"/>
                <w:lang w:val="en-US" w:eastAsia="zh-CN"/>
              </w:rPr>
              <w:t>印刷机</w:t>
            </w:r>
          </w:p>
        </w:tc>
        <w:tc>
          <w:tcPr>
            <w:tcW w:w="1971" w:type="dxa"/>
            <w:vAlign w:val="center"/>
          </w:tcPr>
          <w:p w14:paraId="5DE8DD74">
            <w:pPr>
              <w:pStyle w:val="59"/>
              <w:bidi w:val="0"/>
              <w:rPr>
                <w:lang w:val="en-US" w:eastAsia="zh-CN"/>
              </w:rPr>
            </w:pPr>
            <w:r>
              <w:rPr>
                <w:rFonts w:hint="eastAsia"/>
                <w:lang w:val="en-US" w:eastAsia="zh-CN"/>
              </w:rPr>
              <w:t>废擦机布和手套</w:t>
            </w:r>
          </w:p>
        </w:tc>
        <w:tc>
          <w:tcPr>
            <w:tcW w:w="1875" w:type="dxa"/>
            <w:vAlign w:val="center"/>
          </w:tcPr>
          <w:p w14:paraId="30BB4C17">
            <w:pPr>
              <w:pStyle w:val="59"/>
              <w:bidi w:val="0"/>
              <w:rPr>
                <w:color w:val="auto"/>
              </w:rPr>
            </w:pPr>
            <w:r>
              <w:rPr>
                <w:rFonts w:hint="eastAsia"/>
                <w:color w:val="auto"/>
              </w:rPr>
              <w:t>危险废物</w:t>
            </w:r>
          </w:p>
        </w:tc>
        <w:tc>
          <w:tcPr>
            <w:tcW w:w="1553" w:type="dxa"/>
            <w:vAlign w:val="center"/>
          </w:tcPr>
          <w:p w14:paraId="22E179B1">
            <w:pPr>
              <w:pStyle w:val="59"/>
              <w:bidi w:val="0"/>
              <w:rPr>
                <w:color w:val="auto"/>
              </w:rPr>
            </w:pPr>
            <w:r>
              <w:rPr>
                <w:rFonts w:hint="eastAsia"/>
                <w:color w:val="auto"/>
              </w:rPr>
              <w:t>物料平衡法</w:t>
            </w:r>
          </w:p>
        </w:tc>
        <w:tc>
          <w:tcPr>
            <w:tcW w:w="1132" w:type="dxa"/>
            <w:vAlign w:val="center"/>
          </w:tcPr>
          <w:p w14:paraId="14B2B9E4">
            <w:pPr>
              <w:pStyle w:val="59"/>
              <w:bidi w:val="0"/>
              <w:rPr>
                <w:rFonts w:hint="default"/>
                <w:lang w:val="en-US" w:eastAsia="zh-CN"/>
              </w:rPr>
            </w:pPr>
            <w:r>
              <w:rPr>
                <w:rFonts w:hint="default"/>
                <w:lang w:val="en-US" w:eastAsia="zh-CN"/>
              </w:rPr>
              <w:t xml:space="preserve">6.020 </w:t>
            </w:r>
          </w:p>
        </w:tc>
        <w:tc>
          <w:tcPr>
            <w:tcW w:w="1112" w:type="dxa"/>
            <w:vAlign w:val="center"/>
          </w:tcPr>
          <w:p w14:paraId="2FE34A05">
            <w:pPr>
              <w:pStyle w:val="69"/>
              <w:bidi w:val="0"/>
            </w:pPr>
            <w:r>
              <w:rPr>
                <w:rFonts w:hint="eastAsia"/>
                <w:lang w:val="en-US" w:eastAsia="zh-CN"/>
              </w:rPr>
              <w:t>委外处置</w:t>
            </w:r>
          </w:p>
        </w:tc>
        <w:tc>
          <w:tcPr>
            <w:tcW w:w="1149" w:type="dxa"/>
            <w:shd w:val="clear" w:color="auto" w:fill="auto"/>
            <w:vAlign w:val="center"/>
          </w:tcPr>
          <w:p w14:paraId="5080F99B">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 xml:space="preserve">6.020 </w:t>
            </w:r>
          </w:p>
        </w:tc>
        <w:tc>
          <w:tcPr>
            <w:tcW w:w="2139" w:type="dxa"/>
            <w:vMerge w:val="continue"/>
            <w:vAlign w:val="center"/>
          </w:tcPr>
          <w:p w14:paraId="2FC169D8">
            <w:pPr>
              <w:pStyle w:val="69"/>
              <w:rPr>
                <w:color w:val="auto"/>
              </w:rPr>
            </w:pPr>
          </w:p>
        </w:tc>
      </w:tr>
      <w:tr w14:paraId="315E6C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7F651626">
            <w:pPr>
              <w:pStyle w:val="59"/>
              <w:bidi w:val="0"/>
              <w:rPr>
                <w:rFonts w:hint="default" w:eastAsia="宋体"/>
                <w:color w:val="auto"/>
                <w:lang w:val="en-US" w:eastAsia="zh-CN"/>
              </w:rPr>
            </w:pPr>
            <w:r>
              <w:rPr>
                <w:rFonts w:hint="eastAsia"/>
                <w:color w:val="auto"/>
                <w:lang w:val="en-US" w:eastAsia="zh-CN"/>
              </w:rPr>
              <w:t>废气处理</w:t>
            </w:r>
          </w:p>
        </w:tc>
        <w:tc>
          <w:tcPr>
            <w:tcW w:w="1923" w:type="dxa"/>
            <w:vAlign w:val="center"/>
          </w:tcPr>
          <w:p w14:paraId="0675345A">
            <w:pPr>
              <w:pStyle w:val="59"/>
              <w:bidi w:val="0"/>
              <w:rPr>
                <w:rFonts w:hint="default"/>
                <w:color w:val="auto"/>
                <w:lang w:val="en-US" w:eastAsia="zh-CN"/>
              </w:rPr>
            </w:pPr>
            <w:r>
              <w:rPr>
                <w:rFonts w:hint="eastAsia"/>
                <w:color w:val="auto"/>
                <w:lang w:val="en-US" w:eastAsia="zh-CN"/>
              </w:rPr>
              <w:t>干式过滤器</w:t>
            </w:r>
          </w:p>
        </w:tc>
        <w:tc>
          <w:tcPr>
            <w:tcW w:w="1971" w:type="dxa"/>
            <w:vAlign w:val="center"/>
          </w:tcPr>
          <w:p w14:paraId="1C65D9BD">
            <w:pPr>
              <w:pStyle w:val="59"/>
              <w:bidi w:val="0"/>
              <w:rPr>
                <w:rFonts w:hint="eastAsia"/>
              </w:rPr>
            </w:pPr>
            <w:r>
              <w:rPr>
                <w:rFonts w:hint="eastAsia"/>
                <w:lang w:val="en-US" w:eastAsia="zh-CN"/>
              </w:rPr>
              <w:t>废过滤袋</w:t>
            </w:r>
          </w:p>
        </w:tc>
        <w:tc>
          <w:tcPr>
            <w:tcW w:w="1875" w:type="dxa"/>
            <w:vAlign w:val="center"/>
          </w:tcPr>
          <w:p w14:paraId="575EF79C">
            <w:pPr>
              <w:pStyle w:val="59"/>
              <w:bidi w:val="0"/>
              <w:rPr>
                <w:rFonts w:hint="eastAsia"/>
                <w:color w:val="auto"/>
              </w:rPr>
            </w:pPr>
            <w:r>
              <w:rPr>
                <w:rFonts w:hint="eastAsia"/>
                <w:color w:val="auto"/>
                <w:lang w:val="en-US" w:eastAsia="zh-CN"/>
              </w:rPr>
              <w:t>危险废物</w:t>
            </w:r>
          </w:p>
        </w:tc>
        <w:tc>
          <w:tcPr>
            <w:tcW w:w="1553" w:type="dxa"/>
            <w:vAlign w:val="center"/>
          </w:tcPr>
          <w:p w14:paraId="03139D8F">
            <w:pPr>
              <w:pStyle w:val="59"/>
              <w:bidi w:val="0"/>
              <w:rPr>
                <w:rFonts w:hint="eastAsia"/>
                <w:color w:val="auto"/>
              </w:rPr>
            </w:pPr>
            <w:r>
              <w:rPr>
                <w:rFonts w:hint="eastAsia"/>
                <w:color w:val="auto"/>
              </w:rPr>
              <w:t>物料平衡法</w:t>
            </w:r>
          </w:p>
        </w:tc>
        <w:tc>
          <w:tcPr>
            <w:tcW w:w="1132" w:type="dxa"/>
            <w:vAlign w:val="center"/>
          </w:tcPr>
          <w:p w14:paraId="0EFF3C1B">
            <w:pPr>
              <w:pStyle w:val="59"/>
              <w:bidi w:val="0"/>
              <w:rPr>
                <w:rFonts w:hint="default"/>
                <w:lang w:val="en-US" w:eastAsia="zh-CN"/>
              </w:rPr>
            </w:pPr>
            <w:r>
              <w:rPr>
                <w:rFonts w:hint="default"/>
                <w:lang w:val="en-US" w:eastAsia="zh-CN"/>
              </w:rPr>
              <w:t xml:space="preserve">0.240 </w:t>
            </w:r>
          </w:p>
        </w:tc>
        <w:tc>
          <w:tcPr>
            <w:tcW w:w="1112" w:type="dxa"/>
            <w:vAlign w:val="center"/>
          </w:tcPr>
          <w:p w14:paraId="7046FA08">
            <w:pPr>
              <w:pStyle w:val="69"/>
              <w:bidi w:val="0"/>
              <w:rPr>
                <w:rFonts w:hint="eastAsia"/>
                <w:lang w:val="en-US" w:eastAsia="zh-CN"/>
              </w:rPr>
            </w:pPr>
            <w:r>
              <w:rPr>
                <w:rFonts w:hint="eastAsia"/>
                <w:lang w:val="en-US" w:eastAsia="zh-CN"/>
              </w:rPr>
              <w:t>委外处置</w:t>
            </w:r>
          </w:p>
        </w:tc>
        <w:tc>
          <w:tcPr>
            <w:tcW w:w="1149" w:type="dxa"/>
            <w:shd w:val="clear" w:color="auto" w:fill="auto"/>
            <w:vAlign w:val="center"/>
          </w:tcPr>
          <w:p w14:paraId="654CD50E">
            <w:pPr>
              <w:pStyle w:val="59"/>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 xml:space="preserve">0.240 </w:t>
            </w:r>
          </w:p>
        </w:tc>
        <w:tc>
          <w:tcPr>
            <w:tcW w:w="2139" w:type="dxa"/>
            <w:vMerge w:val="continue"/>
            <w:vAlign w:val="center"/>
          </w:tcPr>
          <w:p w14:paraId="037501F8">
            <w:pPr>
              <w:pStyle w:val="69"/>
              <w:rPr>
                <w:color w:val="auto"/>
              </w:rPr>
            </w:pPr>
          </w:p>
        </w:tc>
      </w:tr>
      <w:tr w14:paraId="0F6877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0A263702">
            <w:pPr>
              <w:pStyle w:val="59"/>
              <w:bidi w:val="0"/>
              <w:rPr>
                <w:color w:val="auto"/>
              </w:rPr>
            </w:pPr>
            <w:r>
              <w:rPr>
                <w:rFonts w:hint="eastAsia"/>
                <w:color w:val="auto"/>
                <w:lang w:val="en-US" w:eastAsia="zh-CN"/>
              </w:rPr>
              <w:t>废气处理</w:t>
            </w:r>
          </w:p>
        </w:tc>
        <w:tc>
          <w:tcPr>
            <w:tcW w:w="1923" w:type="dxa"/>
            <w:vAlign w:val="center"/>
          </w:tcPr>
          <w:p w14:paraId="4DE520F7">
            <w:pPr>
              <w:pStyle w:val="59"/>
              <w:bidi w:val="0"/>
              <w:rPr>
                <w:rFonts w:hint="default"/>
                <w:color w:val="auto"/>
                <w:lang w:val="en-US" w:eastAsia="zh-CN"/>
              </w:rPr>
            </w:pPr>
            <w:r>
              <w:rPr>
                <w:rFonts w:hint="eastAsia"/>
                <w:color w:val="auto"/>
                <w:lang w:val="en-US" w:eastAsia="zh-CN"/>
              </w:rPr>
              <w:t>RTO装置</w:t>
            </w:r>
          </w:p>
        </w:tc>
        <w:tc>
          <w:tcPr>
            <w:tcW w:w="1971" w:type="dxa"/>
            <w:vAlign w:val="center"/>
          </w:tcPr>
          <w:p w14:paraId="21F7FB09">
            <w:pPr>
              <w:pStyle w:val="59"/>
              <w:bidi w:val="0"/>
              <w:rPr>
                <w:lang w:val="en-US" w:eastAsia="zh-CN"/>
              </w:rPr>
            </w:pPr>
            <w:r>
              <w:rPr>
                <w:rFonts w:hint="eastAsia"/>
                <w:lang w:val="en-US" w:eastAsia="zh-CN"/>
              </w:rPr>
              <w:t>废分子筛</w:t>
            </w:r>
          </w:p>
        </w:tc>
        <w:tc>
          <w:tcPr>
            <w:tcW w:w="1875" w:type="dxa"/>
            <w:vAlign w:val="center"/>
          </w:tcPr>
          <w:p w14:paraId="4DECDB98">
            <w:pPr>
              <w:pStyle w:val="59"/>
              <w:bidi w:val="0"/>
              <w:rPr>
                <w:color w:val="auto"/>
              </w:rPr>
            </w:pPr>
            <w:r>
              <w:rPr>
                <w:rFonts w:hint="eastAsia"/>
                <w:color w:val="auto"/>
              </w:rPr>
              <w:t>危险废物</w:t>
            </w:r>
          </w:p>
        </w:tc>
        <w:tc>
          <w:tcPr>
            <w:tcW w:w="1553" w:type="dxa"/>
            <w:vAlign w:val="center"/>
          </w:tcPr>
          <w:p w14:paraId="552899F3">
            <w:pPr>
              <w:pStyle w:val="59"/>
              <w:bidi w:val="0"/>
              <w:rPr>
                <w:color w:val="auto"/>
              </w:rPr>
            </w:pPr>
            <w:r>
              <w:rPr>
                <w:rFonts w:hint="eastAsia"/>
                <w:color w:val="auto"/>
              </w:rPr>
              <w:t>物料平衡法</w:t>
            </w:r>
          </w:p>
        </w:tc>
        <w:tc>
          <w:tcPr>
            <w:tcW w:w="1132" w:type="dxa"/>
            <w:vAlign w:val="center"/>
          </w:tcPr>
          <w:p w14:paraId="4415896C">
            <w:pPr>
              <w:pStyle w:val="59"/>
              <w:bidi w:val="0"/>
              <w:rPr>
                <w:rFonts w:hint="default"/>
                <w:lang w:val="en-US" w:eastAsia="zh-CN"/>
              </w:rPr>
            </w:pPr>
            <w:r>
              <w:rPr>
                <w:rFonts w:hint="default"/>
                <w:lang w:val="en-US" w:eastAsia="zh-CN"/>
              </w:rPr>
              <w:t>5.6t/3a</w:t>
            </w:r>
          </w:p>
        </w:tc>
        <w:tc>
          <w:tcPr>
            <w:tcW w:w="1112" w:type="dxa"/>
            <w:vAlign w:val="center"/>
          </w:tcPr>
          <w:p w14:paraId="094689A5">
            <w:pPr>
              <w:pStyle w:val="69"/>
              <w:bidi w:val="0"/>
              <w:rPr>
                <w:rFonts w:hint="default"/>
                <w:lang w:val="en-US"/>
              </w:rPr>
            </w:pPr>
            <w:r>
              <w:rPr>
                <w:rFonts w:hint="eastAsia"/>
                <w:lang w:val="en-US" w:eastAsia="zh-CN"/>
              </w:rPr>
              <w:t>委外利用</w:t>
            </w:r>
          </w:p>
        </w:tc>
        <w:tc>
          <w:tcPr>
            <w:tcW w:w="1149" w:type="dxa"/>
            <w:shd w:val="clear" w:color="auto" w:fill="auto"/>
            <w:vAlign w:val="center"/>
          </w:tcPr>
          <w:p w14:paraId="456CE5E5">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5.6t/3a</w:t>
            </w:r>
          </w:p>
        </w:tc>
        <w:tc>
          <w:tcPr>
            <w:tcW w:w="2139" w:type="dxa"/>
            <w:vMerge w:val="continue"/>
            <w:vAlign w:val="center"/>
          </w:tcPr>
          <w:p w14:paraId="4CDE18EA">
            <w:pPr>
              <w:pStyle w:val="69"/>
              <w:rPr>
                <w:color w:val="auto"/>
              </w:rPr>
            </w:pPr>
          </w:p>
        </w:tc>
      </w:tr>
      <w:tr w14:paraId="30551F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02" w:type="dxa"/>
            <w:vAlign w:val="center"/>
          </w:tcPr>
          <w:p w14:paraId="58F67931">
            <w:pPr>
              <w:pStyle w:val="59"/>
              <w:bidi w:val="0"/>
              <w:rPr>
                <w:rFonts w:hint="eastAsia"/>
                <w:color w:val="auto"/>
                <w:lang w:val="en-US" w:eastAsia="zh-CN"/>
              </w:rPr>
            </w:pPr>
            <w:r>
              <w:rPr>
                <w:rFonts w:hint="eastAsia"/>
                <w:color w:val="auto"/>
                <w:lang w:val="en-US" w:eastAsia="zh-CN"/>
              </w:rPr>
              <w:t>废气处理</w:t>
            </w:r>
          </w:p>
        </w:tc>
        <w:tc>
          <w:tcPr>
            <w:tcW w:w="1923" w:type="dxa"/>
            <w:vAlign w:val="center"/>
          </w:tcPr>
          <w:p w14:paraId="27BDFFED">
            <w:pPr>
              <w:pStyle w:val="59"/>
              <w:bidi w:val="0"/>
              <w:rPr>
                <w:rFonts w:hint="default"/>
                <w:color w:val="auto"/>
                <w:lang w:val="en-US" w:eastAsia="zh-CN"/>
              </w:rPr>
            </w:pPr>
            <w:r>
              <w:rPr>
                <w:rFonts w:hint="eastAsia"/>
                <w:color w:val="auto"/>
                <w:lang w:val="en-US" w:eastAsia="zh-CN"/>
              </w:rPr>
              <w:t>活性炭吸附装置</w:t>
            </w:r>
          </w:p>
        </w:tc>
        <w:tc>
          <w:tcPr>
            <w:tcW w:w="1971" w:type="dxa"/>
            <w:vAlign w:val="center"/>
          </w:tcPr>
          <w:p w14:paraId="3EAEE2F8">
            <w:pPr>
              <w:pStyle w:val="59"/>
              <w:bidi w:val="0"/>
              <w:rPr>
                <w:rFonts w:hint="default"/>
                <w:lang w:val="en-US" w:eastAsia="zh-CN"/>
              </w:rPr>
            </w:pPr>
            <w:r>
              <w:rPr>
                <w:rFonts w:hint="eastAsia"/>
                <w:lang w:val="en-US" w:eastAsia="zh-CN"/>
              </w:rPr>
              <w:t>废饱和活性炭</w:t>
            </w:r>
          </w:p>
        </w:tc>
        <w:tc>
          <w:tcPr>
            <w:tcW w:w="1875" w:type="dxa"/>
            <w:vAlign w:val="center"/>
          </w:tcPr>
          <w:p w14:paraId="05F88F61">
            <w:pPr>
              <w:pStyle w:val="59"/>
              <w:bidi w:val="0"/>
              <w:rPr>
                <w:rFonts w:hint="eastAsia"/>
                <w:color w:val="auto"/>
              </w:rPr>
            </w:pPr>
            <w:r>
              <w:rPr>
                <w:rFonts w:hint="eastAsia"/>
                <w:color w:val="auto"/>
              </w:rPr>
              <w:t>危险废物</w:t>
            </w:r>
          </w:p>
        </w:tc>
        <w:tc>
          <w:tcPr>
            <w:tcW w:w="1553" w:type="dxa"/>
            <w:vAlign w:val="center"/>
          </w:tcPr>
          <w:p w14:paraId="734B085D">
            <w:pPr>
              <w:pStyle w:val="59"/>
              <w:bidi w:val="0"/>
              <w:rPr>
                <w:rFonts w:hint="eastAsia"/>
                <w:color w:val="auto"/>
              </w:rPr>
            </w:pPr>
            <w:r>
              <w:rPr>
                <w:rFonts w:hint="eastAsia"/>
                <w:color w:val="auto"/>
              </w:rPr>
              <w:t>物料平衡法</w:t>
            </w:r>
          </w:p>
        </w:tc>
        <w:tc>
          <w:tcPr>
            <w:tcW w:w="1132" w:type="dxa"/>
            <w:vAlign w:val="center"/>
          </w:tcPr>
          <w:p w14:paraId="5B3D6182">
            <w:pPr>
              <w:pStyle w:val="59"/>
              <w:bidi w:val="0"/>
              <w:rPr>
                <w:rFonts w:hint="default"/>
                <w:lang w:val="en-US" w:eastAsia="zh-CN"/>
              </w:rPr>
            </w:pPr>
            <w:r>
              <w:rPr>
                <w:rFonts w:hint="default"/>
                <w:lang w:val="en-US" w:eastAsia="zh-CN"/>
              </w:rPr>
              <w:t xml:space="preserve">7.045 </w:t>
            </w:r>
          </w:p>
        </w:tc>
        <w:tc>
          <w:tcPr>
            <w:tcW w:w="1112" w:type="dxa"/>
            <w:vAlign w:val="center"/>
          </w:tcPr>
          <w:p w14:paraId="5471BE3B">
            <w:pPr>
              <w:pStyle w:val="69"/>
              <w:bidi w:val="0"/>
              <w:rPr>
                <w:rFonts w:hint="eastAsia"/>
                <w:lang w:val="en-US" w:eastAsia="zh-CN"/>
              </w:rPr>
            </w:pPr>
            <w:r>
              <w:rPr>
                <w:rFonts w:hint="eastAsia"/>
                <w:lang w:val="en-US" w:eastAsia="zh-CN"/>
              </w:rPr>
              <w:t>委外处置</w:t>
            </w:r>
          </w:p>
        </w:tc>
        <w:tc>
          <w:tcPr>
            <w:tcW w:w="1149" w:type="dxa"/>
            <w:shd w:val="clear" w:color="auto" w:fill="auto"/>
            <w:vAlign w:val="center"/>
          </w:tcPr>
          <w:p w14:paraId="2634B331">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 xml:space="preserve">7.045 </w:t>
            </w:r>
          </w:p>
        </w:tc>
        <w:tc>
          <w:tcPr>
            <w:tcW w:w="2139" w:type="dxa"/>
            <w:vMerge w:val="continue"/>
            <w:vAlign w:val="center"/>
          </w:tcPr>
          <w:p w14:paraId="2E9E9505">
            <w:pPr>
              <w:pStyle w:val="69"/>
              <w:rPr>
                <w:color w:val="auto"/>
              </w:rPr>
            </w:pPr>
          </w:p>
        </w:tc>
      </w:tr>
    </w:tbl>
    <w:p w14:paraId="46F4F68B">
      <w:pPr>
        <w:pStyle w:val="63"/>
        <w:ind w:firstLine="420"/>
        <w:rPr>
          <w:color w:val="auto"/>
        </w:rPr>
      </w:pPr>
      <w:r>
        <w:rPr>
          <w:color w:val="auto"/>
        </w:rPr>
        <w:t>注：固废属性指第Ⅰ类一般工业固体废物、第Ⅱ类一般工业固体废物、危险废物、生活垃圾等。</w:t>
      </w:r>
    </w:p>
    <w:p w14:paraId="0B3B549B">
      <w:pPr>
        <w:pStyle w:val="62"/>
        <w:numPr>
          <w:ilvl w:val="0"/>
          <w:numId w:val="30"/>
        </w:numPr>
        <w:tabs>
          <w:tab w:val="left" w:pos="2411"/>
        </w:tabs>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lang w:val="en-US" w:eastAsia="zh-CN"/>
        </w:rPr>
        <w:t>全厂</w:t>
      </w:r>
      <w:r>
        <w:rPr>
          <w:rFonts w:hint="eastAsia" w:ascii="Times New Roman" w:hAnsi="Times New Roman" w:eastAsia="宋体" w:cs="Times New Roman"/>
        </w:rPr>
        <w:t>危险废物产生情况汇总一览表</w:t>
      </w:r>
    </w:p>
    <w:tbl>
      <w:tblPr>
        <w:tblStyle w:val="38"/>
        <w:tblW w:w="1420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792"/>
        <w:gridCol w:w="1109"/>
        <w:gridCol w:w="1593"/>
        <w:gridCol w:w="945"/>
        <w:gridCol w:w="1808"/>
        <w:gridCol w:w="840"/>
        <w:gridCol w:w="1057"/>
        <w:gridCol w:w="1065"/>
        <w:gridCol w:w="960"/>
        <w:gridCol w:w="1011"/>
        <w:gridCol w:w="1361"/>
      </w:tblGrid>
      <w:tr w14:paraId="18BC5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68" w:type="dxa"/>
            <w:vAlign w:val="center"/>
          </w:tcPr>
          <w:p w14:paraId="0B02AAEE">
            <w:pPr>
              <w:pStyle w:val="69"/>
              <w:rPr>
                <w:color w:val="auto"/>
              </w:rPr>
            </w:pPr>
            <w:bookmarkStart w:id="69" w:name="_Toc397009411"/>
            <w:bookmarkStart w:id="70" w:name="_Toc397009203"/>
            <w:r>
              <w:rPr>
                <w:color w:val="auto"/>
              </w:rPr>
              <w:t>序号</w:t>
            </w:r>
          </w:p>
        </w:tc>
        <w:tc>
          <w:tcPr>
            <w:tcW w:w="1792" w:type="dxa"/>
            <w:vAlign w:val="center"/>
          </w:tcPr>
          <w:p w14:paraId="0BAA76DD">
            <w:pPr>
              <w:pStyle w:val="69"/>
              <w:rPr>
                <w:color w:val="auto"/>
              </w:rPr>
            </w:pPr>
            <w:r>
              <w:rPr>
                <w:color w:val="auto"/>
              </w:rPr>
              <w:t>危险废物名称</w:t>
            </w:r>
          </w:p>
        </w:tc>
        <w:tc>
          <w:tcPr>
            <w:tcW w:w="1109" w:type="dxa"/>
            <w:vAlign w:val="center"/>
          </w:tcPr>
          <w:p w14:paraId="12656894">
            <w:pPr>
              <w:pStyle w:val="69"/>
              <w:rPr>
                <w:color w:val="auto"/>
              </w:rPr>
            </w:pPr>
            <w:r>
              <w:rPr>
                <w:color w:val="auto"/>
              </w:rPr>
              <w:t>危险废物类别</w:t>
            </w:r>
          </w:p>
        </w:tc>
        <w:tc>
          <w:tcPr>
            <w:tcW w:w="1593" w:type="dxa"/>
            <w:vAlign w:val="center"/>
          </w:tcPr>
          <w:p w14:paraId="74D2DA1A">
            <w:pPr>
              <w:pStyle w:val="69"/>
              <w:rPr>
                <w:color w:val="auto"/>
              </w:rPr>
            </w:pPr>
            <w:r>
              <w:rPr>
                <w:color w:val="auto"/>
              </w:rPr>
              <w:t>危险废物代码</w:t>
            </w:r>
          </w:p>
        </w:tc>
        <w:tc>
          <w:tcPr>
            <w:tcW w:w="945" w:type="dxa"/>
            <w:vAlign w:val="center"/>
          </w:tcPr>
          <w:p w14:paraId="383B1D04">
            <w:pPr>
              <w:pStyle w:val="69"/>
              <w:rPr>
                <w:color w:val="auto"/>
              </w:rPr>
            </w:pPr>
            <w:r>
              <w:rPr>
                <w:color w:val="auto"/>
              </w:rPr>
              <w:t>产生量</w:t>
            </w:r>
          </w:p>
          <w:p w14:paraId="26E6369D">
            <w:pPr>
              <w:pStyle w:val="69"/>
              <w:rPr>
                <w:color w:val="auto"/>
              </w:rPr>
            </w:pPr>
            <w:r>
              <w:rPr>
                <w:color w:val="auto"/>
              </w:rPr>
              <w:t>（t/a）</w:t>
            </w:r>
          </w:p>
        </w:tc>
        <w:tc>
          <w:tcPr>
            <w:tcW w:w="1808" w:type="dxa"/>
            <w:vAlign w:val="center"/>
          </w:tcPr>
          <w:p w14:paraId="2D24DC92">
            <w:pPr>
              <w:pStyle w:val="69"/>
              <w:rPr>
                <w:color w:val="auto"/>
              </w:rPr>
            </w:pPr>
            <w:r>
              <w:rPr>
                <w:color w:val="auto"/>
              </w:rPr>
              <w:t>产生工序及装置</w:t>
            </w:r>
          </w:p>
        </w:tc>
        <w:tc>
          <w:tcPr>
            <w:tcW w:w="840" w:type="dxa"/>
            <w:vAlign w:val="center"/>
          </w:tcPr>
          <w:p w14:paraId="6ECADE71">
            <w:pPr>
              <w:pStyle w:val="69"/>
              <w:rPr>
                <w:color w:val="auto"/>
              </w:rPr>
            </w:pPr>
            <w:r>
              <w:rPr>
                <w:color w:val="auto"/>
              </w:rPr>
              <w:t>形态</w:t>
            </w:r>
          </w:p>
        </w:tc>
        <w:tc>
          <w:tcPr>
            <w:tcW w:w="1057" w:type="dxa"/>
            <w:vAlign w:val="center"/>
          </w:tcPr>
          <w:p w14:paraId="29A6DF4A">
            <w:pPr>
              <w:pStyle w:val="69"/>
              <w:rPr>
                <w:color w:val="auto"/>
              </w:rPr>
            </w:pPr>
            <w:r>
              <w:rPr>
                <w:color w:val="auto"/>
              </w:rPr>
              <w:t>主要成分</w:t>
            </w:r>
          </w:p>
        </w:tc>
        <w:tc>
          <w:tcPr>
            <w:tcW w:w="1065" w:type="dxa"/>
            <w:vAlign w:val="center"/>
          </w:tcPr>
          <w:p w14:paraId="00D09F3E">
            <w:pPr>
              <w:pStyle w:val="69"/>
              <w:rPr>
                <w:color w:val="auto"/>
              </w:rPr>
            </w:pPr>
            <w:r>
              <w:rPr>
                <w:color w:val="auto"/>
              </w:rPr>
              <w:t>有害成分</w:t>
            </w:r>
          </w:p>
        </w:tc>
        <w:tc>
          <w:tcPr>
            <w:tcW w:w="960" w:type="dxa"/>
            <w:vAlign w:val="center"/>
          </w:tcPr>
          <w:p w14:paraId="62CCDE0E">
            <w:pPr>
              <w:pStyle w:val="69"/>
              <w:rPr>
                <w:color w:val="auto"/>
              </w:rPr>
            </w:pPr>
            <w:r>
              <w:rPr>
                <w:color w:val="auto"/>
              </w:rPr>
              <w:t>产废周期</w:t>
            </w:r>
          </w:p>
        </w:tc>
        <w:tc>
          <w:tcPr>
            <w:tcW w:w="1011" w:type="dxa"/>
            <w:vAlign w:val="center"/>
          </w:tcPr>
          <w:p w14:paraId="6FCDCF87">
            <w:pPr>
              <w:pStyle w:val="69"/>
              <w:rPr>
                <w:color w:val="auto"/>
              </w:rPr>
            </w:pPr>
            <w:r>
              <w:rPr>
                <w:color w:val="auto"/>
              </w:rPr>
              <w:t>危险特性</w:t>
            </w:r>
            <w:r>
              <w:rPr>
                <w:rFonts w:hint="eastAsia"/>
                <w:color w:val="auto"/>
                <w:vertAlign w:val="superscript"/>
              </w:rPr>
              <w:t>*</w:t>
            </w:r>
          </w:p>
        </w:tc>
        <w:tc>
          <w:tcPr>
            <w:tcW w:w="1361" w:type="dxa"/>
            <w:vAlign w:val="center"/>
          </w:tcPr>
          <w:p w14:paraId="50D3CEB1">
            <w:pPr>
              <w:pStyle w:val="69"/>
              <w:rPr>
                <w:color w:val="auto"/>
              </w:rPr>
            </w:pPr>
            <w:r>
              <w:rPr>
                <w:color w:val="auto"/>
              </w:rPr>
              <w:t>污染防治措施</w:t>
            </w:r>
          </w:p>
        </w:tc>
      </w:tr>
      <w:tr w14:paraId="6803D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8" w:type="dxa"/>
            <w:vAlign w:val="center"/>
          </w:tcPr>
          <w:p w14:paraId="68BCE312">
            <w:pPr>
              <w:pStyle w:val="69"/>
              <w:rPr>
                <w:rFonts w:hint="eastAsia" w:eastAsia="宋体"/>
                <w:color w:val="auto"/>
                <w:lang w:val="en-US" w:eastAsia="zh-CN"/>
              </w:rPr>
            </w:pPr>
            <w:r>
              <w:rPr>
                <w:rFonts w:hint="eastAsia"/>
                <w:color w:val="auto"/>
                <w:lang w:val="en-US" w:eastAsia="zh-CN"/>
              </w:rPr>
              <w:t>1</w:t>
            </w:r>
          </w:p>
        </w:tc>
        <w:tc>
          <w:tcPr>
            <w:tcW w:w="1792" w:type="dxa"/>
            <w:shd w:val="clear" w:color="auto" w:fill="auto"/>
            <w:vAlign w:val="center"/>
          </w:tcPr>
          <w:p w14:paraId="2E642F89">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废包装桶</w:t>
            </w:r>
          </w:p>
        </w:tc>
        <w:tc>
          <w:tcPr>
            <w:tcW w:w="1109" w:type="dxa"/>
            <w:shd w:val="clear" w:color="auto" w:fill="auto"/>
            <w:vAlign w:val="center"/>
          </w:tcPr>
          <w:p w14:paraId="07C5C723">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593" w:type="dxa"/>
            <w:shd w:val="clear" w:color="auto" w:fill="auto"/>
            <w:vAlign w:val="center"/>
          </w:tcPr>
          <w:p w14:paraId="6F5A0D8E">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945" w:type="dxa"/>
            <w:shd w:val="clear" w:color="auto" w:fill="auto"/>
            <w:vAlign w:val="center"/>
          </w:tcPr>
          <w:p w14:paraId="65171C16">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7.930</w:t>
            </w:r>
            <w:r>
              <w:rPr>
                <w:rFonts w:hint="default"/>
                <w:lang w:val="en-US" w:eastAsia="zh-CN"/>
              </w:rPr>
              <w:t xml:space="preserve"> </w:t>
            </w:r>
          </w:p>
        </w:tc>
        <w:tc>
          <w:tcPr>
            <w:tcW w:w="1808" w:type="dxa"/>
            <w:shd w:val="clear" w:color="auto" w:fill="auto"/>
            <w:vAlign w:val="center"/>
          </w:tcPr>
          <w:p w14:paraId="27A5A03D">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拆包</w:t>
            </w:r>
          </w:p>
        </w:tc>
        <w:tc>
          <w:tcPr>
            <w:tcW w:w="840" w:type="dxa"/>
            <w:vAlign w:val="center"/>
          </w:tcPr>
          <w:p w14:paraId="16325BE3">
            <w:pPr>
              <w:pStyle w:val="69"/>
              <w:rPr>
                <w:color w:val="auto"/>
              </w:rPr>
            </w:pPr>
            <w:r>
              <w:rPr>
                <w:color w:val="auto"/>
              </w:rPr>
              <w:t>固态</w:t>
            </w:r>
          </w:p>
        </w:tc>
        <w:tc>
          <w:tcPr>
            <w:tcW w:w="1057" w:type="dxa"/>
            <w:shd w:val="clear" w:color="auto" w:fill="auto"/>
            <w:vAlign w:val="center"/>
          </w:tcPr>
          <w:p w14:paraId="300BD48D">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溶剂、树脂</w:t>
            </w:r>
          </w:p>
        </w:tc>
        <w:tc>
          <w:tcPr>
            <w:tcW w:w="1065" w:type="dxa"/>
            <w:shd w:val="clear" w:color="auto" w:fill="auto"/>
            <w:vAlign w:val="center"/>
          </w:tcPr>
          <w:p w14:paraId="71148330">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w:t>
            </w:r>
          </w:p>
        </w:tc>
        <w:tc>
          <w:tcPr>
            <w:tcW w:w="960" w:type="dxa"/>
            <w:vAlign w:val="center"/>
          </w:tcPr>
          <w:p w14:paraId="61F4CDC0">
            <w:pPr>
              <w:pStyle w:val="69"/>
              <w:rPr>
                <w:rFonts w:hint="eastAsia" w:eastAsia="宋体"/>
                <w:color w:val="auto"/>
                <w:lang w:val="en-US" w:eastAsia="zh-CN"/>
              </w:rPr>
            </w:pPr>
            <w:r>
              <w:rPr>
                <w:rFonts w:hint="eastAsia"/>
                <w:color w:val="auto"/>
                <w:lang w:val="en-US" w:eastAsia="zh-CN"/>
              </w:rPr>
              <w:t>每天</w:t>
            </w:r>
          </w:p>
        </w:tc>
        <w:tc>
          <w:tcPr>
            <w:tcW w:w="1011" w:type="dxa"/>
            <w:vAlign w:val="center"/>
          </w:tcPr>
          <w:p w14:paraId="3D0474E0">
            <w:pPr>
              <w:pStyle w:val="69"/>
              <w:rPr>
                <w:color w:val="auto"/>
              </w:rPr>
            </w:pPr>
            <w:r>
              <w:rPr>
                <w:rFonts w:hint="eastAsia"/>
                <w:color w:val="auto"/>
              </w:rPr>
              <w:t>T/In</w:t>
            </w:r>
          </w:p>
        </w:tc>
        <w:tc>
          <w:tcPr>
            <w:tcW w:w="1361" w:type="dxa"/>
            <w:vMerge w:val="restart"/>
            <w:vAlign w:val="center"/>
          </w:tcPr>
          <w:p w14:paraId="1D9528DF">
            <w:pPr>
              <w:pStyle w:val="69"/>
              <w:rPr>
                <w:color w:val="auto"/>
              </w:rPr>
            </w:pPr>
            <w:r>
              <w:rPr>
                <w:color w:val="auto"/>
              </w:rPr>
              <w:t>暂存于危险废物贮存区，交由取得危险废物经营许可证的单位进行处理</w:t>
            </w:r>
          </w:p>
        </w:tc>
      </w:tr>
      <w:tr w14:paraId="256525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8" w:type="dxa"/>
            <w:vAlign w:val="center"/>
          </w:tcPr>
          <w:p w14:paraId="093D69D4">
            <w:pPr>
              <w:pStyle w:val="69"/>
              <w:ind w:firstLine="0" w:firstLineChars="0"/>
              <w:rPr>
                <w:rFonts w:ascii="Times New Roman" w:hAnsi="Times New Roman" w:eastAsia="宋体" w:cs="Times New Roman"/>
                <w:color w:val="auto"/>
                <w:kern w:val="2"/>
                <w:sz w:val="21"/>
                <w:szCs w:val="21"/>
                <w:lang w:val="en-US" w:eastAsia="zh-CN" w:bidi="ar-SA"/>
              </w:rPr>
            </w:pPr>
            <w:r>
              <w:rPr>
                <w:color w:val="auto"/>
              </w:rPr>
              <w:t>2</w:t>
            </w:r>
          </w:p>
        </w:tc>
        <w:tc>
          <w:tcPr>
            <w:tcW w:w="1792" w:type="dxa"/>
            <w:shd w:val="clear" w:color="auto" w:fill="auto"/>
            <w:vAlign w:val="center"/>
          </w:tcPr>
          <w:p w14:paraId="33733CB3">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废油墨</w:t>
            </w:r>
          </w:p>
        </w:tc>
        <w:tc>
          <w:tcPr>
            <w:tcW w:w="1109" w:type="dxa"/>
            <w:vAlign w:val="center"/>
          </w:tcPr>
          <w:p w14:paraId="154FC020">
            <w:pPr>
              <w:pStyle w:val="59"/>
              <w:bidi w:val="0"/>
              <w:rPr>
                <w:rFonts w:hint="default" w:eastAsia="宋体"/>
                <w:color w:val="auto"/>
                <w:lang w:val="en-US" w:eastAsia="zh-CN"/>
              </w:rPr>
            </w:pPr>
            <w:r>
              <w:rPr>
                <w:rFonts w:hint="eastAsia"/>
                <w:color w:val="auto"/>
                <w:lang w:val="en-US" w:eastAsia="zh-CN"/>
              </w:rPr>
              <w:t>HW12</w:t>
            </w:r>
          </w:p>
        </w:tc>
        <w:tc>
          <w:tcPr>
            <w:tcW w:w="1593" w:type="dxa"/>
            <w:vAlign w:val="center"/>
          </w:tcPr>
          <w:p w14:paraId="05CA4707">
            <w:pPr>
              <w:pStyle w:val="59"/>
              <w:bidi w:val="0"/>
              <w:rPr>
                <w:color w:val="auto"/>
              </w:rPr>
            </w:pPr>
            <w:r>
              <w:t>264-013-12</w:t>
            </w:r>
          </w:p>
        </w:tc>
        <w:tc>
          <w:tcPr>
            <w:tcW w:w="945" w:type="dxa"/>
            <w:shd w:val="clear" w:color="auto" w:fill="auto"/>
            <w:vAlign w:val="center"/>
          </w:tcPr>
          <w:p w14:paraId="6C3D39F6">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 xml:space="preserve">0.449 </w:t>
            </w:r>
          </w:p>
        </w:tc>
        <w:tc>
          <w:tcPr>
            <w:tcW w:w="1808" w:type="dxa"/>
            <w:shd w:val="clear" w:color="auto" w:fill="auto"/>
            <w:vAlign w:val="center"/>
          </w:tcPr>
          <w:p w14:paraId="2FC438EA">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换版</w:t>
            </w:r>
          </w:p>
        </w:tc>
        <w:tc>
          <w:tcPr>
            <w:tcW w:w="840" w:type="dxa"/>
            <w:vAlign w:val="center"/>
          </w:tcPr>
          <w:p w14:paraId="4ED2A6A6">
            <w:pPr>
              <w:pStyle w:val="69"/>
              <w:rPr>
                <w:color w:val="auto"/>
              </w:rPr>
            </w:pPr>
            <w:r>
              <w:rPr>
                <w:rFonts w:hint="eastAsia"/>
                <w:color w:val="auto"/>
              </w:rPr>
              <w:t>固态</w:t>
            </w:r>
          </w:p>
        </w:tc>
        <w:tc>
          <w:tcPr>
            <w:tcW w:w="1057" w:type="dxa"/>
            <w:shd w:val="clear" w:color="auto" w:fill="auto"/>
            <w:vAlign w:val="center"/>
          </w:tcPr>
          <w:p w14:paraId="0901FC04">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溶剂、树脂</w:t>
            </w:r>
          </w:p>
        </w:tc>
        <w:tc>
          <w:tcPr>
            <w:tcW w:w="1065" w:type="dxa"/>
            <w:shd w:val="clear" w:color="auto" w:fill="auto"/>
            <w:vAlign w:val="center"/>
          </w:tcPr>
          <w:p w14:paraId="094E2A7D">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w:t>
            </w:r>
          </w:p>
        </w:tc>
        <w:tc>
          <w:tcPr>
            <w:tcW w:w="960" w:type="dxa"/>
            <w:vAlign w:val="center"/>
          </w:tcPr>
          <w:p w14:paraId="59ABF380">
            <w:pPr>
              <w:pStyle w:val="69"/>
              <w:rPr>
                <w:rFonts w:hint="default"/>
                <w:color w:val="auto"/>
                <w:lang w:val="en-US"/>
              </w:rPr>
            </w:pPr>
            <w:r>
              <w:rPr>
                <w:rFonts w:hint="eastAsia"/>
                <w:color w:val="auto"/>
                <w:lang w:val="en-US" w:eastAsia="zh-CN"/>
              </w:rPr>
              <w:t>3天</w:t>
            </w:r>
          </w:p>
        </w:tc>
        <w:tc>
          <w:tcPr>
            <w:tcW w:w="1011" w:type="dxa"/>
            <w:vAlign w:val="center"/>
          </w:tcPr>
          <w:p w14:paraId="291D970C">
            <w:pPr>
              <w:pStyle w:val="69"/>
              <w:rPr>
                <w:color w:val="auto"/>
              </w:rPr>
            </w:pPr>
            <w:r>
              <w:rPr>
                <w:rFonts w:hint="eastAsia"/>
                <w:color w:val="auto"/>
              </w:rPr>
              <w:t>T</w:t>
            </w:r>
          </w:p>
        </w:tc>
        <w:tc>
          <w:tcPr>
            <w:tcW w:w="1361" w:type="dxa"/>
            <w:vMerge w:val="continue"/>
            <w:vAlign w:val="center"/>
          </w:tcPr>
          <w:p w14:paraId="238E0917">
            <w:pPr>
              <w:pStyle w:val="69"/>
              <w:rPr>
                <w:color w:val="auto"/>
              </w:rPr>
            </w:pPr>
          </w:p>
        </w:tc>
      </w:tr>
      <w:tr w14:paraId="534CFA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8" w:type="dxa"/>
            <w:vAlign w:val="center"/>
          </w:tcPr>
          <w:p w14:paraId="5D868275">
            <w:pPr>
              <w:pStyle w:val="69"/>
              <w:ind w:firstLine="0" w:firstLineChars="0"/>
              <w:rPr>
                <w:rFonts w:ascii="Times New Roman" w:hAnsi="Times New Roman" w:eastAsia="宋体" w:cs="Times New Roman"/>
                <w:color w:val="auto"/>
                <w:kern w:val="2"/>
                <w:sz w:val="21"/>
                <w:szCs w:val="21"/>
                <w:lang w:val="en-US" w:eastAsia="zh-CN" w:bidi="ar-SA"/>
              </w:rPr>
            </w:pPr>
            <w:r>
              <w:rPr>
                <w:color w:val="auto"/>
              </w:rPr>
              <w:t>3</w:t>
            </w:r>
          </w:p>
        </w:tc>
        <w:tc>
          <w:tcPr>
            <w:tcW w:w="1792" w:type="dxa"/>
            <w:shd w:val="clear" w:color="auto" w:fill="auto"/>
            <w:vAlign w:val="center"/>
          </w:tcPr>
          <w:p w14:paraId="1EBD92DE">
            <w:pPr>
              <w:pStyle w:val="59"/>
              <w:bidi w:val="0"/>
              <w:ind w:firstLine="0" w:firstLineChars="0"/>
              <w:rPr>
                <w:rFonts w:ascii="Times New Roman" w:hAnsi="Times New Roman" w:eastAsia="宋体" w:cs="Times New Roman"/>
                <w:kern w:val="0"/>
                <w:sz w:val="21"/>
                <w:szCs w:val="20"/>
                <w:lang w:val="en-US" w:eastAsia="zh-CN" w:bidi="ar-SA"/>
              </w:rPr>
            </w:pPr>
            <w:r>
              <w:rPr>
                <w:rFonts w:hint="eastAsia"/>
                <w:lang w:val="en-US" w:eastAsia="zh-CN"/>
              </w:rPr>
              <w:t>废矿物油及其包装罐</w:t>
            </w:r>
          </w:p>
        </w:tc>
        <w:tc>
          <w:tcPr>
            <w:tcW w:w="1109" w:type="dxa"/>
            <w:shd w:val="clear" w:color="auto" w:fill="auto"/>
            <w:vAlign w:val="center"/>
          </w:tcPr>
          <w:p w14:paraId="65A37FE3">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default"/>
                <w:color w:val="auto"/>
                <w:lang w:val="en-US" w:eastAsia="zh-CN"/>
              </w:rPr>
              <w:t>HW08</w:t>
            </w:r>
          </w:p>
        </w:tc>
        <w:tc>
          <w:tcPr>
            <w:tcW w:w="1593" w:type="dxa"/>
            <w:shd w:val="clear" w:color="auto" w:fill="auto"/>
            <w:vAlign w:val="center"/>
          </w:tcPr>
          <w:p w14:paraId="276A4864">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default"/>
                <w:color w:val="auto"/>
                <w:lang w:val="en-US" w:eastAsia="zh-CN"/>
              </w:rPr>
              <w:t>900-249-08</w:t>
            </w:r>
          </w:p>
        </w:tc>
        <w:tc>
          <w:tcPr>
            <w:tcW w:w="945" w:type="dxa"/>
            <w:shd w:val="clear" w:color="auto" w:fill="auto"/>
            <w:vAlign w:val="center"/>
          </w:tcPr>
          <w:p w14:paraId="2551477A">
            <w:pPr>
              <w:pStyle w:val="59"/>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 xml:space="preserve">0.236 </w:t>
            </w:r>
          </w:p>
        </w:tc>
        <w:tc>
          <w:tcPr>
            <w:tcW w:w="1808" w:type="dxa"/>
            <w:shd w:val="clear" w:color="auto" w:fill="auto"/>
            <w:vAlign w:val="center"/>
          </w:tcPr>
          <w:p w14:paraId="12A22756">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维护、保养设备</w:t>
            </w:r>
          </w:p>
        </w:tc>
        <w:tc>
          <w:tcPr>
            <w:tcW w:w="840" w:type="dxa"/>
            <w:vAlign w:val="center"/>
          </w:tcPr>
          <w:p w14:paraId="34B9A41A">
            <w:pPr>
              <w:pStyle w:val="69"/>
              <w:rPr>
                <w:color w:val="auto"/>
              </w:rPr>
            </w:pPr>
            <w:r>
              <w:rPr>
                <w:rFonts w:hint="eastAsia"/>
                <w:color w:val="auto"/>
              </w:rPr>
              <w:t>固态</w:t>
            </w:r>
          </w:p>
        </w:tc>
        <w:tc>
          <w:tcPr>
            <w:tcW w:w="1057" w:type="dxa"/>
            <w:vAlign w:val="center"/>
          </w:tcPr>
          <w:p w14:paraId="76D82CBF">
            <w:pPr>
              <w:pStyle w:val="69"/>
              <w:rPr>
                <w:rFonts w:hint="eastAsia" w:eastAsia="宋体"/>
                <w:color w:val="auto"/>
                <w:lang w:eastAsia="zh-CN"/>
              </w:rPr>
            </w:pPr>
            <w:r>
              <w:rPr>
                <w:rFonts w:hint="eastAsia"/>
                <w:color w:val="auto"/>
                <w:lang w:val="en-US" w:eastAsia="zh-CN"/>
              </w:rPr>
              <w:t>油类</w:t>
            </w:r>
          </w:p>
        </w:tc>
        <w:tc>
          <w:tcPr>
            <w:tcW w:w="1065" w:type="dxa"/>
            <w:vAlign w:val="center"/>
          </w:tcPr>
          <w:p w14:paraId="3C62A308">
            <w:pPr>
              <w:pStyle w:val="69"/>
              <w:rPr>
                <w:color w:val="auto"/>
              </w:rPr>
            </w:pPr>
            <w:r>
              <w:rPr>
                <w:rFonts w:hint="eastAsia" w:ascii="Times New Roman" w:hAnsi="Times New Roman" w:eastAsia="宋体" w:cs="Times New Roman"/>
                <w:color w:val="auto"/>
                <w:lang w:val="en-US" w:eastAsia="zh-CN"/>
              </w:rPr>
              <w:t>石油烃、PAHs</w:t>
            </w:r>
          </w:p>
        </w:tc>
        <w:tc>
          <w:tcPr>
            <w:tcW w:w="960" w:type="dxa"/>
            <w:vAlign w:val="center"/>
          </w:tcPr>
          <w:p w14:paraId="48C9E95B">
            <w:pPr>
              <w:pStyle w:val="69"/>
              <w:rPr>
                <w:rFonts w:hint="eastAsia" w:eastAsia="宋体"/>
                <w:color w:val="auto"/>
                <w:lang w:eastAsia="zh-CN"/>
              </w:rPr>
            </w:pPr>
            <w:r>
              <w:rPr>
                <w:rFonts w:hint="eastAsia"/>
                <w:color w:val="auto"/>
                <w:lang w:val="en-US" w:eastAsia="zh-CN"/>
              </w:rPr>
              <w:t>每周</w:t>
            </w:r>
          </w:p>
        </w:tc>
        <w:tc>
          <w:tcPr>
            <w:tcW w:w="1011" w:type="dxa"/>
            <w:vAlign w:val="center"/>
          </w:tcPr>
          <w:p w14:paraId="2638DFE3">
            <w:pPr>
              <w:pStyle w:val="69"/>
              <w:rPr>
                <w:color w:val="auto"/>
              </w:rPr>
            </w:pPr>
            <w:r>
              <w:rPr>
                <w:rFonts w:hint="eastAsia"/>
                <w:color w:val="auto"/>
              </w:rPr>
              <w:t>T、I</w:t>
            </w:r>
          </w:p>
        </w:tc>
        <w:tc>
          <w:tcPr>
            <w:tcW w:w="1361" w:type="dxa"/>
            <w:vMerge w:val="continue"/>
            <w:vAlign w:val="center"/>
          </w:tcPr>
          <w:p w14:paraId="107CFFEF">
            <w:pPr>
              <w:pStyle w:val="69"/>
              <w:rPr>
                <w:color w:val="auto"/>
              </w:rPr>
            </w:pPr>
          </w:p>
        </w:tc>
      </w:tr>
      <w:tr w14:paraId="220C2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8" w:type="dxa"/>
            <w:vAlign w:val="center"/>
          </w:tcPr>
          <w:p w14:paraId="70B58E9C">
            <w:pPr>
              <w:pStyle w:val="69"/>
              <w:ind w:firstLine="0" w:firstLineChars="0"/>
              <w:rPr>
                <w:rFonts w:ascii="Times New Roman" w:hAnsi="Times New Roman" w:eastAsia="宋体" w:cs="Times New Roman"/>
                <w:color w:val="auto"/>
                <w:kern w:val="2"/>
                <w:sz w:val="21"/>
                <w:szCs w:val="21"/>
                <w:lang w:val="en-US" w:eastAsia="zh-CN" w:bidi="ar-SA"/>
              </w:rPr>
            </w:pPr>
            <w:r>
              <w:rPr>
                <w:color w:val="auto"/>
              </w:rPr>
              <w:t>4</w:t>
            </w:r>
          </w:p>
        </w:tc>
        <w:tc>
          <w:tcPr>
            <w:tcW w:w="1792" w:type="dxa"/>
            <w:shd w:val="clear" w:color="auto" w:fill="auto"/>
            <w:vAlign w:val="center"/>
          </w:tcPr>
          <w:p w14:paraId="3FD77445">
            <w:pPr>
              <w:pStyle w:val="59"/>
              <w:bidi w:val="0"/>
              <w:ind w:firstLine="0" w:firstLineChars="0"/>
              <w:rPr>
                <w:rFonts w:ascii="Times New Roman" w:hAnsi="Times New Roman" w:eastAsia="宋体" w:cs="Times New Roman"/>
                <w:kern w:val="0"/>
                <w:sz w:val="21"/>
                <w:szCs w:val="20"/>
                <w:lang w:val="en-US" w:eastAsia="zh-CN" w:bidi="ar-SA"/>
              </w:rPr>
            </w:pPr>
            <w:r>
              <w:rPr>
                <w:rFonts w:hint="eastAsia"/>
                <w:lang w:val="en-US" w:eastAsia="zh-CN"/>
              </w:rPr>
              <w:t>废擦机布和手套</w:t>
            </w:r>
          </w:p>
        </w:tc>
        <w:tc>
          <w:tcPr>
            <w:tcW w:w="1109" w:type="dxa"/>
            <w:shd w:val="clear" w:color="auto" w:fill="auto"/>
            <w:vAlign w:val="center"/>
          </w:tcPr>
          <w:p w14:paraId="3D02E40B">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593" w:type="dxa"/>
            <w:shd w:val="clear" w:color="auto" w:fill="auto"/>
            <w:vAlign w:val="center"/>
          </w:tcPr>
          <w:p w14:paraId="7E88BB53">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945" w:type="dxa"/>
            <w:shd w:val="clear" w:color="auto" w:fill="auto"/>
            <w:vAlign w:val="center"/>
          </w:tcPr>
          <w:p w14:paraId="106ED20C">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 xml:space="preserve">6.020 </w:t>
            </w:r>
          </w:p>
        </w:tc>
        <w:tc>
          <w:tcPr>
            <w:tcW w:w="1808" w:type="dxa"/>
            <w:shd w:val="clear" w:color="auto" w:fill="auto"/>
            <w:vAlign w:val="center"/>
          </w:tcPr>
          <w:p w14:paraId="108D686B">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维护、保养设备</w:t>
            </w:r>
          </w:p>
        </w:tc>
        <w:tc>
          <w:tcPr>
            <w:tcW w:w="840" w:type="dxa"/>
            <w:vAlign w:val="center"/>
          </w:tcPr>
          <w:p w14:paraId="5537F622">
            <w:pPr>
              <w:pStyle w:val="69"/>
              <w:rPr>
                <w:color w:val="auto"/>
              </w:rPr>
            </w:pPr>
            <w:r>
              <w:rPr>
                <w:rFonts w:hint="eastAsia"/>
                <w:color w:val="auto"/>
              </w:rPr>
              <w:t>固态</w:t>
            </w:r>
          </w:p>
        </w:tc>
        <w:tc>
          <w:tcPr>
            <w:tcW w:w="1057" w:type="dxa"/>
            <w:vAlign w:val="center"/>
          </w:tcPr>
          <w:p w14:paraId="078AE8F1">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溶剂、树脂</w:t>
            </w:r>
          </w:p>
        </w:tc>
        <w:tc>
          <w:tcPr>
            <w:tcW w:w="1065" w:type="dxa"/>
            <w:vAlign w:val="center"/>
          </w:tcPr>
          <w:p w14:paraId="2F747326">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w:t>
            </w:r>
          </w:p>
        </w:tc>
        <w:tc>
          <w:tcPr>
            <w:tcW w:w="960" w:type="dxa"/>
            <w:vAlign w:val="center"/>
          </w:tcPr>
          <w:p w14:paraId="1118D78D">
            <w:pPr>
              <w:pStyle w:val="69"/>
              <w:rPr>
                <w:color w:val="auto"/>
              </w:rPr>
            </w:pPr>
            <w:r>
              <w:rPr>
                <w:rFonts w:hint="eastAsia"/>
                <w:color w:val="auto"/>
              </w:rPr>
              <w:t>每天</w:t>
            </w:r>
          </w:p>
        </w:tc>
        <w:tc>
          <w:tcPr>
            <w:tcW w:w="1011" w:type="dxa"/>
            <w:vAlign w:val="center"/>
          </w:tcPr>
          <w:p w14:paraId="38422518">
            <w:pPr>
              <w:pStyle w:val="69"/>
              <w:rPr>
                <w:color w:val="auto"/>
              </w:rPr>
            </w:pPr>
            <w:r>
              <w:rPr>
                <w:rFonts w:hint="eastAsia"/>
                <w:color w:val="auto"/>
              </w:rPr>
              <w:t>T、I</w:t>
            </w:r>
          </w:p>
        </w:tc>
        <w:tc>
          <w:tcPr>
            <w:tcW w:w="1361" w:type="dxa"/>
            <w:vMerge w:val="continue"/>
            <w:vAlign w:val="center"/>
          </w:tcPr>
          <w:p w14:paraId="405A6AEF">
            <w:pPr>
              <w:pStyle w:val="69"/>
              <w:rPr>
                <w:color w:val="auto"/>
              </w:rPr>
            </w:pPr>
          </w:p>
        </w:tc>
      </w:tr>
      <w:tr w14:paraId="0AD8D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8" w:type="dxa"/>
            <w:vAlign w:val="center"/>
          </w:tcPr>
          <w:p w14:paraId="73CCA280">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5</w:t>
            </w:r>
          </w:p>
        </w:tc>
        <w:tc>
          <w:tcPr>
            <w:tcW w:w="1792" w:type="dxa"/>
            <w:shd w:val="clear" w:color="auto" w:fill="auto"/>
            <w:vAlign w:val="center"/>
          </w:tcPr>
          <w:p w14:paraId="48852D5E">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废过滤袋</w:t>
            </w:r>
          </w:p>
        </w:tc>
        <w:tc>
          <w:tcPr>
            <w:tcW w:w="1109" w:type="dxa"/>
            <w:shd w:val="clear" w:color="auto" w:fill="auto"/>
            <w:vAlign w:val="center"/>
          </w:tcPr>
          <w:p w14:paraId="72C515CD">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593" w:type="dxa"/>
            <w:shd w:val="clear" w:color="auto" w:fill="auto"/>
            <w:vAlign w:val="center"/>
          </w:tcPr>
          <w:p w14:paraId="3B9630E7">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945" w:type="dxa"/>
            <w:shd w:val="clear" w:color="auto" w:fill="auto"/>
            <w:vAlign w:val="center"/>
          </w:tcPr>
          <w:p w14:paraId="4C2D03B4">
            <w:pPr>
              <w:pStyle w:val="59"/>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 xml:space="preserve">0.240 </w:t>
            </w:r>
          </w:p>
        </w:tc>
        <w:tc>
          <w:tcPr>
            <w:tcW w:w="1808" w:type="dxa"/>
            <w:shd w:val="clear" w:color="auto" w:fill="auto"/>
            <w:vAlign w:val="center"/>
          </w:tcPr>
          <w:p w14:paraId="658F79F4">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废气处理</w:t>
            </w:r>
          </w:p>
        </w:tc>
        <w:tc>
          <w:tcPr>
            <w:tcW w:w="840" w:type="dxa"/>
            <w:vAlign w:val="center"/>
          </w:tcPr>
          <w:p w14:paraId="07AB9F90">
            <w:pPr>
              <w:pStyle w:val="69"/>
              <w:rPr>
                <w:color w:val="auto"/>
              </w:rPr>
            </w:pPr>
            <w:r>
              <w:rPr>
                <w:rFonts w:hint="eastAsia"/>
                <w:color w:val="auto"/>
              </w:rPr>
              <w:t>固态</w:t>
            </w:r>
          </w:p>
        </w:tc>
        <w:tc>
          <w:tcPr>
            <w:tcW w:w="1057" w:type="dxa"/>
            <w:shd w:val="clear" w:color="auto" w:fill="auto"/>
            <w:vAlign w:val="center"/>
          </w:tcPr>
          <w:p w14:paraId="59DF1A3E">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rPr>
              <w:t>溶剂、树脂</w:t>
            </w:r>
          </w:p>
        </w:tc>
        <w:tc>
          <w:tcPr>
            <w:tcW w:w="1065" w:type="dxa"/>
            <w:shd w:val="clear" w:color="auto" w:fill="auto"/>
            <w:vAlign w:val="center"/>
          </w:tcPr>
          <w:p w14:paraId="5E2F1F08">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w:t>
            </w:r>
          </w:p>
        </w:tc>
        <w:tc>
          <w:tcPr>
            <w:tcW w:w="960" w:type="dxa"/>
            <w:vAlign w:val="center"/>
          </w:tcPr>
          <w:p w14:paraId="7E4FE95F">
            <w:pPr>
              <w:pStyle w:val="69"/>
              <w:rPr>
                <w:rFonts w:hint="default" w:eastAsia="宋体"/>
                <w:color w:val="auto"/>
                <w:lang w:val="en-US" w:eastAsia="zh-CN"/>
              </w:rPr>
            </w:pPr>
            <w:r>
              <w:rPr>
                <w:rFonts w:hint="eastAsia"/>
                <w:color w:val="auto"/>
                <w:lang w:val="en-US" w:eastAsia="zh-CN"/>
              </w:rPr>
              <w:t>3个月</w:t>
            </w:r>
          </w:p>
        </w:tc>
        <w:tc>
          <w:tcPr>
            <w:tcW w:w="1011" w:type="dxa"/>
            <w:vAlign w:val="center"/>
          </w:tcPr>
          <w:p w14:paraId="2F06A320">
            <w:pPr>
              <w:pStyle w:val="69"/>
              <w:rPr>
                <w:color w:val="auto"/>
              </w:rPr>
            </w:pPr>
            <w:r>
              <w:rPr>
                <w:rFonts w:hint="eastAsia"/>
                <w:color w:val="auto"/>
              </w:rPr>
              <w:t>T、I</w:t>
            </w:r>
          </w:p>
        </w:tc>
        <w:tc>
          <w:tcPr>
            <w:tcW w:w="1361" w:type="dxa"/>
            <w:vMerge w:val="continue"/>
            <w:vAlign w:val="center"/>
          </w:tcPr>
          <w:p w14:paraId="75AF0899">
            <w:pPr>
              <w:pStyle w:val="69"/>
              <w:rPr>
                <w:color w:val="auto"/>
              </w:rPr>
            </w:pPr>
          </w:p>
        </w:tc>
      </w:tr>
      <w:tr w14:paraId="69860B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8" w:type="dxa"/>
            <w:vAlign w:val="center"/>
          </w:tcPr>
          <w:p w14:paraId="44EB40A5">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6</w:t>
            </w:r>
          </w:p>
        </w:tc>
        <w:tc>
          <w:tcPr>
            <w:tcW w:w="1792" w:type="dxa"/>
            <w:shd w:val="clear" w:color="auto" w:fill="auto"/>
            <w:vAlign w:val="center"/>
          </w:tcPr>
          <w:p w14:paraId="66BC6A70">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废分子筛</w:t>
            </w:r>
          </w:p>
        </w:tc>
        <w:tc>
          <w:tcPr>
            <w:tcW w:w="1109" w:type="dxa"/>
            <w:shd w:val="clear" w:color="auto" w:fill="auto"/>
            <w:vAlign w:val="center"/>
          </w:tcPr>
          <w:p w14:paraId="7E24D201">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593" w:type="dxa"/>
            <w:shd w:val="clear" w:color="auto" w:fill="auto"/>
            <w:vAlign w:val="center"/>
          </w:tcPr>
          <w:p w14:paraId="6DF46A1B">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945" w:type="dxa"/>
            <w:shd w:val="clear" w:color="auto" w:fill="auto"/>
            <w:vAlign w:val="center"/>
          </w:tcPr>
          <w:p w14:paraId="0A9D7381">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5.6t/3a</w:t>
            </w:r>
          </w:p>
        </w:tc>
        <w:tc>
          <w:tcPr>
            <w:tcW w:w="1808" w:type="dxa"/>
            <w:shd w:val="clear" w:color="auto" w:fill="auto"/>
            <w:vAlign w:val="center"/>
          </w:tcPr>
          <w:p w14:paraId="6E6569C7">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eastAsia"/>
                <w:color w:val="auto"/>
                <w:lang w:val="en-US" w:eastAsia="zh-CN"/>
              </w:rPr>
              <w:t>废气处理</w:t>
            </w:r>
          </w:p>
        </w:tc>
        <w:tc>
          <w:tcPr>
            <w:tcW w:w="840" w:type="dxa"/>
            <w:vAlign w:val="center"/>
          </w:tcPr>
          <w:p w14:paraId="0648B537">
            <w:pPr>
              <w:pStyle w:val="69"/>
              <w:rPr>
                <w:color w:val="auto"/>
              </w:rPr>
            </w:pPr>
            <w:r>
              <w:rPr>
                <w:rFonts w:hint="eastAsia"/>
                <w:color w:val="auto"/>
              </w:rPr>
              <w:t>固态</w:t>
            </w:r>
          </w:p>
        </w:tc>
        <w:tc>
          <w:tcPr>
            <w:tcW w:w="1057" w:type="dxa"/>
            <w:shd w:val="clear" w:color="auto" w:fill="auto"/>
            <w:vAlign w:val="center"/>
          </w:tcPr>
          <w:p w14:paraId="3271D79B">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rPr>
              <w:t>溶剂、树脂</w:t>
            </w:r>
          </w:p>
        </w:tc>
        <w:tc>
          <w:tcPr>
            <w:tcW w:w="1065" w:type="dxa"/>
            <w:shd w:val="clear" w:color="auto" w:fill="auto"/>
            <w:vAlign w:val="center"/>
          </w:tcPr>
          <w:p w14:paraId="26EA33EE">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溶剂</w:t>
            </w:r>
          </w:p>
        </w:tc>
        <w:tc>
          <w:tcPr>
            <w:tcW w:w="960" w:type="dxa"/>
            <w:vAlign w:val="center"/>
          </w:tcPr>
          <w:p w14:paraId="218F41E7">
            <w:pPr>
              <w:pStyle w:val="69"/>
              <w:rPr>
                <w:rFonts w:hint="default" w:eastAsia="宋体"/>
                <w:color w:val="auto"/>
                <w:lang w:val="en-US" w:eastAsia="zh-CN"/>
              </w:rPr>
            </w:pPr>
            <w:r>
              <w:rPr>
                <w:rFonts w:hint="eastAsia"/>
                <w:color w:val="auto"/>
                <w:lang w:val="en-US" w:eastAsia="zh-CN"/>
              </w:rPr>
              <w:t>3年</w:t>
            </w:r>
          </w:p>
        </w:tc>
        <w:tc>
          <w:tcPr>
            <w:tcW w:w="1011" w:type="dxa"/>
            <w:vAlign w:val="center"/>
          </w:tcPr>
          <w:p w14:paraId="6E68DDCC">
            <w:pPr>
              <w:pStyle w:val="69"/>
              <w:rPr>
                <w:color w:val="auto"/>
              </w:rPr>
            </w:pPr>
            <w:r>
              <w:rPr>
                <w:rFonts w:hint="eastAsia"/>
                <w:color w:val="auto"/>
              </w:rPr>
              <w:t>T</w:t>
            </w:r>
          </w:p>
        </w:tc>
        <w:tc>
          <w:tcPr>
            <w:tcW w:w="1361" w:type="dxa"/>
            <w:vMerge w:val="continue"/>
            <w:vAlign w:val="center"/>
          </w:tcPr>
          <w:p w14:paraId="34217B7C">
            <w:pPr>
              <w:pStyle w:val="69"/>
              <w:rPr>
                <w:color w:val="auto"/>
              </w:rPr>
            </w:pPr>
          </w:p>
        </w:tc>
      </w:tr>
      <w:tr w14:paraId="597861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8" w:type="dxa"/>
            <w:vAlign w:val="center"/>
          </w:tcPr>
          <w:p w14:paraId="37177369">
            <w:pPr>
              <w:pStyle w:val="69"/>
              <w:ind w:firstLine="0" w:firstLineChars="0"/>
              <w:rPr>
                <w:rFonts w:hint="eastAsia" w:eastAsia="宋体"/>
                <w:color w:val="auto"/>
                <w:lang w:val="en-US" w:eastAsia="zh-CN"/>
              </w:rPr>
            </w:pPr>
            <w:r>
              <w:rPr>
                <w:rFonts w:hint="eastAsia"/>
                <w:color w:val="auto"/>
                <w:lang w:val="en-US" w:eastAsia="zh-CN"/>
              </w:rPr>
              <w:t>7</w:t>
            </w:r>
          </w:p>
        </w:tc>
        <w:tc>
          <w:tcPr>
            <w:tcW w:w="1792" w:type="dxa"/>
            <w:shd w:val="clear" w:color="auto" w:fill="auto"/>
            <w:vAlign w:val="center"/>
          </w:tcPr>
          <w:p w14:paraId="28AC4C0B">
            <w:pPr>
              <w:pStyle w:val="59"/>
              <w:bidi w:val="0"/>
              <w:ind w:firstLine="0" w:firstLineChars="0"/>
              <w:rPr>
                <w:rFonts w:hint="default"/>
                <w:lang w:val="en-US" w:eastAsia="zh-CN"/>
              </w:rPr>
            </w:pPr>
            <w:r>
              <w:rPr>
                <w:rFonts w:hint="eastAsia"/>
                <w:lang w:val="en-US" w:eastAsia="zh-CN"/>
              </w:rPr>
              <w:t>废饱和活性炭</w:t>
            </w:r>
          </w:p>
        </w:tc>
        <w:tc>
          <w:tcPr>
            <w:tcW w:w="1109" w:type="dxa"/>
            <w:shd w:val="clear" w:color="auto" w:fill="auto"/>
            <w:vAlign w:val="center"/>
          </w:tcPr>
          <w:p w14:paraId="6E2DE9D6">
            <w:pPr>
              <w:pStyle w:val="59"/>
              <w:bidi w:val="0"/>
              <w:ind w:firstLine="0" w:firstLineChars="0"/>
              <w:rPr>
                <w:rFonts w:hint="default"/>
                <w:color w:val="auto"/>
                <w:lang w:val="en-US" w:eastAsia="zh-CN"/>
              </w:rPr>
            </w:pPr>
            <w:r>
              <w:rPr>
                <w:rFonts w:hint="default"/>
                <w:color w:val="auto"/>
                <w:lang w:val="en-US" w:eastAsia="zh-CN"/>
              </w:rPr>
              <w:t>HW49</w:t>
            </w:r>
          </w:p>
        </w:tc>
        <w:tc>
          <w:tcPr>
            <w:tcW w:w="1593" w:type="dxa"/>
            <w:shd w:val="clear" w:color="auto" w:fill="auto"/>
            <w:vAlign w:val="center"/>
          </w:tcPr>
          <w:p w14:paraId="2DD967F6">
            <w:pPr>
              <w:pStyle w:val="59"/>
              <w:bidi w:val="0"/>
              <w:ind w:firstLine="0" w:firstLineChars="0"/>
              <w:rPr>
                <w:rFonts w:hint="default"/>
                <w:color w:val="auto"/>
                <w:lang w:val="en-US" w:eastAsia="zh-CN"/>
              </w:rPr>
            </w:pPr>
            <w:r>
              <w:rPr>
                <w:rFonts w:hint="default"/>
                <w:color w:val="auto"/>
                <w:lang w:val="en-US" w:eastAsia="zh-CN"/>
              </w:rPr>
              <w:t>900-0</w:t>
            </w:r>
            <w:r>
              <w:rPr>
                <w:rFonts w:hint="eastAsia"/>
                <w:color w:val="auto"/>
                <w:lang w:val="en-US" w:eastAsia="zh-CN"/>
              </w:rPr>
              <w:t>39</w:t>
            </w:r>
            <w:r>
              <w:rPr>
                <w:rFonts w:hint="default"/>
                <w:color w:val="auto"/>
                <w:lang w:val="en-US" w:eastAsia="zh-CN"/>
              </w:rPr>
              <w:t>-49</w:t>
            </w:r>
          </w:p>
        </w:tc>
        <w:tc>
          <w:tcPr>
            <w:tcW w:w="945" w:type="dxa"/>
            <w:shd w:val="clear" w:color="auto" w:fill="auto"/>
            <w:vAlign w:val="center"/>
          </w:tcPr>
          <w:p w14:paraId="63D0789C">
            <w:pPr>
              <w:pStyle w:val="59"/>
              <w:bidi w:val="0"/>
              <w:ind w:firstLine="0" w:firstLineChars="0"/>
              <w:rPr>
                <w:rFonts w:hint="default" w:ascii="Times New Roman" w:hAnsi="Times New Roman" w:eastAsia="宋体" w:cs="Times New Roman"/>
                <w:kern w:val="0"/>
                <w:sz w:val="21"/>
                <w:szCs w:val="20"/>
                <w:lang w:val="en-US" w:eastAsia="zh-CN" w:bidi="ar-SA"/>
              </w:rPr>
            </w:pPr>
            <w:r>
              <w:rPr>
                <w:rFonts w:hint="default"/>
                <w:lang w:val="en-US" w:eastAsia="zh-CN"/>
              </w:rPr>
              <w:t xml:space="preserve">7.045 </w:t>
            </w:r>
          </w:p>
        </w:tc>
        <w:tc>
          <w:tcPr>
            <w:tcW w:w="1808" w:type="dxa"/>
            <w:shd w:val="clear" w:color="auto" w:fill="auto"/>
            <w:vAlign w:val="center"/>
          </w:tcPr>
          <w:p w14:paraId="4BCB1BD0">
            <w:pPr>
              <w:pStyle w:val="59"/>
              <w:bidi w:val="0"/>
              <w:ind w:firstLine="0" w:firstLineChars="0"/>
              <w:rPr>
                <w:rFonts w:hint="eastAsia"/>
                <w:color w:val="auto"/>
                <w:lang w:val="en-US" w:eastAsia="zh-CN"/>
              </w:rPr>
            </w:pPr>
            <w:r>
              <w:rPr>
                <w:rFonts w:hint="eastAsia"/>
                <w:color w:val="auto"/>
                <w:lang w:val="en-US" w:eastAsia="zh-CN"/>
              </w:rPr>
              <w:t>废气处理</w:t>
            </w:r>
          </w:p>
        </w:tc>
        <w:tc>
          <w:tcPr>
            <w:tcW w:w="840" w:type="dxa"/>
            <w:vAlign w:val="center"/>
          </w:tcPr>
          <w:p w14:paraId="1E62F683">
            <w:pPr>
              <w:pStyle w:val="69"/>
              <w:rPr>
                <w:rFonts w:hint="eastAsia"/>
                <w:color w:val="auto"/>
              </w:rPr>
            </w:pPr>
            <w:r>
              <w:rPr>
                <w:rFonts w:hint="eastAsia"/>
                <w:color w:val="auto"/>
              </w:rPr>
              <w:t>固态</w:t>
            </w:r>
          </w:p>
        </w:tc>
        <w:tc>
          <w:tcPr>
            <w:tcW w:w="1057" w:type="dxa"/>
            <w:shd w:val="clear" w:color="auto" w:fill="auto"/>
            <w:vAlign w:val="center"/>
          </w:tcPr>
          <w:p w14:paraId="2A7D439E">
            <w:pPr>
              <w:pStyle w:val="69"/>
              <w:ind w:firstLine="0" w:firstLineChars="0"/>
              <w:rPr>
                <w:rFonts w:hint="eastAsia"/>
                <w:color w:val="auto"/>
              </w:rPr>
            </w:pPr>
            <w:r>
              <w:rPr>
                <w:rFonts w:hint="eastAsia"/>
                <w:color w:val="auto"/>
              </w:rPr>
              <w:t>溶剂、树脂</w:t>
            </w:r>
          </w:p>
        </w:tc>
        <w:tc>
          <w:tcPr>
            <w:tcW w:w="1065" w:type="dxa"/>
            <w:shd w:val="clear" w:color="auto" w:fill="auto"/>
            <w:vAlign w:val="center"/>
          </w:tcPr>
          <w:p w14:paraId="0FABB169">
            <w:pPr>
              <w:pStyle w:val="69"/>
              <w:ind w:firstLine="0" w:firstLineChars="0"/>
              <w:rPr>
                <w:rFonts w:hint="eastAsia"/>
                <w:color w:val="auto"/>
              </w:rPr>
            </w:pPr>
            <w:r>
              <w:rPr>
                <w:rFonts w:hint="eastAsia"/>
                <w:color w:val="auto"/>
              </w:rPr>
              <w:t>溶剂</w:t>
            </w:r>
          </w:p>
        </w:tc>
        <w:tc>
          <w:tcPr>
            <w:tcW w:w="960" w:type="dxa"/>
            <w:vAlign w:val="center"/>
          </w:tcPr>
          <w:p w14:paraId="4F455901">
            <w:pPr>
              <w:pStyle w:val="69"/>
              <w:rPr>
                <w:rFonts w:hint="default"/>
                <w:color w:val="auto"/>
                <w:lang w:val="en-US" w:eastAsia="zh-CN"/>
              </w:rPr>
            </w:pPr>
            <w:r>
              <w:rPr>
                <w:rFonts w:hint="eastAsia"/>
                <w:color w:val="auto"/>
                <w:lang w:val="en-US" w:eastAsia="zh-CN"/>
              </w:rPr>
              <w:t>37天</w:t>
            </w:r>
          </w:p>
        </w:tc>
        <w:tc>
          <w:tcPr>
            <w:tcW w:w="1011" w:type="dxa"/>
            <w:vAlign w:val="center"/>
          </w:tcPr>
          <w:p w14:paraId="2CEC3B7A">
            <w:pPr>
              <w:pStyle w:val="69"/>
              <w:rPr>
                <w:rFonts w:hint="eastAsia"/>
                <w:color w:val="auto"/>
              </w:rPr>
            </w:pPr>
            <w:r>
              <w:rPr>
                <w:rFonts w:hint="eastAsia"/>
                <w:color w:val="auto"/>
              </w:rPr>
              <w:t>T、I</w:t>
            </w:r>
          </w:p>
        </w:tc>
        <w:tc>
          <w:tcPr>
            <w:tcW w:w="1361" w:type="dxa"/>
            <w:vMerge w:val="continue"/>
            <w:vAlign w:val="center"/>
          </w:tcPr>
          <w:p w14:paraId="3A48DC4B">
            <w:pPr>
              <w:pStyle w:val="69"/>
              <w:rPr>
                <w:color w:val="auto"/>
              </w:rPr>
            </w:pPr>
          </w:p>
        </w:tc>
      </w:tr>
    </w:tbl>
    <w:p w14:paraId="560E7273">
      <w:pPr>
        <w:ind w:firstLine="480"/>
        <w:rPr>
          <w:rFonts w:hint="eastAsia"/>
          <w:color w:val="auto"/>
        </w:rPr>
      </w:pPr>
      <w:r>
        <w:rPr>
          <w:rFonts w:hint="eastAsia"/>
          <w:color w:val="auto"/>
        </w:rPr>
        <w:t>*危险特性，是指对生态环境和人体健康具有有害影响的毒性（Toxicity， T）、腐蚀性（Corrosivity， C）、易燃性（ Ignitability， I ） 、 反 应 性 （ Reactivity， R ） 和 感 染 性（Infectivity， In）。</w:t>
      </w:r>
    </w:p>
    <w:p w14:paraId="135E655E">
      <w:pPr>
        <w:pStyle w:val="64"/>
        <w:numPr>
          <w:ilvl w:val="2"/>
          <w:numId w:val="8"/>
        </w:numPr>
        <w:spacing w:before="156" w:after="156"/>
        <w:ind w:left="709" w:leftChars="0" w:hanging="709" w:firstLineChars="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项目“三本账”</w:t>
      </w:r>
    </w:p>
    <w:p w14:paraId="447F18A9">
      <w:pPr>
        <w:pStyle w:val="62"/>
        <w:numPr>
          <w:ilvl w:val="0"/>
          <w:numId w:val="30"/>
        </w:numPr>
        <w:tabs>
          <w:tab w:val="left" w:pos="2411"/>
        </w:tabs>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本项目“三本账”（单位：t/a）</w:t>
      </w:r>
    </w:p>
    <w:tbl>
      <w:tblPr>
        <w:tblStyle w:val="38"/>
        <w:tblW w:w="499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1648"/>
        <w:gridCol w:w="1977"/>
        <w:gridCol w:w="1482"/>
        <w:gridCol w:w="1811"/>
        <w:gridCol w:w="1727"/>
        <w:gridCol w:w="2110"/>
        <w:gridCol w:w="1449"/>
      </w:tblGrid>
      <w:tr w14:paraId="2961B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57" w:type="pct"/>
            <w:tcBorders>
              <w:tl2br w:val="single" w:color="auto" w:sz="4" w:space="0"/>
            </w:tcBorders>
            <w:noWrap w:val="0"/>
            <w:tcMar>
              <w:left w:w="28" w:type="dxa"/>
              <w:right w:w="28" w:type="dxa"/>
            </w:tcMar>
            <w:vAlign w:val="center"/>
          </w:tcPr>
          <w:p w14:paraId="39EC60E4">
            <w:pPr>
              <w:pStyle w:val="59"/>
              <w:bidi w:val="0"/>
              <w:jc w:val="right"/>
              <w:rPr>
                <w:rFonts w:hint="eastAsia"/>
                <w:color w:val="auto"/>
              </w:rPr>
            </w:pPr>
            <w:r>
              <w:rPr>
                <w:rFonts w:hint="eastAsia"/>
                <w:color w:val="auto"/>
              </w:rPr>
              <w:t>项目</w:t>
            </w:r>
          </w:p>
          <w:p w14:paraId="601B0001">
            <w:pPr>
              <w:pStyle w:val="59"/>
              <w:bidi w:val="0"/>
              <w:jc w:val="left"/>
              <w:rPr>
                <w:rFonts w:hint="eastAsia"/>
                <w:color w:val="auto"/>
              </w:rPr>
            </w:pPr>
            <w:r>
              <w:rPr>
                <w:rFonts w:hint="eastAsia"/>
                <w:color w:val="auto"/>
              </w:rPr>
              <w:t>分类</w:t>
            </w:r>
          </w:p>
        </w:tc>
        <w:tc>
          <w:tcPr>
            <w:tcW w:w="586" w:type="pct"/>
            <w:noWrap w:val="0"/>
            <w:tcMar>
              <w:left w:w="28" w:type="dxa"/>
              <w:right w:w="28" w:type="dxa"/>
            </w:tcMar>
            <w:vAlign w:val="center"/>
          </w:tcPr>
          <w:p w14:paraId="56A8BC2A">
            <w:pPr>
              <w:pStyle w:val="59"/>
              <w:bidi w:val="0"/>
              <w:rPr>
                <w:rFonts w:hint="eastAsia"/>
                <w:color w:val="auto"/>
              </w:rPr>
            </w:pPr>
            <w:r>
              <w:rPr>
                <w:rFonts w:hint="eastAsia"/>
                <w:color w:val="auto"/>
              </w:rPr>
              <w:t>污染物名称</w:t>
            </w:r>
          </w:p>
        </w:tc>
        <w:tc>
          <w:tcPr>
            <w:tcW w:w="703" w:type="pct"/>
            <w:noWrap w:val="0"/>
            <w:tcMar>
              <w:left w:w="28" w:type="dxa"/>
              <w:right w:w="28" w:type="dxa"/>
            </w:tcMar>
            <w:vAlign w:val="center"/>
          </w:tcPr>
          <w:p w14:paraId="3EAD97FF">
            <w:pPr>
              <w:pStyle w:val="59"/>
              <w:bidi w:val="0"/>
              <w:rPr>
                <w:rFonts w:hint="eastAsia"/>
                <w:color w:val="auto"/>
              </w:rPr>
            </w:pPr>
            <w:r>
              <w:rPr>
                <w:color w:val="auto"/>
              </w:rPr>
              <w:t>现有工程</w:t>
            </w:r>
          </w:p>
          <w:p w14:paraId="53EC3FF2">
            <w:pPr>
              <w:pStyle w:val="59"/>
              <w:bidi w:val="0"/>
              <w:rPr>
                <w:color w:val="auto"/>
              </w:rPr>
            </w:pPr>
            <w:r>
              <w:rPr>
                <w:color w:val="auto"/>
              </w:rPr>
              <w:t>排放量（固</w:t>
            </w:r>
            <w:r>
              <w:rPr>
                <w:rFonts w:hint="eastAsia"/>
                <w:color w:val="auto"/>
              </w:rPr>
              <w:t>体</w:t>
            </w:r>
            <w:r>
              <w:rPr>
                <w:color w:val="auto"/>
              </w:rPr>
              <w:t>废</w:t>
            </w:r>
            <w:r>
              <w:rPr>
                <w:rFonts w:hint="eastAsia"/>
                <w:color w:val="auto"/>
              </w:rPr>
              <w:t>物</w:t>
            </w:r>
            <w:r>
              <w:rPr>
                <w:color w:val="auto"/>
              </w:rPr>
              <w:t>产生量）</w:t>
            </w:r>
            <w:r>
              <w:rPr>
                <w:color w:val="auto"/>
              </w:rPr>
              <w:fldChar w:fldCharType="begin"/>
            </w:r>
            <w:r>
              <w:rPr>
                <w:color w:val="auto"/>
              </w:rPr>
              <w:instrText xml:space="preserve"> = 1 \* GB3 \* MERGEFORMAT </w:instrText>
            </w:r>
            <w:r>
              <w:rPr>
                <w:color w:val="auto"/>
              </w:rPr>
              <w:fldChar w:fldCharType="separate"/>
            </w:r>
            <w:r>
              <w:rPr>
                <w:rFonts w:hint="eastAsia"/>
                <w:color w:val="auto"/>
              </w:rPr>
              <w:t>①</w:t>
            </w:r>
            <w:r>
              <w:rPr>
                <w:color w:val="auto"/>
              </w:rPr>
              <w:fldChar w:fldCharType="end"/>
            </w:r>
          </w:p>
        </w:tc>
        <w:tc>
          <w:tcPr>
            <w:tcW w:w="527" w:type="pct"/>
            <w:noWrap w:val="0"/>
            <w:tcMar>
              <w:left w:w="28" w:type="dxa"/>
              <w:right w:w="28" w:type="dxa"/>
            </w:tcMar>
            <w:vAlign w:val="center"/>
          </w:tcPr>
          <w:p w14:paraId="6D1FE60C">
            <w:pPr>
              <w:pStyle w:val="59"/>
              <w:bidi w:val="0"/>
              <w:rPr>
                <w:color w:val="auto"/>
              </w:rPr>
            </w:pPr>
            <w:r>
              <w:rPr>
                <w:color w:val="auto"/>
              </w:rPr>
              <w:t>现有工程</w:t>
            </w:r>
          </w:p>
          <w:p w14:paraId="5567056B">
            <w:pPr>
              <w:pStyle w:val="59"/>
              <w:bidi w:val="0"/>
              <w:rPr>
                <w:color w:val="auto"/>
              </w:rPr>
            </w:pPr>
            <w:r>
              <w:rPr>
                <w:color w:val="auto"/>
              </w:rPr>
              <w:t>许可排放量</w:t>
            </w:r>
          </w:p>
          <w:p w14:paraId="03F38EF7">
            <w:pPr>
              <w:pStyle w:val="59"/>
              <w:bidi w:val="0"/>
              <w:rPr>
                <w:color w:val="auto"/>
              </w:rPr>
            </w:pPr>
            <w:r>
              <w:rPr>
                <w:color w:val="auto"/>
              </w:rPr>
              <w:fldChar w:fldCharType="begin"/>
            </w:r>
            <w:r>
              <w:rPr>
                <w:color w:val="auto"/>
              </w:rPr>
              <w:instrText xml:space="preserve"> = 2 \* GB3 \* MERGEFORMAT </w:instrText>
            </w:r>
            <w:r>
              <w:rPr>
                <w:color w:val="auto"/>
              </w:rPr>
              <w:fldChar w:fldCharType="separate"/>
            </w:r>
            <w:r>
              <w:rPr>
                <w:rFonts w:hint="eastAsia"/>
                <w:color w:val="auto"/>
              </w:rPr>
              <w:t>②</w:t>
            </w:r>
            <w:r>
              <w:rPr>
                <w:color w:val="auto"/>
              </w:rPr>
              <w:fldChar w:fldCharType="end"/>
            </w:r>
          </w:p>
        </w:tc>
        <w:tc>
          <w:tcPr>
            <w:tcW w:w="644" w:type="pct"/>
            <w:noWrap w:val="0"/>
            <w:tcMar>
              <w:left w:w="28" w:type="dxa"/>
              <w:right w:w="28" w:type="dxa"/>
            </w:tcMar>
            <w:vAlign w:val="center"/>
          </w:tcPr>
          <w:p w14:paraId="1CBE9FC2">
            <w:pPr>
              <w:pStyle w:val="59"/>
              <w:bidi w:val="0"/>
              <w:rPr>
                <w:rFonts w:hint="eastAsia"/>
                <w:color w:val="auto"/>
              </w:rPr>
            </w:pPr>
            <w:r>
              <w:rPr>
                <w:color w:val="auto"/>
              </w:rPr>
              <w:t>本项目</w:t>
            </w:r>
          </w:p>
          <w:p w14:paraId="59ACCFC5">
            <w:pPr>
              <w:pStyle w:val="59"/>
              <w:bidi w:val="0"/>
              <w:rPr>
                <w:color w:val="auto"/>
              </w:rPr>
            </w:pPr>
            <w:r>
              <w:rPr>
                <w:color w:val="auto"/>
              </w:rPr>
              <w:t>排放量（固</w:t>
            </w:r>
            <w:r>
              <w:rPr>
                <w:rFonts w:hint="eastAsia"/>
                <w:color w:val="auto"/>
              </w:rPr>
              <w:t>体</w:t>
            </w:r>
            <w:r>
              <w:rPr>
                <w:color w:val="auto"/>
              </w:rPr>
              <w:t>废</w:t>
            </w:r>
            <w:r>
              <w:rPr>
                <w:rFonts w:hint="eastAsia"/>
                <w:color w:val="auto"/>
              </w:rPr>
              <w:t>物</w:t>
            </w:r>
            <w:r>
              <w:rPr>
                <w:color w:val="auto"/>
              </w:rPr>
              <w:t>产生量）</w:t>
            </w:r>
            <w:r>
              <w:rPr>
                <w:color w:val="auto"/>
              </w:rPr>
              <w:fldChar w:fldCharType="begin"/>
            </w:r>
            <w:r>
              <w:rPr>
                <w:color w:val="auto"/>
              </w:rPr>
              <w:instrText xml:space="preserve"> = 4 \* GB3 \* MERGEFORMAT </w:instrText>
            </w:r>
            <w:r>
              <w:rPr>
                <w:color w:val="auto"/>
              </w:rPr>
              <w:fldChar w:fldCharType="separate"/>
            </w:r>
            <w:r>
              <w:rPr>
                <w:rFonts w:hint="eastAsia"/>
                <w:color w:val="auto"/>
              </w:rPr>
              <w:t>④</w:t>
            </w:r>
            <w:r>
              <w:rPr>
                <w:color w:val="auto"/>
              </w:rPr>
              <w:fldChar w:fldCharType="end"/>
            </w:r>
          </w:p>
        </w:tc>
        <w:tc>
          <w:tcPr>
            <w:tcW w:w="614" w:type="pct"/>
            <w:noWrap w:val="0"/>
            <w:tcMar>
              <w:left w:w="28" w:type="dxa"/>
              <w:right w:w="28" w:type="dxa"/>
            </w:tcMar>
            <w:vAlign w:val="center"/>
          </w:tcPr>
          <w:p w14:paraId="6FC2F06F">
            <w:pPr>
              <w:pStyle w:val="59"/>
              <w:bidi w:val="0"/>
              <w:rPr>
                <w:color w:val="auto"/>
              </w:rPr>
            </w:pPr>
            <w:r>
              <w:rPr>
                <w:color w:val="auto"/>
              </w:rPr>
              <w:t>以新带老削减量（新建项目不填）</w:t>
            </w:r>
            <w:r>
              <w:rPr>
                <w:color w:val="auto"/>
              </w:rPr>
              <w:fldChar w:fldCharType="begin"/>
            </w:r>
            <w:r>
              <w:rPr>
                <w:color w:val="auto"/>
              </w:rPr>
              <w:instrText xml:space="preserve"> = 5 \* GB3 \* MERGEFORMAT </w:instrText>
            </w:r>
            <w:r>
              <w:rPr>
                <w:color w:val="auto"/>
              </w:rPr>
              <w:fldChar w:fldCharType="separate"/>
            </w:r>
            <w:r>
              <w:rPr>
                <w:rFonts w:hint="eastAsia"/>
                <w:color w:val="auto"/>
              </w:rPr>
              <w:t>⑤</w:t>
            </w:r>
            <w:r>
              <w:rPr>
                <w:color w:val="auto"/>
              </w:rPr>
              <w:fldChar w:fldCharType="end"/>
            </w:r>
          </w:p>
        </w:tc>
        <w:tc>
          <w:tcPr>
            <w:tcW w:w="750" w:type="pct"/>
            <w:noWrap w:val="0"/>
            <w:tcMar>
              <w:left w:w="28" w:type="dxa"/>
              <w:right w:w="28" w:type="dxa"/>
            </w:tcMar>
            <w:vAlign w:val="center"/>
          </w:tcPr>
          <w:p w14:paraId="5EC2E174">
            <w:pPr>
              <w:pStyle w:val="59"/>
              <w:bidi w:val="0"/>
              <w:rPr>
                <w:rFonts w:hint="eastAsia"/>
                <w:color w:val="auto"/>
              </w:rPr>
            </w:pPr>
            <w:r>
              <w:rPr>
                <w:color w:val="auto"/>
              </w:rPr>
              <w:t>本项目建成后</w:t>
            </w:r>
          </w:p>
          <w:p w14:paraId="7CADE46E">
            <w:pPr>
              <w:pStyle w:val="59"/>
              <w:bidi w:val="0"/>
              <w:rPr>
                <w:color w:val="auto"/>
              </w:rPr>
            </w:pPr>
            <w:r>
              <w:rPr>
                <w:rFonts w:hint="eastAsia"/>
                <w:color w:val="auto"/>
              </w:rPr>
              <w:t>全厂</w:t>
            </w:r>
            <w:r>
              <w:rPr>
                <w:color w:val="auto"/>
              </w:rPr>
              <w:t>排放量（固</w:t>
            </w:r>
            <w:r>
              <w:rPr>
                <w:rFonts w:hint="eastAsia"/>
                <w:color w:val="auto"/>
              </w:rPr>
              <w:t>体</w:t>
            </w:r>
            <w:r>
              <w:rPr>
                <w:color w:val="auto"/>
              </w:rPr>
              <w:t>废</w:t>
            </w:r>
            <w:r>
              <w:rPr>
                <w:rFonts w:hint="eastAsia"/>
                <w:color w:val="auto"/>
              </w:rPr>
              <w:t>物</w:t>
            </w:r>
            <w:r>
              <w:rPr>
                <w:color w:val="auto"/>
              </w:rPr>
              <w:t>产生量）</w:t>
            </w:r>
            <w:r>
              <w:rPr>
                <w:color w:val="auto"/>
              </w:rPr>
              <w:fldChar w:fldCharType="begin"/>
            </w:r>
            <w:r>
              <w:rPr>
                <w:color w:val="auto"/>
              </w:rPr>
              <w:instrText xml:space="preserve"> = 6 \* GB3 \* MERGEFORMAT </w:instrText>
            </w:r>
            <w:r>
              <w:rPr>
                <w:color w:val="auto"/>
              </w:rPr>
              <w:fldChar w:fldCharType="separate"/>
            </w:r>
            <w:r>
              <w:rPr>
                <w:rFonts w:hint="eastAsia"/>
                <w:color w:val="auto"/>
              </w:rPr>
              <w:t>⑥</w:t>
            </w:r>
            <w:r>
              <w:rPr>
                <w:color w:val="auto"/>
              </w:rPr>
              <w:fldChar w:fldCharType="end"/>
            </w:r>
          </w:p>
        </w:tc>
        <w:tc>
          <w:tcPr>
            <w:tcW w:w="515" w:type="pct"/>
            <w:noWrap w:val="0"/>
            <w:tcMar>
              <w:left w:w="28" w:type="dxa"/>
              <w:right w:w="28" w:type="dxa"/>
            </w:tcMar>
            <w:vAlign w:val="center"/>
          </w:tcPr>
          <w:p w14:paraId="42BA06C0">
            <w:pPr>
              <w:pStyle w:val="59"/>
              <w:bidi w:val="0"/>
              <w:rPr>
                <w:color w:val="auto"/>
              </w:rPr>
            </w:pPr>
            <w:r>
              <w:rPr>
                <w:color w:val="auto"/>
              </w:rPr>
              <w:t>变化量</w:t>
            </w:r>
          </w:p>
          <w:p w14:paraId="19461884">
            <w:pPr>
              <w:pStyle w:val="59"/>
              <w:bidi w:val="0"/>
              <w:rPr>
                <w:color w:val="auto"/>
              </w:rPr>
            </w:pPr>
            <w:r>
              <w:rPr>
                <w:color w:val="auto"/>
              </w:rPr>
              <w:fldChar w:fldCharType="begin"/>
            </w:r>
            <w:r>
              <w:rPr>
                <w:color w:val="auto"/>
              </w:rPr>
              <w:instrText xml:space="preserve"> = 7 \* GB3 \* MERGEFORMAT </w:instrText>
            </w:r>
            <w:r>
              <w:rPr>
                <w:color w:val="auto"/>
              </w:rPr>
              <w:fldChar w:fldCharType="separate"/>
            </w:r>
            <w:r>
              <w:rPr>
                <w:rFonts w:hint="eastAsia"/>
                <w:color w:val="auto"/>
              </w:rPr>
              <w:t>⑦</w:t>
            </w:r>
            <w:r>
              <w:rPr>
                <w:color w:val="auto"/>
              </w:rPr>
              <w:fldChar w:fldCharType="end"/>
            </w:r>
          </w:p>
        </w:tc>
      </w:tr>
      <w:tr w14:paraId="68E9D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restart"/>
            <w:noWrap w:val="0"/>
            <w:vAlign w:val="center"/>
          </w:tcPr>
          <w:p w14:paraId="5EB47896">
            <w:pPr>
              <w:pStyle w:val="59"/>
              <w:bidi w:val="0"/>
              <w:rPr>
                <w:rFonts w:hint="eastAsia"/>
                <w:lang w:eastAsia="zh-CN"/>
              </w:rPr>
            </w:pPr>
            <w:r>
              <w:rPr>
                <w:rFonts w:hint="eastAsia"/>
                <w:lang w:val="en-US" w:eastAsia="zh-CN"/>
              </w:rPr>
              <w:t>废水（间接排放量）</w:t>
            </w:r>
          </w:p>
        </w:tc>
        <w:tc>
          <w:tcPr>
            <w:tcW w:w="586" w:type="pct"/>
            <w:noWrap w:val="0"/>
            <w:vAlign w:val="center"/>
          </w:tcPr>
          <w:p w14:paraId="70BADE6B">
            <w:pPr>
              <w:pStyle w:val="59"/>
              <w:bidi w:val="0"/>
              <w:rPr>
                <w:rFonts w:hint="eastAsia"/>
                <w:lang w:val="en-US" w:eastAsia="zh-CN"/>
              </w:rPr>
            </w:pPr>
            <w:r>
              <w:rPr>
                <w:rFonts w:hint="eastAsia"/>
                <w:lang w:val="en-US" w:eastAsia="zh-CN"/>
              </w:rPr>
              <w:t>生活污水排放量</w:t>
            </w:r>
          </w:p>
        </w:tc>
        <w:tc>
          <w:tcPr>
            <w:tcW w:w="703" w:type="pct"/>
            <w:noWrap w:val="0"/>
            <w:vAlign w:val="center"/>
          </w:tcPr>
          <w:p w14:paraId="40B5A50A">
            <w:pPr>
              <w:pStyle w:val="59"/>
              <w:bidi w:val="0"/>
              <w:rPr>
                <w:rFonts w:hint="eastAsia"/>
                <w:lang w:val="en-US" w:eastAsia="zh-CN"/>
              </w:rPr>
            </w:pPr>
          </w:p>
        </w:tc>
        <w:tc>
          <w:tcPr>
            <w:tcW w:w="527" w:type="pct"/>
            <w:noWrap w:val="0"/>
            <w:vAlign w:val="center"/>
          </w:tcPr>
          <w:p w14:paraId="607CA790">
            <w:pPr>
              <w:pStyle w:val="59"/>
              <w:bidi w:val="0"/>
              <w:rPr>
                <w:lang w:val="en-US" w:eastAsia="zh-CN"/>
              </w:rPr>
            </w:pPr>
          </w:p>
        </w:tc>
        <w:tc>
          <w:tcPr>
            <w:tcW w:w="644" w:type="pct"/>
            <w:noWrap w:val="0"/>
            <w:vAlign w:val="center"/>
          </w:tcPr>
          <w:p w14:paraId="238A84D4">
            <w:pPr>
              <w:pStyle w:val="59"/>
              <w:bidi w:val="0"/>
              <w:rPr>
                <w:rFonts w:hint="default"/>
                <w:lang w:val="en-US" w:eastAsia="zh-CN"/>
              </w:rPr>
            </w:pPr>
            <w:r>
              <w:rPr>
                <w:rFonts w:hint="default"/>
                <w:lang w:val="en-US" w:eastAsia="zh-CN"/>
              </w:rPr>
              <w:t>270</w:t>
            </w:r>
          </w:p>
        </w:tc>
        <w:tc>
          <w:tcPr>
            <w:tcW w:w="614" w:type="pct"/>
            <w:noWrap w:val="0"/>
            <w:vAlign w:val="center"/>
          </w:tcPr>
          <w:p w14:paraId="42E8D062">
            <w:pPr>
              <w:pStyle w:val="59"/>
              <w:bidi w:val="0"/>
              <w:rPr>
                <w:rFonts w:hint="default"/>
                <w:lang w:val="en-US" w:eastAsia="zh-CN"/>
              </w:rPr>
            </w:pPr>
            <w:r>
              <w:rPr>
                <w:rFonts w:hint="default"/>
                <w:lang w:val="en-US" w:eastAsia="zh-CN"/>
              </w:rPr>
              <w:t>0</w:t>
            </w:r>
          </w:p>
        </w:tc>
        <w:tc>
          <w:tcPr>
            <w:tcW w:w="750" w:type="pct"/>
            <w:noWrap w:val="0"/>
            <w:vAlign w:val="center"/>
          </w:tcPr>
          <w:p w14:paraId="7C50B7F1">
            <w:pPr>
              <w:pStyle w:val="59"/>
              <w:bidi w:val="0"/>
              <w:rPr>
                <w:rFonts w:hint="default"/>
                <w:lang w:val="en-US" w:eastAsia="zh-CN"/>
              </w:rPr>
            </w:pPr>
            <w:r>
              <w:rPr>
                <w:rFonts w:hint="default"/>
                <w:lang w:val="en-US" w:eastAsia="zh-CN"/>
              </w:rPr>
              <w:t>270</w:t>
            </w:r>
          </w:p>
        </w:tc>
        <w:tc>
          <w:tcPr>
            <w:tcW w:w="515" w:type="pct"/>
            <w:noWrap w:val="0"/>
            <w:vAlign w:val="center"/>
          </w:tcPr>
          <w:p w14:paraId="68B60816">
            <w:pPr>
              <w:pStyle w:val="59"/>
              <w:bidi w:val="0"/>
              <w:rPr>
                <w:rFonts w:hint="eastAsia"/>
                <w:lang w:val="en-US" w:eastAsia="zh-CN"/>
              </w:rPr>
            </w:pPr>
            <w:r>
              <w:rPr>
                <w:rFonts w:hint="default"/>
                <w:lang w:val="en-US" w:eastAsia="zh-CN"/>
              </w:rPr>
              <w:t>270</w:t>
            </w:r>
          </w:p>
        </w:tc>
      </w:tr>
      <w:tr w14:paraId="499BF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2F6A6F58">
            <w:pPr>
              <w:pStyle w:val="59"/>
              <w:bidi w:val="0"/>
              <w:rPr>
                <w:rFonts w:hint="eastAsia"/>
              </w:rPr>
            </w:pPr>
          </w:p>
        </w:tc>
        <w:tc>
          <w:tcPr>
            <w:tcW w:w="586" w:type="pct"/>
            <w:noWrap w:val="0"/>
            <w:vAlign w:val="center"/>
          </w:tcPr>
          <w:p w14:paraId="2A81D4FF">
            <w:pPr>
              <w:pStyle w:val="59"/>
              <w:bidi w:val="0"/>
              <w:rPr>
                <w:lang w:val="en-US" w:eastAsia="zh-CN"/>
              </w:rPr>
            </w:pPr>
            <w:r>
              <w:rPr>
                <w:rFonts w:hint="default"/>
                <w:lang w:val="en-US" w:eastAsia="zh-CN"/>
              </w:rPr>
              <w:t>COD</w:t>
            </w:r>
          </w:p>
        </w:tc>
        <w:tc>
          <w:tcPr>
            <w:tcW w:w="703" w:type="pct"/>
            <w:noWrap w:val="0"/>
            <w:vAlign w:val="center"/>
          </w:tcPr>
          <w:p w14:paraId="776FBB3D">
            <w:pPr>
              <w:pStyle w:val="59"/>
              <w:bidi w:val="0"/>
              <w:rPr>
                <w:rFonts w:hint="eastAsia"/>
                <w:lang w:val="en-US" w:eastAsia="zh-CN"/>
              </w:rPr>
            </w:pPr>
          </w:p>
        </w:tc>
        <w:tc>
          <w:tcPr>
            <w:tcW w:w="527" w:type="pct"/>
            <w:noWrap w:val="0"/>
            <w:vAlign w:val="center"/>
          </w:tcPr>
          <w:p w14:paraId="6EDA3BC6">
            <w:pPr>
              <w:pStyle w:val="59"/>
              <w:bidi w:val="0"/>
              <w:rPr>
                <w:rFonts w:hint="default"/>
                <w:lang w:val="en-US" w:eastAsia="zh-CN"/>
              </w:rPr>
            </w:pPr>
          </w:p>
        </w:tc>
        <w:tc>
          <w:tcPr>
            <w:tcW w:w="644" w:type="pct"/>
            <w:noWrap w:val="0"/>
            <w:vAlign w:val="center"/>
          </w:tcPr>
          <w:p w14:paraId="330245B5">
            <w:pPr>
              <w:pStyle w:val="59"/>
              <w:bidi w:val="0"/>
              <w:rPr>
                <w:rFonts w:hint="default"/>
                <w:lang w:val="en-US" w:eastAsia="zh-CN"/>
              </w:rPr>
            </w:pPr>
            <w:r>
              <w:rPr>
                <w:rFonts w:hint="default"/>
                <w:lang w:val="en-US" w:eastAsia="zh-CN"/>
              </w:rPr>
              <w:t xml:space="preserve">0.065 </w:t>
            </w:r>
          </w:p>
        </w:tc>
        <w:tc>
          <w:tcPr>
            <w:tcW w:w="614" w:type="pct"/>
            <w:noWrap w:val="0"/>
            <w:vAlign w:val="center"/>
          </w:tcPr>
          <w:p w14:paraId="37E448DE">
            <w:pPr>
              <w:pStyle w:val="59"/>
              <w:bidi w:val="0"/>
              <w:rPr>
                <w:rFonts w:hint="eastAsia"/>
                <w:lang w:val="en-US" w:eastAsia="zh-CN"/>
              </w:rPr>
            </w:pPr>
            <w:r>
              <w:rPr>
                <w:rFonts w:hint="default"/>
                <w:lang w:val="en-US" w:eastAsia="zh-CN"/>
              </w:rPr>
              <w:t>0</w:t>
            </w:r>
          </w:p>
        </w:tc>
        <w:tc>
          <w:tcPr>
            <w:tcW w:w="750" w:type="pct"/>
            <w:noWrap w:val="0"/>
            <w:vAlign w:val="center"/>
          </w:tcPr>
          <w:p w14:paraId="7FEB84D1">
            <w:pPr>
              <w:pStyle w:val="59"/>
              <w:bidi w:val="0"/>
              <w:rPr>
                <w:lang w:val="en-US" w:eastAsia="zh-CN"/>
              </w:rPr>
            </w:pPr>
            <w:r>
              <w:rPr>
                <w:rFonts w:hint="default"/>
                <w:lang w:val="en-US" w:eastAsia="zh-CN"/>
              </w:rPr>
              <w:t xml:space="preserve">0.065 </w:t>
            </w:r>
          </w:p>
        </w:tc>
        <w:tc>
          <w:tcPr>
            <w:tcW w:w="515" w:type="pct"/>
            <w:noWrap w:val="0"/>
            <w:vAlign w:val="center"/>
          </w:tcPr>
          <w:p w14:paraId="4220FFD0">
            <w:pPr>
              <w:pStyle w:val="59"/>
              <w:bidi w:val="0"/>
              <w:rPr>
                <w:lang w:val="en-US" w:eastAsia="zh-CN"/>
              </w:rPr>
            </w:pPr>
            <w:r>
              <w:rPr>
                <w:rFonts w:hint="default"/>
                <w:lang w:val="en-US" w:eastAsia="zh-CN"/>
              </w:rPr>
              <w:t xml:space="preserve">0.065 </w:t>
            </w:r>
          </w:p>
        </w:tc>
      </w:tr>
      <w:tr w14:paraId="41429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2989AFD8">
            <w:pPr>
              <w:pStyle w:val="59"/>
              <w:bidi w:val="0"/>
              <w:rPr>
                <w:rFonts w:hint="eastAsia"/>
              </w:rPr>
            </w:pPr>
          </w:p>
        </w:tc>
        <w:tc>
          <w:tcPr>
            <w:tcW w:w="586" w:type="pct"/>
            <w:noWrap w:val="0"/>
            <w:vAlign w:val="center"/>
          </w:tcPr>
          <w:p w14:paraId="082DFC8E">
            <w:pPr>
              <w:pStyle w:val="59"/>
              <w:bidi w:val="0"/>
              <w:rPr>
                <w:lang w:val="en-US" w:eastAsia="zh-CN"/>
              </w:rPr>
            </w:pPr>
            <w:r>
              <w:rPr>
                <w:rFonts w:hint="default"/>
                <w:lang w:val="en-US" w:eastAsia="zh-CN"/>
              </w:rPr>
              <w:t>BOD5</w:t>
            </w:r>
          </w:p>
        </w:tc>
        <w:tc>
          <w:tcPr>
            <w:tcW w:w="703" w:type="pct"/>
            <w:noWrap w:val="0"/>
            <w:vAlign w:val="center"/>
          </w:tcPr>
          <w:p w14:paraId="7A2E1764">
            <w:pPr>
              <w:pStyle w:val="59"/>
              <w:bidi w:val="0"/>
              <w:rPr>
                <w:rFonts w:hint="eastAsia"/>
                <w:lang w:val="en-US" w:eastAsia="zh-CN"/>
              </w:rPr>
            </w:pPr>
          </w:p>
        </w:tc>
        <w:tc>
          <w:tcPr>
            <w:tcW w:w="527" w:type="pct"/>
            <w:noWrap w:val="0"/>
            <w:vAlign w:val="center"/>
          </w:tcPr>
          <w:p w14:paraId="1CD1B73B">
            <w:pPr>
              <w:pStyle w:val="59"/>
              <w:bidi w:val="0"/>
              <w:rPr>
                <w:lang w:val="en-US" w:eastAsia="zh-CN"/>
              </w:rPr>
            </w:pPr>
          </w:p>
        </w:tc>
        <w:tc>
          <w:tcPr>
            <w:tcW w:w="644" w:type="pct"/>
            <w:noWrap w:val="0"/>
            <w:vAlign w:val="center"/>
          </w:tcPr>
          <w:p w14:paraId="679AF3DC">
            <w:pPr>
              <w:pStyle w:val="59"/>
              <w:bidi w:val="0"/>
              <w:rPr>
                <w:rFonts w:hint="default"/>
                <w:lang w:val="en-US" w:eastAsia="zh-CN"/>
              </w:rPr>
            </w:pPr>
            <w:r>
              <w:rPr>
                <w:rFonts w:hint="default"/>
                <w:lang w:val="en-US" w:eastAsia="zh-CN"/>
              </w:rPr>
              <w:t xml:space="preserve">0.090 </w:t>
            </w:r>
          </w:p>
        </w:tc>
        <w:tc>
          <w:tcPr>
            <w:tcW w:w="614" w:type="pct"/>
            <w:noWrap w:val="0"/>
            <w:vAlign w:val="center"/>
          </w:tcPr>
          <w:p w14:paraId="235C6ADC">
            <w:pPr>
              <w:pStyle w:val="59"/>
              <w:bidi w:val="0"/>
              <w:rPr>
                <w:rFonts w:hint="eastAsia"/>
                <w:lang w:val="en-US" w:eastAsia="zh-CN"/>
              </w:rPr>
            </w:pPr>
            <w:r>
              <w:rPr>
                <w:rFonts w:hint="default"/>
                <w:lang w:val="en-US" w:eastAsia="zh-CN"/>
              </w:rPr>
              <w:t>0</w:t>
            </w:r>
          </w:p>
        </w:tc>
        <w:tc>
          <w:tcPr>
            <w:tcW w:w="750" w:type="pct"/>
            <w:noWrap w:val="0"/>
            <w:vAlign w:val="center"/>
          </w:tcPr>
          <w:p w14:paraId="73A3DD99">
            <w:pPr>
              <w:pStyle w:val="59"/>
              <w:bidi w:val="0"/>
              <w:rPr>
                <w:lang w:val="en-US" w:eastAsia="zh-CN"/>
              </w:rPr>
            </w:pPr>
            <w:r>
              <w:rPr>
                <w:rFonts w:hint="default"/>
                <w:lang w:val="en-US" w:eastAsia="zh-CN"/>
              </w:rPr>
              <w:t xml:space="preserve">0.090 </w:t>
            </w:r>
          </w:p>
        </w:tc>
        <w:tc>
          <w:tcPr>
            <w:tcW w:w="515" w:type="pct"/>
            <w:noWrap w:val="0"/>
            <w:vAlign w:val="center"/>
          </w:tcPr>
          <w:p w14:paraId="2561765C">
            <w:pPr>
              <w:pStyle w:val="59"/>
              <w:bidi w:val="0"/>
              <w:rPr>
                <w:lang w:val="en-US" w:eastAsia="zh-CN"/>
              </w:rPr>
            </w:pPr>
            <w:r>
              <w:rPr>
                <w:rFonts w:hint="default"/>
                <w:lang w:val="en-US" w:eastAsia="zh-CN"/>
              </w:rPr>
              <w:t xml:space="preserve">0.090 </w:t>
            </w:r>
          </w:p>
        </w:tc>
      </w:tr>
      <w:tr w14:paraId="28D85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251EB279">
            <w:pPr>
              <w:pStyle w:val="59"/>
              <w:bidi w:val="0"/>
              <w:rPr>
                <w:rFonts w:hint="eastAsia"/>
              </w:rPr>
            </w:pPr>
          </w:p>
        </w:tc>
        <w:tc>
          <w:tcPr>
            <w:tcW w:w="586" w:type="pct"/>
            <w:noWrap w:val="0"/>
            <w:vAlign w:val="center"/>
          </w:tcPr>
          <w:p w14:paraId="1D0D03B0">
            <w:pPr>
              <w:pStyle w:val="59"/>
              <w:bidi w:val="0"/>
              <w:rPr>
                <w:rFonts w:hint="eastAsia"/>
                <w:lang w:val="en-US" w:eastAsia="zh-CN"/>
              </w:rPr>
            </w:pPr>
            <w:r>
              <w:rPr>
                <w:rFonts w:hint="default"/>
                <w:lang w:val="en-US" w:eastAsia="zh-CN"/>
              </w:rPr>
              <w:t>氨氮</w:t>
            </w:r>
          </w:p>
        </w:tc>
        <w:tc>
          <w:tcPr>
            <w:tcW w:w="703" w:type="pct"/>
            <w:noWrap w:val="0"/>
            <w:vAlign w:val="center"/>
          </w:tcPr>
          <w:p w14:paraId="01B73253">
            <w:pPr>
              <w:pStyle w:val="59"/>
              <w:bidi w:val="0"/>
              <w:rPr>
                <w:rFonts w:hint="eastAsia"/>
                <w:lang w:val="en-US" w:eastAsia="zh-CN"/>
              </w:rPr>
            </w:pPr>
          </w:p>
        </w:tc>
        <w:tc>
          <w:tcPr>
            <w:tcW w:w="527" w:type="pct"/>
            <w:noWrap w:val="0"/>
            <w:vAlign w:val="center"/>
          </w:tcPr>
          <w:p w14:paraId="07C51C24">
            <w:pPr>
              <w:pStyle w:val="59"/>
              <w:bidi w:val="0"/>
              <w:rPr>
                <w:lang w:val="en-US" w:eastAsia="zh-CN"/>
              </w:rPr>
            </w:pPr>
          </w:p>
        </w:tc>
        <w:tc>
          <w:tcPr>
            <w:tcW w:w="644" w:type="pct"/>
            <w:noWrap w:val="0"/>
            <w:vAlign w:val="center"/>
          </w:tcPr>
          <w:p w14:paraId="2851D187">
            <w:pPr>
              <w:pStyle w:val="59"/>
              <w:bidi w:val="0"/>
              <w:rPr>
                <w:rFonts w:hint="default"/>
                <w:lang w:val="en-US" w:eastAsia="zh-CN"/>
              </w:rPr>
            </w:pPr>
            <w:r>
              <w:rPr>
                <w:rFonts w:hint="default"/>
                <w:lang w:val="en-US" w:eastAsia="zh-CN"/>
              </w:rPr>
              <w:t xml:space="preserve">0.017 </w:t>
            </w:r>
          </w:p>
        </w:tc>
        <w:tc>
          <w:tcPr>
            <w:tcW w:w="614" w:type="pct"/>
            <w:noWrap w:val="0"/>
            <w:vAlign w:val="center"/>
          </w:tcPr>
          <w:p w14:paraId="29CB183B">
            <w:pPr>
              <w:pStyle w:val="59"/>
              <w:bidi w:val="0"/>
              <w:rPr>
                <w:rFonts w:hint="eastAsia"/>
                <w:lang w:val="en-US" w:eastAsia="zh-CN"/>
              </w:rPr>
            </w:pPr>
            <w:r>
              <w:rPr>
                <w:rFonts w:hint="default"/>
                <w:lang w:val="en-US" w:eastAsia="zh-CN"/>
              </w:rPr>
              <w:t>0</w:t>
            </w:r>
          </w:p>
        </w:tc>
        <w:tc>
          <w:tcPr>
            <w:tcW w:w="750" w:type="pct"/>
            <w:noWrap w:val="0"/>
            <w:vAlign w:val="center"/>
          </w:tcPr>
          <w:p w14:paraId="7D6694C6">
            <w:pPr>
              <w:pStyle w:val="59"/>
              <w:bidi w:val="0"/>
              <w:rPr>
                <w:lang w:val="en-US" w:eastAsia="zh-CN"/>
              </w:rPr>
            </w:pPr>
            <w:r>
              <w:rPr>
                <w:rFonts w:hint="default"/>
                <w:lang w:val="en-US" w:eastAsia="zh-CN"/>
              </w:rPr>
              <w:t xml:space="preserve">0.017 </w:t>
            </w:r>
          </w:p>
        </w:tc>
        <w:tc>
          <w:tcPr>
            <w:tcW w:w="515" w:type="pct"/>
            <w:noWrap w:val="0"/>
            <w:vAlign w:val="center"/>
          </w:tcPr>
          <w:p w14:paraId="2458C95B">
            <w:pPr>
              <w:pStyle w:val="59"/>
              <w:bidi w:val="0"/>
              <w:rPr>
                <w:lang w:val="en-US" w:eastAsia="zh-CN"/>
              </w:rPr>
            </w:pPr>
            <w:r>
              <w:rPr>
                <w:rFonts w:hint="default"/>
                <w:lang w:val="en-US" w:eastAsia="zh-CN"/>
              </w:rPr>
              <w:t xml:space="preserve">0.017 </w:t>
            </w:r>
          </w:p>
        </w:tc>
      </w:tr>
      <w:tr w14:paraId="3FB9A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3F3D4057">
            <w:pPr>
              <w:pStyle w:val="59"/>
              <w:bidi w:val="0"/>
              <w:rPr>
                <w:rFonts w:hint="eastAsia"/>
              </w:rPr>
            </w:pPr>
          </w:p>
        </w:tc>
        <w:tc>
          <w:tcPr>
            <w:tcW w:w="586" w:type="pct"/>
            <w:noWrap w:val="0"/>
            <w:vAlign w:val="center"/>
          </w:tcPr>
          <w:p w14:paraId="42A8DA1B">
            <w:pPr>
              <w:pStyle w:val="59"/>
              <w:bidi w:val="0"/>
              <w:rPr>
                <w:rFonts w:hint="eastAsia"/>
                <w:lang w:val="en-US" w:eastAsia="zh-CN"/>
              </w:rPr>
            </w:pPr>
            <w:r>
              <w:rPr>
                <w:rFonts w:hint="default"/>
                <w:lang w:val="en-US" w:eastAsia="zh-CN"/>
              </w:rPr>
              <w:t>SS</w:t>
            </w:r>
          </w:p>
        </w:tc>
        <w:tc>
          <w:tcPr>
            <w:tcW w:w="703" w:type="pct"/>
            <w:noWrap w:val="0"/>
            <w:vAlign w:val="center"/>
          </w:tcPr>
          <w:p w14:paraId="7EF13FDA">
            <w:pPr>
              <w:pStyle w:val="59"/>
              <w:bidi w:val="0"/>
              <w:rPr>
                <w:rFonts w:hint="eastAsia"/>
                <w:lang w:val="en-US" w:eastAsia="zh-CN"/>
              </w:rPr>
            </w:pPr>
          </w:p>
        </w:tc>
        <w:tc>
          <w:tcPr>
            <w:tcW w:w="527" w:type="pct"/>
            <w:noWrap w:val="0"/>
            <w:vAlign w:val="center"/>
          </w:tcPr>
          <w:p w14:paraId="658978D8">
            <w:pPr>
              <w:pStyle w:val="59"/>
              <w:bidi w:val="0"/>
              <w:rPr>
                <w:lang w:val="en-US" w:eastAsia="zh-CN"/>
              </w:rPr>
            </w:pPr>
          </w:p>
        </w:tc>
        <w:tc>
          <w:tcPr>
            <w:tcW w:w="644" w:type="pct"/>
            <w:noWrap w:val="0"/>
            <w:vAlign w:val="center"/>
          </w:tcPr>
          <w:p w14:paraId="10ED2F16">
            <w:pPr>
              <w:pStyle w:val="59"/>
              <w:bidi w:val="0"/>
              <w:rPr>
                <w:rFonts w:hint="default"/>
                <w:lang w:val="en-US" w:eastAsia="zh-CN"/>
              </w:rPr>
            </w:pPr>
            <w:r>
              <w:rPr>
                <w:rFonts w:hint="default"/>
                <w:lang w:val="en-US" w:eastAsia="zh-CN"/>
              </w:rPr>
              <w:t xml:space="preserve">0.060 </w:t>
            </w:r>
          </w:p>
        </w:tc>
        <w:tc>
          <w:tcPr>
            <w:tcW w:w="614" w:type="pct"/>
            <w:noWrap w:val="0"/>
            <w:vAlign w:val="center"/>
          </w:tcPr>
          <w:p w14:paraId="162AA3CB">
            <w:pPr>
              <w:pStyle w:val="59"/>
              <w:bidi w:val="0"/>
              <w:rPr>
                <w:rFonts w:hint="eastAsia"/>
                <w:lang w:val="en-US" w:eastAsia="zh-CN"/>
              </w:rPr>
            </w:pPr>
            <w:r>
              <w:rPr>
                <w:rFonts w:hint="default"/>
                <w:lang w:val="en-US" w:eastAsia="zh-CN"/>
              </w:rPr>
              <w:t>0</w:t>
            </w:r>
          </w:p>
        </w:tc>
        <w:tc>
          <w:tcPr>
            <w:tcW w:w="750" w:type="pct"/>
            <w:noWrap w:val="0"/>
            <w:vAlign w:val="center"/>
          </w:tcPr>
          <w:p w14:paraId="4F4ECF77">
            <w:pPr>
              <w:pStyle w:val="59"/>
              <w:bidi w:val="0"/>
              <w:rPr>
                <w:lang w:val="en-US" w:eastAsia="zh-CN"/>
              </w:rPr>
            </w:pPr>
            <w:r>
              <w:rPr>
                <w:rFonts w:hint="default"/>
                <w:lang w:val="en-US" w:eastAsia="zh-CN"/>
              </w:rPr>
              <w:t xml:space="preserve">0.060 </w:t>
            </w:r>
          </w:p>
        </w:tc>
        <w:tc>
          <w:tcPr>
            <w:tcW w:w="515" w:type="pct"/>
            <w:noWrap w:val="0"/>
            <w:vAlign w:val="center"/>
          </w:tcPr>
          <w:p w14:paraId="5ECFAED8">
            <w:pPr>
              <w:pStyle w:val="59"/>
              <w:bidi w:val="0"/>
              <w:rPr>
                <w:lang w:val="en-US" w:eastAsia="zh-CN"/>
              </w:rPr>
            </w:pPr>
            <w:r>
              <w:rPr>
                <w:rFonts w:hint="default"/>
                <w:lang w:val="en-US" w:eastAsia="zh-CN"/>
              </w:rPr>
              <w:t xml:space="preserve">0.060 </w:t>
            </w:r>
          </w:p>
        </w:tc>
      </w:tr>
      <w:tr w14:paraId="46316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313E0CD5">
            <w:pPr>
              <w:pStyle w:val="59"/>
              <w:bidi w:val="0"/>
              <w:rPr>
                <w:rFonts w:hint="eastAsia"/>
              </w:rPr>
            </w:pPr>
          </w:p>
        </w:tc>
        <w:tc>
          <w:tcPr>
            <w:tcW w:w="586" w:type="pct"/>
            <w:noWrap w:val="0"/>
            <w:vAlign w:val="center"/>
          </w:tcPr>
          <w:p w14:paraId="1302A107">
            <w:pPr>
              <w:pStyle w:val="59"/>
              <w:bidi w:val="0"/>
              <w:rPr>
                <w:rFonts w:hint="eastAsia"/>
                <w:lang w:val="en-US" w:eastAsia="zh-CN"/>
              </w:rPr>
            </w:pPr>
            <w:r>
              <w:rPr>
                <w:rFonts w:hint="default"/>
                <w:lang w:val="en-US" w:eastAsia="zh-CN"/>
              </w:rPr>
              <w:t>TN</w:t>
            </w:r>
          </w:p>
        </w:tc>
        <w:tc>
          <w:tcPr>
            <w:tcW w:w="703" w:type="pct"/>
            <w:noWrap w:val="0"/>
            <w:vAlign w:val="center"/>
          </w:tcPr>
          <w:p w14:paraId="11D18F10">
            <w:pPr>
              <w:pStyle w:val="59"/>
              <w:bidi w:val="0"/>
              <w:rPr>
                <w:rFonts w:hint="eastAsia"/>
                <w:lang w:val="en-US" w:eastAsia="zh-CN"/>
              </w:rPr>
            </w:pPr>
          </w:p>
        </w:tc>
        <w:tc>
          <w:tcPr>
            <w:tcW w:w="527" w:type="pct"/>
            <w:noWrap w:val="0"/>
            <w:vAlign w:val="center"/>
          </w:tcPr>
          <w:p w14:paraId="1D52E724">
            <w:pPr>
              <w:pStyle w:val="59"/>
              <w:bidi w:val="0"/>
              <w:rPr>
                <w:rFonts w:hint="eastAsia"/>
                <w:lang w:val="en-US" w:eastAsia="zh-CN"/>
              </w:rPr>
            </w:pPr>
          </w:p>
        </w:tc>
        <w:tc>
          <w:tcPr>
            <w:tcW w:w="644" w:type="pct"/>
            <w:noWrap w:val="0"/>
            <w:vAlign w:val="center"/>
          </w:tcPr>
          <w:p w14:paraId="7556A246">
            <w:pPr>
              <w:pStyle w:val="59"/>
              <w:bidi w:val="0"/>
              <w:rPr>
                <w:rFonts w:hint="default"/>
                <w:lang w:val="en-US" w:eastAsia="zh-CN"/>
              </w:rPr>
            </w:pPr>
            <w:r>
              <w:rPr>
                <w:rFonts w:hint="default"/>
                <w:lang w:val="en-US" w:eastAsia="zh-CN"/>
              </w:rPr>
              <w:t xml:space="preserve">0.024 </w:t>
            </w:r>
          </w:p>
        </w:tc>
        <w:tc>
          <w:tcPr>
            <w:tcW w:w="614" w:type="pct"/>
            <w:noWrap w:val="0"/>
            <w:vAlign w:val="center"/>
          </w:tcPr>
          <w:p w14:paraId="5E6F5965">
            <w:pPr>
              <w:pStyle w:val="59"/>
              <w:bidi w:val="0"/>
              <w:rPr>
                <w:rFonts w:hint="eastAsia"/>
                <w:lang w:val="en-US" w:eastAsia="zh-CN"/>
              </w:rPr>
            </w:pPr>
            <w:r>
              <w:rPr>
                <w:rFonts w:hint="default"/>
                <w:lang w:val="en-US" w:eastAsia="zh-CN"/>
              </w:rPr>
              <w:t>0</w:t>
            </w:r>
          </w:p>
        </w:tc>
        <w:tc>
          <w:tcPr>
            <w:tcW w:w="750" w:type="pct"/>
            <w:noWrap w:val="0"/>
            <w:vAlign w:val="center"/>
          </w:tcPr>
          <w:p w14:paraId="35644C7C">
            <w:pPr>
              <w:pStyle w:val="59"/>
              <w:bidi w:val="0"/>
              <w:rPr>
                <w:rFonts w:hint="eastAsia"/>
                <w:lang w:val="en-US" w:eastAsia="zh-CN"/>
              </w:rPr>
            </w:pPr>
            <w:r>
              <w:rPr>
                <w:rFonts w:hint="default"/>
                <w:lang w:val="en-US" w:eastAsia="zh-CN"/>
              </w:rPr>
              <w:t xml:space="preserve">0.024 </w:t>
            </w:r>
          </w:p>
        </w:tc>
        <w:tc>
          <w:tcPr>
            <w:tcW w:w="515" w:type="pct"/>
            <w:noWrap w:val="0"/>
            <w:vAlign w:val="center"/>
          </w:tcPr>
          <w:p w14:paraId="433A68D5">
            <w:pPr>
              <w:pStyle w:val="59"/>
              <w:bidi w:val="0"/>
              <w:rPr>
                <w:rFonts w:hint="eastAsia"/>
                <w:lang w:val="en-US" w:eastAsia="zh-CN"/>
              </w:rPr>
            </w:pPr>
            <w:r>
              <w:rPr>
                <w:rFonts w:hint="default"/>
                <w:lang w:val="en-US" w:eastAsia="zh-CN"/>
              </w:rPr>
              <w:t xml:space="preserve">0.024 </w:t>
            </w:r>
          </w:p>
        </w:tc>
      </w:tr>
      <w:tr w14:paraId="54D76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609CC5A9">
            <w:pPr>
              <w:pStyle w:val="59"/>
              <w:bidi w:val="0"/>
              <w:rPr>
                <w:rFonts w:hint="eastAsia"/>
              </w:rPr>
            </w:pPr>
          </w:p>
        </w:tc>
        <w:tc>
          <w:tcPr>
            <w:tcW w:w="586" w:type="pct"/>
            <w:noWrap w:val="0"/>
            <w:vAlign w:val="center"/>
          </w:tcPr>
          <w:p w14:paraId="5A407358">
            <w:pPr>
              <w:pStyle w:val="59"/>
              <w:bidi w:val="0"/>
              <w:rPr>
                <w:rFonts w:hint="eastAsia"/>
                <w:lang w:val="en-US" w:eastAsia="zh-CN"/>
              </w:rPr>
            </w:pPr>
            <w:r>
              <w:rPr>
                <w:rFonts w:hint="default"/>
                <w:lang w:val="en-US" w:eastAsia="zh-CN"/>
              </w:rPr>
              <w:t>TP</w:t>
            </w:r>
          </w:p>
        </w:tc>
        <w:tc>
          <w:tcPr>
            <w:tcW w:w="703" w:type="pct"/>
            <w:noWrap w:val="0"/>
            <w:vAlign w:val="center"/>
          </w:tcPr>
          <w:p w14:paraId="69E374F1">
            <w:pPr>
              <w:pStyle w:val="59"/>
              <w:bidi w:val="0"/>
              <w:rPr>
                <w:rFonts w:hint="eastAsia"/>
                <w:lang w:val="en-US" w:eastAsia="zh-CN"/>
              </w:rPr>
            </w:pPr>
          </w:p>
        </w:tc>
        <w:tc>
          <w:tcPr>
            <w:tcW w:w="527" w:type="pct"/>
            <w:noWrap w:val="0"/>
            <w:vAlign w:val="center"/>
          </w:tcPr>
          <w:p w14:paraId="28E2D39D">
            <w:pPr>
              <w:pStyle w:val="59"/>
              <w:bidi w:val="0"/>
              <w:rPr>
                <w:rFonts w:hint="eastAsia"/>
                <w:lang w:val="en-US" w:eastAsia="zh-CN"/>
              </w:rPr>
            </w:pPr>
          </w:p>
        </w:tc>
        <w:tc>
          <w:tcPr>
            <w:tcW w:w="644" w:type="pct"/>
            <w:noWrap w:val="0"/>
            <w:vAlign w:val="center"/>
          </w:tcPr>
          <w:p w14:paraId="1C8DBB79">
            <w:pPr>
              <w:pStyle w:val="59"/>
              <w:bidi w:val="0"/>
              <w:rPr>
                <w:rFonts w:hint="default"/>
                <w:lang w:val="en-US" w:eastAsia="zh-CN"/>
              </w:rPr>
            </w:pPr>
            <w:r>
              <w:rPr>
                <w:rFonts w:hint="default"/>
                <w:lang w:val="en-US" w:eastAsia="zh-CN"/>
              </w:rPr>
              <w:t xml:space="preserve">0.002 </w:t>
            </w:r>
          </w:p>
        </w:tc>
        <w:tc>
          <w:tcPr>
            <w:tcW w:w="614" w:type="pct"/>
            <w:noWrap w:val="0"/>
            <w:vAlign w:val="center"/>
          </w:tcPr>
          <w:p w14:paraId="20EB3429">
            <w:pPr>
              <w:pStyle w:val="59"/>
              <w:bidi w:val="0"/>
              <w:rPr>
                <w:rFonts w:hint="eastAsia"/>
                <w:lang w:val="en-US" w:eastAsia="zh-CN"/>
              </w:rPr>
            </w:pPr>
            <w:r>
              <w:rPr>
                <w:rFonts w:hint="default"/>
                <w:lang w:val="en-US" w:eastAsia="zh-CN"/>
              </w:rPr>
              <w:t>0</w:t>
            </w:r>
          </w:p>
        </w:tc>
        <w:tc>
          <w:tcPr>
            <w:tcW w:w="750" w:type="pct"/>
            <w:noWrap w:val="0"/>
            <w:vAlign w:val="center"/>
          </w:tcPr>
          <w:p w14:paraId="1C5EAB49">
            <w:pPr>
              <w:pStyle w:val="59"/>
              <w:bidi w:val="0"/>
              <w:rPr>
                <w:rFonts w:hint="eastAsia"/>
                <w:lang w:val="en-US" w:eastAsia="zh-CN"/>
              </w:rPr>
            </w:pPr>
            <w:r>
              <w:rPr>
                <w:rFonts w:hint="default"/>
                <w:lang w:val="en-US" w:eastAsia="zh-CN"/>
              </w:rPr>
              <w:t xml:space="preserve">0.002 </w:t>
            </w:r>
          </w:p>
        </w:tc>
        <w:tc>
          <w:tcPr>
            <w:tcW w:w="515" w:type="pct"/>
            <w:noWrap w:val="0"/>
            <w:vAlign w:val="center"/>
          </w:tcPr>
          <w:p w14:paraId="373E15BF">
            <w:pPr>
              <w:pStyle w:val="59"/>
              <w:bidi w:val="0"/>
              <w:rPr>
                <w:rFonts w:hint="eastAsia"/>
                <w:lang w:val="en-US" w:eastAsia="zh-CN"/>
              </w:rPr>
            </w:pPr>
            <w:r>
              <w:rPr>
                <w:rFonts w:hint="default"/>
                <w:lang w:val="en-US" w:eastAsia="zh-CN"/>
              </w:rPr>
              <w:t xml:space="preserve">0.002 </w:t>
            </w:r>
          </w:p>
        </w:tc>
      </w:tr>
      <w:tr w14:paraId="0F570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restart"/>
            <w:noWrap w:val="0"/>
            <w:vAlign w:val="center"/>
          </w:tcPr>
          <w:p w14:paraId="76235F4E">
            <w:pPr>
              <w:pStyle w:val="59"/>
              <w:bidi w:val="0"/>
              <w:rPr>
                <w:rFonts w:hint="eastAsia"/>
              </w:rPr>
            </w:pPr>
            <w:r>
              <w:rPr>
                <w:rFonts w:hint="eastAsia"/>
                <w:lang w:val="en-US" w:eastAsia="zh-CN"/>
              </w:rPr>
              <w:t>废气</w:t>
            </w:r>
          </w:p>
        </w:tc>
        <w:tc>
          <w:tcPr>
            <w:tcW w:w="586" w:type="pct"/>
            <w:noWrap w:val="0"/>
            <w:vAlign w:val="center"/>
          </w:tcPr>
          <w:p w14:paraId="6ACD8A97">
            <w:pPr>
              <w:pStyle w:val="59"/>
              <w:bidi w:val="0"/>
              <w:rPr>
                <w:rFonts w:hint="eastAsia"/>
                <w:lang w:val="en-US" w:eastAsia="zh-CN"/>
              </w:rPr>
            </w:pPr>
            <w:r>
              <w:rPr>
                <w:rFonts w:hint="eastAsia"/>
                <w:lang w:val="en-US" w:eastAsia="zh-CN"/>
              </w:rPr>
              <w:t>挥发性有机物</w:t>
            </w:r>
          </w:p>
        </w:tc>
        <w:tc>
          <w:tcPr>
            <w:tcW w:w="703" w:type="pct"/>
            <w:noWrap w:val="0"/>
            <w:vAlign w:val="center"/>
          </w:tcPr>
          <w:p w14:paraId="3AE0B3E6">
            <w:pPr>
              <w:pStyle w:val="59"/>
              <w:bidi w:val="0"/>
              <w:rPr>
                <w:rFonts w:hint="eastAsia"/>
                <w:lang w:val="en-US" w:eastAsia="zh-CN"/>
              </w:rPr>
            </w:pPr>
          </w:p>
        </w:tc>
        <w:tc>
          <w:tcPr>
            <w:tcW w:w="527" w:type="pct"/>
            <w:noWrap w:val="0"/>
            <w:vAlign w:val="center"/>
          </w:tcPr>
          <w:p w14:paraId="7729444B">
            <w:pPr>
              <w:pStyle w:val="59"/>
              <w:bidi w:val="0"/>
              <w:rPr>
                <w:rFonts w:hint="eastAsia"/>
                <w:lang w:val="en-US" w:eastAsia="zh-CN"/>
              </w:rPr>
            </w:pPr>
          </w:p>
        </w:tc>
        <w:tc>
          <w:tcPr>
            <w:tcW w:w="644" w:type="pct"/>
            <w:noWrap w:val="0"/>
            <w:vAlign w:val="center"/>
          </w:tcPr>
          <w:p w14:paraId="121CC90C">
            <w:pPr>
              <w:pStyle w:val="59"/>
              <w:bidi w:val="0"/>
              <w:rPr>
                <w:rFonts w:hint="default"/>
                <w:lang w:val="en-US" w:eastAsia="zh-CN"/>
              </w:rPr>
            </w:pPr>
            <w:r>
              <w:rPr>
                <w:rFonts w:hint="eastAsia"/>
                <w:lang w:val="en-US" w:eastAsia="zh-CN"/>
              </w:rPr>
              <w:t>12.488</w:t>
            </w:r>
            <w:r>
              <w:rPr>
                <w:rFonts w:hint="default"/>
                <w:lang w:val="en-US" w:eastAsia="zh-CN"/>
              </w:rPr>
              <w:t xml:space="preserve"> </w:t>
            </w:r>
          </w:p>
        </w:tc>
        <w:tc>
          <w:tcPr>
            <w:tcW w:w="614" w:type="pct"/>
            <w:noWrap w:val="0"/>
            <w:vAlign w:val="center"/>
          </w:tcPr>
          <w:p w14:paraId="3D8F6F8F">
            <w:pPr>
              <w:pStyle w:val="59"/>
              <w:bidi w:val="0"/>
              <w:rPr>
                <w:rFonts w:hint="eastAsia"/>
                <w:lang w:val="en-US" w:eastAsia="zh-CN"/>
              </w:rPr>
            </w:pPr>
            <w:r>
              <w:rPr>
                <w:rFonts w:hint="default"/>
                <w:lang w:val="en-US" w:eastAsia="zh-CN"/>
              </w:rPr>
              <w:t>0</w:t>
            </w:r>
          </w:p>
        </w:tc>
        <w:tc>
          <w:tcPr>
            <w:tcW w:w="750" w:type="pct"/>
            <w:noWrap w:val="0"/>
            <w:vAlign w:val="center"/>
          </w:tcPr>
          <w:p w14:paraId="58D9ECB9">
            <w:pPr>
              <w:pStyle w:val="59"/>
              <w:bidi w:val="0"/>
              <w:rPr>
                <w:rFonts w:hint="eastAsia"/>
                <w:lang w:val="en-US" w:eastAsia="zh-CN"/>
              </w:rPr>
            </w:pPr>
            <w:r>
              <w:rPr>
                <w:rFonts w:hint="eastAsia"/>
                <w:lang w:val="en-US" w:eastAsia="zh-CN"/>
              </w:rPr>
              <w:t>12.488</w:t>
            </w:r>
            <w:r>
              <w:rPr>
                <w:rFonts w:hint="default"/>
                <w:lang w:val="en-US" w:eastAsia="zh-CN"/>
              </w:rPr>
              <w:t xml:space="preserve"> </w:t>
            </w:r>
          </w:p>
        </w:tc>
        <w:tc>
          <w:tcPr>
            <w:tcW w:w="515" w:type="pct"/>
            <w:noWrap w:val="0"/>
            <w:vAlign w:val="center"/>
          </w:tcPr>
          <w:p w14:paraId="3548A10E">
            <w:pPr>
              <w:pStyle w:val="59"/>
              <w:bidi w:val="0"/>
              <w:rPr>
                <w:rFonts w:hint="eastAsia"/>
                <w:lang w:val="en-US" w:eastAsia="zh-CN"/>
              </w:rPr>
            </w:pPr>
            <w:r>
              <w:rPr>
                <w:rFonts w:hint="eastAsia"/>
                <w:lang w:val="en-US" w:eastAsia="zh-CN"/>
              </w:rPr>
              <w:t>12.488</w:t>
            </w:r>
            <w:r>
              <w:rPr>
                <w:rFonts w:hint="default"/>
                <w:lang w:val="en-US" w:eastAsia="zh-CN"/>
              </w:rPr>
              <w:t xml:space="preserve"> </w:t>
            </w:r>
          </w:p>
        </w:tc>
      </w:tr>
      <w:tr w14:paraId="76968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313ABED1">
            <w:pPr>
              <w:pStyle w:val="59"/>
              <w:bidi w:val="0"/>
              <w:rPr>
                <w:rFonts w:hint="eastAsia"/>
              </w:rPr>
            </w:pPr>
          </w:p>
        </w:tc>
        <w:tc>
          <w:tcPr>
            <w:tcW w:w="586" w:type="pct"/>
            <w:noWrap w:val="0"/>
            <w:vAlign w:val="center"/>
          </w:tcPr>
          <w:p w14:paraId="4CC400F6">
            <w:pPr>
              <w:pStyle w:val="59"/>
              <w:bidi w:val="0"/>
              <w:rPr>
                <w:rFonts w:hint="eastAsia"/>
                <w:lang w:val="en-US" w:eastAsia="zh-CN"/>
              </w:rPr>
            </w:pPr>
            <w:r>
              <w:rPr>
                <w:rFonts w:hint="default"/>
                <w:lang w:val="en-US" w:eastAsia="zh-CN"/>
              </w:rPr>
              <w:t>氮氧化物</w:t>
            </w:r>
          </w:p>
        </w:tc>
        <w:tc>
          <w:tcPr>
            <w:tcW w:w="703" w:type="pct"/>
            <w:noWrap w:val="0"/>
            <w:vAlign w:val="center"/>
          </w:tcPr>
          <w:p w14:paraId="730AD90A">
            <w:pPr>
              <w:pStyle w:val="59"/>
              <w:bidi w:val="0"/>
              <w:rPr>
                <w:rFonts w:hint="eastAsia"/>
                <w:lang w:val="en-US" w:eastAsia="zh-CN"/>
              </w:rPr>
            </w:pPr>
          </w:p>
        </w:tc>
        <w:tc>
          <w:tcPr>
            <w:tcW w:w="527" w:type="pct"/>
            <w:noWrap w:val="0"/>
            <w:vAlign w:val="center"/>
          </w:tcPr>
          <w:p w14:paraId="78EC2AB5">
            <w:pPr>
              <w:pStyle w:val="59"/>
              <w:bidi w:val="0"/>
              <w:rPr>
                <w:rFonts w:hint="eastAsia"/>
                <w:lang w:val="en-US" w:eastAsia="zh-CN"/>
              </w:rPr>
            </w:pPr>
          </w:p>
        </w:tc>
        <w:tc>
          <w:tcPr>
            <w:tcW w:w="644" w:type="pct"/>
            <w:noWrap w:val="0"/>
            <w:vAlign w:val="center"/>
          </w:tcPr>
          <w:p w14:paraId="6F7B7CA4">
            <w:pPr>
              <w:pStyle w:val="59"/>
              <w:bidi w:val="0"/>
              <w:rPr>
                <w:rFonts w:hint="default"/>
                <w:lang w:val="en-US" w:eastAsia="zh-CN"/>
              </w:rPr>
            </w:pPr>
            <w:r>
              <w:rPr>
                <w:rFonts w:hint="default"/>
                <w:lang w:val="en-US" w:eastAsia="zh-CN"/>
              </w:rPr>
              <w:t xml:space="preserve">0.206 </w:t>
            </w:r>
          </w:p>
        </w:tc>
        <w:tc>
          <w:tcPr>
            <w:tcW w:w="614" w:type="pct"/>
            <w:noWrap w:val="0"/>
            <w:vAlign w:val="center"/>
          </w:tcPr>
          <w:p w14:paraId="3812115E">
            <w:pPr>
              <w:pStyle w:val="59"/>
              <w:bidi w:val="0"/>
              <w:rPr>
                <w:rFonts w:hint="eastAsia"/>
                <w:lang w:val="en-US" w:eastAsia="zh-CN"/>
              </w:rPr>
            </w:pPr>
            <w:r>
              <w:rPr>
                <w:rFonts w:hint="default"/>
                <w:lang w:val="en-US" w:eastAsia="zh-CN"/>
              </w:rPr>
              <w:t>0</w:t>
            </w:r>
          </w:p>
        </w:tc>
        <w:tc>
          <w:tcPr>
            <w:tcW w:w="750" w:type="pct"/>
            <w:noWrap w:val="0"/>
            <w:vAlign w:val="center"/>
          </w:tcPr>
          <w:p w14:paraId="774B8A9C">
            <w:pPr>
              <w:pStyle w:val="59"/>
              <w:bidi w:val="0"/>
              <w:rPr>
                <w:rFonts w:hint="eastAsia"/>
                <w:lang w:val="en-US" w:eastAsia="zh-CN"/>
              </w:rPr>
            </w:pPr>
            <w:r>
              <w:rPr>
                <w:rFonts w:hint="default"/>
                <w:lang w:val="en-US" w:eastAsia="zh-CN"/>
              </w:rPr>
              <w:t xml:space="preserve">0.206 </w:t>
            </w:r>
          </w:p>
        </w:tc>
        <w:tc>
          <w:tcPr>
            <w:tcW w:w="515" w:type="pct"/>
            <w:noWrap w:val="0"/>
            <w:vAlign w:val="center"/>
          </w:tcPr>
          <w:p w14:paraId="5FD98916">
            <w:pPr>
              <w:pStyle w:val="59"/>
              <w:bidi w:val="0"/>
              <w:rPr>
                <w:rFonts w:hint="eastAsia"/>
                <w:lang w:val="en-US" w:eastAsia="zh-CN"/>
              </w:rPr>
            </w:pPr>
            <w:r>
              <w:rPr>
                <w:rFonts w:hint="default"/>
                <w:lang w:val="en-US" w:eastAsia="zh-CN"/>
              </w:rPr>
              <w:t xml:space="preserve">0.206 </w:t>
            </w:r>
          </w:p>
        </w:tc>
      </w:tr>
      <w:tr w14:paraId="629AD5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0B00F0C3">
            <w:pPr>
              <w:pStyle w:val="59"/>
              <w:bidi w:val="0"/>
              <w:rPr>
                <w:rFonts w:hint="eastAsia"/>
              </w:rPr>
            </w:pPr>
          </w:p>
        </w:tc>
        <w:tc>
          <w:tcPr>
            <w:tcW w:w="586" w:type="pct"/>
            <w:noWrap w:val="0"/>
            <w:vAlign w:val="center"/>
          </w:tcPr>
          <w:p w14:paraId="403EB3D6">
            <w:pPr>
              <w:pStyle w:val="59"/>
              <w:bidi w:val="0"/>
              <w:rPr>
                <w:rFonts w:hint="eastAsia"/>
                <w:lang w:val="en-US" w:eastAsia="zh-CN"/>
              </w:rPr>
            </w:pPr>
            <w:r>
              <w:rPr>
                <w:rFonts w:hint="default"/>
                <w:lang w:val="en-US" w:eastAsia="zh-CN"/>
              </w:rPr>
              <w:t>二氧化硫</w:t>
            </w:r>
          </w:p>
        </w:tc>
        <w:tc>
          <w:tcPr>
            <w:tcW w:w="703" w:type="pct"/>
            <w:noWrap w:val="0"/>
            <w:vAlign w:val="center"/>
          </w:tcPr>
          <w:p w14:paraId="7C7C6D7E">
            <w:pPr>
              <w:pStyle w:val="59"/>
              <w:bidi w:val="0"/>
              <w:rPr>
                <w:rFonts w:hint="eastAsia"/>
                <w:lang w:val="en-US" w:eastAsia="zh-CN"/>
              </w:rPr>
            </w:pPr>
          </w:p>
        </w:tc>
        <w:tc>
          <w:tcPr>
            <w:tcW w:w="527" w:type="pct"/>
            <w:noWrap w:val="0"/>
            <w:vAlign w:val="center"/>
          </w:tcPr>
          <w:p w14:paraId="74B271E7">
            <w:pPr>
              <w:pStyle w:val="59"/>
              <w:bidi w:val="0"/>
              <w:rPr>
                <w:rFonts w:hint="eastAsia"/>
                <w:lang w:val="en-US" w:eastAsia="zh-CN"/>
              </w:rPr>
            </w:pPr>
          </w:p>
        </w:tc>
        <w:tc>
          <w:tcPr>
            <w:tcW w:w="644" w:type="pct"/>
            <w:noWrap w:val="0"/>
            <w:vAlign w:val="center"/>
          </w:tcPr>
          <w:p w14:paraId="328120DC">
            <w:pPr>
              <w:pStyle w:val="59"/>
              <w:bidi w:val="0"/>
              <w:rPr>
                <w:rFonts w:hint="default"/>
                <w:lang w:val="en-US" w:eastAsia="zh-CN"/>
              </w:rPr>
            </w:pPr>
            <w:r>
              <w:rPr>
                <w:rFonts w:hint="default"/>
                <w:lang w:val="en-US" w:eastAsia="zh-CN"/>
              </w:rPr>
              <w:t xml:space="preserve">0.002 </w:t>
            </w:r>
          </w:p>
        </w:tc>
        <w:tc>
          <w:tcPr>
            <w:tcW w:w="614" w:type="pct"/>
            <w:noWrap w:val="0"/>
            <w:vAlign w:val="center"/>
          </w:tcPr>
          <w:p w14:paraId="09EAB38E">
            <w:pPr>
              <w:pStyle w:val="59"/>
              <w:bidi w:val="0"/>
              <w:rPr>
                <w:rFonts w:hint="eastAsia"/>
                <w:lang w:val="en-US" w:eastAsia="zh-CN"/>
              </w:rPr>
            </w:pPr>
            <w:r>
              <w:rPr>
                <w:rFonts w:hint="default"/>
                <w:lang w:val="en-US" w:eastAsia="zh-CN"/>
              </w:rPr>
              <w:t>0</w:t>
            </w:r>
          </w:p>
        </w:tc>
        <w:tc>
          <w:tcPr>
            <w:tcW w:w="750" w:type="pct"/>
            <w:noWrap w:val="0"/>
            <w:vAlign w:val="center"/>
          </w:tcPr>
          <w:p w14:paraId="4CC74EB4">
            <w:pPr>
              <w:pStyle w:val="59"/>
              <w:bidi w:val="0"/>
              <w:rPr>
                <w:rFonts w:hint="eastAsia"/>
                <w:lang w:val="en-US" w:eastAsia="zh-CN"/>
              </w:rPr>
            </w:pPr>
            <w:r>
              <w:rPr>
                <w:rFonts w:hint="default"/>
                <w:lang w:val="en-US" w:eastAsia="zh-CN"/>
              </w:rPr>
              <w:t xml:space="preserve">0.002 </w:t>
            </w:r>
          </w:p>
        </w:tc>
        <w:tc>
          <w:tcPr>
            <w:tcW w:w="515" w:type="pct"/>
            <w:noWrap w:val="0"/>
            <w:vAlign w:val="center"/>
          </w:tcPr>
          <w:p w14:paraId="4C076ACD">
            <w:pPr>
              <w:pStyle w:val="59"/>
              <w:bidi w:val="0"/>
              <w:rPr>
                <w:rFonts w:hint="eastAsia"/>
                <w:lang w:val="en-US" w:eastAsia="zh-CN"/>
              </w:rPr>
            </w:pPr>
            <w:r>
              <w:rPr>
                <w:rFonts w:hint="default"/>
                <w:lang w:val="en-US" w:eastAsia="zh-CN"/>
              </w:rPr>
              <w:t xml:space="preserve">0.002 </w:t>
            </w:r>
          </w:p>
        </w:tc>
      </w:tr>
      <w:tr w14:paraId="329CB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158969AF">
            <w:pPr>
              <w:pStyle w:val="59"/>
              <w:bidi w:val="0"/>
              <w:rPr>
                <w:rFonts w:hint="eastAsia"/>
              </w:rPr>
            </w:pPr>
          </w:p>
        </w:tc>
        <w:tc>
          <w:tcPr>
            <w:tcW w:w="586" w:type="pct"/>
            <w:noWrap w:val="0"/>
            <w:vAlign w:val="center"/>
          </w:tcPr>
          <w:p w14:paraId="442B304A">
            <w:pPr>
              <w:pStyle w:val="59"/>
              <w:bidi w:val="0"/>
              <w:rPr>
                <w:rFonts w:hint="default"/>
                <w:lang w:val="en-US" w:eastAsia="zh-CN"/>
              </w:rPr>
            </w:pPr>
            <w:r>
              <w:rPr>
                <w:rFonts w:hint="default"/>
                <w:lang w:val="en-US" w:eastAsia="zh-CN"/>
              </w:rPr>
              <w:t>颗粒物</w:t>
            </w:r>
          </w:p>
        </w:tc>
        <w:tc>
          <w:tcPr>
            <w:tcW w:w="703" w:type="pct"/>
            <w:noWrap w:val="0"/>
            <w:vAlign w:val="center"/>
          </w:tcPr>
          <w:p w14:paraId="28A9F963">
            <w:pPr>
              <w:pStyle w:val="59"/>
              <w:bidi w:val="0"/>
              <w:rPr>
                <w:rFonts w:hint="eastAsia"/>
                <w:lang w:val="en-US" w:eastAsia="zh-CN"/>
              </w:rPr>
            </w:pPr>
          </w:p>
        </w:tc>
        <w:tc>
          <w:tcPr>
            <w:tcW w:w="527" w:type="pct"/>
            <w:noWrap w:val="0"/>
            <w:vAlign w:val="center"/>
          </w:tcPr>
          <w:p w14:paraId="1624A4CD">
            <w:pPr>
              <w:pStyle w:val="59"/>
              <w:bidi w:val="0"/>
              <w:rPr>
                <w:rFonts w:hint="default"/>
                <w:lang w:val="en-US" w:eastAsia="zh-CN"/>
              </w:rPr>
            </w:pPr>
          </w:p>
        </w:tc>
        <w:tc>
          <w:tcPr>
            <w:tcW w:w="644" w:type="pct"/>
            <w:noWrap w:val="0"/>
            <w:vAlign w:val="center"/>
          </w:tcPr>
          <w:p w14:paraId="5B24EE3F">
            <w:pPr>
              <w:pStyle w:val="59"/>
              <w:bidi w:val="0"/>
              <w:rPr>
                <w:rFonts w:hint="default"/>
                <w:lang w:val="en-US" w:eastAsia="zh-CN"/>
              </w:rPr>
            </w:pPr>
            <w:r>
              <w:rPr>
                <w:rFonts w:hint="default"/>
                <w:lang w:val="en-US" w:eastAsia="zh-CN"/>
              </w:rPr>
              <w:t xml:space="preserve">0.031 </w:t>
            </w:r>
          </w:p>
        </w:tc>
        <w:tc>
          <w:tcPr>
            <w:tcW w:w="614" w:type="pct"/>
            <w:noWrap w:val="0"/>
            <w:vAlign w:val="center"/>
          </w:tcPr>
          <w:p w14:paraId="7BBBE512">
            <w:pPr>
              <w:pStyle w:val="59"/>
              <w:bidi w:val="0"/>
              <w:rPr>
                <w:rFonts w:hint="default"/>
                <w:lang w:val="en-US" w:eastAsia="zh-CN"/>
              </w:rPr>
            </w:pPr>
            <w:r>
              <w:rPr>
                <w:rFonts w:hint="default"/>
                <w:lang w:val="en-US" w:eastAsia="zh-CN"/>
              </w:rPr>
              <w:t>0</w:t>
            </w:r>
          </w:p>
        </w:tc>
        <w:tc>
          <w:tcPr>
            <w:tcW w:w="750" w:type="pct"/>
            <w:noWrap w:val="0"/>
            <w:vAlign w:val="center"/>
          </w:tcPr>
          <w:p w14:paraId="7C2EC926">
            <w:pPr>
              <w:pStyle w:val="59"/>
              <w:bidi w:val="0"/>
              <w:rPr>
                <w:rFonts w:hint="eastAsia"/>
                <w:lang w:val="en-US" w:eastAsia="zh-CN"/>
              </w:rPr>
            </w:pPr>
            <w:r>
              <w:rPr>
                <w:rFonts w:hint="default"/>
                <w:lang w:val="en-US" w:eastAsia="zh-CN"/>
              </w:rPr>
              <w:t xml:space="preserve">0.031 </w:t>
            </w:r>
          </w:p>
        </w:tc>
        <w:tc>
          <w:tcPr>
            <w:tcW w:w="515" w:type="pct"/>
            <w:noWrap w:val="0"/>
            <w:vAlign w:val="center"/>
          </w:tcPr>
          <w:p w14:paraId="605745BF">
            <w:pPr>
              <w:pStyle w:val="59"/>
              <w:bidi w:val="0"/>
              <w:rPr>
                <w:rFonts w:hint="eastAsia"/>
                <w:lang w:val="en-US" w:eastAsia="zh-CN"/>
              </w:rPr>
            </w:pPr>
            <w:r>
              <w:rPr>
                <w:rFonts w:hint="default"/>
                <w:lang w:val="en-US" w:eastAsia="zh-CN"/>
              </w:rPr>
              <w:t xml:space="preserve">0.031 </w:t>
            </w:r>
          </w:p>
        </w:tc>
      </w:tr>
      <w:tr w14:paraId="7CDA0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77BCF1DA">
            <w:pPr>
              <w:pStyle w:val="59"/>
              <w:bidi w:val="0"/>
              <w:rPr>
                <w:rFonts w:hint="eastAsia"/>
              </w:rPr>
            </w:pPr>
          </w:p>
        </w:tc>
        <w:tc>
          <w:tcPr>
            <w:tcW w:w="586" w:type="pct"/>
            <w:noWrap w:val="0"/>
            <w:vAlign w:val="center"/>
          </w:tcPr>
          <w:p w14:paraId="32282F4F">
            <w:pPr>
              <w:pStyle w:val="59"/>
              <w:bidi w:val="0"/>
              <w:rPr>
                <w:rFonts w:hint="eastAsia"/>
                <w:lang w:val="en-US" w:eastAsia="zh-CN"/>
              </w:rPr>
            </w:pPr>
            <w:r>
              <w:rPr>
                <w:rFonts w:hint="default"/>
                <w:lang w:val="en-US" w:eastAsia="zh-CN"/>
              </w:rPr>
              <w:t>氯化氢</w:t>
            </w:r>
          </w:p>
        </w:tc>
        <w:tc>
          <w:tcPr>
            <w:tcW w:w="703" w:type="pct"/>
            <w:noWrap w:val="0"/>
            <w:vAlign w:val="center"/>
          </w:tcPr>
          <w:p w14:paraId="5F4DEC82">
            <w:pPr>
              <w:pStyle w:val="59"/>
              <w:bidi w:val="0"/>
              <w:rPr>
                <w:rFonts w:hint="eastAsia"/>
                <w:lang w:val="en-US" w:eastAsia="zh-CN"/>
              </w:rPr>
            </w:pPr>
          </w:p>
        </w:tc>
        <w:tc>
          <w:tcPr>
            <w:tcW w:w="527" w:type="pct"/>
            <w:noWrap w:val="0"/>
            <w:vAlign w:val="center"/>
          </w:tcPr>
          <w:p w14:paraId="7CABBF71">
            <w:pPr>
              <w:pStyle w:val="59"/>
              <w:bidi w:val="0"/>
              <w:rPr>
                <w:rFonts w:hint="eastAsia"/>
                <w:lang w:val="en-US" w:eastAsia="zh-CN"/>
              </w:rPr>
            </w:pPr>
          </w:p>
        </w:tc>
        <w:tc>
          <w:tcPr>
            <w:tcW w:w="644" w:type="pct"/>
            <w:noWrap w:val="0"/>
            <w:vAlign w:val="center"/>
          </w:tcPr>
          <w:p w14:paraId="471EB1A8">
            <w:pPr>
              <w:pStyle w:val="59"/>
              <w:bidi w:val="0"/>
              <w:rPr>
                <w:rFonts w:hint="default"/>
                <w:lang w:val="en-US" w:eastAsia="zh-CN"/>
              </w:rPr>
            </w:pPr>
            <w:r>
              <w:rPr>
                <w:rFonts w:hint="default"/>
                <w:lang w:val="en-US" w:eastAsia="zh-CN"/>
              </w:rPr>
              <w:t xml:space="preserve">0.000024 </w:t>
            </w:r>
          </w:p>
        </w:tc>
        <w:tc>
          <w:tcPr>
            <w:tcW w:w="614" w:type="pct"/>
            <w:noWrap w:val="0"/>
            <w:vAlign w:val="center"/>
          </w:tcPr>
          <w:p w14:paraId="5A2C48A2">
            <w:pPr>
              <w:pStyle w:val="59"/>
              <w:bidi w:val="0"/>
              <w:rPr>
                <w:rFonts w:hint="eastAsia"/>
                <w:lang w:val="en-US" w:eastAsia="zh-CN"/>
              </w:rPr>
            </w:pPr>
            <w:r>
              <w:rPr>
                <w:rFonts w:hint="default"/>
                <w:lang w:val="en-US" w:eastAsia="zh-CN"/>
              </w:rPr>
              <w:t>0</w:t>
            </w:r>
          </w:p>
        </w:tc>
        <w:tc>
          <w:tcPr>
            <w:tcW w:w="750" w:type="pct"/>
            <w:noWrap w:val="0"/>
            <w:vAlign w:val="center"/>
          </w:tcPr>
          <w:p w14:paraId="48572B32">
            <w:pPr>
              <w:pStyle w:val="59"/>
              <w:bidi w:val="0"/>
              <w:rPr>
                <w:rFonts w:hint="eastAsia"/>
                <w:lang w:val="en-US" w:eastAsia="zh-CN"/>
              </w:rPr>
            </w:pPr>
            <w:r>
              <w:rPr>
                <w:rFonts w:hint="default"/>
                <w:lang w:val="en-US" w:eastAsia="zh-CN"/>
              </w:rPr>
              <w:t xml:space="preserve">0.000024 </w:t>
            </w:r>
          </w:p>
        </w:tc>
        <w:tc>
          <w:tcPr>
            <w:tcW w:w="515" w:type="pct"/>
            <w:noWrap w:val="0"/>
            <w:vAlign w:val="center"/>
          </w:tcPr>
          <w:p w14:paraId="07EE9EDF">
            <w:pPr>
              <w:pStyle w:val="59"/>
              <w:bidi w:val="0"/>
              <w:rPr>
                <w:rFonts w:hint="eastAsia"/>
                <w:lang w:val="en-US" w:eastAsia="zh-CN"/>
              </w:rPr>
            </w:pPr>
            <w:r>
              <w:rPr>
                <w:rFonts w:hint="default"/>
                <w:lang w:val="en-US" w:eastAsia="zh-CN"/>
              </w:rPr>
              <w:t xml:space="preserve">0.000024 </w:t>
            </w:r>
          </w:p>
        </w:tc>
      </w:tr>
      <w:tr w14:paraId="21C759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2BE8A1E6">
            <w:pPr>
              <w:pStyle w:val="59"/>
              <w:bidi w:val="0"/>
              <w:rPr>
                <w:rFonts w:hint="eastAsia"/>
              </w:rPr>
            </w:pPr>
          </w:p>
        </w:tc>
        <w:tc>
          <w:tcPr>
            <w:tcW w:w="586" w:type="pct"/>
            <w:noWrap w:val="0"/>
            <w:vAlign w:val="center"/>
          </w:tcPr>
          <w:p w14:paraId="501517DA">
            <w:pPr>
              <w:pStyle w:val="59"/>
              <w:bidi w:val="0"/>
              <w:rPr>
                <w:rFonts w:hint="eastAsia"/>
                <w:lang w:val="en-US" w:eastAsia="zh-CN"/>
              </w:rPr>
            </w:pPr>
            <w:r>
              <w:rPr>
                <w:rFonts w:hint="default"/>
                <w:lang w:val="en-US" w:eastAsia="zh-CN"/>
              </w:rPr>
              <w:t>氯乙烯</w:t>
            </w:r>
          </w:p>
        </w:tc>
        <w:tc>
          <w:tcPr>
            <w:tcW w:w="703" w:type="pct"/>
            <w:noWrap w:val="0"/>
            <w:vAlign w:val="center"/>
          </w:tcPr>
          <w:p w14:paraId="1218D41C">
            <w:pPr>
              <w:pStyle w:val="59"/>
              <w:bidi w:val="0"/>
              <w:rPr>
                <w:rFonts w:hint="eastAsia"/>
                <w:lang w:val="en-US" w:eastAsia="zh-CN"/>
              </w:rPr>
            </w:pPr>
          </w:p>
        </w:tc>
        <w:tc>
          <w:tcPr>
            <w:tcW w:w="527" w:type="pct"/>
            <w:noWrap w:val="0"/>
            <w:vAlign w:val="center"/>
          </w:tcPr>
          <w:p w14:paraId="4C19F4F9">
            <w:pPr>
              <w:pStyle w:val="59"/>
              <w:bidi w:val="0"/>
              <w:rPr>
                <w:rFonts w:hint="eastAsia"/>
                <w:lang w:val="en-US" w:eastAsia="zh-CN"/>
              </w:rPr>
            </w:pPr>
          </w:p>
        </w:tc>
        <w:tc>
          <w:tcPr>
            <w:tcW w:w="644" w:type="pct"/>
            <w:noWrap w:val="0"/>
            <w:vAlign w:val="center"/>
          </w:tcPr>
          <w:p w14:paraId="11C4D1BB">
            <w:pPr>
              <w:pStyle w:val="59"/>
              <w:bidi w:val="0"/>
              <w:rPr>
                <w:rFonts w:hint="default"/>
                <w:lang w:val="en-US" w:eastAsia="zh-CN"/>
              </w:rPr>
            </w:pPr>
            <w:r>
              <w:rPr>
                <w:rFonts w:hint="default"/>
                <w:lang w:val="en-US" w:eastAsia="zh-CN"/>
              </w:rPr>
              <w:t xml:space="preserve">0.000026 </w:t>
            </w:r>
          </w:p>
        </w:tc>
        <w:tc>
          <w:tcPr>
            <w:tcW w:w="614" w:type="pct"/>
            <w:noWrap w:val="0"/>
            <w:vAlign w:val="center"/>
          </w:tcPr>
          <w:p w14:paraId="464284E0">
            <w:pPr>
              <w:pStyle w:val="59"/>
              <w:bidi w:val="0"/>
              <w:rPr>
                <w:rFonts w:hint="eastAsia"/>
                <w:lang w:val="en-US" w:eastAsia="zh-CN"/>
              </w:rPr>
            </w:pPr>
            <w:r>
              <w:rPr>
                <w:rFonts w:hint="default"/>
                <w:lang w:val="en-US" w:eastAsia="zh-CN"/>
              </w:rPr>
              <w:t>0</w:t>
            </w:r>
          </w:p>
        </w:tc>
        <w:tc>
          <w:tcPr>
            <w:tcW w:w="750" w:type="pct"/>
            <w:noWrap w:val="0"/>
            <w:vAlign w:val="center"/>
          </w:tcPr>
          <w:p w14:paraId="17FB8688">
            <w:pPr>
              <w:pStyle w:val="59"/>
              <w:bidi w:val="0"/>
              <w:rPr>
                <w:rFonts w:hint="default"/>
                <w:lang w:val="en-US" w:eastAsia="zh-CN"/>
              </w:rPr>
            </w:pPr>
            <w:r>
              <w:rPr>
                <w:rFonts w:hint="default"/>
                <w:lang w:val="en-US" w:eastAsia="zh-CN"/>
              </w:rPr>
              <w:t xml:space="preserve">0.000026 </w:t>
            </w:r>
          </w:p>
        </w:tc>
        <w:tc>
          <w:tcPr>
            <w:tcW w:w="515" w:type="pct"/>
            <w:noWrap w:val="0"/>
            <w:vAlign w:val="center"/>
          </w:tcPr>
          <w:p w14:paraId="4100D816">
            <w:pPr>
              <w:pStyle w:val="59"/>
              <w:bidi w:val="0"/>
              <w:rPr>
                <w:rFonts w:hint="eastAsia"/>
                <w:lang w:val="en-US" w:eastAsia="zh-CN"/>
              </w:rPr>
            </w:pPr>
            <w:r>
              <w:rPr>
                <w:rFonts w:hint="default"/>
                <w:lang w:val="en-US" w:eastAsia="zh-CN"/>
              </w:rPr>
              <w:t xml:space="preserve">0.000026 </w:t>
            </w:r>
          </w:p>
        </w:tc>
      </w:tr>
      <w:tr w14:paraId="53B5EF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4B4E826C">
            <w:pPr>
              <w:pStyle w:val="59"/>
              <w:bidi w:val="0"/>
              <w:rPr>
                <w:rFonts w:hint="eastAsia"/>
              </w:rPr>
            </w:pPr>
          </w:p>
        </w:tc>
        <w:tc>
          <w:tcPr>
            <w:tcW w:w="586" w:type="pct"/>
            <w:noWrap w:val="0"/>
            <w:vAlign w:val="center"/>
          </w:tcPr>
          <w:p w14:paraId="22594B81">
            <w:pPr>
              <w:pStyle w:val="59"/>
              <w:bidi w:val="0"/>
              <w:rPr>
                <w:rFonts w:hint="eastAsia"/>
                <w:lang w:val="en-US" w:eastAsia="zh-CN"/>
              </w:rPr>
            </w:pPr>
            <w:r>
              <w:rPr>
                <w:rFonts w:hint="default"/>
                <w:lang w:val="en-US" w:eastAsia="zh-CN"/>
              </w:rPr>
              <w:t>苯</w:t>
            </w:r>
          </w:p>
        </w:tc>
        <w:tc>
          <w:tcPr>
            <w:tcW w:w="703" w:type="pct"/>
            <w:noWrap w:val="0"/>
            <w:vAlign w:val="center"/>
          </w:tcPr>
          <w:p w14:paraId="15B6F367">
            <w:pPr>
              <w:pStyle w:val="59"/>
              <w:bidi w:val="0"/>
              <w:rPr>
                <w:rFonts w:hint="eastAsia"/>
                <w:lang w:val="en-US" w:eastAsia="zh-CN"/>
              </w:rPr>
            </w:pPr>
          </w:p>
        </w:tc>
        <w:tc>
          <w:tcPr>
            <w:tcW w:w="527" w:type="pct"/>
            <w:noWrap w:val="0"/>
            <w:vAlign w:val="center"/>
          </w:tcPr>
          <w:p w14:paraId="6874C0C7">
            <w:pPr>
              <w:pStyle w:val="59"/>
              <w:bidi w:val="0"/>
              <w:rPr>
                <w:rFonts w:hint="eastAsia"/>
                <w:lang w:val="en-US" w:eastAsia="zh-CN"/>
              </w:rPr>
            </w:pPr>
          </w:p>
        </w:tc>
        <w:tc>
          <w:tcPr>
            <w:tcW w:w="644" w:type="pct"/>
            <w:noWrap w:val="0"/>
            <w:vAlign w:val="center"/>
          </w:tcPr>
          <w:p w14:paraId="30D254DE">
            <w:pPr>
              <w:pStyle w:val="59"/>
              <w:bidi w:val="0"/>
              <w:rPr>
                <w:rFonts w:hint="default"/>
                <w:lang w:val="en-US" w:eastAsia="zh-CN"/>
              </w:rPr>
            </w:pPr>
            <w:r>
              <w:rPr>
                <w:rFonts w:hint="default"/>
                <w:lang w:val="en-US" w:eastAsia="zh-CN"/>
              </w:rPr>
              <w:t xml:space="preserve">0.000001 </w:t>
            </w:r>
          </w:p>
        </w:tc>
        <w:tc>
          <w:tcPr>
            <w:tcW w:w="614" w:type="pct"/>
            <w:noWrap w:val="0"/>
            <w:vAlign w:val="center"/>
          </w:tcPr>
          <w:p w14:paraId="6191C699">
            <w:pPr>
              <w:pStyle w:val="59"/>
              <w:bidi w:val="0"/>
              <w:rPr>
                <w:rFonts w:hint="eastAsia"/>
                <w:lang w:val="en-US" w:eastAsia="zh-CN"/>
              </w:rPr>
            </w:pPr>
            <w:r>
              <w:rPr>
                <w:rFonts w:hint="default"/>
                <w:lang w:val="en-US" w:eastAsia="zh-CN"/>
              </w:rPr>
              <w:t>0</w:t>
            </w:r>
          </w:p>
        </w:tc>
        <w:tc>
          <w:tcPr>
            <w:tcW w:w="750" w:type="pct"/>
            <w:noWrap w:val="0"/>
            <w:vAlign w:val="center"/>
          </w:tcPr>
          <w:p w14:paraId="370E49D7">
            <w:pPr>
              <w:pStyle w:val="59"/>
              <w:bidi w:val="0"/>
              <w:rPr>
                <w:rFonts w:hint="eastAsia"/>
                <w:lang w:val="en-US" w:eastAsia="zh-CN"/>
              </w:rPr>
            </w:pPr>
            <w:r>
              <w:rPr>
                <w:rFonts w:hint="default"/>
                <w:lang w:val="en-US" w:eastAsia="zh-CN"/>
              </w:rPr>
              <w:t xml:space="preserve">0.000001 </w:t>
            </w:r>
          </w:p>
        </w:tc>
        <w:tc>
          <w:tcPr>
            <w:tcW w:w="515" w:type="pct"/>
            <w:noWrap w:val="0"/>
            <w:vAlign w:val="center"/>
          </w:tcPr>
          <w:p w14:paraId="114DB55E">
            <w:pPr>
              <w:pStyle w:val="59"/>
              <w:bidi w:val="0"/>
              <w:rPr>
                <w:rFonts w:hint="eastAsia"/>
                <w:lang w:val="en-US" w:eastAsia="zh-CN"/>
              </w:rPr>
            </w:pPr>
            <w:r>
              <w:rPr>
                <w:rFonts w:hint="default"/>
                <w:lang w:val="en-US" w:eastAsia="zh-CN"/>
              </w:rPr>
              <w:t xml:space="preserve">0.000001 </w:t>
            </w:r>
          </w:p>
        </w:tc>
      </w:tr>
      <w:tr w14:paraId="40770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062B5035">
            <w:pPr>
              <w:pStyle w:val="59"/>
              <w:bidi w:val="0"/>
              <w:rPr>
                <w:rFonts w:hint="eastAsia"/>
              </w:rPr>
            </w:pPr>
          </w:p>
        </w:tc>
        <w:tc>
          <w:tcPr>
            <w:tcW w:w="586" w:type="pct"/>
            <w:noWrap w:val="0"/>
            <w:vAlign w:val="center"/>
          </w:tcPr>
          <w:p w14:paraId="2B046DAE">
            <w:pPr>
              <w:pStyle w:val="59"/>
              <w:bidi w:val="0"/>
              <w:rPr>
                <w:rFonts w:hint="eastAsia"/>
                <w:lang w:val="en-US" w:eastAsia="zh-CN"/>
              </w:rPr>
            </w:pPr>
            <w:r>
              <w:rPr>
                <w:rFonts w:hint="default"/>
                <w:lang w:val="en-US" w:eastAsia="zh-CN"/>
              </w:rPr>
              <w:t>甲苯</w:t>
            </w:r>
          </w:p>
        </w:tc>
        <w:tc>
          <w:tcPr>
            <w:tcW w:w="703" w:type="pct"/>
            <w:noWrap w:val="0"/>
            <w:vAlign w:val="center"/>
          </w:tcPr>
          <w:p w14:paraId="36585B19">
            <w:pPr>
              <w:pStyle w:val="59"/>
              <w:bidi w:val="0"/>
              <w:rPr>
                <w:rFonts w:hint="eastAsia"/>
                <w:lang w:val="en-US" w:eastAsia="zh-CN"/>
              </w:rPr>
            </w:pPr>
          </w:p>
        </w:tc>
        <w:tc>
          <w:tcPr>
            <w:tcW w:w="527" w:type="pct"/>
            <w:noWrap w:val="0"/>
            <w:vAlign w:val="center"/>
          </w:tcPr>
          <w:p w14:paraId="31005583">
            <w:pPr>
              <w:pStyle w:val="59"/>
              <w:bidi w:val="0"/>
              <w:rPr>
                <w:rFonts w:hint="eastAsia"/>
                <w:lang w:val="en-US" w:eastAsia="zh-CN"/>
              </w:rPr>
            </w:pPr>
          </w:p>
        </w:tc>
        <w:tc>
          <w:tcPr>
            <w:tcW w:w="644" w:type="pct"/>
            <w:noWrap w:val="0"/>
            <w:vAlign w:val="center"/>
          </w:tcPr>
          <w:p w14:paraId="71D71DD6">
            <w:pPr>
              <w:pStyle w:val="59"/>
              <w:bidi w:val="0"/>
              <w:rPr>
                <w:rFonts w:hint="default"/>
                <w:lang w:val="en-US" w:eastAsia="zh-CN"/>
              </w:rPr>
            </w:pPr>
            <w:r>
              <w:rPr>
                <w:rFonts w:hint="default"/>
                <w:lang w:val="en-US" w:eastAsia="zh-CN"/>
              </w:rPr>
              <w:t xml:space="preserve">0.000001 </w:t>
            </w:r>
          </w:p>
        </w:tc>
        <w:tc>
          <w:tcPr>
            <w:tcW w:w="614" w:type="pct"/>
            <w:noWrap w:val="0"/>
            <w:vAlign w:val="center"/>
          </w:tcPr>
          <w:p w14:paraId="49ED2E21">
            <w:pPr>
              <w:pStyle w:val="59"/>
              <w:bidi w:val="0"/>
              <w:rPr>
                <w:rFonts w:hint="eastAsia"/>
                <w:lang w:val="en-US" w:eastAsia="zh-CN"/>
              </w:rPr>
            </w:pPr>
            <w:r>
              <w:rPr>
                <w:rFonts w:hint="default"/>
                <w:lang w:val="en-US" w:eastAsia="zh-CN"/>
              </w:rPr>
              <w:t>0</w:t>
            </w:r>
          </w:p>
        </w:tc>
        <w:tc>
          <w:tcPr>
            <w:tcW w:w="750" w:type="pct"/>
            <w:noWrap w:val="0"/>
            <w:vAlign w:val="center"/>
          </w:tcPr>
          <w:p w14:paraId="23055C51">
            <w:pPr>
              <w:pStyle w:val="59"/>
              <w:bidi w:val="0"/>
              <w:rPr>
                <w:rFonts w:hint="eastAsia"/>
                <w:lang w:val="en-US" w:eastAsia="zh-CN"/>
              </w:rPr>
            </w:pPr>
            <w:r>
              <w:rPr>
                <w:rFonts w:hint="default"/>
                <w:lang w:val="en-US" w:eastAsia="zh-CN"/>
              </w:rPr>
              <w:t xml:space="preserve">0.000001 </w:t>
            </w:r>
          </w:p>
        </w:tc>
        <w:tc>
          <w:tcPr>
            <w:tcW w:w="515" w:type="pct"/>
            <w:noWrap w:val="0"/>
            <w:vAlign w:val="center"/>
          </w:tcPr>
          <w:p w14:paraId="11901369">
            <w:pPr>
              <w:pStyle w:val="59"/>
              <w:bidi w:val="0"/>
              <w:rPr>
                <w:rFonts w:hint="eastAsia"/>
                <w:lang w:val="en-US" w:eastAsia="zh-CN"/>
              </w:rPr>
            </w:pPr>
            <w:r>
              <w:rPr>
                <w:rFonts w:hint="default"/>
                <w:lang w:val="en-US" w:eastAsia="zh-CN"/>
              </w:rPr>
              <w:t xml:space="preserve">0.000001 </w:t>
            </w:r>
          </w:p>
        </w:tc>
      </w:tr>
      <w:tr w14:paraId="7F6E2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restart"/>
            <w:noWrap w:val="0"/>
            <w:vAlign w:val="center"/>
          </w:tcPr>
          <w:p w14:paraId="55BBCD05">
            <w:pPr>
              <w:pStyle w:val="59"/>
              <w:bidi w:val="0"/>
              <w:rPr>
                <w:rFonts w:hint="eastAsia"/>
                <w:lang w:val="en-US" w:eastAsia="zh-CN"/>
              </w:rPr>
            </w:pPr>
            <w:r>
              <w:rPr>
                <w:rFonts w:hint="eastAsia"/>
                <w:lang w:val="en-US" w:eastAsia="zh-CN"/>
              </w:rPr>
              <w:t>一般工业</w:t>
            </w:r>
          </w:p>
          <w:p w14:paraId="4BD7A921">
            <w:pPr>
              <w:pStyle w:val="59"/>
              <w:bidi w:val="0"/>
              <w:rPr>
                <w:rFonts w:hint="eastAsia"/>
              </w:rPr>
            </w:pPr>
            <w:r>
              <w:rPr>
                <w:rFonts w:hint="eastAsia"/>
                <w:lang w:val="en-US" w:eastAsia="zh-CN"/>
              </w:rPr>
              <w:t>固体废物</w:t>
            </w:r>
          </w:p>
        </w:tc>
        <w:tc>
          <w:tcPr>
            <w:tcW w:w="586" w:type="pct"/>
            <w:noWrap w:val="0"/>
            <w:vAlign w:val="center"/>
          </w:tcPr>
          <w:p w14:paraId="3A278BFA">
            <w:pPr>
              <w:pStyle w:val="59"/>
              <w:bidi w:val="0"/>
              <w:rPr>
                <w:rFonts w:hint="eastAsia"/>
                <w:lang w:val="en-US" w:eastAsia="zh-CN"/>
              </w:rPr>
            </w:pPr>
            <w:r>
              <w:rPr>
                <w:rFonts w:hint="eastAsia"/>
                <w:lang w:val="en-US" w:eastAsia="zh-CN"/>
              </w:rPr>
              <w:t>废边角料</w:t>
            </w:r>
          </w:p>
        </w:tc>
        <w:tc>
          <w:tcPr>
            <w:tcW w:w="703" w:type="pct"/>
            <w:noWrap w:val="0"/>
            <w:vAlign w:val="center"/>
          </w:tcPr>
          <w:p w14:paraId="5BC172B8">
            <w:pPr>
              <w:pStyle w:val="59"/>
              <w:bidi w:val="0"/>
              <w:rPr>
                <w:rFonts w:hint="eastAsia"/>
                <w:lang w:val="en-US" w:eastAsia="zh-CN"/>
              </w:rPr>
            </w:pPr>
          </w:p>
        </w:tc>
        <w:tc>
          <w:tcPr>
            <w:tcW w:w="527" w:type="pct"/>
            <w:noWrap w:val="0"/>
            <w:vAlign w:val="center"/>
          </w:tcPr>
          <w:p w14:paraId="6DCF0895">
            <w:pPr>
              <w:pStyle w:val="59"/>
              <w:bidi w:val="0"/>
              <w:rPr>
                <w:rFonts w:hint="eastAsia"/>
                <w:lang w:val="en-US" w:eastAsia="zh-CN"/>
              </w:rPr>
            </w:pPr>
          </w:p>
        </w:tc>
        <w:tc>
          <w:tcPr>
            <w:tcW w:w="644" w:type="pct"/>
            <w:noWrap w:val="0"/>
            <w:vAlign w:val="center"/>
          </w:tcPr>
          <w:p w14:paraId="3ACA00F0">
            <w:pPr>
              <w:pStyle w:val="59"/>
              <w:bidi w:val="0"/>
              <w:rPr>
                <w:rFonts w:hint="default"/>
                <w:lang w:val="en-US" w:eastAsia="zh-CN"/>
              </w:rPr>
            </w:pPr>
            <w:r>
              <w:rPr>
                <w:rFonts w:hint="default"/>
                <w:lang w:val="en-US" w:eastAsia="zh-CN"/>
              </w:rPr>
              <w:t xml:space="preserve">8.441 </w:t>
            </w:r>
          </w:p>
        </w:tc>
        <w:tc>
          <w:tcPr>
            <w:tcW w:w="614" w:type="pct"/>
            <w:noWrap w:val="0"/>
            <w:vAlign w:val="center"/>
          </w:tcPr>
          <w:p w14:paraId="329FB489">
            <w:pPr>
              <w:pStyle w:val="59"/>
              <w:bidi w:val="0"/>
              <w:rPr>
                <w:rFonts w:hint="eastAsia"/>
                <w:lang w:val="en-US" w:eastAsia="zh-CN"/>
              </w:rPr>
            </w:pPr>
            <w:r>
              <w:rPr>
                <w:rFonts w:hint="default"/>
                <w:lang w:val="en-US" w:eastAsia="zh-CN"/>
              </w:rPr>
              <w:t>0</w:t>
            </w:r>
          </w:p>
        </w:tc>
        <w:tc>
          <w:tcPr>
            <w:tcW w:w="750" w:type="pct"/>
            <w:noWrap w:val="0"/>
            <w:vAlign w:val="center"/>
          </w:tcPr>
          <w:p w14:paraId="2E42896A">
            <w:pPr>
              <w:pStyle w:val="59"/>
              <w:bidi w:val="0"/>
              <w:rPr>
                <w:rFonts w:hint="eastAsia"/>
                <w:lang w:val="en-US" w:eastAsia="zh-CN"/>
              </w:rPr>
            </w:pPr>
            <w:r>
              <w:rPr>
                <w:rFonts w:hint="default"/>
                <w:lang w:val="en-US" w:eastAsia="zh-CN"/>
              </w:rPr>
              <w:t xml:space="preserve">8.441 </w:t>
            </w:r>
          </w:p>
        </w:tc>
        <w:tc>
          <w:tcPr>
            <w:tcW w:w="515" w:type="pct"/>
            <w:noWrap w:val="0"/>
            <w:vAlign w:val="center"/>
          </w:tcPr>
          <w:p w14:paraId="51DE1BF8">
            <w:pPr>
              <w:pStyle w:val="59"/>
              <w:bidi w:val="0"/>
              <w:rPr>
                <w:rFonts w:hint="eastAsia"/>
                <w:lang w:val="en-US" w:eastAsia="zh-CN"/>
              </w:rPr>
            </w:pPr>
            <w:r>
              <w:rPr>
                <w:rFonts w:hint="default"/>
                <w:lang w:val="en-US" w:eastAsia="zh-CN"/>
              </w:rPr>
              <w:t xml:space="preserve">8.441 </w:t>
            </w:r>
          </w:p>
        </w:tc>
      </w:tr>
      <w:tr w14:paraId="05CF1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51095CA3">
            <w:pPr>
              <w:pStyle w:val="59"/>
              <w:bidi w:val="0"/>
              <w:rPr>
                <w:rFonts w:hint="eastAsia"/>
              </w:rPr>
            </w:pPr>
          </w:p>
        </w:tc>
        <w:tc>
          <w:tcPr>
            <w:tcW w:w="586" w:type="pct"/>
            <w:noWrap w:val="0"/>
            <w:vAlign w:val="center"/>
          </w:tcPr>
          <w:p w14:paraId="4643F031">
            <w:pPr>
              <w:pStyle w:val="59"/>
              <w:bidi w:val="0"/>
              <w:rPr>
                <w:rFonts w:hint="eastAsia"/>
                <w:lang w:val="en-US" w:eastAsia="zh-CN"/>
              </w:rPr>
            </w:pPr>
            <w:r>
              <w:rPr>
                <w:rFonts w:hint="eastAsia"/>
                <w:lang w:val="en-US" w:eastAsia="zh-CN"/>
              </w:rPr>
              <w:t>次品</w:t>
            </w:r>
          </w:p>
        </w:tc>
        <w:tc>
          <w:tcPr>
            <w:tcW w:w="703" w:type="pct"/>
            <w:noWrap w:val="0"/>
            <w:vAlign w:val="center"/>
          </w:tcPr>
          <w:p w14:paraId="571BDC7B">
            <w:pPr>
              <w:pStyle w:val="59"/>
              <w:bidi w:val="0"/>
              <w:rPr>
                <w:rFonts w:hint="eastAsia"/>
                <w:lang w:val="en-US" w:eastAsia="zh-CN"/>
              </w:rPr>
            </w:pPr>
          </w:p>
        </w:tc>
        <w:tc>
          <w:tcPr>
            <w:tcW w:w="527" w:type="pct"/>
            <w:noWrap w:val="0"/>
            <w:vAlign w:val="center"/>
          </w:tcPr>
          <w:p w14:paraId="536E9663">
            <w:pPr>
              <w:pStyle w:val="59"/>
              <w:bidi w:val="0"/>
              <w:rPr>
                <w:rFonts w:hint="eastAsia"/>
                <w:lang w:val="en-US" w:eastAsia="zh-CN"/>
              </w:rPr>
            </w:pPr>
          </w:p>
        </w:tc>
        <w:tc>
          <w:tcPr>
            <w:tcW w:w="644" w:type="pct"/>
            <w:noWrap w:val="0"/>
            <w:vAlign w:val="center"/>
          </w:tcPr>
          <w:p w14:paraId="22C14E25">
            <w:pPr>
              <w:pStyle w:val="59"/>
              <w:bidi w:val="0"/>
              <w:rPr>
                <w:rFonts w:hint="default"/>
                <w:lang w:val="en-US" w:eastAsia="zh-CN"/>
              </w:rPr>
            </w:pPr>
            <w:r>
              <w:rPr>
                <w:rFonts w:hint="default"/>
                <w:lang w:val="en-US" w:eastAsia="zh-CN"/>
              </w:rPr>
              <w:t xml:space="preserve">2.110 </w:t>
            </w:r>
          </w:p>
        </w:tc>
        <w:tc>
          <w:tcPr>
            <w:tcW w:w="614" w:type="pct"/>
            <w:noWrap w:val="0"/>
            <w:vAlign w:val="center"/>
          </w:tcPr>
          <w:p w14:paraId="3D4F5835">
            <w:pPr>
              <w:pStyle w:val="59"/>
              <w:bidi w:val="0"/>
              <w:rPr>
                <w:rFonts w:hint="eastAsia"/>
                <w:lang w:val="en-US" w:eastAsia="zh-CN"/>
              </w:rPr>
            </w:pPr>
            <w:r>
              <w:rPr>
                <w:rFonts w:hint="default"/>
                <w:lang w:val="en-US" w:eastAsia="zh-CN"/>
              </w:rPr>
              <w:t>0</w:t>
            </w:r>
          </w:p>
        </w:tc>
        <w:tc>
          <w:tcPr>
            <w:tcW w:w="750" w:type="pct"/>
            <w:noWrap w:val="0"/>
            <w:vAlign w:val="center"/>
          </w:tcPr>
          <w:p w14:paraId="6EE6C7D9">
            <w:pPr>
              <w:pStyle w:val="59"/>
              <w:bidi w:val="0"/>
              <w:rPr>
                <w:rFonts w:hint="eastAsia"/>
                <w:lang w:val="en-US" w:eastAsia="zh-CN"/>
              </w:rPr>
            </w:pPr>
            <w:r>
              <w:rPr>
                <w:rFonts w:hint="default"/>
                <w:lang w:val="en-US" w:eastAsia="zh-CN"/>
              </w:rPr>
              <w:t xml:space="preserve">2.110 </w:t>
            </w:r>
          </w:p>
        </w:tc>
        <w:tc>
          <w:tcPr>
            <w:tcW w:w="515" w:type="pct"/>
            <w:noWrap w:val="0"/>
            <w:vAlign w:val="center"/>
          </w:tcPr>
          <w:p w14:paraId="744C7BEC">
            <w:pPr>
              <w:pStyle w:val="59"/>
              <w:bidi w:val="0"/>
              <w:rPr>
                <w:rFonts w:hint="eastAsia"/>
                <w:lang w:val="en-US" w:eastAsia="zh-CN"/>
              </w:rPr>
            </w:pPr>
            <w:r>
              <w:rPr>
                <w:rFonts w:hint="default"/>
                <w:lang w:val="en-US" w:eastAsia="zh-CN"/>
              </w:rPr>
              <w:t xml:space="preserve">2.110 </w:t>
            </w:r>
          </w:p>
        </w:tc>
      </w:tr>
      <w:tr w14:paraId="3C793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65535716">
            <w:pPr>
              <w:pStyle w:val="59"/>
              <w:bidi w:val="0"/>
              <w:rPr>
                <w:rFonts w:hint="eastAsia"/>
              </w:rPr>
            </w:pPr>
          </w:p>
        </w:tc>
        <w:tc>
          <w:tcPr>
            <w:tcW w:w="586" w:type="pct"/>
            <w:noWrap w:val="0"/>
            <w:vAlign w:val="center"/>
          </w:tcPr>
          <w:p w14:paraId="2D3B0AE3">
            <w:pPr>
              <w:pStyle w:val="59"/>
              <w:bidi w:val="0"/>
              <w:rPr>
                <w:rFonts w:hint="eastAsia"/>
                <w:lang w:val="en-US" w:eastAsia="zh-CN"/>
              </w:rPr>
            </w:pPr>
            <w:r>
              <w:rPr>
                <w:rFonts w:hint="eastAsia"/>
                <w:lang w:val="en-US" w:eastAsia="zh-CN"/>
              </w:rPr>
              <w:t>废普通包装物</w:t>
            </w:r>
          </w:p>
        </w:tc>
        <w:tc>
          <w:tcPr>
            <w:tcW w:w="703" w:type="pct"/>
            <w:noWrap w:val="0"/>
            <w:vAlign w:val="center"/>
          </w:tcPr>
          <w:p w14:paraId="32464DC7">
            <w:pPr>
              <w:pStyle w:val="59"/>
              <w:bidi w:val="0"/>
              <w:rPr>
                <w:rFonts w:hint="eastAsia"/>
                <w:lang w:val="en-US" w:eastAsia="zh-CN"/>
              </w:rPr>
            </w:pPr>
          </w:p>
        </w:tc>
        <w:tc>
          <w:tcPr>
            <w:tcW w:w="527" w:type="pct"/>
            <w:noWrap w:val="0"/>
            <w:vAlign w:val="center"/>
          </w:tcPr>
          <w:p w14:paraId="43A45C78">
            <w:pPr>
              <w:pStyle w:val="59"/>
              <w:bidi w:val="0"/>
              <w:rPr>
                <w:rFonts w:hint="eastAsia"/>
                <w:lang w:val="en-US" w:eastAsia="zh-CN"/>
              </w:rPr>
            </w:pPr>
          </w:p>
        </w:tc>
        <w:tc>
          <w:tcPr>
            <w:tcW w:w="644" w:type="pct"/>
            <w:noWrap w:val="0"/>
            <w:vAlign w:val="center"/>
          </w:tcPr>
          <w:p w14:paraId="28C44F07">
            <w:pPr>
              <w:pStyle w:val="59"/>
              <w:bidi w:val="0"/>
              <w:rPr>
                <w:rFonts w:hint="default"/>
                <w:lang w:val="en-US" w:eastAsia="zh-CN"/>
              </w:rPr>
            </w:pPr>
            <w:r>
              <w:rPr>
                <w:rFonts w:hint="default"/>
                <w:lang w:val="en-US" w:eastAsia="zh-CN"/>
              </w:rPr>
              <w:t xml:space="preserve">2.000 </w:t>
            </w:r>
          </w:p>
        </w:tc>
        <w:tc>
          <w:tcPr>
            <w:tcW w:w="614" w:type="pct"/>
            <w:noWrap w:val="0"/>
            <w:vAlign w:val="center"/>
          </w:tcPr>
          <w:p w14:paraId="14CFFD0B">
            <w:pPr>
              <w:pStyle w:val="59"/>
              <w:bidi w:val="0"/>
              <w:rPr>
                <w:rFonts w:hint="eastAsia"/>
                <w:lang w:val="en-US" w:eastAsia="zh-CN"/>
              </w:rPr>
            </w:pPr>
            <w:r>
              <w:rPr>
                <w:rFonts w:hint="default"/>
                <w:lang w:val="en-US" w:eastAsia="zh-CN"/>
              </w:rPr>
              <w:t>0</w:t>
            </w:r>
          </w:p>
        </w:tc>
        <w:tc>
          <w:tcPr>
            <w:tcW w:w="750" w:type="pct"/>
            <w:noWrap w:val="0"/>
            <w:vAlign w:val="center"/>
          </w:tcPr>
          <w:p w14:paraId="3BB39170">
            <w:pPr>
              <w:pStyle w:val="59"/>
              <w:bidi w:val="0"/>
              <w:rPr>
                <w:rFonts w:hint="eastAsia"/>
                <w:lang w:val="en-US" w:eastAsia="zh-CN"/>
              </w:rPr>
            </w:pPr>
            <w:r>
              <w:rPr>
                <w:rFonts w:hint="default"/>
                <w:lang w:val="en-US" w:eastAsia="zh-CN"/>
              </w:rPr>
              <w:t xml:space="preserve">2.000 </w:t>
            </w:r>
          </w:p>
        </w:tc>
        <w:tc>
          <w:tcPr>
            <w:tcW w:w="515" w:type="pct"/>
            <w:noWrap w:val="0"/>
            <w:vAlign w:val="center"/>
          </w:tcPr>
          <w:p w14:paraId="5560C615">
            <w:pPr>
              <w:pStyle w:val="59"/>
              <w:bidi w:val="0"/>
              <w:rPr>
                <w:rFonts w:hint="eastAsia"/>
                <w:lang w:val="en-US" w:eastAsia="zh-CN"/>
              </w:rPr>
            </w:pPr>
            <w:r>
              <w:rPr>
                <w:rFonts w:hint="default"/>
                <w:lang w:val="en-US" w:eastAsia="zh-CN"/>
              </w:rPr>
              <w:t xml:space="preserve">2.000 </w:t>
            </w:r>
          </w:p>
        </w:tc>
      </w:tr>
      <w:tr w14:paraId="084D8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078D9C8D">
            <w:pPr>
              <w:pStyle w:val="59"/>
              <w:bidi w:val="0"/>
              <w:rPr>
                <w:rFonts w:hint="eastAsia"/>
              </w:rPr>
            </w:pPr>
          </w:p>
        </w:tc>
        <w:tc>
          <w:tcPr>
            <w:tcW w:w="586" w:type="pct"/>
            <w:noWrap w:val="0"/>
            <w:vAlign w:val="center"/>
          </w:tcPr>
          <w:p w14:paraId="3152BDFE">
            <w:pPr>
              <w:pStyle w:val="59"/>
              <w:bidi w:val="0"/>
              <w:rPr>
                <w:rFonts w:hint="eastAsia"/>
                <w:lang w:val="en-US" w:eastAsia="zh-CN"/>
              </w:rPr>
            </w:pPr>
            <w:r>
              <w:rPr>
                <w:rFonts w:hint="eastAsia"/>
                <w:lang w:val="en-US" w:eastAsia="zh-CN"/>
              </w:rPr>
              <w:t>废印版</w:t>
            </w:r>
          </w:p>
        </w:tc>
        <w:tc>
          <w:tcPr>
            <w:tcW w:w="703" w:type="pct"/>
            <w:noWrap w:val="0"/>
            <w:vAlign w:val="center"/>
          </w:tcPr>
          <w:p w14:paraId="50AFC993">
            <w:pPr>
              <w:pStyle w:val="59"/>
              <w:bidi w:val="0"/>
              <w:rPr>
                <w:rFonts w:hint="eastAsia"/>
                <w:lang w:val="en-US" w:eastAsia="zh-CN"/>
              </w:rPr>
            </w:pPr>
          </w:p>
        </w:tc>
        <w:tc>
          <w:tcPr>
            <w:tcW w:w="527" w:type="pct"/>
            <w:noWrap w:val="0"/>
            <w:vAlign w:val="center"/>
          </w:tcPr>
          <w:p w14:paraId="01EFB294">
            <w:pPr>
              <w:pStyle w:val="59"/>
              <w:bidi w:val="0"/>
              <w:rPr>
                <w:rFonts w:hint="eastAsia"/>
                <w:lang w:val="en-US" w:eastAsia="zh-CN"/>
              </w:rPr>
            </w:pPr>
          </w:p>
        </w:tc>
        <w:tc>
          <w:tcPr>
            <w:tcW w:w="644" w:type="pct"/>
            <w:noWrap w:val="0"/>
            <w:vAlign w:val="center"/>
          </w:tcPr>
          <w:p w14:paraId="45C4FE78">
            <w:pPr>
              <w:pStyle w:val="59"/>
              <w:bidi w:val="0"/>
              <w:rPr>
                <w:rFonts w:hint="default"/>
                <w:lang w:val="en-US" w:eastAsia="zh-CN"/>
              </w:rPr>
            </w:pPr>
            <w:r>
              <w:rPr>
                <w:rFonts w:hint="default"/>
                <w:lang w:val="en-US" w:eastAsia="zh-CN"/>
              </w:rPr>
              <w:t xml:space="preserve">1.000 </w:t>
            </w:r>
          </w:p>
        </w:tc>
        <w:tc>
          <w:tcPr>
            <w:tcW w:w="614" w:type="pct"/>
            <w:noWrap w:val="0"/>
            <w:vAlign w:val="center"/>
          </w:tcPr>
          <w:p w14:paraId="48E051B9">
            <w:pPr>
              <w:pStyle w:val="59"/>
              <w:bidi w:val="0"/>
              <w:rPr>
                <w:rFonts w:hint="eastAsia"/>
                <w:lang w:val="en-US" w:eastAsia="zh-CN"/>
              </w:rPr>
            </w:pPr>
            <w:r>
              <w:rPr>
                <w:rFonts w:hint="default"/>
                <w:lang w:val="en-US" w:eastAsia="zh-CN"/>
              </w:rPr>
              <w:t>0</w:t>
            </w:r>
          </w:p>
        </w:tc>
        <w:tc>
          <w:tcPr>
            <w:tcW w:w="750" w:type="pct"/>
            <w:noWrap w:val="0"/>
            <w:vAlign w:val="center"/>
          </w:tcPr>
          <w:p w14:paraId="7FFDED4D">
            <w:pPr>
              <w:pStyle w:val="59"/>
              <w:bidi w:val="0"/>
              <w:rPr>
                <w:rFonts w:hint="eastAsia"/>
                <w:lang w:val="en-US" w:eastAsia="zh-CN"/>
              </w:rPr>
            </w:pPr>
            <w:r>
              <w:rPr>
                <w:rFonts w:hint="default"/>
                <w:lang w:val="en-US" w:eastAsia="zh-CN"/>
              </w:rPr>
              <w:t xml:space="preserve">1.000 </w:t>
            </w:r>
          </w:p>
        </w:tc>
        <w:tc>
          <w:tcPr>
            <w:tcW w:w="515" w:type="pct"/>
            <w:noWrap w:val="0"/>
            <w:vAlign w:val="center"/>
          </w:tcPr>
          <w:p w14:paraId="63C2E460">
            <w:pPr>
              <w:pStyle w:val="59"/>
              <w:bidi w:val="0"/>
              <w:rPr>
                <w:rFonts w:hint="eastAsia"/>
                <w:lang w:val="en-US" w:eastAsia="zh-CN"/>
              </w:rPr>
            </w:pPr>
            <w:r>
              <w:rPr>
                <w:rFonts w:hint="default"/>
                <w:lang w:val="en-US" w:eastAsia="zh-CN"/>
              </w:rPr>
              <w:t xml:space="preserve">1.000 </w:t>
            </w:r>
          </w:p>
        </w:tc>
      </w:tr>
      <w:tr w14:paraId="7794A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restart"/>
            <w:noWrap w:val="0"/>
            <w:vAlign w:val="center"/>
          </w:tcPr>
          <w:p w14:paraId="724640A4">
            <w:pPr>
              <w:pStyle w:val="59"/>
              <w:bidi w:val="0"/>
              <w:rPr>
                <w:rFonts w:hint="eastAsia"/>
              </w:rPr>
            </w:pPr>
            <w:r>
              <w:rPr>
                <w:rFonts w:hint="eastAsia"/>
                <w:lang w:val="en-US" w:eastAsia="zh-CN"/>
              </w:rPr>
              <w:t>危险废物</w:t>
            </w:r>
          </w:p>
        </w:tc>
        <w:tc>
          <w:tcPr>
            <w:tcW w:w="586" w:type="pct"/>
            <w:noWrap w:val="0"/>
            <w:vAlign w:val="center"/>
          </w:tcPr>
          <w:p w14:paraId="1DF465BA">
            <w:pPr>
              <w:pStyle w:val="59"/>
              <w:bidi w:val="0"/>
              <w:rPr>
                <w:rFonts w:hint="eastAsia"/>
                <w:lang w:val="en-US" w:eastAsia="zh-CN"/>
              </w:rPr>
            </w:pPr>
            <w:r>
              <w:rPr>
                <w:rFonts w:hint="eastAsia"/>
                <w:lang w:val="en-US" w:eastAsia="zh-CN"/>
              </w:rPr>
              <w:t>废包装桶</w:t>
            </w:r>
          </w:p>
        </w:tc>
        <w:tc>
          <w:tcPr>
            <w:tcW w:w="703" w:type="pct"/>
            <w:noWrap w:val="0"/>
            <w:vAlign w:val="center"/>
          </w:tcPr>
          <w:p w14:paraId="5A7AC097">
            <w:pPr>
              <w:pStyle w:val="59"/>
              <w:bidi w:val="0"/>
              <w:rPr>
                <w:rFonts w:hint="eastAsia"/>
                <w:lang w:val="en-US" w:eastAsia="zh-CN"/>
              </w:rPr>
            </w:pPr>
          </w:p>
        </w:tc>
        <w:tc>
          <w:tcPr>
            <w:tcW w:w="527" w:type="pct"/>
            <w:noWrap w:val="0"/>
            <w:vAlign w:val="center"/>
          </w:tcPr>
          <w:p w14:paraId="14BEEF54">
            <w:pPr>
              <w:pStyle w:val="59"/>
              <w:bidi w:val="0"/>
              <w:rPr>
                <w:rFonts w:hint="eastAsia"/>
                <w:lang w:val="en-US" w:eastAsia="zh-CN"/>
              </w:rPr>
            </w:pPr>
          </w:p>
        </w:tc>
        <w:tc>
          <w:tcPr>
            <w:tcW w:w="644" w:type="pct"/>
            <w:noWrap w:val="0"/>
            <w:vAlign w:val="center"/>
          </w:tcPr>
          <w:p w14:paraId="72AA9192">
            <w:pPr>
              <w:pStyle w:val="59"/>
              <w:bidi w:val="0"/>
              <w:rPr>
                <w:rFonts w:hint="default"/>
                <w:lang w:val="en-US" w:eastAsia="zh-CN"/>
              </w:rPr>
            </w:pPr>
            <w:r>
              <w:rPr>
                <w:rFonts w:hint="eastAsia"/>
                <w:lang w:val="en-US" w:eastAsia="zh-CN"/>
              </w:rPr>
              <w:t>7.930</w:t>
            </w:r>
            <w:r>
              <w:rPr>
                <w:rFonts w:hint="default"/>
                <w:lang w:val="en-US" w:eastAsia="zh-CN"/>
              </w:rPr>
              <w:t xml:space="preserve"> </w:t>
            </w:r>
          </w:p>
        </w:tc>
        <w:tc>
          <w:tcPr>
            <w:tcW w:w="614" w:type="pct"/>
            <w:noWrap w:val="0"/>
            <w:vAlign w:val="center"/>
          </w:tcPr>
          <w:p w14:paraId="5E2B5B51">
            <w:pPr>
              <w:pStyle w:val="59"/>
              <w:bidi w:val="0"/>
              <w:rPr>
                <w:rFonts w:hint="default"/>
                <w:lang w:val="en-US" w:eastAsia="zh-CN"/>
              </w:rPr>
            </w:pPr>
            <w:r>
              <w:rPr>
                <w:rFonts w:hint="default"/>
                <w:lang w:val="en-US" w:eastAsia="zh-CN"/>
              </w:rPr>
              <w:t>0</w:t>
            </w:r>
          </w:p>
        </w:tc>
        <w:tc>
          <w:tcPr>
            <w:tcW w:w="750" w:type="pct"/>
            <w:noWrap w:val="0"/>
            <w:vAlign w:val="center"/>
          </w:tcPr>
          <w:p w14:paraId="1EF04D3F">
            <w:pPr>
              <w:pStyle w:val="59"/>
              <w:bidi w:val="0"/>
              <w:rPr>
                <w:rFonts w:hint="default"/>
                <w:lang w:val="en-US" w:eastAsia="zh-CN"/>
              </w:rPr>
            </w:pPr>
            <w:r>
              <w:rPr>
                <w:rFonts w:hint="eastAsia"/>
                <w:lang w:val="en-US" w:eastAsia="zh-CN"/>
              </w:rPr>
              <w:t>7.930</w:t>
            </w:r>
            <w:r>
              <w:rPr>
                <w:rFonts w:hint="default"/>
                <w:lang w:val="en-US" w:eastAsia="zh-CN"/>
              </w:rPr>
              <w:t xml:space="preserve"> </w:t>
            </w:r>
          </w:p>
        </w:tc>
        <w:tc>
          <w:tcPr>
            <w:tcW w:w="515" w:type="pct"/>
            <w:noWrap w:val="0"/>
            <w:vAlign w:val="center"/>
          </w:tcPr>
          <w:p w14:paraId="1C95439E">
            <w:pPr>
              <w:pStyle w:val="59"/>
              <w:bidi w:val="0"/>
              <w:rPr>
                <w:rFonts w:hint="default"/>
                <w:lang w:val="en-US" w:eastAsia="zh-CN"/>
              </w:rPr>
            </w:pPr>
            <w:r>
              <w:rPr>
                <w:rFonts w:hint="eastAsia"/>
                <w:lang w:val="en-US" w:eastAsia="zh-CN"/>
              </w:rPr>
              <w:t>7.930</w:t>
            </w:r>
            <w:r>
              <w:rPr>
                <w:rFonts w:hint="default"/>
                <w:lang w:val="en-US" w:eastAsia="zh-CN"/>
              </w:rPr>
              <w:t xml:space="preserve"> </w:t>
            </w:r>
          </w:p>
        </w:tc>
      </w:tr>
      <w:tr w14:paraId="6C8AF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6662D864">
            <w:pPr>
              <w:pStyle w:val="59"/>
              <w:bidi w:val="0"/>
              <w:rPr>
                <w:rFonts w:hint="eastAsia"/>
              </w:rPr>
            </w:pPr>
          </w:p>
        </w:tc>
        <w:tc>
          <w:tcPr>
            <w:tcW w:w="586" w:type="pct"/>
            <w:noWrap w:val="0"/>
            <w:vAlign w:val="center"/>
          </w:tcPr>
          <w:p w14:paraId="1775D3EC">
            <w:pPr>
              <w:pStyle w:val="59"/>
              <w:bidi w:val="0"/>
              <w:rPr>
                <w:rFonts w:hint="eastAsia"/>
                <w:lang w:val="en-US" w:eastAsia="zh-CN"/>
              </w:rPr>
            </w:pPr>
            <w:r>
              <w:rPr>
                <w:rFonts w:hint="eastAsia"/>
                <w:lang w:val="en-US" w:eastAsia="zh-CN"/>
              </w:rPr>
              <w:t>废油墨</w:t>
            </w:r>
          </w:p>
        </w:tc>
        <w:tc>
          <w:tcPr>
            <w:tcW w:w="703" w:type="pct"/>
            <w:noWrap w:val="0"/>
            <w:vAlign w:val="center"/>
          </w:tcPr>
          <w:p w14:paraId="0E345B62">
            <w:pPr>
              <w:pStyle w:val="59"/>
              <w:bidi w:val="0"/>
              <w:rPr>
                <w:rFonts w:hint="eastAsia"/>
                <w:lang w:val="en-US" w:eastAsia="zh-CN"/>
              </w:rPr>
            </w:pPr>
          </w:p>
        </w:tc>
        <w:tc>
          <w:tcPr>
            <w:tcW w:w="527" w:type="pct"/>
            <w:noWrap w:val="0"/>
            <w:vAlign w:val="center"/>
          </w:tcPr>
          <w:p w14:paraId="0A53882E">
            <w:pPr>
              <w:pStyle w:val="59"/>
              <w:bidi w:val="0"/>
              <w:rPr>
                <w:rFonts w:hint="eastAsia"/>
                <w:lang w:val="en-US" w:eastAsia="zh-CN"/>
              </w:rPr>
            </w:pPr>
          </w:p>
        </w:tc>
        <w:tc>
          <w:tcPr>
            <w:tcW w:w="644" w:type="pct"/>
            <w:noWrap w:val="0"/>
            <w:vAlign w:val="center"/>
          </w:tcPr>
          <w:p w14:paraId="2DEE827F">
            <w:pPr>
              <w:pStyle w:val="59"/>
              <w:bidi w:val="0"/>
              <w:rPr>
                <w:rFonts w:hint="default"/>
                <w:lang w:val="en-US" w:eastAsia="zh-CN"/>
              </w:rPr>
            </w:pPr>
            <w:r>
              <w:rPr>
                <w:rFonts w:hint="default"/>
                <w:lang w:val="en-US" w:eastAsia="zh-CN"/>
              </w:rPr>
              <w:t xml:space="preserve">0.449 </w:t>
            </w:r>
          </w:p>
        </w:tc>
        <w:tc>
          <w:tcPr>
            <w:tcW w:w="614" w:type="pct"/>
            <w:noWrap w:val="0"/>
            <w:vAlign w:val="center"/>
          </w:tcPr>
          <w:p w14:paraId="701A2F05">
            <w:pPr>
              <w:pStyle w:val="59"/>
              <w:bidi w:val="0"/>
              <w:rPr>
                <w:rFonts w:hint="eastAsia"/>
                <w:lang w:val="en-US" w:eastAsia="zh-CN"/>
              </w:rPr>
            </w:pPr>
            <w:r>
              <w:rPr>
                <w:rFonts w:hint="default"/>
                <w:lang w:val="en-US" w:eastAsia="zh-CN"/>
              </w:rPr>
              <w:t>0</w:t>
            </w:r>
          </w:p>
        </w:tc>
        <w:tc>
          <w:tcPr>
            <w:tcW w:w="750" w:type="pct"/>
            <w:noWrap w:val="0"/>
            <w:vAlign w:val="center"/>
          </w:tcPr>
          <w:p w14:paraId="39E4BAB3">
            <w:pPr>
              <w:pStyle w:val="59"/>
              <w:bidi w:val="0"/>
              <w:rPr>
                <w:rFonts w:hint="eastAsia"/>
                <w:lang w:val="en-US" w:eastAsia="zh-CN"/>
              </w:rPr>
            </w:pPr>
            <w:r>
              <w:rPr>
                <w:rFonts w:hint="default"/>
                <w:lang w:val="en-US" w:eastAsia="zh-CN"/>
              </w:rPr>
              <w:t xml:space="preserve">0.449 </w:t>
            </w:r>
          </w:p>
        </w:tc>
        <w:tc>
          <w:tcPr>
            <w:tcW w:w="515" w:type="pct"/>
            <w:noWrap w:val="0"/>
            <w:vAlign w:val="center"/>
          </w:tcPr>
          <w:p w14:paraId="42B7B7E1">
            <w:pPr>
              <w:pStyle w:val="59"/>
              <w:bidi w:val="0"/>
              <w:rPr>
                <w:rFonts w:hint="eastAsia"/>
                <w:lang w:val="en-US" w:eastAsia="zh-CN"/>
              </w:rPr>
            </w:pPr>
            <w:r>
              <w:rPr>
                <w:rFonts w:hint="default"/>
                <w:lang w:val="en-US" w:eastAsia="zh-CN"/>
              </w:rPr>
              <w:t xml:space="preserve">0.449 </w:t>
            </w:r>
          </w:p>
        </w:tc>
      </w:tr>
      <w:tr w14:paraId="706A80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687847C7">
            <w:pPr>
              <w:pStyle w:val="59"/>
              <w:bidi w:val="0"/>
              <w:rPr>
                <w:rFonts w:hint="eastAsia"/>
              </w:rPr>
            </w:pPr>
          </w:p>
        </w:tc>
        <w:tc>
          <w:tcPr>
            <w:tcW w:w="586" w:type="pct"/>
            <w:noWrap w:val="0"/>
            <w:vAlign w:val="center"/>
          </w:tcPr>
          <w:p w14:paraId="76255350">
            <w:pPr>
              <w:pStyle w:val="59"/>
              <w:bidi w:val="0"/>
              <w:rPr>
                <w:rFonts w:hint="eastAsia"/>
                <w:lang w:val="en-US" w:eastAsia="zh-CN"/>
              </w:rPr>
            </w:pPr>
            <w:r>
              <w:rPr>
                <w:rFonts w:hint="eastAsia"/>
                <w:lang w:val="en-US" w:eastAsia="zh-CN"/>
              </w:rPr>
              <w:t>废矿物油及其包装罐</w:t>
            </w:r>
          </w:p>
        </w:tc>
        <w:tc>
          <w:tcPr>
            <w:tcW w:w="703" w:type="pct"/>
            <w:noWrap w:val="0"/>
            <w:vAlign w:val="center"/>
          </w:tcPr>
          <w:p w14:paraId="18174CD4">
            <w:pPr>
              <w:pStyle w:val="59"/>
              <w:bidi w:val="0"/>
              <w:rPr>
                <w:rFonts w:hint="eastAsia"/>
                <w:lang w:val="en-US" w:eastAsia="zh-CN"/>
              </w:rPr>
            </w:pPr>
          </w:p>
        </w:tc>
        <w:tc>
          <w:tcPr>
            <w:tcW w:w="527" w:type="pct"/>
            <w:noWrap w:val="0"/>
            <w:vAlign w:val="center"/>
          </w:tcPr>
          <w:p w14:paraId="157EED01">
            <w:pPr>
              <w:pStyle w:val="59"/>
              <w:bidi w:val="0"/>
              <w:rPr>
                <w:rFonts w:hint="eastAsia"/>
                <w:lang w:val="en-US" w:eastAsia="zh-CN"/>
              </w:rPr>
            </w:pPr>
          </w:p>
        </w:tc>
        <w:tc>
          <w:tcPr>
            <w:tcW w:w="644" w:type="pct"/>
            <w:noWrap w:val="0"/>
            <w:vAlign w:val="center"/>
          </w:tcPr>
          <w:p w14:paraId="1A1D47CD">
            <w:pPr>
              <w:pStyle w:val="59"/>
              <w:bidi w:val="0"/>
              <w:rPr>
                <w:rFonts w:hint="default"/>
                <w:lang w:val="en-US" w:eastAsia="zh-CN"/>
              </w:rPr>
            </w:pPr>
            <w:r>
              <w:rPr>
                <w:rFonts w:hint="default"/>
                <w:lang w:val="en-US" w:eastAsia="zh-CN"/>
              </w:rPr>
              <w:t xml:space="preserve">0.236 </w:t>
            </w:r>
          </w:p>
        </w:tc>
        <w:tc>
          <w:tcPr>
            <w:tcW w:w="614" w:type="pct"/>
            <w:noWrap w:val="0"/>
            <w:vAlign w:val="center"/>
          </w:tcPr>
          <w:p w14:paraId="0358B18D">
            <w:pPr>
              <w:pStyle w:val="59"/>
              <w:bidi w:val="0"/>
              <w:rPr>
                <w:rFonts w:hint="default"/>
                <w:lang w:val="en-US" w:eastAsia="zh-CN"/>
              </w:rPr>
            </w:pPr>
            <w:r>
              <w:rPr>
                <w:rFonts w:hint="default"/>
                <w:lang w:val="en-US" w:eastAsia="zh-CN"/>
              </w:rPr>
              <w:t>0</w:t>
            </w:r>
          </w:p>
        </w:tc>
        <w:tc>
          <w:tcPr>
            <w:tcW w:w="750" w:type="pct"/>
            <w:noWrap w:val="0"/>
            <w:vAlign w:val="center"/>
          </w:tcPr>
          <w:p w14:paraId="717153AE">
            <w:pPr>
              <w:pStyle w:val="59"/>
              <w:bidi w:val="0"/>
              <w:rPr>
                <w:rFonts w:hint="default"/>
                <w:lang w:val="en-US" w:eastAsia="zh-CN"/>
              </w:rPr>
            </w:pPr>
            <w:r>
              <w:rPr>
                <w:rFonts w:hint="default"/>
                <w:lang w:val="en-US" w:eastAsia="zh-CN"/>
              </w:rPr>
              <w:t xml:space="preserve">0.236 </w:t>
            </w:r>
          </w:p>
        </w:tc>
        <w:tc>
          <w:tcPr>
            <w:tcW w:w="515" w:type="pct"/>
            <w:noWrap w:val="0"/>
            <w:vAlign w:val="center"/>
          </w:tcPr>
          <w:p w14:paraId="5263000B">
            <w:pPr>
              <w:pStyle w:val="59"/>
              <w:bidi w:val="0"/>
              <w:rPr>
                <w:rFonts w:hint="default"/>
                <w:lang w:val="en-US" w:eastAsia="zh-CN"/>
              </w:rPr>
            </w:pPr>
            <w:r>
              <w:rPr>
                <w:rFonts w:hint="default"/>
                <w:lang w:val="en-US" w:eastAsia="zh-CN"/>
              </w:rPr>
              <w:t xml:space="preserve">0.236 </w:t>
            </w:r>
          </w:p>
        </w:tc>
      </w:tr>
      <w:tr w14:paraId="2A3D3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751B2B2B">
            <w:pPr>
              <w:pStyle w:val="59"/>
              <w:bidi w:val="0"/>
              <w:rPr>
                <w:rFonts w:hint="eastAsia"/>
              </w:rPr>
            </w:pPr>
          </w:p>
        </w:tc>
        <w:tc>
          <w:tcPr>
            <w:tcW w:w="586" w:type="pct"/>
            <w:noWrap w:val="0"/>
            <w:vAlign w:val="center"/>
          </w:tcPr>
          <w:p w14:paraId="3044ABF6">
            <w:pPr>
              <w:pStyle w:val="59"/>
              <w:bidi w:val="0"/>
              <w:rPr>
                <w:rFonts w:hint="eastAsia"/>
                <w:lang w:val="en-US" w:eastAsia="zh-CN"/>
              </w:rPr>
            </w:pPr>
            <w:r>
              <w:rPr>
                <w:rFonts w:hint="eastAsia"/>
                <w:lang w:val="en-US" w:eastAsia="zh-CN"/>
              </w:rPr>
              <w:t>废擦机布和手套</w:t>
            </w:r>
          </w:p>
        </w:tc>
        <w:tc>
          <w:tcPr>
            <w:tcW w:w="703" w:type="pct"/>
            <w:noWrap w:val="0"/>
            <w:vAlign w:val="center"/>
          </w:tcPr>
          <w:p w14:paraId="6AE277A1">
            <w:pPr>
              <w:pStyle w:val="59"/>
              <w:bidi w:val="0"/>
              <w:rPr>
                <w:rFonts w:hint="eastAsia"/>
                <w:lang w:val="en-US" w:eastAsia="zh-CN"/>
              </w:rPr>
            </w:pPr>
          </w:p>
        </w:tc>
        <w:tc>
          <w:tcPr>
            <w:tcW w:w="527" w:type="pct"/>
            <w:noWrap w:val="0"/>
            <w:vAlign w:val="center"/>
          </w:tcPr>
          <w:p w14:paraId="67931C46">
            <w:pPr>
              <w:pStyle w:val="59"/>
              <w:bidi w:val="0"/>
              <w:rPr>
                <w:rFonts w:hint="eastAsia"/>
                <w:lang w:val="en-US" w:eastAsia="zh-CN"/>
              </w:rPr>
            </w:pPr>
          </w:p>
        </w:tc>
        <w:tc>
          <w:tcPr>
            <w:tcW w:w="644" w:type="pct"/>
            <w:noWrap w:val="0"/>
            <w:vAlign w:val="center"/>
          </w:tcPr>
          <w:p w14:paraId="76CFF755">
            <w:pPr>
              <w:pStyle w:val="59"/>
              <w:bidi w:val="0"/>
              <w:rPr>
                <w:rFonts w:hint="default"/>
                <w:lang w:val="en-US" w:eastAsia="zh-CN"/>
              </w:rPr>
            </w:pPr>
            <w:r>
              <w:rPr>
                <w:rFonts w:hint="default"/>
                <w:lang w:val="en-US" w:eastAsia="zh-CN"/>
              </w:rPr>
              <w:t xml:space="preserve">6.020 </w:t>
            </w:r>
          </w:p>
        </w:tc>
        <w:tc>
          <w:tcPr>
            <w:tcW w:w="614" w:type="pct"/>
            <w:noWrap w:val="0"/>
            <w:vAlign w:val="center"/>
          </w:tcPr>
          <w:p w14:paraId="0D0283A7">
            <w:pPr>
              <w:pStyle w:val="59"/>
              <w:bidi w:val="0"/>
              <w:rPr>
                <w:rFonts w:hint="default"/>
                <w:lang w:val="en-US" w:eastAsia="zh-CN"/>
              </w:rPr>
            </w:pPr>
            <w:r>
              <w:rPr>
                <w:rFonts w:hint="default"/>
                <w:lang w:val="en-US" w:eastAsia="zh-CN"/>
              </w:rPr>
              <w:t>0</w:t>
            </w:r>
          </w:p>
        </w:tc>
        <w:tc>
          <w:tcPr>
            <w:tcW w:w="750" w:type="pct"/>
            <w:noWrap w:val="0"/>
            <w:vAlign w:val="center"/>
          </w:tcPr>
          <w:p w14:paraId="523B5438">
            <w:pPr>
              <w:pStyle w:val="59"/>
              <w:bidi w:val="0"/>
              <w:rPr>
                <w:rFonts w:hint="default"/>
                <w:lang w:val="en-US" w:eastAsia="zh-CN"/>
              </w:rPr>
            </w:pPr>
            <w:r>
              <w:rPr>
                <w:rFonts w:hint="default"/>
                <w:lang w:val="en-US" w:eastAsia="zh-CN"/>
              </w:rPr>
              <w:t xml:space="preserve">6.020 </w:t>
            </w:r>
          </w:p>
        </w:tc>
        <w:tc>
          <w:tcPr>
            <w:tcW w:w="515" w:type="pct"/>
            <w:noWrap w:val="0"/>
            <w:vAlign w:val="center"/>
          </w:tcPr>
          <w:p w14:paraId="066D0171">
            <w:pPr>
              <w:pStyle w:val="59"/>
              <w:bidi w:val="0"/>
              <w:rPr>
                <w:rFonts w:hint="default"/>
                <w:lang w:val="en-US" w:eastAsia="zh-CN"/>
              </w:rPr>
            </w:pPr>
            <w:r>
              <w:rPr>
                <w:rFonts w:hint="default"/>
                <w:lang w:val="en-US" w:eastAsia="zh-CN"/>
              </w:rPr>
              <w:t xml:space="preserve">6.020 </w:t>
            </w:r>
          </w:p>
        </w:tc>
      </w:tr>
      <w:tr w14:paraId="3EEFE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1EC82F1A">
            <w:pPr>
              <w:pStyle w:val="59"/>
              <w:bidi w:val="0"/>
              <w:rPr>
                <w:rFonts w:hint="eastAsia"/>
              </w:rPr>
            </w:pPr>
          </w:p>
        </w:tc>
        <w:tc>
          <w:tcPr>
            <w:tcW w:w="586" w:type="pct"/>
            <w:noWrap w:val="0"/>
            <w:vAlign w:val="center"/>
          </w:tcPr>
          <w:p w14:paraId="6FE67FC3">
            <w:pPr>
              <w:pStyle w:val="59"/>
              <w:bidi w:val="0"/>
              <w:rPr>
                <w:rFonts w:hint="eastAsia"/>
                <w:lang w:val="en-US" w:eastAsia="zh-CN"/>
              </w:rPr>
            </w:pPr>
            <w:r>
              <w:rPr>
                <w:rFonts w:hint="eastAsia"/>
                <w:lang w:val="en-US" w:eastAsia="zh-CN"/>
              </w:rPr>
              <w:t>废过滤袋</w:t>
            </w:r>
          </w:p>
        </w:tc>
        <w:tc>
          <w:tcPr>
            <w:tcW w:w="703" w:type="pct"/>
            <w:noWrap w:val="0"/>
            <w:vAlign w:val="center"/>
          </w:tcPr>
          <w:p w14:paraId="53008CBF">
            <w:pPr>
              <w:pStyle w:val="59"/>
              <w:bidi w:val="0"/>
              <w:rPr>
                <w:rFonts w:hint="eastAsia"/>
                <w:lang w:val="en-US" w:eastAsia="zh-CN"/>
              </w:rPr>
            </w:pPr>
          </w:p>
        </w:tc>
        <w:tc>
          <w:tcPr>
            <w:tcW w:w="527" w:type="pct"/>
            <w:noWrap w:val="0"/>
            <w:vAlign w:val="center"/>
          </w:tcPr>
          <w:p w14:paraId="2A1D32FF">
            <w:pPr>
              <w:pStyle w:val="59"/>
              <w:bidi w:val="0"/>
              <w:rPr>
                <w:rFonts w:hint="eastAsia"/>
                <w:lang w:val="en-US" w:eastAsia="zh-CN"/>
              </w:rPr>
            </w:pPr>
          </w:p>
        </w:tc>
        <w:tc>
          <w:tcPr>
            <w:tcW w:w="644" w:type="pct"/>
            <w:noWrap w:val="0"/>
            <w:vAlign w:val="center"/>
          </w:tcPr>
          <w:p w14:paraId="44A41A8B">
            <w:pPr>
              <w:pStyle w:val="59"/>
              <w:bidi w:val="0"/>
              <w:rPr>
                <w:rFonts w:hint="default"/>
                <w:lang w:val="en-US" w:eastAsia="zh-CN"/>
              </w:rPr>
            </w:pPr>
            <w:r>
              <w:rPr>
                <w:rFonts w:hint="default"/>
                <w:lang w:val="en-US" w:eastAsia="zh-CN"/>
              </w:rPr>
              <w:t xml:space="preserve">0.240 </w:t>
            </w:r>
          </w:p>
        </w:tc>
        <w:tc>
          <w:tcPr>
            <w:tcW w:w="614" w:type="pct"/>
            <w:noWrap w:val="0"/>
            <w:vAlign w:val="center"/>
          </w:tcPr>
          <w:p w14:paraId="7FE0CB02">
            <w:pPr>
              <w:pStyle w:val="59"/>
              <w:bidi w:val="0"/>
              <w:rPr>
                <w:rFonts w:hint="default"/>
                <w:lang w:val="en-US" w:eastAsia="zh-CN"/>
              </w:rPr>
            </w:pPr>
            <w:r>
              <w:rPr>
                <w:rFonts w:hint="default"/>
                <w:lang w:val="en-US" w:eastAsia="zh-CN"/>
              </w:rPr>
              <w:t>0</w:t>
            </w:r>
          </w:p>
        </w:tc>
        <w:tc>
          <w:tcPr>
            <w:tcW w:w="750" w:type="pct"/>
            <w:noWrap w:val="0"/>
            <w:vAlign w:val="center"/>
          </w:tcPr>
          <w:p w14:paraId="3C58FAA7">
            <w:pPr>
              <w:pStyle w:val="59"/>
              <w:bidi w:val="0"/>
              <w:rPr>
                <w:rFonts w:hint="default"/>
                <w:lang w:val="en-US" w:eastAsia="zh-CN"/>
              </w:rPr>
            </w:pPr>
            <w:r>
              <w:rPr>
                <w:rFonts w:hint="default"/>
                <w:lang w:val="en-US" w:eastAsia="zh-CN"/>
              </w:rPr>
              <w:t xml:space="preserve">0.240 </w:t>
            </w:r>
          </w:p>
        </w:tc>
        <w:tc>
          <w:tcPr>
            <w:tcW w:w="515" w:type="pct"/>
            <w:noWrap w:val="0"/>
            <w:vAlign w:val="center"/>
          </w:tcPr>
          <w:p w14:paraId="4CE5AF3E">
            <w:pPr>
              <w:pStyle w:val="59"/>
              <w:bidi w:val="0"/>
              <w:rPr>
                <w:rFonts w:hint="default"/>
                <w:lang w:val="en-US" w:eastAsia="zh-CN"/>
              </w:rPr>
            </w:pPr>
            <w:r>
              <w:rPr>
                <w:rFonts w:hint="default"/>
                <w:lang w:val="en-US" w:eastAsia="zh-CN"/>
              </w:rPr>
              <w:t xml:space="preserve">0.240 </w:t>
            </w:r>
          </w:p>
        </w:tc>
      </w:tr>
      <w:tr w14:paraId="1432D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3A15E6F6">
            <w:pPr>
              <w:pStyle w:val="59"/>
              <w:bidi w:val="0"/>
              <w:rPr>
                <w:rFonts w:hint="eastAsia"/>
              </w:rPr>
            </w:pPr>
          </w:p>
        </w:tc>
        <w:tc>
          <w:tcPr>
            <w:tcW w:w="586" w:type="pct"/>
            <w:noWrap w:val="0"/>
            <w:vAlign w:val="center"/>
          </w:tcPr>
          <w:p w14:paraId="412D53F2">
            <w:pPr>
              <w:pStyle w:val="59"/>
              <w:bidi w:val="0"/>
              <w:rPr>
                <w:rFonts w:hint="eastAsia"/>
                <w:lang w:val="en-US" w:eastAsia="zh-CN"/>
              </w:rPr>
            </w:pPr>
            <w:r>
              <w:rPr>
                <w:rFonts w:hint="eastAsia"/>
                <w:lang w:val="en-US" w:eastAsia="zh-CN"/>
              </w:rPr>
              <w:t>废分子筛</w:t>
            </w:r>
          </w:p>
        </w:tc>
        <w:tc>
          <w:tcPr>
            <w:tcW w:w="703" w:type="pct"/>
            <w:noWrap w:val="0"/>
            <w:vAlign w:val="center"/>
          </w:tcPr>
          <w:p w14:paraId="3A39D676">
            <w:pPr>
              <w:pStyle w:val="59"/>
              <w:bidi w:val="0"/>
              <w:rPr>
                <w:rFonts w:hint="eastAsia"/>
                <w:lang w:val="en-US" w:eastAsia="zh-CN"/>
              </w:rPr>
            </w:pPr>
          </w:p>
        </w:tc>
        <w:tc>
          <w:tcPr>
            <w:tcW w:w="527" w:type="pct"/>
            <w:noWrap w:val="0"/>
            <w:vAlign w:val="center"/>
          </w:tcPr>
          <w:p w14:paraId="05015F37">
            <w:pPr>
              <w:pStyle w:val="59"/>
              <w:bidi w:val="0"/>
              <w:rPr>
                <w:rFonts w:hint="eastAsia"/>
                <w:lang w:val="en-US" w:eastAsia="zh-CN"/>
              </w:rPr>
            </w:pPr>
          </w:p>
        </w:tc>
        <w:tc>
          <w:tcPr>
            <w:tcW w:w="644" w:type="pct"/>
            <w:noWrap w:val="0"/>
            <w:vAlign w:val="center"/>
          </w:tcPr>
          <w:p w14:paraId="44F6CD8A">
            <w:pPr>
              <w:pStyle w:val="59"/>
              <w:bidi w:val="0"/>
              <w:rPr>
                <w:rFonts w:hint="default"/>
                <w:lang w:val="en-US" w:eastAsia="zh-CN"/>
              </w:rPr>
            </w:pPr>
            <w:r>
              <w:rPr>
                <w:rFonts w:hint="default"/>
                <w:lang w:val="en-US" w:eastAsia="zh-CN"/>
              </w:rPr>
              <w:t>5.6t/3a</w:t>
            </w:r>
          </w:p>
        </w:tc>
        <w:tc>
          <w:tcPr>
            <w:tcW w:w="614" w:type="pct"/>
            <w:noWrap w:val="0"/>
            <w:vAlign w:val="center"/>
          </w:tcPr>
          <w:p w14:paraId="18A271A9">
            <w:pPr>
              <w:pStyle w:val="59"/>
              <w:bidi w:val="0"/>
              <w:rPr>
                <w:rFonts w:hint="default"/>
                <w:lang w:val="en-US" w:eastAsia="zh-CN"/>
              </w:rPr>
            </w:pPr>
            <w:r>
              <w:rPr>
                <w:rFonts w:hint="default"/>
                <w:lang w:val="en-US" w:eastAsia="zh-CN"/>
              </w:rPr>
              <w:t>0</w:t>
            </w:r>
          </w:p>
        </w:tc>
        <w:tc>
          <w:tcPr>
            <w:tcW w:w="750" w:type="pct"/>
            <w:noWrap w:val="0"/>
            <w:vAlign w:val="center"/>
          </w:tcPr>
          <w:p w14:paraId="6029768F">
            <w:pPr>
              <w:pStyle w:val="59"/>
              <w:bidi w:val="0"/>
              <w:rPr>
                <w:rFonts w:hint="default"/>
                <w:lang w:val="en-US" w:eastAsia="zh-CN"/>
              </w:rPr>
            </w:pPr>
            <w:r>
              <w:rPr>
                <w:rFonts w:hint="default"/>
                <w:lang w:val="en-US" w:eastAsia="zh-CN"/>
              </w:rPr>
              <w:t>5.6t/3a</w:t>
            </w:r>
          </w:p>
        </w:tc>
        <w:tc>
          <w:tcPr>
            <w:tcW w:w="515" w:type="pct"/>
            <w:noWrap w:val="0"/>
            <w:vAlign w:val="center"/>
          </w:tcPr>
          <w:p w14:paraId="570FC5ED">
            <w:pPr>
              <w:pStyle w:val="59"/>
              <w:bidi w:val="0"/>
              <w:rPr>
                <w:rFonts w:hint="default"/>
                <w:lang w:val="en-US" w:eastAsia="zh-CN"/>
              </w:rPr>
            </w:pPr>
            <w:r>
              <w:rPr>
                <w:rFonts w:hint="default"/>
                <w:lang w:val="en-US" w:eastAsia="zh-CN"/>
              </w:rPr>
              <w:t>5.6t/3a</w:t>
            </w:r>
          </w:p>
        </w:tc>
      </w:tr>
      <w:tr w14:paraId="0762B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pct"/>
            <w:vMerge w:val="continue"/>
            <w:noWrap w:val="0"/>
            <w:vAlign w:val="center"/>
          </w:tcPr>
          <w:p w14:paraId="2A632F22">
            <w:pPr>
              <w:pStyle w:val="59"/>
              <w:bidi w:val="0"/>
              <w:rPr>
                <w:rFonts w:hint="eastAsia"/>
              </w:rPr>
            </w:pPr>
          </w:p>
        </w:tc>
        <w:tc>
          <w:tcPr>
            <w:tcW w:w="586" w:type="pct"/>
            <w:noWrap w:val="0"/>
            <w:vAlign w:val="center"/>
          </w:tcPr>
          <w:p w14:paraId="6C2FE1B4">
            <w:pPr>
              <w:pStyle w:val="59"/>
              <w:bidi w:val="0"/>
              <w:rPr>
                <w:rFonts w:hint="eastAsia"/>
                <w:lang w:val="en-US" w:eastAsia="zh-CN"/>
              </w:rPr>
            </w:pPr>
            <w:r>
              <w:rPr>
                <w:rFonts w:hint="eastAsia"/>
                <w:lang w:val="en-US" w:eastAsia="zh-CN"/>
              </w:rPr>
              <w:t>废饱和活性炭</w:t>
            </w:r>
          </w:p>
        </w:tc>
        <w:tc>
          <w:tcPr>
            <w:tcW w:w="703" w:type="pct"/>
            <w:noWrap w:val="0"/>
            <w:vAlign w:val="center"/>
          </w:tcPr>
          <w:p w14:paraId="3FB0F603">
            <w:pPr>
              <w:pStyle w:val="59"/>
              <w:bidi w:val="0"/>
              <w:rPr>
                <w:rFonts w:hint="eastAsia"/>
                <w:lang w:val="en-US" w:eastAsia="zh-CN"/>
              </w:rPr>
            </w:pPr>
          </w:p>
        </w:tc>
        <w:tc>
          <w:tcPr>
            <w:tcW w:w="527" w:type="pct"/>
            <w:noWrap w:val="0"/>
            <w:vAlign w:val="center"/>
          </w:tcPr>
          <w:p w14:paraId="25024F29">
            <w:pPr>
              <w:pStyle w:val="59"/>
              <w:bidi w:val="0"/>
              <w:rPr>
                <w:rFonts w:hint="eastAsia"/>
                <w:lang w:val="en-US" w:eastAsia="zh-CN"/>
              </w:rPr>
            </w:pPr>
          </w:p>
        </w:tc>
        <w:tc>
          <w:tcPr>
            <w:tcW w:w="644" w:type="pct"/>
            <w:noWrap w:val="0"/>
            <w:vAlign w:val="center"/>
          </w:tcPr>
          <w:p w14:paraId="154C06AA">
            <w:pPr>
              <w:pStyle w:val="59"/>
              <w:bidi w:val="0"/>
              <w:rPr>
                <w:rFonts w:hint="default"/>
                <w:lang w:val="en-US" w:eastAsia="zh-CN"/>
              </w:rPr>
            </w:pPr>
            <w:r>
              <w:rPr>
                <w:rFonts w:hint="default"/>
                <w:lang w:val="en-US" w:eastAsia="zh-CN"/>
              </w:rPr>
              <w:t xml:space="preserve">7.045 </w:t>
            </w:r>
          </w:p>
        </w:tc>
        <w:tc>
          <w:tcPr>
            <w:tcW w:w="614" w:type="pct"/>
            <w:noWrap w:val="0"/>
            <w:vAlign w:val="center"/>
          </w:tcPr>
          <w:p w14:paraId="6062E992">
            <w:pPr>
              <w:pStyle w:val="59"/>
              <w:bidi w:val="0"/>
              <w:rPr>
                <w:rFonts w:hint="default"/>
                <w:lang w:val="en-US" w:eastAsia="zh-CN"/>
              </w:rPr>
            </w:pPr>
            <w:r>
              <w:rPr>
                <w:rFonts w:hint="default"/>
                <w:lang w:val="en-US" w:eastAsia="zh-CN"/>
              </w:rPr>
              <w:t>0</w:t>
            </w:r>
          </w:p>
        </w:tc>
        <w:tc>
          <w:tcPr>
            <w:tcW w:w="750" w:type="pct"/>
            <w:noWrap w:val="0"/>
            <w:vAlign w:val="center"/>
          </w:tcPr>
          <w:p w14:paraId="1E57D005">
            <w:pPr>
              <w:pStyle w:val="59"/>
              <w:bidi w:val="0"/>
              <w:rPr>
                <w:rFonts w:hint="default"/>
                <w:lang w:val="en-US" w:eastAsia="zh-CN"/>
              </w:rPr>
            </w:pPr>
            <w:r>
              <w:rPr>
                <w:rFonts w:hint="default"/>
                <w:lang w:val="en-US" w:eastAsia="zh-CN"/>
              </w:rPr>
              <w:t xml:space="preserve">7.045 </w:t>
            </w:r>
          </w:p>
        </w:tc>
        <w:tc>
          <w:tcPr>
            <w:tcW w:w="515" w:type="pct"/>
            <w:noWrap w:val="0"/>
            <w:vAlign w:val="center"/>
          </w:tcPr>
          <w:p w14:paraId="3F2199C6">
            <w:pPr>
              <w:pStyle w:val="59"/>
              <w:bidi w:val="0"/>
              <w:rPr>
                <w:rFonts w:hint="default"/>
                <w:lang w:val="en-US" w:eastAsia="zh-CN"/>
              </w:rPr>
            </w:pPr>
            <w:r>
              <w:rPr>
                <w:rFonts w:hint="default"/>
                <w:lang w:val="en-US" w:eastAsia="zh-CN"/>
              </w:rPr>
              <w:t xml:space="preserve">7.045 </w:t>
            </w:r>
          </w:p>
        </w:tc>
      </w:tr>
    </w:tbl>
    <w:p w14:paraId="0502EC4D">
      <w:pPr>
        <w:pStyle w:val="48"/>
        <w:rPr>
          <w:color w:val="auto"/>
        </w:rPr>
        <w:sectPr>
          <w:pgSz w:w="16838" w:h="11906" w:orient="landscape"/>
          <w:pgMar w:top="1417" w:right="1417" w:bottom="1417" w:left="1417" w:header="992" w:footer="992" w:gutter="0"/>
          <w:pgNumType w:fmt="decimal"/>
          <w:cols w:space="720" w:num="1"/>
          <w:docGrid w:type="lines" w:linePitch="336" w:charSpace="0"/>
        </w:sectPr>
      </w:pP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bookmarkEnd w:id="69"/>
    <w:bookmarkEnd w:id="70"/>
    <w:p w14:paraId="5F9F107B">
      <w:pPr>
        <w:pStyle w:val="67"/>
        <w:numPr>
          <w:ilvl w:val="1"/>
          <w:numId w:val="8"/>
        </w:numPr>
        <w:bidi w:val="0"/>
        <w:ind w:left="567" w:leftChars="0" w:hanging="567" w:firstLineChars="0"/>
        <w:rPr>
          <w:rFonts w:hint="eastAsia" w:ascii="Times New Roman" w:hAnsi="Times New Roman" w:eastAsia="宋体" w:cs="Times New Roman"/>
          <w:color w:val="auto"/>
        </w:rPr>
      </w:pPr>
      <w:bookmarkStart w:id="71" w:name="_Toc11326"/>
      <w:r>
        <w:rPr>
          <w:rFonts w:hint="eastAsia" w:ascii="Times New Roman" w:hAnsi="Times New Roman" w:eastAsia="宋体" w:cs="Times New Roman"/>
          <w:color w:val="auto"/>
        </w:rPr>
        <w:t>施工期污染源分析</w:t>
      </w:r>
      <w:bookmarkEnd w:id="68"/>
      <w:bookmarkEnd w:id="71"/>
    </w:p>
    <w:p w14:paraId="2E845AF8">
      <w:pPr>
        <w:bidi w:val="0"/>
        <w:rPr>
          <w:rFonts w:hint="eastAsia"/>
          <w:color w:val="auto"/>
          <w:lang w:val="en-US" w:eastAsia="zh-CN"/>
        </w:rPr>
      </w:pPr>
      <w:r>
        <w:rPr>
          <w:rFonts w:hint="eastAsia"/>
          <w:color w:val="auto"/>
          <w:lang w:val="en-US" w:eastAsia="zh-CN"/>
        </w:rPr>
        <w:t>本项目</w:t>
      </w:r>
      <w:r>
        <w:rPr>
          <w:rFonts w:hint="default"/>
          <w:color w:val="auto"/>
        </w:rPr>
        <w:t>不涉及土建工程，只涉及设备的安装和调试，故本次评价不</w:t>
      </w:r>
      <w:r>
        <w:rPr>
          <w:rFonts w:hint="eastAsia"/>
          <w:color w:val="auto"/>
          <w:lang w:val="en-US" w:eastAsia="zh-CN"/>
        </w:rPr>
        <w:t>进行</w:t>
      </w:r>
      <w:r>
        <w:rPr>
          <w:rFonts w:hint="default"/>
          <w:color w:val="auto"/>
        </w:rPr>
        <w:t>施工期的污染源强进行分析。</w:t>
      </w:r>
    </w:p>
    <w:p w14:paraId="5137C682">
      <w:pPr>
        <w:pStyle w:val="67"/>
        <w:numPr>
          <w:ilvl w:val="1"/>
          <w:numId w:val="8"/>
        </w:numPr>
        <w:bidi w:val="0"/>
        <w:ind w:left="567" w:leftChars="0" w:hanging="567" w:firstLineChars="0"/>
        <w:rPr>
          <w:rFonts w:hint="eastAsia" w:ascii="Times New Roman" w:hAnsi="Times New Roman" w:eastAsia="宋体" w:cs="Times New Roman"/>
          <w:color w:val="auto"/>
        </w:rPr>
      </w:pPr>
      <w:bookmarkStart w:id="72" w:name="_Toc10308"/>
      <w:r>
        <w:rPr>
          <w:rFonts w:hint="eastAsia" w:ascii="Times New Roman" w:hAnsi="Times New Roman" w:eastAsia="宋体" w:cs="Times New Roman"/>
          <w:color w:val="auto"/>
        </w:rPr>
        <w:t>总量控制</w:t>
      </w:r>
      <w:bookmarkEnd w:id="72"/>
    </w:p>
    <w:p w14:paraId="11BA3815">
      <w:pPr>
        <w:ind w:firstLine="482"/>
        <w:rPr>
          <w:b/>
          <w:bCs/>
          <w:color w:val="auto"/>
        </w:rPr>
      </w:pPr>
      <w:r>
        <w:rPr>
          <w:b/>
          <w:bCs/>
          <w:color w:val="auto"/>
        </w:rPr>
        <w:t>1</w:t>
      </w:r>
      <w:r>
        <w:rPr>
          <w:rFonts w:hint="eastAsia"/>
          <w:b/>
          <w:bCs/>
          <w:color w:val="auto"/>
        </w:rPr>
        <w:t>、水污染物排放总量控制指标</w:t>
      </w:r>
    </w:p>
    <w:p w14:paraId="09FE135D">
      <w:pPr>
        <w:ind w:firstLine="480"/>
        <w:rPr>
          <w:color w:val="auto"/>
        </w:rPr>
      </w:pPr>
      <w:r>
        <w:rPr>
          <w:rFonts w:hint="eastAsia"/>
          <w:color w:val="auto"/>
        </w:rPr>
        <w:t>生活污水经市政污水管网排至</w:t>
      </w:r>
      <w:r>
        <w:rPr>
          <w:rFonts w:hint="eastAsia"/>
          <w:color w:val="auto"/>
          <w:lang w:eastAsia="zh-CN"/>
        </w:rPr>
        <w:t>鹤山市第二污水处理厂</w:t>
      </w:r>
      <w:r>
        <w:rPr>
          <w:rFonts w:hint="eastAsia"/>
          <w:color w:val="auto"/>
        </w:rPr>
        <w:t>进一步处理</w:t>
      </w:r>
      <w:r>
        <w:rPr>
          <w:color w:val="auto"/>
        </w:rPr>
        <w:t>，污水厂尾水最终排入</w:t>
      </w:r>
      <w:r>
        <w:rPr>
          <w:rFonts w:hint="eastAsia"/>
          <w:color w:val="auto"/>
          <w:lang w:eastAsia="zh-CN"/>
        </w:rPr>
        <w:t>沙坪河，</w:t>
      </w:r>
      <w:r>
        <w:rPr>
          <w:rFonts w:hint="eastAsia"/>
          <w:color w:val="auto"/>
        </w:rPr>
        <w:t>项目水污染物总量控制指标计入</w:t>
      </w:r>
      <w:r>
        <w:rPr>
          <w:rFonts w:hint="eastAsia"/>
          <w:color w:val="auto"/>
          <w:lang w:eastAsia="zh-CN"/>
        </w:rPr>
        <w:t>鹤山市第二污水处理厂</w:t>
      </w:r>
      <w:r>
        <w:rPr>
          <w:rFonts w:hint="eastAsia"/>
          <w:color w:val="auto"/>
        </w:rPr>
        <w:t>的总量控制指标内，不需另外申请水污染物排放总量。</w:t>
      </w:r>
    </w:p>
    <w:p w14:paraId="19E97435">
      <w:pPr>
        <w:ind w:left="480" w:leftChars="200" w:firstLine="0" w:firstLineChars="0"/>
        <w:rPr>
          <w:b/>
          <w:bCs/>
          <w:color w:val="auto"/>
        </w:rPr>
      </w:pPr>
      <w:r>
        <w:rPr>
          <w:rFonts w:hint="eastAsia"/>
          <w:b/>
          <w:bCs/>
          <w:color w:val="auto"/>
        </w:rPr>
        <w:t>2、大气污染物排放总量控制指标</w:t>
      </w:r>
    </w:p>
    <w:p w14:paraId="0D22818B">
      <w:pPr>
        <w:pStyle w:val="62"/>
        <w:bidi w:val="0"/>
        <w:rPr>
          <w:rFonts w:hint="default"/>
          <w:color w:val="auto"/>
          <w:lang w:val="en-US" w:eastAsia="zh-CN"/>
        </w:rPr>
      </w:pPr>
      <w:r>
        <w:rPr>
          <w:rFonts w:hint="eastAsia"/>
          <w:color w:val="auto"/>
          <w:lang w:val="en-US" w:eastAsia="zh-CN"/>
        </w:rPr>
        <w:t>表2.10-1  全厂</w:t>
      </w:r>
      <w:r>
        <w:rPr>
          <w:rFonts w:hint="eastAsia"/>
          <w:color w:val="auto"/>
        </w:rPr>
        <w:t>大气污染物排放总量控制指标</w:t>
      </w:r>
      <w:r>
        <w:rPr>
          <w:color w:val="auto"/>
        </w:rPr>
        <w:t xml:space="preserve">  </w:t>
      </w:r>
      <w:r>
        <w:rPr>
          <w:rFonts w:hint="eastAsia"/>
          <w:color w:val="auto"/>
        </w:rPr>
        <w:t>单位：</w:t>
      </w:r>
      <w:r>
        <w:rPr>
          <w:rFonts w:hint="eastAsia"/>
          <w:color w:val="auto"/>
          <w:lang w:val="en-US" w:eastAsia="zh-CN"/>
        </w:rPr>
        <w:t>t/a</w:t>
      </w:r>
    </w:p>
    <w:tbl>
      <w:tblPr>
        <w:tblStyle w:val="3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20"/>
        <w:gridCol w:w="2320"/>
        <w:gridCol w:w="2321"/>
        <w:gridCol w:w="2323"/>
      </w:tblGrid>
      <w:tr w14:paraId="0BDF9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249" w:type="pct"/>
            <w:tcBorders>
              <w:top w:val="single" w:color="000000" w:sz="12" w:space="0"/>
              <w:left w:val="nil"/>
              <w:bottom w:val="single" w:color="auto" w:sz="4" w:space="0"/>
              <w:right w:val="single" w:color="auto" w:sz="4" w:space="0"/>
              <w:tl2br w:val="nil"/>
            </w:tcBorders>
            <w:shd w:val="clear" w:color="auto" w:fill="FFFFFF"/>
            <w:vAlign w:val="center"/>
          </w:tcPr>
          <w:p w14:paraId="06E62E96">
            <w:pPr>
              <w:pStyle w:val="59"/>
              <w:bidi w:val="0"/>
              <w:rPr>
                <w:rFonts w:hint="eastAsia"/>
              </w:rPr>
            </w:pPr>
            <w:r>
              <w:rPr>
                <w:rFonts w:hint="eastAsia"/>
                <w:lang w:val="en-US" w:eastAsia="zh-CN"/>
              </w:rPr>
              <w:t>污染物</w:t>
            </w:r>
          </w:p>
        </w:tc>
        <w:tc>
          <w:tcPr>
            <w:tcW w:w="1249" w:type="pct"/>
            <w:tcBorders>
              <w:top w:val="single" w:color="000000" w:sz="12" w:space="0"/>
              <w:left w:val="single" w:color="auto" w:sz="4" w:space="0"/>
              <w:bottom w:val="single" w:color="auto" w:sz="4" w:space="0"/>
              <w:right w:val="single" w:color="auto" w:sz="4" w:space="0"/>
            </w:tcBorders>
            <w:shd w:val="clear" w:color="auto" w:fill="FFFFFF"/>
            <w:vAlign w:val="center"/>
          </w:tcPr>
          <w:p w14:paraId="0DC757BC">
            <w:pPr>
              <w:pStyle w:val="59"/>
              <w:bidi w:val="0"/>
              <w:rPr>
                <w:rFonts w:hint="eastAsia"/>
              </w:rPr>
            </w:pPr>
            <w:r>
              <w:rPr>
                <w:rFonts w:hint="eastAsia"/>
                <w:lang w:val="en-US" w:eastAsia="zh-CN"/>
              </w:rPr>
              <w:t>有组织废气排放量（</w:t>
            </w:r>
            <w:r>
              <w:rPr>
                <w:rFonts w:hint="default"/>
                <w:lang w:val="en-US" w:eastAsia="zh-CN"/>
              </w:rPr>
              <w:t>t/a</w:t>
            </w:r>
            <w:r>
              <w:rPr>
                <w:rFonts w:hint="eastAsia"/>
                <w:lang w:val="en-US" w:eastAsia="zh-CN"/>
              </w:rPr>
              <w:t>）</w:t>
            </w:r>
          </w:p>
        </w:tc>
        <w:tc>
          <w:tcPr>
            <w:tcW w:w="1249" w:type="pct"/>
            <w:tcBorders>
              <w:top w:val="single" w:color="000000" w:sz="12" w:space="0"/>
              <w:left w:val="single" w:color="auto" w:sz="4" w:space="0"/>
              <w:bottom w:val="single" w:color="auto" w:sz="4" w:space="0"/>
              <w:right w:val="single" w:color="auto" w:sz="4" w:space="0"/>
            </w:tcBorders>
            <w:shd w:val="clear" w:color="auto" w:fill="FFFFFF"/>
            <w:vAlign w:val="center"/>
          </w:tcPr>
          <w:p w14:paraId="2B0DF05D">
            <w:pPr>
              <w:pStyle w:val="59"/>
              <w:bidi w:val="0"/>
              <w:rPr>
                <w:rFonts w:hint="eastAsia"/>
              </w:rPr>
            </w:pPr>
            <w:r>
              <w:rPr>
                <w:rFonts w:hint="eastAsia"/>
                <w:lang w:val="en-US" w:eastAsia="zh-CN"/>
              </w:rPr>
              <w:t>无组织废气排放量（</w:t>
            </w:r>
            <w:r>
              <w:rPr>
                <w:rFonts w:hint="default"/>
                <w:lang w:val="en-US" w:eastAsia="zh-CN"/>
              </w:rPr>
              <w:t>t/a</w:t>
            </w:r>
            <w:r>
              <w:rPr>
                <w:rFonts w:hint="eastAsia"/>
                <w:lang w:val="en-US" w:eastAsia="zh-CN"/>
              </w:rPr>
              <w:t>）</w:t>
            </w:r>
          </w:p>
        </w:tc>
        <w:tc>
          <w:tcPr>
            <w:tcW w:w="1250" w:type="pct"/>
            <w:tcBorders>
              <w:top w:val="single" w:color="000000" w:sz="12" w:space="0"/>
              <w:left w:val="single" w:color="auto" w:sz="4" w:space="0"/>
              <w:bottom w:val="single" w:color="auto" w:sz="4" w:space="0"/>
              <w:right w:val="nil"/>
            </w:tcBorders>
            <w:shd w:val="clear" w:color="auto" w:fill="FFFFFF"/>
            <w:vAlign w:val="center"/>
          </w:tcPr>
          <w:p w14:paraId="0ADF1361">
            <w:pPr>
              <w:pStyle w:val="59"/>
              <w:bidi w:val="0"/>
              <w:rPr>
                <w:rFonts w:hint="eastAsia"/>
              </w:rPr>
            </w:pPr>
            <w:r>
              <w:rPr>
                <w:rFonts w:hint="eastAsia"/>
                <w:lang w:val="en-US" w:eastAsia="zh-CN"/>
              </w:rPr>
              <w:t>合计排放量（</w:t>
            </w:r>
            <w:r>
              <w:rPr>
                <w:rFonts w:hint="default"/>
                <w:lang w:val="en-US" w:eastAsia="zh-CN"/>
              </w:rPr>
              <w:t>t/a</w:t>
            </w:r>
            <w:r>
              <w:rPr>
                <w:rFonts w:hint="eastAsia"/>
                <w:lang w:val="en-US" w:eastAsia="zh-CN"/>
              </w:rPr>
              <w:t>）</w:t>
            </w:r>
          </w:p>
        </w:tc>
      </w:tr>
      <w:tr w14:paraId="37C5D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249" w:type="pct"/>
            <w:tcBorders>
              <w:top w:val="single" w:color="auto" w:sz="4" w:space="0"/>
              <w:left w:val="nil"/>
              <w:bottom w:val="single" w:color="auto" w:sz="4" w:space="0"/>
              <w:right w:val="single" w:color="auto" w:sz="4" w:space="0"/>
            </w:tcBorders>
            <w:shd w:val="clear" w:color="auto" w:fill="FFFFFF"/>
            <w:vAlign w:val="center"/>
          </w:tcPr>
          <w:p w14:paraId="6D76FE81">
            <w:pPr>
              <w:pStyle w:val="59"/>
              <w:bidi w:val="0"/>
              <w:rPr>
                <w:rFonts w:hint="eastAsia"/>
                <w:lang w:val="en-US" w:eastAsia="zh-CN"/>
              </w:rPr>
            </w:pPr>
            <w:r>
              <w:rPr>
                <w:rFonts w:hint="eastAsia"/>
                <w:lang w:val="en-US" w:eastAsia="zh-CN"/>
              </w:rPr>
              <w:t>总VOCs</w:t>
            </w:r>
          </w:p>
          <w:p w14:paraId="1E5D5CB7">
            <w:pPr>
              <w:pStyle w:val="59"/>
              <w:bidi w:val="0"/>
              <w:rPr>
                <w:rFonts w:hint="default"/>
                <w:lang w:val="en-US"/>
              </w:rPr>
            </w:pPr>
            <w:r>
              <w:rPr>
                <w:rFonts w:hint="eastAsia"/>
                <w:lang w:val="en-US" w:eastAsia="zh-CN"/>
              </w:rPr>
              <w:t>（NMHC1：1折算VOCs）</w:t>
            </w:r>
          </w:p>
        </w:tc>
        <w:tc>
          <w:tcPr>
            <w:tcW w:w="232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11077E">
            <w:pPr>
              <w:pStyle w:val="59"/>
              <w:bidi w:val="0"/>
              <w:rPr>
                <w:rFonts w:hint="eastAsia"/>
              </w:rPr>
            </w:pPr>
            <w:r>
              <w:rPr>
                <w:rFonts w:hint="eastAsia"/>
                <w:lang w:val="en-US" w:eastAsia="zh-CN"/>
              </w:rPr>
              <w:t xml:space="preserve">6.169 </w:t>
            </w:r>
          </w:p>
        </w:tc>
        <w:tc>
          <w:tcPr>
            <w:tcW w:w="232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DEFD9B">
            <w:pPr>
              <w:pStyle w:val="59"/>
              <w:bidi w:val="0"/>
              <w:rPr>
                <w:rFonts w:hint="eastAsia"/>
              </w:rPr>
            </w:pPr>
            <w:r>
              <w:rPr>
                <w:rFonts w:hint="eastAsia"/>
                <w:lang w:val="en-US" w:eastAsia="zh-CN"/>
              </w:rPr>
              <w:t xml:space="preserve">6.318 </w:t>
            </w:r>
          </w:p>
        </w:tc>
        <w:tc>
          <w:tcPr>
            <w:tcW w:w="2323" w:type="dxa"/>
            <w:tcBorders>
              <w:top w:val="single" w:color="auto" w:sz="4" w:space="0"/>
              <w:left w:val="single" w:color="auto" w:sz="4" w:space="0"/>
              <w:bottom w:val="single" w:color="auto" w:sz="4" w:space="0"/>
              <w:right w:val="nil"/>
            </w:tcBorders>
            <w:shd w:val="clear" w:color="auto" w:fill="FFFFFF"/>
            <w:noWrap/>
            <w:vAlign w:val="center"/>
          </w:tcPr>
          <w:p w14:paraId="36D063DC">
            <w:pPr>
              <w:pStyle w:val="59"/>
              <w:bidi w:val="0"/>
              <w:rPr>
                <w:rFonts w:hint="eastAsia"/>
              </w:rPr>
            </w:pPr>
            <w:r>
              <w:rPr>
                <w:rFonts w:hint="eastAsia"/>
                <w:lang w:val="en-US" w:eastAsia="zh-CN"/>
              </w:rPr>
              <w:t xml:space="preserve">12.488 </w:t>
            </w:r>
          </w:p>
        </w:tc>
      </w:tr>
      <w:tr w14:paraId="7446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249" w:type="pct"/>
            <w:tcBorders>
              <w:top w:val="single" w:color="auto" w:sz="4" w:space="0"/>
              <w:left w:val="nil"/>
              <w:bottom w:val="single" w:color="000000" w:sz="12" w:space="0"/>
              <w:right w:val="single" w:color="auto" w:sz="4" w:space="0"/>
            </w:tcBorders>
            <w:shd w:val="clear" w:color="auto" w:fill="FFFFFF"/>
            <w:noWrap/>
            <w:vAlign w:val="center"/>
          </w:tcPr>
          <w:p w14:paraId="6CD764CD">
            <w:pPr>
              <w:pStyle w:val="59"/>
              <w:bidi w:val="0"/>
              <w:rPr>
                <w:rFonts w:hint="eastAsia"/>
              </w:rPr>
            </w:pPr>
            <w:r>
              <w:rPr>
                <w:rFonts w:hint="eastAsia"/>
                <w:lang w:val="en-US" w:eastAsia="zh-CN"/>
              </w:rPr>
              <w:t>氮氧化物</w:t>
            </w:r>
          </w:p>
        </w:tc>
        <w:tc>
          <w:tcPr>
            <w:tcW w:w="2320" w:type="dxa"/>
            <w:tcBorders>
              <w:top w:val="single" w:color="auto" w:sz="4" w:space="0"/>
              <w:left w:val="single" w:color="auto" w:sz="4" w:space="0"/>
              <w:bottom w:val="single" w:color="000000" w:sz="12" w:space="0"/>
              <w:right w:val="single" w:color="auto" w:sz="4" w:space="0"/>
            </w:tcBorders>
            <w:shd w:val="clear" w:color="auto" w:fill="FFFFFF"/>
            <w:noWrap/>
            <w:vAlign w:val="center"/>
          </w:tcPr>
          <w:p w14:paraId="17AC3D45">
            <w:pPr>
              <w:pStyle w:val="59"/>
              <w:bidi w:val="0"/>
              <w:rPr>
                <w:rFonts w:hint="eastAsia"/>
              </w:rPr>
            </w:pPr>
            <w:r>
              <w:rPr>
                <w:rFonts w:hint="eastAsia"/>
                <w:lang w:val="en-US" w:eastAsia="zh-CN"/>
              </w:rPr>
              <w:t xml:space="preserve">0.206 </w:t>
            </w:r>
          </w:p>
        </w:tc>
        <w:tc>
          <w:tcPr>
            <w:tcW w:w="2321" w:type="dxa"/>
            <w:tcBorders>
              <w:top w:val="single" w:color="auto" w:sz="4" w:space="0"/>
              <w:left w:val="single" w:color="auto" w:sz="4" w:space="0"/>
              <w:bottom w:val="single" w:color="000000" w:sz="12" w:space="0"/>
              <w:right w:val="single" w:color="auto" w:sz="4" w:space="0"/>
            </w:tcBorders>
            <w:shd w:val="clear" w:color="auto" w:fill="FFFFFF"/>
            <w:noWrap/>
            <w:vAlign w:val="center"/>
          </w:tcPr>
          <w:p w14:paraId="79CDDB10">
            <w:pPr>
              <w:pStyle w:val="59"/>
              <w:bidi w:val="0"/>
              <w:rPr>
                <w:rFonts w:hint="eastAsia"/>
              </w:rPr>
            </w:pPr>
            <w:r>
              <w:rPr>
                <w:rFonts w:hint="eastAsia"/>
                <w:lang w:val="en-US" w:eastAsia="zh-CN"/>
              </w:rPr>
              <w:t>0</w:t>
            </w:r>
          </w:p>
        </w:tc>
        <w:tc>
          <w:tcPr>
            <w:tcW w:w="2323" w:type="dxa"/>
            <w:tcBorders>
              <w:top w:val="single" w:color="auto" w:sz="4" w:space="0"/>
              <w:left w:val="single" w:color="auto" w:sz="4" w:space="0"/>
              <w:bottom w:val="single" w:color="000000" w:sz="12" w:space="0"/>
              <w:right w:val="nil"/>
            </w:tcBorders>
            <w:shd w:val="clear" w:color="auto" w:fill="FFFFFF"/>
            <w:noWrap/>
            <w:vAlign w:val="center"/>
          </w:tcPr>
          <w:p w14:paraId="71239106">
            <w:pPr>
              <w:pStyle w:val="59"/>
              <w:bidi w:val="0"/>
              <w:rPr>
                <w:rFonts w:hint="eastAsia"/>
              </w:rPr>
            </w:pPr>
            <w:r>
              <w:rPr>
                <w:rFonts w:hint="eastAsia"/>
                <w:lang w:val="en-US" w:eastAsia="zh-CN"/>
              </w:rPr>
              <w:t xml:space="preserve">0.206 </w:t>
            </w:r>
          </w:p>
        </w:tc>
      </w:tr>
    </w:tbl>
    <w:p w14:paraId="7958DF44">
      <w:pPr>
        <w:bidi w:val="0"/>
        <w:sectPr>
          <w:pgSz w:w="11906" w:h="16838"/>
          <w:pgMar w:top="1417" w:right="1417" w:bottom="1417" w:left="1417" w:header="992" w:footer="992" w:gutter="0"/>
          <w:pgNumType w:fmt="decimal"/>
          <w:cols w:space="720" w:num="1"/>
          <w:docGrid w:type="lines" w:linePitch="312" w:charSpace="0"/>
        </w:sectPr>
      </w:pPr>
      <w:r>
        <w:rPr>
          <w:rFonts w:hint="eastAsia"/>
        </w:rPr>
        <w:t xml:space="preserve"> </w:t>
      </w:r>
    </w:p>
    <w:p w14:paraId="4760B66F">
      <w:pPr>
        <w:pStyle w:val="66"/>
        <w:numPr>
          <w:ilvl w:val="0"/>
          <w:numId w:val="8"/>
        </w:numPr>
        <w:ind w:left="425" w:leftChars="0" w:hanging="425" w:firstLineChars="0"/>
        <w:rPr>
          <w:color w:val="auto"/>
        </w:rPr>
      </w:pPr>
      <w:bookmarkStart w:id="73" w:name="_Toc32594"/>
      <w:r>
        <w:rPr>
          <w:rFonts w:hint="eastAsia"/>
          <w:color w:val="auto"/>
        </w:rPr>
        <w:t>环境现状调查与评价</w:t>
      </w:r>
      <w:bookmarkEnd w:id="73"/>
    </w:p>
    <w:p w14:paraId="74507E3C">
      <w:pPr>
        <w:pStyle w:val="67"/>
        <w:numPr>
          <w:ilvl w:val="1"/>
          <w:numId w:val="8"/>
        </w:numPr>
        <w:bidi w:val="0"/>
        <w:ind w:left="567" w:leftChars="0" w:hanging="567" w:firstLineChars="0"/>
        <w:rPr>
          <w:color w:val="auto"/>
        </w:rPr>
      </w:pPr>
      <w:bookmarkStart w:id="74" w:name="_Toc17075"/>
      <w:bookmarkStart w:id="75" w:name="_Toc27427"/>
      <w:r>
        <w:rPr>
          <w:color w:val="auto"/>
        </w:rPr>
        <w:t>自然环境现状调查与评价</w:t>
      </w:r>
      <w:bookmarkEnd w:id="74"/>
      <w:bookmarkEnd w:id="75"/>
    </w:p>
    <w:p w14:paraId="56B0859B">
      <w:pPr>
        <w:ind w:firstLine="480"/>
        <w:rPr>
          <w:color w:val="auto"/>
        </w:rPr>
      </w:pPr>
      <w:r>
        <w:rPr>
          <w:color w:val="auto"/>
        </w:rPr>
        <w:t>本项目位于</w:t>
      </w:r>
      <w:r>
        <w:rPr>
          <w:rFonts w:hint="eastAsia"/>
          <w:color w:val="auto"/>
          <w:lang w:eastAsia="zh-CN"/>
        </w:rPr>
        <w:t>鹤山市古劳镇三连工业区一区20号之一的一、二楼厂房</w:t>
      </w:r>
      <w:r>
        <w:rPr>
          <w:color w:val="auto"/>
        </w:rPr>
        <w:t>，鹤山市位于广东省的中南部，地跨东经112º28’- 113º2’，北纬22º28’- 22º051’。处西江下游右岸，珠江三角洲西南部。全县总面积为1108.3平方公里，东西最宽约58.7公里，南北相距约42.3公里。北邻高明，西北接新兴县，东南毗连新会县，西南接开平，东北与南海县隔西江相望。</w:t>
      </w:r>
    </w:p>
    <w:p w14:paraId="750EA362">
      <w:pPr>
        <w:pStyle w:val="64"/>
        <w:numPr>
          <w:ilvl w:val="2"/>
          <w:numId w:val="8"/>
        </w:numPr>
        <w:spacing w:before="166" w:after="166"/>
        <w:ind w:left="709" w:leftChars="0" w:hanging="709" w:firstLineChars="0"/>
        <w:rPr>
          <w:color w:val="auto"/>
        </w:rPr>
      </w:pPr>
      <w:bookmarkStart w:id="76" w:name="_Toc375572298"/>
      <w:bookmarkStart w:id="77" w:name="_Toc24610"/>
      <w:r>
        <w:rPr>
          <w:color w:val="auto"/>
        </w:rPr>
        <w:t>地形地貌</w:t>
      </w:r>
    </w:p>
    <w:p w14:paraId="40B0BDBB">
      <w:pPr>
        <w:autoSpaceDE w:val="0"/>
        <w:autoSpaceDN w:val="0"/>
        <w:ind w:firstLine="480"/>
        <w:contextualSpacing/>
        <w:rPr>
          <w:color w:val="auto"/>
          <w:szCs w:val="24"/>
        </w:rPr>
      </w:pPr>
      <w:r>
        <w:rPr>
          <w:color w:val="auto"/>
          <w:szCs w:val="24"/>
        </w:rPr>
        <w:t>鹤山地形东西宽，南北狭长，中部山峰绵亘，丘陵起伏，地势自西略向东倾斜东部低平，北最低。最低大埠围，海拔仅1米。丘陵主要分布在市境东北、中南部，面积达1003平方公里，占全市总面积的90.5%。海拔500米以上山地23.3平方公里，占全市总面积2.1%，其中皂幕山主峰亚婆髻海拔807.5米，为全市最高山峰。冲积平原面积为82平方公里，占全市总面积的7.42%，主要分布在古劳、沙坪。</w:t>
      </w:r>
    </w:p>
    <w:p w14:paraId="209E81AE">
      <w:pPr>
        <w:pStyle w:val="64"/>
        <w:numPr>
          <w:ilvl w:val="2"/>
          <w:numId w:val="8"/>
        </w:numPr>
        <w:spacing w:before="166" w:after="166"/>
        <w:ind w:left="709" w:leftChars="0" w:hanging="709" w:firstLineChars="0"/>
        <w:rPr>
          <w:color w:val="auto"/>
        </w:rPr>
      </w:pPr>
      <w:r>
        <w:rPr>
          <w:color w:val="auto"/>
        </w:rPr>
        <w:t>气候与气象</w:t>
      </w:r>
    </w:p>
    <w:p w14:paraId="187CA577">
      <w:pPr>
        <w:autoSpaceDE w:val="0"/>
        <w:autoSpaceDN w:val="0"/>
        <w:ind w:firstLine="480"/>
        <w:contextualSpacing/>
        <w:rPr>
          <w:color w:val="auto"/>
          <w:szCs w:val="24"/>
        </w:rPr>
      </w:pPr>
      <w:r>
        <w:rPr>
          <w:color w:val="auto"/>
          <w:szCs w:val="24"/>
        </w:rPr>
        <w:t>鹤山市位于北回归线以南，气候温和，雨量充沛，冬天可见霜，不见雪，属南亚热带气候，靠近南海，受海洋影响大，有显著的海洋性季风气候特征，春季多雨，潮湿；夏季炎热、时有暴雨；秋季晴多云，气候干爽；冬季较暖、光线充足。据近20年的气象气候统计资料：年平均气温22.7℃，最高温度39.6℃，最低温度为2.6℃，寒冷时间短暂。光照充足、雨量充沛，年均降雨量1797mm；年平均风速2.04m/s，常年主导风向北风，次主导风向南风。</w:t>
      </w:r>
    </w:p>
    <w:p w14:paraId="13EB7F04">
      <w:pPr>
        <w:pStyle w:val="64"/>
        <w:numPr>
          <w:ilvl w:val="2"/>
          <w:numId w:val="8"/>
        </w:numPr>
        <w:spacing w:before="166" w:after="166"/>
        <w:ind w:left="709" w:leftChars="0" w:hanging="709" w:firstLineChars="0"/>
        <w:rPr>
          <w:color w:val="auto"/>
        </w:rPr>
      </w:pPr>
      <w:bookmarkStart w:id="78" w:name="2.气象站风观测数据统计"/>
      <w:bookmarkEnd w:id="78"/>
      <w:r>
        <w:rPr>
          <w:color w:val="auto"/>
        </w:rPr>
        <w:t>水文状况</w:t>
      </w:r>
    </w:p>
    <w:p w14:paraId="0FB63647">
      <w:pPr>
        <w:ind w:firstLine="480"/>
        <w:rPr>
          <w:color w:val="auto"/>
        </w:rPr>
      </w:pPr>
      <w:r>
        <w:rPr>
          <w:rFonts w:hint="eastAsia"/>
          <w:color w:val="auto"/>
        </w:rPr>
        <w:t>鹤山市紧靠西江，境内河流众多，主要河流有7条，全长共187.8km，流域面积 1003.28平方公里，除沙坪河属西江支流外，其余均属潭江水系。</w:t>
      </w:r>
    </w:p>
    <w:p w14:paraId="08141A01">
      <w:pPr>
        <w:ind w:firstLine="480"/>
        <w:rPr>
          <w:color w:val="auto"/>
        </w:rPr>
      </w:pPr>
      <w:r>
        <w:rPr>
          <w:rFonts w:hint="eastAsia"/>
          <w:color w:val="auto"/>
        </w:rPr>
        <w:t>1、潭江</w:t>
      </w:r>
    </w:p>
    <w:p w14:paraId="17E9F946">
      <w:pPr>
        <w:ind w:firstLine="480"/>
        <w:rPr>
          <w:color w:val="auto"/>
        </w:rPr>
      </w:pPr>
      <w:r>
        <w:rPr>
          <w:rFonts w:hint="eastAsia"/>
          <w:color w:val="auto"/>
        </w:rPr>
        <w:t>潭江发源于广东阳江市阳东县牛围岭，自西向东流经恩平、开平、台山、新会，在新会双水镇附近折向南流，经银洲湖出崖门口注入黄茅海。干流全长248公里，流域面积6026平方公里，平均坡降0.45‰。潭江流域有一级支流九条，即萌底河、莲塘水、蚬冈水、白沙水、镇海水、新昌水、公益河、新桥水、址山水。潭江下游多为平原，土地肥沃，为江门地区粮、蔗、果主要产区之一。潭江流域已建成大、中、小型水库与山塘17座，控制流域面积1972 平方公里。蓄、引、提工程灌溉面积180.19万亩。已建成小水电站132宗，装机容量7.49万千瓦，年发电量2.3亿千瓦时。筑有堤围177条，长1016.5千米，捍卫农田面积91.16万亩。从开平三埠港至崖门口干流一般水深5~7米，千吨级以下轮船可航至开平三埠港，枯水期水位最低2米，500吨级以下船仍可通航。现辟有新会、三埠、公益等港口。</w:t>
      </w:r>
    </w:p>
    <w:p w14:paraId="537EBAA1">
      <w:pPr>
        <w:ind w:firstLine="480"/>
        <w:rPr>
          <w:rFonts w:hint="eastAsia" w:eastAsia="宋体"/>
          <w:color w:val="auto"/>
          <w:lang w:eastAsia="zh-CN"/>
        </w:rPr>
      </w:pPr>
      <w:r>
        <w:rPr>
          <w:rFonts w:hint="eastAsia"/>
          <w:color w:val="auto"/>
        </w:rPr>
        <w:t>2、</w:t>
      </w:r>
      <w:r>
        <w:rPr>
          <w:rFonts w:hint="eastAsia"/>
          <w:color w:val="auto"/>
          <w:lang w:eastAsia="zh-CN"/>
        </w:rPr>
        <w:t>沙坪河</w:t>
      </w:r>
    </w:p>
    <w:p w14:paraId="11FF9E8F">
      <w:pPr>
        <w:bidi w:val="0"/>
        <w:rPr>
          <w:rFonts w:hint="eastAsia"/>
          <w:color w:val="auto"/>
        </w:rPr>
      </w:pPr>
      <w:r>
        <w:rPr>
          <w:rFonts w:hint="eastAsia"/>
          <w:color w:val="auto"/>
        </w:rPr>
        <w:t>沙坪河又名谷埠河，是珠江水系西江右岸的一级支流，发源于皂幕山，干流流经鹤山市金岗、龙口、沙坪等地，于杰洲附近注入西江。主河道长37.6公里，流域面积324平方公里，主要支流有桃源水、升平河和古蚕河。因贯穿鹤山市中心城区并辐射雅瑶、龙口、古劳、桃源等镇，被誉为鹤山“母亲河”。</w:t>
      </w:r>
    </w:p>
    <w:p w14:paraId="3B6AD9A1">
      <w:pPr>
        <w:bidi w:val="0"/>
        <w:rPr>
          <w:rFonts w:hint="eastAsia" w:eastAsia="宋体"/>
          <w:color w:val="auto"/>
          <w:lang w:eastAsia="zh-CN"/>
        </w:rPr>
      </w:pPr>
      <w:r>
        <w:rPr>
          <w:rFonts w:hint="eastAsia"/>
          <w:color w:val="auto"/>
        </w:rPr>
        <w:t>流域上游为山丘区，河床坡陡，洪水易暴涨暴落；下游地势低洼，洪涝灾害多发。建有中型水库2座、小型水库20座，堤围90千米，排涝站29座，其中沙坪排涝站设计排水流量49.50立方米/秒</w:t>
      </w:r>
      <w:r>
        <w:rPr>
          <w:rFonts w:hint="eastAsia"/>
          <w:color w:val="auto"/>
          <w:lang w:eastAsia="zh-CN"/>
        </w:rPr>
        <w:t>。</w:t>
      </w:r>
    </w:p>
    <w:p w14:paraId="5452B89B">
      <w:pPr>
        <w:pStyle w:val="64"/>
        <w:numPr>
          <w:ilvl w:val="2"/>
          <w:numId w:val="8"/>
        </w:numPr>
        <w:spacing w:before="166" w:after="166"/>
        <w:ind w:left="709" w:leftChars="0" w:hanging="709" w:firstLineChars="0"/>
        <w:rPr>
          <w:color w:val="auto"/>
        </w:rPr>
      </w:pPr>
      <w:r>
        <w:rPr>
          <w:color w:val="auto"/>
        </w:rPr>
        <w:t>土壤与植被</w:t>
      </w:r>
    </w:p>
    <w:p w14:paraId="05820123">
      <w:pPr>
        <w:ind w:firstLine="480"/>
        <w:rPr>
          <w:color w:val="auto"/>
        </w:rPr>
      </w:pPr>
      <w:r>
        <w:rPr>
          <w:color w:val="auto"/>
        </w:rPr>
        <w:t>鹤山已发现的矿产资源有铁、铅、锌、稀土、磷、硫铁矿、钾长石、饰面石材等8种。经查明的，有大量的稀土矿、花岗岩、矿泉水、泥炭土和少量的褐铁矿、锌矿、金矿。</w:t>
      </w:r>
    </w:p>
    <w:p w14:paraId="228C5FCE">
      <w:pPr>
        <w:ind w:firstLine="480"/>
        <w:rPr>
          <w:color w:val="auto"/>
        </w:rPr>
      </w:pPr>
      <w:r>
        <w:rPr>
          <w:color w:val="auto"/>
        </w:rPr>
        <w:t>鹤山市境内动植物资源丰富，野生动物100多种，植物900余种，其中，树种有300种、中草药60多种。</w:t>
      </w:r>
    </w:p>
    <w:bookmarkEnd w:id="76"/>
    <w:bookmarkEnd w:id="77"/>
    <w:p w14:paraId="499C73AD">
      <w:pPr>
        <w:pStyle w:val="67"/>
        <w:numPr>
          <w:ilvl w:val="1"/>
          <w:numId w:val="8"/>
        </w:numPr>
        <w:bidi w:val="0"/>
        <w:ind w:left="567" w:leftChars="0" w:hanging="567" w:firstLineChars="0"/>
        <w:rPr>
          <w:rFonts w:ascii="Times New Roman" w:hAnsi="Times New Roman" w:eastAsia="宋体" w:cs="Times New Roman"/>
          <w:color w:val="auto"/>
        </w:rPr>
      </w:pPr>
      <w:bookmarkStart w:id="79" w:name="_Toc21042"/>
      <w:bookmarkStart w:id="80" w:name="_Toc323741125"/>
      <w:bookmarkStart w:id="81" w:name="_Toc24865"/>
      <w:bookmarkStart w:id="82" w:name="_Toc375572299"/>
      <w:bookmarkStart w:id="83" w:name="_Toc323194726"/>
      <w:r>
        <w:rPr>
          <w:rFonts w:ascii="Times New Roman" w:hAnsi="Times New Roman" w:eastAsia="宋体" w:cs="Times New Roman"/>
          <w:color w:val="auto"/>
        </w:rPr>
        <w:t>地表水质量现状监测与评价</w:t>
      </w:r>
      <w:bookmarkEnd w:id="79"/>
      <w:bookmarkEnd w:id="80"/>
      <w:bookmarkEnd w:id="81"/>
      <w:bookmarkEnd w:id="82"/>
      <w:bookmarkEnd w:id="83"/>
    </w:p>
    <w:p w14:paraId="3F4554AE">
      <w:pPr>
        <w:bidi w:val="0"/>
        <w:rPr>
          <w:rFonts w:hint="eastAsia" w:ascii="Times New Roman" w:hAnsi="Times New Roman" w:cs="Times New Roman"/>
        </w:rPr>
      </w:pPr>
      <w:r>
        <w:rPr>
          <w:rFonts w:hint="eastAsia" w:ascii="Times New Roman" w:hAnsi="Times New Roman" w:cs="Times New Roman"/>
        </w:rPr>
        <w:t>项目</w:t>
      </w:r>
      <w:r>
        <w:rPr>
          <w:rFonts w:hint="eastAsia" w:ascii="Times New Roman" w:hAnsi="Times New Roman" w:cs="Times New Roman"/>
          <w:lang w:val="en-US" w:eastAsia="zh-CN"/>
        </w:rPr>
        <w:t>纳污水体</w:t>
      </w:r>
      <w:r>
        <w:rPr>
          <w:rFonts w:hint="eastAsia" w:ascii="Times New Roman" w:hAnsi="Times New Roman" w:cs="Times New Roman"/>
        </w:rPr>
        <w:t>为沙坪河</w:t>
      </w:r>
      <w:r>
        <w:rPr>
          <w:rFonts w:hint="eastAsia" w:ascii="Times New Roman" w:hAnsi="Times New Roman" w:cs="Times New Roman"/>
          <w:lang w:eastAsia="zh-CN"/>
        </w:rPr>
        <w:t>，</w:t>
      </w:r>
      <w:r>
        <w:rPr>
          <w:rFonts w:ascii="Times New Roman" w:hAnsi="Times New Roman" w:cs="Times New Roman"/>
        </w:rPr>
        <w:t>根据《广东省地表水环境功能区划》（粤环</w:t>
      </w:r>
      <w:r>
        <w:rPr>
          <w:rFonts w:hint="eastAsia" w:ascii="Times New Roman" w:hAnsi="Times New Roman" w:cs="Times New Roman"/>
          <w:lang w:eastAsia="zh-CN"/>
        </w:rPr>
        <w:t>〔2011〕14号</w:t>
      </w:r>
      <w:r>
        <w:rPr>
          <w:rFonts w:ascii="Times New Roman" w:hAnsi="Times New Roman" w:cs="Times New Roman"/>
        </w:rPr>
        <w:t>），</w:t>
      </w:r>
      <w:r>
        <w:rPr>
          <w:rFonts w:hint="eastAsia" w:ascii="Times New Roman" w:hAnsi="Times New Roman" w:cs="Times New Roman"/>
        </w:rPr>
        <w:t>沙坪</w:t>
      </w:r>
      <w:r>
        <w:rPr>
          <w:rFonts w:ascii="Times New Roman" w:hAnsi="Times New Roman" w:cs="Times New Roman"/>
        </w:rPr>
        <w:t>河功能为工业、农业用水，水质执行《地表水环境质量标准》(GB3838-2002)中的</w:t>
      </w:r>
      <w:r>
        <w:rPr>
          <w:rFonts w:ascii="Times New Roman" w:hAnsi="Times New Roman" w:cs="Times New Roman"/>
        </w:rPr>
        <w:fldChar w:fldCharType="begin"/>
      </w:r>
      <w:r>
        <w:rPr>
          <w:rFonts w:ascii="Times New Roman" w:hAnsi="Times New Roman" w:cs="Times New Roman"/>
        </w:rPr>
        <w:instrText xml:space="preserve"> = 3 \* ROMAN \* MERGEFORMAT </w:instrText>
      </w:r>
      <w:r>
        <w:rPr>
          <w:rFonts w:ascii="Times New Roman" w:hAnsi="Times New Roman" w:cs="Times New Roman"/>
        </w:rPr>
        <w:fldChar w:fldCharType="separate"/>
      </w:r>
      <w:r>
        <w:rPr>
          <w:rFonts w:ascii="Times New Roman" w:hAnsi="Times New Roman" w:cs="Times New Roman"/>
        </w:rPr>
        <w:t>III</w:t>
      </w:r>
      <w:r>
        <w:rPr>
          <w:rFonts w:ascii="Times New Roman" w:hAnsi="Times New Roman" w:cs="Times New Roman"/>
        </w:rPr>
        <w:fldChar w:fldCharType="end"/>
      </w:r>
      <w:r>
        <w:rPr>
          <w:rFonts w:ascii="Times New Roman" w:hAnsi="Times New Roman" w:cs="Times New Roman"/>
        </w:rPr>
        <w:t>类标准</w:t>
      </w:r>
      <w:r>
        <w:rPr>
          <w:rFonts w:hint="eastAsia" w:ascii="Times New Roman" w:hAnsi="Times New Roman" w:cs="Times New Roman"/>
        </w:rPr>
        <w:t>。根据江门市生态环境局发布的《202</w:t>
      </w:r>
      <w:r>
        <w:rPr>
          <w:rFonts w:hint="eastAsia" w:ascii="Times New Roman" w:hAnsi="Times New Roman" w:cs="Times New Roman"/>
          <w:lang w:val="en-US" w:eastAsia="zh-CN"/>
        </w:rPr>
        <w:t>5</w:t>
      </w:r>
      <w:r>
        <w:rPr>
          <w:rFonts w:hint="eastAsia" w:ascii="Times New Roman" w:hAnsi="Times New Roman" w:cs="Times New Roman"/>
        </w:rPr>
        <w:t>年第</w:t>
      </w:r>
      <w:r>
        <w:rPr>
          <w:rFonts w:hint="eastAsia" w:ascii="Times New Roman" w:hAnsi="Times New Roman" w:cs="Times New Roman"/>
          <w:lang w:val="en-US" w:eastAsia="zh-CN"/>
        </w:rPr>
        <w:t>一</w:t>
      </w:r>
      <w:r>
        <w:rPr>
          <w:rFonts w:hint="eastAsia" w:ascii="Times New Roman" w:hAnsi="Times New Roman" w:cs="Times New Roman"/>
        </w:rPr>
        <w:t>季度江门市全面推行河长制水质季报》、《202</w:t>
      </w:r>
      <w:r>
        <w:rPr>
          <w:rFonts w:hint="eastAsia" w:ascii="Times New Roman" w:hAnsi="Times New Roman" w:cs="Times New Roman"/>
          <w:lang w:val="en-US" w:eastAsia="zh-CN"/>
        </w:rPr>
        <w:t>5</w:t>
      </w:r>
      <w:r>
        <w:rPr>
          <w:rFonts w:hint="eastAsia" w:ascii="Times New Roman" w:hAnsi="Times New Roman" w:cs="Times New Roman"/>
        </w:rPr>
        <w:t>年第二季度江门市全面推行河长制水质季报》</w:t>
      </w:r>
      <w:r>
        <w:rPr>
          <w:rFonts w:hint="eastAsia" w:ascii="Times New Roman" w:hAnsi="Times New Roman" w:cs="Times New Roman"/>
          <w:lang w:eastAsia="zh-CN"/>
        </w:rPr>
        <w:t>、《</w:t>
      </w:r>
      <w:r>
        <w:rPr>
          <w:rFonts w:hint="eastAsia" w:ascii="Times New Roman" w:hAnsi="Times New Roman" w:cs="Times New Roman"/>
        </w:rPr>
        <w:t>202</w:t>
      </w:r>
      <w:r>
        <w:rPr>
          <w:rFonts w:hint="eastAsia" w:ascii="Times New Roman" w:hAnsi="Times New Roman" w:cs="Times New Roman"/>
          <w:lang w:val="en-US" w:eastAsia="zh-CN"/>
        </w:rPr>
        <w:t>5</w:t>
      </w:r>
      <w:r>
        <w:rPr>
          <w:rFonts w:hint="eastAsia" w:ascii="Times New Roman" w:hAnsi="Times New Roman" w:cs="Times New Roman"/>
        </w:rPr>
        <w:t>年第三季度江门市全面推行河长制水质季报</w:t>
      </w:r>
      <w:r>
        <w:rPr>
          <w:rFonts w:hint="eastAsia" w:ascii="Times New Roman" w:hAnsi="Times New Roman" w:cs="Times New Roman"/>
          <w:lang w:eastAsia="zh-CN"/>
        </w:rPr>
        <w:t>》</w:t>
      </w:r>
      <w:r>
        <w:rPr>
          <w:rFonts w:hint="eastAsia" w:ascii="Times New Roman" w:hAnsi="Times New Roman" w:cs="Times New Roman"/>
        </w:rPr>
        <w:t>http://www.jiangmen.gov.cn/bmpd/jmssthjj/hjzl/hczszyb/，沙坪河（沙坪水闸断面）水质现状分别为</w:t>
      </w:r>
      <w:r>
        <w:rPr>
          <w:rFonts w:hint="eastAsia" w:ascii="Times New Roman" w:hAnsi="Times New Roman" w:cs="Times New Roman"/>
          <w:lang w:val="en-US" w:eastAsia="zh-CN"/>
        </w:rPr>
        <w:t>Ⅳ、Ⅲ、Ⅲ</w:t>
      </w:r>
      <w:r>
        <w:rPr>
          <w:rFonts w:hint="eastAsia" w:ascii="Times New Roman" w:hAnsi="Times New Roman" w:cs="Times New Roman"/>
        </w:rPr>
        <w:t>类，表明沙坪河202</w:t>
      </w:r>
      <w:r>
        <w:rPr>
          <w:rFonts w:hint="eastAsia" w:ascii="Times New Roman" w:hAnsi="Times New Roman" w:cs="Times New Roman"/>
          <w:lang w:val="en-US" w:eastAsia="zh-CN"/>
        </w:rPr>
        <w:t>5</w:t>
      </w:r>
      <w:r>
        <w:rPr>
          <w:rFonts w:hint="eastAsia" w:ascii="Times New Roman" w:hAnsi="Times New Roman" w:cs="Times New Roman"/>
        </w:rPr>
        <w:t>年度第</w:t>
      </w:r>
      <w:r>
        <w:rPr>
          <w:rFonts w:hint="eastAsia" w:ascii="Times New Roman" w:hAnsi="Times New Roman" w:cs="Times New Roman"/>
          <w:lang w:val="en-US" w:eastAsia="zh-CN"/>
        </w:rPr>
        <w:t>二、三</w:t>
      </w:r>
      <w:r>
        <w:rPr>
          <w:rFonts w:hint="eastAsia" w:ascii="Times New Roman" w:hAnsi="Times New Roman" w:cs="Times New Roman"/>
        </w:rPr>
        <w:t>季度水环境质量达标</w:t>
      </w:r>
      <w:r>
        <w:rPr>
          <w:rFonts w:hint="eastAsia" w:ascii="Times New Roman" w:hAnsi="Times New Roman" w:cs="Times New Roman"/>
          <w:lang w:eastAsia="zh-CN"/>
        </w:rPr>
        <w:t>，</w:t>
      </w:r>
      <w:r>
        <w:rPr>
          <w:rFonts w:hint="eastAsia" w:ascii="Times New Roman" w:hAnsi="Times New Roman" w:cs="Times New Roman"/>
          <w:lang w:val="en-US" w:eastAsia="zh-CN"/>
        </w:rPr>
        <w:t>第一季度水环境质量不达标</w:t>
      </w:r>
      <w:r>
        <w:rPr>
          <w:rFonts w:hint="eastAsia" w:ascii="Times New Roman" w:hAnsi="Times New Roman" w:cs="Times New Roman"/>
        </w:rPr>
        <w:t>。</w:t>
      </w:r>
    </w:p>
    <w:p w14:paraId="58884C91">
      <w:pPr>
        <w:pStyle w:val="62"/>
        <w:numPr>
          <w:ilvl w:val="0"/>
          <w:numId w:val="0"/>
        </w:numPr>
        <w:tabs>
          <w:tab w:val="left" w:pos="0"/>
        </w:tabs>
        <w:rPr>
          <w:rFonts w:hint="eastAsia" w:ascii="Times New Roman" w:hAnsi="Times New Roman" w:eastAsia="宋体" w:cs="Times New Roman"/>
        </w:rPr>
      </w:pPr>
      <w:r>
        <w:rPr>
          <w:rFonts w:hint="eastAsia" w:ascii="Times New Roman" w:hAnsi="Times New Roman" w:eastAsia="宋体" w:cs="Times New Roman"/>
          <w:lang w:val="en-US" w:eastAsia="zh-CN"/>
        </w:rPr>
        <w:t xml:space="preserve">表3.2-1  </w:t>
      </w:r>
      <w:r>
        <w:rPr>
          <w:rFonts w:hint="eastAsia" w:ascii="Times New Roman" w:hAnsi="Times New Roman" w:eastAsia="宋体" w:cs="Times New Roman"/>
        </w:rPr>
        <w:t>地表水环境现状监测结果</w:t>
      </w:r>
    </w:p>
    <w:tbl>
      <w:tblPr>
        <w:tblStyle w:val="38"/>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1710"/>
        <w:gridCol w:w="1710"/>
        <w:gridCol w:w="1710"/>
        <w:gridCol w:w="1710"/>
        <w:gridCol w:w="1710"/>
      </w:tblGrid>
      <w:tr w14:paraId="5B3274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4" w:type="pct"/>
            <w:noWrap w:val="0"/>
            <w:vAlign w:val="center"/>
          </w:tcPr>
          <w:p w14:paraId="271641D6">
            <w:pPr>
              <w:pStyle w:val="102"/>
              <w:tabs>
                <w:tab w:val="center" w:pos="0"/>
              </w:tabs>
              <w:rPr>
                <w:rFonts w:ascii="Times New Roman" w:hAnsi="Times New Roman" w:cs="Times New Roman"/>
                <w:color w:val="000000"/>
              </w:rPr>
            </w:pPr>
            <w:r>
              <w:rPr>
                <w:rFonts w:hint="eastAsia" w:ascii="Times New Roman" w:hAnsi="Times New Roman" w:cs="Times New Roman"/>
                <w:color w:val="000000"/>
              </w:rPr>
              <w:t>序号</w:t>
            </w:r>
          </w:p>
        </w:tc>
        <w:tc>
          <w:tcPr>
            <w:tcW w:w="921" w:type="pct"/>
            <w:noWrap w:val="0"/>
            <w:vAlign w:val="center"/>
          </w:tcPr>
          <w:p w14:paraId="77FEE791">
            <w:pPr>
              <w:pStyle w:val="102"/>
              <w:tabs>
                <w:tab w:val="center" w:pos="0"/>
              </w:tabs>
              <w:rPr>
                <w:rFonts w:ascii="Times New Roman" w:hAnsi="Times New Roman" w:cs="Times New Roman"/>
                <w:color w:val="000000"/>
              </w:rPr>
            </w:pPr>
            <w:r>
              <w:rPr>
                <w:rFonts w:hint="eastAsia" w:ascii="Times New Roman" w:hAnsi="Times New Roman" w:cs="Times New Roman"/>
                <w:color w:val="000000"/>
              </w:rPr>
              <w:t>河流名字</w:t>
            </w:r>
          </w:p>
        </w:tc>
        <w:tc>
          <w:tcPr>
            <w:tcW w:w="921" w:type="pct"/>
            <w:noWrap w:val="0"/>
            <w:vAlign w:val="center"/>
          </w:tcPr>
          <w:p w14:paraId="258EEA99">
            <w:pPr>
              <w:pStyle w:val="102"/>
              <w:tabs>
                <w:tab w:val="center" w:pos="0"/>
              </w:tabs>
              <w:rPr>
                <w:rFonts w:ascii="Times New Roman" w:hAnsi="Times New Roman" w:cs="Times New Roman"/>
                <w:color w:val="000000"/>
              </w:rPr>
            </w:pPr>
            <w:r>
              <w:rPr>
                <w:rFonts w:hint="eastAsia" w:ascii="Times New Roman" w:hAnsi="Times New Roman" w:cs="Times New Roman"/>
                <w:color w:val="000000"/>
              </w:rPr>
              <w:t>行政区域</w:t>
            </w:r>
          </w:p>
        </w:tc>
        <w:tc>
          <w:tcPr>
            <w:tcW w:w="921" w:type="pct"/>
            <w:noWrap w:val="0"/>
            <w:vAlign w:val="center"/>
          </w:tcPr>
          <w:p w14:paraId="19A98B48">
            <w:pPr>
              <w:pStyle w:val="102"/>
              <w:tabs>
                <w:tab w:val="center" w:pos="0"/>
              </w:tabs>
              <w:rPr>
                <w:rFonts w:ascii="Times New Roman" w:hAnsi="Times New Roman" w:cs="Times New Roman"/>
                <w:color w:val="000000"/>
              </w:rPr>
            </w:pPr>
            <w:r>
              <w:rPr>
                <w:rFonts w:hint="eastAsia" w:ascii="Times New Roman" w:hAnsi="Times New Roman" w:cs="Times New Roman"/>
                <w:color w:val="000000"/>
              </w:rPr>
              <w:t>考核断面</w:t>
            </w:r>
          </w:p>
        </w:tc>
        <w:tc>
          <w:tcPr>
            <w:tcW w:w="921" w:type="pct"/>
            <w:noWrap w:val="0"/>
            <w:vAlign w:val="center"/>
          </w:tcPr>
          <w:p w14:paraId="21BDBE96">
            <w:pPr>
              <w:pStyle w:val="102"/>
              <w:tabs>
                <w:tab w:val="center" w:pos="0"/>
              </w:tabs>
              <w:rPr>
                <w:rFonts w:ascii="Times New Roman" w:hAnsi="Times New Roman" w:cs="Times New Roman"/>
                <w:color w:val="000000"/>
              </w:rPr>
            </w:pPr>
            <w:r>
              <w:rPr>
                <w:rFonts w:hint="eastAsia" w:ascii="Times New Roman" w:hAnsi="Times New Roman" w:cs="Times New Roman"/>
                <w:color w:val="000000"/>
              </w:rPr>
              <w:t>水质现状</w:t>
            </w:r>
          </w:p>
        </w:tc>
        <w:tc>
          <w:tcPr>
            <w:tcW w:w="921" w:type="pct"/>
            <w:noWrap w:val="0"/>
            <w:vAlign w:val="center"/>
          </w:tcPr>
          <w:p w14:paraId="5BA0A267">
            <w:pPr>
              <w:pStyle w:val="102"/>
              <w:tabs>
                <w:tab w:val="center" w:pos="0"/>
              </w:tabs>
              <w:rPr>
                <w:rFonts w:ascii="Times New Roman" w:hAnsi="Times New Roman" w:cs="Times New Roman"/>
                <w:color w:val="000000"/>
              </w:rPr>
            </w:pPr>
            <w:r>
              <w:rPr>
                <w:rFonts w:hint="eastAsia" w:ascii="Times New Roman" w:hAnsi="Times New Roman" w:cs="Times New Roman"/>
                <w:color w:val="000000"/>
              </w:rPr>
              <w:t>超标倍数</w:t>
            </w:r>
          </w:p>
        </w:tc>
      </w:tr>
      <w:tr w14:paraId="5C3C5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4" w:type="pct"/>
            <w:noWrap w:val="0"/>
            <w:vAlign w:val="center"/>
          </w:tcPr>
          <w:p w14:paraId="1D7FE0A1">
            <w:pPr>
              <w:pStyle w:val="102"/>
              <w:tabs>
                <w:tab w:val="center" w:pos="0"/>
              </w:tabs>
              <w:rPr>
                <w:rFonts w:ascii="Times New Roman" w:hAnsi="Times New Roman" w:cs="Times New Roman"/>
                <w:color w:val="000000"/>
              </w:rPr>
            </w:pPr>
            <w:r>
              <w:rPr>
                <w:rFonts w:hint="eastAsia" w:ascii="Times New Roman" w:hAnsi="Times New Roman" w:cs="Times New Roman"/>
                <w:color w:val="000000"/>
              </w:rPr>
              <w:t>1</w:t>
            </w:r>
          </w:p>
        </w:tc>
        <w:tc>
          <w:tcPr>
            <w:tcW w:w="921" w:type="pct"/>
            <w:noWrap w:val="0"/>
            <w:vAlign w:val="center"/>
          </w:tcPr>
          <w:p w14:paraId="2B7A8945">
            <w:pPr>
              <w:pStyle w:val="102"/>
              <w:tabs>
                <w:tab w:val="center" w:pos="0"/>
              </w:tabs>
              <w:rPr>
                <w:rFonts w:ascii="Times New Roman" w:hAnsi="Times New Roman" w:cs="Times New Roman"/>
                <w:color w:val="000000"/>
              </w:rPr>
            </w:pPr>
            <w:r>
              <w:rPr>
                <w:rFonts w:hint="eastAsia" w:ascii="Times New Roman" w:hAnsi="Times New Roman" w:cs="Times New Roman"/>
                <w:color w:val="000000"/>
              </w:rPr>
              <w:t>沙坪河</w:t>
            </w:r>
          </w:p>
        </w:tc>
        <w:tc>
          <w:tcPr>
            <w:tcW w:w="921" w:type="pct"/>
            <w:noWrap w:val="0"/>
            <w:vAlign w:val="center"/>
          </w:tcPr>
          <w:p w14:paraId="188B5C73">
            <w:pPr>
              <w:pStyle w:val="102"/>
              <w:tabs>
                <w:tab w:val="center" w:pos="0"/>
              </w:tabs>
              <w:rPr>
                <w:rFonts w:ascii="Times New Roman" w:hAnsi="Times New Roman" w:cs="Times New Roman"/>
                <w:color w:val="000000"/>
              </w:rPr>
            </w:pPr>
            <w:r>
              <w:rPr>
                <w:rFonts w:hint="eastAsia" w:ascii="Times New Roman" w:hAnsi="Times New Roman" w:cs="Times New Roman"/>
                <w:color w:val="000000"/>
              </w:rPr>
              <w:t>鹤山市</w:t>
            </w:r>
          </w:p>
        </w:tc>
        <w:tc>
          <w:tcPr>
            <w:tcW w:w="921" w:type="pct"/>
            <w:noWrap w:val="0"/>
            <w:vAlign w:val="center"/>
          </w:tcPr>
          <w:p w14:paraId="2862742A">
            <w:pPr>
              <w:pStyle w:val="102"/>
              <w:tabs>
                <w:tab w:val="center" w:pos="0"/>
              </w:tabs>
              <w:rPr>
                <w:rFonts w:ascii="Times New Roman" w:hAnsi="Times New Roman" w:cs="Times New Roman"/>
                <w:color w:val="000000"/>
              </w:rPr>
            </w:pPr>
            <w:r>
              <w:rPr>
                <w:rFonts w:hint="eastAsia" w:ascii="Times New Roman" w:hAnsi="Times New Roman" w:cs="Times New Roman"/>
                <w:color w:val="000000"/>
              </w:rPr>
              <w:t>沙坪水闸</w:t>
            </w:r>
          </w:p>
        </w:tc>
        <w:tc>
          <w:tcPr>
            <w:tcW w:w="921" w:type="pct"/>
            <w:noWrap w:val="0"/>
            <w:vAlign w:val="center"/>
          </w:tcPr>
          <w:p w14:paraId="64DA5F3B">
            <w:pPr>
              <w:pStyle w:val="102"/>
              <w:tabs>
                <w:tab w:val="center" w:pos="0"/>
              </w:tabs>
              <w:rPr>
                <w:rFonts w:ascii="Times New Roman" w:hAnsi="Times New Roman" w:cs="Times New Roman"/>
                <w:color w:val="000000"/>
              </w:rPr>
            </w:pPr>
            <w:r>
              <w:rPr>
                <w:rFonts w:hint="eastAsia" w:ascii="Times New Roman" w:hAnsi="Times New Roman" w:cs="Times New Roman"/>
                <w:lang w:val="en-US" w:eastAsia="zh-CN"/>
              </w:rPr>
              <w:t>Ⅳ（第一季度）</w:t>
            </w:r>
          </w:p>
        </w:tc>
        <w:tc>
          <w:tcPr>
            <w:tcW w:w="921" w:type="pct"/>
            <w:noWrap w:val="0"/>
            <w:vAlign w:val="center"/>
          </w:tcPr>
          <w:p w14:paraId="517670B8">
            <w:pPr>
              <w:pStyle w:val="102"/>
              <w:tabs>
                <w:tab w:val="center" w:pos="0"/>
              </w:tabs>
              <w:rPr>
                <w:rFonts w:ascii="Times New Roman" w:hAnsi="Times New Roman" w:cs="Times New Roman"/>
                <w:color w:val="000000"/>
              </w:rPr>
            </w:pPr>
            <w:r>
              <w:rPr>
                <w:rFonts w:hint="eastAsia" w:ascii="Times New Roman" w:hAnsi="Times New Roman" w:cs="Times New Roman"/>
                <w:color w:val="000000"/>
              </w:rPr>
              <w:t>——</w:t>
            </w:r>
          </w:p>
        </w:tc>
      </w:tr>
      <w:tr w14:paraId="217E11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4" w:type="pct"/>
            <w:noWrap w:val="0"/>
            <w:vAlign w:val="center"/>
          </w:tcPr>
          <w:p w14:paraId="4A7CDC9B">
            <w:pPr>
              <w:pStyle w:val="102"/>
              <w:tabs>
                <w:tab w:val="center" w:pos="0"/>
              </w:tabs>
              <w:rPr>
                <w:rFonts w:hint="eastAsia"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2</w:t>
            </w:r>
          </w:p>
        </w:tc>
        <w:tc>
          <w:tcPr>
            <w:tcW w:w="921" w:type="pct"/>
            <w:noWrap w:val="0"/>
            <w:vAlign w:val="center"/>
          </w:tcPr>
          <w:p w14:paraId="2F0FA9B1">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rPr>
              <w:t>沙坪河</w:t>
            </w:r>
          </w:p>
        </w:tc>
        <w:tc>
          <w:tcPr>
            <w:tcW w:w="921" w:type="pct"/>
            <w:noWrap w:val="0"/>
            <w:vAlign w:val="center"/>
          </w:tcPr>
          <w:p w14:paraId="021ED94C">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rPr>
              <w:t>鹤山市</w:t>
            </w:r>
          </w:p>
        </w:tc>
        <w:tc>
          <w:tcPr>
            <w:tcW w:w="921" w:type="pct"/>
            <w:noWrap w:val="0"/>
            <w:vAlign w:val="center"/>
          </w:tcPr>
          <w:p w14:paraId="51D4DA5F">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rPr>
              <w:t>沙坪水闸</w:t>
            </w:r>
          </w:p>
        </w:tc>
        <w:tc>
          <w:tcPr>
            <w:tcW w:w="921" w:type="pct"/>
            <w:noWrap w:val="0"/>
            <w:vAlign w:val="center"/>
          </w:tcPr>
          <w:p w14:paraId="36ABA65E">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lang w:val="en-US" w:eastAsia="zh-CN"/>
              </w:rPr>
              <w:t>Ⅲ（第二季度）</w:t>
            </w:r>
          </w:p>
        </w:tc>
        <w:tc>
          <w:tcPr>
            <w:tcW w:w="921" w:type="pct"/>
            <w:noWrap w:val="0"/>
            <w:vAlign w:val="center"/>
          </w:tcPr>
          <w:p w14:paraId="0F435B9A">
            <w:pPr>
              <w:pStyle w:val="102"/>
              <w:tabs>
                <w:tab w:val="center" w:pos="0"/>
              </w:tabs>
              <w:rPr>
                <w:rFonts w:hint="default" w:ascii="Times New Roman" w:hAnsi="Times New Roman" w:eastAsia="宋体" w:cs="Times New Roman"/>
                <w:color w:val="000000"/>
                <w:lang w:val="en-US" w:eastAsia="zh-CN"/>
              </w:rPr>
            </w:pPr>
            <w:r>
              <w:rPr>
                <w:rFonts w:hint="eastAsia" w:ascii="Times New Roman" w:hAnsi="Times New Roman" w:cs="Times New Roman"/>
                <w:color w:val="000000"/>
              </w:rPr>
              <w:t>——</w:t>
            </w:r>
          </w:p>
        </w:tc>
      </w:tr>
      <w:tr w14:paraId="6DB2D9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4" w:type="pct"/>
            <w:noWrap w:val="0"/>
            <w:vAlign w:val="center"/>
          </w:tcPr>
          <w:p w14:paraId="31C62B91">
            <w:pPr>
              <w:pStyle w:val="102"/>
              <w:tabs>
                <w:tab w:val="center" w:pos="0"/>
              </w:tabs>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3</w:t>
            </w:r>
          </w:p>
        </w:tc>
        <w:tc>
          <w:tcPr>
            <w:tcW w:w="921" w:type="pct"/>
            <w:noWrap w:val="0"/>
            <w:vAlign w:val="center"/>
          </w:tcPr>
          <w:p w14:paraId="400D9302">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rPr>
              <w:t>沙坪河</w:t>
            </w:r>
          </w:p>
        </w:tc>
        <w:tc>
          <w:tcPr>
            <w:tcW w:w="921" w:type="pct"/>
            <w:noWrap w:val="0"/>
            <w:vAlign w:val="center"/>
          </w:tcPr>
          <w:p w14:paraId="2A087889">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rPr>
              <w:t>鹤山市</w:t>
            </w:r>
          </w:p>
        </w:tc>
        <w:tc>
          <w:tcPr>
            <w:tcW w:w="921" w:type="pct"/>
            <w:noWrap w:val="0"/>
            <w:vAlign w:val="center"/>
          </w:tcPr>
          <w:p w14:paraId="40210F3B">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rPr>
              <w:t>沙坪水闸</w:t>
            </w:r>
          </w:p>
        </w:tc>
        <w:tc>
          <w:tcPr>
            <w:tcW w:w="921" w:type="pct"/>
            <w:noWrap w:val="0"/>
            <w:vAlign w:val="center"/>
          </w:tcPr>
          <w:p w14:paraId="1A1C1451">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lang w:val="en-US" w:eastAsia="zh-CN"/>
              </w:rPr>
              <w:t>Ⅲ（第三季度）</w:t>
            </w:r>
          </w:p>
        </w:tc>
        <w:tc>
          <w:tcPr>
            <w:tcW w:w="921" w:type="pct"/>
            <w:noWrap w:val="0"/>
            <w:vAlign w:val="center"/>
          </w:tcPr>
          <w:p w14:paraId="2009CAF5">
            <w:pPr>
              <w:pStyle w:val="102"/>
              <w:tabs>
                <w:tab w:val="center" w:pos="0"/>
              </w:tabs>
              <w:ind w:firstLine="0" w:firstLineChars="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rPr>
              <w:t>——</w:t>
            </w:r>
          </w:p>
        </w:tc>
      </w:tr>
    </w:tbl>
    <w:p w14:paraId="14D5DE60">
      <w:pPr>
        <w:pStyle w:val="67"/>
        <w:numPr>
          <w:ilvl w:val="1"/>
          <w:numId w:val="8"/>
        </w:numPr>
        <w:bidi w:val="0"/>
        <w:ind w:left="567" w:leftChars="0" w:hanging="567" w:firstLineChars="0"/>
        <w:rPr>
          <w:rFonts w:ascii="Times New Roman" w:hAnsi="Times New Roman" w:eastAsia="宋体" w:cs="Times New Roman"/>
          <w:color w:val="auto"/>
        </w:rPr>
      </w:pPr>
      <w:bookmarkStart w:id="84" w:name="_Toc17814"/>
      <w:r>
        <w:rPr>
          <w:rFonts w:ascii="Times New Roman" w:hAnsi="Times New Roman" w:eastAsia="宋体" w:cs="Times New Roman"/>
          <w:color w:val="auto"/>
        </w:rPr>
        <w:t>环境空气质量现状监测与评价</w:t>
      </w:r>
      <w:bookmarkEnd w:id="84"/>
    </w:p>
    <w:p w14:paraId="3B649779">
      <w:pPr>
        <w:pStyle w:val="64"/>
        <w:numPr>
          <w:ilvl w:val="2"/>
          <w:numId w:val="8"/>
        </w:numPr>
        <w:spacing w:before="166" w:after="166"/>
        <w:ind w:left="709" w:leftChars="0" w:hanging="709" w:firstLineChars="0"/>
        <w:rPr>
          <w:color w:val="auto"/>
        </w:rPr>
      </w:pPr>
      <w:r>
        <w:rPr>
          <w:bCs/>
          <w:color w:val="auto"/>
          <w:szCs w:val="24"/>
        </w:rPr>
        <w:t>环境空气质量达标区判定</w:t>
      </w:r>
    </w:p>
    <w:p w14:paraId="23362C31">
      <w:pPr>
        <w:bidi w:val="0"/>
        <w:rPr>
          <w:rFonts w:ascii="Times New Roman" w:hAnsi="Times New Roman" w:cs="Times New Roman"/>
        </w:rPr>
      </w:pPr>
      <w:r>
        <w:rPr>
          <w:rFonts w:hint="eastAsia" w:ascii="Times New Roman" w:hAnsi="Times New Roman" w:cs="Times New Roman"/>
        </w:rPr>
        <w:t>为了解本项目所在城市环境空气质量现状，本报告引用鹤山政府网站上http://www.heshan.gov.cn/zwgk/zdlyxxgk/hjbhxxgk/kqhjxx/content/post_3012863.html的《</w:t>
      </w:r>
      <w:r>
        <w:rPr>
          <w:rFonts w:hint="eastAsia" w:ascii="Times New Roman" w:hAnsi="Times New Roman" w:cs="Times New Roman"/>
          <w:lang w:eastAsia="zh-CN"/>
        </w:rPr>
        <w:t>鹤山市2024年</w:t>
      </w:r>
      <w:r>
        <w:rPr>
          <w:rFonts w:hint="eastAsia" w:ascii="Times New Roman" w:hAnsi="Times New Roman" w:cs="Times New Roman"/>
          <w:lang w:val="en-US" w:eastAsia="zh-CN"/>
        </w:rPr>
        <w:t>环境</w:t>
      </w:r>
      <w:r>
        <w:rPr>
          <w:rFonts w:hint="eastAsia" w:ascii="Times New Roman" w:hAnsi="Times New Roman" w:cs="Times New Roman"/>
          <w:lang w:eastAsia="zh-CN"/>
        </w:rPr>
        <w:t>空气质量年报</w:t>
      </w:r>
      <w:r>
        <w:rPr>
          <w:rFonts w:hint="eastAsia" w:ascii="Times New Roman" w:hAnsi="Times New Roman" w:cs="Times New Roman"/>
        </w:rPr>
        <w:t>》中202</w:t>
      </w:r>
      <w:r>
        <w:rPr>
          <w:rFonts w:hint="eastAsia" w:ascii="Times New Roman" w:hAnsi="Times New Roman" w:cs="Times New Roman"/>
          <w:lang w:val="en-US" w:eastAsia="zh-CN"/>
        </w:rPr>
        <w:t>4</w:t>
      </w:r>
      <w:r>
        <w:rPr>
          <w:rFonts w:hint="eastAsia" w:ascii="Times New Roman" w:hAnsi="Times New Roman" w:cs="Times New Roman"/>
        </w:rPr>
        <w:t>年度鹤山市空气质量监测数据进行评价，详见下表。</w:t>
      </w:r>
    </w:p>
    <w:p w14:paraId="57C672D4">
      <w:pPr>
        <w:pStyle w:val="62"/>
        <w:numPr>
          <w:ilvl w:val="0"/>
          <w:numId w:val="36"/>
        </w:numPr>
        <w:ind w:left="0" w:leftChars="0" w:firstLine="0"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区域空气质量现状评价表</w:t>
      </w:r>
    </w:p>
    <w:tbl>
      <w:tblPr>
        <w:tblStyle w:val="38"/>
        <w:tblW w:w="4998" w:type="pct"/>
        <w:jc w:val="center"/>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12"/>
        <w:gridCol w:w="2863"/>
        <w:gridCol w:w="1377"/>
        <w:gridCol w:w="1377"/>
        <w:gridCol w:w="1377"/>
        <w:gridCol w:w="1377"/>
      </w:tblGrid>
      <w:tr w14:paraId="3961F9F2">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92" w:type="pct"/>
            <w:tcBorders>
              <w:top w:val="single" w:color="000000" w:sz="12" w:space="0"/>
              <w:left w:val="nil"/>
              <w:bottom w:val="single" w:color="auto" w:sz="4" w:space="0"/>
              <w:right w:val="single" w:color="auto" w:sz="4" w:space="0"/>
              <w:tl2br w:val="nil"/>
            </w:tcBorders>
            <w:shd w:val="clear" w:color="auto" w:fill="FFFFFF"/>
            <w:noWrap/>
            <w:vAlign w:val="center"/>
          </w:tcPr>
          <w:p w14:paraId="67BD307F">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污染物</w:t>
            </w:r>
          </w:p>
        </w:tc>
        <w:tc>
          <w:tcPr>
            <w:tcW w:w="1542" w:type="pct"/>
            <w:tcBorders>
              <w:top w:val="single" w:color="000000" w:sz="12" w:space="0"/>
              <w:left w:val="single" w:color="auto" w:sz="4" w:space="0"/>
              <w:bottom w:val="single" w:color="auto" w:sz="4" w:space="0"/>
              <w:right w:val="single" w:color="auto" w:sz="4" w:space="0"/>
            </w:tcBorders>
            <w:shd w:val="clear" w:color="auto" w:fill="FFFFFF"/>
            <w:noWrap/>
            <w:vAlign w:val="center"/>
          </w:tcPr>
          <w:p w14:paraId="00AAFF94">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年评价指标</w:t>
            </w:r>
          </w:p>
        </w:tc>
        <w:tc>
          <w:tcPr>
            <w:tcW w:w="741" w:type="pct"/>
            <w:tcBorders>
              <w:top w:val="single" w:color="000000" w:sz="12" w:space="0"/>
              <w:left w:val="single" w:color="auto" w:sz="4" w:space="0"/>
              <w:bottom w:val="single" w:color="auto" w:sz="4" w:space="0"/>
              <w:right w:val="single" w:color="auto" w:sz="4" w:space="0"/>
            </w:tcBorders>
            <w:shd w:val="clear" w:color="auto" w:fill="FFFFFF"/>
            <w:noWrap/>
            <w:vAlign w:val="center"/>
          </w:tcPr>
          <w:p w14:paraId="6BF433E1">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现状浓度/</w:t>
            </w:r>
            <w:r>
              <w:rPr>
                <w:rFonts w:hint="eastAsia" w:ascii="Times New Roman" w:hAnsi="Times New Roman" w:cs="Times New Roman"/>
                <w:b w:val="0"/>
                <w:color w:val="auto"/>
                <w:kern w:val="2"/>
                <w:sz w:val="21"/>
                <w:szCs w:val="21"/>
              </w:rPr>
              <w:t>（</w:t>
            </w:r>
            <w:r>
              <w:rPr>
                <w:rFonts w:ascii="Times New Roman" w:hAnsi="Times New Roman" w:cs="Times New Roman"/>
                <w:b w:val="0"/>
                <w:color w:val="auto"/>
                <w:kern w:val="2"/>
                <w:sz w:val="21"/>
                <w:szCs w:val="21"/>
              </w:rPr>
              <w:t>μg/m</w:t>
            </w:r>
            <w:r>
              <w:rPr>
                <w:rFonts w:ascii="Times New Roman" w:hAnsi="Times New Roman" w:cs="Times New Roman"/>
                <w:b w:val="0"/>
                <w:color w:val="auto"/>
                <w:kern w:val="2"/>
                <w:sz w:val="21"/>
                <w:szCs w:val="21"/>
                <w:vertAlign w:val="superscript"/>
              </w:rPr>
              <w:t>3</w:t>
            </w:r>
            <w:r>
              <w:rPr>
                <w:rFonts w:ascii="Times New Roman" w:hAnsi="Times New Roman" w:cs="Times New Roman"/>
                <w:b w:val="0"/>
                <w:color w:val="auto"/>
                <w:kern w:val="2"/>
                <w:sz w:val="21"/>
                <w:szCs w:val="21"/>
              </w:rPr>
              <w:t>）</w:t>
            </w:r>
          </w:p>
        </w:tc>
        <w:tc>
          <w:tcPr>
            <w:tcW w:w="741" w:type="pct"/>
            <w:tcBorders>
              <w:top w:val="single" w:color="000000" w:sz="12" w:space="0"/>
              <w:left w:val="single" w:color="auto" w:sz="4" w:space="0"/>
              <w:bottom w:val="single" w:color="auto" w:sz="4" w:space="0"/>
              <w:right w:val="single" w:color="auto" w:sz="4" w:space="0"/>
            </w:tcBorders>
            <w:shd w:val="clear" w:color="auto" w:fill="FFFFFF"/>
            <w:noWrap/>
            <w:vAlign w:val="center"/>
          </w:tcPr>
          <w:p w14:paraId="48F56521">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标准值/</w:t>
            </w:r>
            <w:r>
              <w:rPr>
                <w:rFonts w:hint="eastAsia" w:ascii="Times New Roman" w:hAnsi="Times New Roman" w:cs="Times New Roman"/>
                <w:b w:val="0"/>
                <w:color w:val="auto"/>
                <w:kern w:val="2"/>
                <w:sz w:val="21"/>
                <w:szCs w:val="21"/>
              </w:rPr>
              <w:t>（</w:t>
            </w:r>
            <w:r>
              <w:rPr>
                <w:rFonts w:ascii="Times New Roman" w:hAnsi="Times New Roman" w:cs="Times New Roman"/>
                <w:b w:val="0"/>
                <w:color w:val="auto"/>
                <w:kern w:val="2"/>
                <w:sz w:val="21"/>
                <w:szCs w:val="21"/>
              </w:rPr>
              <w:t>μg/m</w:t>
            </w:r>
            <w:r>
              <w:rPr>
                <w:rFonts w:ascii="Times New Roman" w:hAnsi="Times New Roman" w:cs="Times New Roman"/>
                <w:b w:val="0"/>
                <w:color w:val="auto"/>
                <w:kern w:val="2"/>
                <w:sz w:val="21"/>
                <w:szCs w:val="21"/>
                <w:vertAlign w:val="superscript"/>
              </w:rPr>
              <w:t>3</w:t>
            </w:r>
            <w:r>
              <w:rPr>
                <w:rFonts w:ascii="Times New Roman" w:hAnsi="Times New Roman" w:cs="Times New Roman"/>
                <w:b w:val="0"/>
                <w:color w:val="auto"/>
                <w:kern w:val="2"/>
                <w:sz w:val="21"/>
                <w:szCs w:val="21"/>
              </w:rPr>
              <w:t>）</w:t>
            </w:r>
          </w:p>
        </w:tc>
        <w:tc>
          <w:tcPr>
            <w:tcW w:w="741" w:type="pct"/>
            <w:tcBorders>
              <w:top w:val="single" w:color="000000" w:sz="12" w:space="0"/>
              <w:left w:val="single" w:color="auto" w:sz="4" w:space="0"/>
              <w:bottom w:val="single" w:color="auto" w:sz="4" w:space="0"/>
              <w:right w:val="single" w:color="auto" w:sz="4" w:space="0"/>
            </w:tcBorders>
            <w:shd w:val="clear" w:color="auto" w:fill="FFFFFF"/>
            <w:noWrap/>
            <w:vAlign w:val="center"/>
          </w:tcPr>
          <w:p w14:paraId="11FB1ED4">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占标率/%</w:t>
            </w:r>
          </w:p>
        </w:tc>
        <w:tc>
          <w:tcPr>
            <w:tcW w:w="741" w:type="pct"/>
            <w:tcBorders>
              <w:top w:val="single" w:color="000000" w:sz="12" w:space="0"/>
              <w:left w:val="single" w:color="auto" w:sz="4" w:space="0"/>
              <w:bottom w:val="single" w:color="auto" w:sz="4" w:space="0"/>
              <w:right w:val="nil"/>
            </w:tcBorders>
            <w:shd w:val="clear" w:color="auto" w:fill="FFFFFF"/>
            <w:noWrap/>
            <w:vAlign w:val="center"/>
          </w:tcPr>
          <w:p w14:paraId="1F80740E">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达标情况</w:t>
            </w:r>
          </w:p>
        </w:tc>
      </w:tr>
      <w:tr w14:paraId="49185D70">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92" w:type="pct"/>
            <w:tcBorders>
              <w:top w:val="single" w:color="auto" w:sz="4" w:space="0"/>
              <w:left w:val="nil"/>
              <w:bottom w:val="single" w:color="auto" w:sz="4" w:space="0"/>
              <w:right w:val="single" w:color="auto" w:sz="4" w:space="0"/>
            </w:tcBorders>
            <w:shd w:val="clear" w:color="auto" w:fill="FFFFFF"/>
            <w:noWrap/>
            <w:vAlign w:val="center"/>
          </w:tcPr>
          <w:p w14:paraId="6A8D66BE">
            <w:pPr>
              <w:pStyle w:val="34"/>
              <w:widowControl w:val="0"/>
              <w:spacing w:before="0" w:beforeAutospacing="0" w:after="0" w:afterAutospacing="0" w:line="240" w:lineRule="auto"/>
              <w:ind w:firstLine="0" w:firstLineChars="0"/>
              <w:jc w:val="center"/>
              <w:rPr>
                <w:rFonts w:hint="eastAsia" w:ascii="Times New Roman" w:hAnsi="Times New Roman" w:eastAsia="宋体" w:cs="Times New Roman"/>
                <w:b w:val="0"/>
                <w:color w:val="auto"/>
                <w:kern w:val="2"/>
                <w:sz w:val="21"/>
                <w:szCs w:val="21"/>
                <w:lang w:eastAsia="zh-CN"/>
              </w:rPr>
            </w:pPr>
            <w:r>
              <w:rPr>
                <w:rFonts w:hint="eastAsia" w:ascii="Times New Roman" w:hAnsi="Times New Roman" w:cs="Times New Roman"/>
                <w:b w:val="0"/>
                <w:color w:val="auto"/>
                <w:kern w:val="2"/>
                <w:sz w:val="21"/>
                <w:szCs w:val="21"/>
                <w:lang w:eastAsia="zh-CN"/>
              </w:rPr>
              <w:t>二氧化硫</w:t>
            </w:r>
          </w:p>
        </w:tc>
        <w:tc>
          <w:tcPr>
            <w:tcW w:w="15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3563FA">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年平均质量浓度</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5C8DF23">
            <w:pPr>
              <w:pStyle w:val="59"/>
              <w:rPr>
                <w:rFonts w:hint="eastAsia" w:ascii="Times New Roman" w:hAnsi="Times New Roman" w:eastAsia="宋体" w:cs="Times New Roman"/>
                <w:b w:val="0"/>
                <w:color w:val="auto"/>
                <w:kern w:val="2"/>
                <w:szCs w:val="21"/>
                <w:lang w:eastAsia="zh-CN"/>
              </w:rPr>
            </w:pPr>
            <w:r>
              <w:rPr>
                <w:rFonts w:hint="eastAsia" w:ascii="Times New Roman" w:hAnsi="Times New Roman" w:cs="Times New Roman"/>
                <w:b w:val="0"/>
                <w:color w:val="auto"/>
                <w:kern w:val="2"/>
                <w:szCs w:val="24"/>
                <w:lang w:val="en-US" w:eastAsia="zh-CN"/>
              </w:rPr>
              <w:t>8</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447FBEC">
            <w:pPr>
              <w:pStyle w:val="59"/>
              <w:rPr>
                <w:rFonts w:ascii="Times New Roman" w:hAnsi="Times New Roman" w:cs="Times New Roman"/>
                <w:b w:val="0"/>
                <w:color w:val="auto"/>
                <w:kern w:val="2"/>
                <w:szCs w:val="21"/>
              </w:rPr>
            </w:pPr>
            <w:r>
              <w:rPr>
                <w:rFonts w:ascii="Times New Roman" w:hAnsi="Times New Roman" w:cs="Times New Roman"/>
                <w:b w:val="0"/>
                <w:color w:val="auto"/>
                <w:kern w:val="2"/>
                <w:szCs w:val="24"/>
              </w:rPr>
              <w:t>60</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89DA1A6">
            <w:pPr>
              <w:pStyle w:val="59"/>
              <w:rPr>
                <w:rFonts w:ascii="Times New Roman" w:hAnsi="Times New Roman" w:cs="Times New Roman"/>
                <w:b w:val="0"/>
                <w:color w:val="auto"/>
                <w:szCs w:val="21"/>
              </w:rPr>
            </w:pPr>
            <w:r>
              <w:rPr>
                <w:rFonts w:hint="eastAsia" w:ascii="Times New Roman" w:hAnsi="Times New Roman" w:cs="Times New Roman"/>
                <w:b w:val="0"/>
                <w:color w:val="auto"/>
                <w:szCs w:val="21"/>
                <w:lang w:val="en-US" w:eastAsia="zh-CN"/>
              </w:rPr>
              <w:t>13.3</w:t>
            </w:r>
            <w:r>
              <w:rPr>
                <w:rFonts w:hint="eastAsia" w:ascii="Times New Roman" w:hAnsi="Times New Roman" w:cs="Times New Roman"/>
                <w:b w:val="0"/>
                <w:color w:val="auto"/>
                <w:szCs w:val="21"/>
              </w:rPr>
              <w:t>%</w:t>
            </w:r>
          </w:p>
        </w:tc>
        <w:tc>
          <w:tcPr>
            <w:tcW w:w="741" w:type="pct"/>
            <w:tcBorders>
              <w:top w:val="single" w:color="auto" w:sz="4" w:space="0"/>
              <w:left w:val="single" w:color="auto" w:sz="4" w:space="0"/>
              <w:bottom w:val="single" w:color="auto" w:sz="4" w:space="0"/>
              <w:right w:val="nil"/>
            </w:tcBorders>
            <w:shd w:val="clear" w:color="auto" w:fill="FFFFFF"/>
            <w:noWrap/>
            <w:vAlign w:val="center"/>
          </w:tcPr>
          <w:p w14:paraId="701ABE79">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达标</w:t>
            </w:r>
          </w:p>
        </w:tc>
      </w:tr>
      <w:tr w14:paraId="3D67BC28">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92" w:type="pct"/>
            <w:tcBorders>
              <w:top w:val="single" w:color="auto" w:sz="4" w:space="0"/>
              <w:left w:val="nil"/>
              <w:bottom w:val="single" w:color="auto" w:sz="4" w:space="0"/>
              <w:right w:val="single" w:color="auto" w:sz="4" w:space="0"/>
            </w:tcBorders>
            <w:shd w:val="clear" w:color="auto" w:fill="FFFFFF"/>
            <w:noWrap/>
            <w:vAlign w:val="center"/>
          </w:tcPr>
          <w:p w14:paraId="282E410A">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NO</w:t>
            </w:r>
            <w:r>
              <w:rPr>
                <w:rFonts w:ascii="Times New Roman" w:hAnsi="Times New Roman" w:cs="Times New Roman"/>
                <w:b w:val="0"/>
                <w:color w:val="auto"/>
                <w:kern w:val="2"/>
                <w:sz w:val="21"/>
                <w:szCs w:val="21"/>
                <w:vertAlign w:val="subscript"/>
              </w:rPr>
              <w:t>2</w:t>
            </w:r>
          </w:p>
        </w:tc>
        <w:tc>
          <w:tcPr>
            <w:tcW w:w="15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7A1183">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年平均质量浓度</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CC19F90">
            <w:pPr>
              <w:pStyle w:val="59"/>
              <w:rPr>
                <w:rFonts w:hint="default" w:ascii="Times New Roman" w:hAnsi="Times New Roman" w:eastAsia="宋体" w:cs="Times New Roman"/>
                <w:b w:val="0"/>
                <w:color w:val="auto"/>
                <w:kern w:val="2"/>
                <w:szCs w:val="21"/>
                <w:lang w:val="en-US" w:eastAsia="zh-CN"/>
              </w:rPr>
            </w:pPr>
            <w:r>
              <w:rPr>
                <w:rFonts w:hint="eastAsia" w:ascii="Times New Roman" w:hAnsi="Times New Roman" w:cs="Times New Roman"/>
                <w:b w:val="0"/>
                <w:color w:val="auto"/>
                <w:kern w:val="2"/>
                <w:szCs w:val="21"/>
                <w:lang w:val="en-US" w:eastAsia="zh-CN"/>
              </w:rPr>
              <w:t>24</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E96AB25">
            <w:pPr>
              <w:pStyle w:val="59"/>
              <w:rPr>
                <w:rFonts w:ascii="Times New Roman" w:hAnsi="Times New Roman" w:cs="Times New Roman"/>
                <w:b w:val="0"/>
                <w:color w:val="auto"/>
                <w:kern w:val="2"/>
                <w:szCs w:val="21"/>
              </w:rPr>
            </w:pPr>
            <w:r>
              <w:rPr>
                <w:rFonts w:ascii="Times New Roman" w:hAnsi="Times New Roman" w:cs="Times New Roman"/>
                <w:b w:val="0"/>
                <w:color w:val="auto"/>
                <w:kern w:val="2"/>
                <w:szCs w:val="24"/>
              </w:rPr>
              <w:t>40</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B125229">
            <w:pPr>
              <w:pStyle w:val="59"/>
              <w:rPr>
                <w:rFonts w:ascii="Times New Roman" w:hAnsi="Times New Roman" w:cs="Times New Roman"/>
                <w:b w:val="0"/>
                <w:color w:val="auto"/>
                <w:szCs w:val="21"/>
              </w:rPr>
            </w:pPr>
            <w:r>
              <w:rPr>
                <w:rFonts w:hint="eastAsia" w:ascii="Times New Roman" w:hAnsi="Times New Roman" w:cs="Times New Roman"/>
                <w:b w:val="0"/>
                <w:color w:val="auto"/>
                <w:szCs w:val="21"/>
                <w:lang w:val="en-US" w:eastAsia="zh-CN"/>
              </w:rPr>
              <w:t>60</w:t>
            </w:r>
            <w:r>
              <w:rPr>
                <w:rFonts w:hint="eastAsia" w:ascii="Times New Roman" w:hAnsi="Times New Roman" w:cs="Times New Roman"/>
                <w:b w:val="0"/>
                <w:color w:val="auto"/>
                <w:szCs w:val="21"/>
              </w:rPr>
              <w:t>%</w:t>
            </w:r>
          </w:p>
        </w:tc>
        <w:tc>
          <w:tcPr>
            <w:tcW w:w="741" w:type="pct"/>
            <w:tcBorders>
              <w:top w:val="single" w:color="auto" w:sz="4" w:space="0"/>
              <w:left w:val="single" w:color="auto" w:sz="4" w:space="0"/>
              <w:bottom w:val="single" w:color="auto" w:sz="4" w:space="0"/>
              <w:right w:val="nil"/>
            </w:tcBorders>
            <w:shd w:val="clear" w:color="auto" w:fill="FFFFFF"/>
            <w:noWrap/>
            <w:vAlign w:val="center"/>
          </w:tcPr>
          <w:p w14:paraId="61636A2C">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达标</w:t>
            </w:r>
          </w:p>
        </w:tc>
      </w:tr>
      <w:tr w14:paraId="62017D52">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92" w:type="pct"/>
            <w:tcBorders>
              <w:top w:val="single" w:color="auto" w:sz="4" w:space="0"/>
              <w:left w:val="nil"/>
              <w:bottom w:val="single" w:color="auto" w:sz="4" w:space="0"/>
              <w:right w:val="single" w:color="auto" w:sz="4" w:space="0"/>
            </w:tcBorders>
            <w:shd w:val="clear" w:color="auto" w:fill="FFFFFF"/>
            <w:noWrap/>
            <w:vAlign w:val="center"/>
          </w:tcPr>
          <w:p w14:paraId="6B934EEF">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PM</w:t>
            </w:r>
            <w:r>
              <w:rPr>
                <w:rFonts w:ascii="Times New Roman" w:hAnsi="Times New Roman" w:cs="Times New Roman"/>
                <w:b w:val="0"/>
                <w:color w:val="auto"/>
                <w:kern w:val="2"/>
                <w:sz w:val="21"/>
                <w:szCs w:val="21"/>
                <w:vertAlign w:val="subscript"/>
              </w:rPr>
              <w:t>10</w:t>
            </w:r>
          </w:p>
        </w:tc>
        <w:tc>
          <w:tcPr>
            <w:tcW w:w="15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B9B78C1">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年平均质量浓度</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E72811">
            <w:pPr>
              <w:pStyle w:val="59"/>
              <w:rPr>
                <w:rFonts w:hint="default" w:ascii="Times New Roman" w:hAnsi="Times New Roman" w:eastAsia="宋体" w:cs="Times New Roman"/>
                <w:b w:val="0"/>
                <w:color w:val="auto"/>
                <w:kern w:val="2"/>
                <w:szCs w:val="21"/>
                <w:lang w:val="en-US" w:eastAsia="zh-CN"/>
              </w:rPr>
            </w:pPr>
            <w:r>
              <w:rPr>
                <w:rFonts w:hint="eastAsia" w:ascii="Times New Roman" w:hAnsi="Times New Roman" w:cs="Times New Roman"/>
                <w:b w:val="0"/>
                <w:color w:val="auto"/>
                <w:kern w:val="2"/>
                <w:szCs w:val="24"/>
                <w:lang w:val="en-US" w:eastAsia="zh-CN"/>
              </w:rPr>
              <w:t>39</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27B0CE21">
            <w:pPr>
              <w:pStyle w:val="59"/>
              <w:rPr>
                <w:rFonts w:ascii="Times New Roman" w:hAnsi="Times New Roman" w:cs="Times New Roman"/>
                <w:b w:val="0"/>
                <w:color w:val="auto"/>
                <w:kern w:val="2"/>
                <w:szCs w:val="21"/>
              </w:rPr>
            </w:pPr>
            <w:r>
              <w:rPr>
                <w:rFonts w:ascii="Times New Roman" w:hAnsi="Times New Roman" w:cs="Times New Roman"/>
                <w:b w:val="0"/>
                <w:color w:val="auto"/>
                <w:kern w:val="2"/>
                <w:szCs w:val="24"/>
              </w:rPr>
              <w:t>70</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417620">
            <w:pPr>
              <w:pStyle w:val="59"/>
              <w:rPr>
                <w:rFonts w:ascii="Times New Roman" w:hAnsi="Times New Roman" w:cs="Times New Roman"/>
                <w:b w:val="0"/>
                <w:color w:val="auto"/>
                <w:szCs w:val="21"/>
              </w:rPr>
            </w:pPr>
            <w:r>
              <w:rPr>
                <w:rFonts w:hint="eastAsia" w:ascii="Times New Roman" w:hAnsi="Times New Roman" w:cs="Times New Roman"/>
                <w:b w:val="0"/>
                <w:color w:val="auto"/>
                <w:szCs w:val="21"/>
                <w:lang w:val="en-US" w:eastAsia="zh-CN"/>
              </w:rPr>
              <w:t>55.7</w:t>
            </w:r>
            <w:r>
              <w:rPr>
                <w:rFonts w:hint="eastAsia" w:ascii="Times New Roman" w:hAnsi="Times New Roman" w:cs="Times New Roman"/>
                <w:b w:val="0"/>
                <w:color w:val="auto"/>
                <w:szCs w:val="21"/>
              </w:rPr>
              <w:t>%</w:t>
            </w:r>
          </w:p>
        </w:tc>
        <w:tc>
          <w:tcPr>
            <w:tcW w:w="741" w:type="pct"/>
            <w:tcBorders>
              <w:top w:val="single" w:color="auto" w:sz="4" w:space="0"/>
              <w:left w:val="single" w:color="auto" w:sz="4" w:space="0"/>
              <w:bottom w:val="single" w:color="auto" w:sz="4" w:space="0"/>
              <w:right w:val="nil"/>
            </w:tcBorders>
            <w:shd w:val="clear" w:color="auto" w:fill="FFFFFF"/>
            <w:noWrap/>
            <w:vAlign w:val="center"/>
          </w:tcPr>
          <w:p w14:paraId="33E8AACD">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达标</w:t>
            </w:r>
          </w:p>
        </w:tc>
      </w:tr>
      <w:tr w14:paraId="4A175ED5">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92" w:type="pct"/>
            <w:tcBorders>
              <w:top w:val="single" w:color="auto" w:sz="4" w:space="0"/>
              <w:left w:val="nil"/>
              <w:bottom w:val="single" w:color="auto" w:sz="4" w:space="0"/>
              <w:right w:val="single" w:color="auto" w:sz="4" w:space="0"/>
            </w:tcBorders>
            <w:shd w:val="clear" w:color="auto" w:fill="FFFFFF"/>
            <w:noWrap/>
            <w:vAlign w:val="center"/>
          </w:tcPr>
          <w:p w14:paraId="06129E7D">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PM</w:t>
            </w:r>
            <w:r>
              <w:rPr>
                <w:rFonts w:ascii="Times New Roman" w:hAnsi="Times New Roman" w:cs="Times New Roman"/>
                <w:b w:val="0"/>
                <w:color w:val="auto"/>
                <w:kern w:val="2"/>
                <w:sz w:val="21"/>
                <w:szCs w:val="21"/>
                <w:vertAlign w:val="subscript"/>
              </w:rPr>
              <w:t>2</w:t>
            </w:r>
            <w:r>
              <w:rPr>
                <w:rFonts w:hint="eastAsia" w:ascii="Times New Roman" w:hAnsi="Times New Roman" w:cs="Times New Roman"/>
                <w:b w:val="0"/>
                <w:color w:val="auto"/>
                <w:kern w:val="2"/>
                <w:sz w:val="21"/>
                <w:szCs w:val="21"/>
                <w:vertAlign w:val="subscript"/>
              </w:rPr>
              <w:t>.</w:t>
            </w:r>
            <w:r>
              <w:rPr>
                <w:rFonts w:ascii="Times New Roman" w:hAnsi="Times New Roman" w:cs="Times New Roman"/>
                <w:b w:val="0"/>
                <w:color w:val="auto"/>
                <w:kern w:val="2"/>
                <w:sz w:val="21"/>
                <w:szCs w:val="21"/>
                <w:vertAlign w:val="subscript"/>
              </w:rPr>
              <w:t>5</w:t>
            </w:r>
          </w:p>
        </w:tc>
        <w:tc>
          <w:tcPr>
            <w:tcW w:w="15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D9CD4D">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年平均质量浓度</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79E98F6">
            <w:pPr>
              <w:pStyle w:val="59"/>
              <w:rPr>
                <w:rFonts w:hint="eastAsia" w:ascii="Times New Roman" w:hAnsi="Times New Roman" w:cs="Times New Roman"/>
                <w:b w:val="0"/>
                <w:color w:val="auto"/>
                <w:kern w:val="2"/>
                <w:szCs w:val="21"/>
              </w:rPr>
            </w:pPr>
            <w:r>
              <w:rPr>
                <w:rFonts w:hint="eastAsia" w:ascii="Times New Roman" w:hAnsi="Times New Roman" w:cs="Times New Roman"/>
                <w:b w:val="0"/>
                <w:color w:val="auto"/>
                <w:kern w:val="2"/>
                <w:szCs w:val="24"/>
              </w:rPr>
              <w:t>24</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9AC61C8">
            <w:pPr>
              <w:pStyle w:val="59"/>
              <w:rPr>
                <w:rFonts w:ascii="Times New Roman" w:hAnsi="Times New Roman" w:cs="Times New Roman"/>
                <w:b w:val="0"/>
                <w:color w:val="auto"/>
                <w:kern w:val="2"/>
                <w:szCs w:val="21"/>
              </w:rPr>
            </w:pPr>
            <w:r>
              <w:rPr>
                <w:rFonts w:ascii="Times New Roman" w:hAnsi="Times New Roman" w:cs="Times New Roman"/>
                <w:b w:val="0"/>
                <w:color w:val="auto"/>
                <w:kern w:val="2"/>
                <w:szCs w:val="24"/>
              </w:rPr>
              <w:t>35</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B179676">
            <w:pPr>
              <w:pStyle w:val="59"/>
              <w:rPr>
                <w:rFonts w:ascii="Times New Roman" w:hAnsi="Times New Roman" w:cs="Times New Roman"/>
                <w:b w:val="0"/>
                <w:color w:val="auto"/>
                <w:szCs w:val="21"/>
              </w:rPr>
            </w:pPr>
            <w:r>
              <w:rPr>
                <w:rFonts w:hint="eastAsia" w:ascii="Times New Roman" w:hAnsi="Times New Roman" w:cs="Times New Roman"/>
                <w:b w:val="0"/>
                <w:color w:val="auto"/>
                <w:szCs w:val="21"/>
              </w:rPr>
              <w:t>68.6%</w:t>
            </w:r>
          </w:p>
        </w:tc>
        <w:tc>
          <w:tcPr>
            <w:tcW w:w="741" w:type="pct"/>
            <w:tcBorders>
              <w:top w:val="single" w:color="auto" w:sz="4" w:space="0"/>
              <w:left w:val="single" w:color="auto" w:sz="4" w:space="0"/>
              <w:bottom w:val="single" w:color="auto" w:sz="4" w:space="0"/>
              <w:right w:val="nil"/>
            </w:tcBorders>
            <w:shd w:val="clear" w:color="auto" w:fill="FFFFFF"/>
            <w:noWrap/>
            <w:vAlign w:val="center"/>
          </w:tcPr>
          <w:p w14:paraId="452AD1A1">
            <w:pPr>
              <w:pStyle w:val="34"/>
              <w:widowControl w:val="0"/>
              <w:spacing w:before="0" w:beforeAutospacing="0" w:after="0" w:afterAutospacing="0" w:line="240" w:lineRule="auto"/>
              <w:ind w:firstLine="0" w:firstLineChars="0"/>
              <w:jc w:val="center"/>
              <w:rPr>
                <w:rFonts w:ascii="Times New Roman" w:hAnsi="Times New Roman" w:cs="Times New Roman"/>
                <w:b w:val="0"/>
                <w:color w:val="auto"/>
                <w:kern w:val="2"/>
                <w:sz w:val="21"/>
                <w:szCs w:val="21"/>
              </w:rPr>
            </w:pPr>
            <w:r>
              <w:rPr>
                <w:rFonts w:ascii="Times New Roman" w:hAnsi="Times New Roman" w:cs="Times New Roman"/>
                <w:b w:val="0"/>
                <w:color w:val="auto"/>
                <w:kern w:val="2"/>
                <w:sz w:val="21"/>
                <w:szCs w:val="21"/>
              </w:rPr>
              <w:t>达标</w:t>
            </w:r>
          </w:p>
        </w:tc>
      </w:tr>
      <w:tr w14:paraId="698D390F">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92" w:type="pct"/>
            <w:tcBorders>
              <w:top w:val="single" w:color="auto" w:sz="4" w:space="0"/>
              <w:left w:val="nil"/>
              <w:bottom w:val="single" w:color="auto" w:sz="4" w:space="0"/>
              <w:right w:val="single" w:color="auto" w:sz="4" w:space="0"/>
            </w:tcBorders>
            <w:shd w:val="clear" w:color="auto" w:fill="FFFFFF"/>
            <w:noWrap/>
            <w:vAlign w:val="center"/>
          </w:tcPr>
          <w:p w14:paraId="6864F5B7">
            <w:pPr>
              <w:pStyle w:val="59"/>
              <w:rPr>
                <w:rFonts w:ascii="Times New Roman" w:hAnsi="Times New Roman" w:cs="Times New Roman"/>
                <w:b w:val="0"/>
                <w:color w:val="auto"/>
              </w:rPr>
            </w:pPr>
            <w:r>
              <w:rPr>
                <w:rFonts w:ascii="Times New Roman" w:hAnsi="Times New Roman" w:cs="Times New Roman"/>
                <w:b w:val="0"/>
                <w:color w:val="auto"/>
              </w:rPr>
              <w:t>CO</w:t>
            </w:r>
          </w:p>
        </w:tc>
        <w:tc>
          <w:tcPr>
            <w:tcW w:w="154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9FB37A2">
            <w:pPr>
              <w:pStyle w:val="59"/>
              <w:rPr>
                <w:rFonts w:ascii="Times New Roman" w:hAnsi="Times New Roman" w:cs="Times New Roman"/>
                <w:b w:val="0"/>
                <w:color w:val="auto"/>
              </w:rPr>
            </w:pPr>
            <w:r>
              <w:rPr>
                <w:rFonts w:hint="eastAsia" w:ascii="Times New Roman" w:hAnsi="Times New Roman" w:cs="Times New Roman"/>
                <w:b w:val="0"/>
                <w:color w:val="auto"/>
              </w:rPr>
              <w:t>24小时平均浓度</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CF18276">
            <w:pPr>
              <w:pStyle w:val="59"/>
              <w:rPr>
                <w:rFonts w:ascii="Times New Roman" w:hAnsi="Times New Roman" w:cs="Times New Roman"/>
                <w:b w:val="0"/>
                <w:color w:val="auto"/>
              </w:rPr>
            </w:pPr>
            <w:r>
              <w:rPr>
                <w:rFonts w:hint="eastAsia" w:ascii="Times New Roman" w:hAnsi="Times New Roman" w:cs="Times New Roman"/>
                <w:b w:val="0"/>
                <w:color w:val="auto"/>
                <w:kern w:val="2"/>
                <w:szCs w:val="24"/>
                <w:lang w:val="en-US" w:eastAsia="zh-CN"/>
              </w:rPr>
              <w:t>1.0</w:t>
            </w:r>
            <w:r>
              <w:rPr>
                <w:rFonts w:hint="eastAsia" w:ascii="Times New Roman" w:hAnsi="Times New Roman" w:cs="Times New Roman"/>
                <w:b w:val="0"/>
                <w:color w:val="auto"/>
                <w:kern w:val="2"/>
                <w:szCs w:val="24"/>
              </w:rPr>
              <w:t>（mg/m</w:t>
            </w:r>
            <w:r>
              <w:rPr>
                <w:rFonts w:hint="eastAsia" w:ascii="Times New Roman" w:hAnsi="Times New Roman" w:cs="Times New Roman"/>
                <w:b w:val="0"/>
                <w:color w:val="auto"/>
                <w:kern w:val="2"/>
                <w:szCs w:val="24"/>
                <w:vertAlign w:val="superscript"/>
              </w:rPr>
              <w:t>3</w:t>
            </w:r>
            <w:r>
              <w:rPr>
                <w:rFonts w:hint="eastAsia" w:ascii="Times New Roman" w:hAnsi="Times New Roman" w:cs="Times New Roman"/>
                <w:b w:val="0"/>
                <w:color w:val="auto"/>
                <w:kern w:val="2"/>
                <w:szCs w:val="24"/>
              </w:rPr>
              <w:t>）</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75034D1">
            <w:pPr>
              <w:pStyle w:val="59"/>
              <w:rPr>
                <w:rFonts w:ascii="Times New Roman" w:hAnsi="Times New Roman" w:cs="Times New Roman"/>
                <w:b w:val="0"/>
                <w:color w:val="auto"/>
              </w:rPr>
            </w:pPr>
            <w:r>
              <w:rPr>
                <w:rFonts w:hint="eastAsia" w:ascii="Times New Roman" w:hAnsi="Times New Roman" w:cs="Times New Roman"/>
                <w:b w:val="0"/>
                <w:color w:val="auto"/>
                <w:kern w:val="2"/>
                <w:szCs w:val="24"/>
              </w:rPr>
              <w:t>4（mg/m</w:t>
            </w:r>
            <w:r>
              <w:rPr>
                <w:rFonts w:hint="eastAsia" w:ascii="Times New Roman" w:hAnsi="Times New Roman" w:cs="Times New Roman"/>
                <w:b w:val="0"/>
                <w:color w:val="auto"/>
                <w:kern w:val="2"/>
                <w:szCs w:val="24"/>
                <w:vertAlign w:val="superscript"/>
              </w:rPr>
              <w:t>3</w:t>
            </w:r>
            <w:r>
              <w:rPr>
                <w:rFonts w:hint="eastAsia" w:ascii="Times New Roman" w:hAnsi="Times New Roman" w:cs="Times New Roman"/>
                <w:b w:val="0"/>
                <w:color w:val="auto"/>
                <w:kern w:val="2"/>
                <w:szCs w:val="24"/>
              </w:rPr>
              <w:t>）</w:t>
            </w:r>
          </w:p>
        </w:tc>
        <w:tc>
          <w:tcPr>
            <w:tcW w:w="741"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106716C">
            <w:pPr>
              <w:pStyle w:val="59"/>
              <w:rPr>
                <w:rFonts w:ascii="Times New Roman" w:hAnsi="Times New Roman" w:cs="Times New Roman"/>
                <w:b w:val="0"/>
                <w:color w:val="auto"/>
              </w:rPr>
            </w:pPr>
            <w:r>
              <w:rPr>
                <w:rFonts w:hint="eastAsia" w:ascii="Times New Roman" w:hAnsi="Times New Roman" w:cs="Times New Roman"/>
                <w:b w:val="0"/>
                <w:color w:val="auto"/>
                <w:lang w:val="en-US" w:eastAsia="zh-CN"/>
              </w:rPr>
              <w:t>25</w:t>
            </w:r>
            <w:r>
              <w:rPr>
                <w:rFonts w:hint="eastAsia" w:ascii="Times New Roman" w:hAnsi="Times New Roman" w:cs="Times New Roman"/>
                <w:b w:val="0"/>
                <w:color w:val="auto"/>
              </w:rPr>
              <w:t>%</w:t>
            </w:r>
          </w:p>
        </w:tc>
        <w:tc>
          <w:tcPr>
            <w:tcW w:w="741" w:type="pct"/>
            <w:tcBorders>
              <w:top w:val="single" w:color="auto" w:sz="4" w:space="0"/>
              <w:left w:val="single" w:color="auto" w:sz="4" w:space="0"/>
              <w:bottom w:val="single" w:color="auto" w:sz="4" w:space="0"/>
              <w:right w:val="nil"/>
            </w:tcBorders>
            <w:shd w:val="clear" w:color="auto" w:fill="FFFFFF"/>
            <w:noWrap/>
            <w:vAlign w:val="center"/>
          </w:tcPr>
          <w:p w14:paraId="3C9645B6">
            <w:pPr>
              <w:pStyle w:val="59"/>
              <w:rPr>
                <w:rFonts w:ascii="Times New Roman" w:hAnsi="Times New Roman" w:cs="Times New Roman"/>
                <w:b w:val="0"/>
                <w:color w:val="auto"/>
              </w:rPr>
            </w:pPr>
            <w:r>
              <w:rPr>
                <w:rFonts w:ascii="Times New Roman" w:hAnsi="Times New Roman" w:cs="Times New Roman"/>
                <w:b w:val="0"/>
                <w:color w:val="auto"/>
              </w:rPr>
              <w:t>达标</w:t>
            </w:r>
          </w:p>
        </w:tc>
      </w:tr>
      <w:tr w14:paraId="3A7C765D">
        <w:tblPrEx>
          <w:tblBorders>
            <w:top w:val="single" w:color="auto" w:sz="12" w:space="0"/>
            <w:left w:val="none" w:color="auto" w:sz="6" w:space="0"/>
            <w:bottom w:val="single" w:color="auto" w:sz="12" w:space="0"/>
            <w:right w:val="non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92" w:type="pct"/>
            <w:tcBorders>
              <w:top w:val="single" w:color="auto" w:sz="4" w:space="0"/>
              <w:left w:val="nil"/>
              <w:bottom w:val="single" w:color="000000" w:sz="12" w:space="0"/>
              <w:right w:val="single" w:color="auto" w:sz="4" w:space="0"/>
            </w:tcBorders>
            <w:shd w:val="clear" w:color="auto" w:fill="FFFFFF"/>
            <w:noWrap/>
            <w:vAlign w:val="center"/>
          </w:tcPr>
          <w:p w14:paraId="5BEEA5D9">
            <w:pPr>
              <w:pStyle w:val="59"/>
              <w:rPr>
                <w:rFonts w:ascii="Times New Roman" w:hAnsi="Times New Roman" w:cs="Times New Roman"/>
                <w:b w:val="0"/>
                <w:color w:val="auto"/>
              </w:rPr>
            </w:pPr>
            <w:r>
              <w:rPr>
                <w:rFonts w:ascii="Times New Roman" w:hAnsi="Times New Roman" w:cs="Times New Roman"/>
                <w:b w:val="0"/>
                <w:color w:val="auto"/>
              </w:rPr>
              <w:t>O3</w:t>
            </w:r>
          </w:p>
        </w:tc>
        <w:tc>
          <w:tcPr>
            <w:tcW w:w="1542" w:type="pct"/>
            <w:tcBorders>
              <w:top w:val="single" w:color="auto" w:sz="4" w:space="0"/>
              <w:left w:val="single" w:color="auto" w:sz="4" w:space="0"/>
              <w:bottom w:val="single" w:color="000000" w:sz="12" w:space="0"/>
              <w:right w:val="single" w:color="auto" w:sz="4" w:space="0"/>
            </w:tcBorders>
            <w:shd w:val="clear" w:color="auto" w:fill="FFFFFF"/>
            <w:noWrap/>
            <w:vAlign w:val="center"/>
          </w:tcPr>
          <w:p w14:paraId="7994E2FD">
            <w:pPr>
              <w:pStyle w:val="59"/>
              <w:rPr>
                <w:rFonts w:ascii="Times New Roman" w:hAnsi="Times New Roman" w:cs="Times New Roman"/>
                <w:b w:val="0"/>
                <w:color w:val="auto"/>
              </w:rPr>
            </w:pPr>
            <w:r>
              <w:rPr>
                <w:rFonts w:hint="eastAsia" w:ascii="Times New Roman" w:hAnsi="Times New Roman" w:cs="Times New Roman"/>
                <w:b w:val="0"/>
                <w:color w:val="auto"/>
              </w:rPr>
              <w:t>日最大8小时平均浓度</w:t>
            </w:r>
          </w:p>
        </w:tc>
        <w:tc>
          <w:tcPr>
            <w:tcW w:w="741" w:type="pct"/>
            <w:tcBorders>
              <w:top w:val="single" w:color="auto" w:sz="4" w:space="0"/>
              <w:left w:val="single" w:color="auto" w:sz="4" w:space="0"/>
              <w:bottom w:val="single" w:color="000000" w:sz="12" w:space="0"/>
              <w:right w:val="single" w:color="auto" w:sz="4" w:space="0"/>
            </w:tcBorders>
            <w:shd w:val="clear" w:color="auto" w:fill="FFFFFF"/>
            <w:noWrap/>
            <w:vAlign w:val="center"/>
          </w:tcPr>
          <w:p w14:paraId="264FA708">
            <w:pPr>
              <w:pStyle w:val="59"/>
              <w:rPr>
                <w:rFonts w:hint="eastAsia" w:ascii="Times New Roman" w:hAnsi="Times New Roman" w:eastAsia="宋体" w:cs="Times New Roman"/>
                <w:b w:val="0"/>
                <w:color w:val="auto"/>
                <w:lang w:eastAsia="zh-CN"/>
              </w:rPr>
            </w:pPr>
            <w:r>
              <w:rPr>
                <w:rFonts w:hint="eastAsia" w:ascii="Times New Roman" w:hAnsi="Times New Roman" w:cs="Times New Roman"/>
                <w:b w:val="0"/>
                <w:color w:val="auto"/>
                <w:kern w:val="2"/>
                <w:szCs w:val="24"/>
              </w:rPr>
              <w:t>16</w:t>
            </w:r>
            <w:r>
              <w:rPr>
                <w:rFonts w:hint="eastAsia" w:ascii="Times New Roman" w:hAnsi="Times New Roman" w:cs="Times New Roman"/>
                <w:b w:val="0"/>
                <w:color w:val="auto"/>
                <w:kern w:val="2"/>
                <w:szCs w:val="24"/>
                <w:lang w:val="en-US" w:eastAsia="zh-CN"/>
              </w:rPr>
              <w:t>9</w:t>
            </w:r>
          </w:p>
        </w:tc>
        <w:tc>
          <w:tcPr>
            <w:tcW w:w="741" w:type="pct"/>
            <w:tcBorders>
              <w:top w:val="single" w:color="auto" w:sz="4" w:space="0"/>
              <w:left w:val="single" w:color="auto" w:sz="4" w:space="0"/>
              <w:bottom w:val="single" w:color="000000" w:sz="12" w:space="0"/>
              <w:right w:val="single" w:color="auto" w:sz="4" w:space="0"/>
            </w:tcBorders>
            <w:shd w:val="clear" w:color="auto" w:fill="FFFFFF"/>
            <w:noWrap/>
            <w:vAlign w:val="center"/>
          </w:tcPr>
          <w:p w14:paraId="3F4DF91F">
            <w:pPr>
              <w:pStyle w:val="59"/>
              <w:rPr>
                <w:rFonts w:ascii="Times New Roman" w:hAnsi="Times New Roman" w:cs="Times New Roman"/>
                <w:b w:val="0"/>
                <w:color w:val="auto"/>
              </w:rPr>
            </w:pPr>
            <w:r>
              <w:rPr>
                <w:rFonts w:ascii="Times New Roman" w:hAnsi="Times New Roman" w:cs="Times New Roman"/>
                <w:b w:val="0"/>
                <w:color w:val="auto"/>
                <w:kern w:val="2"/>
                <w:szCs w:val="24"/>
              </w:rPr>
              <w:t>160</w:t>
            </w:r>
          </w:p>
        </w:tc>
        <w:tc>
          <w:tcPr>
            <w:tcW w:w="741" w:type="pct"/>
            <w:tcBorders>
              <w:top w:val="single" w:color="auto" w:sz="4" w:space="0"/>
              <w:left w:val="single" w:color="auto" w:sz="4" w:space="0"/>
              <w:bottom w:val="single" w:color="000000" w:sz="12" w:space="0"/>
              <w:right w:val="single" w:color="auto" w:sz="4" w:space="0"/>
            </w:tcBorders>
            <w:shd w:val="clear" w:color="auto" w:fill="FFFFFF"/>
            <w:noWrap/>
            <w:vAlign w:val="center"/>
          </w:tcPr>
          <w:p w14:paraId="5CBF3831">
            <w:pPr>
              <w:pStyle w:val="59"/>
              <w:rPr>
                <w:rFonts w:ascii="Times New Roman" w:hAnsi="Times New Roman" w:cs="Times New Roman"/>
                <w:b w:val="0"/>
                <w:color w:val="auto"/>
              </w:rPr>
            </w:pPr>
            <w:r>
              <w:rPr>
                <w:rFonts w:hint="eastAsia" w:ascii="Times New Roman" w:hAnsi="Times New Roman" w:cs="Times New Roman"/>
                <w:b w:val="0"/>
                <w:color w:val="auto"/>
              </w:rPr>
              <w:t>10</w:t>
            </w:r>
            <w:r>
              <w:rPr>
                <w:rFonts w:hint="eastAsia" w:ascii="Times New Roman" w:hAnsi="Times New Roman" w:cs="Times New Roman"/>
                <w:b w:val="0"/>
                <w:color w:val="auto"/>
                <w:lang w:val="en-US" w:eastAsia="zh-CN"/>
              </w:rPr>
              <w:t>5.6</w:t>
            </w:r>
            <w:r>
              <w:rPr>
                <w:rFonts w:hint="eastAsia" w:ascii="Times New Roman" w:hAnsi="Times New Roman" w:cs="Times New Roman"/>
                <w:b w:val="0"/>
                <w:color w:val="auto"/>
              </w:rPr>
              <w:t>%</w:t>
            </w:r>
          </w:p>
        </w:tc>
        <w:tc>
          <w:tcPr>
            <w:tcW w:w="741" w:type="pct"/>
            <w:tcBorders>
              <w:top w:val="single" w:color="auto" w:sz="4" w:space="0"/>
              <w:left w:val="single" w:color="auto" w:sz="4" w:space="0"/>
              <w:bottom w:val="single" w:color="000000" w:sz="12" w:space="0"/>
              <w:right w:val="nil"/>
            </w:tcBorders>
            <w:shd w:val="clear" w:color="auto" w:fill="FFFFFF"/>
            <w:noWrap/>
            <w:vAlign w:val="center"/>
          </w:tcPr>
          <w:p w14:paraId="570982A8">
            <w:pPr>
              <w:pStyle w:val="59"/>
              <w:rPr>
                <w:rFonts w:hint="eastAsia" w:ascii="Times New Roman" w:hAnsi="Times New Roman" w:eastAsia="宋体" w:cs="Times New Roman"/>
                <w:b w:val="0"/>
                <w:color w:val="auto"/>
                <w:lang w:eastAsia="zh-CN"/>
              </w:rPr>
            </w:pPr>
            <w:r>
              <w:rPr>
                <w:rFonts w:hint="eastAsia" w:ascii="Times New Roman" w:hAnsi="Times New Roman" w:cs="Times New Roman"/>
                <w:b w:val="0"/>
                <w:color w:val="auto"/>
                <w:lang w:val="en-US" w:eastAsia="zh-CN"/>
              </w:rPr>
              <w:t>超标</w:t>
            </w:r>
          </w:p>
        </w:tc>
      </w:tr>
    </w:tbl>
    <w:p w14:paraId="5F51F8AD">
      <w:pPr>
        <w:bidi w:val="0"/>
        <w:rPr>
          <w:color w:val="auto"/>
        </w:rPr>
      </w:pPr>
      <w:r>
        <w:rPr>
          <w:rFonts w:hint="eastAsia" w:ascii="Times New Roman" w:hAnsi="Times New Roman" w:cs="Times New Roman"/>
          <w:color w:val="auto"/>
        </w:rPr>
        <w:t>由上表可知，</w:t>
      </w:r>
      <w:r>
        <w:rPr>
          <w:rFonts w:hint="eastAsia" w:ascii="Times New Roman" w:hAnsi="Times New Roman" w:cs="Times New Roman"/>
          <w:color w:val="auto"/>
          <w:lang w:eastAsia="zh-CN"/>
        </w:rPr>
        <w:t>二氧化硫</w:t>
      </w:r>
      <w:r>
        <w:rPr>
          <w:rFonts w:hint="eastAsia" w:ascii="Times New Roman" w:hAnsi="Times New Roman" w:cs="Times New Roman"/>
          <w:color w:val="auto"/>
        </w:rPr>
        <w:t>、NO</w:t>
      </w:r>
      <w:r>
        <w:rPr>
          <w:rFonts w:hint="eastAsia" w:ascii="Times New Roman" w:hAnsi="Times New Roman" w:cs="Times New Roman"/>
          <w:color w:val="auto"/>
          <w:vertAlign w:val="subscript"/>
        </w:rPr>
        <w:t>2</w:t>
      </w:r>
      <w:r>
        <w:rPr>
          <w:rFonts w:hint="eastAsia" w:ascii="Times New Roman" w:hAnsi="Times New Roman" w:cs="Times New Roman"/>
          <w:color w:val="auto"/>
        </w:rPr>
        <w:t>、PM</w:t>
      </w:r>
      <w:r>
        <w:rPr>
          <w:rFonts w:hint="eastAsia" w:ascii="Times New Roman" w:hAnsi="Times New Roman" w:cs="Times New Roman"/>
          <w:color w:val="auto"/>
          <w:vertAlign w:val="subscript"/>
        </w:rPr>
        <w:t>10</w:t>
      </w:r>
      <w:r>
        <w:rPr>
          <w:rFonts w:hint="eastAsia" w:ascii="Times New Roman" w:hAnsi="Times New Roman" w:cs="Times New Roman"/>
          <w:color w:val="auto"/>
        </w:rPr>
        <w:t>、CO、PM</w:t>
      </w:r>
      <w:r>
        <w:rPr>
          <w:rFonts w:hint="eastAsia" w:ascii="Times New Roman" w:hAnsi="Times New Roman" w:cs="Times New Roman"/>
          <w:color w:val="auto"/>
          <w:vertAlign w:val="subscript"/>
        </w:rPr>
        <w:t>2.5</w:t>
      </w:r>
      <w:r>
        <w:rPr>
          <w:rFonts w:hint="eastAsia" w:ascii="Times New Roman" w:hAnsi="Times New Roman" w:cs="Times New Roman"/>
          <w:color w:val="auto"/>
        </w:rPr>
        <w:t>污染物监测数据均达到《环境空气质量标准》（GB3095-2012）及其修改单中二级标准要求，臭氧</w:t>
      </w:r>
      <w:r>
        <w:rPr>
          <w:rFonts w:hint="eastAsia" w:ascii="Times New Roman" w:hAnsi="Times New Roman" w:cs="Times New Roman"/>
          <w:color w:val="auto"/>
          <w:lang w:val="en-US" w:eastAsia="zh-CN"/>
        </w:rPr>
        <w:t>超标，</w:t>
      </w:r>
      <w:r>
        <w:rPr>
          <w:rFonts w:hint="eastAsia" w:ascii="Times New Roman" w:hAnsi="Times New Roman" w:cs="Times New Roman"/>
          <w:color w:val="auto"/>
        </w:rPr>
        <w:t>表明项目所在区域鹤山市为环境空气质量</w:t>
      </w:r>
      <w:r>
        <w:rPr>
          <w:rFonts w:hint="eastAsia" w:ascii="Times New Roman" w:hAnsi="Times New Roman" w:cs="Times New Roman"/>
          <w:color w:val="auto"/>
          <w:lang w:val="en-US" w:eastAsia="zh-CN"/>
        </w:rPr>
        <w:t>不</w:t>
      </w:r>
      <w:r>
        <w:rPr>
          <w:rFonts w:hint="eastAsia" w:ascii="Times New Roman" w:hAnsi="Times New Roman" w:cs="Times New Roman"/>
          <w:color w:val="auto"/>
        </w:rPr>
        <w:t>达标区。</w:t>
      </w:r>
    </w:p>
    <w:p w14:paraId="354B4D63">
      <w:pPr>
        <w:pStyle w:val="64"/>
        <w:numPr>
          <w:ilvl w:val="2"/>
          <w:numId w:val="8"/>
        </w:numPr>
        <w:spacing w:before="166" w:after="166"/>
        <w:ind w:left="709" w:leftChars="0" w:hanging="709" w:firstLineChars="0"/>
        <w:rPr>
          <w:color w:val="auto"/>
        </w:rPr>
      </w:pPr>
      <w:r>
        <w:rPr>
          <w:color w:val="auto"/>
        </w:rPr>
        <w:t>其他污染物环境空气质量调查</w:t>
      </w:r>
    </w:p>
    <w:p w14:paraId="222CE043">
      <w:pPr>
        <w:bidi w:val="0"/>
        <w:rPr>
          <w:rFonts w:hint="eastAsia"/>
          <w:lang w:val="en-US" w:eastAsia="zh-CN"/>
        </w:rPr>
      </w:pPr>
      <w:r>
        <w:rPr>
          <w:rFonts w:hint="eastAsia"/>
          <w:lang w:val="en-US" w:eastAsia="zh-CN"/>
        </w:rPr>
        <w:t>根据《环境影响评价技术导则 大气环境 》（HJ2.2-2018）：</w:t>
      </w:r>
    </w:p>
    <w:p w14:paraId="3BA05465">
      <w:pPr>
        <w:bidi w:val="0"/>
      </w:pPr>
      <w:r>
        <w:rPr>
          <w:lang w:val="en-US" w:eastAsia="zh-CN"/>
        </w:rPr>
        <w:t xml:space="preserve">6.3.1.1 </w:t>
      </w:r>
      <w:r>
        <w:rPr>
          <w:rFonts w:hint="eastAsia"/>
          <w:lang w:val="en-US" w:eastAsia="zh-CN"/>
        </w:rPr>
        <w:t xml:space="preserve">根据监测因子的污染特征，选择污染较重的季节进行现状监测。补充监测应至少取得 </w:t>
      </w:r>
      <w:r>
        <w:rPr>
          <w:rFonts w:hint="default"/>
          <w:lang w:val="en-US" w:eastAsia="zh-CN"/>
        </w:rPr>
        <w:t xml:space="preserve">7 d </w:t>
      </w:r>
      <w:r>
        <w:rPr>
          <w:rFonts w:hint="eastAsia"/>
          <w:lang w:val="en-US" w:eastAsia="zh-CN"/>
        </w:rPr>
        <w:t xml:space="preserve">有效数据。 </w:t>
      </w:r>
    </w:p>
    <w:p w14:paraId="72C17CFC">
      <w:pPr>
        <w:bidi w:val="0"/>
      </w:pPr>
      <w:r>
        <w:rPr>
          <w:rFonts w:hint="default"/>
          <w:lang w:val="en-US" w:eastAsia="zh-CN"/>
        </w:rPr>
        <w:t xml:space="preserve">6.3.1.2 </w:t>
      </w:r>
      <w:r>
        <w:rPr>
          <w:rFonts w:hint="eastAsia"/>
          <w:lang w:val="en-US" w:eastAsia="zh-CN"/>
        </w:rPr>
        <w:t xml:space="preserve">对于部分无法进行连续监测的其他污染物，可监测其一次空气质量浓度，监测时次应满足所用评价标准的取值时间要求。 </w:t>
      </w:r>
    </w:p>
    <w:p w14:paraId="3B0764A0">
      <w:pPr>
        <w:bidi w:val="0"/>
      </w:pPr>
      <w:r>
        <w:rPr>
          <w:rFonts w:hint="default"/>
          <w:lang w:val="en-US" w:eastAsia="zh-CN"/>
        </w:rPr>
        <w:t xml:space="preserve">6.3.2 </w:t>
      </w:r>
      <w:r>
        <w:rPr>
          <w:rFonts w:hint="eastAsia"/>
          <w:lang w:val="en-US" w:eastAsia="zh-CN"/>
        </w:rPr>
        <w:t xml:space="preserve">监测布点 以近 </w:t>
      </w:r>
      <w:r>
        <w:rPr>
          <w:rFonts w:hint="default"/>
          <w:lang w:val="en-US" w:eastAsia="zh-CN"/>
        </w:rPr>
        <w:t xml:space="preserve">20 </w:t>
      </w:r>
      <w:r>
        <w:rPr>
          <w:rFonts w:hint="eastAsia"/>
          <w:lang w:val="en-US" w:eastAsia="zh-CN"/>
        </w:rPr>
        <w:t xml:space="preserve">年统计的当地主导风向为轴向，在厂址及主导风向下风向 </w:t>
      </w:r>
      <w:r>
        <w:rPr>
          <w:rFonts w:hint="default"/>
          <w:lang w:val="en-US" w:eastAsia="zh-CN"/>
        </w:rPr>
        <w:t>5 km</w:t>
      </w:r>
      <w:r>
        <w:rPr>
          <w:rFonts w:hint="eastAsia"/>
          <w:lang w:val="en-US" w:eastAsia="zh-CN"/>
        </w:rPr>
        <w:t xml:space="preserve">范围内设置 </w:t>
      </w:r>
      <w:r>
        <w:rPr>
          <w:rFonts w:hint="default"/>
          <w:lang w:val="en-US" w:eastAsia="zh-CN"/>
        </w:rPr>
        <w:t>1</w:t>
      </w:r>
      <w:r>
        <w:rPr>
          <w:rFonts w:hint="eastAsia"/>
          <w:lang w:val="en-US" w:eastAsia="zh-CN"/>
        </w:rPr>
        <w:t>～</w:t>
      </w:r>
      <w:r>
        <w:rPr>
          <w:rFonts w:hint="default"/>
          <w:lang w:val="en-US" w:eastAsia="zh-CN"/>
        </w:rPr>
        <w:t xml:space="preserve">2 </w:t>
      </w:r>
      <w:r>
        <w:rPr>
          <w:rFonts w:hint="eastAsia"/>
          <w:lang w:val="en-US" w:eastAsia="zh-CN"/>
        </w:rPr>
        <w:t xml:space="preserve">个监测点。如需在一类区进行补充监测，监测点应设置在不受人为活动影响的区域。 </w:t>
      </w:r>
    </w:p>
    <w:p w14:paraId="402A1AC6">
      <w:pPr>
        <w:bidi w:val="0"/>
      </w:pPr>
      <w:r>
        <w:rPr>
          <w:rFonts w:hint="default"/>
          <w:lang w:val="en-US" w:eastAsia="zh-CN"/>
        </w:rPr>
        <w:t xml:space="preserve">6.3.3 </w:t>
      </w:r>
      <w:r>
        <w:rPr>
          <w:rFonts w:hint="eastAsia"/>
          <w:lang w:val="en-US" w:eastAsia="zh-CN"/>
        </w:rPr>
        <w:t xml:space="preserve">监测方法 </w:t>
      </w:r>
    </w:p>
    <w:p w14:paraId="46D9C5C7">
      <w:pPr>
        <w:bidi w:val="0"/>
      </w:pPr>
      <w:r>
        <w:rPr>
          <w:rFonts w:hint="eastAsia"/>
          <w:lang w:val="en-US" w:eastAsia="zh-CN"/>
        </w:rPr>
        <w:t xml:space="preserve">应选择符合监测因子对应环境质量标准或参考标准所推荐的监测方法，并在评价报告中注明。 </w:t>
      </w:r>
    </w:p>
    <w:p w14:paraId="3DFFDBD1">
      <w:pPr>
        <w:bidi w:val="0"/>
      </w:pPr>
      <w:r>
        <w:rPr>
          <w:rFonts w:hint="default"/>
          <w:lang w:val="en-US" w:eastAsia="zh-CN"/>
        </w:rPr>
        <w:t xml:space="preserve">6.3.4 </w:t>
      </w:r>
      <w:r>
        <w:rPr>
          <w:rFonts w:hint="eastAsia"/>
          <w:lang w:val="en-US" w:eastAsia="zh-CN"/>
        </w:rPr>
        <w:t xml:space="preserve">监测采样 环境空气监测中的采样点、采样环境、采样高度及采样频率，按 </w:t>
      </w:r>
      <w:r>
        <w:rPr>
          <w:rFonts w:hint="default"/>
          <w:lang w:val="en-US" w:eastAsia="zh-CN"/>
        </w:rPr>
        <w:t xml:space="preserve">HJ 664 </w:t>
      </w:r>
      <w:r>
        <w:rPr>
          <w:rFonts w:hint="eastAsia"/>
          <w:lang w:val="en-US" w:eastAsia="zh-CN"/>
        </w:rPr>
        <w:t>及相关评价标准规定的环 境监测技术规范执行。</w:t>
      </w:r>
    </w:p>
    <w:p w14:paraId="030C1C7C">
      <w:pPr>
        <w:ind w:firstLine="480"/>
        <w:rPr>
          <w:rFonts w:hint="eastAsia"/>
          <w:color w:val="auto"/>
        </w:rPr>
      </w:pPr>
      <w:r>
        <w:rPr>
          <w:rFonts w:hint="eastAsia"/>
          <w:color w:val="auto"/>
        </w:rPr>
        <w:t>本项目</w:t>
      </w:r>
      <w:r>
        <w:rPr>
          <w:rFonts w:hint="eastAsia"/>
          <w:color w:val="auto"/>
          <w:lang w:val="en-US" w:eastAsia="zh-CN"/>
        </w:rPr>
        <w:t>委托广东中诺检测技术有限公司对下风向前江村连续监测7d</w:t>
      </w:r>
      <w:r>
        <w:rPr>
          <w:rFonts w:hint="eastAsia"/>
          <w:color w:val="auto"/>
        </w:rPr>
        <w:t>来评价本项目所在地大气质量现状。</w:t>
      </w:r>
    </w:p>
    <w:p w14:paraId="6CA34717">
      <w:pPr>
        <w:ind w:firstLine="482"/>
        <w:rPr>
          <w:b/>
          <w:bCs/>
          <w:color w:val="auto"/>
        </w:rPr>
      </w:pPr>
      <w:r>
        <w:rPr>
          <w:rFonts w:hint="eastAsia"/>
          <w:b/>
          <w:bCs/>
          <w:color w:val="auto"/>
        </w:rPr>
        <w:t>1、其他污染物补充监测点位基本信息</w:t>
      </w:r>
    </w:p>
    <w:p w14:paraId="601CC898">
      <w:pPr>
        <w:ind w:firstLine="480"/>
        <w:rPr>
          <w:color w:val="auto"/>
        </w:rPr>
      </w:pPr>
      <w:r>
        <w:rPr>
          <w:color w:val="auto"/>
        </w:rPr>
        <w:t>见</w:t>
      </w:r>
      <w:r>
        <w:rPr>
          <w:rFonts w:hint="eastAsia"/>
          <w:color w:val="auto"/>
          <w:lang w:eastAsia="zh-CN"/>
        </w:rPr>
        <w:t>表</w:t>
      </w:r>
      <w:r>
        <w:rPr>
          <w:rFonts w:hint="eastAsia"/>
          <w:color w:val="auto"/>
          <w:lang w:val="en-US" w:eastAsia="zh-CN"/>
        </w:rPr>
        <w:t>3</w:t>
      </w:r>
      <w:r>
        <w:rPr>
          <w:rFonts w:hint="eastAsia"/>
          <w:color w:val="auto"/>
        </w:rPr>
        <w:t>.3-2</w:t>
      </w:r>
      <w:r>
        <w:rPr>
          <w:color w:val="auto"/>
        </w:rPr>
        <w:t>及图</w:t>
      </w:r>
      <w:r>
        <w:rPr>
          <w:rFonts w:hint="eastAsia"/>
          <w:color w:val="auto"/>
        </w:rPr>
        <w:t>3.3-1</w:t>
      </w:r>
      <w:r>
        <w:rPr>
          <w:color w:val="auto"/>
        </w:rPr>
        <w:t>。</w:t>
      </w:r>
    </w:p>
    <w:p w14:paraId="2927C883">
      <w:pPr>
        <w:pStyle w:val="62"/>
        <w:numPr>
          <w:ilvl w:val="0"/>
          <w:numId w:val="36"/>
        </w:numPr>
        <w:ind w:left="0" w:leftChars="0" w:firstLine="0"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其他污染物补充监测点位基本信息</w:t>
      </w:r>
    </w:p>
    <w:tbl>
      <w:tblPr>
        <w:tblStyle w:val="38"/>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649"/>
        <w:gridCol w:w="1365"/>
        <w:gridCol w:w="1590"/>
        <w:gridCol w:w="1199"/>
        <w:gridCol w:w="754"/>
        <w:gridCol w:w="938"/>
        <w:gridCol w:w="923"/>
      </w:tblGrid>
      <w:tr w14:paraId="55CD38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64" w:type="pct"/>
            <w:vMerge w:val="restart"/>
            <w:tcBorders>
              <w:top w:val="single" w:color="000000" w:sz="12" w:space="0"/>
              <w:tl2br w:val="nil"/>
            </w:tcBorders>
            <w:shd w:val="clear" w:color="auto" w:fill="FFFFFF"/>
            <w:vAlign w:val="center"/>
          </w:tcPr>
          <w:p w14:paraId="3EB7D738">
            <w:pPr>
              <w:pStyle w:val="69"/>
              <w:rPr>
                <w:b w:val="0"/>
                <w:color w:val="000000"/>
              </w:rPr>
            </w:pPr>
            <w:r>
              <w:rPr>
                <w:rFonts w:hint="eastAsia"/>
                <w:b w:val="0"/>
                <w:color w:val="000000"/>
              </w:rPr>
              <w:t>监测点位</w:t>
            </w:r>
          </w:p>
        </w:tc>
        <w:tc>
          <w:tcPr>
            <w:tcW w:w="1623" w:type="pct"/>
            <w:gridSpan w:val="2"/>
            <w:tcBorders>
              <w:top w:val="single" w:color="000000" w:sz="12" w:space="0"/>
            </w:tcBorders>
            <w:shd w:val="clear" w:color="auto" w:fill="FFFFFF"/>
            <w:vAlign w:val="center"/>
          </w:tcPr>
          <w:p w14:paraId="28D1459E">
            <w:pPr>
              <w:pStyle w:val="69"/>
              <w:rPr>
                <w:b w:val="0"/>
                <w:color w:val="000000"/>
              </w:rPr>
            </w:pPr>
            <w:r>
              <w:rPr>
                <w:rFonts w:hint="eastAsia"/>
                <w:b w:val="0"/>
                <w:color w:val="000000"/>
              </w:rPr>
              <w:t>监测点坐标</w:t>
            </w:r>
          </w:p>
        </w:tc>
        <w:tc>
          <w:tcPr>
            <w:tcW w:w="856" w:type="pct"/>
            <w:vMerge w:val="restart"/>
            <w:tcBorders>
              <w:top w:val="single" w:color="000000" w:sz="12" w:space="0"/>
            </w:tcBorders>
            <w:shd w:val="clear" w:color="auto" w:fill="FFFFFF"/>
            <w:vAlign w:val="center"/>
          </w:tcPr>
          <w:p w14:paraId="36F70433">
            <w:pPr>
              <w:pStyle w:val="69"/>
              <w:rPr>
                <w:b w:val="0"/>
                <w:color w:val="000000"/>
              </w:rPr>
            </w:pPr>
            <w:r>
              <w:rPr>
                <w:rFonts w:hint="eastAsia"/>
                <w:b w:val="0"/>
                <w:color w:val="000000"/>
              </w:rPr>
              <w:t>监测因子</w:t>
            </w:r>
          </w:p>
        </w:tc>
        <w:tc>
          <w:tcPr>
            <w:tcW w:w="645" w:type="pct"/>
            <w:vMerge w:val="restart"/>
            <w:tcBorders>
              <w:top w:val="single" w:color="000000" w:sz="12" w:space="0"/>
            </w:tcBorders>
            <w:shd w:val="clear" w:color="auto" w:fill="FFFFFF"/>
            <w:vAlign w:val="center"/>
          </w:tcPr>
          <w:p w14:paraId="623A6593">
            <w:pPr>
              <w:pStyle w:val="69"/>
              <w:rPr>
                <w:b w:val="0"/>
                <w:color w:val="000000"/>
              </w:rPr>
            </w:pPr>
            <w:r>
              <w:rPr>
                <w:rFonts w:hint="eastAsia"/>
                <w:b w:val="0"/>
                <w:color w:val="000000"/>
              </w:rPr>
              <w:t>监测时段</w:t>
            </w:r>
          </w:p>
        </w:tc>
        <w:tc>
          <w:tcPr>
            <w:tcW w:w="406" w:type="pct"/>
            <w:vMerge w:val="restart"/>
            <w:tcBorders>
              <w:top w:val="single" w:color="000000" w:sz="12" w:space="0"/>
            </w:tcBorders>
            <w:shd w:val="clear" w:color="auto" w:fill="FFFFFF"/>
            <w:vAlign w:val="center"/>
          </w:tcPr>
          <w:p w14:paraId="0D90889F">
            <w:pPr>
              <w:pStyle w:val="69"/>
              <w:rPr>
                <w:b w:val="0"/>
                <w:color w:val="000000"/>
              </w:rPr>
            </w:pPr>
            <w:r>
              <w:rPr>
                <w:rFonts w:hint="eastAsia"/>
                <w:b w:val="0"/>
                <w:color w:val="000000"/>
              </w:rPr>
              <w:t>相对厂址方位</w:t>
            </w:r>
          </w:p>
        </w:tc>
        <w:tc>
          <w:tcPr>
            <w:tcW w:w="505" w:type="pct"/>
            <w:vMerge w:val="restart"/>
            <w:tcBorders>
              <w:top w:val="single" w:color="000000" w:sz="12" w:space="0"/>
            </w:tcBorders>
            <w:shd w:val="clear" w:color="auto" w:fill="FFFFFF"/>
            <w:vAlign w:val="center"/>
          </w:tcPr>
          <w:p w14:paraId="51107C1F">
            <w:pPr>
              <w:pStyle w:val="69"/>
              <w:rPr>
                <w:b w:val="0"/>
                <w:color w:val="000000"/>
              </w:rPr>
            </w:pPr>
            <w:r>
              <w:rPr>
                <w:rFonts w:hint="eastAsia"/>
                <w:b w:val="0"/>
                <w:color w:val="000000"/>
              </w:rPr>
              <w:t>相对厂界距离/m</w:t>
            </w:r>
          </w:p>
        </w:tc>
        <w:tc>
          <w:tcPr>
            <w:tcW w:w="497" w:type="pct"/>
            <w:vMerge w:val="restart"/>
            <w:tcBorders>
              <w:top w:val="single" w:color="000000" w:sz="12" w:space="0"/>
            </w:tcBorders>
            <w:shd w:val="clear" w:color="auto" w:fill="FFFFFF"/>
            <w:vAlign w:val="center"/>
          </w:tcPr>
          <w:p w14:paraId="5A7086CA">
            <w:pPr>
              <w:pStyle w:val="69"/>
              <w:rPr>
                <w:b w:val="0"/>
                <w:color w:val="000000"/>
              </w:rPr>
            </w:pPr>
            <w:r>
              <w:rPr>
                <w:rFonts w:hint="eastAsia"/>
                <w:b w:val="0"/>
                <w:color w:val="000000"/>
              </w:rPr>
              <w:t>监测时间</w:t>
            </w:r>
          </w:p>
        </w:tc>
      </w:tr>
      <w:tr w14:paraId="0703E8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64" w:type="pct"/>
            <w:vMerge w:val="continue"/>
            <w:shd w:val="clear" w:color="auto" w:fill="FFFFFF"/>
            <w:vAlign w:val="center"/>
          </w:tcPr>
          <w:p w14:paraId="55C56107">
            <w:pPr>
              <w:pStyle w:val="69"/>
              <w:rPr>
                <w:b w:val="0"/>
                <w:color w:val="000000"/>
              </w:rPr>
            </w:pPr>
          </w:p>
        </w:tc>
        <w:tc>
          <w:tcPr>
            <w:tcW w:w="888" w:type="pct"/>
            <w:shd w:val="clear" w:color="auto" w:fill="FFFFFF"/>
            <w:vAlign w:val="center"/>
          </w:tcPr>
          <w:p w14:paraId="2C9E5BAF">
            <w:pPr>
              <w:pStyle w:val="69"/>
              <w:rPr>
                <w:b w:val="0"/>
                <w:color w:val="000000"/>
              </w:rPr>
            </w:pPr>
            <w:r>
              <w:rPr>
                <w:rFonts w:hint="eastAsia"/>
                <w:b w:val="0"/>
                <w:color w:val="000000"/>
              </w:rPr>
              <w:t>X</w:t>
            </w:r>
          </w:p>
        </w:tc>
        <w:tc>
          <w:tcPr>
            <w:tcW w:w="735" w:type="pct"/>
            <w:shd w:val="clear" w:color="auto" w:fill="FFFFFF"/>
            <w:vAlign w:val="center"/>
          </w:tcPr>
          <w:p w14:paraId="40A86561">
            <w:pPr>
              <w:pStyle w:val="69"/>
              <w:rPr>
                <w:b w:val="0"/>
                <w:color w:val="000000"/>
              </w:rPr>
            </w:pPr>
            <w:r>
              <w:rPr>
                <w:rFonts w:hint="eastAsia"/>
                <w:b w:val="0"/>
                <w:color w:val="000000"/>
              </w:rPr>
              <w:t>Y</w:t>
            </w:r>
          </w:p>
        </w:tc>
        <w:tc>
          <w:tcPr>
            <w:tcW w:w="856" w:type="pct"/>
            <w:vMerge w:val="continue"/>
            <w:shd w:val="clear" w:color="auto" w:fill="FFFFFF"/>
            <w:vAlign w:val="center"/>
          </w:tcPr>
          <w:p w14:paraId="06E304AF">
            <w:pPr>
              <w:pStyle w:val="69"/>
              <w:rPr>
                <w:b w:val="0"/>
                <w:color w:val="000000"/>
              </w:rPr>
            </w:pPr>
          </w:p>
        </w:tc>
        <w:tc>
          <w:tcPr>
            <w:tcW w:w="645" w:type="pct"/>
            <w:vMerge w:val="continue"/>
            <w:shd w:val="clear" w:color="auto" w:fill="FFFFFF"/>
            <w:vAlign w:val="center"/>
          </w:tcPr>
          <w:p w14:paraId="38907DD8">
            <w:pPr>
              <w:pStyle w:val="69"/>
              <w:rPr>
                <w:b w:val="0"/>
                <w:color w:val="000000"/>
              </w:rPr>
            </w:pPr>
          </w:p>
        </w:tc>
        <w:tc>
          <w:tcPr>
            <w:tcW w:w="406" w:type="pct"/>
            <w:vMerge w:val="continue"/>
            <w:shd w:val="clear" w:color="auto" w:fill="FFFFFF"/>
            <w:vAlign w:val="center"/>
          </w:tcPr>
          <w:p w14:paraId="090A9E3A">
            <w:pPr>
              <w:pStyle w:val="69"/>
              <w:rPr>
                <w:b w:val="0"/>
                <w:color w:val="000000"/>
              </w:rPr>
            </w:pPr>
          </w:p>
        </w:tc>
        <w:tc>
          <w:tcPr>
            <w:tcW w:w="505" w:type="pct"/>
            <w:vMerge w:val="continue"/>
            <w:shd w:val="clear" w:color="auto" w:fill="FFFFFF"/>
            <w:vAlign w:val="center"/>
          </w:tcPr>
          <w:p w14:paraId="7248AE98">
            <w:pPr>
              <w:pStyle w:val="69"/>
              <w:rPr>
                <w:b w:val="0"/>
                <w:color w:val="000000"/>
              </w:rPr>
            </w:pPr>
          </w:p>
        </w:tc>
        <w:tc>
          <w:tcPr>
            <w:tcW w:w="497" w:type="pct"/>
            <w:vMerge w:val="continue"/>
            <w:shd w:val="clear" w:color="auto" w:fill="FFFFFF"/>
            <w:vAlign w:val="center"/>
          </w:tcPr>
          <w:p w14:paraId="26FDA8C1">
            <w:pPr>
              <w:pStyle w:val="69"/>
              <w:rPr>
                <w:b w:val="0"/>
                <w:color w:val="000000"/>
              </w:rPr>
            </w:pPr>
          </w:p>
        </w:tc>
      </w:tr>
      <w:tr w14:paraId="76A34A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restart"/>
            <w:shd w:val="clear" w:color="auto" w:fill="FFFFFF"/>
            <w:vAlign w:val="center"/>
          </w:tcPr>
          <w:p w14:paraId="0107F18E">
            <w:pPr>
              <w:pStyle w:val="69"/>
              <w:rPr>
                <w:rFonts w:hint="default" w:eastAsia="宋体"/>
                <w:b w:val="0"/>
                <w:color w:val="000000"/>
                <w:lang w:val="en-US" w:eastAsia="zh-CN"/>
              </w:rPr>
            </w:pPr>
            <w:r>
              <w:rPr>
                <w:rFonts w:hint="eastAsia"/>
                <w:b w:val="0"/>
                <w:color w:val="000000"/>
                <w:lang w:val="en-US" w:eastAsia="zh-CN"/>
              </w:rPr>
              <w:t>前江村</w:t>
            </w:r>
          </w:p>
        </w:tc>
        <w:tc>
          <w:tcPr>
            <w:tcW w:w="888" w:type="pct"/>
            <w:vMerge w:val="restart"/>
            <w:shd w:val="clear" w:color="auto" w:fill="FFFFFF"/>
            <w:vAlign w:val="center"/>
          </w:tcPr>
          <w:p w14:paraId="69AF966E">
            <w:pPr>
              <w:bidi w:val="0"/>
              <w:ind w:firstLine="480" w:firstLineChars="200"/>
              <w:rPr>
                <w:b w:val="0"/>
                <w:color w:val="000000"/>
              </w:rPr>
            </w:pPr>
            <w:r>
              <w:rPr>
                <w:rFonts w:hint="eastAsia"/>
              </w:rPr>
              <w:t>308</w:t>
            </w:r>
          </w:p>
        </w:tc>
        <w:tc>
          <w:tcPr>
            <w:tcW w:w="735" w:type="pct"/>
            <w:vMerge w:val="restart"/>
            <w:shd w:val="clear" w:color="auto" w:fill="FFFFFF"/>
            <w:vAlign w:val="center"/>
          </w:tcPr>
          <w:p w14:paraId="23D4C98B">
            <w:pPr>
              <w:bidi w:val="0"/>
              <w:ind w:firstLine="480" w:firstLineChars="200"/>
              <w:rPr>
                <w:b w:val="0"/>
                <w:color w:val="000000"/>
              </w:rPr>
            </w:pPr>
            <w:r>
              <w:rPr>
                <w:rFonts w:hint="eastAsia"/>
              </w:rPr>
              <w:t>-642</w:t>
            </w:r>
          </w:p>
        </w:tc>
        <w:tc>
          <w:tcPr>
            <w:tcW w:w="856" w:type="pct"/>
            <w:vMerge w:val="restart"/>
            <w:shd w:val="clear" w:color="auto" w:fill="FFFFFF"/>
            <w:vAlign w:val="center"/>
          </w:tcPr>
          <w:p w14:paraId="2E1A93C0">
            <w:pPr>
              <w:pStyle w:val="69"/>
              <w:rPr>
                <w:rFonts w:hint="default" w:eastAsia="宋体"/>
                <w:b w:val="0"/>
                <w:color w:val="000000"/>
                <w:lang w:val="en-US" w:eastAsia="zh-CN"/>
              </w:rPr>
            </w:pPr>
            <w:r>
              <w:rPr>
                <w:rFonts w:hint="eastAsia"/>
                <w:b w:val="0"/>
                <w:color w:val="000000"/>
                <w:lang w:val="en-US" w:eastAsia="zh-CN"/>
              </w:rPr>
              <w:t>NOx</w:t>
            </w:r>
          </w:p>
        </w:tc>
        <w:tc>
          <w:tcPr>
            <w:tcW w:w="645" w:type="pct"/>
            <w:shd w:val="clear" w:color="auto" w:fill="FFFFFF"/>
            <w:vAlign w:val="center"/>
          </w:tcPr>
          <w:p w14:paraId="7D8776F1">
            <w:pPr>
              <w:tabs>
                <w:tab w:val="left" w:pos="480"/>
              </w:tabs>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sz w:val="21"/>
                <w:lang w:val="en-US" w:eastAsia="zh-CN"/>
              </w:rPr>
              <w:t>日</w:t>
            </w:r>
            <w:r>
              <w:rPr>
                <w:b w:val="0"/>
                <w:color w:val="000000"/>
                <w:sz w:val="21"/>
              </w:rPr>
              <w:t>平均</w:t>
            </w:r>
          </w:p>
        </w:tc>
        <w:tc>
          <w:tcPr>
            <w:tcW w:w="406" w:type="pct"/>
            <w:vMerge w:val="restart"/>
            <w:shd w:val="clear" w:color="auto" w:fill="FFFFFF"/>
            <w:vAlign w:val="center"/>
          </w:tcPr>
          <w:p w14:paraId="06F880D7">
            <w:pPr>
              <w:pStyle w:val="69"/>
              <w:rPr>
                <w:rFonts w:hint="default" w:eastAsia="宋体"/>
                <w:b w:val="0"/>
                <w:color w:val="000000"/>
                <w:lang w:val="en-US" w:eastAsia="zh-CN"/>
              </w:rPr>
            </w:pPr>
            <w:r>
              <w:rPr>
                <w:rFonts w:hint="eastAsia"/>
                <w:b w:val="0"/>
                <w:color w:val="000000"/>
                <w:lang w:val="en-US" w:eastAsia="zh-CN"/>
              </w:rPr>
              <w:t>南</w:t>
            </w:r>
          </w:p>
        </w:tc>
        <w:tc>
          <w:tcPr>
            <w:tcW w:w="505" w:type="pct"/>
            <w:vMerge w:val="restart"/>
            <w:shd w:val="clear" w:color="auto" w:fill="FFFFFF"/>
            <w:vAlign w:val="center"/>
          </w:tcPr>
          <w:p w14:paraId="155AF34F">
            <w:pPr>
              <w:pStyle w:val="69"/>
              <w:rPr>
                <w:rFonts w:hint="default" w:eastAsia="宋体"/>
                <w:b w:val="0"/>
                <w:color w:val="000000"/>
                <w:lang w:val="en-US" w:eastAsia="zh-CN"/>
              </w:rPr>
            </w:pPr>
            <w:r>
              <w:rPr>
                <w:rFonts w:hint="eastAsia"/>
                <w:b w:val="0"/>
                <w:color w:val="000000"/>
                <w:lang w:val="en-US" w:eastAsia="zh-CN"/>
              </w:rPr>
              <w:t>780</w:t>
            </w:r>
          </w:p>
        </w:tc>
        <w:tc>
          <w:tcPr>
            <w:tcW w:w="497" w:type="pct"/>
            <w:vMerge w:val="restart"/>
            <w:shd w:val="clear" w:color="auto" w:fill="FFFFFF"/>
            <w:vAlign w:val="center"/>
          </w:tcPr>
          <w:p w14:paraId="5D36E1FF">
            <w:pPr>
              <w:pStyle w:val="69"/>
              <w:rPr>
                <w:rFonts w:hint="default" w:eastAsia="宋体"/>
                <w:b w:val="0"/>
                <w:color w:val="000000"/>
                <w:lang w:val="en-US" w:eastAsia="zh-CN"/>
              </w:rPr>
            </w:pPr>
            <w:r>
              <w:rPr>
                <w:rFonts w:hint="eastAsia"/>
                <w:b w:val="0"/>
                <w:color w:val="000000"/>
                <w:lang w:val="en-US" w:eastAsia="zh-CN"/>
              </w:rPr>
              <w:t>2026</w:t>
            </w:r>
          </w:p>
        </w:tc>
      </w:tr>
      <w:tr w14:paraId="3FC58E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2BAE83BE">
            <w:pPr>
              <w:pStyle w:val="69"/>
              <w:rPr>
                <w:b w:val="0"/>
                <w:color w:val="000000"/>
              </w:rPr>
            </w:pPr>
          </w:p>
        </w:tc>
        <w:tc>
          <w:tcPr>
            <w:tcW w:w="888" w:type="pct"/>
            <w:vMerge w:val="continue"/>
            <w:shd w:val="clear" w:color="auto" w:fill="FFFFFF"/>
            <w:vAlign w:val="center"/>
          </w:tcPr>
          <w:p w14:paraId="1C2FBA51">
            <w:pPr>
              <w:pStyle w:val="69"/>
              <w:bidi w:val="0"/>
              <w:rPr>
                <w:rFonts w:hint="eastAsia"/>
                <w:b w:val="0"/>
                <w:color w:val="000000"/>
              </w:rPr>
            </w:pPr>
          </w:p>
        </w:tc>
        <w:tc>
          <w:tcPr>
            <w:tcW w:w="735" w:type="pct"/>
            <w:vMerge w:val="continue"/>
            <w:shd w:val="clear" w:color="auto" w:fill="FFFFFF"/>
            <w:vAlign w:val="center"/>
          </w:tcPr>
          <w:p w14:paraId="2E62F3F4">
            <w:pPr>
              <w:pStyle w:val="69"/>
              <w:bidi w:val="0"/>
              <w:rPr>
                <w:rFonts w:hint="eastAsia"/>
                <w:b w:val="0"/>
                <w:color w:val="000000"/>
              </w:rPr>
            </w:pPr>
          </w:p>
        </w:tc>
        <w:tc>
          <w:tcPr>
            <w:tcW w:w="856" w:type="pct"/>
            <w:vMerge w:val="continue"/>
            <w:shd w:val="clear" w:color="auto" w:fill="FFFFFF"/>
            <w:vAlign w:val="center"/>
          </w:tcPr>
          <w:p w14:paraId="5553F42F">
            <w:pPr>
              <w:pStyle w:val="69"/>
              <w:rPr>
                <w:rFonts w:hint="eastAsia"/>
                <w:b w:val="0"/>
                <w:color w:val="000000"/>
                <w:lang w:val="en-US" w:eastAsia="zh-CN"/>
              </w:rPr>
            </w:pPr>
          </w:p>
        </w:tc>
        <w:tc>
          <w:tcPr>
            <w:tcW w:w="645" w:type="pct"/>
            <w:shd w:val="clear" w:color="auto" w:fill="FFFFFF"/>
            <w:vAlign w:val="center"/>
          </w:tcPr>
          <w:p w14:paraId="40466692">
            <w:pPr>
              <w:tabs>
                <w:tab w:val="left" w:pos="480"/>
              </w:tabs>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b w:val="0"/>
                <w:color w:val="000000"/>
                <w:sz w:val="21"/>
                <w:lang w:val="en-US" w:eastAsia="zh-CN"/>
              </w:rPr>
              <w:t>1小时平均</w:t>
            </w:r>
          </w:p>
        </w:tc>
        <w:tc>
          <w:tcPr>
            <w:tcW w:w="406" w:type="pct"/>
            <w:vMerge w:val="continue"/>
            <w:shd w:val="clear" w:color="auto" w:fill="FFFFFF"/>
            <w:vAlign w:val="center"/>
          </w:tcPr>
          <w:p w14:paraId="5064C963">
            <w:pPr>
              <w:pStyle w:val="69"/>
              <w:rPr>
                <w:rFonts w:hint="eastAsia"/>
                <w:b w:val="0"/>
                <w:color w:val="000000"/>
                <w:lang w:val="en-US" w:eastAsia="zh-CN"/>
              </w:rPr>
            </w:pPr>
          </w:p>
        </w:tc>
        <w:tc>
          <w:tcPr>
            <w:tcW w:w="505" w:type="pct"/>
            <w:vMerge w:val="continue"/>
            <w:shd w:val="clear" w:color="auto" w:fill="FFFFFF"/>
            <w:vAlign w:val="center"/>
          </w:tcPr>
          <w:p w14:paraId="5B08D894">
            <w:pPr>
              <w:pStyle w:val="69"/>
              <w:rPr>
                <w:rFonts w:hint="eastAsia"/>
                <w:b w:val="0"/>
                <w:color w:val="000000"/>
                <w:lang w:val="en-US" w:eastAsia="zh-CN"/>
              </w:rPr>
            </w:pPr>
          </w:p>
        </w:tc>
        <w:tc>
          <w:tcPr>
            <w:tcW w:w="497" w:type="pct"/>
            <w:vMerge w:val="continue"/>
            <w:shd w:val="clear" w:color="auto" w:fill="FFFFFF"/>
            <w:vAlign w:val="center"/>
          </w:tcPr>
          <w:p w14:paraId="30683082">
            <w:pPr>
              <w:pStyle w:val="69"/>
              <w:rPr>
                <w:rFonts w:hint="default" w:eastAsia="宋体"/>
                <w:b w:val="0"/>
                <w:color w:val="000000"/>
                <w:lang w:val="en-US" w:eastAsia="zh-CN"/>
              </w:rPr>
            </w:pPr>
          </w:p>
        </w:tc>
      </w:tr>
      <w:tr w14:paraId="448140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447665DE">
            <w:pPr>
              <w:pStyle w:val="69"/>
              <w:rPr>
                <w:b w:val="0"/>
                <w:color w:val="000000"/>
              </w:rPr>
            </w:pPr>
          </w:p>
        </w:tc>
        <w:tc>
          <w:tcPr>
            <w:tcW w:w="888" w:type="pct"/>
            <w:vMerge w:val="continue"/>
            <w:shd w:val="clear" w:color="auto" w:fill="FFFFFF"/>
            <w:vAlign w:val="center"/>
          </w:tcPr>
          <w:p w14:paraId="062BD36D">
            <w:pPr>
              <w:pStyle w:val="69"/>
              <w:rPr>
                <w:b w:val="0"/>
                <w:color w:val="000000"/>
              </w:rPr>
            </w:pPr>
          </w:p>
        </w:tc>
        <w:tc>
          <w:tcPr>
            <w:tcW w:w="735" w:type="pct"/>
            <w:vMerge w:val="continue"/>
            <w:shd w:val="clear" w:color="auto" w:fill="FFFFFF"/>
            <w:vAlign w:val="center"/>
          </w:tcPr>
          <w:p w14:paraId="7D4AA9F4">
            <w:pPr>
              <w:pStyle w:val="69"/>
              <w:rPr>
                <w:b w:val="0"/>
                <w:color w:val="000000"/>
              </w:rPr>
            </w:pPr>
          </w:p>
        </w:tc>
        <w:tc>
          <w:tcPr>
            <w:tcW w:w="856" w:type="pct"/>
            <w:shd w:val="clear" w:color="auto" w:fill="FFFFFF"/>
            <w:vAlign w:val="center"/>
          </w:tcPr>
          <w:p w14:paraId="2A612931">
            <w:pPr>
              <w:pStyle w:val="69"/>
              <w:rPr>
                <w:b w:val="0"/>
                <w:color w:val="000000"/>
              </w:rPr>
            </w:pPr>
            <w:r>
              <w:rPr>
                <w:rFonts w:hint="eastAsia"/>
                <w:b w:val="0"/>
                <w:color w:val="000000"/>
              </w:rPr>
              <w:t>非甲烷总烃</w:t>
            </w:r>
          </w:p>
        </w:tc>
        <w:tc>
          <w:tcPr>
            <w:tcW w:w="645" w:type="pct"/>
            <w:shd w:val="clear" w:color="auto" w:fill="FFFFFF"/>
            <w:vAlign w:val="center"/>
          </w:tcPr>
          <w:p w14:paraId="4D62D9E3">
            <w:pPr>
              <w:pStyle w:val="69"/>
              <w:rPr>
                <w:b w:val="0"/>
                <w:color w:val="000000"/>
              </w:rPr>
            </w:pPr>
            <w:r>
              <w:rPr>
                <w:rFonts w:hint="eastAsia"/>
                <w:b w:val="0"/>
                <w:color w:val="000000"/>
              </w:rPr>
              <w:t>1h均值</w:t>
            </w:r>
          </w:p>
        </w:tc>
        <w:tc>
          <w:tcPr>
            <w:tcW w:w="406" w:type="pct"/>
            <w:vMerge w:val="continue"/>
            <w:shd w:val="clear" w:color="auto" w:fill="FFFFFF"/>
            <w:vAlign w:val="center"/>
          </w:tcPr>
          <w:p w14:paraId="3C6450A4">
            <w:pPr>
              <w:pStyle w:val="69"/>
              <w:rPr>
                <w:b w:val="0"/>
                <w:color w:val="000000"/>
              </w:rPr>
            </w:pPr>
          </w:p>
        </w:tc>
        <w:tc>
          <w:tcPr>
            <w:tcW w:w="505" w:type="pct"/>
            <w:vMerge w:val="continue"/>
            <w:shd w:val="clear" w:color="auto" w:fill="FFFFFF"/>
            <w:vAlign w:val="center"/>
          </w:tcPr>
          <w:p w14:paraId="532B932D">
            <w:pPr>
              <w:pStyle w:val="69"/>
              <w:rPr>
                <w:b w:val="0"/>
                <w:color w:val="000000"/>
              </w:rPr>
            </w:pPr>
          </w:p>
        </w:tc>
        <w:tc>
          <w:tcPr>
            <w:tcW w:w="497" w:type="pct"/>
            <w:vMerge w:val="continue"/>
            <w:shd w:val="clear" w:color="auto" w:fill="FFFFFF"/>
            <w:vAlign w:val="center"/>
          </w:tcPr>
          <w:p w14:paraId="6B6D0E0B">
            <w:pPr>
              <w:pStyle w:val="69"/>
              <w:rPr>
                <w:b w:val="0"/>
                <w:color w:val="000000"/>
              </w:rPr>
            </w:pPr>
          </w:p>
        </w:tc>
      </w:tr>
      <w:tr w14:paraId="7F8215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583E955D">
            <w:pPr>
              <w:pStyle w:val="69"/>
              <w:rPr>
                <w:b w:val="0"/>
                <w:color w:val="000000"/>
              </w:rPr>
            </w:pPr>
          </w:p>
        </w:tc>
        <w:tc>
          <w:tcPr>
            <w:tcW w:w="888" w:type="pct"/>
            <w:vMerge w:val="continue"/>
            <w:shd w:val="clear" w:color="auto" w:fill="FFFFFF"/>
            <w:vAlign w:val="center"/>
          </w:tcPr>
          <w:p w14:paraId="688DDC05">
            <w:pPr>
              <w:pStyle w:val="69"/>
              <w:rPr>
                <w:b w:val="0"/>
                <w:color w:val="000000"/>
              </w:rPr>
            </w:pPr>
          </w:p>
        </w:tc>
        <w:tc>
          <w:tcPr>
            <w:tcW w:w="735" w:type="pct"/>
            <w:vMerge w:val="continue"/>
            <w:shd w:val="clear" w:color="auto" w:fill="FFFFFF"/>
            <w:vAlign w:val="center"/>
          </w:tcPr>
          <w:p w14:paraId="4F7D4E95">
            <w:pPr>
              <w:pStyle w:val="69"/>
              <w:rPr>
                <w:b w:val="0"/>
                <w:color w:val="000000"/>
              </w:rPr>
            </w:pPr>
          </w:p>
        </w:tc>
        <w:tc>
          <w:tcPr>
            <w:tcW w:w="856" w:type="pct"/>
            <w:shd w:val="clear" w:color="auto" w:fill="FFFFFF"/>
            <w:vAlign w:val="center"/>
          </w:tcPr>
          <w:p w14:paraId="7136E4AA">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TVOC</w:t>
            </w:r>
          </w:p>
        </w:tc>
        <w:tc>
          <w:tcPr>
            <w:tcW w:w="645" w:type="pct"/>
            <w:shd w:val="clear" w:color="auto" w:fill="FFFFFF"/>
            <w:vAlign w:val="center"/>
          </w:tcPr>
          <w:p w14:paraId="3B3DFDE6">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8h均值</w:t>
            </w:r>
          </w:p>
        </w:tc>
        <w:tc>
          <w:tcPr>
            <w:tcW w:w="406" w:type="pct"/>
            <w:vMerge w:val="continue"/>
            <w:shd w:val="clear" w:color="auto" w:fill="FFFFFF"/>
            <w:vAlign w:val="center"/>
          </w:tcPr>
          <w:p w14:paraId="0CBD25C1">
            <w:pPr>
              <w:pStyle w:val="69"/>
              <w:rPr>
                <w:b w:val="0"/>
                <w:color w:val="000000"/>
              </w:rPr>
            </w:pPr>
          </w:p>
        </w:tc>
        <w:tc>
          <w:tcPr>
            <w:tcW w:w="505" w:type="pct"/>
            <w:vMerge w:val="continue"/>
            <w:shd w:val="clear" w:color="auto" w:fill="FFFFFF"/>
            <w:vAlign w:val="center"/>
          </w:tcPr>
          <w:p w14:paraId="09F221E3">
            <w:pPr>
              <w:pStyle w:val="69"/>
              <w:rPr>
                <w:b w:val="0"/>
                <w:color w:val="000000"/>
              </w:rPr>
            </w:pPr>
          </w:p>
        </w:tc>
        <w:tc>
          <w:tcPr>
            <w:tcW w:w="497" w:type="pct"/>
            <w:vMerge w:val="continue"/>
            <w:shd w:val="clear" w:color="auto" w:fill="FFFFFF"/>
            <w:vAlign w:val="center"/>
          </w:tcPr>
          <w:p w14:paraId="6ADF4782">
            <w:pPr>
              <w:pStyle w:val="69"/>
              <w:rPr>
                <w:b w:val="0"/>
                <w:color w:val="000000"/>
              </w:rPr>
            </w:pPr>
          </w:p>
        </w:tc>
      </w:tr>
      <w:tr w14:paraId="3A36C4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54CBB097">
            <w:pPr>
              <w:pStyle w:val="69"/>
              <w:rPr>
                <w:b w:val="0"/>
                <w:color w:val="000000"/>
              </w:rPr>
            </w:pPr>
          </w:p>
        </w:tc>
        <w:tc>
          <w:tcPr>
            <w:tcW w:w="888" w:type="pct"/>
            <w:vMerge w:val="continue"/>
            <w:shd w:val="clear" w:color="auto" w:fill="FFFFFF"/>
            <w:vAlign w:val="center"/>
          </w:tcPr>
          <w:p w14:paraId="200196D6">
            <w:pPr>
              <w:pStyle w:val="69"/>
              <w:rPr>
                <w:b w:val="0"/>
                <w:color w:val="000000"/>
              </w:rPr>
            </w:pPr>
          </w:p>
        </w:tc>
        <w:tc>
          <w:tcPr>
            <w:tcW w:w="735" w:type="pct"/>
            <w:vMerge w:val="continue"/>
            <w:shd w:val="clear" w:color="auto" w:fill="FFFFFF"/>
            <w:vAlign w:val="center"/>
          </w:tcPr>
          <w:p w14:paraId="3F15FA28">
            <w:pPr>
              <w:pStyle w:val="69"/>
              <w:rPr>
                <w:b w:val="0"/>
                <w:color w:val="000000"/>
              </w:rPr>
            </w:pPr>
          </w:p>
        </w:tc>
        <w:tc>
          <w:tcPr>
            <w:tcW w:w="856" w:type="pct"/>
            <w:shd w:val="clear" w:color="auto" w:fill="FFFFFF"/>
            <w:vAlign w:val="center"/>
          </w:tcPr>
          <w:p w14:paraId="62B9F3DC">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b w:val="0"/>
                <w:color w:val="000000"/>
              </w:rPr>
              <w:t>臭气浓度</w:t>
            </w:r>
          </w:p>
        </w:tc>
        <w:tc>
          <w:tcPr>
            <w:tcW w:w="645" w:type="pct"/>
            <w:shd w:val="clear" w:color="auto" w:fill="FFFFFF"/>
            <w:vAlign w:val="center"/>
          </w:tcPr>
          <w:p w14:paraId="4DD371FE">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1h均值</w:t>
            </w:r>
          </w:p>
        </w:tc>
        <w:tc>
          <w:tcPr>
            <w:tcW w:w="406" w:type="pct"/>
            <w:vMerge w:val="continue"/>
            <w:shd w:val="clear" w:color="auto" w:fill="FFFFFF"/>
            <w:vAlign w:val="center"/>
          </w:tcPr>
          <w:p w14:paraId="0F63D637">
            <w:pPr>
              <w:pStyle w:val="69"/>
              <w:rPr>
                <w:b w:val="0"/>
                <w:color w:val="000000"/>
              </w:rPr>
            </w:pPr>
          </w:p>
        </w:tc>
        <w:tc>
          <w:tcPr>
            <w:tcW w:w="505" w:type="pct"/>
            <w:vMerge w:val="continue"/>
            <w:shd w:val="clear" w:color="auto" w:fill="FFFFFF"/>
            <w:vAlign w:val="center"/>
          </w:tcPr>
          <w:p w14:paraId="543CE9D2">
            <w:pPr>
              <w:pStyle w:val="69"/>
              <w:rPr>
                <w:b w:val="0"/>
                <w:color w:val="000000"/>
              </w:rPr>
            </w:pPr>
          </w:p>
        </w:tc>
        <w:tc>
          <w:tcPr>
            <w:tcW w:w="497" w:type="pct"/>
            <w:vMerge w:val="continue"/>
            <w:shd w:val="clear" w:color="auto" w:fill="FFFFFF"/>
            <w:vAlign w:val="center"/>
          </w:tcPr>
          <w:p w14:paraId="0E5B5CF6">
            <w:pPr>
              <w:pStyle w:val="69"/>
              <w:rPr>
                <w:b w:val="0"/>
                <w:color w:val="000000"/>
              </w:rPr>
            </w:pPr>
          </w:p>
        </w:tc>
      </w:tr>
      <w:tr w14:paraId="31D42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04DE733B">
            <w:pPr>
              <w:pStyle w:val="69"/>
              <w:rPr>
                <w:b w:val="0"/>
                <w:color w:val="000000"/>
              </w:rPr>
            </w:pPr>
          </w:p>
        </w:tc>
        <w:tc>
          <w:tcPr>
            <w:tcW w:w="888" w:type="pct"/>
            <w:vMerge w:val="continue"/>
            <w:shd w:val="clear" w:color="auto" w:fill="FFFFFF"/>
            <w:vAlign w:val="center"/>
          </w:tcPr>
          <w:p w14:paraId="2268F0FF">
            <w:pPr>
              <w:pStyle w:val="69"/>
              <w:rPr>
                <w:b w:val="0"/>
                <w:color w:val="000000"/>
              </w:rPr>
            </w:pPr>
          </w:p>
        </w:tc>
        <w:tc>
          <w:tcPr>
            <w:tcW w:w="735" w:type="pct"/>
            <w:vMerge w:val="continue"/>
            <w:shd w:val="clear" w:color="auto" w:fill="FFFFFF"/>
            <w:vAlign w:val="center"/>
          </w:tcPr>
          <w:p w14:paraId="50FD2740">
            <w:pPr>
              <w:pStyle w:val="69"/>
              <w:rPr>
                <w:b w:val="0"/>
                <w:color w:val="000000"/>
              </w:rPr>
            </w:pPr>
          </w:p>
        </w:tc>
        <w:tc>
          <w:tcPr>
            <w:tcW w:w="856" w:type="pct"/>
            <w:shd w:val="clear" w:color="auto" w:fill="FFFFFF"/>
            <w:vAlign w:val="center"/>
          </w:tcPr>
          <w:p w14:paraId="75F2E664">
            <w:pPr>
              <w:pStyle w:val="69"/>
              <w:ind w:firstLine="0" w:firstLineChars="0"/>
              <w:rPr>
                <w:rFonts w:hint="eastAsia" w:eastAsia="宋体"/>
                <w:b w:val="0"/>
                <w:color w:val="000000"/>
                <w:lang w:val="en-US" w:eastAsia="zh-CN"/>
              </w:rPr>
            </w:pPr>
            <w:r>
              <w:rPr>
                <w:rFonts w:hint="eastAsia"/>
                <w:b w:val="0"/>
                <w:color w:val="000000"/>
                <w:lang w:val="en-US" w:eastAsia="zh-CN"/>
              </w:rPr>
              <w:t>苯</w:t>
            </w:r>
          </w:p>
        </w:tc>
        <w:tc>
          <w:tcPr>
            <w:tcW w:w="645" w:type="pct"/>
            <w:shd w:val="clear" w:color="auto" w:fill="FFFFFF"/>
            <w:vAlign w:val="center"/>
          </w:tcPr>
          <w:p w14:paraId="3C483FBA">
            <w:pPr>
              <w:pStyle w:val="69"/>
              <w:ind w:firstLine="0" w:firstLineChars="0"/>
              <w:rPr>
                <w:rFonts w:hint="eastAsia"/>
                <w:b w:val="0"/>
                <w:color w:val="000000"/>
              </w:rPr>
            </w:pPr>
            <w:r>
              <w:rPr>
                <w:rFonts w:hint="eastAsia"/>
                <w:b w:val="0"/>
                <w:color w:val="000000"/>
                <w:lang w:val="en-US" w:eastAsia="zh-CN"/>
              </w:rPr>
              <w:t>1h平均</w:t>
            </w:r>
          </w:p>
        </w:tc>
        <w:tc>
          <w:tcPr>
            <w:tcW w:w="406" w:type="pct"/>
            <w:vMerge w:val="continue"/>
            <w:shd w:val="clear" w:color="auto" w:fill="FFFFFF"/>
            <w:vAlign w:val="center"/>
          </w:tcPr>
          <w:p w14:paraId="7AE0564E">
            <w:pPr>
              <w:pStyle w:val="69"/>
              <w:rPr>
                <w:b w:val="0"/>
                <w:color w:val="000000"/>
              </w:rPr>
            </w:pPr>
          </w:p>
        </w:tc>
        <w:tc>
          <w:tcPr>
            <w:tcW w:w="505" w:type="pct"/>
            <w:vMerge w:val="continue"/>
            <w:shd w:val="clear" w:color="auto" w:fill="FFFFFF"/>
            <w:vAlign w:val="center"/>
          </w:tcPr>
          <w:p w14:paraId="2BAA3148">
            <w:pPr>
              <w:pStyle w:val="69"/>
              <w:rPr>
                <w:b w:val="0"/>
                <w:color w:val="000000"/>
              </w:rPr>
            </w:pPr>
          </w:p>
        </w:tc>
        <w:tc>
          <w:tcPr>
            <w:tcW w:w="497" w:type="pct"/>
            <w:vMerge w:val="continue"/>
            <w:shd w:val="clear" w:color="auto" w:fill="FFFFFF"/>
            <w:vAlign w:val="center"/>
          </w:tcPr>
          <w:p w14:paraId="5E01404A">
            <w:pPr>
              <w:pStyle w:val="69"/>
              <w:rPr>
                <w:b w:val="0"/>
                <w:color w:val="000000"/>
              </w:rPr>
            </w:pPr>
          </w:p>
        </w:tc>
      </w:tr>
      <w:tr w14:paraId="2C9DD9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46F2B747">
            <w:pPr>
              <w:pStyle w:val="69"/>
              <w:rPr>
                <w:b w:val="0"/>
                <w:color w:val="000000"/>
              </w:rPr>
            </w:pPr>
          </w:p>
        </w:tc>
        <w:tc>
          <w:tcPr>
            <w:tcW w:w="888" w:type="pct"/>
            <w:vMerge w:val="continue"/>
            <w:shd w:val="clear" w:color="auto" w:fill="FFFFFF"/>
            <w:vAlign w:val="center"/>
          </w:tcPr>
          <w:p w14:paraId="2E080B83">
            <w:pPr>
              <w:pStyle w:val="69"/>
              <w:rPr>
                <w:b w:val="0"/>
                <w:color w:val="000000"/>
              </w:rPr>
            </w:pPr>
          </w:p>
        </w:tc>
        <w:tc>
          <w:tcPr>
            <w:tcW w:w="735" w:type="pct"/>
            <w:vMerge w:val="continue"/>
            <w:shd w:val="clear" w:color="auto" w:fill="FFFFFF"/>
            <w:vAlign w:val="center"/>
          </w:tcPr>
          <w:p w14:paraId="6A93B55C">
            <w:pPr>
              <w:pStyle w:val="69"/>
              <w:rPr>
                <w:b w:val="0"/>
                <w:color w:val="000000"/>
              </w:rPr>
            </w:pPr>
          </w:p>
        </w:tc>
        <w:tc>
          <w:tcPr>
            <w:tcW w:w="856" w:type="pct"/>
            <w:shd w:val="clear" w:color="auto" w:fill="FFFFFF"/>
            <w:vAlign w:val="center"/>
          </w:tcPr>
          <w:p w14:paraId="4A3BF69F">
            <w:pPr>
              <w:pStyle w:val="69"/>
              <w:ind w:firstLine="0" w:firstLineChars="0"/>
              <w:rPr>
                <w:rFonts w:hint="eastAsia" w:eastAsia="宋体"/>
                <w:b w:val="0"/>
                <w:color w:val="000000"/>
                <w:lang w:val="en-US" w:eastAsia="zh-CN"/>
              </w:rPr>
            </w:pPr>
            <w:r>
              <w:rPr>
                <w:rFonts w:hint="eastAsia"/>
                <w:b w:val="0"/>
                <w:color w:val="000000"/>
                <w:lang w:val="en-US" w:eastAsia="zh-CN"/>
              </w:rPr>
              <w:t>甲苯</w:t>
            </w:r>
          </w:p>
        </w:tc>
        <w:tc>
          <w:tcPr>
            <w:tcW w:w="645" w:type="pct"/>
            <w:shd w:val="clear" w:color="auto" w:fill="FFFFFF"/>
            <w:vAlign w:val="center"/>
          </w:tcPr>
          <w:p w14:paraId="634FB7CA">
            <w:pPr>
              <w:pStyle w:val="69"/>
              <w:ind w:firstLine="0" w:firstLineChars="0"/>
              <w:rPr>
                <w:rFonts w:hint="eastAsia"/>
                <w:b w:val="0"/>
                <w:color w:val="000000"/>
              </w:rPr>
            </w:pPr>
            <w:r>
              <w:rPr>
                <w:rFonts w:hint="eastAsia"/>
                <w:b w:val="0"/>
                <w:color w:val="000000"/>
                <w:lang w:val="en-US" w:eastAsia="zh-CN"/>
              </w:rPr>
              <w:t>1h平均</w:t>
            </w:r>
          </w:p>
        </w:tc>
        <w:tc>
          <w:tcPr>
            <w:tcW w:w="406" w:type="pct"/>
            <w:vMerge w:val="continue"/>
            <w:shd w:val="clear" w:color="auto" w:fill="FFFFFF"/>
            <w:vAlign w:val="center"/>
          </w:tcPr>
          <w:p w14:paraId="43CF91BC">
            <w:pPr>
              <w:pStyle w:val="69"/>
              <w:rPr>
                <w:b w:val="0"/>
                <w:color w:val="000000"/>
              </w:rPr>
            </w:pPr>
          </w:p>
        </w:tc>
        <w:tc>
          <w:tcPr>
            <w:tcW w:w="505" w:type="pct"/>
            <w:vMerge w:val="continue"/>
            <w:shd w:val="clear" w:color="auto" w:fill="FFFFFF"/>
            <w:vAlign w:val="center"/>
          </w:tcPr>
          <w:p w14:paraId="4A3C276B">
            <w:pPr>
              <w:pStyle w:val="69"/>
              <w:rPr>
                <w:b w:val="0"/>
                <w:color w:val="000000"/>
              </w:rPr>
            </w:pPr>
          </w:p>
        </w:tc>
        <w:tc>
          <w:tcPr>
            <w:tcW w:w="497" w:type="pct"/>
            <w:vMerge w:val="continue"/>
            <w:shd w:val="clear" w:color="auto" w:fill="FFFFFF"/>
            <w:vAlign w:val="center"/>
          </w:tcPr>
          <w:p w14:paraId="788F12D4">
            <w:pPr>
              <w:pStyle w:val="69"/>
              <w:rPr>
                <w:b w:val="0"/>
                <w:color w:val="000000"/>
              </w:rPr>
            </w:pPr>
          </w:p>
        </w:tc>
      </w:tr>
      <w:tr w14:paraId="7CFC70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3D92E101">
            <w:pPr>
              <w:pStyle w:val="69"/>
              <w:rPr>
                <w:b w:val="0"/>
                <w:color w:val="000000"/>
              </w:rPr>
            </w:pPr>
          </w:p>
        </w:tc>
        <w:tc>
          <w:tcPr>
            <w:tcW w:w="888" w:type="pct"/>
            <w:vMerge w:val="continue"/>
            <w:shd w:val="clear" w:color="auto" w:fill="FFFFFF"/>
            <w:vAlign w:val="center"/>
          </w:tcPr>
          <w:p w14:paraId="1963D191">
            <w:pPr>
              <w:pStyle w:val="69"/>
              <w:rPr>
                <w:b w:val="0"/>
                <w:color w:val="000000"/>
              </w:rPr>
            </w:pPr>
          </w:p>
        </w:tc>
        <w:tc>
          <w:tcPr>
            <w:tcW w:w="735" w:type="pct"/>
            <w:vMerge w:val="continue"/>
            <w:shd w:val="clear" w:color="auto" w:fill="FFFFFF"/>
            <w:vAlign w:val="center"/>
          </w:tcPr>
          <w:p w14:paraId="4DC7C6E3">
            <w:pPr>
              <w:pStyle w:val="69"/>
              <w:rPr>
                <w:b w:val="0"/>
                <w:color w:val="000000"/>
              </w:rPr>
            </w:pPr>
          </w:p>
        </w:tc>
        <w:tc>
          <w:tcPr>
            <w:tcW w:w="856" w:type="pct"/>
            <w:vMerge w:val="restart"/>
            <w:shd w:val="clear" w:color="auto" w:fill="FFFFFF"/>
            <w:vAlign w:val="center"/>
          </w:tcPr>
          <w:p w14:paraId="0923DF08">
            <w:pPr>
              <w:pStyle w:val="69"/>
              <w:ind w:firstLine="0" w:firstLineChars="0"/>
              <w:rPr>
                <w:rFonts w:hint="default"/>
                <w:b w:val="0"/>
                <w:color w:val="000000"/>
                <w:lang w:val="en-US" w:eastAsia="zh-CN"/>
              </w:rPr>
            </w:pPr>
            <w:r>
              <w:rPr>
                <w:rFonts w:hint="eastAsia"/>
                <w:b w:val="0"/>
                <w:color w:val="000000"/>
                <w:lang w:val="en-US" w:eastAsia="zh-CN"/>
              </w:rPr>
              <w:t>氯化氢</w:t>
            </w:r>
          </w:p>
        </w:tc>
        <w:tc>
          <w:tcPr>
            <w:tcW w:w="645" w:type="pct"/>
            <w:shd w:val="clear" w:color="auto" w:fill="FFFFFF"/>
            <w:vAlign w:val="center"/>
          </w:tcPr>
          <w:p w14:paraId="7DD59ACE">
            <w:pPr>
              <w:pStyle w:val="69"/>
              <w:ind w:firstLine="0" w:firstLineChars="0"/>
              <w:rPr>
                <w:rFonts w:hint="eastAsia"/>
                <w:b w:val="0"/>
                <w:color w:val="000000"/>
              </w:rPr>
            </w:pPr>
            <w:r>
              <w:rPr>
                <w:rFonts w:hint="eastAsia"/>
                <w:b w:val="0"/>
                <w:color w:val="000000"/>
                <w:lang w:val="en-US" w:eastAsia="zh-CN"/>
              </w:rPr>
              <w:t>1h平均</w:t>
            </w:r>
          </w:p>
        </w:tc>
        <w:tc>
          <w:tcPr>
            <w:tcW w:w="406" w:type="pct"/>
            <w:vMerge w:val="continue"/>
            <w:shd w:val="clear" w:color="auto" w:fill="FFFFFF"/>
            <w:vAlign w:val="center"/>
          </w:tcPr>
          <w:p w14:paraId="707E6DD7">
            <w:pPr>
              <w:pStyle w:val="69"/>
              <w:rPr>
                <w:b w:val="0"/>
                <w:color w:val="000000"/>
              </w:rPr>
            </w:pPr>
          </w:p>
        </w:tc>
        <w:tc>
          <w:tcPr>
            <w:tcW w:w="505" w:type="pct"/>
            <w:vMerge w:val="continue"/>
            <w:shd w:val="clear" w:color="auto" w:fill="FFFFFF"/>
            <w:vAlign w:val="center"/>
          </w:tcPr>
          <w:p w14:paraId="4C2E6586">
            <w:pPr>
              <w:pStyle w:val="69"/>
              <w:rPr>
                <w:b w:val="0"/>
                <w:color w:val="000000"/>
              </w:rPr>
            </w:pPr>
          </w:p>
        </w:tc>
        <w:tc>
          <w:tcPr>
            <w:tcW w:w="497" w:type="pct"/>
            <w:vMerge w:val="continue"/>
            <w:shd w:val="clear" w:color="auto" w:fill="FFFFFF"/>
            <w:vAlign w:val="center"/>
          </w:tcPr>
          <w:p w14:paraId="119E6A8D">
            <w:pPr>
              <w:pStyle w:val="69"/>
              <w:rPr>
                <w:b w:val="0"/>
                <w:color w:val="000000"/>
              </w:rPr>
            </w:pPr>
          </w:p>
        </w:tc>
      </w:tr>
      <w:tr w14:paraId="703ED8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03B82237">
            <w:pPr>
              <w:pStyle w:val="69"/>
              <w:rPr>
                <w:b w:val="0"/>
                <w:color w:val="000000"/>
              </w:rPr>
            </w:pPr>
          </w:p>
        </w:tc>
        <w:tc>
          <w:tcPr>
            <w:tcW w:w="888" w:type="pct"/>
            <w:vMerge w:val="continue"/>
            <w:shd w:val="clear" w:color="auto" w:fill="FFFFFF"/>
            <w:vAlign w:val="center"/>
          </w:tcPr>
          <w:p w14:paraId="1388365B">
            <w:pPr>
              <w:pStyle w:val="69"/>
              <w:rPr>
                <w:b w:val="0"/>
                <w:color w:val="000000"/>
              </w:rPr>
            </w:pPr>
          </w:p>
        </w:tc>
        <w:tc>
          <w:tcPr>
            <w:tcW w:w="735" w:type="pct"/>
            <w:vMerge w:val="continue"/>
            <w:shd w:val="clear" w:color="auto" w:fill="FFFFFF"/>
            <w:vAlign w:val="center"/>
          </w:tcPr>
          <w:p w14:paraId="2F818CBC">
            <w:pPr>
              <w:pStyle w:val="69"/>
              <w:rPr>
                <w:b w:val="0"/>
                <w:color w:val="000000"/>
              </w:rPr>
            </w:pPr>
          </w:p>
        </w:tc>
        <w:tc>
          <w:tcPr>
            <w:tcW w:w="856" w:type="pct"/>
            <w:vMerge w:val="continue"/>
            <w:shd w:val="clear" w:color="auto" w:fill="FFFFFF"/>
            <w:vAlign w:val="center"/>
          </w:tcPr>
          <w:p w14:paraId="1F737463">
            <w:pPr>
              <w:pStyle w:val="69"/>
              <w:ind w:firstLine="0" w:firstLineChars="0"/>
              <w:rPr>
                <w:rFonts w:hint="eastAsia"/>
                <w:b w:val="0"/>
                <w:color w:val="000000"/>
                <w:lang w:val="en-US" w:eastAsia="zh-CN"/>
              </w:rPr>
            </w:pPr>
          </w:p>
        </w:tc>
        <w:tc>
          <w:tcPr>
            <w:tcW w:w="645" w:type="pct"/>
            <w:shd w:val="clear" w:color="auto" w:fill="FFFFFF"/>
            <w:vAlign w:val="center"/>
          </w:tcPr>
          <w:p w14:paraId="5FF7D251">
            <w:pPr>
              <w:pStyle w:val="69"/>
              <w:ind w:firstLine="0" w:firstLineChars="0"/>
              <w:rPr>
                <w:rFonts w:hint="eastAsia"/>
                <w:b w:val="0"/>
                <w:color w:val="000000"/>
                <w:lang w:val="en-US" w:eastAsia="zh-CN"/>
              </w:rPr>
            </w:pPr>
            <w:r>
              <w:rPr>
                <w:rFonts w:hint="eastAsia"/>
                <w:b w:val="0"/>
                <w:color w:val="000000"/>
                <w:sz w:val="21"/>
                <w:lang w:val="en-US" w:eastAsia="zh-CN"/>
              </w:rPr>
              <w:t>日</w:t>
            </w:r>
            <w:r>
              <w:rPr>
                <w:b w:val="0"/>
                <w:color w:val="000000"/>
                <w:sz w:val="21"/>
              </w:rPr>
              <w:t>平均</w:t>
            </w:r>
          </w:p>
        </w:tc>
        <w:tc>
          <w:tcPr>
            <w:tcW w:w="406" w:type="pct"/>
            <w:vMerge w:val="continue"/>
            <w:shd w:val="clear" w:color="auto" w:fill="FFFFFF"/>
            <w:vAlign w:val="center"/>
          </w:tcPr>
          <w:p w14:paraId="3E93CCB7">
            <w:pPr>
              <w:pStyle w:val="69"/>
              <w:rPr>
                <w:b w:val="0"/>
                <w:color w:val="000000"/>
              </w:rPr>
            </w:pPr>
          </w:p>
        </w:tc>
        <w:tc>
          <w:tcPr>
            <w:tcW w:w="505" w:type="pct"/>
            <w:vMerge w:val="continue"/>
            <w:shd w:val="clear" w:color="auto" w:fill="FFFFFF"/>
            <w:vAlign w:val="center"/>
          </w:tcPr>
          <w:p w14:paraId="36464470">
            <w:pPr>
              <w:pStyle w:val="69"/>
              <w:rPr>
                <w:b w:val="0"/>
                <w:color w:val="000000"/>
              </w:rPr>
            </w:pPr>
          </w:p>
        </w:tc>
        <w:tc>
          <w:tcPr>
            <w:tcW w:w="497" w:type="pct"/>
            <w:vMerge w:val="continue"/>
            <w:shd w:val="clear" w:color="auto" w:fill="FFFFFF"/>
            <w:vAlign w:val="center"/>
          </w:tcPr>
          <w:p w14:paraId="4CCDB1AD">
            <w:pPr>
              <w:pStyle w:val="69"/>
              <w:rPr>
                <w:b w:val="0"/>
                <w:color w:val="000000"/>
              </w:rPr>
            </w:pPr>
          </w:p>
        </w:tc>
      </w:tr>
      <w:tr w14:paraId="27B8DF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1DBA9512">
            <w:pPr>
              <w:pStyle w:val="69"/>
              <w:rPr>
                <w:b w:val="0"/>
                <w:color w:val="000000"/>
              </w:rPr>
            </w:pPr>
          </w:p>
        </w:tc>
        <w:tc>
          <w:tcPr>
            <w:tcW w:w="888" w:type="pct"/>
            <w:vMerge w:val="continue"/>
            <w:shd w:val="clear" w:color="auto" w:fill="FFFFFF"/>
            <w:vAlign w:val="center"/>
          </w:tcPr>
          <w:p w14:paraId="23A3D999">
            <w:pPr>
              <w:pStyle w:val="69"/>
              <w:rPr>
                <w:b w:val="0"/>
                <w:color w:val="000000"/>
              </w:rPr>
            </w:pPr>
          </w:p>
        </w:tc>
        <w:tc>
          <w:tcPr>
            <w:tcW w:w="735" w:type="pct"/>
            <w:vMerge w:val="continue"/>
            <w:shd w:val="clear" w:color="auto" w:fill="FFFFFF"/>
            <w:vAlign w:val="center"/>
          </w:tcPr>
          <w:p w14:paraId="70D092F5">
            <w:pPr>
              <w:pStyle w:val="69"/>
              <w:rPr>
                <w:b w:val="0"/>
                <w:color w:val="000000"/>
              </w:rPr>
            </w:pPr>
          </w:p>
        </w:tc>
        <w:tc>
          <w:tcPr>
            <w:tcW w:w="856" w:type="pct"/>
            <w:shd w:val="clear" w:color="auto" w:fill="FFFFFF"/>
            <w:vAlign w:val="center"/>
          </w:tcPr>
          <w:p w14:paraId="465D0B3F">
            <w:pPr>
              <w:pStyle w:val="69"/>
              <w:ind w:firstLine="0" w:firstLineChars="0"/>
              <w:rPr>
                <w:rFonts w:hint="default"/>
                <w:b w:val="0"/>
                <w:color w:val="000000"/>
                <w:lang w:val="en-US" w:eastAsia="zh-CN"/>
              </w:rPr>
            </w:pPr>
            <w:r>
              <w:rPr>
                <w:rFonts w:hint="eastAsia"/>
                <w:b w:val="0"/>
                <w:color w:val="000000"/>
                <w:lang w:val="en-US" w:eastAsia="zh-CN"/>
              </w:rPr>
              <w:t>TSP</w:t>
            </w:r>
          </w:p>
        </w:tc>
        <w:tc>
          <w:tcPr>
            <w:tcW w:w="645" w:type="pct"/>
            <w:shd w:val="clear" w:color="auto" w:fill="FFFFFF"/>
            <w:vAlign w:val="center"/>
          </w:tcPr>
          <w:p w14:paraId="1569949A">
            <w:pPr>
              <w:pStyle w:val="69"/>
              <w:ind w:firstLine="0" w:firstLineChars="0"/>
              <w:rPr>
                <w:rFonts w:hint="eastAsia"/>
                <w:b w:val="0"/>
                <w:color w:val="000000"/>
              </w:rPr>
            </w:pPr>
            <w:r>
              <w:rPr>
                <w:rFonts w:hint="eastAsia"/>
                <w:b w:val="0"/>
                <w:color w:val="000000"/>
                <w:sz w:val="21"/>
                <w:lang w:val="en-US" w:eastAsia="zh-CN"/>
              </w:rPr>
              <w:t>日</w:t>
            </w:r>
            <w:r>
              <w:rPr>
                <w:b w:val="0"/>
                <w:color w:val="000000"/>
                <w:sz w:val="21"/>
              </w:rPr>
              <w:t>平均</w:t>
            </w:r>
          </w:p>
        </w:tc>
        <w:tc>
          <w:tcPr>
            <w:tcW w:w="406" w:type="pct"/>
            <w:vMerge w:val="continue"/>
            <w:shd w:val="clear" w:color="auto" w:fill="FFFFFF"/>
            <w:vAlign w:val="center"/>
          </w:tcPr>
          <w:p w14:paraId="24C96815">
            <w:pPr>
              <w:pStyle w:val="69"/>
              <w:rPr>
                <w:b w:val="0"/>
                <w:color w:val="000000"/>
              </w:rPr>
            </w:pPr>
          </w:p>
        </w:tc>
        <w:tc>
          <w:tcPr>
            <w:tcW w:w="505" w:type="pct"/>
            <w:vMerge w:val="continue"/>
            <w:shd w:val="clear" w:color="auto" w:fill="FFFFFF"/>
            <w:vAlign w:val="center"/>
          </w:tcPr>
          <w:p w14:paraId="3440100E">
            <w:pPr>
              <w:pStyle w:val="69"/>
              <w:rPr>
                <w:b w:val="0"/>
                <w:color w:val="000000"/>
              </w:rPr>
            </w:pPr>
          </w:p>
        </w:tc>
        <w:tc>
          <w:tcPr>
            <w:tcW w:w="497" w:type="pct"/>
            <w:vMerge w:val="continue"/>
            <w:shd w:val="clear" w:color="auto" w:fill="FFFFFF"/>
            <w:vAlign w:val="center"/>
          </w:tcPr>
          <w:p w14:paraId="0D1023E5">
            <w:pPr>
              <w:pStyle w:val="69"/>
              <w:rPr>
                <w:b w:val="0"/>
                <w:color w:val="000000"/>
              </w:rPr>
            </w:pPr>
          </w:p>
        </w:tc>
      </w:tr>
      <w:tr w14:paraId="5227EB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4B8CF67C">
            <w:pPr>
              <w:pStyle w:val="69"/>
              <w:rPr>
                <w:b w:val="0"/>
                <w:color w:val="000000"/>
              </w:rPr>
            </w:pPr>
          </w:p>
        </w:tc>
        <w:tc>
          <w:tcPr>
            <w:tcW w:w="888" w:type="pct"/>
            <w:vMerge w:val="continue"/>
            <w:shd w:val="clear" w:color="auto" w:fill="FFFFFF"/>
            <w:vAlign w:val="center"/>
          </w:tcPr>
          <w:p w14:paraId="198C0121">
            <w:pPr>
              <w:pStyle w:val="69"/>
              <w:rPr>
                <w:b w:val="0"/>
                <w:color w:val="000000"/>
              </w:rPr>
            </w:pPr>
          </w:p>
        </w:tc>
        <w:tc>
          <w:tcPr>
            <w:tcW w:w="735" w:type="pct"/>
            <w:vMerge w:val="continue"/>
            <w:shd w:val="clear" w:color="auto" w:fill="FFFFFF"/>
            <w:vAlign w:val="center"/>
          </w:tcPr>
          <w:p w14:paraId="42858CD4">
            <w:pPr>
              <w:pStyle w:val="69"/>
              <w:rPr>
                <w:b w:val="0"/>
                <w:color w:val="000000"/>
              </w:rPr>
            </w:pPr>
          </w:p>
        </w:tc>
        <w:tc>
          <w:tcPr>
            <w:tcW w:w="856" w:type="pct"/>
            <w:shd w:val="clear" w:color="auto" w:fill="FFFFFF"/>
            <w:vAlign w:val="center"/>
          </w:tcPr>
          <w:p w14:paraId="1109A4E6">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三氯乙烯</w:t>
            </w:r>
          </w:p>
        </w:tc>
        <w:tc>
          <w:tcPr>
            <w:tcW w:w="645" w:type="pct"/>
            <w:shd w:val="clear" w:color="auto" w:fill="FFFFFF"/>
            <w:vAlign w:val="center"/>
          </w:tcPr>
          <w:p w14:paraId="263FEC86">
            <w:pPr>
              <w:pStyle w:val="69"/>
              <w:ind w:firstLine="0" w:firstLineChars="0"/>
              <w:rPr>
                <w:rFonts w:hint="eastAsia"/>
                <w:b w:val="0"/>
                <w:color w:val="000000"/>
              </w:rPr>
            </w:pPr>
            <w:r>
              <w:rPr>
                <w:rFonts w:hint="eastAsia"/>
                <w:b w:val="0"/>
                <w:color w:val="000000"/>
                <w:lang w:val="en-US" w:eastAsia="zh-CN"/>
              </w:rPr>
              <w:t>1h平均</w:t>
            </w:r>
          </w:p>
        </w:tc>
        <w:tc>
          <w:tcPr>
            <w:tcW w:w="406" w:type="pct"/>
            <w:vMerge w:val="continue"/>
            <w:shd w:val="clear" w:color="auto" w:fill="FFFFFF"/>
            <w:vAlign w:val="center"/>
          </w:tcPr>
          <w:p w14:paraId="5C79C9D8">
            <w:pPr>
              <w:pStyle w:val="69"/>
              <w:rPr>
                <w:b w:val="0"/>
                <w:color w:val="000000"/>
              </w:rPr>
            </w:pPr>
          </w:p>
        </w:tc>
        <w:tc>
          <w:tcPr>
            <w:tcW w:w="505" w:type="pct"/>
            <w:vMerge w:val="continue"/>
            <w:shd w:val="clear" w:color="auto" w:fill="FFFFFF"/>
            <w:vAlign w:val="center"/>
          </w:tcPr>
          <w:p w14:paraId="635F239E">
            <w:pPr>
              <w:pStyle w:val="69"/>
              <w:rPr>
                <w:b w:val="0"/>
                <w:color w:val="000000"/>
              </w:rPr>
            </w:pPr>
          </w:p>
        </w:tc>
        <w:tc>
          <w:tcPr>
            <w:tcW w:w="497" w:type="pct"/>
            <w:vMerge w:val="continue"/>
            <w:shd w:val="clear" w:color="auto" w:fill="FFFFFF"/>
            <w:vAlign w:val="center"/>
          </w:tcPr>
          <w:p w14:paraId="17A7F64A">
            <w:pPr>
              <w:pStyle w:val="69"/>
              <w:rPr>
                <w:b w:val="0"/>
                <w:color w:val="000000"/>
              </w:rPr>
            </w:pPr>
          </w:p>
        </w:tc>
      </w:tr>
      <w:tr w14:paraId="67C9A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7F6F2F7D">
            <w:pPr>
              <w:pStyle w:val="69"/>
              <w:rPr>
                <w:b w:val="0"/>
                <w:color w:val="000000"/>
              </w:rPr>
            </w:pPr>
          </w:p>
        </w:tc>
        <w:tc>
          <w:tcPr>
            <w:tcW w:w="888" w:type="pct"/>
            <w:vMerge w:val="continue"/>
            <w:shd w:val="clear" w:color="auto" w:fill="FFFFFF"/>
            <w:vAlign w:val="center"/>
          </w:tcPr>
          <w:p w14:paraId="6936CD90">
            <w:pPr>
              <w:pStyle w:val="69"/>
              <w:rPr>
                <w:b w:val="0"/>
                <w:color w:val="000000"/>
              </w:rPr>
            </w:pPr>
          </w:p>
        </w:tc>
        <w:tc>
          <w:tcPr>
            <w:tcW w:w="735" w:type="pct"/>
            <w:vMerge w:val="continue"/>
            <w:shd w:val="clear" w:color="auto" w:fill="FFFFFF"/>
            <w:vAlign w:val="center"/>
          </w:tcPr>
          <w:p w14:paraId="36C9D596">
            <w:pPr>
              <w:pStyle w:val="69"/>
              <w:rPr>
                <w:b w:val="0"/>
                <w:color w:val="000000"/>
              </w:rPr>
            </w:pPr>
          </w:p>
        </w:tc>
        <w:tc>
          <w:tcPr>
            <w:tcW w:w="856" w:type="pct"/>
            <w:shd w:val="clear" w:color="auto" w:fill="FFFFFF"/>
            <w:vAlign w:val="center"/>
          </w:tcPr>
          <w:p w14:paraId="545408D4">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四氯乙烯</w:t>
            </w:r>
          </w:p>
        </w:tc>
        <w:tc>
          <w:tcPr>
            <w:tcW w:w="645" w:type="pct"/>
            <w:shd w:val="clear" w:color="auto" w:fill="FFFFFF"/>
            <w:vAlign w:val="center"/>
          </w:tcPr>
          <w:p w14:paraId="66530BD7">
            <w:pPr>
              <w:pStyle w:val="69"/>
              <w:ind w:firstLine="0" w:firstLineChars="0"/>
              <w:rPr>
                <w:rFonts w:hint="eastAsia"/>
                <w:b w:val="0"/>
                <w:color w:val="000000"/>
              </w:rPr>
            </w:pPr>
            <w:r>
              <w:rPr>
                <w:rFonts w:hint="eastAsia"/>
                <w:b w:val="0"/>
                <w:color w:val="000000"/>
                <w:lang w:val="en-US" w:eastAsia="zh-CN"/>
              </w:rPr>
              <w:t>1h平均</w:t>
            </w:r>
          </w:p>
        </w:tc>
        <w:tc>
          <w:tcPr>
            <w:tcW w:w="406" w:type="pct"/>
            <w:vMerge w:val="continue"/>
            <w:shd w:val="clear" w:color="auto" w:fill="FFFFFF"/>
            <w:vAlign w:val="center"/>
          </w:tcPr>
          <w:p w14:paraId="7238AE53">
            <w:pPr>
              <w:pStyle w:val="69"/>
              <w:rPr>
                <w:b w:val="0"/>
                <w:color w:val="000000"/>
              </w:rPr>
            </w:pPr>
          </w:p>
        </w:tc>
        <w:tc>
          <w:tcPr>
            <w:tcW w:w="505" w:type="pct"/>
            <w:vMerge w:val="continue"/>
            <w:shd w:val="clear" w:color="auto" w:fill="FFFFFF"/>
            <w:vAlign w:val="center"/>
          </w:tcPr>
          <w:p w14:paraId="5C94F362">
            <w:pPr>
              <w:pStyle w:val="69"/>
              <w:rPr>
                <w:b w:val="0"/>
                <w:color w:val="000000"/>
              </w:rPr>
            </w:pPr>
          </w:p>
        </w:tc>
        <w:tc>
          <w:tcPr>
            <w:tcW w:w="497" w:type="pct"/>
            <w:vMerge w:val="continue"/>
            <w:shd w:val="clear" w:color="auto" w:fill="FFFFFF"/>
            <w:vAlign w:val="center"/>
          </w:tcPr>
          <w:p w14:paraId="5D4CF7DA">
            <w:pPr>
              <w:pStyle w:val="69"/>
              <w:rPr>
                <w:b w:val="0"/>
                <w:color w:val="000000"/>
              </w:rPr>
            </w:pPr>
          </w:p>
        </w:tc>
      </w:tr>
      <w:tr w14:paraId="3F544E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shd w:val="clear" w:color="auto" w:fill="FFFFFF"/>
            <w:vAlign w:val="center"/>
          </w:tcPr>
          <w:p w14:paraId="75EF1F16">
            <w:pPr>
              <w:pStyle w:val="69"/>
              <w:rPr>
                <w:b w:val="0"/>
                <w:color w:val="000000"/>
              </w:rPr>
            </w:pPr>
          </w:p>
        </w:tc>
        <w:tc>
          <w:tcPr>
            <w:tcW w:w="888" w:type="pct"/>
            <w:vMerge w:val="continue"/>
            <w:shd w:val="clear" w:color="auto" w:fill="FFFFFF"/>
            <w:vAlign w:val="center"/>
          </w:tcPr>
          <w:p w14:paraId="0C4C50B1">
            <w:pPr>
              <w:pStyle w:val="69"/>
              <w:rPr>
                <w:b w:val="0"/>
                <w:color w:val="000000"/>
              </w:rPr>
            </w:pPr>
          </w:p>
        </w:tc>
        <w:tc>
          <w:tcPr>
            <w:tcW w:w="735" w:type="pct"/>
            <w:vMerge w:val="continue"/>
            <w:shd w:val="clear" w:color="auto" w:fill="FFFFFF"/>
            <w:vAlign w:val="center"/>
          </w:tcPr>
          <w:p w14:paraId="0FE57066">
            <w:pPr>
              <w:pStyle w:val="69"/>
              <w:rPr>
                <w:b w:val="0"/>
                <w:color w:val="000000"/>
              </w:rPr>
            </w:pPr>
          </w:p>
        </w:tc>
        <w:tc>
          <w:tcPr>
            <w:tcW w:w="856" w:type="pct"/>
            <w:shd w:val="clear" w:color="auto" w:fill="FFFFFF"/>
            <w:vAlign w:val="center"/>
          </w:tcPr>
          <w:p w14:paraId="3D2DDAAF">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二氯甲烷</w:t>
            </w:r>
          </w:p>
        </w:tc>
        <w:tc>
          <w:tcPr>
            <w:tcW w:w="645" w:type="pct"/>
            <w:shd w:val="clear" w:color="auto" w:fill="FFFFFF"/>
            <w:vAlign w:val="center"/>
          </w:tcPr>
          <w:p w14:paraId="399704F4">
            <w:pPr>
              <w:pStyle w:val="69"/>
              <w:ind w:firstLine="0" w:firstLineChars="0"/>
              <w:rPr>
                <w:rFonts w:hint="eastAsia"/>
                <w:b w:val="0"/>
                <w:color w:val="000000"/>
              </w:rPr>
            </w:pPr>
            <w:r>
              <w:rPr>
                <w:rFonts w:hint="eastAsia"/>
                <w:b w:val="0"/>
                <w:color w:val="000000"/>
                <w:lang w:val="en-US" w:eastAsia="zh-CN"/>
              </w:rPr>
              <w:t>1h平均</w:t>
            </w:r>
          </w:p>
        </w:tc>
        <w:tc>
          <w:tcPr>
            <w:tcW w:w="406" w:type="pct"/>
            <w:vMerge w:val="continue"/>
            <w:shd w:val="clear" w:color="auto" w:fill="FFFFFF"/>
            <w:vAlign w:val="center"/>
          </w:tcPr>
          <w:p w14:paraId="4A4CF894">
            <w:pPr>
              <w:pStyle w:val="69"/>
              <w:rPr>
                <w:b w:val="0"/>
                <w:color w:val="000000"/>
              </w:rPr>
            </w:pPr>
          </w:p>
        </w:tc>
        <w:tc>
          <w:tcPr>
            <w:tcW w:w="505" w:type="pct"/>
            <w:vMerge w:val="continue"/>
            <w:shd w:val="clear" w:color="auto" w:fill="FFFFFF"/>
            <w:vAlign w:val="center"/>
          </w:tcPr>
          <w:p w14:paraId="7EEDD69C">
            <w:pPr>
              <w:pStyle w:val="69"/>
              <w:rPr>
                <w:b w:val="0"/>
                <w:color w:val="000000"/>
              </w:rPr>
            </w:pPr>
          </w:p>
        </w:tc>
        <w:tc>
          <w:tcPr>
            <w:tcW w:w="497" w:type="pct"/>
            <w:vMerge w:val="continue"/>
            <w:shd w:val="clear" w:color="auto" w:fill="FFFFFF"/>
            <w:vAlign w:val="center"/>
          </w:tcPr>
          <w:p w14:paraId="4E5AE025">
            <w:pPr>
              <w:pStyle w:val="69"/>
              <w:rPr>
                <w:b w:val="0"/>
                <w:color w:val="000000"/>
              </w:rPr>
            </w:pPr>
          </w:p>
        </w:tc>
      </w:tr>
      <w:tr w14:paraId="7DFE39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4" w:type="pct"/>
            <w:vMerge w:val="continue"/>
            <w:tcBorders>
              <w:bottom w:val="single" w:color="000000" w:sz="12" w:space="0"/>
            </w:tcBorders>
            <w:shd w:val="clear" w:color="auto" w:fill="FFFFFF"/>
            <w:vAlign w:val="center"/>
          </w:tcPr>
          <w:p w14:paraId="061CDF05">
            <w:pPr>
              <w:pStyle w:val="69"/>
              <w:rPr>
                <w:b w:val="0"/>
                <w:color w:val="000000"/>
              </w:rPr>
            </w:pPr>
          </w:p>
        </w:tc>
        <w:tc>
          <w:tcPr>
            <w:tcW w:w="888" w:type="pct"/>
            <w:vMerge w:val="continue"/>
            <w:tcBorders>
              <w:bottom w:val="single" w:color="000000" w:sz="12" w:space="0"/>
            </w:tcBorders>
            <w:shd w:val="clear" w:color="auto" w:fill="FFFFFF"/>
            <w:vAlign w:val="center"/>
          </w:tcPr>
          <w:p w14:paraId="07BA3F25">
            <w:pPr>
              <w:pStyle w:val="69"/>
              <w:rPr>
                <w:b w:val="0"/>
                <w:color w:val="000000"/>
              </w:rPr>
            </w:pPr>
          </w:p>
        </w:tc>
        <w:tc>
          <w:tcPr>
            <w:tcW w:w="735" w:type="pct"/>
            <w:vMerge w:val="continue"/>
            <w:tcBorders>
              <w:bottom w:val="single" w:color="000000" w:sz="12" w:space="0"/>
            </w:tcBorders>
            <w:shd w:val="clear" w:color="auto" w:fill="FFFFFF"/>
            <w:vAlign w:val="center"/>
          </w:tcPr>
          <w:p w14:paraId="16355ECE">
            <w:pPr>
              <w:pStyle w:val="69"/>
              <w:rPr>
                <w:b w:val="0"/>
                <w:color w:val="000000"/>
              </w:rPr>
            </w:pPr>
          </w:p>
        </w:tc>
        <w:tc>
          <w:tcPr>
            <w:tcW w:w="856" w:type="pct"/>
            <w:tcBorders>
              <w:bottom w:val="single" w:color="000000" w:sz="12" w:space="0"/>
            </w:tcBorders>
            <w:shd w:val="clear" w:color="auto" w:fill="FFFFFF"/>
            <w:vAlign w:val="center"/>
          </w:tcPr>
          <w:p w14:paraId="0CD878F7">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三氯甲烷</w:t>
            </w:r>
          </w:p>
        </w:tc>
        <w:tc>
          <w:tcPr>
            <w:tcW w:w="645" w:type="pct"/>
            <w:tcBorders>
              <w:bottom w:val="single" w:color="000000" w:sz="12" w:space="0"/>
            </w:tcBorders>
            <w:shd w:val="clear" w:color="auto" w:fill="FFFFFF"/>
            <w:vAlign w:val="center"/>
          </w:tcPr>
          <w:p w14:paraId="3DCF849B">
            <w:pPr>
              <w:pStyle w:val="69"/>
              <w:ind w:firstLine="0" w:firstLineChars="0"/>
              <w:rPr>
                <w:rFonts w:hint="eastAsia"/>
                <w:b w:val="0"/>
                <w:color w:val="000000"/>
              </w:rPr>
            </w:pPr>
            <w:r>
              <w:rPr>
                <w:rFonts w:hint="eastAsia"/>
                <w:b w:val="0"/>
                <w:color w:val="000000"/>
                <w:lang w:val="en-US" w:eastAsia="zh-CN"/>
              </w:rPr>
              <w:t>1h平均</w:t>
            </w:r>
          </w:p>
        </w:tc>
        <w:tc>
          <w:tcPr>
            <w:tcW w:w="406" w:type="pct"/>
            <w:vMerge w:val="continue"/>
            <w:tcBorders>
              <w:bottom w:val="single" w:color="000000" w:sz="12" w:space="0"/>
            </w:tcBorders>
            <w:shd w:val="clear" w:color="auto" w:fill="FFFFFF"/>
            <w:vAlign w:val="center"/>
          </w:tcPr>
          <w:p w14:paraId="6BBB8AE9">
            <w:pPr>
              <w:pStyle w:val="69"/>
              <w:rPr>
                <w:b w:val="0"/>
                <w:color w:val="000000"/>
              </w:rPr>
            </w:pPr>
          </w:p>
        </w:tc>
        <w:tc>
          <w:tcPr>
            <w:tcW w:w="505" w:type="pct"/>
            <w:vMerge w:val="continue"/>
            <w:tcBorders>
              <w:bottom w:val="single" w:color="000000" w:sz="12" w:space="0"/>
            </w:tcBorders>
            <w:shd w:val="clear" w:color="auto" w:fill="FFFFFF"/>
            <w:vAlign w:val="center"/>
          </w:tcPr>
          <w:p w14:paraId="4C4D74D3">
            <w:pPr>
              <w:pStyle w:val="69"/>
              <w:rPr>
                <w:b w:val="0"/>
                <w:color w:val="000000"/>
              </w:rPr>
            </w:pPr>
          </w:p>
        </w:tc>
        <w:tc>
          <w:tcPr>
            <w:tcW w:w="497" w:type="pct"/>
            <w:vMerge w:val="continue"/>
            <w:tcBorders>
              <w:bottom w:val="single" w:color="000000" w:sz="12" w:space="0"/>
            </w:tcBorders>
            <w:shd w:val="clear" w:color="auto" w:fill="FFFFFF"/>
            <w:vAlign w:val="center"/>
          </w:tcPr>
          <w:p w14:paraId="0FD8F275">
            <w:pPr>
              <w:pStyle w:val="69"/>
              <w:rPr>
                <w:b w:val="0"/>
                <w:color w:val="000000"/>
              </w:rPr>
            </w:pPr>
          </w:p>
        </w:tc>
      </w:tr>
    </w:tbl>
    <w:p w14:paraId="7FFB0C70">
      <w:pPr>
        <w:pStyle w:val="62"/>
        <w:bidi w:val="0"/>
        <w:rPr>
          <w:rFonts w:hint="eastAsia"/>
        </w:rPr>
      </w:pPr>
    </w:p>
    <w:p w14:paraId="22497326">
      <w:pPr>
        <w:pStyle w:val="62"/>
        <w:bidi w:val="0"/>
      </w:pPr>
      <w:r>
        <w:rPr>
          <w:sz w:val="24"/>
        </w:rPr>
        <mc:AlternateContent>
          <mc:Choice Requires="wps">
            <w:drawing>
              <wp:anchor distT="0" distB="0" distL="114300" distR="114300" simplePos="0" relativeHeight="251722752" behindDoc="0" locked="0" layoutInCell="1" allowOverlap="1">
                <wp:simplePos x="0" y="0"/>
                <wp:positionH relativeFrom="column">
                  <wp:posOffset>664845</wp:posOffset>
                </wp:positionH>
                <wp:positionV relativeFrom="paragraph">
                  <wp:posOffset>5944870</wp:posOffset>
                </wp:positionV>
                <wp:extent cx="957580" cy="74295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957580" cy="742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32C77">
                            <w:pPr>
                              <w:pStyle w:val="59"/>
                              <w:bidi w:val="0"/>
                              <w:jc w:val="left"/>
                              <w:rPr>
                                <w:rFonts w:hint="eastAsia"/>
                                <w:color w:val="FFFFFF" w:themeColor="background1"/>
                                <w:sz w:val="24"/>
                                <w:szCs w:val="24"/>
                                <w:lang w:val="en-US" w:eastAsia="zh-CN"/>
                                <w14:textFill>
                                  <w14:solidFill>
                                    <w14:schemeClr w14:val="bg1"/>
                                  </w14:solidFill>
                                </w14:textFill>
                              </w:rPr>
                            </w:pPr>
                            <w:r>
                              <w:rPr>
                                <w:rFonts w:hint="eastAsia"/>
                                <w:color w:val="FFFFFF" w:themeColor="background1"/>
                                <w:sz w:val="24"/>
                                <w:szCs w:val="24"/>
                                <w:lang w:val="en-US" w:eastAsia="zh-CN"/>
                                <w14:textFill>
                                  <w14:solidFill>
                                    <w14:schemeClr w14:val="bg1"/>
                                  </w14:solidFill>
                                </w14:textFill>
                              </w:rPr>
                              <w:t>图例</w:t>
                            </w:r>
                          </w:p>
                          <w:p w14:paraId="3FB25FB3">
                            <w:pPr>
                              <w:pStyle w:val="59"/>
                              <w:bidi w:val="0"/>
                              <w:jc w:val="left"/>
                              <w:rPr>
                                <w:rFonts w:hint="eastAsia"/>
                                <w:color w:val="FFFFFF" w:themeColor="background1"/>
                                <w:sz w:val="24"/>
                                <w:szCs w:val="24"/>
                                <w:lang w:val="en-US" w:eastAsia="zh-CN"/>
                                <w14:textFill>
                                  <w14:solidFill>
                                    <w14:schemeClr w14:val="bg1"/>
                                  </w14:solidFill>
                                </w14:textFill>
                              </w:rPr>
                            </w:pPr>
                            <w:r>
                              <w:rPr>
                                <w:rFonts w:hint="eastAsia"/>
                                <w:color w:val="FFFFFF" w:themeColor="background1"/>
                                <w:sz w:val="24"/>
                                <w:szCs w:val="24"/>
                                <w:lang w:val="en-US" w:eastAsia="zh-CN"/>
                                <w14:textFill>
                                  <w14:solidFill>
                                    <w14:schemeClr w14:val="bg1"/>
                                  </w14:solidFill>
                                </w14:textFill>
                              </w:rPr>
                              <w:t>：建设项目</w:t>
                            </w:r>
                          </w:p>
                          <w:p w14:paraId="45982811">
                            <w:pPr>
                              <w:pStyle w:val="59"/>
                              <w:bidi w:val="0"/>
                              <w:jc w:val="left"/>
                              <w:rPr>
                                <w:rFonts w:hint="default"/>
                                <w:color w:val="FFFFFF" w:themeColor="background1"/>
                                <w:sz w:val="24"/>
                                <w:szCs w:val="24"/>
                                <w:lang w:val="en-US" w:eastAsia="zh-CN"/>
                                <w14:textFill>
                                  <w14:solidFill>
                                    <w14:schemeClr w14:val="bg1"/>
                                  </w14:solidFill>
                                </w14:textFill>
                              </w:rPr>
                            </w:pPr>
                            <w:r>
                              <w:rPr>
                                <w:rFonts w:hint="eastAsia"/>
                                <w:color w:val="FFFFFF" w:themeColor="background1"/>
                                <w:sz w:val="24"/>
                                <w:szCs w:val="24"/>
                                <w:lang w:val="en-US" w:eastAsia="zh-CN"/>
                                <w14:textFill>
                                  <w14:solidFill>
                                    <w14:schemeClr w14:val="bg1"/>
                                  </w14:solidFill>
                                </w14:textFill>
                              </w:rPr>
                              <w:t>：噪声监测点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35pt;margin-top:468.1pt;height:58.5pt;width:75.4pt;z-index:251722752;mso-width-relative:page;mso-height-relative:page;" filled="f" stroked="f" coordsize="21600,21600" o:gfxdata="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QtfIy3AAAAAwBAAAPAAAAAAAAAAEAIAAAACIAAABk&#10;cnMvZG93bnJldi54bWxQSwECFAAUAAAACACHTuJAFflsMTsCAABnBAAADgAAAAAAAAABACAAAAAr&#10;AQAAZHJzL2Uyb0RvYy54bWxQSwUGAAAAAAYABgBZAQAA2AUAAAAA&#10;">
                <v:fill on="f" focussize="0,0"/>
                <v:stroke on="f" weight="0.5pt"/>
                <v:imagedata o:title=""/>
                <o:lock v:ext="edit" aspectratio="f"/>
                <v:textbox>
                  <w:txbxContent>
                    <w:p w14:paraId="00432C77">
                      <w:pPr>
                        <w:pStyle w:val="59"/>
                        <w:bidi w:val="0"/>
                        <w:jc w:val="left"/>
                        <w:rPr>
                          <w:rFonts w:hint="eastAsia"/>
                          <w:color w:val="FFFFFF" w:themeColor="background1"/>
                          <w:sz w:val="24"/>
                          <w:szCs w:val="24"/>
                          <w:lang w:val="en-US" w:eastAsia="zh-CN"/>
                          <w14:textFill>
                            <w14:solidFill>
                              <w14:schemeClr w14:val="bg1"/>
                            </w14:solidFill>
                          </w14:textFill>
                        </w:rPr>
                      </w:pPr>
                      <w:r>
                        <w:rPr>
                          <w:rFonts w:hint="eastAsia"/>
                          <w:color w:val="FFFFFF" w:themeColor="background1"/>
                          <w:sz w:val="24"/>
                          <w:szCs w:val="24"/>
                          <w:lang w:val="en-US" w:eastAsia="zh-CN"/>
                          <w14:textFill>
                            <w14:solidFill>
                              <w14:schemeClr w14:val="bg1"/>
                            </w14:solidFill>
                          </w14:textFill>
                        </w:rPr>
                        <w:t>图例</w:t>
                      </w:r>
                    </w:p>
                    <w:p w14:paraId="3FB25FB3">
                      <w:pPr>
                        <w:pStyle w:val="59"/>
                        <w:bidi w:val="0"/>
                        <w:jc w:val="left"/>
                        <w:rPr>
                          <w:rFonts w:hint="eastAsia"/>
                          <w:color w:val="FFFFFF" w:themeColor="background1"/>
                          <w:sz w:val="24"/>
                          <w:szCs w:val="24"/>
                          <w:lang w:val="en-US" w:eastAsia="zh-CN"/>
                          <w14:textFill>
                            <w14:solidFill>
                              <w14:schemeClr w14:val="bg1"/>
                            </w14:solidFill>
                          </w14:textFill>
                        </w:rPr>
                      </w:pPr>
                      <w:r>
                        <w:rPr>
                          <w:rFonts w:hint="eastAsia"/>
                          <w:color w:val="FFFFFF" w:themeColor="background1"/>
                          <w:sz w:val="24"/>
                          <w:szCs w:val="24"/>
                          <w:lang w:val="en-US" w:eastAsia="zh-CN"/>
                          <w14:textFill>
                            <w14:solidFill>
                              <w14:schemeClr w14:val="bg1"/>
                            </w14:solidFill>
                          </w14:textFill>
                        </w:rPr>
                        <w:t>：建设项目</w:t>
                      </w:r>
                    </w:p>
                    <w:p w14:paraId="45982811">
                      <w:pPr>
                        <w:pStyle w:val="59"/>
                        <w:bidi w:val="0"/>
                        <w:jc w:val="left"/>
                        <w:rPr>
                          <w:rFonts w:hint="default"/>
                          <w:color w:val="FFFFFF" w:themeColor="background1"/>
                          <w:sz w:val="24"/>
                          <w:szCs w:val="24"/>
                          <w:lang w:val="en-US" w:eastAsia="zh-CN"/>
                          <w14:textFill>
                            <w14:solidFill>
                              <w14:schemeClr w14:val="bg1"/>
                            </w14:solidFill>
                          </w14:textFill>
                        </w:rPr>
                      </w:pPr>
                      <w:r>
                        <w:rPr>
                          <w:rFonts w:hint="eastAsia"/>
                          <w:color w:val="FFFFFF" w:themeColor="background1"/>
                          <w:sz w:val="24"/>
                          <w:szCs w:val="24"/>
                          <w:lang w:val="en-US" w:eastAsia="zh-CN"/>
                          <w14:textFill>
                            <w14:solidFill>
                              <w14:schemeClr w14:val="bg1"/>
                            </w14:solidFill>
                          </w14:textFill>
                        </w:rPr>
                        <w:t>：噪声监测点</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332740</wp:posOffset>
                </wp:positionH>
                <wp:positionV relativeFrom="paragraph">
                  <wp:posOffset>6251575</wp:posOffset>
                </wp:positionV>
                <wp:extent cx="375285" cy="76200"/>
                <wp:effectExtent l="9525" t="9525" r="15240" b="9525"/>
                <wp:wrapNone/>
                <wp:docPr id="18" name="任意多边形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75285" cy="76200"/>
                        </a:xfrm>
                        <a:custGeom>
                          <a:avLst/>
                          <a:gdLst/>
                          <a:ahLst/>
                          <a:cxnLst/>
                          <a:pathLst>
                            <a:path w="3908" h="660">
                              <a:moveTo>
                                <a:pt x="0" y="0"/>
                              </a:moveTo>
                              <a:lnTo>
                                <a:pt x="3900" y="195"/>
                              </a:lnTo>
                              <a:lnTo>
                                <a:pt x="3908" y="435"/>
                              </a:lnTo>
                              <a:lnTo>
                                <a:pt x="3713" y="660"/>
                              </a:lnTo>
                              <a:lnTo>
                                <a:pt x="0" y="458"/>
                              </a:lnTo>
                              <a:lnTo>
                                <a:pt x="0" y="0"/>
                              </a:lnTo>
                              <a:close/>
                            </a:path>
                          </a:pathLst>
                        </a:custGeom>
                        <a:noFill/>
                        <a:ln w="1905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6.2pt;margin-top:492.25pt;height:6pt;width:29.55pt;z-index:251723776;mso-width-relative:page;mso-height-relative:page;" filled="f" stroked="t" coordsize="3908,660" o:gfxdata="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WC07o9oAAAAKAQAADwAAAAAAAAABACAAAAAi&#10;AAAAZHJzL2Rvd25yZXYueG1sUEsBAhQAFAAAAAgAh07iQF5WH7x6AgAAZAUAAA4AAAAAAAAAAQAg&#10;AAAAKQEAAGRycy9lMm9Eb2MueG1sUEsFBgAAAAAGAAYAWQEAABUGAAAAAA==&#10;" path="m0,0l3900,195,3908,435,3713,660,0,458,0,0xe">
                <v:fill on="f" focussize="0,0"/>
                <v:stroke weight="1.5pt" color="#FF0000" joinstyle="round"/>
                <v:imagedata o:title=""/>
                <o:lock v:ext="edit" aspectratio="t"/>
              </v:shape>
            </w:pict>
          </mc:Fallback>
        </mc:AlternateContent>
      </w:r>
      <w:r>
        <w:drawing>
          <wp:anchor distT="0" distB="0" distL="114300" distR="114300" simplePos="0" relativeHeight="251724800" behindDoc="0" locked="0" layoutInCell="1" allowOverlap="1">
            <wp:simplePos x="0" y="0"/>
            <wp:positionH relativeFrom="column">
              <wp:posOffset>502920</wp:posOffset>
            </wp:positionH>
            <wp:positionV relativeFrom="paragraph">
              <wp:posOffset>6410960</wp:posOffset>
            </wp:positionV>
            <wp:extent cx="133985" cy="219075"/>
            <wp:effectExtent l="0" t="0" r="8890" b="0"/>
            <wp:wrapNone/>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65"/>
                    <a:stretch>
                      <a:fillRect/>
                    </a:stretch>
                  </pic:blipFill>
                  <pic:spPr>
                    <a:xfrm>
                      <a:off x="0" y="0"/>
                      <a:ext cx="133985" cy="219075"/>
                    </a:xfrm>
                    <a:prstGeom prst="rect">
                      <a:avLst/>
                    </a:prstGeom>
                    <a:noFill/>
                    <a:ln>
                      <a:noFill/>
                    </a:ln>
                  </pic:spPr>
                </pic:pic>
              </a:graphicData>
            </a:graphic>
          </wp:anchor>
        </w:drawing>
      </w:r>
      <w:r>
        <mc:AlternateContent>
          <mc:Choice Requires="wps">
            <w:drawing>
              <wp:anchor distT="0" distB="0" distL="114300" distR="114300" simplePos="0" relativeHeight="251721728" behindDoc="0" locked="0" layoutInCell="1" allowOverlap="1">
                <wp:simplePos x="0" y="0"/>
                <wp:positionH relativeFrom="column">
                  <wp:posOffset>1430655</wp:posOffset>
                </wp:positionH>
                <wp:positionV relativeFrom="paragraph">
                  <wp:posOffset>2075815</wp:posOffset>
                </wp:positionV>
                <wp:extent cx="688975" cy="116205"/>
                <wp:effectExtent l="9525" t="9525" r="15875" b="17145"/>
                <wp:wrapNone/>
                <wp:docPr id="16" name="任意多边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88975" cy="116205"/>
                        </a:xfrm>
                        <a:custGeom>
                          <a:avLst/>
                          <a:gdLst/>
                          <a:ahLst/>
                          <a:cxnLst/>
                          <a:pathLst>
                            <a:path w="3908" h="660">
                              <a:moveTo>
                                <a:pt x="0" y="0"/>
                              </a:moveTo>
                              <a:lnTo>
                                <a:pt x="3900" y="195"/>
                              </a:lnTo>
                              <a:lnTo>
                                <a:pt x="3908" y="435"/>
                              </a:lnTo>
                              <a:lnTo>
                                <a:pt x="3713" y="660"/>
                              </a:lnTo>
                              <a:lnTo>
                                <a:pt x="0" y="458"/>
                              </a:lnTo>
                              <a:lnTo>
                                <a:pt x="0" y="0"/>
                              </a:lnTo>
                              <a:close/>
                            </a:path>
                          </a:pathLst>
                        </a:custGeom>
                        <a:noFill/>
                        <a:ln w="1905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12.65pt;margin-top:163.45pt;height:9.15pt;width:54.25pt;z-index:251721728;mso-width-relative:page;mso-height-relative:page;" filled="f" stroked="t" coordsize="3908,660" o:gfxdata="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M2DH9dsAAAALAQAADwAAAAAAAAABACAAAAAi&#10;AAAAZHJzL2Rvd25yZXYueG1sUEsBAhQAFAAAAAgAh07iQIGKwPt5AgAAZQUAAA4AAAAAAAAAAQAg&#10;AAAAKgEAAGRycy9lMm9Eb2MueG1sUEsFBgAAAAAGAAYAWQEAABUGAAAAAA==&#10;" path="m0,0l3900,195,3908,435,3713,660,0,458,0,0xe">
                <v:fill on="f" focussize="0,0"/>
                <v:stroke weight="1.5pt" color="#FF0000" joinstyle="round"/>
                <v:imagedata o:title=""/>
                <o:lock v:ext="edit" aspectratio="t"/>
              </v:shape>
            </w:pict>
          </mc:Fallback>
        </mc:AlternateContent>
      </w:r>
      <w:r>
        <w:rPr>
          <w:rFonts w:hint="eastAsia" w:eastAsia="宋体"/>
          <w:lang w:eastAsia="zh-CN"/>
        </w:rPr>
        <w:drawing>
          <wp:anchor distT="0" distB="0" distL="114300" distR="114300" simplePos="0" relativeHeight="251720704" behindDoc="0" locked="0" layoutInCell="1" allowOverlap="1">
            <wp:simplePos x="0" y="0"/>
            <wp:positionH relativeFrom="column">
              <wp:posOffset>4641850</wp:posOffset>
            </wp:positionH>
            <wp:positionV relativeFrom="paragraph">
              <wp:posOffset>55245</wp:posOffset>
            </wp:positionV>
            <wp:extent cx="853440" cy="803275"/>
            <wp:effectExtent l="0" t="0" r="3810" b="6350"/>
            <wp:wrapNone/>
            <wp:docPr id="15" name="图片 15" descr="2024年鹤山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4年鹤山风玫瑰图"/>
                    <pic:cNvPicPr>
                      <a:picLocks noChangeAspect="1"/>
                    </pic:cNvPicPr>
                  </pic:nvPicPr>
                  <pic:blipFill>
                    <a:blip r:embed="rId24"/>
                    <a:stretch>
                      <a:fillRect/>
                    </a:stretch>
                  </pic:blipFill>
                  <pic:spPr>
                    <a:xfrm>
                      <a:off x="0" y="0"/>
                      <a:ext cx="853440" cy="803275"/>
                    </a:xfrm>
                    <a:prstGeom prst="rect">
                      <a:avLst/>
                    </a:prstGeom>
                  </pic:spPr>
                </pic:pic>
              </a:graphicData>
            </a:graphic>
          </wp:anchor>
        </w:drawing>
      </w:r>
      <w:r>
        <w:drawing>
          <wp:inline distT="0" distB="0" distL="114300" distR="114300">
            <wp:extent cx="5253355" cy="6877050"/>
            <wp:effectExtent l="0" t="0" r="4445" b="0"/>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66"/>
                    <a:stretch>
                      <a:fillRect/>
                    </a:stretch>
                  </pic:blipFill>
                  <pic:spPr>
                    <a:xfrm>
                      <a:off x="0" y="0"/>
                      <a:ext cx="5253355" cy="6877050"/>
                    </a:xfrm>
                    <a:prstGeom prst="rect">
                      <a:avLst/>
                    </a:prstGeom>
                    <a:noFill/>
                    <a:ln>
                      <a:noFill/>
                    </a:ln>
                  </pic:spPr>
                </pic:pic>
              </a:graphicData>
            </a:graphic>
          </wp:inline>
        </w:drawing>
      </w:r>
    </w:p>
    <w:p w14:paraId="619B6E06">
      <w:pPr>
        <w:pStyle w:val="62"/>
        <w:bidi w:val="0"/>
        <w:rPr>
          <w:rFonts w:hint="default" w:eastAsia="宋体"/>
          <w:lang w:val="en-US" w:eastAsia="zh-CN"/>
        </w:rPr>
      </w:pPr>
      <w:r>
        <w:rPr>
          <w:rFonts w:hint="eastAsia"/>
          <w:lang w:val="en-US" w:eastAsia="zh-CN"/>
        </w:rPr>
        <w:t>图3.3-1  环境空气现状监测布点图</w:t>
      </w:r>
    </w:p>
    <w:p w14:paraId="2C525DF1">
      <w:pPr>
        <w:ind w:firstLine="482"/>
        <w:rPr>
          <w:b/>
          <w:bCs/>
          <w:color w:val="auto"/>
        </w:rPr>
      </w:pPr>
      <w:r>
        <w:rPr>
          <w:rFonts w:hint="eastAsia"/>
          <w:b/>
          <w:bCs/>
          <w:color w:val="auto"/>
        </w:rPr>
        <w:t>2、</w:t>
      </w:r>
      <w:r>
        <w:rPr>
          <w:b/>
          <w:bCs/>
          <w:color w:val="auto"/>
        </w:rPr>
        <w:t>监测时间与频次</w:t>
      </w:r>
    </w:p>
    <w:p w14:paraId="446DEE0D">
      <w:pPr>
        <w:tabs>
          <w:tab w:val="left" w:pos="480"/>
        </w:tabs>
        <w:spacing w:line="353" w:lineRule="auto"/>
        <w:ind w:firstLine="480"/>
        <w:rPr>
          <w:rFonts w:hint="default" w:eastAsia="宋体"/>
          <w:color w:val="auto"/>
          <w:szCs w:val="24"/>
          <w:lang w:val="en-US" w:eastAsia="zh-CN"/>
        </w:rPr>
      </w:pPr>
      <w:r>
        <w:rPr>
          <w:rFonts w:hint="eastAsia"/>
          <w:color w:val="auto"/>
        </w:rPr>
        <w:t>1h均值</w:t>
      </w:r>
      <w:r>
        <w:rPr>
          <w:color w:val="auto"/>
          <w:szCs w:val="24"/>
        </w:rPr>
        <w:t>连续监测七天</w:t>
      </w:r>
      <w:r>
        <w:rPr>
          <w:rFonts w:hint="eastAsia"/>
          <w:color w:val="auto"/>
          <w:szCs w:val="24"/>
        </w:rPr>
        <w:t>，</w:t>
      </w:r>
      <w:r>
        <w:rPr>
          <w:color w:val="auto"/>
          <w:szCs w:val="24"/>
        </w:rPr>
        <w:t>每小时不小于45min的采样时间。</w:t>
      </w:r>
      <w:r>
        <w:rPr>
          <w:rFonts w:hint="eastAsia"/>
          <w:color w:val="auto"/>
          <w:szCs w:val="24"/>
        </w:rPr>
        <w:t>8h均值</w:t>
      </w:r>
      <w:r>
        <w:rPr>
          <w:color w:val="auto"/>
          <w:szCs w:val="24"/>
        </w:rPr>
        <w:t>每天不少于</w:t>
      </w:r>
      <w:r>
        <w:rPr>
          <w:rFonts w:hint="eastAsia"/>
          <w:color w:val="auto"/>
          <w:szCs w:val="24"/>
        </w:rPr>
        <w:t>8</w:t>
      </w:r>
      <w:r>
        <w:rPr>
          <w:color w:val="auto"/>
          <w:szCs w:val="24"/>
        </w:rPr>
        <w:t>小时采样时间。</w:t>
      </w:r>
      <w:r>
        <w:rPr>
          <w:rFonts w:hint="eastAsia"/>
          <w:color w:val="auto"/>
          <w:szCs w:val="24"/>
          <w:lang w:val="en-US" w:eastAsia="zh-CN"/>
        </w:rPr>
        <w:t>TSP24小时均值每天不少于20小时采样时间。</w:t>
      </w:r>
    </w:p>
    <w:p w14:paraId="6CE7B669">
      <w:pPr>
        <w:adjustRightInd w:val="0"/>
        <w:ind w:firstLine="482"/>
        <w:rPr>
          <w:b/>
          <w:bCs/>
          <w:color w:val="auto"/>
        </w:rPr>
      </w:pPr>
      <w:r>
        <w:rPr>
          <w:rFonts w:hint="eastAsia"/>
          <w:b/>
          <w:bCs/>
          <w:color w:val="auto"/>
        </w:rPr>
        <w:t>3、</w:t>
      </w:r>
      <w:r>
        <w:rPr>
          <w:b/>
          <w:bCs/>
          <w:color w:val="auto"/>
        </w:rPr>
        <w:t>采样和分析方法</w:t>
      </w:r>
    </w:p>
    <w:p w14:paraId="493CC804">
      <w:pPr>
        <w:tabs>
          <w:tab w:val="left" w:pos="480"/>
        </w:tabs>
        <w:spacing w:line="355" w:lineRule="auto"/>
        <w:ind w:firstLine="480"/>
        <w:rPr>
          <w:color w:val="auto"/>
        </w:rPr>
      </w:pPr>
      <w:r>
        <w:rPr>
          <w:bCs/>
          <w:color w:val="auto"/>
          <w:kern w:val="44"/>
        </w:rPr>
        <w:t>各监测项目的</w:t>
      </w:r>
      <w:r>
        <w:rPr>
          <w:color w:val="auto"/>
        </w:rPr>
        <w:t>采样和分析方法均按国家环保局编写的《环境监测技术规范》和《空气和废气监测分析方法》中的有关要求进行，分析方法见</w:t>
      </w:r>
      <w:r>
        <w:rPr>
          <w:rFonts w:hint="eastAsia"/>
          <w:color w:val="auto"/>
          <w:lang w:eastAsia="zh-CN"/>
        </w:rPr>
        <w:t>表</w:t>
      </w:r>
      <w:r>
        <w:rPr>
          <w:rFonts w:hint="eastAsia"/>
          <w:color w:val="auto"/>
          <w:lang w:val="en-US" w:eastAsia="zh-CN"/>
        </w:rPr>
        <w:t>3</w:t>
      </w:r>
      <w:r>
        <w:rPr>
          <w:rFonts w:hint="eastAsia"/>
          <w:color w:val="auto"/>
        </w:rPr>
        <w:t>.3-3</w:t>
      </w:r>
      <w:r>
        <w:rPr>
          <w:color w:val="auto"/>
        </w:rPr>
        <w:t>。</w:t>
      </w:r>
    </w:p>
    <w:p w14:paraId="110A1FEB">
      <w:pPr>
        <w:pStyle w:val="62"/>
        <w:numPr>
          <w:ilvl w:val="0"/>
          <w:numId w:val="36"/>
        </w:numPr>
        <w:ind w:left="0" w:leftChars="0" w:firstLine="0"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环境空气质量现状评价因子分析方法、方法来源及检出限一览表</w:t>
      </w:r>
    </w:p>
    <w:tbl>
      <w:tblPr>
        <w:tblStyle w:val="38"/>
        <w:tblW w:w="928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546"/>
        <w:gridCol w:w="4539"/>
        <w:gridCol w:w="1683"/>
        <w:gridCol w:w="1520"/>
      </w:tblGrid>
      <w:tr w14:paraId="009676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blHeader/>
          <w:jc w:val="center"/>
        </w:trPr>
        <w:tc>
          <w:tcPr>
            <w:tcW w:w="1546" w:type="dxa"/>
            <w:vAlign w:val="center"/>
          </w:tcPr>
          <w:p w14:paraId="6C418216">
            <w:pPr>
              <w:pStyle w:val="59"/>
              <w:rPr>
                <w:color w:val="auto"/>
              </w:rPr>
            </w:pPr>
            <w:r>
              <w:rPr>
                <w:color w:val="auto"/>
              </w:rPr>
              <w:t>污染物</w:t>
            </w:r>
          </w:p>
        </w:tc>
        <w:tc>
          <w:tcPr>
            <w:tcW w:w="4539" w:type="dxa"/>
            <w:vAlign w:val="center"/>
          </w:tcPr>
          <w:p w14:paraId="3A353CFD">
            <w:pPr>
              <w:pStyle w:val="59"/>
              <w:rPr>
                <w:color w:val="auto"/>
              </w:rPr>
            </w:pPr>
            <w:r>
              <w:rPr>
                <w:color w:val="auto"/>
              </w:rPr>
              <w:t>监测方法和标准</w:t>
            </w:r>
          </w:p>
        </w:tc>
        <w:tc>
          <w:tcPr>
            <w:tcW w:w="1683" w:type="dxa"/>
            <w:vAlign w:val="center"/>
          </w:tcPr>
          <w:p w14:paraId="38F6464B">
            <w:pPr>
              <w:pStyle w:val="59"/>
              <w:rPr>
                <w:color w:val="auto"/>
              </w:rPr>
            </w:pPr>
            <w:r>
              <w:rPr>
                <w:color w:val="auto"/>
              </w:rPr>
              <w:t>使用</w:t>
            </w:r>
            <w:r>
              <w:rPr>
                <w:rFonts w:hint="eastAsia"/>
                <w:color w:val="auto"/>
              </w:rPr>
              <w:t>仪器</w:t>
            </w:r>
          </w:p>
        </w:tc>
        <w:tc>
          <w:tcPr>
            <w:tcW w:w="1520" w:type="dxa"/>
            <w:vAlign w:val="center"/>
          </w:tcPr>
          <w:p w14:paraId="6A0F9D01">
            <w:pPr>
              <w:snapToGrid w:val="0"/>
              <w:spacing w:line="240" w:lineRule="auto"/>
              <w:ind w:firstLine="0" w:firstLineChars="0"/>
              <w:jc w:val="center"/>
              <w:rPr>
                <w:color w:val="auto"/>
                <w:sz w:val="21"/>
              </w:rPr>
            </w:pPr>
            <w:r>
              <w:rPr>
                <w:color w:val="auto"/>
                <w:sz w:val="21"/>
              </w:rPr>
              <w:t>检出限</w:t>
            </w:r>
          </w:p>
        </w:tc>
      </w:tr>
      <w:tr w14:paraId="4768B2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6" w:type="dxa"/>
            <w:vAlign w:val="center"/>
          </w:tcPr>
          <w:p w14:paraId="3DBE311F">
            <w:pPr>
              <w:pStyle w:val="59"/>
              <w:rPr>
                <w:color w:val="auto"/>
              </w:rPr>
            </w:pPr>
            <w:r>
              <w:rPr>
                <w:color w:val="auto"/>
              </w:rPr>
              <w:t>臭气浓度</w:t>
            </w:r>
          </w:p>
        </w:tc>
        <w:tc>
          <w:tcPr>
            <w:tcW w:w="4539" w:type="dxa"/>
            <w:vAlign w:val="center"/>
          </w:tcPr>
          <w:p w14:paraId="5DFFDF52">
            <w:pPr>
              <w:pStyle w:val="59"/>
              <w:rPr>
                <w:color w:val="auto"/>
              </w:rPr>
            </w:pPr>
            <w:r>
              <w:rPr>
                <w:color w:val="auto"/>
              </w:rPr>
              <w:t>《空气质量 恶臭的测定三点比较式臭袋法》</w:t>
            </w:r>
          </w:p>
          <w:p w14:paraId="1B742AD6">
            <w:pPr>
              <w:pStyle w:val="59"/>
              <w:rPr>
                <w:color w:val="auto"/>
              </w:rPr>
            </w:pPr>
            <w:r>
              <w:rPr>
                <w:color w:val="auto"/>
              </w:rPr>
              <w:t>（GB/T 14675-1993）</w:t>
            </w:r>
          </w:p>
        </w:tc>
        <w:tc>
          <w:tcPr>
            <w:tcW w:w="1683" w:type="dxa"/>
            <w:vAlign w:val="center"/>
          </w:tcPr>
          <w:p w14:paraId="33749C04">
            <w:pPr>
              <w:pStyle w:val="59"/>
              <w:rPr>
                <w:rFonts w:hint="default" w:eastAsia="宋体"/>
                <w:color w:val="auto"/>
                <w:lang w:val="en-US" w:eastAsia="zh-CN"/>
              </w:rPr>
            </w:pPr>
            <w:r>
              <w:rPr>
                <w:rFonts w:hint="eastAsia"/>
                <w:color w:val="auto"/>
                <w:lang w:val="en-US" w:eastAsia="zh-CN"/>
              </w:rPr>
              <w:t>无臭气体制备系统SOW-02</w:t>
            </w:r>
          </w:p>
        </w:tc>
        <w:tc>
          <w:tcPr>
            <w:tcW w:w="1520" w:type="dxa"/>
            <w:vAlign w:val="center"/>
          </w:tcPr>
          <w:p w14:paraId="7F1ADC29">
            <w:pPr>
              <w:spacing w:line="240" w:lineRule="auto"/>
              <w:ind w:firstLine="0" w:firstLineChars="0"/>
              <w:jc w:val="center"/>
              <w:rPr>
                <w:color w:val="auto"/>
                <w:sz w:val="21"/>
              </w:rPr>
            </w:pPr>
            <w:r>
              <w:rPr>
                <w:color w:val="auto"/>
                <w:sz w:val="21"/>
              </w:rPr>
              <w:t>10 无量纲</w:t>
            </w:r>
          </w:p>
        </w:tc>
      </w:tr>
      <w:tr w14:paraId="302DC7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6" w:type="dxa"/>
            <w:vAlign w:val="center"/>
          </w:tcPr>
          <w:p w14:paraId="0150DAED">
            <w:pPr>
              <w:pStyle w:val="59"/>
              <w:rPr>
                <w:color w:val="auto"/>
              </w:rPr>
            </w:pPr>
            <w:r>
              <w:rPr>
                <w:rFonts w:hint="eastAsia"/>
                <w:color w:val="auto"/>
              </w:rPr>
              <w:t>NMHC</w:t>
            </w:r>
          </w:p>
        </w:tc>
        <w:tc>
          <w:tcPr>
            <w:tcW w:w="4539" w:type="dxa"/>
            <w:vAlign w:val="center"/>
          </w:tcPr>
          <w:p w14:paraId="13158149">
            <w:pPr>
              <w:pStyle w:val="59"/>
              <w:rPr>
                <w:color w:val="auto"/>
              </w:rPr>
            </w:pPr>
            <w:r>
              <w:rPr>
                <w:rFonts w:hint="eastAsia"/>
                <w:color w:val="auto"/>
              </w:rPr>
              <w:t>气相色谱法HJ604-2017</w:t>
            </w:r>
          </w:p>
        </w:tc>
        <w:tc>
          <w:tcPr>
            <w:tcW w:w="1683" w:type="dxa"/>
            <w:vAlign w:val="center"/>
          </w:tcPr>
          <w:p w14:paraId="7BA6CC45">
            <w:pPr>
              <w:pStyle w:val="59"/>
              <w:rPr>
                <w:rFonts w:hint="default" w:eastAsia="宋体"/>
                <w:color w:val="auto"/>
                <w:lang w:val="en-US" w:eastAsia="zh-CN"/>
              </w:rPr>
            </w:pPr>
            <w:r>
              <w:rPr>
                <w:rFonts w:hint="eastAsia"/>
                <w:color w:val="auto"/>
              </w:rPr>
              <w:t>气相色谱仪</w:t>
            </w:r>
            <w:r>
              <w:rPr>
                <w:rFonts w:hint="eastAsia"/>
                <w:color w:val="auto"/>
                <w:lang w:val="en-US" w:eastAsia="zh-CN"/>
              </w:rPr>
              <w:t>V5000</w:t>
            </w:r>
          </w:p>
        </w:tc>
        <w:tc>
          <w:tcPr>
            <w:tcW w:w="1520" w:type="dxa"/>
            <w:vAlign w:val="center"/>
          </w:tcPr>
          <w:p w14:paraId="7CA132DE">
            <w:pPr>
              <w:spacing w:line="240" w:lineRule="auto"/>
              <w:ind w:firstLine="0" w:firstLineChars="0"/>
              <w:rPr>
                <w:color w:val="auto"/>
                <w:sz w:val="21"/>
              </w:rPr>
            </w:pPr>
            <w:r>
              <w:rPr>
                <w:color w:val="auto"/>
                <w:sz w:val="21"/>
              </w:rPr>
              <w:t>0.0</w:t>
            </w:r>
            <w:r>
              <w:rPr>
                <w:rFonts w:hint="eastAsia"/>
                <w:color w:val="auto"/>
                <w:sz w:val="21"/>
              </w:rPr>
              <w:t>7</w:t>
            </w:r>
            <w:r>
              <w:rPr>
                <w:color w:val="auto"/>
                <w:sz w:val="21"/>
              </w:rPr>
              <w:t xml:space="preserve"> mg/m</w:t>
            </w:r>
            <w:r>
              <w:rPr>
                <w:color w:val="auto"/>
                <w:sz w:val="21"/>
                <w:vertAlign w:val="superscript"/>
              </w:rPr>
              <w:t>3</w:t>
            </w:r>
          </w:p>
        </w:tc>
      </w:tr>
      <w:tr w14:paraId="299DEC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6" w:type="dxa"/>
            <w:vAlign w:val="center"/>
          </w:tcPr>
          <w:p w14:paraId="2EFF1711">
            <w:pPr>
              <w:pStyle w:val="59"/>
              <w:bidi w:val="0"/>
              <w:rPr>
                <w:color w:val="auto"/>
              </w:rPr>
            </w:pPr>
            <w:r>
              <w:rPr>
                <w:rFonts w:hint="eastAsia"/>
                <w:color w:val="auto"/>
              </w:rPr>
              <w:t>TVOC</w:t>
            </w:r>
          </w:p>
        </w:tc>
        <w:tc>
          <w:tcPr>
            <w:tcW w:w="4539" w:type="dxa"/>
            <w:vAlign w:val="center"/>
          </w:tcPr>
          <w:p w14:paraId="58046E74">
            <w:pPr>
              <w:pStyle w:val="59"/>
              <w:bidi w:val="0"/>
              <w:rPr>
                <w:rFonts w:hint="eastAsia"/>
                <w:color w:val="auto"/>
                <w:lang w:val="en-US" w:eastAsia="zh-CN"/>
              </w:rPr>
            </w:pPr>
            <w:r>
              <w:rPr>
                <w:rFonts w:hint="eastAsia"/>
                <w:color w:val="auto"/>
              </w:rPr>
              <w:t>环境空气 挥发性有机物的测定 吸附管采样-热脱附/气相色谱-质谱法(HJ 644-2013)</w:t>
            </w:r>
          </w:p>
        </w:tc>
        <w:tc>
          <w:tcPr>
            <w:tcW w:w="1683" w:type="dxa"/>
            <w:vAlign w:val="center"/>
          </w:tcPr>
          <w:p w14:paraId="082FC3FB">
            <w:pPr>
              <w:pStyle w:val="59"/>
              <w:bidi w:val="0"/>
              <w:rPr>
                <w:color w:val="auto"/>
              </w:rPr>
            </w:pPr>
            <w:r>
              <w:rPr>
                <w:color w:val="auto"/>
              </w:rPr>
              <w:t>气相色谱仪</w:t>
            </w:r>
            <w:r>
              <w:rPr>
                <w:color w:val="auto"/>
                <w:lang w:eastAsia="en-US"/>
              </w:rPr>
              <w:t>GC-</w:t>
            </w:r>
          </w:p>
          <w:p w14:paraId="2E26A52D">
            <w:pPr>
              <w:pStyle w:val="59"/>
              <w:bidi w:val="0"/>
              <w:rPr>
                <w:rFonts w:hint="default"/>
                <w:color w:val="auto"/>
                <w:lang w:val="en-US" w:eastAsia="zh-CN"/>
              </w:rPr>
            </w:pPr>
            <w:r>
              <w:rPr>
                <w:rFonts w:hint="eastAsia"/>
                <w:color w:val="auto"/>
                <w:lang w:val="en-US" w:eastAsia="zh-CN"/>
              </w:rPr>
              <w:t>A60</w:t>
            </w:r>
          </w:p>
        </w:tc>
        <w:tc>
          <w:tcPr>
            <w:tcW w:w="1520" w:type="dxa"/>
            <w:vAlign w:val="center"/>
          </w:tcPr>
          <w:p w14:paraId="6E2336F1">
            <w:pPr>
              <w:pStyle w:val="59"/>
              <w:bidi w:val="0"/>
              <w:rPr>
                <w:rFonts w:hint="default"/>
                <w:color w:val="auto"/>
                <w:lang w:val="en-US" w:eastAsia="zh-CN"/>
              </w:rPr>
            </w:pPr>
            <w:r>
              <w:rPr>
                <w:rFonts w:hint="eastAsia"/>
                <w:color w:val="auto"/>
                <w:lang w:val="en-US" w:eastAsia="zh-CN"/>
              </w:rPr>
              <w:t>0.5μg</w:t>
            </w:r>
            <w:r>
              <w:rPr>
                <w:color w:val="auto"/>
                <w:lang w:eastAsia="en-US"/>
              </w:rPr>
              <w:t>/m3</w:t>
            </w:r>
          </w:p>
        </w:tc>
      </w:tr>
      <w:tr w14:paraId="45E898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6" w:type="dxa"/>
            <w:vAlign w:val="center"/>
          </w:tcPr>
          <w:p w14:paraId="07E2B05E">
            <w:pPr>
              <w:pStyle w:val="59"/>
              <w:bidi w:val="0"/>
              <w:rPr>
                <w:rFonts w:hint="default" w:eastAsia="宋体"/>
                <w:color w:val="auto"/>
                <w:lang w:val="en-US" w:eastAsia="zh-CN"/>
              </w:rPr>
            </w:pPr>
            <w:r>
              <w:rPr>
                <w:rFonts w:hint="eastAsia"/>
                <w:color w:val="auto"/>
                <w:lang w:val="en-US" w:eastAsia="zh-CN"/>
              </w:rPr>
              <w:t>NOx</w:t>
            </w:r>
          </w:p>
        </w:tc>
        <w:tc>
          <w:tcPr>
            <w:tcW w:w="4539" w:type="dxa"/>
            <w:vAlign w:val="center"/>
          </w:tcPr>
          <w:p w14:paraId="4245BEAC">
            <w:pPr>
              <w:pStyle w:val="59"/>
              <w:bidi w:val="0"/>
              <w:rPr>
                <w:rFonts w:hint="eastAsia"/>
                <w:color w:val="auto"/>
              </w:rPr>
            </w:pPr>
            <w:r>
              <w:rPr>
                <w:rFonts w:hint="eastAsia"/>
                <w:color w:val="auto"/>
              </w:rPr>
              <w:t>《环境空气氮氧化物（一氧化氮和二氧化氮）的测定盐酸萘乙二胺分光光度法》（HJ 479—2009）修改单</w:t>
            </w:r>
          </w:p>
        </w:tc>
        <w:tc>
          <w:tcPr>
            <w:tcW w:w="1683" w:type="dxa"/>
            <w:vAlign w:val="center"/>
          </w:tcPr>
          <w:p w14:paraId="2AC8E532">
            <w:pPr>
              <w:pStyle w:val="59"/>
              <w:bidi w:val="0"/>
              <w:rPr>
                <w:rFonts w:hint="default"/>
                <w:color w:val="auto"/>
                <w:lang w:val="en-US" w:eastAsia="zh-CN"/>
              </w:rPr>
            </w:pPr>
            <w:r>
              <w:rPr>
                <w:rFonts w:hint="eastAsia"/>
                <w:color w:val="auto"/>
                <w:lang w:val="en-US" w:eastAsia="zh-CN"/>
              </w:rPr>
              <w:t>分光光度计</w:t>
            </w:r>
          </w:p>
        </w:tc>
        <w:tc>
          <w:tcPr>
            <w:tcW w:w="1520" w:type="dxa"/>
            <w:vAlign w:val="center"/>
          </w:tcPr>
          <w:p w14:paraId="12E22383">
            <w:pPr>
              <w:pStyle w:val="59"/>
              <w:bidi w:val="0"/>
              <w:rPr>
                <w:rFonts w:hint="eastAsia"/>
                <w:color w:val="auto"/>
                <w:lang w:val="en-US" w:eastAsia="zh-CN"/>
              </w:rPr>
            </w:pPr>
          </w:p>
        </w:tc>
      </w:tr>
      <w:tr w14:paraId="366E6B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546" w:type="dxa"/>
            <w:shd w:val="clear" w:color="auto" w:fill="auto"/>
            <w:vAlign w:val="center"/>
          </w:tcPr>
          <w:p w14:paraId="2D855688">
            <w:pPr>
              <w:pStyle w:val="69"/>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氯化氢</w:t>
            </w:r>
          </w:p>
        </w:tc>
        <w:tc>
          <w:tcPr>
            <w:tcW w:w="4539" w:type="dxa"/>
            <w:shd w:val="clear" w:color="auto" w:fill="auto"/>
            <w:vAlign w:val="center"/>
          </w:tcPr>
          <w:p w14:paraId="41F2364C">
            <w:pPr>
              <w:pStyle w:val="69"/>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rPr>
              <w:t>《环境空气和废气 氯化氢的测定 离子色谱法》HJ 549-2016</w:t>
            </w:r>
          </w:p>
        </w:tc>
        <w:tc>
          <w:tcPr>
            <w:tcW w:w="1683" w:type="dxa"/>
            <w:shd w:val="clear" w:color="auto" w:fill="auto"/>
            <w:vAlign w:val="center"/>
          </w:tcPr>
          <w:p w14:paraId="79AEC543">
            <w:pPr>
              <w:pStyle w:val="69"/>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rPr>
              <w:t>离子色谱仪JMT-H-067</w:t>
            </w:r>
          </w:p>
        </w:tc>
        <w:tc>
          <w:tcPr>
            <w:tcW w:w="1520" w:type="dxa"/>
            <w:shd w:val="clear" w:color="auto" w:fill="auto"/>
            <w:vAlign w:val="center"/>
          </w:tcPr>
          <w:p w14:paraId="74118A49">
            <w:pPr>
              <w:pStyle w:val="69"/>
              <w:bidi w:val="0"/>
              <w:jc w:val="center"/>
              <w:rPr>
                <w:rFonts w:hint="eastAsia" w:ascii="Times New Roman" w:hAnsi="Times New Roman" w:eastAsia="宋体" w:cs="Times New Roman"/>
              </w:rPr>
            </w:pPr>
            <w:r>
              <w:rPr>
                <w:rFonts w:hint="eastAsia" w:ascii="Times New Roman" w:hAnsi="Times New Roman" w:eastAsia="宋体" w:cs="Times New Roman"/>
              </w:rPr>
              <w:t>0.02 mg/m</w:t>
            </w:r>
            <w:r>
              <w:rPr>
                <w:rFonts w:hint="eastAsia" w:ascii="Times New Roman" w:hAnsi="Times New Roman" w:eastAsia="宋体" w:cs="Times New Roman"/>
                <w:vertAlign w:val="superscript"/>
              </w:rPr>
              <w:t>3</w:t>
            </w:r>
          </w:p>
          <w:p w14:paraId="30C41790">
            <w:pPr>
              <w:pStyle w:val="69"/>
              <w:bidi w:val="0"/>
              <w:jc w:val="center"/>
              <w:rPr>
                <w:rFonts w:hint="eastAsia" w:ascii="Times New Roman" w:hAnsi="Times New Roman" w:eastAsia="宋体" w:cs="Times New Roman"/>
              </w:rPr>
            </w:pPr>
            <w:r>
              <w:rPr>
                <w:rFonts w:hint="eastAsia" w:ascii="Times New Roman" w:hAnsi="Times New Roman" w:eastAsia="宋体" w:cs="Times New Roman"/>
              </w:rPr>
              <w:t>（小时均值）</w:t>
            </w:r>
          </w:p>
          <w:p w14:paraId="52C2E375">
            <w:pPr>
              <w:pStyle w:val="69"/>
              <w:bidi w:val="0"/>
              <w:jc w:val="center"/>
              <w:rPr>
                <w:rFonts w:hint="eastAsia" w:ascii="Times New Roman" w:hAnsi="Times New Roman" w:eastAsia="宋体" w:cs="Times New Roman"/>
              </w:rPr>
            </w:pPr>
            <w:r>
              <w:rPr>
                <w:rFonts w:hint="eastAsia" w:ascii="Times New Roman" w:hAnsi="Times New Roman" w:eastAsia="宋体" w:cs="Times New Roman"/>
              </w:rPr>
              <w:t>0.00179mg/m</w:t>
            </w:r>
            <w:r>
              <w:rPr>
                <w:rFonts w:hint="eastAsia" w:ascii="Times New Roman" w:hAnsi="Times New Roman" w:eastAsia="宋体" w:cs="Times New Roman"/>
                <w:vertAlign w:val="superscript"/>
              </w:rPr>
              <w:t>3</w:t>
            </w:r>
          </w:p>
          <w:p w14:paraId="62644AAC">
            <w:pPr>
              <w:pStyle w:val="69"/>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rPr>
              <w:t>（日均值）</w:t>
            </w:r>
          </w:p>
        </w:tc>
      </w:tr>
      <w:tr w14:paraId="20AB03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14:paraId="320CF8B0">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苯</w:t>
            </w:r>
          </w:p>
        </w:tc>
        <w:tc>
          <w:tcPr>
            <w:tcW w:w="4539" w:type="dxa"/>
            <w:vMerge w:val="restart"/>
            <w:vAlign w:val="center"/>
          </w:tcPr>
          <w:p w14:paraId="70D35274">
            <w:pPr>
              <w:pStyle w:val="69"/>
              <w:bidi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《环境空气 苯系物的测定 固体吸附/热脱附-气相色谱法》</w:t>
            </w:r>
          </w:p>
          <w:p w14:paraId="53776311">
            <w:pPr>
              <w:pStyle w:val="69"/>
              <w:bidi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HJ 583-2010</w:t>
            </w:r>
          </w:p>
        </w:tc>
        <w:tc>
          <w:tcPr>
            <w:tcW w:w="1683" w:type="dxa"/>
            <w:vMerge w:val="restart"/>
            <w:vAlign w:val="center"/>
          </w:tcPr>
          <w:p w14:paraId="6C9CAA51">
            <w:pPr>
              <w:pStyle w:val="69"/>
              <w:bidi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气相色谱仪</w:t>
            </w:r>
          </w:p>
          <w:p w14:paraId="7AE1EB79">
            <w:pPr>
              <w:pStyle w:val="69"/>
              <w:bidi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JMT-H-079</w:t>
            </w:r>
          </w:p>
        </w:tc>
        <w:tc>
          <w:tcPr>
            <w:tcW w:w="1520" w:type="dxa"/>
            <w:shd w:val="clear" w:color="auto" w:fill="auto"/>
            <w:vAlign w:val="center"/>
          </w:tcPr>
          <w:p w14:paraId="66AF67BB">
            <w:pPr>
              <w:pStyle w:val="69"/>
              <w:bidi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5.0×10</w:t>
            </w:r>
            <w:r>
              <w:rPr>
                <w:rFonts w:hint="eastAsia" w:ascii="Times New Roman" w:hAnsi="Times New Roman" w:eastAsia="宋体" w:cs="Times New Roman"/>
                <w:color w:val="auto"/>
                <w:vertAlign w:val="superscript"/>
              </w:rPr>
              <w:t>-4</w:t>
            </w:r>
            <w:r>
              <w:rPr>
                <w:rFonts w:hint="eastAsia" w:ascii="Times New Roman" w:hAnsi="Times New Roman" w:eastAsia="宋体" w:cs="Times New Roman"/>
                <w:color w:val="auto"/>
              </w:rPr>
              <w:t>mg/m</w:t>
            </w:r>
            <w:r>
              <w:rPr>
                <w:rFonts w:hint="eastAsia" w:ascii="Times New Roman" w:hAnsi="Times New Roman" w:eastAsia="宋体" w:cs="Times New Roman"/>
                <w:color w:val="auto"/>
                <w:vertAlign w:val="superscript"/>
              </w:rPr>
              <w:t>3</w:t>
            </w:r>
          </w:p>
        </w:tc>
      </w:tr>
      <w:tr w14:paraId="7FB571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14:paraId="2056DDC6">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甲苯</w:t>
            </w:r>
          </w:p>
        </w:tc>
        <w:tc>
          <w:tcPr>
            <w:tcW w:w="4539" w:type="dxa"/>
            <w:vMerge w:val="continue"/>
            <w:vAlign w:val="center"/>
          </w:tcPr>
          <w:p w14:paraId="44C891D8">
            <w:pPr>
              <w:pStyle w:val="69"/>
              <w:bidi w:val="0"/>
              <w:jc w:val="center"/>
              <w:rPr>
                <w:rFonts w:hint="eastAsia" w:ascii="Times New Roman" w:hAnsi="Times New Roman" w:eastAsia="宋体" w:cs="Times New Roman"/>
                <w:color w:val="auto"/>
              </w:rPr>
            </w:pPr>
          </w:p>
        </w:tc>
        <w:tc>
          <w:tcPr>
            <w:tcW w:w="1683" w:type="dxa"/>
            <w:vMerge w:val="continue"/>
            <w:vAlign w:val="center"/>
          </w:tcPr>
          <w:p w14:paraId="150DE7AE">
            <w:pPr>
              <w:pStyle w:val="69"/>
              <w:bidi w:val="0"/>
              <w:jc w:val="center"/>
              <w:rPr>
                <w:rFonts w:hint="eastAsia" w:ascii="Times New Roman" w:hAnsi="Times New Roman" w:eastAsia="宋体" w:cs="Times New Roman"/>
                <w:color w:val="auto"/>
                <w:lang w:val="en-US" w:eastAsia="zh-CN"/>
              </w:rPr>
            </w:pPr>
          </w:p>
        </w:tc>
        <w:tc>
          <w:tcPr>
            <w:tcW w:w="1520" w:type="dxa"/>
            <w:shd w:val="clear" w:color="auto" w:fill="auto"/>
            <w:vAlign w:val="center"/>
          </w:tcPr>
          <w:p w14:paraId="329DE12F">
            <w:pPr>
              <w:pStyle w:val="69"/>
              <w:bidi w:val="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5.0×10</w:t>
            </w:r>
            <w:r>
              <w:rPr>
                <w:rFonts w:hint="eastAsia" w:ascii="Times New Roman" w:hAnsi="Times New Roman" w:eastAsia="宋体" w:cs="Times New Roman"/>
                <w:color w:val="auto"/>
                <w:vertAlign w:val="superscript"/>
              </w:rPr>
              <w:t>-4</w:t>
            </w:r>
            <w:r>
              <w:rPr>
                <w:rFonts w:hint="eastAsia" w:ascii="Times New Roman" w:hAnsi="Times New Roman" w:eastAsia="宋体" w:cs="Times New Roman"/>
                <w:color w:val="auto"/>
              </w:rPr>
              <w:t>mg/m</w:t>
            </w:r>
            <w:r>
              <w:rPr>
                <w:rFonts w:hint="eastAsia" w:ascii="Times New Roman" w:hAnsi="Times New Roman" w:eastAsia="宋体" w:cs="Times New Roman"/>
                <w:color w:val="auto"/>
                <w:vertAlign w:val="superscript"/>
              </w:rPr>
              <w:t>3</w:t>
            </w:r>
          </w:p>
        </w:tc>
      </w:tr>
      <w:tr w14:paraId="3833FF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14:paraId="50B12ABA">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三氯乙烯</w:t>
            </w:r>
          </w:p>
        </w:tc>
        <w:tc>
          <w:tcPr>
            <w:tcW w:w="4539" w:type="dxa"/>
            <w:vMerge w:val="restart"/>
            <w:vAlign w:val="center"/>
          </w:tcPr>
          <w:p w14:paraId="6291C014">
            <w:pPr>
              <w:pStyle w:val="69"/>
              <w:bidi w:val="0"/>
              <w:jc w:val="center"/>
              <w:rPr>
                <w:rFonts w:hint="eastAsia"/>
                <w:color w:val="auto"/>
              </w:rPr>
            </w:pPr>
            <w:r>
              <w:rPr>
                <w:rFonts w:hint="eastAsia"/>
                <w:color w:val="auto"/>
              </w:rPr>
              <w:t>《环境空气 挥发性有机物的测定吸附管采样-热脱附/气相色谱-质谱法》HJ 644-2013</w:t>
            </w:r>
          </w:p>
        </w:tc>
        <w:tc>
          <w:tcPr>
            <w:tcW w:w="1683" w:type="dxa"/>
            <w:vMerge w:val="restart"/>
            <w:vAlign w:val="center"/>
          </w:tcPr>
          <w:p w14:paraId="7E62DCF7">
            <w:pPr>
              <w:pStyle w:val="69"/>
              <w:bidi w:val="0"/>
              <w:jc w:val="center"/>
              <w:rPr>
                <w:rFonts w:hint="eastAsia"/>
                <w:color w:val="auto"/>
                <w:lang w:val="en-US" w:eastAsia="zh-CN"/>
              </w:rPr>
            </w:pPr>
            <w:r>
              <w:rPr>
                <w:rFonts w:hint="eastAsia"/>
                <w:color w:val="auto"/>
              </w:rPr>
              <w:t>自动热解析仪/ AutoTDS-V（YQ-SY-038）</w:t>
            </w:r>
          </w:p>
        </w:tc>
        <w:tc>
          <w:tcPr>
            <w:tcW w:w="1520" w:type="dxa"/>
            <w:shd w:val="clear" w:color="auto" w:fill="auto"/>
            <w:vAlign w:val="center"/>
          </w:tcPr>
          <w:p w14:paraId="319D0E11">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0.5</w:t>
            </w:r>
            <w:r>
              <w:rPr>
                <w:color w:val="auto"/>
              </w:rPr>
              <w:t>μ</w:t>
            </w:r>
            <w:r>
              <w:rPr>
                <w:rFonts w:hint="eastAsia"/>
                <w:color w:val="auto"/>
              </w:rPr>
              <w:t>g/m</w:t>
            </w:r>
            <w:r>
              <w:rPr>
                <w:rFonts w:hint="eastAsia"/>
                <w:color w:val="auto"/>
                <w:vertAlign w:val="superscript"/>
              </w:rPr>
              <w:t>3</w:t>
            </w:r>
          </w:p>
        </w:tc>
      </w:tr>
      <w:tr w14:paraId="7645B3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14:paraId="6C4960EE">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四氯乙烯</w:t>
            </w:r>
          </w:p>
        </w:tc>
        <w:tc>
          <w:tcPr>
            <w:tcW w:w="4539" w:type="dxa"/>
            <w:vMerge w:val="continue"/>
            <w:vAlign w:val="center"/>
          </w:tcPr>
          <w:p w14:paraId="7BF3F6EC">
            <w:pPr>
              <w:pStyle w:val="69"/>
              <w:bidi w:val="0"/>
              <w:jc w:val="center"/>
              <w:rPr>
                <w:rFonts w:hint="eastAsia"/>
                <w:color w:val="auto"/>
              </w:rPr>
            </w:pPr>
          </w:p>
        </w:tc>
        <w:tc>
          <w:tcPr>
            <w:tcW w:w="1683" w:type="dxa"/>
            <w:vMerge w:val="continue"/>
            <w:vAlign w:val="center"/>
          </w:tcPr>
          <w:p w14:paraId="44D8EBAA">
            <w:pPr>
              <w:pStyle w:val="69"/>
              <w:bidi w:val="0"/>
              <w:jc w:val="center"/>
              <w:rPr>
                <w:rFonts w:hint="eastAsia"/>
                <w:color w:val="auto"/>
                <w:lang w:val="en-US" w:eastAsia="zh-CN"/>
              </w:rPr>
            </w:pPr>
          </w:p>
        </w:tc>
        <w:tc>
          <w:tcPr>
            <w:tcW w:w="1520" w:type="dxa"/>
            <w:shd w:val="clear" w:color="auto" w:fill="auto"/>
            <w:vAlign w:val="center"/>
          </w:tcPr>
          <w:p w14:paraId="701456D1">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0.4</w:t>
            </w:r>
            <w:r>
              <w:rPr>
                <w:color w:val="auto"/>
              </w:rPr>
              <w:t>μ</w:t>
            </w:r>
            <w:r>
              <w:rPr>
                <w:rFonts w:hint="eastAsia"/>
                <w:color w:val="auto"/>
              </w:rPr>
              <w:t>g/m</w:t>
            </w:r>
            <w:r>
              <w:rPr>
                <w:rFonts w:hint="eastAsia"/>
                <w:color w:val="auto"/>
                <w:vertAlign w:val="superscript"/>
              </w:rPr>
              <w:t>3</w:t>
            </w:r>
          </w:p>
        </w:tc>
      </w:tr>
      <w:tr w14:paraId="4294EF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14:paraId="5B8FBD43">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二氯甲烷</w:t>
            </w:r>
          </w:p>
        </w:tc>
        <w:tc>
          <w:tcPr>
            <w:tcW w:w="4539" w:type="dxa"/>
            <w:vMerge w:val="continue"/>
            <w:vAlign w:val="center"/>
          </w:tcPr>
          <w:p w14:paraId="14E44544">
            <w:pPr>
              <w:pStyle w:val="69"/>
              <w:bidi w:val="0"/>
              <w:jc w:val="center"/>
              <w:rPr>
                <w:rFonts w:hint="eastAsia"/>
                <w:color w:val="auto"/>
              </w:rPr>
            </w:pPr>
          </w:p>
        </w:tc>
        <w:tc>
          <w:tcPr>
            <w:tcW w:w="1683" w:type="dxa"/>
            <w:vMerge w:val="continue"/>
            <w:vAlign w:val="center"/>
          </w:tcPr>
          <w:p w14:paraId="0D403F6D">
            <w:pPr>
              <w:pStyle w:val="69"/>
              <w:bidi w:val="0"/>
              <w:jc w:val="center"/>
              <w:rPr>
                <w:rFonts w:hint="eastAsia"/>
                <w:color w:val="auto"/>
                <w:lang w:val="en-US" w:eastAsia="zh-CN"/>
              </w:rPr>
            </w:pPr>
          </w:p>
        </w:tc>
        <w:tc>
          <w:tcPr>
            <w:tcW w:w="1520" w:type="dxa"/>
            <w:shd w:val="clear" w:color="auto" w:fill="auto"/>
            <w:vAlign w:val="center"/>
          </w:tcPr>
          <w:p w14:paraId="5158526E">
            <w:pPr>
              <w:pStyle w:val="69"/>
              <w:bidi w:val="0"/>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olor w:val="auto"/>
              </w:rPr>
              <w:t>1.0</w:t>
            </w:r>
            <w:r>
              <w:rPr>
                <w:color w:val="auto"/>
              </w:rPr>
              <w:t>μ</w:t>
            </w:r>
            <w:r>
              <w:rPr>
                <w:rFonts w:hint="eastAsia"/>
                <w:color w:val="auto"/>
              </w:rPr>
              <w:t>g/m</w:t>
            </w:r>
            <w:r>
              <w:rPr>
                <w:rFonts w:hint="eastAsia"/>
                <w:color w:val="auto"/>
                <w:vertAlign w:val="superscript"/>
              </w:rPr>
              <w:t>3</w:t>
            </w:r>
          </w:p>
        </w:tc>
      </w:tr>
      <w:tr w14:paraId="56426F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0" w:type="auto"/>
            <w:shd w:val="clear" w:color="auto" w:fill="auto"/>
            <w:vAlign w:val="center"/>
          </w:tcPr>
          <w:p w14:paraId="74B2265E">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三氯甲烷</w:t>
            </w:r>
          </w:p>
        </w:tc>
        <w:tc>
          <w:tcPr>
            <w:tcW w:w="4539" w:type="dxa"/>
            <w:vMerge w:val="continue"/>
            <w:vAlign w:val="center"/>
          </w:tcPr>
          <w:p w14:paraId="01590E60">
            <w:pPr>
              <w:pStyle w:val="69"/>
              <w:bidi w:val="0"/>
              <w:jc w:val="center"/>
              <w:rPr>
                <w:rFonts w:hint="eastAsia"/>
                <w:color w:val="auto"/>
              </w:rPr>
            </w:pPr>
          </w:p>
        </w:tc>
        <w:tc>
          <w:tcPr>
            <w:tcW w:w="1683" w:type="dxa"/>
            <w:vMerge w:val="continue"/>
            <w:shd w:val="clear" w:color="auto" w:fill="auto"/>
            <w:vAlign w:val="center"/>
          </w:tcPr>
          <w:p w14:paraId="63470E5C">
            <w:pPr>
              <w:pStyle w:val="69"/>
              <w:bidi w:val="0"/>
              <w:jc w:val="center"/>
              <w:rPr>
                <w:rFonts w:hint="eastAsia"/>
                <w:color w:val="auto"/>
                <w:lang w:val="en-US" w:eastAsia="zh-CN"/>
              </w:rPr>
            </w:pPr>
          </w:p>
        </w:tc>
        <w:tc>
          <w:tcPr>
            <w:tcW w:w="1520" w:type="dxa"/>
            <w:shd w:val="clear" w:color="auto" w:fill="auto"/>
            <w:vAlign w:val="center"/>
          </w:tcPr>
          <w:p w14:paraId="2610FE72">
            <w:pPr>
              <w:pStyle w:val="69"/>
              <w:bidi w:val="0"/>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0.4</w:t>
            </w:r>
            <w:r>
              <w:rPr>
                <w:color w:val="auto"/>
              </w:rPr>
              <w:t>μ</w:t>
            </w:r>
            <w:r>
              <w:rPr>
                <w:rFonts w:hint="eastAsia"/>
                <w:color w:val="auto"/>
              </w:rPr>
              <w:t>g/m</w:t>
            </w:r>
            <w:r>
              <w:rPr>
                <w:rFonts w:hint="eastAsia"/>
                <w:color w:val="auto"/>
                <w:vertAlign w:val="superscript"/>
              </w:rPr>
              <w:t>3</w:t>
            </w:r>
          </w:p>
        </w:tc>
      </w:tr>
    </w:tbl>
    <w:p w14:paraId="7BB935F4">
      <w:pPr>
        <w:pStyle w:val="59"/>
        <w:spacing w:line="360" w:lineRule="auto"/>
        <w:ind w:firstLine="482" w:firstLineChars="200"/>
        <w:jc w:val="both"/>
        <w:rPr>
          <w:b/>
          <w:bCs/>
          <w:color w:val="auto"/>
          <w:sz w:val="24"/>
          <w:szCs w:val="24"/>
        </w:rPr>
      </w:pPr>
      <w:r>
        <w:rPr>
          <w:rFonts w:hint="eastAsia"/>
          <w:b/>
          <w:bCs/>
          <w:color w:val="auto"/>
          <w:sz w:val="24"/>
          <w:szCs w:val="24"/>
        </w:rPr>
        <w:t>4、</w:t>
      </w:r>
      <w:r>
        <w:rPr>
          <w:b/>
          <w:bCs/>
          <w:color w:val="auto"/>
          <w:sz w:val="24"/>
          <w:szCs w:val="24"/>
        </w:rPr>
        <w:t>评价方法和标准</w:t>
      </w:r>
    </w:p>
    <w:p w14:paraId="5E0650FF">
      <w:pPr>
        <w:ind w:firstLine="480"/>
        <w:rPr>
          <w:color w:val="auto"/>
          <w:szCs w:val="24"/>
        </w:rPr>
      </w:pPr>
      <w:r>
        <w:rPr>
          <w:color w:val="auto"/>
          <w:szCs w:val="24"/>
        </w:rPr>
        <w:t>对采用补充监测数据进行现状评价的，取各污染物不同评价时段监测浓度的最大值，作为评价范围内环境空气保护目标及网格点环境质量现状现状浓度。对于有多个监测点位数据的，先计算相同时刻各监测点位平均值，再取各监测时段平均值中的最大值，公式如下所示：</w:t>
      </w:r>
    </w:p>
    <w:p w14:paraId="0F209925">
      <w:pPr>
        <w:ind w:firstLine="480"/>
        <w:jc w:val="center"/>
        <w:rPr>
          <w:color w:val="auto"/>
          <w:szCs w:val="24"/>
        </w:rPr>
      </w:pPr>
      <w:r>
        <w:rPr>
          <w:color w:val="auto"/>
          <w:position w:val="-28"/>
          <w:szCs w:val="24"/>
        </w:rPr>
        <w:object>
          <v:shape id="_x0000_i1028" o:spt="75" type="#_x0000_t75" style="height:34.5pt;width:166.6pt;" o:ole="t" filled="f" o:preferrelative="t" stroked="f" coordsize="21600,21600">
            <v:path/>
            <v:fill on="f" focussize="0,0"/>
            <v:stroke on="f"/>
            <v:imagedata r:id="rId68" o:title=""/>
            <o:lock v:ext="edit" aspectratio="t"/>
            <w10:wrap type="none"/>
            <w10:anchorlock/>
          </v:shape>
          <o:OLEObject Type="Embed" ProgID="Equation.KSEE3" ShapeID="_x0000_i1028" DrawAspect="Content" ObjectID="_1468075728" r:id="rId67">
            <o:LockedField>false</o:LockedField>
          </o:OLEObject>
        </w:object>
      </w:r>
    </w:p>
    <w:p w14:paraId="590B6CAF">
      <w:pPr>
        <w:ind w:firstLine="480"/>
        <w:rPr>
          <w:color w:val="auto"/>
          <w:szCs w:val="24"/>
        </w:rPr>
      </w:pPr>
      <w:r>
        <w:rPr>
          <w:color w:val="auto"/>
          <w:szCs w:val="24"/>
        </w:rPr>
        <w:t>式中：C</w:t>
      </w:r>
      <w:r>
        <w:rPr>
          <w:color w:val="auto"/>
          <w:szCs w:val="24"/>
          <w:vertAlign w:val="subscript"/>
        </w:rPr>
        <w:t>现状（x</w:t>
      </w:r>
      <w:r>
        <w:rPr>
          <w:rFonts w:hint="eastAsia"/>
          <w:color w:val="auto"/>
          <w:szCs w:val="24"/>
          <w:vertAlign w:val="subscript"/>
        </w:rPr>
        <w:t>，</w:t>
      </w:r>
      <w:r>
        <w:rPr>
          <w:color w:val="auto"/>
          <w:szCs w:val="24"/>
          <w:vertAlign w:val="subscript"/>
        </w:rPr>
        <w:t>y）</w:t>
      </w:r>
      <w:r>
        <w:rPr>
          <w:color w:val="auto"/>
          <w:szCs w:val="24"/>
        </w:rPr>
        <w:t>——环境空气保护目标及网格点(x</w:t>
      </w:r>
      <w:r>
        <w:rPr>
          <w:rFonts w:hint="eastAsia"/>
          <w:color w:val="auto"/>
          <w:szCs w:val="24"/>
        </w:rPr>
        <w:t>，</w:t>
      </w:r>
      <w:r>
        <w:rPr>
          <w:color w:val="auto"/>
          <w:szCs w:val="24"/>
        </w:rPr>
        <w:t>y)环境质量现状浓度，μg/m</w:t>
      </w:r>
      <w:r>
        <w:rPr>
          <w:color w:val="auto"/>
          <w:szCs w:val="24"/>
          <w:vertAlign w:val="superscript"/>
        </w:rPr>
        <w:t>3</w:t>
      </w:r>
      <w:r>
        <w:rPr>
          <w:color w:val="auto"/>
          <w:szCs w:val="24"/>
        </w:rPr>
        <w:t>；</w:t>
      </w:r>
    </w:p>
    <w:p w14:paraId="4EEDD963">
      <w:pPr>
        <w:ind w:firstLine="480"/>
        <w:rPr>
          <w:color w:val="auto"/>
          <w:szCs w:val="24"/>
        </w:rPr>
      </w:pPr>
      <w:r>
        <w:rPr>
          <w:color w:val="auto"/>
          <w:szCs w:val="24"/>
        </w:rPr>
        <w:t xml:space="preserve">      C</w:t>
      </w:r>
      <w:r>
        <w:rPr>
          <w:color w:val="auto"/>
          <w:szCs w:val="24"/>
          <w:vertAlign w:val="subscript"/>
        </w:rPr>
        <w:t>监测（j</w:t>
      </w:r>
      <w:r>
        <w:rPr>
          <w:rFonts w:hint="eastAsia"/>
          <w:color w:val="auto"/>
          <w:szCs w:val="24"/>
          <w:vertAlign w:val="subscript"/>
        </w:rPr>
        <w:t>，</w:t>
      </w:r>
      <w:r>
        <w:rPr>
          <w:color w:val="auto"/>
          <w:szCs w:val="24"/>
          <w:vertAlign w:val="subscript"/>
        </w:rPr>
        <w:t>t）</w:t>
      </w:r>
      <w:r>
        <w:rPr>
          <w:color w:val="auto"/>
          <w:szCs w:val="24"/>
        </w:rPr>
        <w:t>——第</w:t>
      </w:r>
      <w:r>
        <w:rPr>
          <w:rFonts w:eastAsia="Times New Roman"/>
          <w:i/>
          <w:color w:val="auto"/>
          <w:szCs w:val="24"/>
        </w:rPr>
        <w:t>j</w:t>
      </w:r>
      <w:r>
        <w:rPr>
          <w:color w:val="auto"/>
          <w:szCs w:val="24"/>
        </w:rPr>
        <w:t>个监测点位在</w:t>
      </w:r>
      <w:r>
        <w:rPr>
          <w:rFonts w:eastAsia="Times New Roman"/>
          <w:i/>
          <w:color w:val="auto"/>
          <w:szCs w:val="24"/>
        </w:rPr>
        <w:t>t</w:t>
      </w:r>
      <w:r>
        <w:rPr>
          <w:color w:val="auto"/>
          <w:szCs w:val="24"/>
        </w:rPr>
        <w:t>时刻环境质量现状浓度（包括</w:t>
      </w:r>
      <w:r>
        <w:rPr>
          <w:rFonts w:eastAsia="Times New Roman"/>
          <w:color w:val="auto"/>
          <w:szCs w:val="24"/>
        </w:rPr>
        <w:t>1 h</w:t>
      </w:r>
      <w:r>
        <w:rPr>
          <w:color w:val="auto"/>
          <w:szCs w:val="24"/>
        </w:rPr>
        <w:t>平均、</w:t>
      </w:r>
      <w:r>
        <w:rPr>
          <w:rFonts w:hint="eastAsia"/>
          <w:color w:val="auto"/>
          <w:szCs w:val="24"/>
        </w:rPr>
        <w:t>8h平均或</w:t>
      </w:r>
      <w:r>
        <w:rPr>
          <w:color w:val="auto"/>
          <w:szCs w:val="24"/>
        </w:rPr>
        <w:t>日平均质量浓度），</w:t>
      </w:r>
      <w:r>
        <w:rPr>
          <w:rFonts w:eastAsia="Times New Roman"/>
          <w:color w:val="auto"/>
          <w:szCs w:val="24"/>
        </w:rPr>
        <w:t>μg/m</w:t>
      </w:r>
      <w:r>
        <w:rPr>
          <w:rFonts w:eastAsia="Times New Roman"/>
          <w:color w:val="auto"/>
          <w:szCs w:val="24"/>
          <w:vertAlign w:val="superscript"/>
        </w:rPr>
        <w:t>3</w:t>
      </w:r>
      <w:r>
        <w:rPr>
          <w:color w:val="auto"/>
          <w:szCs w:val="24"/>
        </w:rPr>
        <w:t>；</w:t>
      </w:r>
    </w:p>
    <w:p w14:paraId="294D1810">
      <w:pPr>
        <w:tabs>
          <w:tab w:val="left" w:pos="480"/>
        </w:tabs>
        <w:ind w:firstLine="480"/>
        <w:rPr>
          <w:color w:val="auto"/>
        </w:rPr>
      </w:pPr>
      <w:r>
        <w:rPr>
          <w:color w:val="auto"/>
        </w:rPr>
        <w:t>单因子标准指数法，其计算公式为：</w:t>
      </w:r>
    </w:p>
    <w:p w14:paraId="48C38F7A">
      <w:pPr>
        <w:tabs>
          <w:tab w:val="left" w:pos="480"/>
        </w:tabs>
        <w:ind w:firstLine="480"/>
        <w:jc w:val="center"/>
        <w:rPr>
          <w:color w:val="auto"/>
        </w:rPr>
      </w:pPr>
      <w:r>
        <w:rPr>
          <w:color w:val="auto"/>
          <w:position w:val="-24"/>
        </w:rPr>
        <w:object>
          <v:shape id="_x0000_i1029" o:spt="75" type="#_x0000_t75" style="height:31pt;width:41pt;" o:ole="t" filled="f" o:preferrelative="t" stroked="f" coordsize="21600,21600">
            <v:path/>
            <v:fill on="f" focussize="0,0"/>
            <v:stroke on="f" joinstyle="miter"/>
            <v:imagedata r:id="rId70" o:title=""/>
            <o:lock v:ext="edit" aspectratio="t"/>
            <w10:wrap type="none"/>
            <w10:anchorlock/>
          </v:shape>
          <o:OLEObject Type="Embed" ProgID="Equation.3" ShapeID="_x0000_i1029" DrawAspect="Content" ObjectID="_1468075729" r:id="rId69">
            <o:LockedField>false</o:LockedField>
          </o:OLEObject>
        </w:object>
      </w:r>
    </w:p>
    <w:p w14:paraId="00266ABB">
      <w:pPr>
        <w:tabs>
          <w:tab w:val="left" w:pos="480"/>
        </w:tabs>
        <w:ind w:firstLine="480"/>
        <w:rPr>
          <w:color w:val="auto"/>
        </w:rPr>
      </w:pPr>
      <w:r>
        <w:rPr>
          <w:color w:val="auto"/>
        </w:rPr>
        <w:t>式中：Pi：某污染物i的质量指数；</w:t>
      </w:r>
    </w:p>
    <w:p w14:paraId="45541AFA">
      <w:pPr>
        <w:tabs>
          <w:tab w:val="left" w:pos="480"/>
        </w:tabs>
        <w:ind w:firstLine="480"/>
        <w:rPr>
          <w:color w:val="auto"/>
        </w:rPr>
      </w:pPr>
      <w:r>
        <w:rPr>
          <w:color w:val="auto"/>
        </w:rPr>
        <w:t>Ci：某污染物i的实测浓度，mg/m</w:t>
      </w:r>
      <w:r>
        <w:rPr>
          <w:color w:val="auto"/>
          <w:vertAlign w:val="superscript"/>
        </w:rPr>
        <w:t>3</w:t>
      </w:r>
      <w:r>
        <w:rPr>
          <w:color w:val="auto"/>
        </w:rPr>
        <w:t>；</w:t>
      </w:r>
    </w:p>
    <w:p w14:paraId="4105BE26">
      <w:pPr>
        <w:tabs>
          <w:tab w:val="left" w:pos="480"/>
        </w:tabs>
        <w:ind w:firstLine="480"/>
        <w:rPr>
          <w:color w:val="auto"/>
        </w:rPr>
      </w:pPr>
      <w:r>
        <w:rPr>
          <w:color w:val="auto"/>
        </w:rPr>
        <w:t>Si：某污染物i的评价标准，mg/m</w:t>
      </w:r>
      <w:r>
        <w:rPr>
          <w:color w:val="auto"/>
          <w:vertAlign w:val="superscript"/>
        </w:rPr>
        <w:t>3</w:t>
      </w:r>
      <w:r>
        <w:rPr>
          <w:rFonts w:hint="eastAsia"/>
          <w:color w:val="auto"/>
        </w:rPr>
        <w:t>；</w:t>
      </w:r>
    </w:p>
    <w:p w14:paraId="6B70E838">
      <w:pPr>
        <w:ind w:firstLine="480"/>
        <w:rPr>
          <w:color w:val="auto"/>
        </w:rPr>
      </w:pPr>
      <w:r>
        <w:rPr>
          <w:color w:val="auto"/>
        </w:rPr>
        <w:t>Pi&lt;1表示污染物浓度未超评价标准，Pi&gt;1表示污染物浓度超出评价标准。Pi越大，超标越严重。</w:t>
      </w:r>
    </w:p>
    <w:p w14:paraId="5265685B">
      <w:pPr>
        <w:pStyle w:val="59"/>
        <w:spacing w:line="360" w:lineRule="auto"/>
        <w:ind w:firstLine="482" w:firstLineChars="200"/>
        <w:jc w:val="both"/>
        <w:rPr>
          <w:b/>
          <w:bCs/>
          <w:color w:val="auto"/>
          <w:sz w:val="24"/>
          <w:szCs w:val="24"/>
        </w:rPr>
      </w:pPr>
      <w:r>
        <w:rPr>
          <w:rFonts w:hint="eastAsia"/>
          <w:b/>
          <w:bCs/>
          <w:color w:val="auto"/>
          <w:sz w:val="24"/>
          <w:szCs w:val="24"/>
        </w:rPr>
        <w:t>5、</w:t>
      </w:r>
      <w:r>
        <w:rPr>
          <w:b/>
          <w:bCs/>
          <w:color w:val="auto"/>
          <w:sz w:val="24"/>
          <w:szCs w:val="24"/>
        </w:rPr>
        <w:t>监测结果</w:t>
      </w:r>
    </w:p>
    <w:p w14:paraId="73022E6D">
      <w:pPr>
        <w:ind w:firstLine="480"/>
        <w:rPr>
          <w:color w:val="auto"/>
        </w:rPr>
      </w:pPr>
      <w:r>
        <w:rPr>
          <w:color w:val="auto"/>
        </w:rPr>
        <w:t>本项目大气监测结果详见</w:t>
      </w:r>
      <w:r>
        <w:rPr>
          <w:rFonts w:hint="eastAsia"/>
          <w:color w:val="auto"/>
          <w:lang w:eastAsia="zh-CN"/>
        </w:rPr>
        <w:t>表4</w:t>
      </w:r>
      <w:r>
        <w:rPr>
          <w:rFonts w:hint="eastAsia"/>
          <w:color w:val="auto"/>
        </w:rPr>
        <w:t>.3-4</w:t>
      </w:r>
      <w:r>
        <w:rPr>
          <w:color w:val="auto"/>
        </w:rPr>
        <w:t>：</w:t>
      </w:r>
    </w:p>
    <w:p w14:paraId="3E021163">
      <w:pPr>
        <w:pStyle w:val="62"/>
        <w:rPr>
          <w:color w:val="auto"/>
        </w:rPr>
      </w:pPr>
      <w:r>
        <w:rPr>
          <w:rFonts w:hint="eastAsia"/>
          <w:color w:val="auto"/>
          <w:lang w:eastAsia="zh-CN"/>
        </w:rPr>
        <w:t>表4</w:t>
      </w:r>
      <w:r>
        <w:rPr>
          <w:rFonts w:hint="eastAsia"/>
          <w:color w:val="auto"/>
        </w:rPr>
        <w:t>.3-4</w:t>
      </w:r>
      <w:r>
        <w:rPr>
          <w:color w:val="auto"/>
        </w:rPr>
        <w:t xml:space="preserve"> </w:t>
      </w:r>
      <w:r>
        <w:rPr>
          <w:rFonts w:hint="eastAsia"/>
          <w:color w:val="auto"/>
        </w:rPr>
        <w:t xml:space="preserve"> 其他污染物环境质量现状（监测结果）表</w:t>
      </w:r>
    </w:p>
    <w:tbl>
      <w:tblPr>
        <w:tblStyle w:val="38"/>
        <w:tblW w:w="9428" w:type="dxa"/>
        <w:tblInd w:w="-3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5"/>
        <w:gridCol w:w="27"/>
        <w:gridCol w:w="942"/>
        <w:gridCol w:w="942"/>
        <w:gridCol w:w="942"/>
        <w:gridCol w:w="1"/>
        <w:gridCol w:w="941"/>
        <w:gridCol w:w="2"/>
        <w:gridCol w:w="940"/>
        <w:gridCol w:w="3"/>
        <w:gridCol w:w="1102"/>
        <w:gridCol w:w="913"/>
        <w:gridCol w:w="808"/>
        <w:gridCol w:w="6"/>
        <w:gridCol w:w="944"/>
      </w:tblGrid>
      <w:tr w14:paraId="44D41D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915" w:type="dxa"/>
            <w:vMerge w:val="restart"/>
            <w:tcBorders>
              <w:top w:val="single" w:color="auto" w:sz="18" w:space="0"/>
              <w:bottom w:val="single" w:color="auto" w:sz="4" w:space="0"/>
            </w:tcBorders>
            <w:vAlign w:val="center"/>
          </w:tcPr>
          <w:p w14:paraId="3B5EAB34">
            <w:pPr>
              <w:pStyle w:val="69"/>
              <w:rPr>
                <w:color w:val="auto"/>
              </w:rPr>
            </w:pPr>
            <w:r>
              <w:rPr>
                <w:rFonts w:hint="eastAsia"/>
                <w:color w:val="auto"/>
              </w:rPr>
              <w:t>监测点位</w:t>
            </w:r>
          </w:p>
        </w:tc>
        <w:tc>
          <w:tcPr>
            <w:tcW w:w="1911" w:type="dxa"/>
            <w:gridSpan w:val="3"/>
            <w:tcBorders>
              <w:top w:val="single" w:color="auto" w:sz="18" w:space="0"/>
              <w:bottom w:val="single" w:color="auto" w:sz="4" w:space="0"/>
            </w:tcBorders>
            <w:vAlign w:val="center"/>
          </w:tcPr>
          <w:p w14:paraId="014E8882">
            <w:pPr>
              <w:pStyle w:val="69"/>
              <w:rPr>
                <w:color w:val="auto"/>
              </w:rPr>
            </w:pPr>
            <w:r>
              <w:rPr>
                <w:rFonts w:hint="eastAsia"/>
                <w:color w:val="auto"/>
              </w:rPr>
              <w:t>监测点坐标</w:t>
            </w:r>
          </w:p>
        </w:tc>
        <w:tc>
          <w:tcPr>
            <w:tcW w:w="943" w:type="dxa"/>
            <w:gridSpan w:val="2"/>
            <w:vMerge w:val="restart"/>
            <w:tcBorders>
              <w:top w:val="single" w:color="auto" w:sz="18" w:space="0"/>
              <w:bottom w:val="single" w:color="auto" w:sz="4" w:space="0"/>
            </w:tcBorders>
            <w:vAlign w:val="center"/>
          </w:tcPr>
          <w:p w14:paraId="0E511F63">
            <w:pPr>
              <w:pStyle w:val="69"/>
              <w:rPr>
                <w:color w:val="auto"/>
              </w:rPr>
            </w:pPr>
            <w:r>
              <w:rPr>
                <w:rFonts w:hint="eastAsia"/>
                <w:color w:val="auto"/>
              </w:rPr>
              <w:t>污染物</w:t>
            </w:r>
          </w:p>
        </w:tc>
        <w:tc>
          <w:tcPr>
            <w:tcW w:w="943" w:type="dxa"/>
            <w:gridSpan w:val="2"/>
            <w:vMerge w:val="restart"/>
            <w:tcBorders>
              <w:top w:val="single" w:color="auto" w:sz="18" w:space="0"/>
              <w:bottom w:val="single" w:color="auto" w:sz="4" w:space="0"/>
            </w:tcBorders>
            <w:vAlign w:val="center"/>
          </w:tcPr>
          <w:p w14:paraId="516B9516">
            <w:pPr>
              <w:pStyle w:val="69"/>
              <w:rPr>
                <w:color w:val="auto"/>
              </w:rPr>
            </w:pPr>
            <w:r>
              <w:rPr>
                <w:rFonts w:hint="eastAsia"/>
                <w:color w:val="auto"/>
              </w:rPr>
              <w:t>平均时间</w:t>
            </w:r>
          </w:p>
        </w:tc>
        <w:tc>
          <w:tcPr>
            <w:tcW w:w="943" w:type="dxa"/>
            <w:gridSpan w:val="2"/>
            <w:vMerge w:val="restart"/>
            <w:tcBorders>
              <w:top w:val="single" w:color="auto" w:sz="18" w:space="0"/>
              <w:bottom w:val="single" w:color="auto" w:sz="4" w:space="0"/>
            </w:tcBorders>
            <w:vAlign w:val="center"/>
          </w:tcPr>
          <w:p w14:paraId="1270BBB4">
            <w:pPr>
              <w:pStyle w:val="69"/>
              <w:rPr>
                <w:color w:val="auto"/>
              </w:rPr>
            </w:pPr>
            <w:r>
              <w:rPr>
                <w:rFonts w:hint="eastAsia"/>
                <w:color w:val="auto"/>
              </w:rPr>
              <w:t>评价标准/（</w:t>
            </w:r>
            <w:r>
              <w:rPr>
                <w:color w:val="auto"/>
              </w:rPr>
              <w:t>μg/m</w:t>
            </w:r>
            <w:r>
              <w:rPr>
                <w:color w:val="auto"/>
                <w:vertAlign w:val="superscript"/>
              </w:rPr>
              <w:t>3</w:t>
            </w:r>
            <w:r>
              <w:rPr>
                <w:rFonts w:hint="eastAsia"/>
                <w:color w:val="auto"/>
              </w:rPr>
              <w:t>）</w:t>
            </w:r>
          </w:p>
        </w:tc>
        <w:tc>
          <w:tcPr>
            <w:tcW w:w="1102" w:type="dxa"/>
            <w:vMerge w:val="restart"/>
            <w:tcBorders>
              <w:top w:val="single" w:color="auto" w:sz="18" w:space="0"/>
              <w:bottom w:val="single" w:color="auto" w:sz="4" w:space="0"/>
            </w:tcBorders>
            <w:vAlign w:val="center"/>
          </w:tcPr>
          <w:p w14:paraId="25073BA4">
            <w:pPr>
              <w:pStyle w:val="69"/>
              <w:rPr>
                <w:color w:val="auto"/>
              </w:rPr>
            </w:pPr>
            <w:r>
              <w:rPr>
                <w:rFonts w:hint="eastAsia"/>
                <w:color w:val="auto"/>
              </w:rPr>
              <w:t>监控浓度范围/（</w:t>
            </w:r>
            <w:r>
              <w:rPr>
                <w:color w:val="auto"/>
              </w:rPr>
              <w:t>μg</w:t>
            </w:r>
            <w:r>
              <w:rPr>
                <w:rFonts w:hint="eastAsia"/>
                <w:color w:val="auto"/>
              </w:rPr>
              <w:t>/m</w:t>
            </w:r>
            <w:r>
              <w:rPr>
                <w:rFonts w:hint="eastAsia"/>
                <w:color w:val="auto"/>
                <w:vertAlign w:val="superscript"/>
              </w:rPr>
              <w:t>3</w:t>
            </w:r>
            <w:r>
              <w:rPr>
                <w:rFonts w:hint="eastAsia"/>
                <w:color w:val="auto"/>
              </w:rPr>
              <w:t>）</w:t>
            </w:r>
          </w:p>
        </w:tc>
        <w:tc>
          <w:tcPr>
            <w:tcW w:w="913" w:type="dxa"/>
            <w:vMerge w:val="restart"/>
            <w:tcBorders>
              <w:top w:val="single" w:color="auto" w:sz="18" w:space="0"/>
              <w:bottom w:val="single" w:color="auto" w:sz="4" w:space="0"/>
            </w:tcBorders>
            <w:vAlign w:val="center"/>
          </w:tcPr>
          <w:p w14:paraId="5CA33404">
            <w:pPr>
              <w:pStyle w:val="69"/>
              <w:rPr>
                <w:color w:val="auto"/>
              </w:rPr>
            </w:pPr>
            <w:r>
              <w:rPr>
                <w:rFonts w:hint="eastAsia"/>
                <w:color w:val="auto"/>
              </w:rPr>
              <w:t>最大浓度占标率/%</w:t>
            </w:r>
          </w:p>
        </w:tc>
        <w:tc>
          <w:tcPr>
            <w:tcW w:w="814" w:type="dxa"/>
            <w:gridSpan w:val="2"/>
            <w:vMerge w:val="restart"/>
            <w:tcBorders>
              <w:top w:val="single" w:color="auto" w:sz="18" w:space="0"/>
              <w:bottom w:val="single" w:color="auto" w:sz="4" w:space="0"/>
            </w:tcBorders>
            <w:vAlign w:val="center"/>
          </w:tcPr>
          <w:p w14:paraId="2ECA06E7">
            <w:pPr>
              <w:pStyle w:val="69"/>
              <w:rPr>
                <w:color w:val="auto"/>
              </w:rPr>
            </w:pPr>
            <w:r>
              <w:rPr>
                <w:rFonts w:hint="eastAsia"/>
                <w:color w:val="auto"/>
              </w:rPr>
              <w:t>超标率/%</w:t>
            </w:r>
          </w:p>
        </w:tc>
        <w:tc>
          <w:tcPr>
            <w:tcW w:w="944" w:type="dxa"/>
            <w:vMerge w:val="restart"/>
            <w:tcBorders>
              <w:top w:val="single" w:color="auto" w:sz="18" w:space="0"/>
              <w:bottom w:val="single" w:color="auto" w:sz="4" w:space="0"/>
            </w:tcBorders>
            <w:vAlign w:val="center"/>
          </w:tcPr>
          <w:p w14:paraId="377C7367">
            <w:pPr>
              <w:pStyle w:val="69"/>
              <w:rPr>
                <w:color w:val="auto"/>
              </w:rPr>
            </w:pPr>
            <w:r>
              <w:rPr>
                <w:rFonts w:hint="eastAsia"/>
                <w:color w:val="auto"/>
              </w:rPr>
              <w:t>达标情况</w:t>
            </w:r>
          </w:p>
        </w:tc>
      </w:tr>
      <w:tr w14:paraId="5DF6B3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915" w:type="dxa"/>
            <w:vMerge w:val="continue"/>
            <w:tcBorders>
              <w:top w:val="single" w:color="auto" w:sz="4" w:space="0"/>
              <w:bottom w:val="single" w:color="auto" w:sz="4" w:space="0"/>
            </w:tcBorders>
            <w:vAlign w:val="center"/>
          </w:tcPr>
          <w:p w14:paraId="053143F1">
            <w:pPr>
              <w:pStyle w:val="69"/>
              <w:rPr>
                <w:color w:val="auto"/>
              </w:rPr>
            </w:pPr>
          </w:p>
        </w:tc>
        <w:tc>
          <w:tcPr>
            <w:tcW w:w="969" w:type="dxa"/>
            <w:gridSpan w:val="2"/>
            <w:tcBorders>
              <w:top w:val="single" w:color="auto" w:sz="4" w:space="0"/>
              <w:bottom w:val="single" w:color="auto" w:sz="4" w:space="0"/>
            </w:tcBorders>
            <w:vAlign w:val="center"/>
          </w:tcPr>
          <w:p w14:paraId="022E4C51">
            <w:pPr>
              <w:pStyle w:val="69"/>
              <w:rPr>
                <w:color w:val="auto"/>
              </w:rPr>
            </w:pPr>
            <w:r>
              <w:rPr>
                <w:rFonts w:hint="eastAsia"/>
                <w:color w:val="auto"/>
              </w:rPr>
              <w:t>X</w:t>
            </w:r>
          </w:p>
        </w:tc>
        <w:tc>
          <w:tcPr>
            <w:tcW w:w="942" w:type="dxa"/>
            <w:tcBorders>
              <w:top w:val="single" w:color="auto" w:sz="4" w:space="0"/>
              <w:bottom w:val="single" w:color="auto" w:sz="4" w:space="0"/>
            </w:tcBorders>
            <w:vAlign w:val="center"/>
          </w:tcPr>
          <w:p w14:paraId="28428232">
            <w:pPr>
              <w:pStyle w:val="69"/>
              <w:rPr>
                <w:color w:val="auto"/>
              </w:rPr>
            </w:pPr>
            <w:r>
              <w:rPr>
                <w:rFonts w:hint="eastAsia"/>
                <w:color w:val="auto"/>
              </w:rPr>
              <w:t>Y</w:t>
            </w:r>
          </w:p>
        </w:tc>
        <w:tc>
          <w:tcPr>
            <w:tcW w:w="943" w:type="dxa"/>
            <w:gridSpan w:val="2"/>
            <w:vMerge w:val="continue"/>
            <w:tcBorders>
              <w:top w:val="single" w:color="auto" w:sz="4" w:space="0"/>
              <w:bottom w:val="single" w:color="auto" w:sz="4" w:space="0"/>
            </w:tcBorders>
            <w:vAlign w:val="center"/>
          </w:tcPr>
          <w:p w14:paraId="0D3C4F47">
            <w:pPr>
              <w:pStyle w:val="69"/>
              <w:rPr>
                <w:color w:val="auto"/>
              </w:rPr>
            </w:pPr>
          </w:p>
        </w:tc>
        <w:tc>
          <w:tcPr>
            <w:tcW w:w="943" w:type="dxa"/>
            <w:gridSpan w:val="2"/>
            <w:vMerge w:val="continue"/>
            <w:tcBorders>
              <w:top w:val="single" w:color="auto" w:sz="4" w:space="0"/>
              <w:bottom w:val="single" w:color="auto" w:sz="4" w:space="0"/>
            </w:tcBorders>
            <w:vAlign w:val="center"/>
          </w:tcPr>
          <w:p w14:paraId="408A4EF5">
            <w:pPr>
              <w:pStyle w:val="69"/>
              <w:rPr>
                <w:color w:val="auto"/>
              </w:rPr>
            </w:pPr>
          </w:p>
        </w:tc>
        <w:tc>
          <w:tcPr>
            <w:tcW w:w="943" w:type="dxa"/>
            <w:gridSpan w:val="2"/>
            <w:vMerge w:val="continue"/>
            <w:tcBorders>
              <w:top w:val="single" w:color="auto" w:sz="4" w:space="0"/>
              <w:bottom w:val="single" w:color="auto" w:sz="4" w:space="0"/>
            </w:tcBorders>
            <w:vAlign w:val="center"/>
          </w:tcPr>
          <w:p w14:paraId="08EA8954">
            <w:pPr>
              <w:pStyle w:val="69"/>
              <w:rPr>
                <w:color w:val="auto"/>
              </w:rPr>
            </w:pPr>
          </w:p>
        </w:tc>
        <w:tc>
          <w:tcPr>
            <w:tcW w:w="1102" w:type="dxa"/>
            <w:vMerge w:val="continue"/>
            <w:tcBorders>
              <w:top w:val="single" w:color="auto" w:sz="4" w:space="0"/>
              <w:bottom w:val="single" w:color="auto" w:sz="4" w:space="0"/>
            </w:tcBorders>
            <w:vAlign w:val="center"/>
          </w:tcPr>
          <w:p w14:paraId="419613C8">
            <w:pPr>
              <w:pStyle w:val="69"/>
              <w:rPr>
                <w:color w:val="auto"/>
              </w:rPr>
            </w:pPr>
          </w:p>
        </w:tc>
        <w:tc>
          <w:tcPr>
            <w:tcW w:w="913" w:type="dxa"/>
            <w:vMerge w:val="continue"/>
            <w:tcBorders>
              <w:top w:val="single" w:color="auto" w:sz="4" w:space="0"/>
              <w:bottom w:val="single" w:color="auto" w:sz="4" w:space="0"/>
            </w:tcBorders>
            <w:vAlign w:val="center"/>
          </w:tcPr>
          <w:p w14:paraId="6CE36FE0">
            <w:pPr>
              <w:pStyle w:val="69"/>
              <w:rPr>
                <w:color w:val="auto"/>
              </w:rPr>
            </w:pPr>
          </w:p>
        </w:tc>
        <w:tc>
          <w:tcPr>
            <w:tcW w:w="814" w:type="dxa"/>
            <w:gridSpan w:val="2"/>
            <w:vMerge w:val="continue"/>
            <w:tcBorders>
              <w:top w:val="single" w:color="auto" w:sz="4" w:space="0"/>
              <w:bottom w:val="single" w:color="auto" w:sz="4" w:space="0"/>
            </w:tcBorders>
            <w:vAlign w:val="center"/>
          </w:tcPr>
          <w:p w14:paraId="5DFBDC69">
            <w:pPr>
              <w:pStyle w:val="69"/>
              <w:rPr>
                <w:color w:val="auto"/>
              </w:rPr>
            </w:pPr>
          </w:p>
        </w:tc>
        <w:tc>
          <w:tcPr>
            <w:tcW w:w="944" w:type="dxa"/>
            <w:vMerge w:val="continue"/>
            <w:tcBorders>
              <w:top w:val="single" w:color="auto" w:sz="4" w:space="0"/>
              <w:bottom w:val="single" w:color="auto" w:sz="4" w:space="0"/>
            </w:tcBorders>
            <w:vAlign w:val="center"/>
          </w:tcPr>
          <w:p w14:paraId="57FA1F1C">
            <w:pPr>
              <w:pStyle w:val="69"/>
              <w:rPr>
                <w:color w:val="auto"/>
              </w:rPr>
            </w:pPr>
          </w:p>
        </w:tc>
      </w:tr>
      <w:tr w14:paraId="43AD96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restart"/>
            <w:shd w:val="clear" w:color="auto" w:fill="auto"/>
            <w:vAlign w:val="center"/>
          </w:tcPr>
          <w:p w14:paraId="1E026A87">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前江村</w:t>
            </w:r>
          </w:p>
          <w:p w14:paraId="29B041E4">
            <w:pPr>
              <w:pStyle w:val="69"/>
              <w:ind w:firstLine="0" w:firstLineChars="0"/>
              <w:rPr>
                <w:color w:val="auto"/>
              </w:rPr>
            </w:pPr>
          </w:p>
        </w:tc>
        <w:tc>
          <w:tcPr>
            <w:tcW w:w="942" w:type="dxa"/>
            <w:vMerge w:val="restart"/>
            <w:shd w:val="clear" w:color="auto" w:fill="auto"/>
            <w:vAlign w:val="center"/>
          </w:tcPr>
          <w:p w14:paraId="64112D5F">
            <w:pPr>
              <w:pStyle w:val="69"/>
              <w:bidi w:val="0"/>
              <w:rPr>
                <w:lang w:val="en-US" w:eastAsia="zh-CN"/>
              </w:rPr>
            </w:pPr>
            <w:r>
              <w:rPr>
                <w:rFonts w:hint="eastAsia"/>
              </w:rPr>
              <w:t>308</w:t>
            </w:r>
          </w:p>
        </w:tc>
        <w:tc>
          <w:tcPr>
            <w:tcW w:w="942" w:type="dxa"/>
            <w:vMerge w:val="restart"/>
            <w:shd w:val="clear" w:color="auto" w:fill="auto"/>
            <w:vAlign w:val="center"/>
          </w:tcPr>
          <w:p w14:paraId="5B039676">
            <w:pPr>
              <w:pStyle w:val="69"/>
              <w:bidi w:val="0"/>
              <w:rPr>
                <w:lang w:val="en-US" w:eastAsia="zh-CN"/>
              </w:rPr>
            </w:pPr>
            <w:r>
              <w:rPr>
                <w:rFonts w:hint="eastAsia"/>
              </w:rPr>
              <w:t>-642</w:t>
            </w:r>
          </w:p>
        </w:tc>
        <w:tc>
          <w:tcPr>
            <w:tcW w:w="942" w:type="dxa"/>
            <w:vMerge w:val="restart"/>
            <w:shd w:val="clear" w:color="auto" w:fill="FFFFFF"/>
            <w:vAlign w:val="center"/>
          </w:tcPr>
          <w:p w14:paraId="01D0A5E4">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NOx</w:t>
            </w:r>
          </w:p>
          <w:p w14:paraId="4AA784E3">
            <w:pPr>
              <w:pStyle w:val="69"/>
              <w:ind w:firstLine="0" w:firstLineChars="0"/>
              <w:rPr>
                <w:rFonts w:hint="default" w:ascii="Times New Roman" w:hAnsi="Times New Roman" w:eastAsia="宋体" w:cs="Times New Roman"/>
                <w:color w:val="auto"/>
                <w:kern w:val="2"/>
                <w:sz w:val="21"/>
                <w:szCs w:val="21"/>
                <w:lang w:val="en-US" w:eastAsia="zh-CN" w:bidi="ar-SA"/>
              </w:rPr>
            </w:pPr>
          </w:p>
        </w:tc>
        <w:tc>
          <w:tcPr>
            <w:tcW w:w="942" w:type="dxa"/>
            <w:gridSpan w:val="2"/>
            <w:shd w:val="clear" w:color="auto" w:fill="FFFFFF"/>
            <w:vAlign w:val="center"/>
          </w:tcPr>
          <w:p w14:paraId="65D64C0B">
            <w:pPr>
              <w:tabs>
                <w:tab w:val="left" w:pos="480"/>
              </w:tabs>
              <w:spacing w:line="240" w:lineRule="auto"/>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sz w:val="21"/>
                <w:lang w:val="en-US" w:eastAsia="zh-CN"/>
              </w:rPr>
              <w:t>日</w:t>
            </w:r>
            <w:r>
              <w:rPr>
                <w:b w:val="0"/>
                <w:color w:val="000000"/>
                <w:sz w:val="21"/>
              </w:rPr>
              <w:t>平均</w:t>
            </w:r>
          </w:p>
        </w:tc>
        <w:tc>
          <w:tcPr>
            <w:tcW w:w="942" w:type="dxa"/>
            <w:gridSpan w:val="2"/>
            <w:vAlign w:val="center"/>
          </w:tcPr>
          <w:p w14:paraId="4C9842F0">
            <w:pPr>
              <w:pStyle w:val="69"/>
              <w:jc w:val="center"/>
              <w:rPr>
                <w:rFonts w:hint="default" w:eastAsia="宋体"/>
                <w:color w:val="auto"/>
                <w:lang w:val="en-US" w:eastAsia="zh-CN"/>
              </w:rPr>
            </w:pPr>
            <w:r>
              <w:rPr>
                <w:rFonts w:hint="eastAsia"/>
                <w:color w:val="auto"/>
                <w:lang w:val="en-US" w:eastAsia="zh-CN"/>
              </w:rPr>
              <w:t>70</w:t>
            </w:r>
          </w:p>
        </w:tc>
        <w:tc>
          <w:tcPr>
            <w:tcW w:w="1105" w:type="dxa"/>
            <w:gridSpan w:val="2"/>
            <w:vAlign w:val="center"/>
          </w:tcPr>
          <w:p w14:paraId="653DC363">
            <w:pPr>
              <w:pStyle w:val="69"/>
              <w:jc w:val="center"/>
              <w:rPr>
                <w:color w:val="auto"/>
              </w:rPr>
            </w:pPr>
          </w:p>
        </w:tc>
        <w:tc>
          <w:tcPr>
            <w:tcW w:w="913" w:type="dxa"/>
            <w:vAlign w:val="center"/>
          </w:tcPr>
          <w:p w14:paraId="7541AE59">
            <w:pPr>
              <w:pStyle w:val="69"/>
              <w:jc w:val="center"/>
              <w:rPr>
                <w:rFonts w:hint="default" w:eastAsia="宋体"/>
                <w:color w:val="auto"/>
                <w:lang w:val="en-US" w:eastAsia="zh-CN"/>
              </w:rPr>
            </w:pPr>
          </w:p>
        </w:tc>
        <w:tc>
          <w:tcPr>
            <w:tcW w:w="808" w:type="dxa"/>
            <w:vAlign w:val="center"/>
          </w:tcPr>
          <w:p w14:paraId="3626BD6D">
            <w:pPr>
              <w:pStyle w:val="69"/>
              <w:ind w:firstLine="0" w:firstLineChars="0"/>
              <w:jc w:val="center"/>
              <w:rPr>
                <w:color w:val="auto"/>
              </w:rPr>
            </w:pPr>
            <w:r>
              <w:rPr>
                <w:rFonts w:hint="eastAsia"/>
                <w:color w:val="auto"/>
              </w:rPr>
              <w:t>0</w:t>
            </w:r>
          </w:p>
        </w:tc>
        <w:tc>
          <w:tcPr>
            <w:tcW w:w="950" w:type="dxa"/>
            <w:gridSpan w:val="2"/>
            <w:vAlign w:val="center"/>
          </w:tcPr>
          <w:p w14:paraId="07E57045">
            <w:pPr>
              <w:pStyle w:val="69"/>
              <w:ind w:firstLine="0" w:firstLineChars="0"/>
              <w:jc w:val="center"/>
              <w:rPr>
                <w:color w:val="auto"/>
              </w:rPr>
            </w:pPr>
            <w:r>
              <w:rPr>
                <w:rFonts w:hint="eastAsia"/>
                <w:color w:val="auto"/>
              </w:rPr>
              <w:t>达标</w:t>
            </w:r>
          </w:p>
        </w:tc>
      </w:tr>
      <w:tr w14:paraId="5E3F1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vAlign w:val="center"/>
          </w:tcPr>
          <w:p w14:paraId="44D0AA8E">
            <w:pPr>
              <w:pStyle w:val="69"/>
              <w:rPr>
                <w:color w:val="auto"/>
              </w:rPr>
            </w:pPr>
          </w:p>
        </w:tc>
        <w:tc>
          <w:tcPr>
            <w:tcW w:w="942" w:type="dxa"/>
            <w:vMerge w:val="continue"/>
            <w:vAlign w:val="center"/>
          </w:tcPr>
          <w:p w14:paraId="5A0907EA">
            <w:pPr>
              <w:pStyle w:val="69"/>
              <w:rPr>
                <w:color w:val="auto"/>
              </w:rPr>
            </w:pPr>
          </w:p>
        </w:tc>
        <w:tc>
          <w:tcPr>
            <w:tcW w:w="942" w:type="dxa"/>
            <w:vMerge w:val="continue"/>
            <w:vAlign w:val="center"/>
          </w:tcPr>
          <w:p w14:paraId="7DFD1F25">
            <w:pPr>
              <w:pStyle w:val="69"/>
              <w:rPr>
                <w:color w:val="auto"/>
              </w:rPr>
            </w:pPr>
          </w:p>
        </w:tc>
        <w:tc>
          <w:tcPr>
            <w:tcW w:w="942" w:type="dxa"/>
            <w:vMerge w:val="continue"/>
            <w:vAlign w:val="center"/>
          </w:tcPr>
          <w:p w14:paraId="4275F37F">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942" w:type="dxa"/>
            <w:gridSpan w:val="2"/>
            <w:shd w:val="clear" w:color="auto" w:fill="FFFFFF"/>
            <w:vAlign w:val="center"/>
          </w:tcPr>
          <w:p w14:paraId="5B1BC706">
            <w:pPr>
              <w:tabs>
                <w:tab w:val="left" w:pos="480"/>
              </w:tabs>
              <w:spacing w:line="240" w:lineRule="auto"/>
              <w:ind w:firstLine="0" w:firstLineChars="0"/>
              <w:jc w:val="center"/>
              <w:rPr>
                <w:rFonts w:hint="default" w:ascii="Times New Roman" w:hAnsi="Times New Roman" w:eastAsia="宋体" w:cs="Times New Roman"/>
                <w:b w:val="0"/>
                <w:color w:val="000000"/>
                <w:kern w:val="2"/>
                <w:sz w:val="21"/>
                <w:szCs w:val="21"/>
                <w:lang w:val="en-US" w:eastAsia="zh-CN" w:bidi="ar-SA"/>
              </w:rPr>
            </w:pPr>
            <w:r>
              <w:rPr>
                <w:rFonts w:hint="eastAsia"/>
                <w:b w:val="0"/>
                <w:color w:val="000000"/>
                <w:sz w:val="21"/>
                <w:lang w:val="en-US" w:eastAsia="zh-CN"/>
              </w:rPr>
              <w:t>1小时平均</w:t>
            </w:r>
          </w:p>
        </w:tc>
        <w:tc>
          <w:tcPr>
            <w:tcW w:w="942" w:type="dxa"/>
            <w:gridSpan w:val="2"/>
            <w:shd w:val="clear" w:color="auto" w:fill="auto"/>
            <w:vAlign w:val="center"/>
          </w:tcPr>
          <w:p w14:paraId="456427BC">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250</w:t>
            </w:r>
          </w:p>
        </w:tc>
        <w:tc>
          <w:tcPr>
            <w:tcW w:w="1105" w:type="dxa"/>
            <w:gridSpan w:val="2"/>
            <w:shd w:val="clear" w:color="auto" w:fill="auto"/>
            <w:vAlign w:val="center"/>
          </w:tcPr>
          <w:p w14:paraId="42457CE4">
            <w:pPr>
              <w:pStyle w:val="69"/>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3" w:type="dxa"/>
            <w:shd w:val="clear" w:color="auto" w:fill="auto"/>
            <w:vAlign w:val="center"/>
          </w:tcPr>
          <w:p w14:paraId="36524490">
            <w:pPr>
              <w:pStyle w:val="69"/>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808" w:type="dxa"/>
            <w:shd w:val="clear" w:color="auto" w:fill="auto"/>
            <w:vAlign w:val="center"/>
          </w:tcPr>
          <w:p w14:paraId="0B86FB87">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shd w:val="clear" w:color="auto" w:fill="auto"/>
            <w:vAlign w:val="center"/>
          </w:tcPr>
          <w:p w14:paraId="5F55C4B2">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216C29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02283D3A">
            <w:pPr>
              <w:pStyle w:val="69"/>
              <w:rPr>
                <w:color w:val="auto"/>
              </w:rPr>
            </w:pPr>
          </w:p>
        </w:tc>
        <w:tc>
          <w:tcPr>
            <w:tcW w:w="942" w:type="dxa"/>
            <w:vMerge w:val="continue"/>
          </w:tcPr>
          <w:p w14:paraId="2C7D9208">
            <w:pPr>
              <w:pStyle w:val="69"/>
              <w:rPr>
                <w:color w:val="auto"/>
              </w:rPr>
            </w:pPr>
          </w:p>
        </w:tc>
        <w:tc>
          <w:tcPr>
            <w:tcW w:w="942" w:type="dxa"/>
            <w:vMerge w:val="continue"/>
          </w:tcPr>
          <w:p w14:paraId="3000DA19">
            <w:pPr>
              <w:pStyle w:val="69"/>
              <w:rPr>
                <w:color w:val="auto"/>
              </w:rPr>
            </w:pPr>
          </w:p>
        </w:tc>
        <w:tc>
          <w:tcPr>
            <w:tcW w:w="942" w:type="dxa"/>
            <w:shd w:val="clear" w:color="auto" w:fill="FFFFFF"/>
            <w:vAlign w:val="center"/>
          </w:tcPr>
          <w:p w14:paraId="32209D44">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非甲烷总烃</w:t>
            </w:r>
          </w:p>
        </w:tc>
        <w:tc>
          <w:tcPr>
            <w:tcW w:w="942" w:type="dxa"/>
            <w:gridSpan w:val="2"/>
            <w:shd w:val="clear" w:color="auto" w:fill="FFFFFF"/>
            <w:vAlign w:val="center"/>
          </w:tcPr>
          <w:p w14:paraId="1671C59D">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1h均值</w:t>
            </w:r>
          </w:p>
        </w:tc>
        <w:tc>
          <w:tcPr>
            <w:tcW w:w="942" w:type="dxa"/>
            <w:gridSpan w:val="2"/>
            <w:shd w:val="clear" w:color="auto" w:fill="auto"/>
            <w:vAlign w:val="center"/>
          </w:tcPr>
          <w:p w14:paraId="66CFCEF2">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2000</w:t>
            </w:r>
          </w:p>
        </w:tc>
        <w:tc>
          <w:tcPr>
            <w:tcW w:w="1105" w:type="dxa"/>
            <w:gridSpan w:val="2"/>
            <w:shd w:val="clear" w:color="auto" w:fill="auto"/>
            <w:vAlign w:val="center"/>
          </w:tcPr>
          <w:p w14:paraId="29B7AE3A">
            <w:pPr>
              <w:pStyle w:val="69"/>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3" w:type="dxa"/>
            <w:shd w:val="clear" w:color="auto" w:fill="auto"/>
            <w:vAlign w:val="center"/>
          </w:tcPr>
          <w:p w14:paraId="78340B57">
            <w:pPr>
              <w:pStyle w:val="69"/>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808" w:type="dxa"/>
            <w:shd w:val="clear" w:color="auto" w:fill="auto"/>
            <w:vAlign w:val="center"/>
          </w:tcPr>
          <w:p w14:paraId="2A2C4B3E">
            <w:pPr>
              <w:pStyle w:val="6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shd w:val="clear" w:color="auto" w:fill="auto"/>
            <w:vAlign w:val="center"/>
          </w:tcPr>
          <w:p w14:paraId="457A9025">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69A5A1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7A68227E">
            <w:pPr>
              <w:pStyle w:val="69"/>
              <w:rPr>
                <w:color w:val="auto"/>
              </w:rPr>
            </w:pPr>
          </w:p>
        </w:tc>
        <w:tc>
          <w:tcPr>
            <w:tcW w:w="942" w:type="dxa"/>
            <w:vMerge w:val="continue"/>
          </w:tcPr>
          <w:p w14:paraId="58753E41">
            <w:pPr>
              <w:pStyle w:val="69"/>
              <w:rPr>
                <w:color w:val="auto"/>
              </w:rPr>
            </w:pPr>
          </w:p>
        </w:tc>
        <w:tc>
          <w:tcPr>
            <w:tcW w:w="942" w:type="dxa"/>
            <w:vMerge w:val="continue"/>
          </w:tcPr>
          <w:p w14:paraId="4F1AAB3E">
            <w:pPr>
              <w:pStyle w:val="69"/>
              <w:rPr>
                <w:color w:val="auto"/>
              </w:rPr>
            </w:pPr>
          </w:p>
        </w:tc>
        <w:tc>
          <w:tcPr>
            <w:tcW w:w="942" w:type="dxa"/>
            <w:shd w:val="clear" w:color="auto" w:fill="FFFFFF"/>
            <w:vAlign w:val="center"/>
          </w:tcPr>
          <w:p w14:paraId="7263BE00">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TVOC</w:t>
            </w:r>
          </w:p>
        </w:tc>
        <w:tc>
          <w:tcPr>
            <w:tcW w:w="942" w:type="dxa"/>
            <w:gridSpan w:val="2"/>
            <w:shd w:val="clear" w:color="auto" w:fill="FFFFFF"/>
            <w:vAlign w:val="center"/>
          </w:tcPr>
          <w:p w14:paraId="79282BD9">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8h均值</w:t>
            </w:r>
          </w:p>
        </w:tc>
        <w:tc>
          <w:tcPr>
            <w:tcW w:w="942" w:type="dxa"/>
            <w:gridSpan w:val="2"/>
            <w:shd w:val="clear" w:color="auto" w:fill="auto"/>
            <w:vAlign w:val="center"/>
          </w:tcPr>
          <w:p w14:paraId="08E48357">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600</w:t>
            </w:r>
          </w:p>
        </w:tc>
        <w:tc>
          <w:tcPr>
            <w:tcW w:w="1105" w:type="dxa"/>
            <w:gridSpan w:val="2"/>
            <w:shd w:val="clear" w:color="auto" w:fill="auto"/>
            <w:vAlign w:val="center"/>
          </w:tcPr>
          <w:p w14:paraId="47CD614F">
            <w:pPr>
              <w:pStyle w:val="69"/>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913" w:type="dxa"/>
            <w:shd w:val="clear" w:color="auto" w:fill="auto"/>
            <w:vAlign w:val="center"/>
          </w:tcPr>
          <w:p w14:paraId="358CFD9B">
            <w:pPr>
              <w:pStyle w:val="69"/>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808" w:type="dxa"/>
            <w:shd w:val="clear" w:color="auto" w:fill="auto"/>
            <w:vAlign w:val="center"/>
          </w:tcPr>
          <w:p w14:paraId="4BFFA010">
            <w:pPr>
              <w:pStyle w:val="6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shd w:val="clear" w:color="auto" w:fill="auto"/>
            <w:vAlign w:val="center"/>
          </w:tcPr>
          <w:p w14:paraId="27B2D297">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236A71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62731681">
            <w:pPr>
              <w:pStyle w:val="69"/>
              <w:rPr>
                <w:color w:val="auto"/>
              </w:rPr>
            </w:pPr>
          </w:p>
        </w:tc>
        <w:tc>
          <w:tcPr>
            <w:tcW w:w="942" w:type="dxa"/>
            <w:vMerge w:val="continue"/>
          </w:tcPr>
          <w:p w14:paraId="6DFCAB05">
            <w:pPr>
              <w:pStyle w:val="69"/>
              <w:rPr>
                <w:color w:val="auto"/>
              </w:rPr>
            </w:pPr>
          </w:p>
        </w:tc>
        <w:tc>
          <w:tcPr>
            <w:tcW w:w="942" w:type="dxa"/>
            <w:vMerge w:val="continue"/>
          </w:tcPr>
          <w:p w14:paraId="2780BC77">
            <w:pPr>
              <w:pStyle w:val="69"/>
              <w:rPr>
                <w:color w:val="auto"/>
              </w:rPr>
            </w:pPr>
          </w:p>
        </w:tc>
        <w:tc>
          <w:tcPr>
            <w:tcW w:w="0" w:type="auto"/>
            <w:shd w:val="clear" w:color="auto" w:fill="FFFFFF"/>
            <w:vAlign w:val="center"/>
          </w:tcPr>
          <w:p w14:paraId="6A1CBB33">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b w:val="0"/>
                <w:color w:val="000000"/>
              </w:rPr>
              <w:t>臭气浓度</w:t>
            </w:r>
          </w:p>
        </w:tc>
        <w:tc>
          <w:tcPr>
            <w:tcW w:w="0" w:type="auto"/>
            <w:gridSpan w:val="2"/>
            <w:shd w:val="clear" w:color="auto" w:fill="FFFFFF"/>
            <w:vAlign w:val="center"/>
          </w:tcPr>
          <w:p w14:paraId="75964E4A">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1h均值</w:t>
            </w:r>
          </w:p>
        </w:tc>
        <w:tc>
          <w:tcPr>
            <w:tcW w:w="0" w:type="auto"/>
            <w:gridSpan w:val="2"/>
            <w:shd w:val="clear" w:color="auto" w:fill="auto"/>
            <w:vAlign w:val="center"/>
          </w:tcPr>
          <w:p w14:paraId="6631098E">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20</w:t>
            </w:r>
            <w:r>
              <w:rPr>
                <w:rFonts w:hint="eastAsia"/>
                <w:color w:val="auto"/>
              </w:rPr>
              <w:t>（无量纲）</w:t>
            </w:r>
          </w:p>
        </w:tc>
        <w:tc>
          <w:tcPr>
            <w:tcW w:w="0" w:type="auto"/>
            <w:gridSpan w:val="2"/>
            <w:shd w:val="clear" w:color="auto" w:fill="auto"/>
            <w:vAlign w:val="center"/>
          </w:tcPr>
          <w:p w14:paraId="164135E6">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0" w:type="auto"/>
            <w:shd w:val="clear" w:color="auto" w:fill="auto"/>
            <w:vAlign w:val="center"/>
          </w:tcPr>
          <w:p w14:paraId="49DB6A5E">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808" w:type="dxa"/>
            <w:shd w:val="clear" w:color="auto" w:fill="auto"/>
            <w:vAlign w:val="center"/>
          </w:tcPr>
          <w:p w14:paraId="273BEE1A">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shd w:val="clear" w:color="auto" w:fill="auto"/>
            <w:vAlign w:val="center"/>
          </w:tcPr>
          <w:p w14:paraId="56211361">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518A07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5870C0EF">
            <w:pPr>
              <w:pStyle w:val="69"/>
              <w:rPr>
                <w:color w:val="auto"/>
              </w:rPr>
            </w:pPr>
          </w:p>
        </w:tc>
        <w:tc>
          <w:tcPr>
            <w:tcW w:w="942" w:type="dxa"/>
            <w:vMerge w:val="continue"/>
          </w:tcPr>
          <w:p w14:paraId="346216F2">
            <w:pPr>
              <w:pStyle w:val="69"/>
              <w:rPr>
                <w:color w:val="auto"/>
              </w:rPr>
            </w:pPr>
          </w:p>
        </w:tc>
        <w:tc>
          <w:tcPr>
            <w:tcW w:w="942" w:type="dxa"/>
            <w:vMerge w:val="continue"/>
          </w:tcPr>
          <w:p w14:paraId="5B7B95B3">
            <w:pPr>
              <w:pStyle w:val="69"/>
              <w:rPr>
                <w:color w:val="auto"/>
              </w:rPr>
            </w:pPr>
          </w:p>
        </w:tc>
        <w:tc>
          <w:tcPr>
            <w:tcW w:w="0" w:type="auto"/>
            <w:shd w:val="clear" w:color="auto" w:fill="FFFFFF"/>
            <w:vAlign w:val="center"/>
          </w:tcPr>
          <w:p w14:paraId="0A96BD1F">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苯</w:t>
            </w:r>
          </w:p>
        </w:tc>
        <w:tc>
          <w:tcPr>
            <w:tcW w:w="0" w:type="auto"/>
            <w:gridSpan w:val="2"/>
            <w:shd w:val="clear" w:color="auto" w:fill="FFFFFF"/>
            <w:vAlign w:val="center"/>
          </w:tcPr>
          <w:p w14:paraId="7F9CFE8F">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1h平均</w:t>
            </w:r>
          </w:p>
        </w:tc>
        <w:tc>
          <w:tcPr>
            <w:tcW w:w="0" w:type="auto"/>
            <w:gridSpan w:val="2"/>
          </w:tcPr>
          <w:p w14:paraId="21E453D4">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w:t>
            </w:r>
          </w:p>
        </w:tc>
        <w:tc>
          <w:tcPr>
            <w:tcW w:w="0" w:type="auto"/>
            <w:gridSpan w:val="2"/>
          </w:tcPr>
          <w:p w14:paraId="129A978A">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0" w:type="auto"/>
          </w:tcPr>
          <w:p w14:paraId="770924FD">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808" w:type="dxa"/>
            <w:vAlign w:val="center"/>
          </w:tcPr>
          <w:p w14:paraId="522F2C1A">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vAlign w:val="center"/>
          </w:tcPr>
          <w:p w14:paraId="7B5BAB6E">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033864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2053B5CB">
            <w:pPr>
              <w:pStyle w:val="69"/>
              <w:rPr>
                <w:color w:val="auto"/>
              </w:rPr>
            </w:pPr>
          </w:p>
        </w:tc>
        <w:tc>
          <w:tcPr>
            <w:tcW w:w="942" w:type="dxa"/>
            <w:vMerge w:val="continue"/>
          </w:tcPr>
          <w:p w14:paraId="0F77650C">
            <w:pPr>
              <w:pStyle w:val="69"/>
              <w:rPr>
                <w:color w:val="auto"/>
              </w:rPr>
            </w:pPr>
          </w:p>
        </w:tc>
        <w:tc>
          <w:tcPr>
            <w:tcW w:w="942" w:type="dxa"/>
            <w:vMerge w:val="continue"/>
          </w:tcPr>
          <w:p w14:paraId="1520AEE4">
            <w:pPr>
              <w:pStyle w:val="69"/>
              <w:rPr>
                <w:color w:val="auto"/>
              </w:rPr>
            </w:pPr>
          </w:p>
        </w:tc>
        <w:tc>
          <w:tcPr>
            <w:tcW w:w="0" w:type="auto"/>
            <w:shd w:val="clear" w:color="auto" w:fill="FFFFFF"/>
            <w:vAlign w:val="center"/>
          </w:tcPr>
          <w:p w14:paraId="5495F4EE">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甲苯</w:t>
            </w:r>
          </w:p>
        </w:tc>
        <w:tc>
          <w:tcPr>
            <w:tcW w:w="0" w:type="auto"/>
            <w:gridSpan w:val="2"/>
            <w:shd w:val="clear" w:color="auto" w:fill="FFFFFF"/>
            <w:vAlign w:val="center"/>
          </w:tcPr>
          <w:p w14:paraId="5F98E243">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1h平均</w:t>
            </w:r>
          </w:p>
        </w:tc>
        <w:tc>
          <w:tcPr>
            <w:tcW w:w="0" w:type="auto"/>
            <w:gridSpan w:val="2"/>
          </w:tcPr>
          <w:p w14:paraId="715F40CB">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200</w:t>
            </w:r>
          </w:p>
        </w:tc>
        <w:tc>
          <w:tcPr>
            <w:tcW w:w="0" w:type="auto"/>
            <w:gridSpan w:val="2"/>
          </w:tcPr>
          <w:p w14:paraId="0FA29778">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0" w:type="auto"/>
          </w:tcPr>
          <w:p w14:paraId="4141AF1A">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808" w:type="dxa"/>
            <w:vAlign w:val="center"/>
          </w:tcPr>
          <w:p w14:paraId="5928CE94">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vAlign w:val="center"/>
          </w:tcPr>
          <w:p w14:paraId="7D06581F">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009AE3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503DC0F4">
            <w:pPr>
              <w:pStyle w:val="69"/>
              <w:rPr>
                <w:color w:val="auto"/>
              </w:rPr>
            </w:pPr>
          </w:p>
        </w:tc>
        <w:tc>
          <w:tcPr>
            <w:tcW w:w="942" w:type="dxa"/>
            <w:vMerge w:val="continue"/>
          </w:tcPr>
          <w:p w14:paraId="52589562">
            <w:pPr>
              <w:pStyle w:val="69"/>
              <w:rPr>
                <w:color w:val="auto"/>
              </w:rPr>
            </w:pPr>
          </w:p>
        </w:tc>
        <w:tc>
          <w:tcPr>
            <w:tcW w:w="942" w:type="dxa"/>
            <w:vMerge w:val="continue"/>
          </w:tcPr>
          <w:p w14:paraId="6DAA044D">
            <w:pPr>
              <w:pStyle w:val="69"/>
              <w:rPr>
                <w:color w:val="auto"/>
              </w:rPr>
            </w:pPr>
          </w:p>
        </w:tc>
        <w:tc>
          <w:tcPr>
            <w:tcW w:w="0" w:type="auto"/>
            <w:shd w:val="clear" w:color="auto" w:fill="FFFFFF"/>
            <w:vAlign w:val="center"/>
          </w:tcPr>
          <w:p w14:paraId="396716A9">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氯化氢</w:t>
            </w:r>
          </w:p>
        </w:tc>
        <w:tc>
          <w:tcPr>
            <w:tcW w:w="0" w:type="auto"/>
            <w:gridSpan w:val="2"/>
            <w:shd w:val="clear" w:color="auto" w:fill="FFFFFF"/>
            <w:vAlign w:val="center"/>
          </w:tcPr>
          <w:p w14:paraId="5BD74601">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1h平均</w:t>
            </w:r>
          </w:p>
        </w:tc>
        <w:tc>
          <w:tcPr>
            <w:tcW w:w="0" w:type="auto"/>
            <w:gridSpan w:val="2"/>
          </w:tcPr>
          <w:p w14:paraId="0B33D8AE">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50</w:t>
            </w:r>
          </w:p>
        </w:tc>
        <w:tc>
          <w:tcPr>
            <w:tcW w:w="0" w:type="auto"/>
            <w:gridSpan w:val="2"/>
          </w:tcPr>
          <w:p w14:paraId="097C8A8C">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0" w:type="auto"/>
          </w:tcPr>
          <w:p w14:paraId="26D36761">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808" w:type="dxa"/>
            <w:vAlign w:val="center"/>
          </w:tcPr>
          <w:p w14:paraId="678CEF83">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vAlign w:val="center"/>
          </w:tcPr>
          <w:p w14:paraId="5B2BDF8C">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7E8B3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2758D442">
            <w:pPr>
              <w:pStyle w:val="69"/>
              <w:rPr>
                <w:color w:val="auto"/>
              </w:rPr>
            </w:pPr>
          </w:p>
        </w:tc>
        <w:tc>
          <w:tcPr>
            <w:tcW w:w="942" w:type="dxa"/>
            <w:vMerge w:val="continue"/>
          </w:tcPr>
          <w:p w14:paraId="15FFA604">
            <w:pPr>
              <w:pStyle w:val="69"/>
              <w:rPr>
                <w:color w:val="auto"/>
              </w:rPr>
            </w:pPr>
          </w:p>
        </w:tc>
        <w:tc>
          <w:tcPr>
            <w:tcW w:w="942" w:type="dxa"/>
            <w:vMerge w:val="continue"/>
          </w:tcPr>
          <w:p w14:paraId="4682CAFD">
            <w:pPr>
              <w:pStyle w:val="69"/>
              <w:rPr>
                <w:color w:val="auto"/>
              </w:rPr>
            </w:pPr>
          </w:p>
        </w:tc>
        <w:tc>
          <w:tcPr>
            <w:tcW w:w="0" w:type="auto"/>
            <w:shd w:val="clear" w:color="auto" w:fill="FFFFFF"/>
            <w:vAlign w:val="center"/>
          </w:tcPr>
          <w:p w14:paraId="3D7891BB">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TSP</w:t>
            </w:r>
          </w:p>
        </w:tc>
        <w:tc>
          <w:tcPr>
            <w:tcW w:w="0" w:type="auto"/>
            <w:gridSpan w:val="2"/>
            <w:shd w:val="clear" w:color="auto" w:fill="FFFFFF"/>
            <w:vAlign w:val="center"/>
          </w:tcPr>
          <w:p w14:paraId="437E98F4">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sz w:val="21"/>
                <w:lang w:val="en-US" w:eastAsia="zh-CN"/>
              </w:rPr>
              <w:t>日</w:t>
            </w:r>
            <w:r>
              <w:rPr>
                <w:b w:val="0"/>
                <w:color w:val="000000"/>
                <w:sz w:val="21"/>
              </w:rPr>
              <w:t>平均</w:t>
            </w:r>
          </w:p>
        </w:tc>
        <w:tc>
          <w:tcPr>
            <w:tcW w:w="0" w:type="auto"/>
            <w:gridSpan w:val="2"/>
          </w:tcPr>
          <w:p w14:paraId="33983762">
            <w:pPr>
              <w:pStyle w:val="69"/>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300</w:t>
            </w:r>
          </w:p>
        </w:tc>
        <w:tc>
          <w:tcPr>
            <w:tcW w:w="0" w:type="auto"/>
            <w:gridSpan w:val="2"/>
          </w:tcPr>
          <w:p w14:paraId="041A5307">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0" w:type="auto"/>
          </w:tcPr>
          <w:p w14:paraId="1919A514">
            <w:pPr>
              <w:pStyle w:val="69"/>
              <w:ind w:firstLine="0" w:firstLineChars="0"/>
              <w:jc w:val="center"/>
              <w:rPr>
                <w:rFonts w:ascii="Times New Roman" w:hAnsi="Times New Roman" w:eastAsia="宋体" w:cs="Times New Roman"/>
                <w:color w:val="auto"/>
                <w:kern w:val="2"/>
                <w:sz w:val="21"/>
                <w:szCs w:val="21"/>
                <w:lang w:val="en-US" w:eastAsia="zh-CN" w:bidi="ar-SA"/>
              </w:rPr>
            </w:pPr>
          </w:p>
        </w:tc>
        <w:tc>
          <w:tcPr>
            <w:tcW w:w="808" w:type="dxa"/>
            <w:vAlign w:val="center"/>
          </w:tcPr>
          <w:p w14:paraId="1842D093">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0</w:t>
            </w:r>
          </w:p>
        </w:tc>
        <w:tc>
          <w:tcPr>
            <w:tcW w:w="950" w:type="dxa"/>
            <w:gridSpan w:val="2"/>
            <w:vAlign w:val="center"/>
          </w:tcPr>
          <w:p w14:paraId="41B435B2">
            <w:pPr>
              <w:pStyle w:val="69"/>
              <w:ind w:firstLine="0" w:firstLineChars="0"/>
              <w:jc w:val="center"/>
              <w:rPr>
                <w:rFonts w:ascii="Times New Roman" w:hAnsi="Times New Roman" w:eastAsia="宋体" w:cs="Times New Roman"/>
                <w:color w:val="auto"/>
                <w:kern w:val="2"/>
                <w:sz w:val="21"/>
                <w:szCs w:val="21"/>
                <w:lang w:val="en-US" w:eastAsia="zh-CN" w:bidi="ar-SA"/>
              </w:rPr>
            </w:pPr>
            <w:r>
              <w:rPr>
                <w:rFonts w:hint="eastAsia"/>
                <w:color w:val="auto"/>
              </w:rPr>
              <w:t>达标</w:t>
            </w:r>
          </w:p>
        </w:tc>
      </w:tr>
      <w:tr w14:paraId="029D2F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0ACCAB1E">
            <w:pPr>
              <w:pStyle w:val="69"/>
              <w:rPr>
                <w:color w:val="auto"/>
              </w:rPr>
            </w:pPr>
          </w:p>
        </w:tc>
        <w:tc>
          <w:tcPr>
            <w:tcW w:w="942" w:type="dxa"/>
            <w:vMerge w:val="continue"/>
          </w:tcPr>
          <w:p w14:paraId="68C8AFDC">
            <w:pPr>
              <w:pStyle w:val="69"/>
              <w:rPr>
                <w:color w:val="auto"/>
              </w:rPr>
            </w:pPr>
          </w:p>
        </w:tc>
        <w:tc>
          <w:tcPr>
            <w:tcW w:w="942" w:type="dxa"/>
            <w:vMerge w:val="continue"/>
          </w:tcPr>
          <w:p w14:paraId="05BC786A">
            <w:pPr>
              <w:pStyle w:val="69"/>
              <w:rPr>
                <w:color w:val="auto"/>
              </w:rPr>
            </w:pPr>
          </w:p>
        </w:tc>
        <w:tc>
          <w:tcPr>
            <w:tcW w:w="0" w:type="auto"/>
            <w:shd w:val="clear" w:color="auto" w:fill="FFFFFF"/>
            <w:vAlign w:val="center"/>
          </w:tcPr>
          <w:p w14:paraId="0F5F31B1">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三氯乙烯</w:t>
            </w:r>
          </w:p>
        </w:tc>
        <w:tc>
          <w:tcPr>
            <w:tcW w:w="0" w:type="auto"/>
            <w:gridSpan w:val="2"/>
            <w:shd w:val="clear" w:color="auto" w:fill="FFFFFF"/>
            <w:vAlign w:val="center"/>
          </w:tcPr>
          <w:p w14:paraId="257375D7">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1h平均</w:t>
            </w:r>
          </w:p>
        </w:tc>
        <w:tc>
          <w:tcPr>
            <w:tcW w:w="0" w:type="auto"/>
            <w:gridSpan w:val="2"/>
          </w:tcPr>
          <w:p w14:paraId="7DF75796">
            <w:pPr>
              <w:pStyle w:val="59"/>
              <w:bidi w:val="0"/>
              <w:rPr>
                <w:rFonts w:hint="default"/>
                <w:lang w:val="en-US" w:eastAsia="zh-CN"/>
              </w:rPr>
            </w:pPr>
            <w:r>
              <w:rPr>
                <w:rFonts w:hint="eastAsia"/>
                <w:lang w:val="en-US" w:eastAsia="zh-CN"/>
              </w:rPr>
              <w:t>/</w:t>
            </w:r>
          </w:p>
        </w:tc>
        <w:tc>
          <w:tcPr>
            <w:tcW w:w="0" w:type="auto"/>
            <w:gridSpan w:val="2"/>
          </w:tcPr>
          <w:p w14:paraId="1DF5CE76">
            <w:pPr>
              <w:pStyle w:val="59"/>
              <w:bidi w:val="0"/>
              <w:rPr>
                <w:lang w:val="en-US" w:eastAsia="zh-CN"/>
              </w:rPr>
            </w:pPr>
            <w:r>
              <w:rPr>
                <w:rFonts w:hint="eastAsia"/>
                <w:lang w:val="en-US" w:eastAsia="zh-CN"/>
              </w:rPr>
              <w:t>/</w:t>
            </w:r>
          </w:p>
        </w:tc>
        <w:tc>
          <w:tcPr>
            <w:tcW w:w="0" w:type="auto"/>
          </w:tcPr>
          <w:p w14:paraId="1307E111">
            <w:pPr>
              <w:pStyle w:val="59"/>
              <w:bidi w:val="0"/>
              <w:rPr>
                <w:lang w:val="en-US" w:eastAsia="zh-CN"/>
              </w:rPr>
            </w:pPr>
            <w:r>
              <w:rPr>
                <w:rFonts w:hint="eastAsia"/>
                <w:lang w:val="en-US" w:eastAsia="zh-CN"/>
              </w:rPr>
              <w:t>/</w:t>
            </w:r>
          </w:p>
        </w:tc>
        <w:tc>
          <w:tcPr>
            <w:tcW w:w="0" w:type="auto"/>
          </w:tcPr>
          <w:p w14:paraId="4E2718D6">
            <w:pPr>
              <w:pStyle w:val="59"/>
              <w:bidi w:val="0"/>
              <w:rPr>
                <w:lang w:val="en-US" w:eastAsia="zh-CN"/>
              </w:rPr>
            </w:pPr>
            <w:r>
              <w:rPr>
                <w:rFonts w:hint="eastAsia"/>
                <w:lang w:val="en-US" w:eastAsia="zh-CN"/>
              </w:rPr>
              <w:t>/</w:t>
            </w:r>
          </w:p>
        </w:tc>
        <w:tc>
          <w:tcPr>
            <w:tcW w:w="0" w:type="auto"/>
            <w:gridSpan w:val="2"/>
          </w:tcPr>
          <w:p w14:paraId="1214BB9D">
            <w:pPr>
              <w:pStyle w:val="59"/>
              <w:bidi w:val="0"/>
              <w:rPr>
                <w:lang w:val="en-US" w:eastAsia="zh-CN"/>
              </w:rPr>
            </w:pPr>
            <w:r>
              <w:rPr>
                <w:rFonts w:hint="eastAsia"/>
                <w:lang w:val="en-US" w:eastAsia="zh-CN"/>
              </w:rPr>
              <w:t>/</w:t>
            </w:r>
          </w:p>
        </w:tc>
      </w:tr>
      <w:tr w14:paraId="35C675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41A7CE79">
            <w:pPr>
              <w:pStyle w:val="69"/>
              <w:rPr>
                <w:color w:val="auto"/>
              </w:rPr>
            </w:pPr>
          </w:p>
        </w:tc>
        <w:tc>
          <w:tcPr>
            <w:tcW w:w="942" w:type="dxa"/>
            <w:vMerge w:val="continue"/>
          </w:tcPr>
          <w:p w14:paraId="7999D83F">
            <w:pPr>
              <w:pStyle w:val="69"/>
              <w:rPr>
                <w:color w:val="auto"/>
              </w:rPr>
            </w:pPr>
          </w:p>
        </w:tc>
        <w:tc>
          <w:tcPr>
            <w:tcW w:w="942" w:type="dxa"/>
            <w:vMerge w:val="continue"/>
          </w:tcPr>
          <w:p w14:paraId="64A5C400">
            <w:pPr>
              <w:pStyle w:val="69"/>
              <w:rPr>
                <w:color w:val="auto"/>
              </w:rPr>
            </w:pPr>
          </w:p>
        </w:tc>
        <w:tc>
          <w:tcPr>
            <w:tcW w:w="0" w:type="auto"/>
            <w:shd w:val="clear" w:color="auto" w:fill="FFFFFF"/>
            <w:vAlign w:val="center"/>
          </w:tcPr>
          <w:p w14:paraId="302E7145">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四氯乙烯</w:t>
            </w:r>
          </w:p>
        </w:tc>
        <w:tc>
          <w:tcPr>
            <w:tcW w:w="0" w:type="auto"/>
            <w:gridSpan w:val="2"/>
            <w:shd w:val="clear" w:color="auto" w:fill="FFFFFF"/>
            <w:vAlign w:val="center"/>
          </w:tcPr>
          <w:p w14:paraId="068145D8">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1h平均</w:t>
            </w:r>
          </w:p>
        </w:tc>
        <w:tc>
          <w:tcPr>
            <w:tcW w:w="0" w:type="auto"/>
            <w:gridSpan w:val="2"/>
          </w:tcPr>
          <w:p w14:paraId="01CFAB99">
            <w:pPr>
              <w:pStyle w:val="59"/>
              <w:bidi w:val="0"/>
              <w:rPr>
                <w:lang w:val="en-US" w:eastAsia="zh-CN"/>
              </w:rPr>
            </w:pPr>
            <w:r>
              <w:rPr>
                <w:rFonts w:hint="eastAsia"/>
                <w:lang w:val="en-US" w:eastAsia="zh-CN"/>
              </w:rPr>
              <w:t>/</w:t>
            </w:r>
          </w:p>
        </w:tc>
        <w:tc>
          <w:tcPr>
            <w:tcW w:w="0" w:type="auto"/>
            <w:gridSpan w:val="2"/>
          </w:tcPr>
          <w:p w14:paraId="63DFE963">
            <w:pPr>
              <w:pStyle w:val="59"/>
              <w:bidi w:val="0"/>
              <w:rPr>
                <w:lang w:val="en-US" w:eastAsia="zh-CN"/>
              </w:rPr>
            </w:pPr>
            <w:r>
              <w:rPr>
                <w:rFonts w:hint="eastAsia"/>
                <w:lang w:val="en-US" w:eastAsia="zh-CN"/>
              </w:rPr>
              <w:t>/</w:t>
            </w:r>
          </w:p>
        </w:tc>
        <w:tc>
          <w:tcPr>
            <w:tcW w:w="0" w:type="auto"/>
          </w:tcPr>
          <w:p w14:paraId="3F89C305">
            <w:pPr>
              <w:pStyle w:val="59"/>
              <w:bidi w:val="0"/>
              <w:rPr>
                <w:lang w:val="en-US" w:eastAsia="zh-CN"/>
              </w:rPr>
            </w:pPr>
            <w:r>
              <w:rPr>
                <w:rFonts w:hint="eastAsia"/>
                <w:lang w:val="en-US" w:eastAsia="zh-CN"/>
              </w:rPr>
              <w:t>/</w:t>
            </w:r>
          </w:p>
        </w:tc>
        <w:tc>
          <w:tcPr>
            <w:tcW w:w="0" w:type="auto"/>
          </w:tcPr>
          <w:p w14:paraId="3FD3A3A0">
            <w:pPr>
              <w:pStyle w:val="59"/>
              <w:bidi w:val="0"/>
              <w:rPr>
                <w:lang w:val="en-US" w:eastAsia="zh-CN"/>
              </w:rPr>
            </w:pPr>
            <w:r>
              <w:rPr>
                <w:rFonts w:hint="eastAsia"/>
                <w:lang w:val="en-US" w:eastAsia="zh-CN"/>
              </w:rPr>
              <w:t>/</w:t>
            </w:r>
          </w:p>
        </w:tc>
        <w:tc>
          <w:tcPr>
            <w:tcW w:w="0" w:type="auto"/>
            <w:gridSpan w:val="2"/>
          </w:tcPr>
          <w:p w14:paraId="4E052066">
            <w:pPr>
              <w:pStyle w:val="59"/>
              <w:bidi w:val="0"/>
              <w:rPr>
                <w:lang w:val="en-US" w:eastAsia="zh-CN"/>
              </w:rPr>
            </w:pPr>
            <w:r>
              <w:rPr>
                <w:rFonts w:hint="eastAsia"/>
                <w:lang w:val="en-US" w:eastAsia="zh-CN"/>
              </w:rPr>
              <w:t>/</w:t>
            </w:r>
          </w:p>
        </w:tc>
      </w:tr>
      <w:tr w14:paraId="2E7B65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739DAC82">
            <w:pPr>
              <w:pStyle w:val="69"/>
              <w:rPr>
                <w:color w:val="auto"/>
              </w:rPr>
            </w:pPr>
          </w:p>
        </w:tc>
        <w:tc>
          <w:tcPr>
            <w:tcW w:w="942" w:type="dxa"/>
            <w:vMerge w:val="continue"/>
          </w:tcPr>
          <w:p w14:paraId="7FA74315">
            <w:pPr>
              <w:pStyle w:val="69"/>
              <w:rPr>
                <w:color w:val="auto"/>
              </w:rPr>
            </w:pPr>
          </w:p>
        </w:tc>
        <w:tc>
          <w:tcPr>
            <w:tcW w:w="942" w:type="dxa"/>
            <w:vMerge w:val="continue"/>
          </w:tcPr>
          <w:p w14:paraId="44261EDA">
            <w:pPr>
              <w:pStyle w:val="69"/>
              <w:rPr>
                <w:color w:val="auto"/>
              </w:rPr>
            </w:pPr>
          </w:p>
        </w:tc>
        <w:tc>
          <w:tcPr>
            <w:tcW w:w="0" w:type="auto"/>
            <w:shd w:val="clear" w:color="auto" w:fill="FFFFFF"/>
            <w:vAlign w:val="center"/>
          </w:tcPr>
          <w:p w14:paraId="5732B89A">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二氯甲烷</w:t>
            </w:r>
          </w:p>
        </w:tc>
        <w:tc>
          <w:tcPr>
            <w:tcW w:w="0" w:type="auto"/>
            <w:gridSpan w:val="2"/>
            <w:shd w:val="clear" w:color="auto" w:fill="FFFFFF"/>
            <w:vAlign w:val="center"/>
          </w:tcPr>
          <w:p w14:paraId="757049DB">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1h平均</w:t>
            </w:r>
          </w:p>
        </w:tc>
        <w:tc>
          <w:tcPr>
            <w:tcW w:w="0" w:type="auto"/>
            <w:gridSpan w:val="2"/>
          </w:tcPr>
          <w:p w14:paraId="6FCB643A">
            <w:pPr>
              <w:pStyle w:val="59"/>
              <w:bidi w:val="0"/>
              <w:rPr>
                <w:lang w:val="en-US" w:eastAsia="zh-CN"/>
              </w:rPr>
            </w:pPr>
            <w:r>
              <w:rPr>
                <w:rFonts w:hint="eastAsia"/>
                <w:lang w:val="en-US" w:eastAsia="zh-CN"/>
              </w:rPr>
              <w:t>/</w:t>
            </w:r>
          </w:p>
        </w:tc>
        <w:tc>
          <w:tcPr>
            <w:tcW w:w="0" w:type="auto"/>
            <w:gridSpan w:val="2"/>
          </w:tcPr>
          <w:p w14:paraId="53E298F6">
            <w:pPr>
              <w:pStyle w:val="59"/>
              <w:bidi w:val="0"/>
              <w:rPr>
                <w:lang w:val="en-US" w:eastAsia="zh-CN"/>
              </w:rPr>
            </w:pPr>
            <w:r>
              <w:rPr>
                <w:rFonts w:hint="eastAsia"/>
                <w:lang w:val="en-US" w:eastAsia="zh-CN"/>
              </w:rPr>
              <w:t>/</w:t>
            </w:r>
          </w:p>
        </w:tc>
        <w:tc>
          <w:tcPr>
            <w:tcW w:w="0" w:type="auto"/>
          </w:tcPr>
          <w:p w14:paraId="36E380DC">
            <w:pPr>
              <w:pStyle w:val="59"/>
              <w:bidi w:val="0"/>
              <w:rPr>
                <w:lang w:val="en-US" w:eastAsia="zh-CN"/>
              </w:rPr>
            </w:pPr>
            <w:r>
              <w:rPr>
                <w:rFonts w:hint="eastAsia"/>
                <w:lang w:val="en-US" w:eastAsia="zh-CN"/>
              </w:rPr>
              <w:t>/</w:t>
            </w:r>
          </w:p>
        </w:tc>
        <w:tc>
          <w:tcPr>
            <w:tcW w:w="0" w:type="auto"/>
          </w:tcPr>
          <w:p w14:paraId="24855BA9">
            <w:pPr>
              <w:pStyle w:val="59"/>
              <w:bidi w:val="0"/>
              <w:rPr>
                <w:lang w:val="en-US" w:eastAsia="zh-CN"/>
              </w:rPr>
            </w:pPr>
            <w:r>
              <w:rPr>
                <w:rFonts w:hint="eastAsia"/>
                <w:lang w:val="en-US" w:eastAsia="zh-CN"/>
              </w:rPr>
              <w:t>/</w:t>
            </w:r>
          </w:p>
        </w:tc>
        <w:tc>
          <w:tcPr>
            <w:tcW w:w="0" w:type="auto"/>
            <w:gridSpan w:val="2"/>
          </w:tcPr>
          <w:p w14:paraId="7EEEAAB4">
            <w:pPr>
              <w:pStyle w:val="59"/>
              <w:bidi w:val="0"/>
              <w:rPr>
                <w:lang w:val="en-US" w:eastAsia="zh-CN"/>
              </w:rPr>
            </w:pPr>
            <w:r>
              <w:rPr>
                <w:rFonts w:hint="eastAsia"/>
                <w:lang w:val="en-US" w:eastAsia="zh-CN"/>
              </w:rPr>
              <w:t>/</w:t>
            </w:r>
          </w:p>
        </w:tc>
      </w:tr>
      <w:tr w14:paraId="5632C3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dxa"/>
            <w:gridSpan w:val="2"/>
            <w:vMerge w:val="continue"/>
          </w:tcPr>
          <w:p w14:paraId="2FC2BF15">
            <w:pPr>
              <w:pStyle w:val="69"/>
              <w:rPr>
                <w:color w:val="auto"/>
              </w:rPr>
            </w:pPr>
          </w:p>
        </w:tc>
        <w:tc>
          <w:tcPr>
            <w:tcW w:w="942" w:type="dxa"/>
            <w:vMerge w:val="continue"/>
          </w:tcPr>
          <w:p w14:paraId="0B904170">
            <w:pPr>
              <w:pStyle w:val="69"/>
              <w:rPr>
                <w:color w:val="auto"/>
              </w:rPr>
            </w:pPr>
          </w:p>
        </w:tc>
        <w:tc>
          <w:tcPr>
            <w:tcW w:w="942" w:type="dxa"/>
            <w:vMerge w:val="continue"/>
          </w:tcPr>
          <w:p w14:paraId="4E980478">
            <w:pPr>
              <w:pStyle w:val="69"/>
              <w:rPr>
                <w:color w:val="auto"/>
              </w:rPr>
            </w:pPr>
          </w:p>
        </w:tc>
        <w:tc>
          <w:tcPr>
            <w:tcW w:w="0" w:type="auto"/>
            <w:shd w:val="clear" w:color="auto" w:fill="FFFFFF"/>
            <w:vAlign w:val="center"/>
          </w:tcPr>
          <w:p w14:paraId="76E8C19D">
            <w:pPr>
              <w:pStyle w:val="69"/>
              <w:bidi w:val="0"/>
              <w:ind w:firstLine="0" w:firstLineChars="0"/>
              <w:jc w:val="center"/>
              <w:rPr>
                <w:rFonts w:hint="eastAsia" w:ascii="Times New Roman" w:hAnsi="Times New Roman" w:eastAsia="宋体" w:cs="Times New Roman"/>
                <w:b w:val="0"/>
                <w:color w:val="000000"/>
                <w:kern w:val="2"/>
                <w:sz w:val="21"/>
                <w:szCs w:val="21"/>
                <w:lang w:val="en-US" w:eastAsia="zh-CN" w:bidi="ar-SA"/>
              </w:rPr>
            </w:pPr>
            <w:r>
              <w:rPr>
                <w:rFonts w:hint="eastAsia"/>
                <w:b w:val="0"/>
                <w:color w:val="000000"/>
              </w:rPr>
              <w:t>三氯甲烷</w:t>
            </w:r>
          </w:p>
        </w:tc>
        <w:tc>
          <w:tcPr>
            <w:tcW w:w="0" w:type="auto"/>
            <w:gridSpan w:val="2"/>
            <w:shd w:val="clear" w:color="auto" w:fill="FFFFFF"/>
            <w:vAlign w:val="center"/>
          </w:tcPr>
          <w:p w14:paraId="668C8F63">
            <w:pPr>
              <w:pStyle w:val="69"/>
              <w:ind w:firstLine="0" w:firstLineChars="0"/>
              <w:rPr>
                <w:rFonts w:hint="eastAsia" w:ascii="Times New Roman" w:hAnsi="Times New Roman" w:eastAsia="宋体" w:cs="Times New Roman"/>
                <w:b w:val="0"/>
                <w:color w:val="000000"/>
                <w:kern w:val="2"/>
                <w:sz w:val="21"/>
                <w:szCs w:val="21"/>
                <w:lang w:val="en-US" w:eastAsia="zh-CN" w:bidi="ar-SA"/>
              </w:rPr>
            </w:pPr>
            <w:r>
              <w:rPr>
                <w:rFonts w:hint="eastAsia"/>
                <w:b w:val="0"/>
                <w:color w:val="000000"/>
                <w:lang w:val="en-US" w:eastAsia="zh-CN"/>
              </w:rPr>
              <w:t>1h平均</w:t>
            </w:r>
          </w:p>
        </w:tc>
        <w:tc>
          <w:tcPr>
            <w:tcW w:w="0" w:type="auto"/>
            <w:gridSpan w:val="2"/>
          </w:tcPr>
          <w:p w14:paraId="19FF5E37">
            <w:pPr>
              <w:pStyle w:val="59"/>
              <w:bidi w:val="0"/>
              <w:rPr>
                <w:lang w:val="en-US" w:eastAsia="zh-CN"/>
              </w:rPr>
            </w:pPr>
            <w:r>
              <w:rPr>
                <w:rFonts w:hint="eastAsia"/>
                <w:lang w:val="en-US" w:eastAsia="zh-CN"/>
              </w:rPr>
              <w:t>/</w:t>
            </w:r>
          </w:p>
        </w:tc>
        <w:tc>
          <w:tcPr>
            <w:tcW w:w="0" w:type="auto"/>
            <w:gridSpan w:val="2"/>
          </w:tcPr>
          <w:p w14:paraId="465771C4">
            <w:pPr>
              <w:pStyle w:val="59"/>
              <w:bidi w:val="0"/>
              <w:rPr>
                <w:lang w:val="en-US" w:eastAsia="zh-CN"/>
              </w:rPr>
            </w:pPr>
            <w:r>
              <w:rPr>
                <w:rFonts w:hint="eastAsia"/>
                <w:lang w:val="en-US" w:eastAsia="zh-CN"/>
              </w:rPr>
              <w:t>/</w:t>
            </w:r>
          </w:p>
        </w:tc>
        <w:tc>
          <w:tcPr>
            <w:tcW w:w="0" w:type="auto"/>
          </w:tcPr>
          <w:p w14:paraId="64FF659E">
            <w:pPr>
              <w:pStyle w:val="59"/>
              <w:bidi w:val="0"/>
              <w:rPr>
                <w:lang w:val="en-US" w:eastAsia="zh-CN"/>
              </w:rPr>
            </w:pPr>
            <w:r>
              <w:rPr>
                <w:rFonts w:hint="eastAsia"/>
                <w:lang w:val="en-US" w:eastAsia="zh-CN"/>
              </w:rPr>
              <w:t>/</w:t>
            </w:r>
          </w:p>
        </w:tc>
        <w:tc>
          <w:tcPr>
            <w:tcW w:w="0" w:type="auto"/>
          </w:tcPr>
          <w:p w14:paraId="13187222">
            <w:pPr>
              <w:pStyle w:val="59"/>
              <w:bidi w:val="0"/>
              <w:rPr>
                <w:lang w:val="en-US" w:eastAsia="zh-CN"/>
              </w:rPr>
            </w:pPr>
            <w:r>
              <w:rPr>
                <w:rFonts w:hint="eastAsia"/>
                <w:lang w:val="en-US" w:eastAsia="zh-CN"/>
              </w:rPr>
              <w:t>/</w:t>
            </w:r>
          </w:p>
        </w:tc>
        <w:tc>
          <w:tcPr>
            <w:tcW w:w="0" w:type="auto"/>
            <w:gridSpan w:val="2"/>
          </w:tcPr>
          <w:p w14:paraId="771FA553">
            <w:pPr>
              <w:pStyle w:val="59"/>
              <w:bidi w:val="0"/>
              <w:rPr>
                <w:lang w:val="en-US" w:eastAsia="zh-CN"/>
              </w:rPr>
            </w:pPr>
            <w:r>
              <w:rPr>
                <w:rFonts w:hint="eastAsia"/>
                <w:lang w:val="en-US" w:eastAsia="zh-CN"/>
              </w:rPr>
              <w:t>/</w:t>
            </w:r>
          </w:p>
        </w:tc>
      </w:tr>
    </w:tbl>
    <w:p w14:paraId="13FA29A9">
      <w:pPr>
        <w:ind w:firstLine="480"/>
        <w:rPr>
          <w:color w:val="auto"/>
        </w:rPr>
      </w:pPr>
      <w:r>
        <w:rPr>
          <w:color w:val="auto"/>
        </w:rPr>
        <w:t>根据分析，本项目所在区域</w:t>
      </w:r>
      <w:r>
        <w:rPr>
          <w:rFonts w:hint="eastAsia"/>
          <w:color w:val="auto"/>
        </w:rPr>
        <w:t>的TVOC</w:t>
      </w:r>
      <w:r>
        <w:rPr>
          <w:rFonts w:hint="eastAsia"/>
          <w:color w:val="auto"/>
          <w:lang w:eastAsia="zh-CN"/>
        </w:rPr>
        <w:t>、</w:t>
      </w:r>
      <w:r>
        <w:rPr>
          <w:rFonts w:hint="eastAsia"/>
          <w:color w:val="auto"/>
          <w:lang w:val="en-US" w:eastAsia="zh-CN"/>
        </w:rPr>
        <w:t>甲苯、氯化氢</w:t>
      </w:r>
      <w:r>
        <w:rPr>
          <w:rFonts w:hint="eastAsia"/>
          <w:color w:val="auto"/>
        </w:rPr>
        <w:t>达到《环境影响评价技术导则－大气环境》（HJ 2.2-2018）附录D排放标准，NMHC达到</w:t>
      </w:r>
      <w:r>
        <w:rPr>
          <w:color w:val="auto"/>
        </w:rPr>
        <w:t>《大气污染物综合排放标准详解》</w:t>
      </w:r>
      <w:r>
        <w:rPr>
          <w:rFonts w:hint="eastAsia"/>
          <w:color w:val="auto"/>
        </w:rPr>
        <w:t>一次值，臭气浓度达到《恶臭污染物排放标准》（GB14554-93）表1二级新扩改建恶臭污染物厂界标准值，TSP能达到</w:t>
      </w:r>
      <w:r>
        <w:rPr>
          <w:color w:val="auto"/>
          <w:szCs w:val="24"/>
        </w:rPr>
        <w:t>《环境空气质量标准》（GB3095-20</w:t>
      </w:r>
      <w:r>
        <w:rPr>
          <w:rFonts w:hint="eastAsia"/>
          <w:color w:val="auto"/>
          <w:szCs w:val="24"/>
          <w:lang w:val="en-US" w:eastAsia="zh-CN"/>
        </w:rPr>
        <w:t>26</w:t>
      </w:r>
      <w:r>
        <w:rPr>
          <w:color w:val="auto"/>
          <w:szCs w:val="24"/>
        </w:rPr>
        <w:t>）二级标准要求</w:t>
      </w:r>
      <w:r>
        <w:rPr>
          <w:rFonts w:hint="eastAsia"/>
          <w:color w:val="auto"/>
        </w:rPr>
        <w:t>。</w:t>
      </w:r>
    </w:p>
    <w:p w14:paraId="3E465B29">
      <w:pPr>
        <w:pStyle w:val="67"/>
        <w:numPr>
          <w:ilvl w:val="1"/>
          <w:numId w:val="8"/>
        </w:numPr>
        <w:bidi w:val="0"/>
        <w:ind w:left="567" w:leftChars="0" w:hanging="567" w:firstLineChars="0"/>
        <w:rPr>
          <w:rFonts w:ascii="Times New Roman" w:hAnsi="Times New Roman" w:eastAsia="宋体" w:cs="Times New Roman"/>
          <w:color w:val="auto"/>
        </w:rPr>
      </w:pPr>
      <w:bookmarkStart w:id="85" w:name="_Toc11428"/>
      <w:r>
        <w:rPr>
          <w:rFonts w:ascii="Times New Roman" w:hAnsi="Times New Roman" w:eastAsia="宋体" w:cs="Times New Roman"/>
          <w:color w:val="auto"/>
        </w:rPr>
        <w:t>声环境质量现状监测与评价</w:t>
      </w:r>
      <w:bookmarkEnd w:id="85"/>
    </w:p>
    <w:p w14:paraId="6F0A8F89">
      <w:pPr>
        <w:pStyle w:val="64"/>
        <w:numPr>
          <w:ilvl w:val="2"/>
          <w:numId w:val="8"/>
        </w:numPr>
        <w:spacing w:before="166" w:after="166"/>
        <w:ind w:left="709" w:leftChars="0" w:hanging="709" w:firstLineChars="0"/>
        <w:rPr>
          <w:color w:val="auto"/>
        </w:rPr>
      </w:pPr>
      <w:r>
        <w:rPr>
          <w:color w:val="auto"/>
        </w:rPr>
        <w:t>评价方法与标准</w:t>
      </w:r>
    </w:p>
    <w:p w14:paraId="42FC7090">
      <w:pPr>
        <w:ind w:firstLine="480"/>
        <w:rPr>
          <w:color w:val="auto"/>
        </w:rPr>
      </w:pPr>
      <w:r>
        <w:rPr>
          <w:color w:val="auto"/>
        </w:rPr>
        <w:t>（1）评价方法</w:t>
      </w:r>
    </w:p>
    <w:p w14:paraId="1A753786">
      <w:pPr>
        <w:ind w:firstLine="480"/>
        <w:rPr>
          <w:color w:val="auto"/>
        </w:rPr>
      </w:pPr>
      <w:r>
        <w:rPr>
          <w:color w:val="auto"/>
        </w:rPr>
        <w:t>采用比标法进行声环境质量评价。</w:t>
      </w:r>
    </w:p>
    <w:p w14:paraId="70661EF6">
      <w:pPr>
        <w:ind w:firstLine="480"/>
        <w:rPr>
          <w:color w:val="auto"/>
        </w:rPr>
      </w:pPr>
      <w:r>
        <w:rPr>
          <w:color w:val="auto"/>
        </w:rPr>
        <w:t>（2）评价标准</w:t>
      </w:r>
    </w:p>
    <w:p w14:paraId="1522933A">
      <w:pPr>
        <w:ind w:firstLine="480"/>
        <w:rPr>
          <w:color w:val="auto"/>
        </w:rPr>
      </w:pPr>
      <w:r>
        <w:rPr>
          <w:rFonts w:hint="eastAsia"/>
          <w:color w:val="auto"/>
          <w:lang w:val="en-US" w:eastAsia="zh-CN"/>
        </w:rPr>
        <w:t>执行</w:t>
      </w:r>
      <w:r>
        <w:rPr>
          <w:color w:val="auto"/>
        </w:rPr>
        <w:t>《声环境质量标准》（GB3096-2008）</w:t>
      </w:r>
      <w:r>
        <w:rPr>
          <w:rFonts w:hint="eastAsia"/>
          <w:color w:val="auto"/>
        </w:rPr>
        <w:t>3类标准</w:t>
      </w:r>
      <w:r>
        <w:rPr>
          <w:color w:val="auto"/>
        </w:rPr>
        <w:t>。</w:t>
      </w:r>
    </w:p>
    <w:p w14:paraId="5E6F0D0E">
      <w:pPr>
        <w:pStyle w:val="64"/>
        <w:numPr>
          <w:ilvl w:val="2"/>
          <w:numId w:val="8"/>
        </w:numPr>
        <w:spacing w:before="166" w:after="166"/>
        <w:ind w:left="709" w:leftChars="0" w:hanging="709" w:firstLineChars="0"/>
        <w:rPr>
          <w:color w:val="auto"/>
        </w:rPr>
      </w:pPr>
      <w:r>
        <w:rPr>
          <w:color w:val="auto"/>
        </w:rPr>
        <w:t>监测方案</w:t>
      </w:r>
    </w:p>
    <w:p w14:paraId="7E6677BF">
      <w:pPr>
        <w:snapToGrid w:val="0"/>
        <w:ind w:firstLine="480"/>
        <w:rPr>
          <w:color w:val="auto"/>
        </w:rPr>
      </w:pPr>
      <w:r>
        <w:rPr>
          <w:color w:val="auto"/>
        </w:rPr>
        <w:t>（1）监测布点</w:t>
      </w:r>
    </w:p>
    <w:p w14:paraId="25D35D9E">
      <w:pPr>
        <w:snapToGrid w:val="0"/>
        <w:ind w:firstLine="480"/>
        <w:rPr>
          <w:color w:val="auto"/>
        </w:rPr>
      </w:pPr>
      <w:r>
        <w:rPr>
          <w:color w:val="auto"/>
        </w:rPr>
        <w:t>根据项目的特点及周围声环境的实际情况，</w:t>
      </w:r>
      <w:r>
        <w:rPr>
          <w:bCs/>
          <w:color w:val="auto"/>
        </w:rPr>
        <w:t>在建设项目四周共布设</w:t>
      </w:r>
      <w:r>
        <w:rPr>
          <w:rFonts w:hint="eastAsia"/>
          <w:bCs/>
          <w:color w:val="auto"/>
          <w:lang w:val="en-US" w:eastAsia="zh-CN"/>
        </w:rPr>
        <w:t>5</w:t>
      </w:r>
      <w:r>
        <w:rPr>
          <w:bCs/>
          <w:color w:val="auto"/>
        </w:rPr>
        <w:t>个监测点，详见</w:t>
      </w:r>
      <w:r>
        <w:rPr>
          <w:rFonts w:hint="eastAsia"/>
          <w:bCs/>
          <w:color w:val="auto"/>
          <w:lang w:eastAsia="zh-CN"/>
        </w:rPr>
        <w:t>表4</w:t>
      </w:r>
      <w:r>
        <w:rPr>
          <w:bCs/>
          <w:color w:val="auto"/>
        </w:rPr>
        <w:t>.</w:t>
      </w:r>
      <w:r>
        <w:rPr>
          <w:rFonts w:hint="eastAsia"/>
          <w:bCs/>
          <w:color w:val="auto"/>
        </w:rPr>
        <w:t>4-1</w:t>
      </w:r>
      <w:r>
        <w:rPr>
          <w:color w:val="auto"/>
        </w:rPr>
        <w:t>。</w:t>
      </w:r>
    </w:p>
    <w:p w14:paraId="2FB94A78">
      <w:pPr>
        <w:pStyle w:val="62"/>
        <w:bidi w:val="0"/>
        <w:rPr>
          <w:color w:val="auto"/>
        </w:rPr>
      </w:pPr>
      <w:r>
        <w:rPr>
          <w:rFonts w:hint="eastAsia"/>
          <w:color w:val="auto"/>
          <w:lang w:eastAsia="zh-CN"/>
        </w:rPr>
        <w:t>表4</w:t>
      </w:r>
      <w:r>
        <w:rPr>
          <w:color w:val="auto"/>
        </w:rPr>
        <w:t>.</w:t>
      </w:r>
      <w:r>
        <w:rPr>
          <w:rFonts w:hint="eastAsia"/>
          <w:color w:val="auto"/>
        </w:rPr>
        <w:t>4-1</w:t>
      </w:r>
      <w:r>
        <w:rPr>
          <w:color w:val="auto"/>
        </w:rPr>
        <w:t xml:space="preserve">  声环境现状调查布点表</w:t>
      </w:r>
    </w:p>
    <w:tbl>
      <w:tblPr>
        <w:tblStyle w:val="38"/>
        <w:tblW w:w="91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3062"/>
        <w:gridCol w:w="3062"/>
        <w:gridCol w:w="3062"/>
      </w:tblGrid>
      <w:tr w14:paraId="005C99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3062" w:type="dxa"/>
            <w:vAlign w:val="center"/>
          </w:tcPr>
          <w:p w14:paraId="27CF2529">
            <w:pPr>
              <w:pStyle w:val="69"/>
              <w:rPr>
                <w:color w:val="auto"/>
              </w:rPr>
            </w:pPr>
            <w:r>
              <w:rPr>
                <w:color w:val="auto"/>
              </w:rPr>
              <w:t>编号</w:t>
            </w:r>
          </w:p>
        </w:tc>
        <w:tc>
          <w:tcPr>
            <w:tcW w:w="3062" w:type="dxa"/>
            <w:vAlign w:val="center"/>
          </w:tcPr>
          <w:p w14:paraId="38773D22">
            <w:pPr>
              <w:pStyle w:val="69"/>
              <w:rPr>
                <w:color w:val="auto"/>
              </w:rPr>
            </w:pPr>
            <w:r>
              <w:rPr>
                <w:color w:val="auto"/>
              </w:rPr>
              <w:t>监测点位置</w:t>
            </w:r>
          </w:p>
        </w:tc>
        <w:tc>
          <w:tcPr>
            <w:tcW w:w="3062" w:type="dxa"/>
            <w:vAlign w:val="center"/>
          </w:tcPr>
          <w:p w14:paraId="4577D738">
            <w:pPr>
              <w:pStyle w:val="69"/>
              <w:rPr>
                <w:color w:val="auto"/>
              </w:rPr>
            </w:pPr>
            <w:r>
              <w:rPr>
                <w:color w:val="auto"/>
              </w:rPr>
              <w:t>监测项目</w:t>
            </w:r>
          </w:p>
        </w:tc>
      </w:tr>
      <w:tr w14:paraId="68013C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062" w:type="dxa"/>
            <w:vAlign w:val="center"/>
          </w:tcPr>
          <w:p w14:paraId="62A1491D">
            <w:pPr>
              <w:pStyle w:val="69"/>
              <w:ind w:firstLine="0" w:firstLineChars="0"/>
              <w:rPr>
                <w:rFonts w:ascii="Times New Roman" w:hAnsi="Times New Roman" w:eastAsia="宋体" w:cs="Times New Roman"/>
                <w:color w:val="auto"/>
                <w:kern w:val="2"/>
                <w:sz w:val="21"/>
                <w:szCs w:val="21"/>
                <w:lang w:val="en-US" w:eastAsia="zh-CN" w:bidi="ar-SA"/>
              </w:rPr>
            </w:pPr>
            <w:r>
              <w:rPr>
                <w:color w:val="auto"/>
              </w:rPr>
              <w:t>N1</w:t>
            </w:r>
          </w:p>
        </w:tc>
        <w:tc>
          <w:tcPr>
            <w:tcW w:w="3062" w:type="dxa"/>
            <w:vAlign w:val="center"/>
          </w:tcPr>
          <w:p w14:paraId="5AE7BAA6">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厂房东侧1米处</w:t>
            </w:r>
          </w:p>
        </w:tc>
        <w:tc>
          <w:tcPr>
            <w:tcW w:w="3062" w:type="dxa"/>
            <w:vAlign w:val="center"/>
          </w:tcPr>
          <w:p w14:paraId="679A9198">
            <w:pPr>
              <w:pStyle w:val="69"/>
              <w:ind w:firstLine="0" w:firstLineChars="0"/>
              <w:rPr>
                <w:rFonts w:ascii="Times New Roman" w:hAnsi="Times New Roman" w:eastAsia="宋体" w:cs="Times New Roman"/>
                <w:color w:val="auto"/>
                <w:kern w:val="2"/>
                <w:sz w:val="21"/>
                <w:szCs w:val="21"/>
                <w:lang w:val="en-US" w:eastAsia="zh-CN" w:bidi="ar-SA"/>
              </w:rPr>
            </w:pPr>
            <w:r>
              <w:rPr>
                <w:color w:val="auto"/>
              </w:rPr>
              <w:t>连续等效A声级Leq</w:t>
            </w:r>
          </w:p>
        </w:tc>
      </w:tr>
      <w:tr w14:paraId="503F0F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062" w:type="dxa"/>
            <w:vAlign w:val="center"/>
          </w:tcPr>
          <w:p w14:paraId="514C5A4A">
            <w:pPr>
              <w:pStyle w:val="69"/>
              <w:ind w:firstLine="0" w:firstLineChars="0"/>
              <w:rPr>
                <w:rFonts w:ascii="Times New Roman" w:hAnsi="Times New Roman" w:eastAsia="宋体" w:cs="Times New Roman"/>
                <w:color w:val="auto"/>
                <w:kern w:val="2"/>
                <w:sz w:val="21"/>
                <w:szCs w:val="21"/>
                <w:lang w:val="en-US" w:eastAsia="zh-CN" w:bidi="ar-SA"/>
              </w:rPr>
            </w:pPr>
            <w:r>
              <w:rPr>
                <w:color w:val="auto"/>
              </w:rPr>
              <w:t>N2</w:t>
            </w:r>
          </w:p>
        </w:tc>
        <w:tc>
          <w:tcPr>
            <w:tcW w:w="3062" w:type="dxa"/>
            <w:vAlign w:val="center"/>
          </w:tcPr>
          <w:p w14:paraId="0B6419B5">
            <w:pPr>
              <w:pStyle w:val="59"/>
              <w:ind w:firstLine="0" w:firstLineChars="0"/>
              <w:rPr>
                <w:rFonts w:ascii="Times New Roman" w:hAnsi="Times New Roman" w:eastAsia="宋体" w:cs="Times New Roman"/>
                <w:color w:val="auto"/>
                <w:kern w:val="0"/>
                <w:sz w:val="21"/>
                <w:szCs w:val="20"/>
                <w:lang w:val="en-US" w:eastAsia="zh-CN" w:bidi="ar-SA"/>
              </w:rPr>
            </w:pPr>
            <w:r>
              <w:rPr>
                <w:rFonts w:hint="eastAsia"/>
                <w:color w:val="auto"/>
              </w:rPr>
              <w:t>厂房南侧1米处</w:t>
            </w:r>
          </w:p>
        </w:tc>
        <w:tc>
          <w:tcPr>
            <w:tcW w:w="3062" w:type="dxa"/>
            <w:vAlign w:val="center"/>
          </w:tcPr>
          <w:p w14:paraId="616D2047">
            <w:pPr>
              <w:pStyle w:val="69"/>
              <w:ind w:firstLine="0" w:firstLineChars="0"/>
              <w:rPr>
                <w:rFonts w:ascii="Times New Roman" w:hAnsi="Times New Roman" w:eastAsia="宋体" w:cs="Times New Roman"/>
                <w:color w:val="auto"/>
                <w:kern w:val="2"/>
                <w:sz w:val="21"/>
                <w:szCs w:val="21"/>
                <w:lang w:val="en-US" w:eastAsia="zh-CN" w:bidi="ar-SA"/>
              </w:rPr>
            </w:pPr>
            <w:r>
              <w:rPr>
                <w:color w:val="auto"/>
              </w:rPr>
              <w:t>连续等效A声级Leq</w:t>
            </w:r>
          </w:p>
        </w:tc>
      </w:tr>
      <w:tr w14:paraId="7B19F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062" w:type="dxa"/>
            <w:vAlign w:val="center"/>
          </w:tcPr>
          <w:p w14:paraId="492B17B8">
            <w:pPr>
              <w:pStyle w:val="69"/>
              <w:ind w:firstLine="0" w:firstLineChars="0"/>
              <w:rPr>
                <w:rFonts w:ascii="Times New Roman" w:hAnsi="Times New Roman" w:eastAsia="宋体" w:cs="Times New Roman"/>
                <w:color w:val="auto"/>
                <w:kern w:val="2"/>
                <w:sz w:val="21"/>
                <w:szCs w:val="21"/>
                <w:lang w:val="en-US" w:eastAsia="zh-CN" w:bidi="ar-SA"/>
              </w:rPr>
            </w:pPr>
            <w:r>
              <w:rPr>
                <w:color w:val="auto"/>
              </w:rPr>
              <w:t>N3</w:t>
            </w:r>
          </w:p>
        </w:tc>
        <w:tc>
          <w:tcPr>
            <w:tcW w:w="3062" w:type="dxa"/>
            <w:vAlign w:val="center"/>
          </w:tcPr>
          <w:p w14:paraId="6B23F83C">
            <w:pPr>
              <w:pStyle w:val="59"/>
              <w:ind w:firstLine="0" w:firstLineChars="0"/>
              <w:rPr>
                <w:rFonts w:ascii="Times New Roman" w:hAnsi="Times New Roman" w:eastAsia="宋体" w:cs="Times New Roman"/>
                <w:color w:val="auto"/>
                <w:kern w:val="0"/>
                <w:sz w:val="21"/>
                <w:szCs w:val="20"/>
                <w:lang w:val="en-US" w:eastAsia="zh-CN" w:bidi="ar-SA"/>
              </w:rPr>
            </w:pPr>
            <w:r>
              <w:rPr>
                <w:rFonts w:hint="eastAsia"/>
                <w:color w:val="auto"/>
              </w:rPr>
              <w:t>厂房西侧1米处</w:t>
            </w:r>
          </w:p>
        </w:tc>
        <w:tc>
          <w:tcPr>
            <w:tcW w:w="3062" w:type="dxa"/>
            <w:vAlign w:val="center"/>
          </w:tcPr>
          <w:p w14:paraId="04E319CC">
            <w:pPr>
              <w:pStyle w:val="69"/>
              <w:ind w:firstLine="0" w:firstLineChars="0"/>
              <w:rPr>
                <w:rFonts w:ascii="Times New Roman" w:hAnsi="Times New Roman" w:eastAsia="宋体" w:cs="Times New Roman"/>
                <w:color w:val="auto"/>
                <w:kern w:val="2"/>
                <w:sz w:val="21"/>
                <w:szCs w:val="21"/>
                <w:lang w:val="en-US" w:eastAsia="zh-CN" w:bidi="ar-SA"/>
              </w:rPr>
            </w:pPr>
            <w:r>
              <w:rPr>
                <w:color w:val="auto"/>
              </w:rPr>
              <w:t>连续等效A声级Leq</w:t>
            </w:r>
          </w:p>
        </w:tc>
      </w:tr>
      <w:tr w14:paraId="4531F9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062" w:type="dxa"/>
            <w:vAlign w:val="center"/>
          </w:tcPr>
          <w:p w14:paraId="63130F35">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rPr>
              <w:t>N4</w:t>
            </w:r>
          </w:p>
        </w:tc>
        <w:tc>
          <w:tcPr>
            <w:tcW w:w="3062" w:type="dxa"/>
            <w:vAlign w:val="center"/>
          </w:tcPr>
          <w:p w14:paraId="77E343CA">
            <w:pPr>
              <w:pStyle w:val="59"/>
              <w:ind w:firstLine="0" w:firstLineChars="0"/>
              <w:rPr>
                <w:rFonts w:ascii="Times New Roman" w:hAnsi="Times New Roman" w:eastAsia="宋体" w:cs="Times New Roman"/>
                <w:color w:val="auto"/>
                <w:kern w:val="0"/>
                <w:sz w:val="21"/>
                <w:szCs w:val="20"/>
                <w:lang w:val="en-US" w:eastAsia="zh-CN" w:bidi="ar-SA"/>
              </w:rPr>
            </w:pPr>
            <w:r>
              <w:rPr>
                <w:rFonts w:hint="eastAsia"/>
                <w:color w:val="auto"/>
              </w:rPr>
              <w:t>厂房北侧1米处</w:t>
            </w:r>
          </w:p>
        </w:tc>
        <w:tc>
          <w:tcPr>
            <w:tcW w:w="3062" w:type="dxa"/>
            <w:vAlign w:val="center"/>
          </w:tcPr>
          <w:p w14:paraId="55392AB6">
            <w:pPr>
              <w:pStyle w:val="69"/>
              <w:ind w:firstLine="0" w:firstLineChars="0"/>
              <w:rPr>
                <w:rFonts w:ascii="Times New Roman" w:hAnsi="Times New Roman" w:eastAsia="宋体" w:cs="Times New Roman"/>
                <w:color w:val="auto"/>
                <w:kern w:val="2"/>
                <w:sz w:val="21"/>
                <w:szCs w:val="21"/>
                <w:lang w:val="en-US" w:eastAsia="zh-CN" w:bidi="ar-SA"/>
              </w:rPr>
            </w:pPr>
            <w:r>
              <w:rPr>
                <w:color w:val="auto"/>
              </w:rPr>
              <w:t>连续等效A声级Leq</w:t>
            </w:r>
          </w:p>
        </w:tc>
      </w:tr>
      <w:tr w14:paraId="5CF64C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062" w:type="dxa"/>
            <w:vAlign w:val="center"/>
          </w:tcPr>
          <w:p w14:paraId="7D8AE40E">
            <w:pPr>
              <w:pStyle w:val="69"/>
              <w:ind w:firstLine="0" w:firstLineChars="0"/>
              <w:rPr>
                <w:rFonts w:hint="default" w:eastAsia="宋体"/>
                <w:color w:val="auto"/>
                <w:lang w:val="en-US" w:eastAsia="zh-CN"/>
              </w:rPr>
            </w:pPr>
            <w:r>
              <w:rPr>
                <w:rFonts w:hint="eastAsia"/>
                <w:color w:val="auto"/>
                <w:lang w:val="en-US" w:eastAsia="zh-CN"/>
              </w:rPr>
              <w:t>N5</w:t>
            </w:r>
          </w:p>
        </w:tc>
        <w:tc>
          <w:tcPr>
            <w:tcW w:w="3062" w:type="dxa"/>
            <w:vAlign w:val="center"/>
          </w:tcPr>
          <w:p w14:paraId="0521B7BC">
            <w:pPr>
              <w:pStyle w:val="59"/>
              <w:ind w:firstLine="0" w:firstLineChars="0"/>
              <w:rPr>
                <w:rFonts w:hint="default" w:eastAsia="宋体"/>
                <w:color w:val="auto"/>
                <w:lang w:val="en-US" w:eastAsia="zh-CN"/>
              </w:rPr>
            </w:pPr>
            <w:r>
              <w:rPr>
                <w:rFonts w:hint="eastAsia"/>
                <w:color w:val="auto"/>
                <w:lang w:val="en-US" w:eastAsia="zh-CN"/>
              </w:rPr>
              <w:t>六联村一队89号</w:t>
            </w:r>
          </w:p>
        </w:tc>
        <w:tc>
          <w:tcPr>
            <w:tcW w:w="3062" w:type="dxa"/>
            <w:vAlign w:val="center"/>
          </w:tcPr>
          <w:p w14:paraId="7870E412">
            <w:pPr>
              <w:pStyle w:val="69"/>
              <w:ind w:firstLine="0" w:firstLineChars="0"/>
              <w:rPr>
                <w:color w:val="auto"/>
              </w:rPr>
            </w:pPr>
            <w:r>
              <w:rPr>
                <w:color w:val="auto"/>
              </w:rPr>
              <w:t>连续等效A声级Leq</w:t>
            </w:r>
          </w:p>
        </w:tc>
      </w:tr>
    </w:tbl>
    <w:p w14:paraId="75022DCE">
      <w:pPr>
        <w:bidi w:val="0"/>
        <w:rPr>
          <w:rFonts w:hint="eastAsia"/>
          <w:b/>
          <w:bCs/>
          <w:color w:val="auto"/>
          <w:lang w:eastAsia="zh-CN"/>
        </w:rPr>
      </w:pPr>
    </w:p>
    <w:p w14:paraId="49DB59AF">
      <w:pPr>
        <w:pStyle w:val="62"/>
        <w:bidi w:val="0"/>
        <w:rPr>
          <w:rFonts w:hint="eastAsia" w:eastAsia="宋体"/>
          <w:lang w:eastAsia="zh-CN"/>
        </w:rPr>
      </w:pPr>
      <w:r>
        <w:rPr>
          <w:rFonts w:hint="eastAsia" w:eastAsia="宋体"/>
          <w:lang w:eastAsia="zh-CN"/>
        </w:rPr>
        <w:drawing>
          <wp:anchor distT="0" distB="0" distL="114300" distR="114300" simplePos="0" relativeHeight="251715584" behindDoc="0" locked="0" layoutInCell="1" allowOverlap="1">
            <wp:simplePos x="0" y="0"/>
            <wp:positionH relativeFrom="column">
              <wp:posOffset>4866005</wp:posOffset>
            </wp:positionH>
            <wp:positionV relativeFrom="paragraph">
              <wp:posOffset>63500</wp:posOffset>
            </wp:positionV>
            <wp:extent cx="853440" cy="803275"/>
            <wp:effectExtent l="0" t="0" r="3810" b="6350"/>
            <wp:wrapNone/>
            <wp:docPr id="3" name="图片 3" descr="2024年鹤山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4年鹤山风玫瑰图"/>
                    <pic:cNvPicPr>
                      <a:picLocks noChangeAspect="1"/>
                    </pic:cNvPicPr>
                  </pic:nvPicPr>
                  <pic:blipFill>
                    <a:blip r:embed="rId24"/>
                    <a:stretch>
                      <a:fillRect/>
                    </a:stretch>
                  </pic:blipFill>
                  <pic:spPr>
                    <a:xfrm>
                      <a:off x="0" y="0"/>
                      <a:ext cx="853440" cy="803275"/>
                    </a:xfrm>
                    <a:prstGeom prst="rect">
                      <a:avLst/>
                    </a:prstGeom>
                  </pic:spPr>
                </pic:pic>
              </a:graphicData>
            </a:graphic>
          </wp:anchor>
        </w:drawing>
      </w:r>
      <w:r>
        <mc:AlternateContent>
          <mc:Choice Requires="wps">
            <w:drawing>
              <wp:anchor distT="0" distB="0" distL="114300" distR="114300" simplePos="0" relativeHeight="251719680" behindDoc="0" locked="0" layoutInCell="1" allowOverlap="1">
                <wp:simplePos x="0" y="0"/>
                <wp:positionH relativeFrom="column">
                  <wp:posOffset>4423410</wp:posOffset>
                </wp:positionH>
                <wp:positionV relativeFrom="paragraph">
                  <wp:posOffset>2926080</wp:posOffset>
                </wp:positionV>
                <wp:extent cx="375285" cy="76200"/>
                <wp:effectExtent l="9525" t="9525" r="15240" b="9525"/>
                <wp:wrapNone/>
                <wp:docPr id="13" name="任意多边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75285" cy="76200"/>
                        </a:xfrm>
                        <a:custGeom>
                          <a:avLst/>
                          <a:gdLst/>
                          <a:ahLst/>
                          <a:cxnLst/>
                          <a:pathLst>
                            <a:path w="3908" h="660">
                              <a:moveTo>
                                <a:pt x="0" y="0"/>
                              </a:moveTo>
                              <a:lnTo>
                                <a:pt x="3900" y="195"/>
                              </a:lnTo>
                              <a:lnTo>
                                <a:pt x="3908" y="435"/>
                              </a:lnTo>
                              <a:lnTo>
                                <a:pt x="3713" y="660"/>
                              </a:lnTo>
                              <a:lnTo>
                                <a:pt x="0" y="458"/>
                              </a:lnTo>
                              <a:lnTo>
                                <a:pt x="0" y="0"/>
                              </a:lnTo>
                              <a:close/>
                            </a:path>
                          </a:pathLst>
                        </a:custGeom>
                        <a:noFill/>
                        <a:ln w="1905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348.3pt;margin-top:230.4pt;height:6pt;width:29.55pt;z-index:251719680;mso-width-relative:page;mso-height-relative:page;" filled="f" stroked="t" coordsize="3908,660" o:gfxdata="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OYLJndsAAAALAQAADwAAAAAAAAABACAAAAAi&#10;AAAAZHJzL2Rvd25yZXYueG1sUEsBAhQAFAAAAAgAh07iQI5s8Tt5AgAAZAUAAA4AAAAAAAAAAQAg&#10;AAAAKgEAAGRycy9lMm9Eb2MueG1sUEsFBgAAAAAGAAYAWQEAABUGAAAAAA==&#10;" path="m0,0l3900,195,3908,435,3713,660,0,458,0,0xe">
                <v:fill on="f" focussize="0,0"/>
                <v:stroke weight="1.5pt" color="#FF0000" joinstyle="round"/>
                <v:imagedata o:title=""/>
                <o:lock v:ext="edit" aspectratio="t"/>
              </v:shape>
            </w:pict>
          </mc:Fallback>
        </mc:AlternateContent>
      </w:r>
      <w:r>
        <w:drawing>
          <wp:anchor distT="0" distB="0" distL="114300" distR="114300" simplePos="0" relativeHeight="251718656" behindDoc="0" locked="0" layoutInCell="1" allowOverlap="1">
            <wp:simplePos x="0" y="0"/>
            <wp:positionH relativeFrom="column">
              <wp:posOffset>4655820</wp:posOffset>
            </wp:positionH>
            <wp:positionV relativeFrom="paragraph">
              <wp:posOffset>3052445</wp:posOffset>
            </wp:positionV>
            <wp:extent cx="133985" cy="219075"/>
            <wp:effectExtent l="0" t="0" r="8890" b="0"/>
            <wp:wrapNone/>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pic:cNvPicPr>
                  </pic:nvPicPr>
                  <pic:blipFill>
                    <a:blip r:embed="rId65"/>
                    <a:stretch>
                      <a:fillRect/>
                    </a:stretch>
                  </pic:blipFill>
                  <pic:spPr>
                    <a:xfrm>
                      <a:off x="0" y="0"/>
                      <a:ext cx="133985" cy="219075"/>
                    </a:xfrm>
                    <a:prstGeom prst="rect">
                      <a:avLst/>
                    </a:prstGeom>
                    <a:noFill/>
                    <a:ln>
                      <a:noFill/>
                    </a:ln>
                  </pic:spPr>
                </pic:pic>
              </a:graphicData>
            </a:graphic>
          </wp:anchor>
        </w:drawing>
      </w:r>
      <w:r>
        <w:rPr>
          <w:sz w:val="24"/>
        </w:rPr>
        <mc:AlternateContent>
          <mc:Choice Requires="wps">
            <w:drawing>
              <wp:anchor distT="0" distB="0" distL="114300" distR="114300" simplePos="0" relativeHeight="251717632" behindDoc="0" locked="0" layoutInCell="1" allowOverlap="1">
                <wp:simplePos x="0" y="0"/>
                <wp:positionH relativeFrom="column">
                  <wp:posOffset>4775835</wp:posOffset>
                </wp:positionH>
                <wp:positionV relativeFrom="paragraph">
                  <wp:posOffset>2600325</wp:posOffset>
                </wp:positionV>
                <wp:extent cx="957580" cy="742950"/>
                <wp:effectExtent l="0" t="0" r="0" b="0"/>
                <wp:wrapNone/>
                <wp:docPr id="10" name="文本框 10"/>
                <wp:cNvGraphicFramePr/>
                <a:graphic xmlns:a="http://schemas.openxmlformats.org/drawingml/2006/main">
                  <a:graphicData uri="http://schemas.microsoft.com/office/word/2010/wordprocessingShape">
                    <wps:wsp>
                      <wps:cNvSpPr txBox="1"/>
                      <wps:spPr>
                        <a:xfrm>
                          <a:off x="4980305" y="4269740"/>
                          <a:ext cx="957580" cy="742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C8EA6">
                            <w:pPr>
                              <w:pStyle w:val="59"/>
                              <w:bidi w:val="0"/>
                              <w:jc w:val="left"/>
                              <w:rPr>
                                <w:rFonts w:hint="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图例</w:t>
                            </w:r>
                          </w:p>
                          <w:p w14:paraId="1965EFED">
                            <w:pPr>
                              <w:pStyle w:val="59"/>
                              <w:bidi w:val="0"/>
                              <w:jc w:val="left"/>
                              <w:rPr>
                                <w:rFonts w:hint="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：建设项目</w:t>
                            </w:r>
                          </w:p>
                          <w:p w14:paraId="23EA3A64">
                            <w:pPr>
                              <w:pStyle w:val="59"/>
                              <w:bidi w:val="0"/>
                              <w:jc w:val="left"/>
                              <w:rPr>
                                <w:rFonts w:hint="default"/>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：噪声监测点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6.05pt;margin-top:204.75pt;height:58.5pt;width:75.4pt;z-index:251717632;mso-width-relative:page;mso-height-relative:page;" filled="f" stroked="f" coordsize="21600,21600" o:gfxdata="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eNg3fcAAAACwEAAA8AAAAAAAAA&#10;AQAgAAAAIgAAAGRycy9kb3ducmV2LnhtbFBLAQIUABQAAAAIAIdO4kAxyQ4WRgIAAHMEAAAOAAAA&#10;AAAAAAEAIAAAACsBAABkcnMvZTJvRG9jLnhtbFBLBQYAAAAABgAGAFkBAADjBQAAAAA=&#10;">
                <v:fill on="f" focussize="0,0"/>
                <v:stroke on="f" weight="0.5pt"/>
                <v:imagedata o:title=""/>
                <o:lock v:ext="edit" aspectratio="f"/>
                <v:textbox>
                  <w:txbxContent>
                    <w:p w14:paraId="240C8EA6">
                      <w:pPr>
                        <w:pStyle w:val="59"/>
                        <w:bidi w:val="0"/>
                        <w:jc w:val="left"/>
                        <w:rPr>
                          <w:rFonts w:hint="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图例</w:t>
                      </w:r>
                    </w:p>
                    <w:p w14:paraId="1965EFED">
                      <w:pPr>
                        <w:pStyle w:val="59"/>
                        <w:bidi w:val="0"/>
                        <w:jc w:val="left"/>
                        <w:rPr>
                          <w:rFonts w:hint="eastAsia"/>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：建设项目</w:t>
                      </w:r>
                    </w:p>
                    <w:p w14:paraId="23EA3A64">
                      <w:pPr>
                        <w:pStyle w:val="59"/>
                        <w:bidi w:val="0"/>
                        <w:jc w:val="left"/>
                        <w:rPr>
                          <w:rFonts w:hint="default"/>
                          <w:color w:val="FFFFFF" w:themeColor="background1"/>
                          <w:lang w:val="en-US" w:eastAsia="zh-CN"/>
                          <w14:textFill>
                            <w14:solidFill>
                              <w14:schemeClr w14:val="bg1"/>
                            </w14:solidFill>
                          </w14:textFill>
                        </w:rPr>
                      </w:pPr>
                      <w:r>
                        <w:rPr>
                          <w:rFonts w:hint="eastAsia"/>
                          <w:color w:val="FFFFFF" w:themeColor="background1"/>
                          <w:lang w:val="en-US" w:eastAsia="zh-CN"/>
                          <w14:textFill>
                            <w14:solidFill>
                              <w14:schemeClr w14:val="bg1"/>
                            </w14:solidFill>
                          </w14:textFill>
                        </w:rPr>
                        <w:t>：噪声监测点</w:t>
                      </w: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1092200</wp:posOffset>
                </wp:positionH>
                <wp:positionV relativeFrom="paragraph">
                  <wp:posOffset>2592705</wp:posOffset>
                </wp:positionV>
                <wp:extent cx="1758315" cy="297180"/>
                <wp:effectExtent l="9525" t="9525" r="13335" b="17145"/>
                <wp:wrapNone/>
                <wp:docPr id="5" name="任意多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58315" cy="297180"/>
                        </a:xfrm>
                        <a:custGeom>
                          <a:avLst/>
                          <a:gdLst/>
                          <a:ahLst/>
                          <a:cxnLst/>
                          <a:pathLst>
                            <a:path w="3908" h="660">
                              <a:moveTo>
                                <a:pt x="0" y="0"/>
                              </a:moveTo>
                              <a:lnTo>
                                <a:pt x="3900" y="195"/>
                              </a:lnTo>
                              <a:lnTo>
                                <a:pt x="3908" y="435"/>
                              </a:lnTo>
                              <a:lnTo>
                                <a:pt x="3713" y="660"/>
                              </a:lnTo>
                              <a:lnTo>
                                <a:pt x="0" y="458"/>
                              </a:lnTo>
                              <a:lnTo>
                                <a:pt x="0" y="0"/>
                              </a:lnTo>
                              <a:close/>
                            </a:path>
                          </a:pathLst>
                        </a:custGeom>
                        <a:noFill/>
                        <a:ln w="19050" cap="flat" cmpd="sng">
                          <a:solidFill>
                            <a:srgbClr val="FF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86pt;margin-top:204.15pt;height:23.4pt;width:138.45pt;z-index:251716608;mso-width-relative:page;mso-height-relative:page;" filled="f" stroked="t" coordsize="3908,660" o:gfxdata="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TEmSy2wAAAAsBAAAPAAAAAAAAAAEAIAAAACIA&#10;AABkcnMvZG93bnJldi54bWxQSwECFAAUAAAACACHTuJAbhzLM3gCAABkBQAADgAAAAAAAAABACAA&#10;AAAqAQAAZHJzL2Uyb0RvYy54bWxQSwUGAAAAAAYABgBZAQAAFAYAAAAA&#10;" path="m0,0l3900,195,3908,435,3713,660,0,458,0,0xe">
                <v:fill on="f" focussize="0,0"/>
                <v:stroke weight="1.5pt" color="#FF0000" joinstyle="round"/>
                <v:imagedata o:title=""/>
                <o:lock v:ext="edit" aspectratio="t"/>
              </v:shape>
            </w:pict>
          </mc:Fallback>
        </mc:AlternateContent>
      </w:r>
      <w:r>
        <w:drawing>
          <wp:inline distT="0" distB="0" distL="114300" distR="114300">
            <wp:extent cx="5758180" cy="3642360"/>
            <wp:effectExtent l="0" t="0" r="4445" b="5715"/>
            <wp:docPr id="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pic:cNvPicPr>
                      <a:picLocks noChangeAspect="1"/>
                    </pic:cNvPicPr>
                  </pic:nvPicPr>
                  <pic:blipFill>
                    <a:blip r:embed="rId71"/>
                    <a:stretch>
                      <a:fillRect/>
                    </a:stretch>
                  </pic:blipFill>
                  <pic:spPr>
                    <a:xfrm>
                      <a:off x="0" y="0"/>
                      <a:ext cx="5758180" cy="3642360"/>
                    </a:xfrm>
                    <a:prstGeom prst="rect">
                      <a:avLst/>
                    </a:prstGeom>
                    <a:noFill/>
                    <a:ln>
                      <a:noFill/>
                    </a:ln>
                  </pic:spPr>
                </pic:pic>
              </a:graphicData>
            </a:graphic>
          </wp:inline>
        </w:drawing>
      </w:r>
    </w:p>
    <w:p w14:paraId="3791DEAD">
      <w:pPr>
        <w:pStyle w:val="62"/>
        <w:bidi w:val="0"/>
        <w:rPr>
          <w:rFonts w:hint="default"/>
          <w:lang w:val="en-US" w:eastAsia="zh-CN"/>
        </w:rPr>
      </w:pPr>
      <w:r>
        <w:rPr>
          <w:rFonts w:hint="eastAsia"/>
          <w:lang w:val="en-US" w:eastAsia="zh-CN"/>
        </w:rPr>
        <w:t>图3.4-1  声环境监测布点图</w:t>
      </w:r>
    </w:p>
    <w:p w14:paraId="263E69B5">
      <w:pPr>
        <w:bidi w:val="0"/>
        <w:rPr>
          <w:b/>
          <w:bCs/>
          <w:color w:val="auto"/>
        </w:rPr>
      </w:pPr>
      <w:r>
        <w:rPr>
          <w:rFonts w:hint="eastAsia"/>
          <w:b/>
          <w:bCs/>
          <w:color w:val="auto"/>
          <w:lang w:eastAsia="zh-CN"/>
        </w:rPr>
        <w:t>（</w:t>
      </w:r>
      <w:r>
        <w:rPr>
          <w:rFonts w:hint="eastAsia"/>
          <w:b/>
          <w:bCs/>
          <w:color w:val="auto"/>
          <w:lang w:val="en-US" w:eastAsia="zh-CN"/>
        </w:rPr>
        <w:t>2</w:t>
      </w:r>
      <w:r>
        <w:rPr>
          <w:rFonts w:hint="eastAsia"/>
          <w:b/>
          <w:bCs/>
          <w:color w:val="auto"/>
          <w:lang w:eastAsia="zh-CN"/>
        </w:rPr>
        <w:t>）</w:t>
      </w:r>
      <w:r>
        <w:rPr>
          <w:b/>
          <w:bCs/>
          <w:color w:val="auto"/>
        </w:rPr>
        <w:t>监测方法</w:t>
      </w:r>
    </w:p>
    <w:p w14:paraId="18AE0CE5">
      <w:pPr>
        <w:ind w:firstLine="480"/>
        <w:rPr>
          <w:color w:val="auto"/>
        </w:rPr>
      </w:pPr>
      <w:r>
        <w:rPr>
          <w:color w:val="auto"/>
          <w:szCs w:val="24"/>
        </w:rPr>
        <w:t>环境噪声监测分为声环境功能区监测和噪声敏感建筑物监测两种类型，分别采用《声环境质量标准》（GB3096-2008）中的附录B和附录C规定的监测方法。采用积分声级计，按《声环境质量标准》（GB3096-2008）的有关要求进行等效连续A声级的监测。选在无雨、风速小于5m/s的天气进行测量，户外测量时传声器设置户外1m处，高度为1.2m。</w:t>
      </w:r>
    </w:p>
    <w:p w14:paraId="442E9A6B">
      <w:pPr>
        <w:pStyle w:val="62"/>
        <w:ind w:firstLine="482" w:firstLineChars="200"/>
        <w:rPr>
          <w:color w:val="auto"/>
        </w:rPr>
      </w:pPr>
      <w:r>
        <w:rPr>
          <w:rFonts w:hint="eastAsia"/>
          <w:color w:val="auto"/>
          <w:lang w:eastAsia="zh-CN"/>
        </w:rPr>
        <w:t>表4</w:t>
      </w:r>
      <w:r>
        <w:rPr>
          <w:color w:val="auto"/>
        </w:rPr>
        <w:t>.</w:t>
      </w:r>
      <w:r>
        <w:rPr>
          <w:rFonts w:hint="eastAsia"/>
          <w:color w:val="auto"/>
        </w:rPr>
        <w:t>4-2</w:t>
      </w:r>
      <w:r>
        <w:rPr>
          <w:color w:val="auto"/>
        </w:rPr>
        <w:t xml:space="preserve">  监测项目及监测方法</w:t>
      </w:r>
    </w:p>
    <w:tbl>
      <w:tblPr>
        <w:tblStyle w:val="38"/>
        <w:tblW w:w="928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683"/>
        <w:gridCol w:w="2683"/>
        <w:gridCol w:w="2683"/>
      </w:tblGrid>
      <w:tr w14:paraId="12CB6F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9" w:type="dxa"/>
            <w:vAlign w:val="center"/>
          </w:tcPr>
          <w:p w14:paraId="786B2AC5">
            <w:pPr>
              <w:spacing w:line="240" w:lineRule="auto"/>
              <w:ind w:firstLine="0" w:firstLineChars="0"/>
              <w:jc w:val="center"/>
              <w:rPr>
                <w:b/>
                <w:bCs/>
                <w:color w:val="auto"/>
                <w:sz w:val="21"/>
              </w:rPr>
            </w:pPr>
            <w:r>
              <w:rPr>
                <w:b/>
                <w:bCs/>
                <w:color w:val="auto"/>
                <w:sz w:val="21"/>
              </w:rPr>
              <w:t>监测项目</w:t>
            </w:r>
          </w:p>
        </w:tc>
        <w:tc>
          <w:tcPr>
            <w:tcW w:w="2683" w:type="dxa"/>
            <w:vAlign w:val="center"/>
          </w:tcPr>
          <w:p w14:paraId="2F30D1C5">
            <w:pPr>
              <w:spacing w:line="240" w:lineRule="auto"/>
              <w:ind w:firstLine="0" w:firstLineChars="0"/>
              <w:jc w:val="center"/>
              <w:rPr>
                <w:b/>
                <w:bCs/>
                <w:color w:val="auto"/>
                <w:sz w:val="21"/>
              </w:rPr>
            </w:pPr>
            <w:bookmarkStart w:id="86" w:name="_Toc4547"/>
            <w:bookmarkStart w:id="87" w:name="_Toc13595"/>
            <w:bookmarkStart w:id="88" w:name="_Toc8425"/>
            <w:bookmarkStart w:id="89" w:name="_Toc5358"/>
            <w:bookmarkStart w:id="90" w:name="_Toc8069"/>
            <w:bookmarkStart w:id="91" w:name="_Toc12942"/>
            <w:bookmarkStart w:id="92" w:name="_Toc6749"/>
            <w:bookmarkStart w:id="93" w:name="_Toc24143"/>
            <w:bookmarkStart w:id="94" w:name="_Toc7265"/>
            <w:bookmarkStart w:id="95" w:name="_Toc2793"/>
            <w:r>
              <w:rPr>
                <w:b/>
                <w:bCs/>
                <w:color w:val="auto"/>
                <w:sz w:val="21"/>
              </w:rPr>
              <w:t>使用方法</w:t>
            </w:r>
            <w:bookmarkEnd w:id="86"/>
            <w:bookmarkEnd w:id="87"/>
            <w:bookmarkEnd w:id="88"/>
            <w:bookmarkEnd w:id="89"/>
            <w:bookmarkEnd w:id="90"/>
            <w:bookmarkEnd w:id="91"/>
            <w:bookmarkEnd w:id="92"/>
            <w:bookmarkEnd w:id="93"/>
            <w:bookmarkEnd w:id="94"/>
            <w:bookmarkEnd w:id="95"/>
          </w:p>
        </w:tc>
        <w:tc>
          <w:tcPr>
            <w:tcW w:w="2683" w:type="dxa"/>
            <w:vAlign w:val="center"/>
          </w:tcPr>
          <w:p w14:paraId="72130528">
            <w:pPr>
              <w:spacing w:line="240" w:lineRule="auto"/>
              <w:ind w:firstLine="0" w:firstLineChars="0"/>
              <w:jc w:val="center"/>
              <w:rPr>
                <w:b/>
                <w:bCs/>
                <w:color w:val="auto"/>
                <w:sz w:val="21"/>
              </w:rPr>
            </w:pPr>
            <w:bookmarkStart w:id="96" w:name="_Toc16746"/>
            <w:bookmarkStart w:id="97" w:name="_Toc23710"/>
            <w:bookmarkStart w:id="98" w:name="_Toc28909"/>
            <w:bookmarkStart w:id="99" w:name="_Toc14117"/>
            <w:bookmarkStart w:id="100" w:name="_Toc488"/>
            <w:bookmarkStart w:id="101" w:name="_Toc30825"/>
            <w:bookmarkStart w:id="102" w:name="_Toc20014"/>
            <w:bookmarkStart w:id="103" w:name="_Toc1248"/>
            <w:bookmarkStart w:id="104" w:name="_Toc1188"/>
            <w:bookmarkStart w:id="105" w:name="_Toc23237"/>
            <w:r>
              <w:rPr>
                <w:b/>
                <w:bCs/>
                <w:color w:val="auto"/>
                <w:sz w:val="21"/>
              </w:rPr>
              <w:t>使用仪器</w:t>
            </w:r>
            <w:bookmarkEnd w:id="96"/>
            <w:bookmarkEnd w:id="97"/>
            <w:bookmarkEnd w:id="98"/>
            <w:bookmarkEnd w:id="99"/>
            <w:bookmarkEnd w:id="100"/>
            <w:bookmarkEnd w:id="101"/>
            <w:bookmarkEnd w:id="102"/>
            <w:bookmarkEnd w:id="103"/>
            <w:bookmarkEnd w:id="104"/>
            <w:bookmarkEnd w:id="105"/>
          </w:p>
        </w:tc>
        <w:tc>
          <w:tcPr>
            <w:tcW w:w="2683" w:type="dxa"/>
            <w:vAlign w:val="center"/>
          </w:tcPr>
          <w:p w14:paraId="3359CE39">
            <w:pPr>
              <w:spacing w:line="240" w:lineRule="auto"/>
              <w:ind w:firstLine="0" w:firstLineChars="0"/>
              <w:jc w:val="center"/>
              <w:rPr>
                <w:b/>
                <w:bCs/>
                <w:color w:val="auto"/>
                <w:sz w:val="21"/>
              </w:rPr>
            </w:pPr>
            <w:r>
              <w:rPr>
                <w:b/>
                <w:bCs/>
                <w:color w:val="auto"/>
                <w:sz w:val="21"/>
              </w:rPr>
              <w:t>检测范围</w:t>
            </w:r>
          </w:p>
        </w:tc>
      </w:tr>
      <w:tr w14:paraId="166668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9" w:type="dxa"/>
            <w:vAlign w:val="center"/>
          </w:tcPr>
          <w:p w14:paraId="7DD520EF">
            <w:pPr>
              <w:spacing w:line="240" w:lineRule="auto"/>
              <w:ind w:firstLine="0" w:firstLineChars="0"/>
              <w:jc w:val="center"/>
              <w:rPr>
                <w:color w:val="auto"/>
                <w:sz w:val="21"/>
              </w:rPr>
            </w:pPr>
            <w:r>
              <w:rPr>
                <w:color w:val="auto"/>
                <w:sz w:val="21"/>
              </w:rPr>
              <w:t>噪声</w:t>
            </w:r>
          </w:p>
        </w:tc>
        <w:tc>
          <w:tcPr>
            <w:tcW w:w="2683" w:type="dxa"/>
            <w:vAlign w:val="center"/>
          </w:tcPr>
          <w:p w14:paraId="1FB38E3B">
            <w:pPr>
              <w:spacing w:line="240" w:lineRule="auto"/>
              <w:ind w:firstLine="0" w:firstLineChars="0"/>
              <w:jc w:val="center"/>
              <w:rPr>
                <w:color w:val="auto"/>
                <w:sz w:val="21"/>
              </w:rPr>
            </w:pPr>
            <w:r>
              <w:rPr>
                <w:color w:val="auto"/>
                <w:sz w:val="21"/>
              </w:rPr>
              <w:t>《声环境质量标准》</w:t>
            </w:r>
          </w:p>
          <w:p w14:paraId="7C42701E">
            <w:pPr>
              <w:spacing w:line="240" w:lineRule="auto"/>
              <w:ind w:firstLine="0" w:firstLineChars="0"/>
              <w:jc w:val="center"/>
              <w:rPr>
                <w:color w:val="auto"/>
                <w:sz w:val="21"/>
              </w:rPr>
            </w:pPr>
            <w:r>
              <w:rPr>
                <w:rFonts w:hint="eastAsia"/>
                <w:color w:val="auto"/>
                <w:sz w:val="21"/>
                <w:lang w:eastAsia="zh-CN"/>
              </w:rPr>
              <w:t>（</w:t>
            </w:r>
            <w:bookmarkStart w:id="106" w:name="_Toc10759"/>
            <w:bookmarkStart w:id="107" w:name="_Toc16793"/>
            <w:bookmarkStart w:id="108" w:name="_Toc1719"/>
            <w:bookmarkStart w:id="109" w:name="_Toc8225"/>
            <w:bookmarkStart w:id="110" w:name="_Toc6552"/>
            <w:bookmarkStart w:id="111" w:name="_Toc4889"/>
            <w:bookmarkStart w:id="112" w:name="_Toc23039"/>
            <w:bookmarkStart w:id="113" w:name="_Toc8727"/>
            <w:bookmarkStart w:id="114" w:name="_Toc14240"/>
            <w:bookmarkStart w:id="115" w:name="_Toc25267"/>
            <w:r>
              <w:rPr>
                <w:color w:val="auto"/>
                <w:sz w:val="21"/>
              </w:rPr>
              <w:t>GB 3096-2008</w:t>
            </w:r>
            <w:bookmarkEnd w:id="106"/>
            <w:bookmarkEnd w:id="107"/>
            <w:bookmarkEnd w:id="108"/>
            <w:bookmarkEnd w:id="109"/>
            <w:bookmarkEnd w:id="110"/>
            <w:bookmarkEnd w:id="111"/>
            <w:bookmarkEnd w:id="112"/>
            <w:bookmarkEnd w:id="113"/>
            <w:bookmarkEnd w:id="114"/>
            <w:bookmarkEnd w:id="115"/>
            <w:r>
              <w:rPr>
                <w:rFonts w:hint="eastAsia"/>
                <w:color w:val="auto"/>
                <w:sz w:val="21"/>
                <w:lang w:eastAsia="zh-CN"/>
              </w:rPr>
              <w:t>）</w:t>
            </w:r>
          </w:p>
        </w:tc>
        <w:tc>
          <w:tcPr>
            <w:tcW w:w="2683" w:type="dxa"/>
            <w:vAlign w:val="center"/>
          </w:tcPr>
          <w:p w14:paraId="4EEF8399">
            <w:pPr>
              <w:spacing w:line="240" w:lineRule="auto"/>
              <w:ind w:firstLine="0" w:firstLineChars="0"/>
              <w:jc w:val="center"/>
              <w:rPr>
                <w:color w:val="auto"/>
                <w:sz w:val="21"/>
              </w:rPr>
            </w:pPr>
            <w:bookmarkStart w:id="116" w:name="_Toc526"/>
            <w:bookmarkStart w:id="117" w:name="_Toc9908"/>
            <w:bookmarkStart w:id="118" w:name="_Toc1975"/>
            <w:bookmarkStart w:id="119" w:name="_Toc311"/>
            <w:bookmarkStart w:id="120" w:name="_Toc18290"/>
            <w:bookmarkStart w:id="121" w:name="_Toc2643"/>
            <w:bookmarkStart w:id="122" w:name="_Toc30002"/>
            <w:bookmarkStart w:id="123" w:name="_Toc10312"/>
            <w:bookmarkStart w:id="124" w:name="_Toc30623"/>
            <w:bookmarkStart w:id="125" w:name="_Toc6265"/>
            <w:r>
              <w:rPr>
                <w:color w:val="auto"/>
                <w:sz w:val="21"/>
              </w:rPr>
              <w:t>多功能声级计</w:t>
            </w:r>
            <w:bookmarkEnd w:id="116"/>
            <w:bookmarkEnd w:id="117"/>
            <w:bookmarkEnd w:id="118"/>
            <w:bookmarkEnd w:id="119"/>
            <w:bookmarkEnd w:id="120"/>
            <w:bookmarkEnd w:id="121"/>
            <w:bookmarkEnd w:id="122"/>
            <w:bookmarkEnd w:id="123"/>
            <w:bookmarkEnd w:id="124"/>
            <w:bookmarkEnd w:id="125"/>
            <w:bookmarkStart w:id="126" w:name="_Toc11401"/>
            <w:bookmarkStart w:id="127" w:name="_Toc23298"/>
            <w:bookmarkStart w:id="128" w:name="_Toc3070"/>
            <w:bookmarkStart w:id="129" w:name="_Toc20182"/>
            <w:bookmarkStart w:id="130" w:name="_Toc29409"/>
            <w:bookmarkStart w:id="131" w:name="_Toc1037"/>
            <w:bookmarkStart w:id="132" w:name="_Toc5975"/>
            <w:bookmarkStart w:id="133" w:name="_Toc2996"/>
            <w:bookmarkStart w:id="134" w:name="_Toc17697"/>
            <w:bookmarkStart w:id="135" w:name="_Toc24581"/>
          </w:p>
          <w:p w14:paraId="3607C14C">
            <w:pPr>
              <w:spacing w:line="240" w:lineRule="auto"/>
              <w:ind w:firstLine="0" w:firstLineChars="0"/>
              <w:jc w:val="center"/>
              <w:rPr>
                <w:color w:val="auto"/>
                <w:sz w:val="21"/>
              </w:rPr>
            </w:pPr>
            <w:r>
              <w:rPr>
                <w:color w:val="auto"/>
                <w:sz w:val="21"/>
              </w:rPr>
              <w:t>AWA5688型</w:t>
            </w:r>
            <w:bookmarkEnd w:id="126"/>
            <w:bookmarkEnd w:id="127"/>
            <w:bookmarkEnd w:id="128"/>
            <w:bookmarkEnd w:id="129"/>
            <w:bookmarkEnd w:id="130"/>
            <w:bookmarkEnd w:id="131"/>
            <w:bookmarkEnd w:id="132"/>
            <w:bookmarkEnd w:id="133"/>
            <w:bookmarkEnd w:id="134"/>
            <w:bookmarkEnd w:id="135"/>
          </w:p>
        </w:tc>
        <w:tc>
          <w:tcPr>
            <w:tcW w:w="2683" w:type="dxa"/>
            <w:vAlign w:val="center"/>
          </w:tcPr>
          <w:p w14:paraId="5A11E3B6">
            <w:pPr>
              <w:spacing w:line="240" w:lineRule="auto"/>
              <w:ind w:firstLine="0" w:firstLineChars="0"/>
              <w:jc w:val="center"/>
              <w:rPr>
                <w:color w:val="auto"/>
                <w:sz w:val="21"/>
              </w:rPr>
            </w:pPr>
            <w:r>
              <w:rPr>
                <w:color w:val="auto"/>
                <w:sz w:val="21"/>
              </w:rPr>
              <w:t>检测范围：</w:t>
            </w:r>
          </w:p>
          <w:p w14:paraId="66E42CE0">
            <w:pPr>
              <w:spacing w:line="240" w:lineRule="auto"/>
              <w:ind w:firstLine="0" w:firstLineChars="0"/>
              <w:jc w:val="center"/>
              <w:rPr>
                <w:color w:val="auto"/>
                <w:sz w:val="21"/>
              </w:rPr>
            </w:pPr>
            <w:r>
              <w:rPr>
                <w:color w:val="auto"/>
                <w:sz w:val="21"/>
              </w:rPr>
              <w:t>2</w:t>
            </w:r>
            <w:r>
              <w:rPr>
                <w:rFonts w:hint="eastAsia"/>
                <w:color w:val="auto"/>
                <w:sz w:val="21"/>
              </w:rPr>
              <w:t>8</w:t>
            </w:r>
            <w:r>
              <w:rPr>
                <w:color w:val="auto"/>
                <w:sz w:val="21"/>
              </w:rPr>
              <w:t>~13</w:t>
            </w:r>
            <w:r>
              <w:rPr>
                <w:rFonts w:hint="eastAsia"/>
                <w:color w:val="auto"/>
                <w:sz w:val="21"/>
              </w:rPr>
              <w:t>3</w:t>
            </w:r>
            <w:r>
              <w:rPr>
                <w:color w:val="auto"/>
                <w:sz w:val="21"/>
              </w:rPr>
              <w:t>dB</w:t>
            </w:r>
          </w:p>
        </w:tc>
      </w:tr>
    </w:tbl>
    <w:p w14:paraId="182390D2">
      <w:pPr>
        <w:ind w:firstLine="480"/>
        <w:rPr>
          <w:color w:val="auto"/>
        </w:rPr>
      </w:pPr>
      <w:r>
        <w:rPr>
          <w:color w:val="auto"/>
        </w:rPr>
        <w:t>（3）监测</w:t>
      </w:r>
      <w:r>
        <w:rPr>
          <w:rFonts w:hint="eastAsia"/>
          <w:color w:val="auto"/>
        </w:rPr>
        <w:t>单位</w:t>
      </w:r>
      <w:r>
        <w:rPr>
          <w:color w:val="auto"/>
        </w:rPr>
        <w:t>：</w:t>
      </w:r>
      <w:r>
        <w:rPr>
          <w:rFonts w:hint="eastAsia"/>
          <w:color w:val="auto"/>
          <w:lang w:val="en-US" w:eastAsia="zh-CN"/>
        </w:rPr>
        <w:t>广东中诺检测技术有限公司</w:t>
      </w:r>
      <w:r>
        <w:rPr>
          <w:color w:val="auto"/>
        </w:rPr>
        <w:t>。</w:t>
      </w:r>
    </w:p>
    <w:p w14:paraId="36FE5170">
      <w:pPr>
        <w:ind w:firstLine="480"/>
        <w:rPr>
          <w:color w:val="auto"/>
        </w:rPr>
      </w:pPr>
      <w:r>
        <w:rPr>
          <w:color w:val="auto"/>
        </w:rPr>
        <w:t>（4）监测时间和频率：于</w:t>
      </w:r>
      <w:r>
        <w:rPr>
          <w:rFonts w:hint="eastAsia"/>
          <w:color w:val="auto"/>
          <w:lang w:val="en-US" w:eastAsia="zh-CN"/>
        </w:rPr>
        <w:t>2026年1月22日~23日</w:t>
      </w:r>
      <w:r>
        <w:rPr>
          <w:color w:val="auto"/>
        </w:rPr>
        <w:t>连续监测2天，每次连续监测20分钟，监测时段分昼夜两个时段进行，昼间时段安排在6:00-22:00时进行，夜间时段安排在22:00-06:00时进行。</w:t>
      </w:r>
    </w:p>
    <w:p w14:paraId="06D461B2">
      <w:pPr>
        <w:pStyle w:val="64"/>
        <w:numPr>
          <w:ilvl w:val="2"/>
          <w:numId w:val="8"/>
        </w:numPr>
        <w:spacing w:before="166" w:after="166"/>
        <w:ind w:left="709" w:leftChars="0" w:hanging="709" w:firstLineChars="0"/>
        <w:rPr>
          <w:rFonts w:ascii="Times New Roman" w:hAnsi="Times New Roman" w:eastAsia="宋体" w:cs="Times New Roman"/>
          <w:color w:val="auto"/>
        </w:rPr>
      </w:pPr>
      <w:r>
        <w:rPr>
          <w:rFonts w:ascii="Times New Roman" w:hAnsi="Times New Roman" w:eastAsia="宋体" w:cs="Times New Roman"/>
          <w:color w:val="auto"/>
        </w:rPr>
        <w:t>监测结果与评价</w:t>
      </w:r>
    </w:p>
    <w:p w14:paraId="42D168B2">
      <w:pPr>
        <w:bidi w:val="0"/>
        <w:rPr>
          <w:color w:val="auto"/>
        </w:rPr>
      </w:pPr>
      <w:r>
        <w:rPr>
          <w:rFonts w:hint="eastAsia"/>
          <w:color w:val="auto"/>
        </w:rPr>
        <w:t>根据</w:t>
      </w:r>
      <w:r>
        <w:rPr>
          <w:rFonts w:hint="eastAsia"/>
          <w:color w:val="auto"/>
          <w:lang w:val="en-US" w:eastAsia="zh-CN"/>
        </w:rPr>
        <w:t>广东中诺检测技术有限公司</w:t>
      </w:r>
      <w:r>
        <w:rPr>
          <w:rFonts w:hint="eastAsia"/>
          <w:color w:val="auto"/>
        </w:rPr>
        <w:t>出具的《</w:t>
      </w:r>
      <w:r>
        <w:rPr>
          <w:rFonts w:hint="eastAsia"/>
          <w:color w:val="auto"/>
          <w:lang w:eastAsia="zh-CN"/>
        </w:rPr>
        <w:t>鹤山市衍鹏印刷有限公司</w:t>
      </w:r>
      <w:r>
        <w:rPr>
          <w:rFonts w:hint="eastAsia"/>
          <w:color w:val="auto"/>
          <w:lang w:val="en-US" w:eastAsia="zh-CN"/>
        </w:rPr>
        <w:t>环境现状监测</w:t>
      </w:r>
      <w:r>
        <w:rPr>
          <w:rFonts w:hint="eastAsia"/>
          <w:color w:val="auto"/>
        </w:rPr>
        <w:t>报告》（报告编号：</w:t>
      </w:r>
      <w:r>
        <w:rPr>
          <w:rFonts w:hint="eastAsia"/>
          <w:color w:val="auto"/>
          <w:lang w:eastAsia="zh-CN"/>
        </w:rPr>
        <w:t>CNT202</w:t>
      </w:r>
      <w:r>
        <w:rPr>
          <w:rFonts w:hint="eastAsia"/>
          <w:color w:val="auto"/>
          <w:lang w:val="en-US" w:eastAsia="zh-CN"/>
        </w:rPr>
        <w:t>6</w:t>
      </w:r>
      <w:r>
        <w:rPr>
          <w:rFonts w:hint="eastAsia"/>
          <w:color w:val="auto"/>
          <w:lang w:eastAsia="zh-CN"/>
        </w:rPr>
        <w:t>03286-1</w:t>
      </w:r>
      <w:r>
        <w:rPr>
          <w:rFonts w:hint="eastAsia"/>
          <w:color w:val="auto"/>
        </w:rPr>
        <w:t>），</w:t>
      </w:r>
      <w:r>
        <w:rPr>
          <w:color w:val="auto"/>
        </w:rPr>
        <w:t>声环境质量现状监测结果见</w:t>
      </w:r>
      <w:r>
        <w:rPr>
          <w:rFonts w:hint="eastAsia"/>
          <w:color w:val="auto"/>
        </w:rPr>
        <w:t>下表：</w:t>
      </w:r>
    </w:p>
    <w:p w14:paraId="0CD4D799">
      <w:pPr>
        <w:pStyle w:val="62"/>
        <w:bidi w:val="0"/>
        <w:rPr>
          <w:color w:val="auto"/>
        </w:rPr>
      </w:pPr>
      <w:r>
        <w:rPr>
          <w:rFonts w:hint="eastAsia"/>
          <w:color w:val="auto"/>
          <w:lang w:eastAsia="zh-CN"/>
        </w:rPr>
        <w:t>表4</w:t>
      </w:r>
      <w:r>
        <w:rPr>
          <w:color w:val="auto"/>
        </w:rPr>
        <w:t>.</w:t>
      </w:r>
      <w:r>
        <w:rPr>
          <w:rFonts w:hint="eastAsia"/>
          <w:color w:val="auto"/>
        </w:rPr>
        <w:t>4-3</w:t>
      </w:r>
      <w:r>
        <w:rPr>
          <w:color w:val="auto"/>
        </w:rPr>
        <w:t xml:space="preserve">  声环境质量现状监测统计结果  单位：dB(A)</w:t>
      </w:r>
    </w:p>
    <w:tbl>
      <w:tblPr>
        <w:tblStyle w:val="3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1"/>
        <w:gridCol w:w="1500"/>
        <w:gridCol w:w="1502"/>
        <w:gridCol w:w="1502"/>
        <w:gridCol w:w="1506"/>
      </w:tblGrid>
      <w:tr w14:paraId="123E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762" w:type="pct"/>
            <w:vMerge w:val="restart"/>
            <w:tcBorders>
              <w:top w:val="single" w:color="auto" w:sz="12" w:space="0"/>
              <w:left w:val="nil"/>
              <w:bottom w:val="single" w:color="auto" w:sz="4" w:space="0"/>
              <w:right w:val="single" w:color="auto" w:sz="4" w:space="0"/>
            </w:tcBorders>
            <w:noWrap w:val="0"/>
            <w:vAlign w:val="center"/>
          </w:tcPr>
          <w:p w14:paraId="117193BA">
            <w:pPr>
              <w:pStyle w:val="59"/>
              <w:bidi w:val="0"/>
              <w:rPr>
                <w:rFonts w:hint="default"/>
                <w:color w:val="auto"/>
              </w:rPr>
            </w:pPr>
            <w:r>
              <w:rPr>
                <w:rFonts w:hint="default"/>
                <w:color w:val="auto"/>
              </w:rPr>
              <w:t>检测点位及编号</w:t>
            </w:r>
          </w:p>
        </w:tc>
        <w:tc>
          <w:tcPr>
            <w:tcW w:w="3237" w:type="pct"/>
            <w:gridSpan w:val="4"/>
            <w:tcBorders>
              <w:top w:val="single" w:color="auto" w:sz="12" w:space="0"/>
              <w:left w:val="single" w:color="auto" w:sz="4" w:space="0"/>
              <w:bottom w:val="single" w:color="auto" w:sz="4" w:space="0"/>
              <w:right w:val="nil"/>
            </w:tcBorders>
            <w:noWrap w:val="0"/>
            <w:vAlign w:val="center"/>
          </w:tcPr>
          <w:p w14:paraId="40961DC8">
            <w:pPr>
              <w:pStyle w:val="59"/>
              <w:bidi w:val="0"/>
              <w:rPr>
                <w:rFonts w:hint="default"/>
                <w:color w:val="auto"/>
              </w:rPr>
            </w:pPr>
            <w:r>
              <w:rPr>
                <w:rFonts w:hint="default"/>
                <w:color w:val="auto"/>
              </w:rPr>
              <w:t xml:space="preserve">噪声级Leq dB(A)       </w:t>
            </w:r>
          </w:p>
        </w:tc>
      </w:tr>
      <w:tr w14:paraId="37DF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762" w:type="pct"/>
            <w:vMerge w:val="continue"/>
            <w:tcBorders>
              <w:top w:val="single" w:color="auto" w:sz="4" w:space="0"/>
              <w:left w:val="nil"/>
              <w:bottom w:val="single" w:color="auto" w:sz="4" w:space="0"/>
              <w:right w:val="single" w:color="auto" w:sz="4" w:space="0"/>
            </w:tcBorders>
            <w:noWrap w:val="0"/>
            <w:vAlign w:val="center"/>
          </w:tcPr>
          <w:p w14:paraId="2BD5333D">
            <w:pPr>
              <w:pStyle w:val="59"/>
              <w:bidi w:val="0"/>
              <w:rPr>
                <w:rFonts w:hint="default"/>
                <w:color w:val="auto"/>
              </w:rPr>
            </w:pPr>
          </w:p>
        </w:tc>
        <w:tc>
          <w:tcPr>
            <w:tcW w:w="1617" w:type="pct"/>
            <w:gridSpan w:val="2"/>
            <w:tcBorders>
              <w:top w:val="single" w:color="auto" w:sz="4" w:space="0"/>
              <w:left w:val="single" w:color="auto" w:sz="4" w:space="0"/>
              <w:bottom w:val="single" w:color="auto" w:sz="4" w:space="0"/>
              <w:right w:val="single" w:color="auto" w:sz="4" w:space="0"/>
            </w:tcBorders>
            <w:noWrap w:val="0"/>
            <w:vAlign w:val="center"/>
          </w:tcPr>
          <w:p w14:paraId="30028A59">
            <w:pPr>
              <w:pStyle w:val="59"/>
              <w:bidi w:val="0"/>
              <w:rPr>
                <w:rFonts w:hint="default"/>
                <w:color w:val="auto"/>
              </w:rPr>
            </w:pPr>
            <w:r>
              <w:rPr>
                <w:rFonts w:hint="eastAsia"/>
                <w:color w:val="auto"/>
                <w:lang w:val="en-US" w:eastAsia="zh-CN"/>
              </w:rPr>
              <w:t>2026年1月22日</w:t>
            </w:r>
          </w:p>
        </w:tc>
        <w:tc>
          <w:tcPr>
            <w:tcW w:w="1620" w:type="pct"/>
            <w:gridSpan w:val="2"/>
            <w:tcBorders>
              <w:top w:val="single" w:color="auto" w:sz="4" w:space="0"/>
              <w:left w:val="single" w:color="auto" w:sz="4" w:space="0"/>
              <w:bottom w:val="single" w:color="auto" w:sz="4" w:space="0"/>
              <w:right w:val="nil"/>
            </w:tcBorders>
            <w:noWrap w:val="0"/>
            <w:vAlign w:val="center"/>
          </w:tcPr>
          <w:p w14:paraId="52885591">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2026年1月23日</w:t>
            </w:r>
          </w:p>
        </w:tc>
      </w:tr>
      <w:tr w14:paraId="2876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762" w:type="pct"/>
            <w:vMerge w:val="continue"/>
            <w:tcBorders>
              <w:top w:val="single" w:color="auto" w:sz="4" w:space="0"/>
              <w:left w:val="nil"/>
              <w:bottom w:val="single" w:color="auto" w:sz="4" w:space="0"/>
              <w:right w:val="single" w:color="auto" w:sz="4" w:space="0"/>
            </w:tcBorders>
            <w:noWrap w:val="0"/>
            <w:vAlign w:val="center"/>
          </w:tcPr>
          <w:p w14:paraId="2D39E98C">
            <w:pPr>
              <w:pStyle w:val="59"/>
              <w:bidi w:val="0"/>
              <w:rPr>
                <w:rFonts w:hint="default"/>
                <w:color w:val="auto"/>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4044F599">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default"/>
                <w:color w:val="auto"/>
              </w:rPr>
              <w:t>昼间</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77CD7693">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default"/>
                <w:color w:val="auto"/>
              </w:rPr>
              <w:t>夜间</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3F3ED4B5">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default"/>
                <w:color w:val="auto"/>
              </w:rPr>
              <w:t>昼间</w:t>
            </w:r>
          </w:p>
        </w:tc>
        <w:tc>
          <w:tcPr>
            <w:tcW w:w="811" w:type="pct"/>
            <w:tcBorders>
              <w:top w:val="single" w:color="auto" w:sz="4" w:space="0"/>
              <w:left w:val="single" w:color="auto" w:sz="4" w:space="0"/>
              <w:bottom w:val="single" w:color="auto" w:sz="4" w:space="0"/>
              <w:right w:val="nil"/>
            </w:tcBorders>
            <w:noWrap w:val="0"/>
            <w:vAlign w:val="center"/>
          </w:tcPr>
          <w:p w14:paraId="6C5CDC8F">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default"/>
                <w:color w:val="auto"/>
              </w:rPr>
              <w:t>夜间</w:t>
            </w:r>
          </w:p>
        </w:tc>
      </w:tr>
      <w:tr w14:paraId="0968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2" w:type="pct"/>
            <w:tcBorders>
              <w:top w:val="single" w:color="auto" w:sz="4" w:space="0"/>
              <w:left w:val="nil"/>
              <w:bottom w:val="single" w:color="auto" w:sz="4" w:space="0"/>
              <w:right w:val="single" w:color="auto" w:sz="4" w:space="0"/>
            </w:tcBorders>
            <w:shd w:val="clear" w:color="auto" w:fill="auto"/>
            <w:noWrap w:val="0"/>
            <w:vAlign w:val="center"/>
          </w:tcPr>
          <w:p w14:paraId="5A0DAE10">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rPr>
              <w:t>厂房东侧1米处</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3363962E">
            <w:pPr>
              <w:pStyle w:val="59"/>
              <w:bidi w:val="0"/>
              <w:rPr>
                <w:rFonts w:hint="default"/>
                <w:color w:val="auto"/>
                <w:lang w:val="en-US" w:eastAsia="zh-CN"/>
              </w:rPr>
            </w:pPr>
            <w:r>
              <w:rPr>
                <w:rFonts w:hint="eastAsia"/>
                <w:color w:val="auto"/>
                <w:lang w:val="en-US" w:eastAsia="zh-CN"/>
              </w:rPr>
              <w:t>63.2</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6C22BFAD">
            <w:pPr>
              <w:pStyle w:val="59"/>
              <w:bidi w:val="0"/>
              <w:rPr>
                <w:rFonts w:hint="default"/>
                <w:color w:val="auto"/>
              </w:rPr>
            </w:pPr>
            <w:r>
              <w:rPr>
                <w:rFonts w:hint="eastAsia"/>
                <w:color w:val="auto"/>
                <w:lang w:val="en-US" w:eastAsia="zh-CN"/>
              </w:rPr>
              <w:t>42.8</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649BE377">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62.1</w:t>
            </w:r>
          </w:p>
        </w:tc>
        <w:tc>
          <w:tcPr>
            <w:tcW w:w="811" w:type="pct"/>
            <w:tcBorders>
              <w:top w:val="single" w:color="auto" w:sz="4" w:space="0"/>
              <w:left w:val="single" w:color="auto" w:sz="4" w:space="0"/>
              <w:bottom w:val="single" w:color="auto" w:sz="4" w:space="0"/>
              <w:right w:val="nil"/>
            </w:tcBorders>
            <w:noWrap w:val="0"/>
            <w:vAlign w:val="center"/>
          </w:tcPr>
          <w:p w14:paraId="1C18CB20">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43.6</w:t>
            </w:r>
          </w:p>
        </w:tc>
      </w:tr>
      <w:tr w14:paraId="0C50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2" w:type="pct"/>
            <w:tcBorders>
              <w:top w:val="single" w:color="auto" w:sz="4" w:space="0"/>
              <w:left w:val="nil"/>
              <w:bottom w:val="single" w:color="auto" w:sz="4" w:space="0"/>
              <w:right w:val="single" w:color="auto" w:sz="4" w:space="0"/>
            </w:tcBorders>
            <w:shd w:val="clear" w:color="auto" w:fill="auto"/>
            <w:noWrap w:val="0"/>
            <w:vAlign w:val="center"/>
          </w:tcPr>
          <w:p w14:paraId="3E45432E">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rPr>
              <w:t>厂房南侧1米处</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26B53DE3">
            <w:pPr>
              <w:pStyle w:val="59"/>
              <w:bidi w:val="0"/>
              <w:rPr>
                <w:rFonts w:hint="default"/>
                <w:color w:val="auto"/>
                <w:lang w:val="en-US" w:eastAsia="zh-CN"/>
              </w:rPr>
            </w:pPr>
            <w:r>
              <w:rPr>
                <w:rFonts w:hint="eastAsia"/>
                <w:color w:val="auto"/>
                <w:lang w:val="en-US" w:eastAsia="zh-CN"/>
              </w:rPr>
              <w:t>55.5</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48DC268A">
            <w:pPr>
              <w:pStyle w:val="59"/>
              <w:bidi w:val="0"/>
              <w:rPr>
                <w:rFonts w:hint="default"/>
                <w:color w:val="auto"/>
              </w:rPr>
            </w:pPr>
            <w:r>
              <w:rPr>
                <w:rFonts w:hint="eastAsia"/>
                <w:color w:val="auto"/>
                <w:lang w:val="en-US" w:eastAsia="zh-CN"/>
              </w:rPr>
              <w:t>42.7</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0A5C8099">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56.2</w:t>
            </w:r>
          </w:p>
        </w:tc>
        <w:tc>
          <w:tcPr>
            <w:tcW w:w="811" w:type="pct"/>
            <w:tcBorders>
              <w:top w:val="single" w:color="auto" w:sz="4" w:space="0"/>
              <w:left w:val="single" w:color="auto" w:sz="4" w:space="0"/>
              <w:bottom w:val="single" w:color="auto" w:sz="4" w:space="0"/>
              <w:right w:val="nil"/>
            </w:tcBorders>
            <w:noWrap w:val="0"/>
            <w:vAlign w:val="center"/>
          </w:tcPr>
          <w:p w14:paraId="53B753D7">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42.8</w:t>
            </w:r>
          </w:p>
        </w:tc>
      </w:tr>
      <w:tr w14:paraId="7338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2" w:type="pct"/>
            <w:tcBorders>
              <w:top w:val="single" w:color="auto" w:sz="4" w:space="0"/>
              <w:left w:val="nil"/>
              <w:bottom w:val="single" w:color="auto" w:sz="4" w:space="0"/>
              <w:right w:val="single" w:color="auto" w:sz="4" w:space="0"/>
            </w:tcBorders>
            <w:shd w:val="clear" w:color="auto" w:fill="auto"/>
            <w:noWrap w:val="0"/>
            <w:vAlign w:val="center"/>
          </w:tcPr>
          <w:p w14:paraId="6EAFCE5A">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rPr>
              <w:t>厂房西侧1米处</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082471D2">
            <w:pPr>
              <w:pStyle w:val="59"/>
              <w:bidi w:val="0"/>
              <w:rPr>
                <w:rFonts w:hint="default"/>
                <w:color w:val="auto"/>
                <w:lang w:val="en-US" w:eastAsia="zh-CN"/>
              </w:rPr>
            </w:pPr>
            <w:r>
              <w:rPr>
                <w:rFonts w:hint="eastAsia"/>
                <w:color w:val="auto"/>
                <w:lang w:val="en-US" w:eastAsia="zh-CN"/>
              </w:rPr>
              <w:t>56.9</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5D390661">
            <w:pPr>
              <w:pStyle w:val="59"/>
              <w:bidi w:val="0"/>
              <w:rPr>
                <w:rFonts w:hint="default"/>
                <w:color w:val="auto"/>
              </w:rPr>
            </w:pPr>
            <w:r>
              <w:rPr>
                <w:rFonts w:hint="eastAsia"/>
                <w:color w:val="auto"/>
                <w:lang w:val="en-US" w:eastAsia="zh-CN"/>
              </w:rPr>
              <w:t>41.5</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31054D5C">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56.6</w:t>
            </w:r>
          </w:p>
        </w:tc>
        <w:tc>
          <w:tcPr>
            <w:tcW w:w="811" w:type="pct"/>
            <w:tcBorders>
              <w:top w:val="single" w:color="auto" w:sz="4" w:space="0"/>
              <w:left w:val="single" w:color="auto" w:sz="4" w:space="0"/>
              <w:bottom w:val="single" w:color="auto" w:sz="4" w:space="0"/>
              <w:right w:val="nil"/>
            </w:tcBorders>
            <w:noWrap w:val="0"/>
            <w:vAlign w:val="center"/>
          </w:tcPr>
          <w:p w14:paraId="37C9BE7E">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42.5</w:t>
            </w:r>
          </w:p>
        </w:tc>
      </w:tr>
      <w:tr w14:paraId="085A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2" w:type="pct"/>
            <w:tcBorders>
              <w:top w:val="single" w:color="auto" w:sz="4" w:space="0"/>
              <w:left w:val="nil"/>
              <w:bottom w:val="single" w:color="auto" w:sz="4" w:space="0"/>
              <w:right w:val="single" w:color="auto" w:sz="4" w:space="0"/>
            </w:tcBorders>
            <w:shd w:val="clear" w:color="auto" w:fill="auto"/>
            <w:noWrap w:val="0"/>
            <w:vAlign w:val="center"/>
          </w:tcPr>
          <w:p w14:paraId="00C7C074">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rPr>
              <w:t>厂房北侧1米处</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6C7038B8">
            <w:pPr>
              <w:pStyle w:val="59"/>
              <w:bidi w:val="0"/>
              <w:rPr>
                <w:rFonts w:hint="default"/>
                <w:color w:val="auto"/>
                <w:lang w:val="en-US" w:eastAsia="zh-CN"/>
              </w:rPr>
            </w:pPr>
            <w:r>
              <w:rPr>
                <w:rFonts w:hint="eastAsia"/>
                <w:color w:val="auto"/>
                <w:lang w:val="en-US" w:eastAsia="zh-CN"/>
              </w:rPr>
              <w:t>57.4</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53EF458E">
            <w:pPr>
              <w:pStyle w:val="59"/>
              <w:bidi w:val="0"/>
              <w:rPr>
                <w:rFonts w:hint="default"/>
                <w:color w:val="auto"/>
              </w:rPr>
            </w:pPr>
            <w:r>
              <w:rPr>
                <w:rFonts w:hint="eastAsia"/>
                <w:color w:val="auto"/>
                <w:lang w:val="en-US" w:eastAsia="zh-CN"/>
              </w:rPr>
              <w:t>42.9</w:t>
            </w:r>
          </w:p>
        </w:tc>
        <w:tc>
          <w:tcPr>
            <w:tcW w:w="809" w:type="pct"/>
            <w:tcBorders>
              <w:top w:val="single" w:color="auto" w:sz="4" w:space="0"/>
              <w:left w:val="single" w:color="auto" w:sz="4" w:space="0"/>
              <w:bottom w:val="single" w:color="auto" w:sz="4" w:space="0"/>
              <w:right w:val="single" w:color="auto" w:sz="4" w:space="0"/>
            </w:tcBorders>
            <w:noWrap w:val="0"/>
            <w:vAlign w:val="center"/>
          </w:tcPr>
          <w:p w14:paraId="47013B89">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58.7</w:t>
            </w:r>
          </w:p>
        </w:tc>
        <w:tc>
          <w:tcPr>
            <w:tcW w:w="811" w:type="pct"/>
            <w:tcBorders>
              <w:top w:val="single" w:color="auto" w:sz="4" w:space="0"/>
              <w:left w:val="single" w:color="auto" w:sz="4" w:space="0"/>
              <w:bottom w:val="single" w:color="auto" w:sz="4" w:space="0"/>
              <w:right w:val="nil"/>
            </w:tcBorders>
            <w:noWrap w:val="0"/>
            <w:vAlign w:val="center"/>
          </w:tcPr>
          <w:p w14:paraId="3991F50A">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43.8</w:t>
            </w:r>
          </w:p>
        </w:tc>
      </w:tr>
      <w:tr w14:paraId="68AC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2" w:type="pct"/>
            <w:tcBorders>
              <w:top w:val="single" w:color="auto" w:sz="4" w:space="0"/>
              <w:left w:val="nil"/>
              <w:bottom w:val="single" w:color="auto" w:sz="4" w:space="0"/>
              <w:right w:val="single" w:color="auto" w:sz="4" w:space="0"/>
            </w:tcBorders>
            <w:shd w:val="clear" w:color="auto" w:fill="auto"/>
            <w:noWrap w:val="0"/>
            <w:vAlign w:val="center"/>
          </w:tcPr>
          <w:p w14:paraId="52F6D0DC">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六联村一队89号</w:t>
            </w:r>
          </w:p>
        </w:tc>
        <w:tc>
          <w:tcPr>
            <w:tcW w:w="80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E1E1B9">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57.4</w:t>
            </w:r>
          </w:p>
        </w:tc>
        <w:tc>
          <w:tcPr>
            <w:tcW w:w="80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389919F">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42.9</w:t>
            </w:r>
          </w:p>
        </w:tc>
        <w:tc>
          <w:tcPr>
            <w:tcW w:w="80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3529DA">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58.7</w:t>
            </w:r>
          </w:p>
        </w:tc>
        <w:tc>
          <w:tcPr>
            <w:tcW w:w="811" w:type="pct"/>
            <w:tcBorders>
              <w:top w:val="single" w:color="auto" w:sz="4" w:space="0"/>
              <w:left w:val="single" w:color="auto" w:sz="4" w:space="0"/>
              <w:bottom w:val="single" w:color="auto" w:sz="4" w:space="0"/>
              <w:right w:val="nil"/>
            </w:tcBorders>
            <w:shd w:val="clear" w:color="auto" w:fill="auto"/>
            <w:noWrap w:val="0"/>
            <w:vAlign w:val="center"/>
          </w:tcPr>
          <w:p w14:paraId="462C98E8">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43.8</w:t>
            </w:r>
          </w:p>
        </w:tc>
      </w:tr>
      <w:tr w14:paraId="4D70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2" w:type="pct"/>
            <w:tcBorders>
              <w:top w:val="single" w:color="auto" w:sz="4" w:space="0"/>
              <w:left w:val="nil"/>
              <w:bottom w:val="single" w:color="auto" w:sz="12" w:space="0"/>
              <w:right w:val="single" w:color="auto" w:sz="4" w:space="0"/>
            </w:tcBorders>
            <w:noWrap w:val="0"/>
            <w:vAlign w:val="center"/>
          </w:tcPr>
          <w:p w14:paraId="56592BB4">
            <w:pPr>
              <w:pStyle w:val="59"/>
              <w:bidi w:val="0"/>
              <w:rPr>
                <w:rFonts w:hint="default"/>
                <w:color w:val="auto"/>
              </w:rPr>
            </w:pPr>
            <w:r>
              <w:rPr>
                <w:rFonts w:hint="default"/>
                <w:color w:val="auto"/>
              </w:rPr>
              <w:t>环境条件</w:t>
            </w:r>
          </w:p>
        </w:tc>
        <w:tc>
          <w:tcPr>
            <w:tcW w:w="3237" w:type="pct"/>
            <w:gridSpan w:val="4"/>
            <w:tcBorders>
              <w:top w:val="single" w:color="auto" w:sz="4" w:space="0"/>
              <w:left w:val="single" w:color="auto" w:sz="4" w:space="0"/>
              <w:bottom w:val="single" w:color="auto" w:sz="12" w:space="0"/>
              <w:right w:val="nil"/>
            </w:tcBorders>
            <w:noWrap w:val="0"/>
            <w:vAlign w:val="center"/>
          </w:tcPr>
          <w:p w14:paraId="33520481">
            <w:pPr>
              <w:pStyle w:val="59"/>
              <w:bidi w:val="0"/>
              <w:rPr>
                <w:rFonts w:hint="eastAsia"/>
                <w:color w:val="auto"/>
                <w:lang w:eastAsia="zh-CN"/>
              </w:rPr>
            </w:pPr>
            <w:r>
              <w:rPr>
                <w:rFonts w:hint="eastAsia"/>
                <w:color w:val="auto"/>
                <w:lang w:val="en-US" w:eastAsia="zh-CN"/>
              </w:rPr>
              <w:t>2026年1月22日</w:t>
            </w:r>
            <w:r>
              <w:rPr>
                <w:rFonts w:hint="default"/>
                <w:color w:val="auto"/>
              </w:rPr>
              <w:t>天气</w:t>
            </w:r>
            <w:r>
              <w:rPr>
                <w:rFonts w:hint="eastAsia"/>
                <w:color w:val="auto"/>
                <w:lang w:val="en-US" w:eastAsia="zh-CN"/>
              </w:rPr>
              <w:t>晴</w:t>
            </w:r>
            <w:r>
              <w:rPr>
                <w:rFonts w:hint="default"/>
                <w:color w:val="auto"/>
              </w:rPr>
              <w:t>，无雨，风速</w:t>
            </w:r>
            <w:r>
              <w:rPr>
                <w:rFonts w:hint="eastAsia"/>
                <w:color w:val="auto"/>
                <w:lang w:val="en-US" w:eastAsia="zh-CN"/>
              </w:rPr>
              <w:t>2.8</w:t>
            </w:r>
            <w:r>
              <w:rPr>
                <w:rFonts w:hint="default"/>
                <w:color w:val="auto"/>
              </w:rPr>
              <w:t>m/s</w:t>
            </w:r>
            <w:r>
              <w:rPr>
                <w:rFonts w:hint="eastAsia"/>
                <w:color w:val="auto"/>
                <w:lang w:eastAsia="zh-CN"/>
              </w:rPr>
              <w:t>；</w:t>
            </w:r>
          </w:p>
          <w:p w14:paraId="3F9A8B65">
            <w:pPr>
              <w:pStyle w:val="59"/>
              <w:bidi w:val="0"/>
              <w:rPr>
                <w:rFonts w:hint="eastAsia"/>
                <w:color w:val="auto"/>
                <w:lang w:val="en-US" w:eastAsia="zh-CN"/>
              </w:rPr>
            </w:pPr>
            <w:r>
              <w:rPr>
                <w:rFonts w:hint="eastAsia"/>
                <w:color w:val="auto"/>
                <w:lang w:val="en-US" w:eastAsia="zh-CN"/>
              </w:rPr>
              <w:t>2026年1月22日</w:t>
            </w:r>
            <w:r>
              <w:rPr>
                <w:rFonts w:hint="default"/>
                <w:color w:val="auto"/>
              </w:rPr>
              <w:t>天气</w:t>
            </w:r>
            <w:r>
              <w:rPr>
                <w:rFonts w:hint="eastAsia"/>
                <w:color w:val="auto"/>
                <w:lang w:val="en-US" w:eastAsia="zh-CN"/>
              </w:rPr>
              <w:t>晴</w:t>
            </w:r>
            <w:r>
              <w:rPr>
                <w:rFonts w:hint="default"/>
                <w:color w:val="auto"/>
              </w:rPr>
              <w:t>，无雨，风速2.</w:t>
            </w:r>
            <w:r>
              <w:rPr>
                <w:rFonts w:hint="eastAsia"/>
                <w:color w:val="auto"/>
                <w:lang w:val="en-US" w:eastAsia="zh-CN"/>
              </w:rPr>
              <w:t>5</w:t>
            </w:r>
            <w:r>
              <w:rPr>
                <w:rFonts w:hint="default"/>
                <w:color w:val="auto"/>
              </w:rPr>
              <w:t>m/s</w:t>
            </w:r>
            <w:r>
              <w:rPr>
                <w:rFonts w:hint="eastAsia"/>
                <w:color w:val="auto"/>
                <w:lang w:eastAsia="zh-CN"/>
              </w:rPr>
              <w:t>。</w:t>
            </w:r>
          </w:p>
        </w:tc>
      </w:tr>
    </w:tbl>
    <w:p w14:paraId="77486AB9">
      <w:pPr>
        <w:adjustRightInd w:val="0"/>
        <w:snapToGrid w:val="0"/>
        <w:spacing w:before="166" w:beforeLines="50"/>
        <w:ind w:firstLine="480"/>
        <w:rPr>
          <w:color w:val="auto"/>
        </w:rPr>
      </w:pPr>
      <w:r>
        <w:rPr>
          <w:color w:val="auto"/>
        </w:rPr>
        <w:t>由</w:t>
      </w:r>
      <w:r>
        <w:rPr>
          <w:rFonts w:hint="eastAsia"/>
          <w:color w:val="auto"/>
          <w:lang w:eastAsia="zh-CN"/>
        </w:rPr>
        <w:t>表4</w:t>
      </w:r>
      <w:r>
        <w:rPr>
          <w:color w:val="auto"/>
        </w:rPr>
        <w:t>.</w:t>
      </w:r>
      <w:r>
        <w:rPr>
          <w:rFonts w:hint="eastAsia"/>
          <w:color w:val="auto"/>
        </w:rPr>
        <w:t>4-3</w:t>
      </w:r>
      <w:r>
        <w:rPr>
          <w:color w:val="auto"/>
        </w:rPr>
        <w:t>可知，</w:t>
      </w:r>
      <w:r>
        <w:rPr>
          <w:rFonts w:hint="eastAsia"/>
          <w:color w:val="auto"/>
        </w:rPr>
        <w:t>项目</w:t>
      </w:r>
      <w:r>
        <w:rPr>
          <w:rFonts w:hint="eastAsia"/>
          <w:color w:val="auto"/>
          <w:lang w:val="en-US" w:eastAsia="zh-CN"/>
        </w:rPr>
        <w:t>厂界噪声达到</w:t>
      </w:r>
      <w:r>
        <w:rPr>
          <w:color w:val="auto"/>
        </w:rPr>
        <w:t>《声环境质量标准》（GB3096-2008）</w:t>
      </w:r>
      <w:r>
        <w:rPr>
          <w:rFonts w:hint="eastAsia"/>
          <w:color w:val="auto"/>
        </w:rPr>
        <w:t>3类标准</w:t>
      </w:r>
      <w:r>
        <w:rPr>
          <w:color w:val="auto"/>
        </w:rPr>
        <w:t>（昼间≤65dB(A)，夜间≤55dB(A)），</w:t>
      </w:r>
      <w:r>
        <w:rPr>
          <w:rFonts w:hint="eastAsia"/>
          <w:color w:val="auto"/>
          <w:lang w:val="en-US" w:eastAsia="zh-CN"/>
        </w:rPr>
        <w:t>敏感点六联村一队89号噪声达到</w:t>
      </w:r>
      <w:r>
        <w:rPr>
          <w:color w:val="auto"/>
        </w:rPr>
        <w:t>《声环境质量标准》（GB3096-2008）</w:t>
      </w:r>
      <w:r>
        <w:rPr>
          <w:rFonts w:hint="eastAsia"/>
          <w:color w:val="auto"/>
          <w:lang w:val="en-US" w:eastAsia="zh-CN"/>
        </w:rPr>
        <w:t>2</w:t>
      </w:r>
      <w:r>
        <w:rPr>
          <w:rFonts w:hint="eastAsia"/>
          <w:color w:val="auto"/>
        </w:rPr>
        <w:t>类标准</w:t>
      </w:r>
      <w:r>
        <w:rPr>
          <w:color w:val="auto"/>
        </w:rPr>
        <w:t>（昼间≤6</w:t>
      </w:r>
      <w:r>
        <w:rPr>
          <w:rFonts w:hint="eastAsia"/>
          <w:color w:val="auto"/>
          <w:lang w:val="en-US" w:eastAsia="zh-CN"/>
        </w:rPr>
        <w:t>0</w:t>
      </w:r>
      <w:r>
        <w:rPr>
          <w:color w:val="auto"/>
        </w:rPr>
        <w:t>dB(A)，夜间≤5</w:t>
      </w:r>
      <w:r>
        <w:rPr>
          <w:rFonts w:hint="eastAsia"/>
          <w:color w:val="auto"/>
          <w:lang w:val="en-US" w:eastAsia="zh-CN"/>
        </w:rPr>
        <w:t>0</w:t>
      </w:r>
      <w:r>
        <w:rPr>
          <w:color w:val="auto"/>
        </w:rPr>
        <w:t>dB(A)），项目所在地声环境质量良好。</w:t>
      </w:r>
    </w:p>
    <w:p w14:paraId="113172BB">
      <w:pPr>
        <w:pStyle w:val="67"/>
        <w:numPr>
          <w:ilvl w:val="1"/>
          <w:numId w:val="8"/>
        </w:numPr>
        <w:bidi w:val="0"/>
        <w:ind w:left="567" w:leftChars="0" w:hanging="567" w:firstLineChars="0"/>
        <w:rPr>
          <w:rFonts w:ascii="Times New Roman" w:hAnsi="Times New Roman" w:eastAsia="宋体" w:cs="Times New Roman"/>
          <w:color w:val="auto"/>
        </w:rPr>
      </w:pPr>
      <w:bookmarkStart w:id="136" w:name="_Toc32549"/>
      <w:r>
        <w:rPr>
          <w:rFonts w:ascii="Times New Roman" w:hAnsi="Times New Roman" w:eastAsia="宋体" w:cs="Times New Roman"/>
          <w:color w:val="auto"/>
        </w:rPr>
        <w:t>地下水环境质量现状监测与评价</w:t>
      </w:r>
      <w:bookmarkEnd w:id="136"/>
    </w:p>
    <w:p w14:paraId="71B112DE">
      <w:pPr>
        <w:bidi w:val="0"/>
      </w:pPr>
      <w:r>
        <w:t>本项目为印刷包装生产项目，生产工艺主要为印刷，根据《环境影响评价技术导则 地下水环境》（HJ610-2016），本项目属于“印刷；文教、体育、娱乐用品制造；磁材料制品”中的“全部”类别，</w:t>
      </w:r>
      <w:r>
        <w:rPr>
          <w:rFonts w:ascii="宋体" w:hAnsi="宋体" w:eastAsia="宋体" w:cs="宋体"/>
          <w:spacing w:val="-3"/>
          <w:sz w:val="24"/>
          <w:szCs w:val="24"/>
        </w:rPr>
        <w:t>不开展地下水影响评价</w:t>
      </w:r>
      <w:r>
        <w:t>，不进行地下水环境质量的调查与评价</w:t>
      </w:r>
      <w:r>
        <w:rPr>
          <w:rFonts w:hint="eastAsia"/>
        </w:rPr>
        <w:t>。</w:t>
      </w:r>
    </w:p>
    <w:p w14:paraId="4D70C957">
      <w:pPr>
        <w:pStyle w:val="67"/>
        <w:numPr>
          <w:ilvl w:val="1"/>
          <w:numId w:val="8"/>
        </w:numPr>
        <w:bidi w:val="0"/>
        <w:ind w:left="567" w:leftChars="0" w:hanging="567" w:firstLineChars="0"/>
        <w:rPr>
          <w:rFonts w:ascii="Times New Roman" w:hAnsi="Times New Roman" w:eastAsia="宋体" w:cs="Times New Roman"/>
          <w:color w:val="auto"/>
        </w:rPr>
      </w:pPr>
      <w:bookmarkStart w:id="137" w:name="_Toc25043"/>
      <w:r>
        <w:rPr>
          <w:rFonts w:hint="eastAsia" w:ascii="Times New Roman" w:hAnsi="Times New Roman" w:eastAsia="宋体" w:cs="Times New Roman"/>
          <w:color w:val="auto"/>
        </w:rPr>
        <w:t>土壤环境现状调查与评价</w:t>
      </w:r>
      <w:bookmarkEnd w:id="137"/>
    </w:p>
    <w:p w14:paraId="561C9B8B">
      <w:pPr>
        <w:ind w:firstLine="480"/>
        <w:rPr>
          <w:color w:val="auto"/>
        </w:rPr>
      </w:pPr>
      <w:r>
        <w:rPr>
          <w:rFonts w:ascii="宋体" w:hAnsi="宋体" w:eastAsia="宋体" w:cs="宋体"/>
          <w:spacing w:val="1"/>
          <w:sz w:val="24"/>
          <w:szCs w:val="24"/>
        </w:rPr>
        <w:t>本项目主要从事塑料包装膜的印刷加工，</w:t>
      </w:r>
      <w:r>
        <w:rPr>
          <w:rFonts w:ascii="宋体" w:hAnsi="宋体" w:eastAsia="宋体" w:cs="宋体"/>
          <w:spacing w:val="-68"/>
          <w:sz w:val="24"/>
          <w:szCs w:val="24"/>
        </w:rPr>
        <w:t xml:space="preserve"> </w:t>
      </w:r>
      <w:r>
        <w:rPr>
          <w:rFonts w:ascii="宋体" w:hAnsi="宋体" w:eastAsia="宋体" w:cs="宋体"/>
          <w:spacing w:val="1"/>
          <w:sz w:val="24"/>
          <w:szCs w:val="24"/>
        </w:rPr>
        <w:t>生产工艺主要印刷等，</w:t>
      </w:r>
      <w:r>
        <w:rPr>
          <w:rFonts w:ascii="宋体" w:hAnsi="宋体" w:eastAsia="宋体" w:cs="宋体"/>
          <w:spacing w:val="-70"/>
          <w:sz w:val="24"/>
          <w:szCs w:val="24"/>
        </w:rPr>
        <w:t xml:space="preserve"> </w:t>
      </w:r>
      <w:r>
        <w:rPr>
          <w:rFonts w:ascii="宋体" w:hAnsi="宋体" w:eastAsia="宋体" w:cs="宋体"/>
          <w:spacing w:val="1"/>
          <w:sz w:val="24"/>
          <w:szCs w:val="24"/>
        </w:rPr>
        <w:t>属于污染影响型</w:t>
      </w:r>
      <w:r>
        <w:rPr>
          <w:rFonts w:ascii="宋体" w:hAnsi="宋体" w:eastAsia="宋体" w:cs="宋体"/>
          <w:spacing w:val="-2"/>
          <w:sz w:val="24"/>
          <w:szCs w:val="24"/>
        </w:rPr>
        <w:t>项目。根据《国民经济行业分类》（</w:t>
      </w:r>
      <w:r>
        <w:rPr>
          <w:rFonts w:ascii="Times New Roman" w:hAnsi="Times New Roman" w:eastAsia="Times New Roman" w:cs="Times New Roman"/>
          <w:spacing w:val="-2"/>
          <w:sz w:val="24"/>
          <w:szCs w:val="24"/>
        </w:rPr>
        <w:t>GB/T</w:t>
      </w:r>
      <w:r>
        <w:rPr>
          <w:rFonts w:ascii="Times New Roman" w:hAnsi="Times New Roman" w:eastAsia="Times New Roman" w:cs="Times New Roman"/>
          <w:spacing w:val="-13"/>
          <w:sz w:val="24"/>
          <w:szCs w:val="24"/>
        </w:rPr>
        <w:t xml:space="preserve"> </w:t>
      </w:r>
      <w:r>
        <w:rPr>
          <w:rFonts w:ascii="Times New Roman" w:hAnsi="Times New Roman" w:eastAsia="Times New Roman" w:cs="Times New Roman"/>
          <w:spacing w:val="-2"/>
          <w:sz w:val="24"/>
          <w:szCs w:val="24"/>
        </w:rPr>
        <w:t>4754-2017</w:t>
      </w:r>
      <w:r>
        <w:rPr>
          <w:rFonts w:ascii="宋体" w:hAnsi="宋体" w:eastAsia="宋体" w:cs="宋体"/>
          <w:sz w:val="24"/>
          <w:szCs w:val="24"/>
        </w:rPr>
        <w:t>）（</w:t>
      </w:r>
      <w:r>
        <w:rPr>
          <w:rFonts w:ascii="宋体" w:hAnsi="宋体" w:eastAsia="宋体" w:cs="宋体"/>
          <w:spacing w:val="-2"/>
          <w:sz w:val="24"/>
          <w:szCs w:val="24"/>
        </w:rPr>
        <w:t>按第</w:t>
      </w:r>
      <w:r>
        <w:rPr>
          <w:rFonts w:ascii="宋体" w:hAnsi="宋体" w:eastAsia="宋体" w:cs="宋体"/>
          <w:spacing w:val="-30"/>
          <w:sz w:val="24"/>
          <w:szCs w:val="24"/>
        </w:rPr>
        <w:t xml:space="preserve"> </w:t>
      </w:r>
      <w:r>
        <w:rPr>
          <w:rFonts w:ascii="Times New Roman" w:hAnsi="Times New Roman" w:eastAsia="Times New Roman" w:cs="Times New Roman"/>
          <w:spacing w:val="-2"/>
          <w:sz w:val="24"/>
          <w:szCs w:val="24"/>
        </w:rPr>
        <w:t xml:space="preserve">1 </w:t>
      </w:r>
      <w:r>
        <w:rPr>
          <w:rFonts w:ascii="宋体" w:hAnsi="宋体" w:eastAsia="宋体" w:cs="宋体"/>
          <w:spacing w:val="-2"/>
          <w:sz w:val="24"/>
          <w:szCs w:val="24"/>
        </w:rPr>
        <w:t>号修改单修订</w:t>
      </w:r>
      <w:r>
        <w:rPr>
          <w:rFonts w:ascii="宋体" w:hAnsi="宋体" w:eastAsia="宋体" w:cs="宋体"/>
          <w:sz w:val="24"/>
          <w:szCs w:val="24"/>
        </w:rPr>
        <w:t>），</w:t>
      </w:r>
      <w:r>
        <w:rPr>
          <w:rFonts w:ascii="宋体" w:hAnsi="宋体" w:eastAsia="宋体" w:cs="宋体"/>
          <w:spacing w:val="-2"/>
          <w:sz w:val="24"/>
          <w:szCs w:val="24"/>
        </w:rPr>
        <w:t>本项</w:t>
      </w:r>
      <w:r>
        <w:rPr>
          <w:rFonts w:ascii="宋体" w:hAnsi="宋体" w:eastAsia="宋体" w:cs="宋体"/>
          <w:spacing w:val="6"/>
          <w:sz w:val="24"/>
          <w:szCs w:val="24"/>
        </w:rPr>
        <w:t xml:space="preserve">目行业类别为 </w:t>
      </w:r>
      <w:r>
        <w:rPr>
          <w:rFonts w:ascii="Times New Roman" w:hAnsi="Times New Roman" w:eastAsia="Times New Roman" w:cs="Times New Roman"/>
          <w:spacing w:val="6"/>
          <w:sz w:val="24"/>
          <w:szCs w:val="24"/>
        </w:rPr>
        <w:t>C2319</w:t>
      </w:r>
      <w:r>
        <w:rPr>
          <w:rFonts w:ascii="Times New Roman" w:hAnsi="Times New Roman" w:eastAsia="Times New Roman" w:cs="Times New Roman"/>
          <w:spacing w:val="51"/>
          <w:w w:val="101"/>
          <w:sz w:val="24"/>
          <w:szCs w:val="24"/>
        </w:rPr>
        <w:t xml:space="preserve"> </w:t>
      </w:r>
      <w:r>
        <w:rPr>
          <w:rFonts w:ascii="宋体" w:hAnsi="宋体" w:eastAsia="宋体" w:cs="宋体"/>
          <w:spacing w:val="6"/>
          <w:sz w:val="24"/>
          <w:szCs w:val="24"/>
        </w:rPr>
        <w:t>包装装潢及其他印刷。根据《环</w:t>
      </w:r>
      <w:r>
        <w:rPr>
          <w:rFonts w:ascii="宋体" w:hAnsi="宋体" w:eastAsia="宋体" w:cs="宋体"/>
          <w:spacing w:val="5"/>
          <w:sz w:val="24"/>
          <w:szCs w:val="24"/>
        </w:rPr>
        <w:t>境影响评价技术导则土壤环境</w:t>
      </w:r>
      <w:r>
        <w:rPr>
          <w:rFonts w:ascii="宋体" w:hAnsi="宋体" w:eastAsia="宋体" w:cs="宋体"/>
          <w:spacing w:val="-2"/>
          <w:sz w:val="24"/>
          <w:szCs w:val="24"/>
        </w:rPr>
        <w:t>（试行）》（</w:t>
      </w:r>
      <w:r>
        <w:rPr>
          <w:rFonts w:ascii="Times New Roman" w:hAnsi="Times New Roman" w:eastAsia="Times New Roman" w:cs="Times New Roman"/>
          <w:spacing w:val="-2"/>
          <w:sz w:val="24"/>
          <w:szCs w:val="24"/>
        </w:rPr>
        <w:t>HJ</w:t>
      </w:r>
      <w:r>
        <w:rPr>
          <w:rFonts w:ascii="Times New Roman" w:hAnsi="Times New Roman" w:eastAsia="Times New Roman" w:cs="Times New Roman"/>
          <w:spacing w:val="41"/>
          <w:sz w:val="24"/>
          <w:szCs w:val="24"/>
        </w:rPr>
        <w:t xml:space="preserve"> </w:t>
      </w:r>
      <w:r>
        <w:rPr>
          <w:rFonts w:ascii="Times New Roman" w:hAnsi="Times New Roman" w:eastAsia="Times New Roman" w:cs="Times New Roman"/>
          <w:spacing w:val="-2"/>
          <w:sz w:val="24"/>
          <w:szCs w:val="24"/>
        </w:rPr>
        <w:t>964-2018</w:t>
      </w:r>
      <w:r>
        <w:rPr>
          <w:rFonts w:ascii="宋体" w:hAnsi="宋体" w:eastAsia="宋体" w:cs="宋体"/>
          <w:spacing w:val="7"/>
          <w:sz w:val="24"/>
          <w:szCs w:val="24"/>
        </w:rPr>
        <w:t>），</w:t>
      </w:r>
      <w:r>
        <w:rPr>
          <w:rFonts w:ascii="宋体" w:hAnsi="宋体" w:eastAsia="宋体" w:cs="宋体"/>
          <w:spacing w:val="-2"/>
          <w:sz w:val="24"/>
          <w:szCs w:val="24"/>
        </w:rPr>
        <w:t>本项目属于附录</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A</w:t>
      </w:r>
      <w:r>
        <w:rPr>
          <w:rFonts w:ascii="Times New Roman" w:hAnsi="Times New Roman" w:eastAsia="Times New Roman" w:cs="Times New Roman"/>
          <w:spacing w:val="51"/>
          <w:sz w:val="24"/>
          <w:szCs w:val="24"/>
        </w:rPr>
        <w:t xml:space="preserve"> </w:t>
      </w:r>
      <w:r>
        <w:rPr>
          <w:rFonts w:ascii="宋体" w:hAnsi="宋体" w:eastAsia="宋体" w:cs="宋体"/>
          <w:spacing w:val="-2"/>
          <w:sz w:val="24"/>
          <w:szCs w:val="24"/>
        </w:rPr>
        <w:t>中制造业中“设备制造、金属制品、</w:t>
      </w:r>
      <w:r>
        <w:rPr>
          <w:rFonts w:ascii="宋体" w:hAnsi="宋体" w:eastAsia="宋体" w:cs="宋体"/>
          <w:spacing w:val="4"/>
          <w:sz w:val="24"/>
          <w:szCs w:val="24"/>
        </w:rPr>
        <w:t>汽车制造及其他用品制造”的“其他”类别，则</w:t>
      </w:r>
      <w:r>
        <w:rPr>
          <w:rFonts w:ascii="宋体" w:hAnsi="宋体" w:eastAsia="宋体" w:cs="宋体"/>
          <w:spacing w:val="3"/>
          <w:sz w:val="24"/>
          <w:szCs w:val="24"/>
        </w:rPr>
        <w:t>本项目的土壤环境影响评价项目类别</w:t>
      </w:r>
      <w:r>
        <w:rPr>
          <w:rFonts w:ascii="宋体" w:hAnsi="宋体" w:eastAsia="宋体" w:cs="宋体"/>
          <w:spacing w:val="-1"/>
          <w:sz w:val="24"/>
          <w:szCs w:val="24"/>
        </w:rPr>
        <w:t>为Ⅲ类。本项目占地面积约为</w:t>
      </w:r>
      <w:r>
        <w:rPr>
          <w:rFonts w:ascii="宋体" w:hAnsi="宋体" w:eastAsia="宋体" w:cs="宋体"/>
          <w:spacing w:val="-29"/>
          <w:sz w:val="24"/>
          <w:szCs w:val="24"/>
        </w:rPr>
        <w:t xml:space="preserve"> </w:t>
      </w:r>
      <w:r>
        <w:rPr>
          <w:rFonts w:ascii="Times New Roman" w:hAnsi="Times New Roman" w:eastAsia="Times New Roman" w:cs="Times New Roman"/>
          <w:spacing w:val="-1"/>
          <w:sz w:val="24"/>
          <w:szCs w:val="24"/>
        </w:rPr>
        <w:t>1836.90m</w:t>
      </w:r>
      <w:r>
        <w:rPr>
          <w:rFonts w:ascii="Times New Roman" w:hAnsi="Times New Roman" w:eastAsia="Times New Roman" w:cs="Times New Roman"/>
          <w:spacing w:val="-1"/>
          <w:position w:val="9"/>
          <w:sz w:val="16"/>
          <w:szCs w:val="16"/>
        </w:rPr>
        <w:t>2</w:t>
      </w:r>
      <w:r>
        <w:rPr>
          <w:rFonts w:ascii="宋体" w:hAnsi="宋体" w:eastAsia="宋体" w:cs="宋体"/>
          <w:spacing w:val="-1"/>
          <w:sz w:val="24"/>
          <w:szCs w:val="24"/>
        </w:rPr>
        <w:t>，属于小型规模。项目周边无耕</w:t>
      </w:r>
      <w:r>
        <w:rPr>
          <w:rFonts w:ascii="宋体" w:hAnsi="宋体" w:eastAsia="宋体" w:cs="宋体"/>
          <w:spacing w:val="-2"/>
          <w:sz w:val="24"/>
          <w:szCs w:val="24"/>
        </w:rPr>
        <w:t>地、园地、牧</w:t>
      </w:r>
      <w:r>
        <w:rPr>
          <w:rFonts w:ascii="宋体" w:hAnsi="宋体" w:eastAsia="宋体" w:cs="宋体"/>
          <w:spacing w:val="4"/>
          <w:sz w:val="24"/>
          <w:szCs w:val="24"/>
        </w:rPr>
        <w:t>草地、饮用水源地或居民区、学校、医院、疗养</w:t>
      </w:r>
      <w:r>
        <w:rPr>
          <w:rFonts w:ascii="宋体" w:hAnsi="宋体" w:eastAsia="宋体" w:cs="宋体"/>
          <w:spacing w:val="3"/>
          <w:sz w:val="24"/>
          <w:szCs w:val="24"/>
        </w:rPr>
        <w:t>院、养老院等土壤环境敏感目标，土</w:t>
      </w:r>
      <w:r>
        <w:rPr>
          <w:rFonts w:ascii="宋体" w:hAnsi="宋体" w:eastAsia="宋体" w:cs="宋体"/>
          <w:spacing w:val="4"/>
          <w:sz w:val="24"/>
          <w:szCs w:val="24"/>
        </w:rPr>
        <w:t>壤环境敏感程度判定为“不敏感”，可不开展土</w:t>
      </w:r>
      <w:r>
        <w:rPr>
          <w:rFonts w:ascii="宋体" w:hAnsi="宋体" w:eastAsia="宋体" w:cs="宋体"/>
          <w:spacing w:val="3"/>
          <w:sz w:val="24"/>
          <w:szCs w:val="24"/>
        </w:rPr>
        <w:t>壤环境影响评价工作，不进行土壤环</w:t>
      </w:r>
      <w:r>
        <w:rPr>
          <w:rFonts w:ascii="宋体" w:hAnsi="宋体" w:eastAsia="宋体" w:cs="宋体"/>
          <w:spacing w:val="-2"/>
          <w:sz w:val="24"/>
          <w:szCs w:val="24"/>
        </w:rPr>
        <w:t>境现状调查与评价</w:t>
      </w:r>
      <w:r>
        <w:rPr>
          <w:rFonts w:ascii="宋体" w:hAnsi="宋体" w:eastAsia="宋体" w:cs="宋体"/>
          <w:spacing w:val="-2"/>
          <w:sz w:val="21"/>
          <w:szCs w:val="21"/>
        </w:rPr>
        <w:t>。</w:t>
      </w:r>
    </w:p>
    <w:p w14:paraId="75A3CC70">
      <w:pPr>
        <w:pStyle w:val="67"/>
        <w:numPr>
          <w:ilvl w:val="1"/>
          <w:numId w:val="8"/>
        </w:numPr>
        <w:bidi w:val="0"/>
        <w:ind w:left="567" w:leftChars="0" w:hanging="567" w:firstLineChars="0"/>
        <w:rPr>
          <w:rFonts w:ascii="Times New Roman" w:hAnsi="Times New Roman" w:eastAsia="宋体" w:cs="Times New Roman"/>
          <w:color w:val="auto"/>
        </w:rPr>
      </w:pPr>
      <w:bookmarkStart w:id="138" w:name="_Toc6055"/>
      <w:r>
        <w:rPr>
          <w:rFonts w:hint="eastAsia" w:ascii="Times New Roman" w:hAnsi="Times New Roman" w:eastAsia="宋体" w:cs="Times New Roman"/>
          <w:color w:val="auto"/>
        </w:rPr>
        <w:t>生态环境现状调查与评价</w:t>
      </w:r>
      <w:bookmarkEnd w:id="138"/>
    </w:p>
    <w:p w14:paraId="08EF9818">
      <w:pPr>
        <w:ind w:firstLine="480"/>
        <w:rPr>
          <w:color w:val="auto"/>
        </w:rPr>
        <w:sectPr>
          <w:pgSz w:w="11906" w:h="16838"/>
          <w:pgMar w:top="1417" w:right="1417" w:bottom="1417" w:left="1417" w:header="992" w:footer="992" w:gutter="0"/>
          <w:pgNumType w:fmt="decimal"/>
          <w:cols w:space="720" w:num="1"/>
          <w:docGrid w:type="lines" w:linePitch="312" w:charSpace="0"/>
        </w:sectPr>
      </w:pPr>
      <w:r>
        <w:rPr>
          <w:rFonts w:ascii="宋体" w:hAnsi="宋体" w:eastAsia="宋体" w:cs="宋体"/>
          <w:spacing w:val="5"/>
          <w:sz w:val="24"/>
          <w:szCs w:val="24"/>
        </w:rPr>
        <w:t>生态调查方法以现场勘查及查阅资料相结合。本项目租用已建成厂房进行建设，</w:t>
      </w:r>
      <w:r>
        <w:rPr>
          <w:rFonts w:ascii="宋体" w:hAnsi="宋体" w:eastAsia="宋体" w:cs="宋体"/>
          <w:spacing w:val="3"/>
          <w:sz w:val="24"/>
          <w:szCs w:val="24"/>
        </w:rPr>
        <w:t>据调查，本项目所在地内无天然植被，由于区域生态系统长期受到人类活动的影响，</w:t>
      </w:r>
      <w:r>
        <w:rPr>
          <w:rFonts w:ascii="宋体" w:hAnsi="宋体" w:eastAsia="宋体" w:cs="宋体"/>
          <w:spacing w:val="4"/>
          <w:sz w:val="24"/>
          <w:szCs w:val="24"/>
        </w:rPr>
        <w:t>无大型动物活动，常见的有昆虫类、蛇类、蟾蜍、</w:t>
      </w:r>
      <w:r>
        <w:rPr>
          <w:rFonts w:ascii="宋体" w:hAnsi="宋体" w:eastAsia="宋体" w:cs="宋体"/>
          <w:spacing w:val="3"/>
          <w:sz w:val="24"/>
          <w:szCs w:val="24"/>
        </w:rPr>
        <w:t>蛙和啮齿类动物等，无国家重点保</w:t>
      </w:r>
      <w:r>
        <w:rPr>
          <w:rFonts w:ascii="宋体" w:hAnsi="宋体" w:eastAsia="宋体" w:cs="宋体"/>
          <w:spacing w:val="-4"/>
          <w:sz w:val="24"/>
          <w:szCs w:val="24"/>
        </w:rPr>
        <w:t>护的珍稀濒危野生动物</w:t>
      </w:r>
      <w:r>
        <w:rPr>
          <w:color w:val="auto"/>
        </w:rPr>
        <w:t>。</w:t>
      </w:r>
    </w:p>
    <w:p w14:paraId="08991DB5">
      <w:pPr>
        <w:pStyle w:val="66"/>
        <w:numPr>
          <w:ilvl w:val="0"/>
          <w:numId w:val="8"/>
        </w:numPr>
        <w:ind w:left="425" w:leftChars="0" w:hanging="425" w:firstLineChars="0"/>
        <w:rPr>
          <w:rFonts w:hint="eastAsia" w:ascii="Times New Roman" w:hAnsi="Times New Roman" w:eastAsia="宋体" w:cs="Times New Roman"/>
          <w:color w:val="auto"/>
        </w:rPr>
      </w:pPr>
      <w:bookmarkStart w:id="139" w:name="_Toc22334"/>
      <w:bookmarkStart w:id="140" w:name="_Toc21005"/>
      <w:r>
        <w:rPr>
          <w:rFonts w:hint="eastAsia" w:ascii="Times New Roman" w:hAnsi="Times New Roman" w:eastAsia="宋体" w:cs="Times New Roman"/>
          <w:color w:val="auto"/>
        </w:rPr>
        <w:t>环境影响预测与评价</w:t>
      </w:r>
      <w:bookmarkEnd w:id="139"/>
      <w:bookmarkStart w:id="141" w:name="_Toc7687"/>
    </w:p>
    <w:bookmarkEnd w:id="141"/>
    <w:p w14:paraId="0341EBA7">
      <w:pPr>
        <w:pStyle w:val="67"/>
        <w:numPr>
          <w:ilvl w:val="1"/>
          <w:numId w:val="8"/>
        </w:numPr>
        <w:bidi w:val="0"/>
        <w:ind w:left="567" w:leftChars="0" w:hanging="567" w:firstLineChars="0"/>
        <w:rPr>
          <w:rFonts w:hint="eastAsia" w:ascii="Times New Roman" w:hAnsi="Times New Roman" w:eastAsia="宋体" w:cs="Times New Roman"/>
          <w:color w:val="auto"/>
        </w:rPr>
      </w:pPr>
      <w:bookmarkStart w:id="142" w:name="_Toc17713"/>
      <w:bookmarkStart w:id="143" w:name="_Toc18540"/>
      <w:r>
        <w:rPr>
          <w:rFonts w:hint="eastAsia" w:ascii="Times New Roman" w:hAnsi="Times New Roman" w:eastAsia="宋体" w:cs="Times New Roman"/>
          <w:color w:val="auto"/>
        </w:rPr>
        <w:t>施工期环境影响分析</w:t>
      </w:r>
      <w:bookmarkEnd w:id="142"/>
      <w:bookmarkEnd w:id="143"/>
    </w:p>
    <w:p w14:paraId="3C6658C3">
      <w:pPr>
        <w:ind w:firstLine="480"/>
        <w:rPr>
          <w:color w:val="auto"/>
        </w:rPr>
      </w:pPr>
      <w:r>
        <w:rPr>
          <w:rFonts w:hint="default"/>
          <w:color w:val="auto"/>
        </w:rPr>
        <w:t>项目不涉及土建工程，只涉及设备的安装和调试，</w:t>
      </w:r>
      <w:r>
        <w:rPr>
          <w:rFonts w:hint="default" w:ascii="Times New Roman" w:hAnsi="Times New Roman" w:cs="Times New Roman"/>
          <w:color w:val="auto"/>
          <w:szCs w:val="24"/>
          <w:highlight w:val="none"/>
        </w:rPr>
        <w:t>因此施工期污染主要是设备进场产生的噪声，装修产生的建筑垃圾等。其影响到厂房投入使用后会消失，对周围环境影响不大。</w:t>
      </w:r>
    </w:p>
    <w:p w14:paraId="7174ECC2">
      <w:pPr>
        <w:pStyle w:val="67"/>
        <w:numPr>
          <w:ilvl w:val="1"/>
          <w:numId w:val="8"/>
        </w:numPr>
        <w:bidi w:val="0"/>
        <w:ind w:left="567" w:leftChars="0" w:hanging="567" w:firstLineChars="0"/>
        <w:rPr>
          <w:rFonts w:hint="eastAsia" w:ascii="Times New Roman" w:hAnsi="Times New Roman" w:eastAsia="宋体" w:cs="Times New Roman"/>
          <w:color w:val="auto"/>
        </w:rPr>
      </w:pPr>
      <w:bookmarkStart w:id="144" w:name="_Toc17764"/>
      <w:r>
        <w:rPr>
          <w:rFonts w:hint="eastAsia" w:ascii="Times New Roman" w:hAnsi="Times New Roman" w:eastAsia="宋体" w:cs="Times New Roman"/>
          <w:color w:val="auto"/>
        </w:rPr>
        <w:t>营运期大气环境影响分析</w:t>
      </w:r>
      <w:bookmarkEnd w:id="140"/>
      <w:bookmarkEnd w:id="144"/>
    </w:p>
    <w:p w14:paraId="69ED56F2">
      <w:pPr>
        <w:pStyle w:val="64"/>
        <w:numPr>
          <w:ilvl w:val="2"/>
          <w:numId w:val="8"/>
        </w:numPr>
        <w:spacing w:before="166" w:after="166"/>
        <w:ind w:left="709" w:leftChars="0" w:hanging="709" w:firstLineChars="0"/>
        <w:rPr>
          <w:color w:val="auto"/>
        </w:rPr>
      </w:pPr>
      <w:r>
        <w:rPr>
          <w:rFonts w:hint="eastAsia"/>
          <w:color w:val="auto"/>
        </w:rPr>
        <w:t>区域气象特征</w:t>
      </w:r>
    </w:p>
    <w:p w14:paraId="02DF7E09">
      <w:pPr>
        <w:bidi w:val="0"/>
        <w:rPr>
          <w:b/>
          <w:bCs/>
          <w:color w:val="auto"/>
        </w:rPr>
      </w:pPr>
      <w:r>
        <w:rPr>
          <w:rFonts w:hint="eastAsia"/>
          <w:b/>
          <w:bCs/>
          <w:color w:val="auto"/>
        </w:rPr>
        <w:t>1、近20年气候资料</w:t>
      </w:r>
    </w:p>
    <w:p w14:paraId="0713734A">
      <w:pPr>
        <w:bidi w:val="0"/>
        <w:rPr>
          <w:color w:val="auto"/>
        </w:rPr>
      </w:pPr>
      <w:r>
        <w:rPr>
          <w:rFonts w:hint="eastAsia"/>
          <w:color w:val="auto"/>
        </w:rPr>
        <w:t>鹤山市位于广东省中南部，地处北回归线以南，属南亚热带季风气候，冬无严寒，夏无酷暑，全年温和湿润，鹤山市气象局近20年（200</w:t>
      </w:r>
      <w:r>
        <w:rPr>
          <w:rFonts w:hint="eastAsia"/>
          <w:color w:val="auto"/>
          <w:lang w:val="en-US" w:eastAsia="zh-CN"/>
        </w:rPr>
        <w:t>5</w:t>
      </w:r>
      <w:r>
        <w:rPr>
          <w:rFonts w:hint="eastAsia"/>
          <w:color w:val="auto"/>
        </w:rPr>
        <w:t>~202</w:t>
      </w:r>
      <w:r>
        <w:rPr>
          <w:rFonts w:hint="eastAsia"/>
          <w:color w:val="auto"/>
          <w:lang w:val="en-US" w:eastAsia="zh-CN"/>
        </w:rPr>
        <w:t>4</w:t>
      </w:r>
      <w:r>
        <w:rPr>
          <w:rFonts w:hint="eastAsia"/>
          <w:color w:val="auto"/>
        </w:rPr>
        <w:t>年）气候统计资料结果见</w:t>
      </w:r>
      <w:r>
        <w:rPr>
          <w:rFonts w:hint="eastAsia"/>
          <w:color w:val="auto"/>
          <w:lang w:eastAsia="zh-CN"/>
        </w:rPr>
        <w:t>表</w:t>
      </w:r>
      <w:r>
        <w:rPr>
          <w:rFonts w:hint="eastAsia"/>
          <w:color w:val="auto"/>
          <w:lang w:val="en-US" w:eastAsia="zh-CN"/>
        </w:rPr>
        <w:t>4</w:t>
      </w:r>
      <w:r>
        <w:rPr>
          <w:rFonts w:hint="eastAsia"/>
          <w:color w:val="auto"/>
          <w:lang w:eastAsia="zh-CN"/>
        </w:rPr>
        <w:t>.2</w:t>
      </w:r>
      <w:r>
        <w:rPr>
          <w:rFonts w:hint="eastAsia"/>
          <w:color w:val="auto"/>
        </w:rPr>
        <w:t>-1，鹤山市气象站多年份风向玫瑰图见</w:t>
      </w:r>
      <w:r>
        <w:rPr>
          <w:rFonts w:hint="eastAsia"/>
          <w:color w:val="auto"/>
          <w:lang w:eastAsia="zh-CN"/>
        </w:rPr>
        <w:t>图</w:t>
      </w:r>
      <w:r>
        <w:rPr>
          <w:rFonts w:hint="eastAsia"/>
          <w:color w:val="auto"/>
          <w:lang w:val="en-US" w:eastAsia="zh-CN"/>
        </w:rPr>
        <w:t>4.2-1</w:t>
      </w:r>
      <w:r>
        <w:rPr>
          <w:color w:val="auto"/>
        </w:rPr>
        <w:t>。</w:t>
      </w:r>
    </w:p>
    <w:p w14:paraId="7B24A711">
      <w:pPr>
        <w:pStyle w:val="85"/>
        <w:numPr>
          <w:ilvl w:val="0"/>
          <w:numId w:val="37"/>
        </w:numPr>
        <w:ind w:left="0" w:leftChars="0" w:firstLine="0" w:firstLineChars="0"/>
        <w:rPr>
          <w:rFonts w:hint="eastAsia"/>
          <w:color w:val="auto"/>
          <w:sz w:val="24"/>
          <w:szCs w:val="24"/>
        </w:rPr>
      </w:pPr>
      <w:r>
        <w:rPr>
          <w:rFonts w:hint="eastAsia"/>
          <w:color w:val="auto"/>
          <w:sz w:val="24"/>
          <w:szCs w:val="24"/>
        </w:rPr>
        <w:t>鹤山气象站近20年的主要气候资料统计表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1224"/>
        <w:gridCol w:w="4839"/>
      </w:tblGrid>
      <w:tr w14:paraId="1D39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736" w:type="pct"/>
            <w:tcBorders>
              <w:top w:val="single" w:color="auto" w:sz="12" w:space="0"/>
              <w:left w:val="nil"/>
            </w:tcBorders>
            <w:noWrap/>
            <w:vAlign w:val="center"/>
          </w:tcPr>
          <w:p w14:paraId="3B0F8DFE">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统计项目</w:t>
            </w:r>
          </w:p>
        </w:tc>
        <w:tc>
          <w:tcPr>
            <w:tcW w:w="659" w:type="pct"/>
            <w:tcBorders>
              <w:top w:val="single" w:color="auto" w:sz="12" w:space="0"/>
            </w:tcBorders>
            <w:noWrap w:val="0"/>
            <w:vAlign w:val="center"/>
          </w:tcPr>
          <w:p w14:paraId="451630C3">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单位</w:t>
            </w:r>
          </w:p>
        </w:tc>
        <w:tc>
          <w:tcPr>
            <w:tcW w:w="2604" w:type="pct"/>
            <w:tcBorders>
              <w:top w:val="single" w:color="auto" w:sz="12" w:space="0"/>
              <w:right w:val="nil"/>
            </w:tcBorders>
            <w:noWrap/>
            <w:vAlign w:val="center"/>
          </w:tcPr>
          <w:p w14:paraId="420C3CF1">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数值</w:t>
            </w:r>
          </w:p>
        </w:tc>
      </w:tr>
      <w:tr w14:paraId="7550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7A90A8DD">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多年平均风速</w:t>
            </w:r>
          </w:p>
        </w:tc>
        <w:tc>
          <w:tcPr>
            <w:tcW w:w="659" w:type="pct"/>
            <w:noWrap w:val="0"/>
            <w:vAlign w:val="center"/>
          </w:tcPr>
          <w:p w14:paraId="3F405215">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m/s</w:t>
            </w:r>
          </w:p>
        </w:tc>
        <w:tc>
          <w:tcPr>
            <w:tcW w:w="2604" w:type="pct"/>
            <w:tcBorders>
              <w:right w:val="nil"/>
            </w:tcBorders>
            <w:noWrap/>
            <w:vAlign w:val="center"/>
          </w:tcPr>
          <w:p w14:paraId="202E17CB">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2.03</w:t>
            </w:r>
          </w:p>
        </w:tc>
      </w:tr>
      <w:tr w14:paraId="4BB3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1A36A87C">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最大风速及出现时间</w:t>
            </w:r>
          </w:p>
        </w:tc>
        <w:tc>
          <w:tcPr>
            <w:tcW w:w="659" w:type="pct"/>
            <w:noWrap w:val="0"/>
            <w:vAlign w:val="center"/>
          </w:tcPr>
          <w:p w14:paraId="5193B547">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m/s</w:t>
            </w:r>
          </w:p>
        </w:tc>
        <w:tc>
          <w:tcPr>
            <w:tcW w:w="2604" w:type="pct"/>
            <w:tcBorders>
              <w:right w:val="nil"/>
            </w:tcBorders>
            <w:noWrap/>
            <w:vAlign w:val="center"/>
          </w:tcPr>
          <w:p w14:paraId="74E2DC27">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33.8，相应风向：NE；出现时间：2018-09-16</w:t>
            </w:r>
          </w:p>
        </w:tc>
      </w:tr>
      <w:tr w14:paraId="4A18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184AC750">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多年主导风向、风向频率</w:t>
            </w:r>
          </w:p>
        </w:tc>
        <w:tc>
          <w:tcPr>
            <w:tcW w:w="659" w:type="pct"/>
            <w:noWrap w:val="0"/>
            <w:vAlign w:val="center"/>
          </w:tcPr>
          <w:p w14:paraId="213930A5">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2604" w:type="pct"/>
            <w:tcBorders>
              <w:right w:val="nil"/>
            </w:tcBorders>
            <w:noWrap/>
            <w:vAlign w:val="center"/>
          </w:tcPr>
          <w:p w14:paraId="4B6FF6DA">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w:t>
            </w:r>
            <w:r>
              <w:rPr>
                <w:rFonts w:hint="eastAsia" w:ascii="Times New Roman" w:hAnsi="Times New Roman" w:cs="Times New Roman"/>
                <w:color w:val="auto"/>
                <w:sz w:val="21"/>
                <w:szCs w:val="21"/>
              </w:rPr>
              <w:t xml:space="preserve">  15.2</w:t>
            </w:r>
            <w:r>
              <w:rPr>
                <w:rFonts w:hint="default" w:ascii="Times New Roman" w:hAnsi="Times New Roman" w:cs="Times New Roman"/>
                <w:color w:val="auto"/>
                <w:sz w:val="21"/>
                <w:szCs w:val="21"/>
              </w:rPr>
              <w:t>%</w:t>
            </w:r>
          </w:p>
        </w:tc>
      </w:tr>
      <w:tr w14:paraId="4D5F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0EB549FE">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多年静风频率</w:t>
            </w:r>
            <w:r>
              <w:rPr>
                <w:rFonts w:hint="eastAsia" w:ascii="Times New Roman" w:hAnsi="Times New Roman" w:cs="Times New Roman"/>
                <w:color w:val="auto"/>
                <w:sz w:val="21"/>
                <w:szCs w:val="21"/>
              </w:rPr>
              <w:t>（</w:t>
            </w:r>
            <w:r>
              <w:rPr>
                <w:rFonts w:hint="default" w:ascii="Times New Roman" w:hAnsi="Times New Roman" w:cs="Times New Roman"/>
                <w:color w:val="auto"/>
                <w:sz w:val="21"/>
                <w:szCs w:val="21"/>
              </w:rPr>
              <w:t>风速&lt;=0.2m/s</w:t>
            </w:r>
            <w:r>
              <w:rPr>
                <w:rFonts w:hint="eastAsia" w:ascii="Times New Roman" w:hAnsi="Times New Roman" w:cs="Times New Roman"/>
                <w:color w:val="auto"/>
                <w:sz w:val="21"/>
                <w:szCs w:val="21"/>
              </w:rPr>
              <w:t>）</w:t>
            </w:r>
          </w:p>
        </w:tc>
        <w:tc>
          <w:tcPr>
            <w:tcW w:w="659" w:type="pct"/>
            <w:noWrap w:val="0"/>
            <w:vAlign w:val="center"/>
          </w:tcPr>
          <w:p w14:paraId="1A108EA6">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2604" w:type="pct"/>
            <w:tcBorders>
              <w:right w:val="nil"/>
            </w:tcBorders>
            <w:noWrap/>
            <w:vAlign w:val="center"/>
          </w:tcPr>
          <w:p w14:paraId="58829CD2">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4.3</w:t>
            </w:r>
          </w:p>
        </w:tc>
      </w:tr>
      <w:tr w14:paraId="7CA3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3B5283A4">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多年平均气温</w:t>
            </w:r>
          </w:p>
        </w:tc>
        <w:tc>
          <w:tcPr>
            <w:tcW w:w="659" w:type="pct"/>
            <w:noWrap w:val="0"/>
            <w:vAlign w:val="center"/>
          </w:tcPr>
          <w:p w14:paraId="26FB9C3F">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2604" w:type="pct"/>
            <w:tcBorders>
              <w:right w:val="nil"/>
            </w:tcBorders>
            <w:noWrap/>
            <w:vAlign w:val="center"/>
          </w:tcPr>
          <w:p w14:paraId="315ACF78">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22.9</w:t>
            </w:r>
          </w:p>
        </w:tc>
      </w:tr>
      <w:tr w14:paraId="572C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0A487A78">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极端最高气温</w:t>
            </w:r>
            <w:r>
              <w:rPr>
                <w:rFonts w:hint="eastAsia" w:ascii="Times New Roman" w:hAnsi="Times New Roman" w:cs="Times New Roman"/>
                <w:color w:val="auto"/>
                <w:sz w:val="21"/>
                <w:szCs w:val="21"/>
              </w:rPr>
              <w:t>及</w:t>
            </w:r>
            <w:r>
              <w:rPr>
                <w:rFonts w:hint="default" w:ascii="Times New Roman" w:hAnsi="Times New Roman" w:cs="Times New Roman"/>
                <w:color w:val="auto"/>
                <w:sz w:val="21"/>
                <w:szCs w:val="21"/>
              </w:rPr>
              <w:t>出现时间</w:t>
            </w:r>
          </w:p>
        </w:tc>
        <w:tc>
          <w:tcPr>
            <w:tcW w:w="659" w:type="pct"/>
            <w:noWrap w:val="0"/>
            <w:vAlign w:val="center"/>
          </w:tcPr>
          <w:p w14:paraId="16FADF50">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2604" w:type="pct"/>
            <w:tcBorders>
              <w:right w:val="nil"/>
            </w:tcBorders>
            <w:noWrap/>
            <w:vAlign w:val="center"/>
          </w:tcPr>
          <w:p w14:paraId="0FF5D89B">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39.6，出现时间：2005-07-19</w:t>
            </w:r>
          </w:p>
        </w:tc>
      </w:tr>
      <w:tr w14:paraId="59CA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2BD13D3B">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极端最低气</w:t>
            </w:r>
            <w:r>
              <w:rPr>
                <w:rFonts w:hint="eastAsia" w:ascii="Times New Roman" w:hAnsi="Times New Roman" w:cs="Times New Roman"/>
                <w:color w:val="auto"/>
                <w:sz w:val="21"/>
                <w:szCs w:val="21"/>
              </w:rPr>
              <w:t>及</w:t>
            </w:r>
            <w:r>
              <w:rPr>
                <w:rFonts w:hint="default" w:ascii="Times New Roman" w:hAnsi="Times New Roman" w:cs="Times New Roman"/>
                <w:color w:val="auto"/>
                <w:sz w:val="21"/>
                <w:szCs w:val="21"/>
              </w:rPr>
              <w:t>出现时间</w:t>
            </w:r>
          </w:p>
        </w:tc>
        <w:tc>
          <w:tcPr>
            <w:tcW w:w="659" w:type="pct"/>
            <w:noWrap w:val="0"/>
            <w:vAlign w:val="center"/>
          </w:tcPr>
          <w:p w14:paraId="7C7C96F2">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2604" w:type="pct"/>
            <w:tcBorders>
              <w:right w:val="nil"/>
            </w:tcBorders>
            <w:noWrap/>
            <w:vAlign w:val="center"/>
          </w:tcPr>
          <w:p w14:paraId="57C668E8">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2.2，出现时间：2016-01-24</w:t>
            </w:r>
          </w:p>
        </w:tc>
      </w:tr>
      <w:tr w14:paraId="3683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3498EF34">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多年平均相对湿度</w:t>
            </w:r>
          </w:p>
        </w:tc>
        <w:tc>
          <w:tcPr>
            <w:tcW w:w="659" w:type="pct"/>
            <w:noWrap w:val="0"/>
            <w:vAlign w:val="center"/>
          </w:tcPr>
          <w:p w14:paraId="7EA51127">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2604" w:type="pct"/>
            <w:tcBorders>
              <w:right w:val="nil"/>
            </w:tcBorders>
            <w:noWrap/>
            <w:vAlign w:val="center"/>
          </w:tcPr>
          <w:p w14:paraId="0BC18B79">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rPr>
              <w:t>76.</w:t>
            </w:r>
            <w:r>
              <w:rPr>
                <w:rFonts w:hint="eastAsia" w:cs="Times New Roman"/>
                <w:color w:val="auto"/>
                <w:sz w:val="21"/>
                <w:szCs w:val="21"/>
                <w:lang w:val="en-US" w:eastAsia="zh-CN"/>
              </w:rPr>
              <w:t>6</w:t>
            </w:r>
          </w:p>
        </w:tc>
      </w:tr>
      <w:tr w14:paraId="32A3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6F4DF11F">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多年平均降雨量</w:t>
            </w:r>
          </w:p>
        </w:tc>
        <w:tc>
          <w:tcPr>
            <w:tcW w:w="659" w:type="pct"/>
            <w:noWrap w:val="0"/>
            <w:vAlign w:val="center"/>
          </w:tcPr>
          <w:p w14:paraId="0EDDD395">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mm</w:t>
            </w:r>
          </w:p>
        </w:tc>
        <w:tc>
          <w:tcPr>
            <w:tcW w:w="2604" w:type="pct"/>
            <w:tcBorders>
              <w:right w:val="nil"/>
            </w:tcBorders>
            <w:noWrap/>
            <w:vAlign w:val="center"/>
          </w:tcPr>
          <w:p w14:paraId="19BC56D7">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2"/>
                <w:highlight w:val="none"/>
              </w:rPr>
              <w:t>1829.4</w:t>
            </w:r>
          </w:p>
        </w:tc>
      </w:tr>
      <w:tr w14:paraId="41B5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1B3CAE81">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年最大降水量及出现时间</w:t>
            </w:r>
          </w:p>
        </w:tc>
        <w:tc>
          <w:tcPr>
            <w:tcW w:w="659" w:type="pct"/>
            <w:noWrap w:val="0"/>
            <w:vAlign w:val="center"/>
          </w:tcPr>
          <w:p w14:paraId="7A2AC3F5">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mm</w:t>
            </w:r>
          </w:p>
        </w:tc>
        <w:tc>
          <w:tcPr>
            <w:tcW w:w="2604" w:type="pct"/>
            <w:tcBorders>
              <w:right w:val="nil"/>
            </w:tcBorders>
            <w:noWrap/>
            <w:vAlign w:val="center"/>
          </w:tcPr>
          <w:p w14:paraId="7B5F7676">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2"/>
                <w:highlight w:val="none"/>
              </w:rPr>
              <w:t>最大值：2176.6mm</w:t>
            </w:r>
            <w:r>
              <w:rPr>
                <w:rFonts w:hint="eastAsia" w:ascii="Times New Roman" w:hAnsi="Times New Roman" w:cs="Times New Roman"/>
                <w:color w:val="auto"/>
                <w:kern w:val="2"/>
                <w:sz w:val="21"/>
                <w:szCs w:val="22"/>
                <w:highlight w:val="none"/>
                <w:lang w:eastAsia="zh-CN"/>
              </w:rPr>
              <w:t>，</w:t>
            </w:r>
            <w:r>
              <w:rPr>
                <w:rFonts w:hint="default" w:ascii="Times New Roman" w:hAnsi="Times New Roman" w:cs="Times New Roman"/>
                <w:color w:val="auto"/>
                <w:kern w:val="2"/>
                <w:sz w:val="21"/>
                <w:szCs w:val="22"/>
                <w:highlight w:val="none"/>
              </w:rPr>
              <w:t>出现时间：2019年</w:t>
            </w:r>
          </w:p>
        </w:tc>
      </w:tr>
      <w:tr w14:paraId="5460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tcBorders>
            <w:noWrap/>
            <w:vAlign w:val="center"/>
          </w:tcPr>
          <w:p w14:paraId="5D702CE4">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年最</w:t>
            </w:r>
            <w:r>
              <w:rPr>
                <w:rFonts w:hint="eastAsia" w:ascii="Times New Roman" w:hAnsi="Times New Roman" w:cs="Times New Roman"/>
                <w:color w:val="auto"/>
                <w:sz w:val="21"/>
                <w:szCs w:val="21"/>
              </w:rPr>
              <w:t>小</w:t>
            </w:r>
            <w:r>
              <w:rPr>
                <w:rFonts w:hint="default" w:ascii="Times New Roman" w:hAnsi="Times New Roman" w:cs="Times New Roman"/>
                <w:color w:val="auto"/>
                <w:sz w:val="21"/>
                <w:szCs w:val="21"/>
              </w:rPr>
              <w:t>降水量及出现时间</w:t>
            </w:r>
          </w:p>
        </w:tc>
        <w:tc>
          <w:tcPr>
            <w:tcW w:w="659" w:type="pct"/>
            <w:noWrap w:val="0"/>
            <w:vAlign w:val="center"/>
          </w:tcPr>
          <w:p w14:paraId="4AC2148A">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mm</w:t>
            </w:r>
          </w:p>
        </w:tc>
        <w:tc>
          <w:tcPr>
            <w:tcW w:w="2604" w:type="pct"/>
            <w:tcBorders>
              <w:right w:val="nil"/>
            </w:tcBorders>
            <w:noWrap/>
            <w:vAlign w:val="center"/>
          </w:tcPr>
          <w:p w14:paraId="7F48F009">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 xml:space="preserve"> 1348.7，出现时间：20</w:t>
            </w:r>
            <w:r>
              <w:rPr>
                <w:rFonts w:hint="eastAsia" w:cs="Times New Roman"/>
                <w:color w:val="auto"/>
                <w:sz w:val="21"/>
                <w:szCs w:val="21"/>
                <w:lang w:val="en-US" w:eastAsia="zh-CN"/>
              </w:rPr>
              <w:t>20</w:t>
            </w:r>
            <w:r>
              <w:rPr>
                <w:rFonts w:hint="eastAsia" w:ascii="Times New Roman" w:hAnsi="Times New Roman" w:cs="Times New Roman"/>
                <w:color w:val="auto"/>
                <w:sz w:val="21"/>
                <w:szCs w:val="21"/>
              </w:rPr>
              <w:t>年</w:t>
            </w:r>
          </w:p>
        </w:tc>
      </w:tr>
      <w:tr w14:paraId="0C31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6" w:type="pct"/>
            <w:tcBorders>
              <w:left w:val="nil"/>
              <w:bottom w:val="single" w:color="auto" w:sz="12" w:space="0"/>
            </w:tcBorders>
            <w:noWrap/>
            <w:vAlign w:val="center"/>
          </w:tcPr>
          <w:p w14:paraId="5885FB19">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多</w:t>
            </w:r>
            <w:r>
              <w:rPr>
                <w:rFonts w:hint="eastAsia" w:ascii="Times New Roman" w:hAnsi="Times New Roman" w:cs="Times New Roman"/>
                <w:color w:val="auto"/>
                <w:sz w:val="21"/>
                <w:szCs w:val="21"/>
              </w:rPr>
              <w:t>年</w:t>
            </w:r>
            <w:r>
              <w:rPr>
                <w:rFonts w:hint="default" w:ascii="Times New Roman" w:hAnsi="Times New Roman" w:cs="Times New Roman"/>
                <w:color w:val="auto"/>
                <w:sz w:val="21"/>
                <w:szCs w:val="21"/>
              </w:rPr>
              <w:t>平均日照时数</w:t>
            </w:r>
          </w:p>
        </w:tc>
        <w:tc>
          <w:tcPr>
            <w:tcW w:w="659" w:type="pct"/>
            <w:tcBorders>
              <w:bottom w:val="single" w:color="auto" w:sz="12" w:space="0"/>
            </w:tcBorders>
            <w:noWrap w:val="0"/>
            <w:vAlign w:val="center"/>
          </w:tcPr>
          <w:p w14:paraId="454F9F0E">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h</w:t>
            </w:r>
          </w:p>
        </w:tc>
        <w:tc>
          <w:tcPr>
            <w:tcW w:w="2604" w:type="pct"/>
            <w:tcBorders>
              <w:bottom w:val="single" w:color="auto" w:sz="12" w:space="0"/>
              <w:right w:val="nil"/>
            </w:tcBorders>
            <w:noWrap/>
            <w:vAlign w:val="center"/>
          </w:tcPr>
          <w:p w14:paraId="566873C7">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kern w:val="2"/>
                <w:sz w:val="21"/>
                <w:szCs w:val="22"/>
                <w:highlight w:val="none"/>
              </w:rPr>
              <w:t>17</w:t>
            </w:r>
            <w:r>
              <w:rPr>
                <w:rFonts w:hint="eastAsia" w:cs="Times New Roman"/>
                <w:color w:val="auto"/>
                <w:kern w:val="2"/>
                <w:sz w:val="21"/>
                <w:szCs w:val="22"/>
                <w:highlight w:val="none"/>
                <w:lang w:val="en-US" w:eastAsia="zh-CN"/>
              </w:rPr>
              <w:t>15.8</w:t>
            </w:r>
          </w:p>
        </w:tc>
      </w:tr>
    </w:tbl>
    <w:p w14:paraId="56E9C436">
      <w:pPr>
        <w:pStyle w:val="50"/>
        <w:keepNext w:val="0"/>
        <w:keepLines w:val="0"/>
        <w:pageBreakBefore w:val="0"/>
        <w:widowControl w:val="0"/>
        <w:kinsoku/>
        <w:wordWrap/>
        <w:overflowPunct/>
        <w:topLinePunct w:val="0"/>
        <w:autoSpaceDE/>
        <w:autoSpaceDN/>
        <w:bidi w:val="0"/>
        <w:adjustRightInd/>
        <w:snapToGrid/>
        <w:spacing w:before="313" w:beforeLines="100"/>
        <w:textAlignment w:val="auto"/>
        <w:rPr>
          <w:rFonts w:hint="eastAsia" w:eastAsia="仿宋"/>
          <w:color w:val="auto"/>
          <w:lang w:eastAsia="zh-CN"/>
        </w:rPr>
      </w:pPr>
      <w:r>
        <w:rPr>
          <w:rFonts w:hint="eastAsia" w:eastAsia="仿宋"/>
          <w:color w:val="auto"/>
          <w:lang w:eastAsia="zh-CN"/>
        </w:rPr>
        <w:drawing>
          <wp:inline distT="0" distB="0" distL="114300" distR="114300">
            <wp:extent cx="2505710" cy="2357120"/>
            <wp:effectExtent l="0" t="0" r="8890" b="5080"/>
            <wp:docPr id="241" name="图片 241" descr="2024年鹤山风玫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2024年鹤山风玫瑰图"/>
                    <pic:cNvPicPr>
                      <a:picLocks noChangeAspect="1"/>
                    </pic:cNvPicPr>
                  </pic:nvPicPr>
                  <pic:blipFill>
                    <a:blip r:embed="rId24"/>
                    <a:stretch>
                      <a:fillRect/>
                    </a:stretch>
                  </pic:blipFill>
                  <pic:spPr>
                    <a:xfrm>
                      <a:off x="0" y="0"/>
                      <a:ext cx="2505710" cy="2357120"/>
                    </a:xfrm>
                    <a:prstGeom prst="rect">
                      <a:avLst/>
                    </a:prstGeom>
                  </pic:spPr>
                </pic:pic>
              </a:graphicData>
            </a:graphic>
          </wp:inline>
        </w:drawing>
      </w:r>
    </w:p>
    <w:p w14:paraId="33AF0B6F">
      <w:pPr>
        <w:pStyle w:val="85"/>
        <w:keepNext w:val="0"/>
        <w:keepLines w:val="0"/>
        <w:pageBreakBefore w:val="0"/>
        <w:widowControl/>
        <w:numPr>
          <w:ilvl w:val="0"/>
          <w:numId w:val="38"/>
        </w:numPr>
        <w:kinsoku/>
        <w:wordWrap/>
        <w:overflowPunct/>
        <w:topLinePunct w:val="0"/>
        <w:autoSpaceDE/>
        <w:autoSpaceDN/>
        <w:bidi w:val="0"/>
        <w:adjustRightInd/>
        <w:snapToGrid/>
        <w:spacing w:line="240" w:lineRule="auto"/>
        <w:ind w:left="0" w:leftChars="0" w:firstLine="0" w:firstLineChars="0"/>
        <w:textAlignment w:val="auto"/>
        <w:rPr>
          <w:rFonts w:hint="eastAsia"/>
          <w:color w:val="auto"/>
          <w:sz w:val="24"/>
          <w:szCs w:val="24"/>
        </w:rPr>
      </w:pPr>
      <w:r>
        <w:rPr>
          <w:rFonts w:hint="eastAsia"/>
          <w:color w:val="auto"/>
          <w:sz w:val="24"/>
          <w:szCs w:val="24"/>
        </w:rPr>
        <w:t>鹤山市气象站累年年平均风向玫瑰图（统计年限：</w:t>
      </w:r>
      <w:r>
        <w:rPr>
          <w:rFonts w:hint="eastAsia"/>
          <w:color w:val="auto"/>
          <w:sz w:val="24"/>
          <w:szCs w:val="24"/>
          <w:lang w:eastAsia="zh-CN"/>
        </w:rPr>
        <w:t>2005~2024</w:t>
      </w:r>
      <w:r>
        <w:rPr>
          <w:rFonts w:hint="eastAsia"/>
          <w:color w:val="auto"/>
          <w:sz w:val="24"/>
          <w:szCs w:val="24"/>
        </w:rPr>
        <w:t>年）</w:t>
      </w:r>
    </w:p>
    <w:p w14:paraId="40496339">
      <w:pPr>
        <w:spacing w:before="240" w:beforeLines="100" w:line="360" w:lineRule="auto"/>
        <w:ind w:firstLine="482"/>
        <w:rPr>
          <w:b/>
          <w:bCs/>
          <w:color w:val="auto"/>
        </w:rPr>
      </w:pPr>
      <w:r>
        <w:rPr>
          <w:b/>
          <w:bCs/>
          <w:color w:val="auto"/>
        </w:rPr>
        <w:t>①</w:t>
      </w:r>
      <w:r>
        <w:rPr>
          <w:rFonts w:hint="eastAsia"/>
          <w:b/>
          <w:bCs/>
          <w:color w:val="auto"/>
        </w:rPr>
        <w:t>常年月平均气温、风速</w:t>
      </w:r>
    </w:p>
    <w:p w14:paraId="0279A9DD">
      <w:pPr>
        <w:spacing w:line="360" w:lineRule="auto"/>
        <w:ind w:firstLine="480"/>
        <w:rPr>
          <w:color w:val="auto"/>
        </w:rPr>
      </w:pPr>
      <w:r>
        <w:rPr>
          <w:color w:val="auto"/>
        </w:rPr>
        <w:t>根据鹤山市气象站近20年监测到的该地区平均气温及风速的月变化数据，可见该地区常年平均温度在7月最高，为29.</w:t>
      </w:r>
      <w:r>
        <w:rPr>
          <w:rFonts w:hint="eastAsia"/>
          <w:color w:val="auto"/>
          <w:lang w:val="en-US" w:eastAsia="zh-CN"/>
        </w:rPr>
        <w:t>2</w:t>
      </w:r>
      <w:r>
        <w:rPr>
          <w:color w:val="auto"/>
        </w:rPr>
        <w:t>℃；最低月平均风速为3月份1.8m/s，最高月平均风速为</w:t>
      </w:r>
      <w:r>
        <w:rPr>
          <w:rFonts w:hint="eastAsia"/>
          <w:color w:val="auto"/>
          <w:lang w:val="en-US" w:eastAsia="zh-CN"/>
        </w:rPr>
        <w:t>6、7、10、11、1</w:t>
      </w:r>
      <w:r>
        <w:rPr>
          <w:color w:val="auto"/>
        </w:rPr>
        <w:t>月份2.0m/s，全年平均风速为</w:t>
      </w:r>
      <w:r>
        <w:rPr>
          <w:rFonts w:hint="eastAsia"/>
          <w:color w:val="auto"/>
          <w:lang w:val="en-US" w:eastAsia="zh-CN"/>
        </w:rPr>
        <w:t>2.0</w:t>
      </w:r>
      <w:r>
        <w:rPr>
          <w:color w:val="auto"/>
        </w:rPr>
        <w:t>m/s。</w:t>
      </w:r>
    </w:p>
    <w:p w14:paraId="2E5A2354">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鹤山市气象站月平均气温和风速统计（统计年限：</w:t>
      </w:r>
      <w:r>
        <w:rPr>
          <w:rFonts w:hint="eastAsia" w:ascii="Times New Roman" w:hAnsi="Times New Roman" w:eastAsia="宋体" w:cs="Times New Roman"/>
          <w:color w:val="auto"/>
          <w:sz w:val="24"/>
          <w:szCs w:val="24"/>
          <w:lang w:eastAsia="zh-CN"/>
        </w:rPr>
        <w:t>2005~2024</w:t>
      </w:r>
      <w:r>
        <w:rPr>
          <w:rFonts w:hint="eastAsia" w:ascii="Times New Roman" w:hAnsi="Times New Roman" w:eastAsia="宋体" w:cs="Times New Roman"/>
          <w:color w:val="auto"/>
          <w:sz w:val="24"/>
          <w:szCs w:val="24"/>
        </w:rPr>
        <w:t>年）</w:t>
      </w:r>
    </w:p>
    <w:tbl>
      <w:tblPr>
        <w:tblStyle w:val="38"/>
        <w:tblW w:w="4997"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1546"/>
        <w:gridCol w:w="1547"/>
        <w:gridCol w:w="1547"/>
        <w:gridCol w:w="1547"/>
        <w:gridCol w:w="1549"/>
      </w:tblGrid>
      <w:tr w14:paraId="5948DF5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blHeader/>
        </w:trPr>
        <w:tc>
          <w:tcPr>
            <w:tcW w:w="833" w:type="pct"/>
            <w:tcBorders>
              <w:top w:val="single" w:color="000000" w:sz="12" w:space="0"/>
              <w:left w:val="nil"/>
              <w:tl2br w:val="nil"/>
            </w:tcBorders>
            <w:shd w:val="clear" w:color="auto" w:fill="FFFFFF"/>
            <w:noWrap/>
            <w:vAlign w:val="center"/>
          </w:tcPr>
          <w:p w14:paraId="786F0013">
            <w:pPr>
              <w:pStyle w:val="59"/>
              <w:bidi w:val="0"/>
            </w:pPr>
            <w:r>
              <w:rPr>
                <w:rFonts w:hint="eastAsia"/>
                <w:lang w:val="en-US" w:eastAsia="zh-CN"/>
              </w:rPr>
              <w:t>年份</w:t>
            </w:r>
          </w:p>
        </w:tc>
        <w:tc>
          <w:tcPr>
            <w:tcW w:w="833" w:type="pct"/>
            <w:tcBorders>
              <w:top w:val="single" w:color="000000" w:sz="12" w:space="0"/>
            </w:tcBorders>
            <w:shd w:val="clear" w:color="auto" w:fill="FFFFFF"/>
            <w:noWrap/>
            <w:vAlign w:val="center"/>
          </w:tcPr>
          <w:p w14:paraId="554A8F5C">
            <w:pPr>
              <w:pStyle w:val="59"/>
              <w:bidi w:val="0"/>
              <w:rPr>
                <w:rFonts w:hint="eastAsia"/>
              </w:rPr>
            </w:pPr>
            <w:r>
              <w:rPr>
                <w:rFonts w:hint="eastAsia"/>
                <w:lang w:val="en-US" w:eastAsia="zh-CN"/>
              </w:rPr>
              <w:t>气温 ℃</w:t>
            </w:r>
          </w:p>
        </w:tc>
        <w:tc>
          <w:tcPr>
            <w:tcW w:w="833" w:type="pct"/>
            <w:tcBorders>
              <w:top w:val="single" w:color="000000" w:sz="12" w:space="0"/>
            </w:tcBorders>
            <w:shd w:val="clear" w:color="auto" w:fill="FFFFFF"/>
            <w:noWrap/>
            <w:vAlign w:val="center"/>
          </w:tcPr>
          <w:p w14:paraId="411F924E">
            <w:pPr>
              <w:pStyle w:val="59"/>
              <w:bidi w:val="0"/>
              <w:rPr>
                <w:rFonts w:hint="eastAsia"/>
              </w:rPr>
            </w:pPr>
            <w:r>
              <w:rPr>
                <w:rFonts w:hint="eastAsia"/>
                <w:lang w:val="en-US" w:eastAsia="zh-CN"/>
              </w:rPr>
              <w:t>降水 mm</w:t>
            </w:r>
          </w:p>
        </w:tc>
        <w:tc>
          <w:tcPr>
            <w:tcW w:w="833" w:type="pct"/>
            <w:tcBorders>
              <w:top w:val="single" w:color="000000" w:sz="12" w:space="0"/>
            </w:tcBorders>
            <w:shd w:val="clear" w:color="auto" w:fill="FFFFFF"/>
            <w:noWrap/>
            <w:vAlign w:val="center"/>
          </w:tcPr>
          <w:p w14:paraId="10758500">
            <w:pPr>
              <w:pStyle w:val="59"/>
              <w:bidi w:val="0"/>
              <w:rPr>
                <w:rFonts w:hint="eastAsia"/>
              </w:rPr>
            </w:pPr>
            <w:r>
              <w:rPr>
                <w:rFonts w:hint="eastAsia"/>
                <w:lang w:val="en-US" w:eastAsia="zh-CN"/>
              </w:rPr>
              <w:t>相对湿度 %</w:t>
            </w:r>
          </w:p>
        </w:tc>
        <w:tc>
          <w:tcPr>
            <w:tcW w:w="833" w:type="pct"/>
            <w:tcBorders>
              <w:top w:val="single" w:color="000000" w:sz="12" w:space="0"/>
            </w:tcBorders>
            <w:shd w:val="clear" w:color="auto" w:fill="FFFFFF"/>
            <w:noWrap/>
            <w:vAlign w:val="center"/>
          </w:tcPr>
          <w:p w14:paraId="6AB928DD">
            <w:pPr>
              <w:pStyle w:val="59"/>
              <w:bidi w:val="0"/>
              <w:rPr>
                <w:rFonts w:hint="eastAsia"/>
              </w:rPr>
            </w:pPr>
            <w:r>
              <w:rPr>
                <w:rFonts w:hint="eastAsia"/>
                <w:lang w:val="en-US" w:eastAsia="zh-CN"/>
              </w:rPr>
              <w:t>日照时长 h</w:t>
            </w:r>
          </w:p>
        </w:tc>
        <w:tc>
          <w:tcPr>
            <w:tcW w:w="834" w:type="pct"/>
            <w:tcBorders>
              <w:top w:val="single" w:color="000000" w:sz="12" w:space="0"/>
              <w:right w:val="nil"/>
            </w:tcBorders>
            <w:shd w:val="clear" w:color="auto" w:fill="FFFFFF"/>
            <w:noWrap/>
            <w:vAlign w:val="center"/>
          </w:tcPr>
          <w:p w14:paraId="1E0E92CC">
            <w:pPr>
              <w:pStyle w:val="59"/>
              <w:bidi w:val="0"/>
              <w:rPr>
                <w:rFonts w:hint="eastAsia"/>
              </w:rPr>
            </w:pPr>
            <w:r>
              <w:rPr>
                <w:rFonts w:hint="eastAsia"/>
                <w:lang w:val="en-US" w:eastAsia="zh-CN"/>
              </w:rPr>
              <w:t>平均风速 m/s</w:t>
            </w:r>
          </w:p>
        </w:tc>
      </w:tr>
      <w:tr w14:paraId="2A39545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0574E390">
            <w:pPr>
              <w:pStyle w:val="59"/>
              <w:bidi w:val="0"/>
              <w:rPr>
                <w:rFonts w:hint="eastAsia"/>
              </w:rPr>
            </w:pPr>
            <w:r>
              <w:rPr>
                <w:rFonts w:hint="eastAsia"/>
                <w:lang w:val="en-US" w:eastAsia="zh-CN"/>
              </w:rPr>
              <w:t>2005</w:t>
            </w:r>
          </w:p>
        </w:tc>
        <w:tc>
          <w:tcPr>
            <w:tcW w:w="833" w:type="pct"/>
            <w:shd w:val="clear" w:color="auto" w:fill="FFFFFF"/>
            <w:noWrap/>
            <w:vAlign w:val="center"/>
          </w:tcPr>
          <w:p w14:paraId="68AFE206">
            <w:pPr>
              <w:pStyle w:val="59"/>
              <w:bidi w:val="0"/>
              <w:rPr>
                <w:rFonts w:hint="eastAsia"/>
              </w:rPr>
            </w:pPr>
            <w:r>
              <w:rPr>
                <w:rFonts w:hint="eastAsia"/>
                <w:lang w:val="en-US" w:eastAsia="zh-CN"/>
              </w:rPr>
              <w:t>22.6</w:t>
            </w:r>
          </w:p>
        </w:tc>
        <w:tc>
          <w:tcPr>
            <w:tcW w:w="833" w:type="pct"/>
            <w:shd w:val="clear" w:color="auto" w:fill="FFFFFF"/>
            <w:noWrap/>
            <w:vAlign w:val="center"/>
          </w:tcPr>
          <w:p w14:paraId="556C2E1B">
            <w:pPr>
              <w:pStyle w:val="59"/>
              <w:bidi w:val="0"/>
              <w:rPr>
                <w:rFonts w:hint="eastAsia"/>
              </w:rPr>
            </w:pPr>
            <w:r>
              <w:rPr>
                <w:rFonts w:hint="eastAsia"/>
                <w:lang w:val="en-US" w:eastAsia="zh-CN"/>
              </w:rPr>
              <w:t>1461.4</w:t>
            </w:r>
          </w:p>
        </w:tc>
        <w:tc>
          <w:tcPr>
            <w:tcW w:w="833" w:type="pct"/>
            <w:shd w:val="clear" w:color="auto" w:fill="FFFFFF"/>
            <w:noWrap/>
            <w:vAlign w:val="center"/>
          </w:tcPr>
          <w:p w14:paraId="53C7174E">
            <w:pPr>
              <w:pStyle w:val="59"/>
              <w:bidi w:val="0"/>
              <w:rPr>
                <w:rFonts w:hint="eastAsia"/>
              </w:rPr>
            </w:pPr>
            <w:r>
              <w:rPr>
                <w:rFonts w:hint="eastAsia"/>
                <w:lang w:val="en-US" w:eastAsia="zh-CN"/>
              </w:rPr>
              <w:t>77</w:t>
            </w:r>
          </w:p>
        </w:tc>
        <w:tc>
          <w:tcPr>
            <w:tcW w:w="833" w:type="pct"/>
            <w:shd w:val="clear" w:color="auto" w:fill="FFFFFF"/>
            <w:noWrap/>
            <w:vAlign w:val="center"/>
          </w:tcPr>
          <w:p w14:paraId="172C6850">
            <w:pPr>
              <w:pStyle w:val="59"/>
              <w:bidi w:val="0"/>
              <w:rPr>
                <w:rFonts w:hint="eastAsia"/>
              </w:rPr>
            </w:pPr>
            <w:r>
              <w:rPr>
                <w:rFonts w:hint="eastAsia"/>
                <w:lang w:val="en-US" w:eastAsia="zh-CN"/>
              </w:rPr>
              <w:t>1521.5</w:t>
            </w:r>
          </w:p>
        </w:tc>
        <w:tc>
          <w:tcPr>
            <w:tcW w:w="834" w:type="pct"/>
            <w:tcBorders>
              <w:right w:val="nil"/>
            </w:tcBorders>
            <w:shd w:val="clear" w:color="auto" w:fill="FFFFFF"/>
            <w:noWrap/>
            <w:vAlign w:val="center"/>
          </w:tcPr>
          <w:p w14:paraId="7A5D6136">
            <w:pPr>
              <w:pStyle w:val="59"/>
              <w:bidi w:val="0"/>
              <w:rPr>
                <w:rFonts w:hint="eastAsia"/>
              </w:rPr>
            </w:pPr>
            <w:r>
              <w:rPr>
                <w:rFonts w:hint="eastAsia"/>
                <w:lang w:val="en-US" w:eastAsia="zh-CN"/>
              </w:rPr>
              <w:t>1.8</w:t>
            </w:r>
          </w:p>
        </w:tc>
      </w:tr>
      <w:tr w14:paraId="6DF476D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000422F6">
            <w:pPr>
              <w:pStyle w:val="59"/>
              <w:bidi w:val="0"/>
              <w:rPr>
                <w:rFonts w:hint="eastAsia"/>
              </w:rPr>
            </w:pPr>
            <w:r>
              <w:rPr>
                <w:rFonts w:hint="eastAsia"/>
                <w:lang w:val="en-US" w:eastAsia="zh-CN"/>
              </w:rPr>
              <w:t>2006</w:t>
            </w:r>
          </w:p>
        </w:tc>
        <w:tc>
          <w:tcPr>
            <w:tcW w:w="833" w:type="pct"/>
            <w:shd w:val="clear" w:color="auto" w:fill="FFFFFF"/>
            <w:noWrap/>
            <w:vAlign w:val="center"/>
          </w:tcPr>
          <w:p w14:paraId="3DACB6CC">
            <w:pPr>
              <w:pStyle w:val="59"/>
              <w:bidi w:val="0"/>
              <w:rPr>
                <w:rFonts w:hint="eastAsia"/>
              </w:rPr>
            </w:pPr>
            <w:r>
              <w:rPr>
                <w:rFonts w:hint="eastAsia"/>
                <w:lang w:val="en-US" w:eastAsia="zh-CN"/>
              </w:rPr>
              <w:t>23.1</w:t>
            </w:r>
          </w:p>
        </w:tc>
        <w:tc>
          <w:tcPr>
            <w:tcW w:w="833" w:type="pct"/>
            <w:shd w:val="clear" w:color="auto" w:fill="FFFFFF"/>
            <w:noWrap/>
            <w:vAlign w:val="center"/>
          </w:tcPr>
          <w:p w14:paraId="2BA932DC">
            <w:pPr>
              <w:pStyle w:val="59"/>
              <w:bidi w:val="0"/>
              <w:rPr>
                <w:rFonts w:hint="eastAsia"/>
              </w:rPr>
            </w:pPr>
            <w:r>
              <w:rPr>
                <w:rFonts w:hint="eastAsia"/>
                <w:lang w:val="en-US" w:eastAsia="zh-CN"/>
              </w:rPr>
              <w:t>2417</w:t>
            </w:r>
          </w:p>
        </w:tc>
        <w:tc>
          <w:tcPr>
            <w:tcW w:w="833" w:type="pct"/>
            <w:shd w:val="clear" w:color="auto" w:fill="FFFFFF"/>
            <w:noWrap/>
            <w:vAlign w:val="center"/>
          </w:tcPr>
          <w:p w14:paraId="42B3BF07">
            <w:pPr>
              <w:pStyle w:val="59"/>
              <w:bidi w:val="0"/>
              <w:rPr>
                <w:rFonts w:hint="eastAsia"/>
              </w:rPr>
            </w:pPr>
            <w:r>
              <w:rPr>
                <w:rFonts w:hint="eastAsia"/>
                <w:lang w:val="en-US" w:eastAsia="zh-CN"/>
              </w:rPr>
              <w:t>78</w:t>
            </w:r>
          </w:p>
        </w:tc>
        <w:tc>
          <w:tcPr>
            <w:tcW w:w="833" w:type="pct"/>
            <w:shd w:val="clear" w:color="auto" w:fill="FFFFFF"/>
            <w:noWrap/>
            <w:vAlign w:val="center"/>
          </w:tcPr>
          <w:p w14:paraId="727E4236">
            <w:pPr>
              <w:pStyle w:val="59"/>
              <w:bidi w:val="0"/>
              <w:rPr>
                <w:rFonts w:hint="eastAsia"/>
              </w:rPr>
            </w:pPr>
            <w:r>
              <w:rPr>
                <w:rFonts w:hint="eastAsia"/>
                <w:lang w:val="en-US" w:eastAsia="zh-CN"/>
              </w:rPr>
              <w:t>1569</w:t>
            </w:r>
          </w:p>
        </w:tc>
        <w:tc>
          <w:tcPr>
            <w:tcW w:w="834" w:type="pct"/>
            <w:tcBorders>
              <w:right w:val="nil"/>
            </w:tcBorders>
            <w:shd w:val="clear" w:color="auto" w:fill="FFFFFF"/>
            <w:noWrap/>
            <w:vAlign w:val="center"/>
          </w:tcPr>
          <w:p w14:paraId="683E4B8E">
            <w:pPr>
              <w:pStyle w:val="59"/>
              <w:bidi w:val="0"/>
              <w:rPr>
                <w:rFonts w:hint="eastAsia"/>
              </w:rPr>
            </w:pPr>
            <w:r>
              <w:rPr>
                <w:rFonts w:hint="eastAsia"/>
                <w:lang w:val="en-US" w:eastAsia="zh-CN"/>
              </w:rPr>
              <w:t>1.7</w:t>
            </w:r>
          </w:p>
        </w:tc>
      </w:tr>
      <w:tr w14:paraId="01EC83F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712082C3">
            <w:pPr>
              <w:pStyle w:val="59"/>
              <w:bidi w:val="0"/>
              <w:rPr>
                <w:rFonts w:hint="eastAsia"/>
              </w:rPr>
            </w:pPr>
            <w:r>
              <w:rPr>
                <w:rFonts w:hint="eastAsia"/>
                <w:lang w:val="en-US" w:eastAsia="zh-CN"/>
              </w:rPr>
              <w:t>2007</w:t>
            </w:r>
          </w:p>
        </w:tc>
        <w:tc>
          <w:tcPr>
            <w:tcW w:w="833" w:type="pct"/>
            <w:shd w:val="clear" w:color="auto" w:fill="FFFFFF"/>
            <w:noWrap/>
            <w:vAlign w:val="center"/>
          </w:tcPr>
          <w:p w14:paraId="5B5E89FE">
            <w:pPr>
              <w:pStyle w:val="59"/>
              <w:bidi w:val="0"/>
              <w:rPr>
                <w:rFonts w:hint="eastAsia"/>
              </w:rPr>
            </w:pPr>
            <w:r>
              <w:rPr>
                <w:rFonts w:hint="eastAsia"/>
                <w:lang w:val="en-US" w:eastAsia="zh-CN"/>
              </w:rPr>
              <w:t>23.1</w:t>
            </w:r>
          </w:p>
        </w:tc>
        <w:tc>
          <w:tcPr>
            <w:tcW w:w="833" w:type="pct"/>
            <w:shd w:val="clear" w:color="auto" w:fill="FFFFFF"/>
            <w:noWrap/>
            <w:vAlign w:val="center"/>
          </w:tcPr>
          <w:p w14:paraId="0AEAECBB">
            <w:pPr>
              <w:pStyle w:val="59"/>
              <w:bidi w:val="0"/>
              <w:rPr>
                <w:rFonts w:hint="eastAsia"/>
              </w:rPr>
            </w:pPr>
            <w:r>
              <w:rPr>
                <w:rFonts w:hint="eastAsia"/>
                <w:lang w:val="en-US" w:eastAsia="zh-CN"/>
              </w:rPr>
              <w:t>1583.8</w:t>
            </w:r>
          </w:p>
        </w:tc>
        <w:tc>
          <w:tcPr>
            <w:tcW w:w="833" w:type="pct"/>
            <w:shd w:val="clear" w:color="auto" w:fill="FFFFFF"/>
            <w:noWrap/>
            <w:vAlign w:val="center"/>
          </w:tcPr>
          <w:p w14:paraId="3AF9DAFC">
            <w:pPr>
              <w:pStyle w:val="59"/>
              <w:bidi w:val="0"/>
              <w:rPr>
                <w:rFonts w:hint="eastAsia"/>
              </w:rPr>
            </w:pPr>
            <w:r>
              <w:rPr>
                <w:rFonts w:hint="eastAsia"/>
                <w:lang w:val="en-US" w:eastAsia="zh-CN"/>
              </w:rPr>
              <w:t>74</w:t>
            </w:r>
          </w:p>
        </w:tc>
        <w:tc>
          <w:tcPr>
            <w:tcW w:w="833" w:type="pct"/>
            <w:shd w:val="clear" w:color="auto" w:fill="FFFFFF"/>
            <w:noWrap/>
            <w:vAlign w:val="center"/>
          </w:tcPr>
          <w:p w14:paraId="4770681C">
            <w:pPr>
              <w:pStyle w:val="59"/>
              <w:bidi w:val="0"/>
              <w:rPr>
                <w:rFonts w:hint="eastAsia"/>
              </w:rPr>
            </w:pPr>
            <w:r>
              <w:rPr>
                <w:rFonts w:hint="eastAsia"/>
                <w:lang w:val="en-US" w:eastAsia="zh-CN"/>
              </w:rPr>
              <w:t>1876.9</w:t>
            </w:r>
          </w:p>
        </w:tc>
        <w:tc>
          <w:tcPr>
            <w:tcW w:w="834" w:type="pct"/>
            <w:tcBorders>
              <w:right w:val="nil"/>
            </w:tcBorders>
            <w:shd w:val="clear" w:color="auto" w:fill="FFFFFF"/>
            <w:noWrap/>
            <w:vAlign w:val="center"/>
          </w:tcPr>
          <w:p w14:paraId="3D0D13F4">
            <w:pPr>
              <w:pStyle w:val="59"/>
              <w:bidi w:val="0"/>
              <w:rPr>
                <w:rFonts w:hint="eastAsia"/>
              </w:rPr>
            </w:pPr>
            <w:r>
              <w:rPr>
                <w:rFonts w:hint="eastAsia"/>
                <w:lang w:val="en-US" w:eastAsia="zh-CN"/>
              </w:rPr>
              <w:t>1.6</w:t>
            </w:r>
          </w:p>
        </w:tc>
      </w:tr>
      <w:tr w14:paraId="1C4514F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221B311C">
            <w:pPr>
              <w:pStyle w:val="59"/>
              <w:bidi w:val="0"/>
              <w:rPr>
                <w:rFonts w:hint="eastAsia"/>
              </w:rPr>
            </w:pPr>
            <w:r>
              <w:rPr>
                <w:rFonts w:hint="eastAsia"/>
                <w:lang w:val="en-US" w:eastAsia="zh-CN"/>
              </w:rPr>
              <w:t>2008</w:t>
            </w:r>
          </w:p>
        </w:tc>
        <w:tc>
          <w:tcPr>
            <w:tcW w:w="833" w:type="pct"/>
            <w:shd w:val="clear" w:color="auto" w:fill="FFFFFF"/>
            <w:noWrap/>
            <w:vAlign w:val="center"/>
          </w:tcPr>
          <w:p w14:paraId="5D713C27">
            <w:pPr>
              <w:pStyle w:val="59"/>
              <w:bidi w:val="0"/>
              <w:rPr>
                <w:rFonts w:hint="eastAsia"/>
              </w:rPr>
            </w:pPr>
            <w:r>
              <w:rPr>
                <w:rFonts w:hint="eastAsia"/>
                <w:lang w:val="en-US" w:eastAsia="zh-CN"/>
              </w:rPr>
              <w:t>22.3</w:t>
            </w:r>
          </w:p>
        </w:tc>
        <w:tc>
          <w:tcPr>
            <w:tcW w:w="833" w:type="pct"/>
            <w:shd w:val="clear" w:color="auto" w:fill="FFFFFF"/>
            <w:noWrap/>
            <w:vAlign w:val="center"/>
          </w:tcPr>
          <w:p w14:paraId="5C574447">
            <w:pPr>
              <w:pStyle w:val="59"/>
              <w:bidi w:val="0"/>
              <w:rPr>
                <w:rFonts w:hint="eastAsia"/>
              </w:rPr>
            </w:pPr>
            <w:r>
              <w:rPr>
                <w:rFonts w:hint="eastAsia"/>
                <w:lang w:val="en-US" w:eastAsia="zh-CN"/>
              </w:rPr>
              <w:t>1924.6</w:t>
            </w:r>
          </w:p>
        </w:tc>
        <w:tc>
          <w:tcPr>
            <w:tcW w:w="833" w:type="pct"/>
            <w:shd w:val="clear" w:color="auto" w:fill="FFFFFF"/>
            <w:noWrap/>
            <w:vAlign w:val="center"/>
          </w:tcPr>
          <w:p w14:paraId="12421E5E">
            <w:pPr>
              <w:pStyle w:val="59"/>
              <w:bidi w:val="0"/>
              <w:rPr>
                <w:rFonts w:hint="eastAsia"/>
              </w:rPr>
            </w:pPr>
            <w:r>
              <w:rPr>
                <w:rFonts w:hint="eastAsia"/>
                <w:lang w:val="en-US" w:eastAsia="zh-CN"/>
              </w:rPr>
              <w:t>72</w:t>
            </w:r>
          </w:p>
        </w:tc>
        <w:tc>
          <w:tcPr>
            <w:tcW w:w="833" w:type="pct"/>
            <w:shd w:val="clear" w:color="auto" w:fill="FFFFFF"/>
            <w:noWrap/>
            <w:vAlign w:val="center"/>
          </w:tcPr>
          <w:p w14:paraId="6F315B8B">
            <w:pPr>
              <w:pStyle w:val="59"/>
              <w:bidi w:val="0"/>
              <w:rPr>
                <w:rFonts w:hint="eastAsia"/>
              </w:rPr>
            </w:pPr>
            <w:r>
              <w:rPr>
                <w:rFonts w:hint="eastAsia"/>
                <w:lang w:val="en-US" w:eastAsia="zh-CN"/>
              </w:rPr>
              <w:t>1785.9</w:t>
            </w:r>
          </w:p>
        </w:tc>
        <w:tc>
          <w:tcPr>
            <w:tcW w:w="834" w:type="pct"/>
            <w:tcBorders>
              <w:right w:val="nil"/>
            </w:tcBorders>
            <w:shd w:val="clear" w:color="auto" w:fill="FFFFFF"/>
            <w:noWrap/>
            <w:vAlign w:val="center"/>
          </w:tcPr>
          <w:p w14:paraId="27860488">
            <w:pPr>
              <w:pStyle w:val="59"/>
              <w:bidi w:val="0"/>
              <w:rPr>
                <w:rFonts w:hint="eastAsia"/>
              </w:rPr>
            </w:pPr>
            <w:r>
              <w:rPr>
                <w:rFonts w:hint="eastAsia"/>
                <w:lang w:val="en-US" w:eastAsia="zh-CN"/>
              </w:rPr>
              <w:t>1.8</w:t>
            </w:r>
          </w:p>
        </w:tc>
      </w:tr>
      <w:tr w14:paraId="7BFDEEA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5991D613">
            <w:pPr>
              <w:pStyle w:val="59"/>
              <w:bidi w:val="0"/>
              <w:rPr>
                <w:rFonts w:hint="eastAsia"/>
              </w:rPr>
            </w:pPr>
            <w:r>
              <w:rPr>
                <w:rFonts w:hint="eastAsia"/>
                <w:lang w:val="en-US" w:eastAsia="zh-CN"/>
              </w:rPr>
              <w:t>2009</w:t>
            </w:r>
          </w:p>
        </w:tc>
        <w:tc>
          <w:tcPr>
            <w:tcW w:w="833" w:type="pct"/>
            <w:shd w:val="clear" w:color="auto" w:fill="FFFFFF"/>
            <w:noWrap/>
            <w:vAlign w:val="center"/>
          </w:tcPr>
          <w:p w14:paraId="126C043E">
            <w:pPr>
              <w:pStyle w:val="59"/>
              <w:bidi w:val="0"/>
              <w:rPr>
                <w:rFonts w:hint="eastAsia"/>
              </w:rPr>
            </w:pPr>
            <w:r>
              <w:rPr>
                <w:rFonts w:hint="eastAsia"/>
                <w:lang w:val="en-US" w:eastAsia="zh-CN"/>
              </w:rPr>
              <w:t>23.1</w:t>
            </w:r>
          </w:p>
        </w:tc>
        <w:tc>
          <w:tcPr>
            <w:tcW w:w="833" w:type="pct"/>
            <w:shd w:val="clear" w:color="auto" w:fill="FFFFFF"/>
            <w:noWrap/>
            <w:vAlign w:val="center"/>
          </w:tcPr>
          <w:p w14:paraId="5A377C8C">
            <w:pPr>
              <w:pStyle w:val="59"/>
              <w:bidi w:val="0"/>
              <w:rPr>
                <w:rFonts w:hint="eastAsia"/>
              </w:rPr>
            </w:pPr>
            <w:r>
              <w:rPr>
                <w:rFonts w:hint="eastAsia"/>
                <w:lang w:val="en-US" w:eastAsia="zh-CN"/>
              </w:rPr>
              <w:t>1613.2</w:t>
            </w:r>
          </w:p>
        </w:tc>
        <w:tc>
          <w:tcPr>
            <w:tcW w:w="833" w:type="pct"/>
            <w:shd w:val="clear" w:color="auto" w:fill="FFFFFF"/>
            <w:noWrap/>
            <w:vAlign w:val="center"/>
          </w:tcPr>
          <w:p w14:paraId="35804BBD">
            <w:pPr>
              <w:pStyle w:val="59"/>
              <w:bidi w:val="0"/>
              <w:rPr>
                <w:rFonts w:hint="eastAsia"/>
              </w:rPr>
            </w:pPr>
            <w:r>
              <w:rPr>
                <w:rFonts w:hint="eastAsia"/>
                <w:lang w:val="en-US" w:eastAsia="zh-CN"/>
              </w:rPr>
              <w:t>72</w:t>
            </w:r>
          </w:p>
        </w:tc>
        <w:tc>
          <w:tcPr>
            <w:tcW w:w="833" w:type="pct"/>
            <w:shd w:val="clear" w:color="auto" w:fill="FFFFFF"/>
            <w:noWrap/>
            <w:vAlign w:val="center"/>
          </w:tcPr>
          <w:p w14:paraId="4D846125">
            <w:pPr>
              <w:pStyle w:val="59"/>
              <w:bidi w:val="0"/>
              <w:rPr>
                <w:rFonts w:hint="eastAsia"/>
              </w:rPr>
            </w:pPr>
            <w:r>
              <w:rPr>
                <w:rFonts w:hint="eastAsia"/>
                <w:lang w:val="en-US" w:eastAsia="zh-CN"/>
              </w:rPr>
              <w:t>1873.4</w:t>
            </w:r>
          </w:p>
        </w:tc>
        <w:tc>
          <w:tcPr>
            <w:tcW w:w="834" w:type="pct"/>
            <w:tcBorders>
              <w:right w:val="nil"/>
            </w:tcBorders>
            <w:shd w:val="clear" w:color="auto" w:fill="FFFFFF"/>
            <w:noWrap/>
            <w:vAlign w:val="center"/>
          </w:tcPr>
          <w:p w14:paraId="74ED22CB">
            <w:pPr>
              <w:pStyle w:val="59"/>
              <w:bidi w:val="0"/>
              <w:rPr>
                <w:rFonts w:hint="eastAsia"/>
              </w:rPr>
            </w:pPr>
            <w:r>
              <w:rPr>
                <w:rFonts w:hint="eastAsia"/>
                <w:lang w:val="en-US" w:eastAsia="zh-CN"/>
              </w:rPr>
              <w:t>2</w:t>
            </w:r>
          </w:p>
        </w:tc>
      </w:tr>
      <w:tr w14:paraId="03B9C78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00B59F62">
            <w:pPr>
              <w:pStyle w:val="59"/>
              <w:bidi w:val="0"/>
              <w:rPr>
                <w:rFonts w:hint="eastAsia"/>
              </w:rPr>
            </w:pPr>
            <w:r>
              <w:rPr>
                <w:rFonts w:hint="eastAsia"/>
                <w:lang w:val="en-US" w:eastAsia="zh-CN"/>
              </w:rPr>
              <w:t>2010</w:t>
            </w:r>
          </w:p>
        </w:tc>
        <w:tc>
          <w:tcPr>
            <w:tcW w:w="833" w:type="pct"/>
            <w:shd w:val="clear" w:color="auto" w:fill="FFFFFF"/>
            <w:noWrap/>
            <w:vAlign w:val="center"/>
          </w:tcPr>
          <w:p w14:paraId="4128A247">
            <w:pPr>
              <w:pStyle w:val="59"/>
              <w:bidi w:val="0"/>
              <w:rPr>
                <w:rFonts w:hint="eastAsia"/>
              </w:rPr>
            </w:pPr>
            <w:r>
              <w:rPr>
                <w:rFonts w:hint="eastAsia"/>
                <w:lang w:val="en-US" w:eastAsia="zh-CN"/>
              </w:rPr>
              <w:t>22.7</w:t>
            </w:r>
          </w:p>
        </w:tc>
        <w:tc>
          <w:tcPr>
            <w:tcW w:w="833" w:type="pct"/>
            <w:shd w:val="clear" w:color="auto" w:fill="FFFFFF"/>
            <w:noWrap/>
            <w:vAlign w:val="center"/>
          </w:tcPr>
          <w:p w14:paraId="2FBBCDAD">
            <w:pPr>
              <w:pStyle w:val="59"/>
              <w:bidi w:val="0"/>
              <w:rPr>
                <w:rFonts w:hint="eastAsia"/>
              </w:rPr>
            </w:pPr>
            <w:r>
              <w:rPr>
                <w:rFonts w:hint="eastAsia"/>
                <w:lang w:val="en-US" w:eastAsia="zh-CN"/>
              </w:rPr>
              <w:t>1823.3</w:t>
            </w:r>
          </w:p>
        </w:tc>
        <w:tc>
          <w:tcPr>
            <w:tcW w:w="833" w:type="pct"/>
            <w:shd w:val="clear" w:color="auto" w:fill="FFFFFF"/>
            <w:noWrap/>
            <w:vAlign w:val="center"/>
          </w:tcPr>
          <w:p w14:paraId="04427A26">
            <w:pPr>
              <w:pStyle w:val="59"/>
              <w:bidi w:val="0"/>
              <w:rPr>
                <w:rFonts w:hint="eastAsia"/>
              </w:rPr>
            </w:pPr>
            <w:r>
              <w:rPr>
                <w:rFonts w:hint="eastAsia"/>
                <w:lang w:val="en-US" w:eastAsia="zh-CN"/>
              </w:rPr>
              <w:t>77</w:t>
            </w:r>
          </w:p>
        </w:tc>
        <w:tc>
          <w:tcPr>
            <w:tcW w:w="833" w:type="pct"/>
            <w:shd w:val="clear" w:color="auto" w:fill="FFFFFF"/>
            <w:noWrap/>
            <w:vAlign w:val="center"/>
          </w:tcPr>
          <w:p w14:paraId="6C1B7964">
            <w:pPr>
              <w:pStyle w:val="59"/>
              <w:bidi w:val="0"/>
              <w:rPr>
                <w:rFonts w:hint="eastAsia"/>
              </w:rPr>
            </w:pPr>
            <w:r>
              <w:rPr>
                <w:rFonts w:hint="eastAsia"/>
                <w:lang w:val="en-US" w:eastAsia="zh-CN"/>
              </w:rPr>
              <w:t>1689.3</w:t>
            </w:r>
          </w:p>
        </w:tc>
        <w:tc>
          <w:tcPr>
            <w:tcW w:w="834" w:type="pct"/>
            <w:tcBorders>
              <w:right w:val="nil"/>
            </w:tcBorders>
            <w:shd w:val="clear" w:color="auto" w:fill="FFFFFF"/>
            <w:noWrap/>
            <w:vAlign w:val="center"/>
          </w:tcPr>
          <w:p w14:paraId="79181C16">
            <w:pPr>
              <w:pStyle w:val="59"/>
              <w:bidi w:val="0"/>
              <w:rPr>
                <w:rFonts w:hint="eastAsia"/>
              </w:rPr>
            </w:pPr>
            <w:r>
              <w:rPr>
                <w:rFonts w:hint="eastAsia"/>
                <w:lang w:val="en-US" w:eastAsia="zh-CN"/>
              </w:rPr>
              <w:t>2.1</w:t>
            </w:r>
          </w:p>
        </w:tc>
      </w:tr>
      <w:tr w14:paraId="2C76BF0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43D97FE0">
            <w:pPr>
              <w:pStyle w:val="59"/>
              <w:bidi w:val="0"/>
              <w:rPr>
                <w:rFonts w:hint="eastAsia"/>
              </w:rPr>
            </w:pPr>
            <w:r>
              <w:rPr>
                <w:rFonts w:hint="eastAsia"/>
                <w:lang w:val="en-US" w:eastAsia="zh-CN"/>
              </w:rPr>
              <w:t>2011</w:t>
            </w:r>
          </w:p>
        </w:tc>
        <w:tc>
          <w:tcPr>
            <w:tcW w:w="833" w:type="pct"/>
            <w:shd w:val="clear" w:color="auto" w:fill="FFFFFF"/>
            <w:noWrap/>
            <w:vAlign w:val="center"/>
          </w:tcPr>
          <w:p w14:paraId="5555EB4E">
            <w:pPr>
              <w:pStyle w:val="59"/>
              <w:bidi w:val="0"/>
              <w:rPr>
                <w:rFonts w:hint="eastAsia"/>
              </w:rPr>
            </w:pPr>
            <w:r>
              <w:rPr>
                <w:rFonts w:hint="eastAsia"/>
                <w:lang w:val="en-US" w:eastAsia="zh-CN"/>
              </w:rPr>
              <w:t>22.4</w:t>
            </w:r>
          </w:p>
        </w:tc>
        <w:tc>
          <w:tcPr>
            <w:tcW w:w="833" w:type="pct"/>
            <w:shd w:val="clear" w:color="auto" w:fill="FFFFFF"/>
            <w:noWrap/>
            <w:vAlign w:val="center"/>
          </w:tcPr>
          <w:p w14:paraId="03B6341E">
            <w:pPr>
              <w:pStyle w:val="59"/>
              <w:bidi w:val="0"/>
              <w:rPr>
                <w:rFonts w:hint="eastAsia"/>
              </w:rPr>
            </w:pPr>
            <w:r>
              <w:rPr>
                <w:rFonts w:hint="eastAsia"/>
                <w:lang w:val="en-US" w:eastAsia="zh-CN"/>
              </w:rPr>
              <w:t>1408.8</w:t>
            </w:r>
          </w:p>
        </w:tc>
        <w:tc>
          <w:tcPr>
            <w:tcW w:w="833" w:type="pct"/>
            <w:shd w:val="clear" w:color="auto" w:fill="FFFFFF"/>
            <w:noWrap/>
            <w:vAlign w:val="center"/>
          </w:tcPr>
          <w:p w14:paraId="0D71E185">
            <w:pPr>
              <w:pStyle w:val="59"/>
              <w:bidi w:val="0"/>
              <w:rPr>
                <w:rFonts w:hint="eastAsia"/>
              </w:rPr>
            </w:pPr>
            <w:r>
              <w:rPr>
                <w:rFonts w:hint="eastAsia"/>
                <w:lang w:val="en-US" w:eastAsia="zh-CN"/>
              </w:rPr>
              <w:t>71</w:t>
            </w:r>
          </w:p>
        </w:tc>
        <w:tc>
          <w:tcPr>
            <w:tcW w:w="833" w:type="pct"/>
            <w:shd w:val="clear" w:color="auto" w:fill="FFFFFF"/>
            <w:noWrap/>
            <w:vAlign w:val="center"/>
          </w:tcPr>
          <w:p w14:paraId="48EC6ED0">
            <w:pPr>
              <w:pStyle w:val="59"/>
              <w:bidi w:val="0"/>
              <w:rPr>
                <w:rFonts w:hint="eastAsia"/>
              </w:rPr>
            </w:pPr>
            <w:r>
              <w:rPr>
                <w:rFonts w:hint="eastAsia"/>
                <w:lang w:val="en-US" w:eastAsia="zh-CN"/>
              </w:rPr>
              <w:t>1866</w:t>
            </w:r>
          </w:p>
        </w:tc>
        <w:tc>
          <w:tcPr>
            <w:tcW w:w="834" w:type="pct"/>
            <w:tcBorders>
              <w:right w:val="nil"/>
            </w:tcBorders>
            <w:shd w:val="clear" w:color="auto" w:fill="FFFFFF"/>
            <w:noWrap/>
            <w:vAlign w:val="center"/>
          </w:tcPr>
          <w:p w14:paraId="2EC4C3DC">
            <w:pPr>
              <w:pStyle w:val="59"/>
              <w:bidi w:val="0"/>
              <w:rPr>
                <w:rFonts w:hint="eastAsia"/>
              </w:rPr>
            </w:pPr>
            <w:r>
              <w:rPr>
                <w:rFonts w:hint="eastAsia"/>
                <w:lang w:val="en-US" w:eastAsia="zh-CN"/>
              </w:rPr>
              <w:t>2.2</w:t>
            </w:r>
          </w:p>
        </w:tc>
      </w:tr>
      <w:tr w14:paraId="79701B5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353F4BD3">
            <w:pPr>
              <w:pStyle w:val="59"/>
              <w:bidi w:val="0"/>
              <w:rPr>
                <w:rFonts w:hint="eastAsia"/>
              </w:rPr>
            </w:pPr>
            <w:r>
              <w:rPr>
                <w:rFonts w:hint="eastAsia"/>
                <w:lang w:val="en-US" w:eastAsia="zh-CN"/>
              </w:rPr>
              <w:t>2012</w:t>
            </w:r>
          </w:p>
        </w:tc>
        <w:tc>
          <w:tcPr>
            <w:tcW w:w="833" w:type="pct"/>
            <w:shd w:val="clear" w:color="auto" w:fill="FFFFFF"/>
            <w:noWrap/>
            <w:vAlign w:val="center"/>
          </w:tcPr>
          <w:p w14:paraId="3772BF83">
            <w:pPr>
              <w:pStyle w:val="59"/>
              <w:bidi w:val="0"/>
              <w:rPr>
                <w:rFonts w:hint="eastAsia"/>
              </w:rPr>
            </w:pPr>
            <w:r>
              <w:rPr>
                <w:rFonts w:hint="eastAsia"/>
                <w:lang w:val="en-US" w:eastAsia="zh-CN"/>
              </w:rPr>
              <w:t>22.7</w:t>
            </w:r>
          </w:p>
        </w:tc>
        <w:tc>
          <w:tcPr>
            <w:tcW w:w="833" w:type="pct"/>
            <w:shd w:val="clear" w:color="auto" w:fill="FFFFFF"/>
            <w:noWrap/>
            <w:vAlign w:val="center"/>
          </w:tcPr>
          <w:p w14:paraId="26BF9A49">
            <w:pPr>
              <w:pStyle w:val="59"/>
              <w:bidi w:val="0"/>
              <w:rPr>
                <w:rFonts w:hint="eastAsia"/>
              </w:rPr>
            </w:pPr>
            <w:r>
              <w:rPr>
                <w:rFonts w:hint="eastAsia"/>
                <w:lang w:val="en-US" w:eastAsia="zh-CN"/>
              </w:rPr>
              <w:t>1867.8</w:t>
            </w:r>
          </w:p>
        </w:tc>
        <w:tc>
          <w:tcPr>
            <w:tcW w:w="833" w:type="pct"/>
            <w:shd w:val="clear" w:color="auto" w:fill="FFFFFF"/>
            <w:noWrap/>
            <w:vAlign w:val="center"/>
          </w:tcPr>
          <w:p w14:paraId="44A3B191">
            <w:pPr>
              <w:pStyle w:val="59"/>
              <w:bidi w:val="0"/>
              <w:rPr>
                <w:rFonts w:hint="eastAsia"/>
              </w:rPr>
            </w:pPr>
            <w:r>
              <w:rPr>
                <w:rFonts w:hint="eastAsia"/>
                <w:lang w:val="en-US" w:eastAsia="zh-CN"/>
              </w:rPr>
              <w:t>78</w:t>
            </w:r>
          </w:p>
        </w:tc>
        <w:tc>
          <w:tcPr>
            <w:tcW w:w="833" w:type="pct"/>
            <w:shd w:val="clear" w:color="auto" w:fill="FFFFFF"/>
            <w:noWrap/>
            <w:vAlign w:val="center"/>
          </w:tcPr>
          <w:p w14:paraId="48BC2B0E">
            <w:pPr>
              <w:pStyle w:val="59"/>
              <w:bidi w:val="0"/>
              <w:rPr>
                <w:rFonts w:hint="eastAsia"/>
              </w:rPr>
            </w:pPr>
            <w:r>
              <w:rPr>
                <w:rFonts w:hint="eastAsia"/>
                <w:lang w:val="en-US" w:eastAsia="zh-CN"/>
              </w:rPr>
              <w:t>1493.5</w:t>
            </w:r>
          </w:p>
        </w:tc>
        <w:tc>
          <w:tcPr>
            <w:tcW w:w="834" w:type="pct"/>
            <w:tcBorders>
              <w:right w:val="nil"/>
            </w:tcBorders>
            <w:shd w:val="clear" w:color="auto" w:fill="FFFFFF"/>
            <w:noWrap/>
            <w:vAlign w:val="center"/>
          </w:tcPr>
          <w:p w14:paraId="77D9E9F5">
            <w:pPr>
              <w:pStyle w:val="59"/>
              <w:bidi w:val="0"/>
              <w:rPr>
                <w:rFonts w:hint="eastAsia"/>
              </w:rPr>
            </w:pPr>
            <w:r>
              <w:rPr>
                <w:rFonts w:hint="eastAsia"/>
                <w:lang w:val="en-US" w:eastAsia="zh-CN"/>
              </w:rPr>
              <w:t>2</w:t>
            </w:r>
          </w:p>
        </w:tc>
      </w:tr>
      <w:tr w14:paraId="3DA1531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3DE95758">
            <w:pPr>
              <w:pStyle w:val="59"/>
              <w:bidi w:val="0"/>
              <w:rPr>
                <w:rFonts w:hint="eastAsia"/>
              </w:rPr>
            </w:pPr>
            <w:r>
              <w:rPr>
                <w:rFonts w:hint="eastAsia"/>
                <w:lang w:val="en-US" w:eastAsia="zh-CN"/>
              </w:rPr>
              <w:t>2013</w:t>
            </w:r>
          </w:p>
        </w:tc>
        <w:tc>
          <w:tcPr>
            <w:tcW w:w="833" w:type="pct"/>
            <w:shd w:val="clear" w:color="auto" w:fill="FFFFFF"/>
            <w:noWrap/>
            <w:vAlign w:val="center"/>
          </w:tcPr>
          <w:p w14:paraId="2B3C2BC0">
            <w:pPr>
              <w:pStyle w:val="59"/>
              <w:bidi w:val="0"/>
              <w:rPr>
                <w:rFonts w:hint="eastAsia"/>
              </w:rPr>
            </w:pPr>
            <w:r>
              <w:rPr>
                <w:rFonts w:hint="eastAsia"/>
                <w:lang w:val="en-US" w:eastAsia="zh-CN"/>
              </w:rPr>
              <w:t>22.9</w:t>
            </w:r>
          </w:p>
        </w:tc>
        <w:tc>
          <w:tcPr>
            <w:tcW w:w="833" w:type="pct"/>
            <w:shd w:val="clear" w:color="auto" w:fill="FFFFFF"/>
            <w:noWrap/>
            <w:vAlign w:val="center"/>
          </w:tcPr>
          <w:p w14:paraId="0EBAB695">
            <w:pPr>
              <w:pStyle w:val="59"/>
              <w:bidi w:val="0"/>
              <w:rPr>
                <w:rFonts w:hint="eastAsia"/>
              </w:rPr>
            </w:pPr>
            <w:r>
              <w:rPr>
                <w:rFonts w:hint="eastAsia"/>
                <w:lang w:val="en-US" w:eastAsia="zh-CN"/>
              </w:rPr>
              <w:t>1837.3</w:t>
            </w:r>
          </w:p>
        </w:tc>
        <w:tc>
          <w:tcPr>
            <w:tcW w:w="833" w:type="pct"/>
            <w:shd w:val="clear" w:color="auto" w:fill="FFFFFF"/>
            <w:noWrap/>
            <w:vAlign w:val="center"/>
          </w:tcPr>
          <w:p w14:paraId="5283DAA4">
            <w:pPr>
              <w:pStyle w:val="59"/>
              <w:bidi w:val="0"/>
              <w:rPr>
                <w:rFonts w:hint="eastAsia"/>
              </w:rPr>
            </w:pPr>
            <w:r>
              <w:rPr>
                <w:rFonts w:hint="eastAsia"/>
                <w:lang w:val="en-US" w:eastAsia="zh-CN"/>
              </w:rPr>
              <w:t>76</w:t>
            </w:r>
          </w:p>
        </w:tc>
        <w:tc>
          <w:tcPr>
            <w:tcW w:w="833" w:type="pct"/>
            <w:shd w:val="clear" w:color="auto" w:fill="FFFFFF"/>
            <w:noWrap/>
            <w:vAlign w:val="center"/>
          </w:tcPr>
          <w:p w14:paraId="0B2D7380">
            <w:pPr>
              <w:pStyle w:val="59"/>
              <w:bidi w:val="0"/>
              <w:rPr>
                <w:rFonts w:hint="eastAsia"/>
              </w:rPr>
            </w:pPr>
            <w:r>
              <w:rPr>
                <w:rFonts w:hint="eastAsia"/>
                <w:lang w:val="en-US" w:eastAsia="zh-CN"/>
              </w:rPr>
              <w:t>1645.7</w:t>
            </w:r>
          </w:p>
        </w:tc>
        <w:tc>
          <w:tcPr>
            <w:tcW w:w="834" w:type="pct"/>
            <w:tcBorders>
              <w:right w:val="nil"/>
            </w:tcBorders>
            <w:shd w:val="clear" w:color="auto" w:fill="FFFFFF"/>
            <w:noWrap/>
            <w:vAlign w:val="center"/>
          </w:tcPr>
          <w:p w14:paraId="7D717011">
            <w:pPr>
              <w:pStyle w:val="59"/>
              <w:bidi w:val="0"/>
              <w:rPr>
                <w:rFonts w:hint="eastAsia"/>
              </w:rPr>
            </w:pPr>
            <w:r>
              <w:rPr>
                <w:rFonts w:hint="eastAsia"/>
                <w:lang w:val="en-US" w:eastAsia="zh-CN"/>
              </w:rPr>
              <w:t>1.9</w:t>
            </w:r>
          </w:p>
        </w:tc>
      </w:tr>
      <w:tr w14:paraId="567C0D8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2D1BE545">
            <w:pPr>
              <w:pStyle w:val="59"/>
              <w:bidi w:val="0"/>
              <w:rPr>
                <w:rFonts w:hint="eastAsia"/>
              </w:rPr>
            </w:pPr>
            <w:r>
              <w:rPr>
                <w:rFonts w:hint="eastAsia"/>
                <w:lang w:val="en-US" w:eastAsia="zh-CN"/>
              </w:rPr>
              <w:t>2014</w:t>
            </w:r>
          </w:p>
        </w:tc>
        <w:tc>
          <w:tcPr>
            <w:tcW w:w="833" w:type="pct"/>
            <w:shd w:val="clear" w:color="auto" w:fill="FFFFFF"/>
            <w:noWrap/>
            <w:vAlign w:val="center"/>
          </w:tcPr>
          <w:p w14:paraId="77B48FEA">
            <w:pPr>
              <w:pStyle w:val="59"/>
              <w:bidi w:val="0"/>
              <w:rPr>
                <w:rFonts w:hint="eastAsia"/>
              </w:rPr>
            </w:pPr>
            <w:r>
              <w:rPr>
                <w:rFonts w:hint="eastAsia"/>
                <w:lang w:val="en-US" w:eastAsia="zh-CN"/>
              </w:rPr>
              <w:t>23.1</w:t>
            </w:r>
          </w:p>
        </w:tc>
        <w:tc>
          <w:tcPr>
            <w:tcW w:w="833" w:type="pct"/>
            <w:shd w:val="clear" w:color="auto" w:fill="FFFFFF"/>
            <w:noWrap/>
            <w:vAlign w:val="center"/>
          </w:tcPr>
          <w:p w14:paraId="3FA02EDF">
            <w:pPr>
              <w:pStyle w:val="59"/>
              <w:bidi w:val="0"/>
              <w:rPr>
                <w:rFonts w:hint="eastAsia"/>
              </w:rPr>
            </w:pPr>
            <w:r>
              <w:rPr>
                <w:rFonts w:hint="eastAsia"/>
                <w:lang w:val="en-US" w:eastAsia="zh-CN"/>
              </w:rPr>
              <w:t>1659.7</w:t>
            </w:r>
          </w:p>
        </w:tc>
        <w:tc>
          <w:tcPr>
            <w:tcW w:w="833" w:type="pct"/>
            <w:shd w:val="clear" w:color="auto" w:fill="FFFFFF"/>
            <w:noWrap/>
            <w:vAlign w:val="center"/>
          </w:tcPr>
          <w:p w14:paraId="379E300A">
            <w:pPr>
              <w:pStyle w:val="59"/>
              <w:bidi w:val="0"/>
              <w:rPr>
                <w:rFonts w:hint="eastAsia"/>
              </w:rPr>
            </w:pPr>
            <w:r>
              <w:rPr>
                <w:rFonts w:hint="eastAsia"/>
                <w:lang w:val="en-US" w:eastAsia="zh-CN"/>
              </w:rPr>
              <w:t>76</w:t>
            </w:r>
          </w:p>
        </w:tc>
        <w:tc>
          <w:tcPr>
            <w:tcW w:w="833" w:type="pct"/>
            <w:shd w:val="clear" w:color="auto" w:fill="FFFFFF"/>
            <w:noWrap/>
            <w:vAlign w:val="center"/>
          </w:tcPr>
          <w:p w14:paraId="22A62C2F">
            <w:pPr>
              <w:pStyle w:val="59"/>
              <w:bidi w:val="0"/>
              <w:rPr>
                <w:rFonts w:hint="eastAsia"/>
              </w:rPr>
            </w:pPr>
            <w:r>
              <w:rPr>
                <w:rFonts w:hint="eastAsia"/>
                <w:lang w:val="en-US" w:eastAsia="zh-CN"/>
              </w:rPr>
              <w:t>1710.3</w:t>
            </w:r>
          </w:p>
        </w:tc>
        <w:tc>
          <w:tcPr>
            <w:tcW w:w="834" w:type="pct"/>
            <w:tcBorders>
              <w:right w:val="nil"/>
            </w:tcBorders>
            <w:shd w:val="clear" w:color="auto" w:fill="FFFFFF"/>
            <w:noWrap/>
            <w:vAlign w:val="center"/>
          </w:tcPr>
          <w:p w14:paraId="11E330E8">
            <w:pPr>
              <w:pStyle w:val="59"/>
              <w:bidi w:val="0"/>
              <w:rPr>
                <w:rFonts w:hint="eastAsia"/>
              </w:rPr>
            </w:pPr>
            <w:r>
              <w:rPr>
                <w:rFonts w:hint="eastAsia"/>
                <w:lang w:val="en-US" w:eastAsia="zh-CN"/>
              </w:rPr>
              <w:t>1.8</w:t>
            </w:r>
          </w:p>
        </w:tc>
      </w:tr>
      <w:tr w14:paraId="05A684D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7B3445B5">
            <w:pPr>
              <w:pStyle w:val="59"/>
              <w:bidi w:val="0"/>
              <w:rPr>
                <w:rFonts w:hint="eastAsia"/>
              </w:rPr>
            </w:pPr>
            <w:r>
              <w:rPr>
                <w:rFonts w:hint="eastAsia"/>
                <w:lang w:val="en-US" w:eastAsia="zh-CN"/>
              </w:rPr>
              <w:t>2015</w:t>
            </w:r>
          </w:p>
        </w:tc>
        <w:tc>
          <w:tcPr>
            <w:tcW w:w="833" w:type="pct"/>
            <w:shd w:val="clear" w:color="auto" w:fill="FFFFFF"/>
            <w:noWrap/>
            <w:vAlign w:val="center"/>
          </w:tcPr>
          <w:p w14:paraId="05DD7DBC">
            <w:pPr>
              <w:pStyle w:val="59"/>
              <w:bidi w:val="0"/>
              <w:rPr>
                <w:rFonts w:hint="eastAsia"/>
              </w:rPr>
            </w:pPr>
            <w:r>
              <w:rPr>
                <w:rFonts w:hint="eastAsia"/>
                <w:lang w:val="en-US" w:eastAsia="zh-CN"/>
              </w:rPr>
              <w:t>23</w:t>
            </w:r>
          </w:p>
        </w:tc>
        <w:tc>
          <w:tcPr>
            <w:tcW w:w="833" w:type="pct"/>
            <w:shd w:val="clear" w:color="auto" w:fill="FFFFFF"/>
            <w:noWrap/>
            <w:vAlign w:val="center"/>
          </w:tcPr>
          <w:p w14:paraId="710BFCD9">
            <w:pPr>
              <w:pStyle w:val="59"/>
              <w:bidi w:val="0"/>
              <w:rPr>
                <w:rFonts w:hint="eastAsia"/>
              </w:rPr>
            </w:pPr>
            <w:r>
              <w:rPr>
                <w:rFonts w:hint="eastAsia"/>
                <w:lang w:val="en-US" w:eastAsia="zh-CN"/>
              </w:rPr>
              <w:t>1978.5</w:t>
            </w:r>
          </w:p>
        </w:tc>
        <w:tc>
          <w:tcPr>
            <w:tcW w:w="833" w:type="pct"/>
            <w:shd w:val="clear" w:color="auto" w:fill="FFFFFF"/>
            <w:noWrap/>
            <w:vAlign w:val="center"/>
          </w:tcPr>
          <w:p w14:paraId="1540A12B">
            <w:pPr>
              <w:pStyle w:val="59"/>
              <w:bidi w:val="0"/>
              <w:rPr>
                <w:rFonts w:hint="eastAsia"/>
              </w:rPr>
            </w:pPr>
            <w:r>
              <w:rPr>
                <w:rFonts w:hint="eastAsia"/>
                <w:lang w:val="en-US" w:eastAsia="zh-CN"/>
              </w:rPr>
              <w:t>81</w:t>
            </w:r>
          </w:p>
        </w:tc>
        <w:tc>
          <w:tcPr>
            <w:tcW w:w="833" w:type="pct"/>
            <w:shd w:val="clear" w:color="auto" w:fill="FFFFFF"/>
            <w:noWrap/>
            <w:vAlign w:val="center"/>
          </w:tcPr>
          <w:p w14:paraId="3FBFE8BC">
            <w:pPr>
              <w:pStyle w:val="59"/>
              <w:bidi w:val="0"/>
              <w:rPr>
                <w:rFonts w:hint="eastAsia"/>
              </w:rPr>
            </w:pPr>
            <w:r>
              <w:rPr>
                <w:rFonts w:hint="eastAsia"/>
                <w:lang w:val="en-US" w:eastAsia="zh-CN"/>
              </w:rPr>
              <w:t>1705.1</w:t>
            </w:r>
          </w:p>
        </w:tc>
        <w:tc>
          <w:tcPr>
            <w:tcW w:w="834" w:type="pct"/>
            <w:tcBorders>
              <w:right w:val="nil"/>
            </w:tcBorders>
            <w:shd w:val="clear" w:color="auto" w:fill="FFFFFF"/>
            <w:noWrap/>
            <w:vAlign w:val="center"/>
          </w:tcPr>
          <w:p w14:paraId="73E14D37">
            <w:pPr>
              <w:pStyle w:val="59"/>
              <w:bidi w:val="0"/>
              <w:rPr>
                <w:rFonts w:hint="eastAsia"/>
              </w:rPr>
            </w:pPr>
            <w:r>
              <w:rPr>
                <w:rFonts w:hint="eastAsia"/>
                <w:lang w:val="en-US" w:eastAsia="zh-CN"/>
              </w:rPr>
              <w:t>2.3</w:t>
            </w:r>
          </w:p>
        </w:tc>
      </w:tr>
      <w:tr w14:paraId="31E5C19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4E8DE473">
            <w:pPr>
              <w:pStyle w:val="59"/>
              <w:bidi w:val="0"/>
              <w:rPr>
                <w:rFonts w:hint="eastAsia"/>
              </w:rPr>
            </w:pPr>
            <w:r>
              <w:rPr>
                <w:rFonts w:hint="eastAsia"/>
                <w:lang w:val="en-US" w:eastAsia="zh-CN"/>
              </w:rPr>
              <w:t>2016</w:t>
            </w:r>
          </w:p>
        </w:tc>
        <w:tc>
          <w:tcPr>
            <w:tcW w:w="833" w:type="pct"/>
            <w:shd w:val="clear" w:color="auto" w:fill="FFFFFF"/>
            <w:noWrap/>
            <w:vAlign w:val="center"/>
          </w:tcPr>
          <w:p w14:paraId="7D18D864">
            <w:pPr>
              <w:pStyle w:val="59"/>
              <w:bidi w:val="0"/>
              <w:rPr>
                <w:rFonts w:hint="eastAsia"/>
              </w:rPr>
            </w:pPr>
            <w:r>
              <w:rPr>
                <w:rFonts w:hint="eastAsia"/>
                <w:lang w:val="en-US" w:eastAsia="zh-CN"/>
              </w:rPr>
              <w:t>23.4</w:t>
            </w:r>
          </w:p>
        </w:tc>
        <w:tc>
          <w:tcPr>
            <w:tcW w:w="833" w:type="pct"/>
            <w:shd w:val="clear" w:color="auto" w:fill="FFFFFF"/>
            <w:noWrap/>
            <w:vAlign w:val="center"/>
          </w:tcPr>
          <w:p w14:paraId="44DBE237">
            <w:pPr>
              <w:pStyle w:val="59"/>
              <w:bidi w:val="0"/>
              <w:rPr>
                <w:rFonts w:hint="eastAsia"/>
              </w:rPr>
            </w:pPr>
            <w:r>
              <w:rPr>
                <w:rFonts w:hint="eastAsia"/>
                <w:lang w:val="en-US" w:eastAsia="zh-CN"/>
              </w:rPr>
              <w:t>2138.6</w:t>
            </w:r>
          </w:p>
        </w:tc>
        <w:tc>
          <w:tcPr>
            <w:tcW w:w="833" w:type="pct"/>
            <w:shd w:val="clear" w:color="auto" w:fill="FFFFFF"/>
            <w:noWrap/>
            <w:vAlign w:val="center"/>
          </w:tcPr>
          <w:p w14:paraId="3B25EB64">
            <w:pPr>
              <w:pStyle w:val="59"/>
              <w:bidi w:val="0"/>
              <w:rPr>
                <w:rFonts w:hint="eastAsia"/>
              </w:rPr>
            </w:pPr>
            <w:r>
              <w:rPr>
                <w:rFonts w:hint="eastAsia"/>
                <w:lang w:val="en-US" w:eastAsia="zh-CN"/>
              </w:rPr>
              <w:t>81</w:t>
            </w:r>
          </w:p>
        </w:tc>
        <w:tc>
          <w:tcPr>
            <w:tcW w:w="833" w:type="pct"/>
            <w:shd w:val="clear" w:color="auto" w:fill="FFFFFF"/>
            <w:noWrap/>
            <w:vAlign w:val="center"/>
          </w:tcPr>
          <w:p w14:paraId="0A3B489D">
            <w:pPr>
              <w:pStyle w:val="59"/>
              <w:bidi w:val="0"/>
              <w:rPr>
                <w:rFonts w:hint="eastAsia"/>
              </w:rPr>
            </w:pPr>
            <w:r>
              <w:rPr>
                <w:rFonts w:hint="eastAsia"/>
                <w:lang w:val="en-US" w:eastAsia="zh-CN"/>
              </w:rPr>
              <w:t>1640.1</w:t>
            </w:r>
          </w:p>
        </w:tc>
        <w:tc>
          <w:tcPr>
            <w:tcW w:w="834" w:type="pct"/>
            <w:tcBorders>
              <w:right w:val="nil"/>
            </w:tcBorders>
            <w:shd w:val="clear" w:color="auto" w:fill="FFFFFF"/>
            <w:noWrap/>
            <w:vAlign w:val="center"/>
          </w:tcPr>
          <w:p w14:paraId="78CE4F0A">
            <w:pPr>
              <w:pStyle w:val="59"/>
              <w:bidi w:val="0"/>
              <w:rPr>
                <w:rFonts w:hint="eastAsia"/>
              </w:rPr>
            </w:pPr>
            <w:r>
              <w:rPr>
                <w:rFonts w:hint="eastAsia"/>
                <w:lang w:val="en-US" w:eastAsia="zh-CN"/>
              </w:rPr>
              <w:t>2.2</w:t>
            </w:r>
          </w:p>
        </w:tc>
      </w:tr>
      <w:tr w14:paraId="1989067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13D26F01">
            <w:pPr>
              <w:pStyle w:val="59"/>
              <w:bidi w:val="0"/>
              <w:rPr>
                <w:rFonts w:hint="eastAsia"/>
              </w:rPr>
            </w:pPr>
            <w:r>
              <w:rPr>
                <w:rFonts w:hint="eastAsia"/>
                <w:lang w:val="en-US" w:eastAsia="zh-CN"/>
              </w:rPr>
              <w:t>2017</w:t>
            </w:r>
          </w:p>
        </w:tc>
        <w:tc>
          <w:tcPr>
            <w:tcW w:w="833" w:type="pct"/>
            <w:shd w:val="clear" w:color="auto" w:fill="FFFFFF"/>
            <w:noWrap/>
            <w:vAlign w:val="center"/>
          </w:tcPr>
          <w:p w14:paraId="032E7BD5">
            <w:pPr>
              <w:pStyle w:val="59"/>
              <w:bidi w:val="0"/>
              <w:rPr>
                <w:rFonts w:hint="eastAsia"/>
              </w:rPr>
            </w:pPr>
            <w:r>
              <w:rPr>
                <w:rFonts w:hint="eastAsia"/>
                <w:lang w:val="en-US" w:eastAsia="zh-CN"/>
              </w:rPr>
              <w:t>22.7</w:t>
            </w:r>
          </w:p>
        </w:tc>
        <w:tc>
          <w:tcPr>
            <w:tcW w:w="833" w:type="pct"/>
            <w:shd w:val="clear" w:color="auto" w:fill="FFFFFF"/>
            <w:noWrap/>
            <w:vAlign w:val="center"/>
          </w:tcPr>
          <w:p w14:paraId="6836BE72">
            <w:pPr>
              <w:pStyle w:val="59"/>
              <w:bidi w:val="0"/>
              <w:rPr>
                <w:rFonts w:hint="eastAsia"/>
              </w:rPr>
            </w:pPr>
            <w:r>
              <w:rPr>
                <w:rFonts w:hint="eastAsia"/>
                <w:lang w:val="en-US" w:eastAsia="zh-CN"/>
              </w:rPr>
              <w:t>1785.5</w:t>
            </w:r>
          </w:p>
        </w:tc>
        <w:tc>
          <w:tcPr>
            <w:tcW w:w="833" w:type="pct"/>
            <w:shd w:val="clear" w:color="auto" w:fill="FFFFFF"/>
            <w:noWrap/>
            <w:vAlign w:val="center"/>
          </w:tcPr>
          <w:p w14:paraId="331C41CA">
            <w:pPr>
              <w:pStyle w:val="59"/>
              <w:bidi w:val="0"/>
              <w:rPr>
                <w:rFonts w:hint="eastAsia"/>
              </w:rPr>
            </w:pPr>
            <w:r>
              <w:rPr>
                <w:rFonts w:hint="eastAsia"/>
                <w:lang w:val="en-US" w:eastAsia="zh-CN"/>
              </w:rPr>
              <w:t>79</w:t>
            </w:r>
          </w:p>
        </w:tc>
        <w:tc>
          <w:tcPr>
            <w:tcW w:w="833" w:type="pct"/>
            <w:shd w:val="clear" w:color="auto" w:fill="FFFFFF"/>
            <w:noWrap/>
            <w:vAlign w:val="center"/>
          </w:tcPr>
          <w:p w14:paraId="2CEE947A">
            <w:pPr>
              <w:pStyle w:val="59"/>
              <w:bidi w:val="0"/>
              <w:rPr>
                <w:rFonts w:hint="eastAsia"/>
              </w:rPr>
            </w:pPr>
            <w:r>
              <w:rPr>
                <w:rFonts w:hint="eastAsia"/>
                <w:lang w:val="en-US" w:eastAsia="zh-CN"/>
              </w:rPr>
              <w:t>1806.7</w:t>
            </w:r>
          </w:p>
        </w:tc>
        <w:tc>
          <w:tcPr>
            <w:tcW w:w="834" w:type="pct"/>
            <w:tcBorders>
              <w:right w:val="nil"/>
            </w:tcBorders>
            <w:shd w:val="clear" w:color="auto" w:fill="FFFFFF"/>
            <w:noWrap/>
            <w:vAlign w:val="center"/>
          </w:tcPr>
          <w:p w14:paraId="070FF3C0">
            <w:pPr>
              <w:pStyle w:val="59"/>
              <w:bidi w:val="0"/>
              <w:rPr>
                <w:rFonts w:hint="eastAsia"/>
              </w:rPr>
            </w:pPr>
            <w:r>
              <w:rPr>
                <w:rFonts w:hint="eastAsia"/>
                <w:lang w:val="en-US" w:eastAsia="zh-CN"/>
              </w:rPr>
              <w:t>2.3</w:t>
            </w:r>
          </w:p>
        </w:tc>
      </w:tr>
      <w:tr w14:paraId="0055B68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12E518BF">
            <w:pPr>
              <w:pStyle w:val="59"/>
              <w:bidi w:val="0"/>
              <w:rPr>
                <w:rFonts w:hint="eastAsia"/>
              </w:rPr>
            </w:pPr>
            <w:r>
              <w:rPr>
                <w:rFonts w:hint="eastAsia"/>
                <w:lang w:val="en-US" w:eastAsia="zh-CN"/>
              </w:rPr>
              <w:t>2018</w:t>
            </w:r>
          </w:p>
        </w:tc>
        <w:tc>
          <w:tcPr>
            <w:tcW w:w="833" w:type="pct"/>
            <w:shd w:val="clear" w:color="auto" w:fill="FFFFFF"/>
            <w:noWrap/>
            <w:vAlign w:val="center"/>
          </w:tcPr>
          <w:p w14:paraId="5119BC93">
            <w:pPr>
              <w:pStyle w:val="59"/>
              <w:bidi w:val="0"/>
              <w:rPr>
                <w:rFonts w:hint="eastAsia"/>
              </w:rPr>
            </w:pPr>
            <w:r>
              <w:rPr>
                <w:rFonts w:hint="eastAsia"/>
                <w:lang w:val="en-US" w:eastAsia="zh-CN"/>
              </w:rPr>
              <w:t>22.7</w:t>
            </w:r>
          </w:p>
        </w:tc>
        <w:tc>
          <w:tcPr>
            <w:tcW w:w="833" w:type="pct"/>
            <w:shd w:val="clear" w:color="auto" w:fill="FFFFFF"/>
            <w:noWrap/>
            <w:vAlign w:val="center"/>
          </w:tcPr>
          <w:p w14:paraId="55DAD40D">
            <w:pPr>
              <w:pStyle w:val="59"/>
              <w:bidi w:val="0"/>
              <w:rPr>
                <w:rFonts w:hint="eastAsia"/>
              </w:rPr>
            </w:pPr>
            <w:r>
              <w:rPr>
                <w:rFonts w:hint="eastAsia"/>
                <w:lang w:val="en-US" w:eastAsia="zh-CN"/>
              </w:rPr>
              <w:t>2075.2</w:t>
            </w:r>
          </w:p>
        </w:tc>
        <w:tc>
          <w:tcPr>
            <w:tcW w:w="833" w:type="pct"/>
            <w:shd w:val="clear" w:color="auto" w:fill="FFFFFF"/>
            <w:noWrap/>
            <w:vAlign w:val="center"/>
          </w:tcPr>
          <w:p w14:paraId="7FDDC20E">
            <w:pPr>
              <w:pStyle w:val="59"/>
              <w:bidi w:val="0"/>
              <w:rPr>
                <w:rFonts w:hint="eastAsia"/>
              </w:rPr>
            </w:pPr>
            <w:r>
              <w:rPr>
                <w:rFonts w:hint="eastAsia"/>
                <w:lang w:val="en-US" w:eastAsia="zh-CN"/>
              </w:rPr>
              <w:t>78</w:t>
            </w:r>
          </w:p>
        </w:tc>
        <w:tc>
          <w:tcPr>
            <w:tcW w:w="833" w:type="pct"/>
            <w:shd w:val="clear" w:color="auto" w:fill="FFFFFF"/>
            <w:noWrap/>
            <w:vAlign w:val="center"/>
          </w:tcPr>
          <w:p w14:paraId="559FFD08">
            <w:pPr>
              <w:pStyle w:val="59"/>
              <w:bidi w:val="0"/>
              <w:rPr>
                <w:rFonts w:hint="eastAsia"/>
              </w:rPr>
            </w:pPr>
            <w:r>
              <w:rPr>
                <w:rFonts w:hint="eastAsia"/>
                <w:lang w:val="en-US" w:eastAsia="zh-CN"/>
              </w:rPr>
              <w:t>1697.4</w:t>
            </w:r>
          </w:p>
        </w:tc>
        <w:tc>
          <w:tcPr>
            <w:tcW w:w="834" w:type="pct"/>
            <w:tcBorders>
              <w:right w:val="nil"/>
            </w:tcBorders>
            <w:shd w:val="clear" w:color="auto" w:fill="FFFFFF"/>
            <w:noWrap/>
            <w:vAlign w:val="center"/>
          </w:tcPr>
          <w:p w14:paraId="5E3F7E47">
            <w:pPr>
              <w:pStyle w:val="59"/>
              <w:bidi w:val="0"/>
              <w:rPr>
                <w:rFonts w:hint="eastAsia"/>
              </w:rPr>
            </w:pPr>
            <w:r>
              <w:rPr>
                <w:rFonts w:hint="eastAsia"/>
                <w:lang w:val="en-US" w:eastAsia="zh-CN"/>
              </w:rPr>
              <w:t>2.3</w:t>
            </w:r>
          </w:p>
        </w:tc>
      </w:tr>
      <w:tr w14:paraId="7D745CE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2FFF0BA9">
            <w:pPr>
              <w:pStyle w:val="59"/>
              <w:bidi w:val="0"/>
              <w:rPr>
                <w:rFonts w:hint="eastAsia"/>
              </w:rPr>
            </w:pPr>
            <w:r>
              <w:rPr>
                <w:rFonts w:hint="eastAsia"/>
                <w:lang w:val="en-US" w:eastAsia="zh-CN"/>
              </w:rPr>
              <w:t>2019</w:t>
            </w:r>
          </w:p>
        </w:tc>
        <w:tc>
          <w:tcPr>
            <w:tcW w:w="833" w:type="pct"/>
            <w:shd w:val="clear" w:color="auto" w:fill="FFFFFF"/>
            <w:noWrap/>
            <w:vAlign w:val="center"/>
          </w:tcPr>
          <w:p w14:paraId="22648002">
            <w:pPr>
              <w:pStyle w:val="59"/>
              <w:bidi w:val="0"/>
              <w:rPr>
                <w:rFonts w:hint="eastAsia"/>
              </w:rPr>
            </w:pPr>
            <w:r>
              <w:rPr>
                <w:rFonts w:hint="eastAsia"/>
                <w:lang w:val="en-US" w:eastAsia="zh-CN"/>
              </w:rPr>
              <w:t>23.4</w:t>
            </w:r>
          </w:p>
        </w:tc>
        <w:tc>
          <w:tcPr>
            <w:tcW w:w="833" w:type="pct"/>
            <w:shd w:val="clear" w:color="auto" w:fill="FFFFFF"/>
            <w:noWrap/>
            <w:vAlign w:val="center"/>
          </w:tcPr>
          <w:p w14:paraId="120802F1">
            <w:pPr>
              <w:pStyle w:val="59"/>
              <w:bidi w:val="0"/>
              <w:rPr>
                <w:rFonts w:hint="eastAsia"/>
              </w:rPr>
            </w:pPr>
            <w:r>
              <w:rPr>
                <w:rFonts w:hint="eastAsia"/>
                <w:lang w:val="en-US" w:eastAsia="zh-CN"/>
              </w:rPr>
              <w:t>2176.6</w:t>
            </w:r>
          </w:p>
        </w:tc>
        <w:tc>
          <w:tcPr>
            <w:tcW w:w="833" w:type="pct"/>
            <w:shd w:val="clear" w:color="auto" w:fill="FFFFFF"/>
            <w:noWrap/>
            <w:vAlign w:val="center"/>
          </w:tcPr>
          <w:p w14:paraId="170B60C8">
            <w:pPr>
              <w:pStyle w:val="59"/>
              <w:bidi w:val="0"/>
              <w:rPr>
                <w:rFonts w:hint="eastAsia"/>
              </w:rPr>
            </w:pPr>
            <w:r>
              <w:rPr>
                <w:rFonts w:hint="eastAsia"/>
                <w:lang w:val="en-US" w:eastAsia="zh-CN"/>
              </w:rPr>
              <w:t>79</w:t>
            </w:r>
          </w:p>
        </w:tc>
        <w:tc>
          <w:tcPr>
            <w:tcW w:w="833" w:type="pct"/>
            <w:shd w:val="clear" w:color="auto" w:fill="FFFFFF"/>
            <w:noWrap/>
            <w:vAlign w:val="center"/>
          </w:tcPr>
          <w:p w14:paraId="25992BE1">
            <w:pPr>
              <w:pStyle w:val="59"/>
              <w:bidi w:val="0"/>
              <w:rPr>
                <w:rFonts w:hint="eastAsia"/>
              </w:rPr>
            </w:pPr>
            <w:r>
              <w:rPr>
                <w:rFonts w:hint="eastAsia"/>
                <w:lang w:val="en-US" w:eastAsia="zh-CN"/>
              </w:rPr>
              <w:t>1759.3</w:t>
            </w:r>
          </w:p>
        </w:tc>
        <w:tc>
          <w:tcPr>
            <w:tcW w:w="834" w:type="pct"/>
            <w:tcBorders>
              <w:right w:val="nil"/>
            </w:tcBorders>
            <w:shd w:val="clear" w:color="auto" w:fill="FFFFFF"/>
            <w:noWrap/>
            <w:vAlign w:val="center"/>
          </w:tcPr>
          <w:p w14:paraId="17AE3E75">
            <w:pPr>
              <w:pStyle w:val="59"/>
              <w:bidi w:val="0"/>
              <w:rPr>
                <w:rFonts w:hint="eastAsia"/>
              </w:rPr>
            </w:pPr>
            <w:r>
              <w:rPr>
                <w:rFonts w:hint="eastAsia"/>
                <w:lang w:val="en-US" w:eastAsia="zh-CN"/>
              </w:rPr>
              <w:t>2.1</w:t>
            </w:r>
          </w:p>
        </w:tc>
      </w:tr>
      <w:tr w14:paraId="0740A8D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12C14942">
            <w:pPr>
              <w:pStyle w:val="59"/>
              <w:bidi w:val="0"/>
              <w:rPr>
                <w:rFonts w:hint="eastAsia"/>
              </w:rPr>
            </w:pPr>
            <w:r>
              <w:rPr>
                <w:rFonts w:hint="eastAsia"/>
                <w:lang w:val="en-US" w:eastAsia="zh-CN"/>
              </w:rPr>
              <w:t>2020</w:t>
            </w:r>
          </w:p>
        </w:tc>
        <w:tc>
          <w:tcPr>
            <w:tcW w:w="833" w:type="pct"/>
            <w:shd w:val="clear" w:color="auto" w:fill="FFFFFF"/>
            <w:noWrap/>
            <w:vAlign w:val="center"/>
          </w:tcPr>
          <w:p w14:paraId="371F55CF">
            <w:pPr>
              <w:pStyle w:val="59"/>
              <w:bidi w:val="0"/>
              <w:rPr>
                <w:rFonts w:hint="eastAsia"/>
              </w:rPr>
            </w:pPr>
            <w:r>
              <w:rPr>
                <w:rFonts w:hint="eastAsia"/>
                <w:lang w:val="en-US" w:eastAsia="zh-CN"/>
              </w:rPr>
              <w:t>23.3</w:t>
            </w:r>
          </w:p>
        </w:tc>
        <w:tc>
          <w:tcPr>
            <w:tcW w:w="833" w:type="pct"/>
            <w:shd w:val="clear" w:color="auto" w:fill="FFFFFF"/>
            <w:noWrap/>
            <w:vAlign w:val="center"/>
          </w:tcPr>
          <w:p w14:paraId="5C794BB4">
            <w:pPr>
              <w:pStyle w:val="59"/>
              <w:bidi w:val="0"/>
              <w:rPr>
                <w:rFonts w:hint="eastAsia"/>
              </w:rPr>
            </w:pPr>
            <w:r>
              <w:rPr>
                <w:rFonts w:hint="eastAsia"/>
                <w:lang w:val="en-US" w:eastAsia="zh-CN"/>
              </w:rPr>
              <w:t>1348.7</w:t>
            </w:r>
          </w:p>
        </w:tc>
        <w:tc>
          <w:tcPr>
            <w:tcW w:w="833" w:type="pct"/>
            <w:shd w:val="clear" w:color="auto" w:fill="FFFFFF"/>
            <w:noWrap/>
            <w:vAlign w:val="center"/>
          </w:tcPr>
          <w:p w14:paraId="4DF0D146">
            <w:pPr>
              <w:pStyle w:val="59"/>
              <w:bidi w:val="0"/>
              <w:rPr>
                <w:rFonts w:hint="eastAsia"/>
              </w:rPr>
            </w:pPr>
            <w:r>
              <w:rPr>
                <w:rFonts w:hint="eastAsia"/>
                <w:lang w:val="en-US" w:eastAsia="zh-CN"/>
              </w:rPr>
              <w:t>77</w:t>
            </w:r>
          </w:p>
        </w:tc>
        <w:tc>
          <w:tcPr>
            <w:tcW w:w="833" w:type="pct"/>
            <w:shd w:val="clear" w:color="auto" w:fill="FFFFFF"/>
            <w:noWrap/>
            <w:vAlign w:val="center"/>
          </w:tcPr>
          <w:p w14:paraId="22B300EA">
            <w:pPr>
              <w:pStyle w:val="59"/>
              <w:bidi w:val="0"/>
              <w:rPr>
                <w:rFonts w:hint="eastAsia"/>
              </w:rPr>
            </w:pPr>
            <w:r>
              <w:rPr>
                <w:rFonts w:hint="eastAsia"/>
                <w:lang w:val="en-US" w:eastAsia="zh-CN"/>
              </w:rPr>
              <w:t>1712.9</w:t>
            </w:r>
          </w:p>
        </w:tc>
        <w:tc>
          <w:tcPr>
            <w:tcW w:w="834" w:type="pct"/>
            <w:tcBorders>
              <w:right w:val="nil"/>
            </w:tcBorders>
            <w:shd w:val="clear" w:color="auto" w:fill="FFFFFF"/>
            <w:noWrap/>
            <w:vAlign w:val="center"/>
          </w:tcPr>
          <w:p w14:paraId="59251BF0">
            <w:pPr>
              <w:pStyle w:val="59"/>
              <w:bidi w:val="0"/>
              <w:rPr>
                <w:rFonts w:hint="eastAsia"/>
              </w:rPr>
            </w:pPr>
            <w:r>
              <w:rPr>
                <w:rFonts w:hint="eastAsia"/>
                <w:lang w:val="en-US" w:eastAsia="zh-CN"/>
              </w:rPr>
              <w:t>2.2</w:t>
            </w:r>
          </w:p>
        </w:tc>
      </w:tr>
      <w:tr w14:paraId="3A45545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56300E70">
            <w:pPr>
              <w:pStyle w:val="59"/>
              <w:bidi w:val="0"/>
              <w:rPr>
                <w:rFonts w:hint="eastAsia"/>
              </w:rPr>
            </w:pPr>
            <w:r>
              <w:rPr>
                <w:rFonts w:hint="eastAsia"/>
                <w:lang w:val="en-US" w:eastAsia="zh-CN"/>
              </w:rPr>
              <w:t>2021</w:t>
            </w:r>
          </w:p>
        </w:tc>
        <w:tc>
          <w:tcPr>
            <w:tcW w:w="833" w:type="pct"/>
            <w:shd w:val="clear" w:color="auto" w:fill="FFFFFF"/>
            <w:noWrap/>
            <w:vAlign w:val="center"/>
          </w:tcPr>
          <w:p w14:paraId="0C17CC17">
            <w:pPr>
              <w:pStyle w:val="59"/>
              <w:bidi w:val="0"/>
              <w:rPr>
                <w:rFonts w:hint="eastAsia"/>
              </w:rPr>
            </w:pPr>
            <w:r>
              <w:rPr>
                <w:rFonts w:hint="eastAsia"/>
                <w:lang w:val="en-US" w:eastAsia="zh-CN"/>
              </w:rPr>
              <w:t>23.5</w:t>
            </w:r>
          </w:p>
        </w:tc>
        <w:tc>
          <w:tcPr>
            <w:tcW w:w="833" w:type="pct"/>
            <w:shd w:val="clear" w:color="auto" w:fill="FFFFFF"/>
            <w:noWrap/>
            <w:vAlign w:val="center"/>
          </w:tcPr>
          <w:p w14:paraId="5D7F08EB">
            <w:pPr>
              <w:pStyle w:val="59"/>
              <w:bidi w:val="0"/>
              <w:rPr>
                <w:rFonts w:hint="eastAsia"/>
              </w:rPr>
            </w:pPr>
            <w:r>
              <w:rPr>
                <w:rFonts w:hint="eastAsia"/>
                <w:lang w:val="en-US" w:eastAsia="zh-CN"/>
              </w:rPr>
              <w:t>1525.8</w:t>
            </w:r>
          </w:p>
        </w:tc>
        <w:tc>
          <w:tcPr>
            <w:tcW w:w="833" w:type="pct"/>
            <w:shd w:val="clear" w:color="auto" w:fill="FFFFFF"/>
            <w:noWrap/>
            <w:vAlign w:val="center"/>
          </w:tcPr>
          <w:p w14:paraId="707EC9C0">
            <w:pPr>
              <w:pStyle w:val="59"/>
              <w:bidi w:val="0"/>
              <w:rPr>
                <w:rFonts w:hint="eastAsia"/>
              </w:rPr>
            </w:pPr>
            <w:r>
              <w:rPr>
                <w:rFonts w:hint="eastAsia"/>
                <w:lang w:val="en-US" w:eastAsia="zh-CN"/>
              </w:rPr>
              <w:t>74</w:t>
            </w:r>
          </w:p>
        </w:tc>
        <w:tc>
          <w:tcPr>
            <w:tcW w:w="833" w:type="pct"/>
            <w:shd w:val="clear" w:color="auto" w:fill="FFFFFF"/>
            <w:noWrap/>
            <w:vAlign w:val="center"/>
          </w:tcPr>
          <w:p w14:paraId="461E046C">
            <w:pPr>
              <w:pStyle w:val="59"/>
              <w:bidi w:val="0"/>
              <w:rPr>
                <w:rFonts w:hint="eastAsia"/>
              </w:rPr>
            </w:pPr>
            <w:r>
              <w:rPr>
                <w:rFonts w:hint="eastAsia"/>
                <w:lang w:val="en-US" w:eastAsia="zh-CN"/>
              </w:rPr>
              <w:t>1970.8</w:t>
            </w:r>
          </w:p>
        </w:tc>
        <w:tc>
          <w:tcPr>
            <w:tcW w:w="834" w:type="pct"/>
            <w:tcBorders>
              <w:right w:val="nil"/>
            </w:tcBorders>
            <w:shd w:val="clear" w:color="auto" w:fill="FFFFFF"/>
            <w:noWrap/>
            <w:vAlign w:val="center"/>
          </w:tcPr>
          <w:p w14:paraId="34E24A94">
            <w:pPr>
              <w:pStyle w:val="59"/>
              <w:bidi w:val="0"/>
              <w:rPr>
                <w:rFonts w:hint="eastAsia"/>
              </w:rPr>
            </w:pPr>
            <w:r>
              <w:rPr>
                <w:rFonts w:hint="eastAsia"/>
                <w:lang w:val="en-US" w:eastAsia="zh-CN"/>
              </w:rPr>
              <w:t>2.1</w:t>
            </w:r>
          </w:p>
        </w:tc>
      </w:tr>
      <w:tr w14:paraId="6C0E179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404D055E">
            <w:pPr>
              <w:pStyle w:val="59"/>
              <w:bidi w:val="0"/>
              <w:rPr>
                <w:rFonts w:hint="eastAsia"/>
              </w:rPr>
            </w:pPr>
            <w:r>
              <w:rPr>
                <w:rFonts w:hint="eastAsia"/>
                <w:lang w:val="en-US" w:eastAsia="zh-CN"/>
              </w:rPr>
              <w:t>2022</w:t>
            </w:r>
          </w:p>
        </w:tc>
        <w:tc>
          <w:tcPr>
            <w:tcW w:w="833" w:type="pct"/>
            <w:shd w:val="clear" w:color="auto" w:fill="FFFFFF"/>
            <w:noWrap/>
            <w:vAlign w:val="center"/>
          </w:tcPr>
          <w:p w14:paraId="09522ACC">
            <w:pPr>
              <w:pStyle w:val="59"/>
              <w:bidi w:val="0"/>
              <w:rPr>
                <w:rFonts w:hint="eastAsia"/>
              </w:rPr>
            </w:pPr>
            <w:r>
              <w:rPr>
                <w:rFonts w:hint="eastAsia"/>
                <w:lang w:val="en-US" w:eastAsia="zh-CN"/>
              </w:rPr>
              <w:t>22.6</w:t>
            </w:r>
          </w:p>
        </w:tc>
        <w:tc>
          <w:tcPr>
            <w:tcW w:w="833" w:type="pct"/>
            <w:shd w:val="clear" w:color="auto" w:fill="FFFFFF"/>
            <w:noWrap/>
            <w:vAlign w:val="center"/>
          </w:tcPr>
          <w:p w14:paraId="796BA55C">
            <w:pPr>
              <w:pStyle w:val="59"/>
              <w:bidi w:val="0"/>
              <w:rPr>
                <w:rFonts w:hint="eastAsia"/>
              </w:rPr>
            </w:pPr>
            <w:r>
              <w:rPr>
                <w:rFonts w:hint="eastAsia"/>
                <w:lang w:val="en-US" w:eastAsia="zh-CN"/>
              </w:rPr>
              <w:t>2042.8</w:t>
            </w:r>
          </w:p>
        </w:tc>
        <w:tc>
          <w:tcPr>
            <w:tcW w:w="833" w:type="pct"/>
            <w:shd w:val="clear" w:color="auto" w:fill="FFFFFF"/>
            <w:noWrap/>
            <w:vAlign w:val="center"/>
          </w:tcPr>
          <w:p w14:paraId="387FE780">
            <w:pPr>
              <w:pStyle w:val="59"/>
              <w:bidi w:val="0"/>
              <w:rPr>
                <w:rFonts w:hint="eastAsia"/>
              </w:rPr>
            </w:pPr>
            <w:r>
              <w:rPr>
                <w:rFonts w:hint="eastAsia"/>
                <w:lang w:val="en-US" w:eastAsia="zh-CN"/>
              </w:rPr>
              <w:t>77</w:t>
            </w:r>
          </w:p>
        </w:tc>
        <w:tc>
          <w:tcPr>
            <w:tcW w:w="833" w:type="pct"/>
            <w:shd w:val="clear" w:color="auto" w:fill="FFFFFF"/>
            <w:noWrap/>
            <w:vAlign w:val="center"/>
          </w:tcPr>
          <w:p w14:paraId="3EF36623">
            <w:pPr>
              <w:pStyle w:val="59"/>
              <w:bidi w:val="0"/>
              <w:rPr>
                <w:rFonts w:hint="eastAsia"/>
              </w:rPr>
            </w:pPr>
            <w:r>
              <w:rPr>
                <w:rFonts w:hint="eastAsia"/>
                <w:lang w:val="en-US" w:eastAsia="zh-CN"/>
              </w:rPr>
              <w:t>1753</w:t>
            </w:r>
          </w:p>
        </w:tc>
        <w:tc>
          <w:tcPr>
            <w:tcW w:w="834" w:type="pct"/>
            <w:tcBorders>
              <w:right w:val="nil"/>
            </w:tcBorders>
            <w:shd w:val="clear" w:color="auto" w:fill="FFFFFF"/>
            <w:noWrap/>
            <w:vAlign w:val="center"/>
          </w:tcPr>
          <w:p w14:paraId="348E725D">
            <w:pPr>
              <w:pStyle w:val="59"/>
              <w:bidi w:val="0"/>
              <w:rPr>
                <w:rFonts w:hint="eastAsia"/>
              </w:rPr>
            </w:pPr>
            <w:r>
              <w:rPr>
                <w:rFonts w:hint="eastAsia"/>
                <w:lang w:val="en-US" w:eastAsia="zh-CN"/>
              </w:rPr>
              <w:t>2.1</w:t>
            </w:r>
          </w:p>
        </w:tc>
      </w:tr>
      <w:tr w14:paraId="62D9AD4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4642FD8C">
            <w:pPr>
              <w:pStyle w:val="59"/>
              <w:bidi w:val="0"/>
              <w:rPr>
                <w:rFonts w:hint="eastAsia"/>
              </w:rPr>
            </w:pPr>
            <w:r>
              <w:rPr>
                <w:rFonts w:hint="eastAsia"/>
                <w:lang w:val="en-US" w:eastAsia="zh-CN"/>
              </w:rPr>
              <w:t>2023</w:t>
            </w:r>
          </w:p>
        </w:tc>
        <w:tc>
          <w:tcPr>
            <w:tcW w:w="833" w:type="pct"/>
            <w:shd w:val="clear" w:color="auto" w:fill="FFFFFF"/>
            <w:noWrap/>
            <w:vAlign w:val="center"/>
          </w:tcPr>
          <w:p w14:paraId="4E8C6019">
            <w:pPr>
              <w:pStyle w:val="59"/>
              <w:bidi w:val="0"/>
              <w:rPr>
                <w:rFonts w:hint="eastAsia"/>
              </w:rPr>
            </w:pPr>
            <w:r>
              <w:rPr>
                <w:rFonts w:hint="eastAsia"/>
                <w:lang w:val="en-US" w:eastAsia="zh-CN"/>
              </w:rPr>
              <w:t>23.1</w:t>
            </w:r>
          </w:p>
        </w:tc>
        <w:tc>
          <w:tcPr>
            <w:tcW w:w="833" w:type="pct"/>
            <w:shd w:val="clear" w:color="auto" w:fill="FFFFFF"/>
            <w:noWrap/>
            <w:vAlign w:val="center"/>
          </w:tcPr>
          <w:p w14:paraId="370B8726">
            <w:pPr>
              <w:pStyle w:val="59"/>
              <w:bidi w:val="0"/>
              <w:rPr>
                <w:rFonts w:hint="eastAsia"/>
              </w:rPr>
            </w:pPr>
            <w:r>
              <w:rPr>
                <w:rFonts w:hint="eastAsia"/>
                <w:lang w:val="en-US" w:eastAsia="zh-CN"/>
              </w:rPr>
              <w:t>1751.7</w:t>
            </w:r>
          </w:p>
        </w:tc>
        <w:tc>
          <w:tcPr>
            <w:tcW w:w="833" w:type="pct"/>
            <w:shd w:val="clear" w:color="auto" w:fill="FFFFFF"/>
            <w:noWrap/>
            <w:vAlign w:val="center"/>
          </w:tcPr>
          <w:p w14:paraId="48382DDA">
            <w:pPr>
              <w:pStyle w:val="59"/>
              <w:bidi w:val="0"/>
              <w:rPr>
                <w:rFonts w:hint="eastAsia"/>
              </w:rPr>
            </w:pPr>
            <w:r>
              <w:rPr>
                <w:rFonts w:hint="eastAsia"/>
                <w:lang w:val="en-US" w:eastAsia="zh-CN"/>
              </w:rPr>
              <w:t>77</w:t>
            </w:r>
          </w:p>
        </w:tc>
        <w:tc>
          <w:tcPr>
            <w:tcW w:w="833" w:type="pct"/>
            <w:shd w:val="clear" w:color="auto" w:fill="FFFFFF"/>
            <w:noWrap/>
            <w:vAlign w:val="center"/>
          </w:tcPr>
          <w:p w14:paraId="6E642811">
            <w:pPr>
              <w:pStyle w:val="59"/>
              <w:bidi w:val="0"/>
              <w:rPr>
                <w:rFonts w:hint="eastAsia"/>
              </w:rPr>
            </w:pPr>
            <w:r>
              <w:rPr>
                <w:rFonts w:hint="eastAsia"/>
                <w:lang w:val="en-US" w:eastAsia="zh-CN"/>
              </w:rPr>
              <w:t>1679.2</w:t>
            </w:r>
          </w:p>
        </w:tc>
        <w:tc>
          <w:tcPr>
            <w:tcW w:w="834" w:type="pct"/>
            <w:tcBorders>
              <w:right w:val="nil"/>
            </w:tcBorders>
            <w:shd w:val="clear" w:color="auto" w:fill="FFFFFF"/>
            <w:noWrap/>
            <w:vAlign w:val="center"/>
          </w:tcPr>
          <w:p w14:paraId="5511DB90">
            <w:pPr>
              <w:pStyle w:val="59"/>
              <w:bidi w:val="0"/>
              <w:rPr>
                <w:rFonts w:hint="eastAsia"/>
              </w:rPr>
            </w:pPr>
            <w:r>
              <w:rPr>
                <w:rFonts w:hint="eastAsia"/>
                <w:lang w:val="en-US" w:eastAsia="zh-CN"/>
              </w:rPr>
              <w:t>2</w:t>
            </w:r>
          </w:p>
        </w:tc>
      </w:tr>
      <w:tr w14:paraId="73F1265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tcBorders>
            <w:shd w:val="clear" w:color="auto" w:fill="FFFFFF"/>
            <w:noWrap/>
            <w:vAlign w:val="center"/>
          </w:tcPr>
          <w:p w14:paraId="6EBC130E">
            <w:pPr>
              <w:pStyle w:val="59"/>
              <w:bidi w:val="0"/>
              <w:rPr>
                <w:rFonts w:hint="eastAsia"/>
              </w:rPr>
            </w:pPr>
            <w:r>
              <w:rPr>
                <w:rFonts w:hint="eastAsia"/>
                <w:lang w:val="en-US" w:eastAsia="zh-CN"/>
              </w:rPr>
              <w:t>2024</w:t>
            </w:r>
          </w:p>
        </w:tc>
        <w:tc>
          <w:tcPr>
            <w:tcW w:w="833" w:type="pct"/>
            <w:shd w:val="clear" w:color="auto" w:fill="FFFFFF"/>
            <w:noWrap/>
            <w:vAlign w:val="center"/>
          </w:tcPr>
          <w:p w14:paraId="4ED7EA01">
            <w:pPr>
              <w:pStyle w:val="59"/>
              <w:bidi w:val="0"/>
              <w:rPr>
                <w:rFonts w:hint="eastAsia"/>
              </w:rPr>
            </w:pPr>
            <w:r>
              <w:rPr>
                <w:rFonts w:hint="eastAsia"/>
                <w:lang w:val="en-US" w:eastAsia="zh-CN"/>
              </w:rPr>
              <w:t>23.2</w:t>
            </w:r>
          </w:p>
        </w:tc>
        <w:tc>
          <w:tcPr>
            <w:tcW w:w="833" w:type="pct"/>
            <w:shd w:val="clear" w:color="auto" w:fill="FFFFFF"/>
            <w:noWrap/>
            <w:vAlign w:val="center"/>
          </w:tcPr>
          <w:p w14:paraId="644631DD">
            <w:pPr>
              <w:pStyle w:val="59"/>
              <w:bidi w:val="0"/>
              <w:rPr>
                <w:rFonts w:hint="eastAsia"/>
              </w:rPr>
            </w:pPr>
            <w:r>
              <w:rPr>
                <w:rFonts w:hint="eastAsia"/>
                <w:lang w:val="en-US" w:eastAsia="zh-CN"/>
              </w:rPr>
              <w:t>2167</w:t>
            </w:r>
          </w:p>
        </w:tc>
        <w:tc>
          <w:tcPr>
            <w:tcW w:w="833" w:type="pct"/>
            <w:shd w:val="clear" w:color="auto" w:fill="FFFFFF"/>
            <w:noWrap/>
            <w:vAlign w:val="center"/>
          </w:tcPr>
          <w:p w14:paraId="3FE4A178">
            <w:pPr>
              <w:pStyle w:val="59"/>
              <w:bidi w:val="0"/>
              <w:rPr>
                <w:rFonts w:hint="eastAsia"/>
              </w:rPr>
            </w:pPr>
            <w:r>
              <w:rPr>
                <w:rFonts w:hint="eastAsia"/>
                <w:lang w:val="en-US" w:eastAsia="zh-CN"/>
              </w:rPr>
              <w:t>76</w:t>
            </w:r>
          </w:p>
        </w:tc>
        <w:tc>
          <w:tcPr>
            <w:tcW w:w="833" w:type="pct"/>
            <w:shd w:val="clear" w:color="auto" w:fill="FFFFFF"/>
            <w:noWrap/>
            <w:vAlign w:val="center"/>
          </w:tcPr>
          <w:p w14:paraId="2E643AE9">
            <w:pPr>
              <w:pStyle w:val="59"/>
              <w:bidi w:val="0"/>
              <w:rPr>
                <w:rFonts w:hint="eastAsia"/>
              </w:rPr>
            </w:pPr>
            <w:r>
              <w:rPr>
                <w:rFonts w:hint="eastAsia"/>
                <w:lang w:val="en-US" w:eastAsia="zh-CN"/>
              </w:rPr>
              <w:t>1560.5</w:t>
            </w:r>
          </w:p>
        </w:tc>
        <w:tc>
          <w:tcPr>
            <w:tcW w:w="834" w:type="pct"/>
            <w:tcBorders>
              <w:right w:val="nil"/>
            </w:tcBorders>
            <w:shd w:val="clear" w:color="auto" w:fill="FFFFFF"/>
            <w:noWrap/>
            <w:vAlign w:val="center"/>
          </w:tcPr>
          <w:p w14:paraId="1942B63D">
            <w:pPr>
              <w:pStyle w:val="59"/>
              <w:bidi w:val="0"/>
              <w:rPr>
                <w:rFonts w:hint="eastAsia"/>
              </w:rPr>
            </w:pPr>
            <w:r>
              <w:rPr>
                <w:rFonts w:hint="eastAsia"/>
                <w:lang w:val="en-US" w:eastAsia="zh-CN"/>
              </w:rPr>
              <w:t>2.1</w:t>
            </w:r>
          </w:p>
        </w:tc>
      </w:tr>
      <w:tr w14:paraId="5FB64BD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left w:val="nil"/>
              <w:bottom w:val="single" w:color="000000" w:sz="12" w:space="0"/>
            </w:tcBorders>
            <w:shd w:val="clear" w:color="auto" w:fill="FFFFFF"/>
            <w:noWrap/>
            <w:vAlign w:val="center"/>
          </w:tcPr>
          <w:p w14:paraId="4741C25C">
            <w:pPr>
              <w:pStyle w:val="59"/>
              <w:bidi w:val="0"/>
              <w:rPr>
                <w:rFonts w:hint="eastAsia"/>
              </w:rPr>
            </w:pPr>
            <w:r>
              <w:rPr>
                <w:rFonts w:hint="eastAsia"/>
                <w:lang w:val="en-US" w:eastAsia="zh-CN"/>
              </w:rPr>
              <w:t>累年均值</w:t>
            </w:r>
          </w:p>
        </w:tc>
        <w:tc>
          <w:tcPr>
            <w:tcW w:w="833" w:type="pct"/>
            <w:tcBorders>
              <w:bottom w:val="single" w:color="000000" w:sz="12" w:space="0"/>
            </w:tcBorders>
            <w:shd w:val="clear" w:color="auto" w:fill="FFFFFF"/>
            <w:noWrap/>
            <w:vAlign w:val="center"/>
          </w:tcPr>
          <w:p w14:paraId="20835323">
            <w:pPr>
              <w:pStyle w:val="59"/>
              <w:bidi w:val="0"/>
              <w:rPr>
                <w:rFonts w:hint="eastAsia"/>
              </w:rPr>
            </w:pPr>
            <w:r>
              <w:rPr>
                <w:rFonts w:hint="eastAsia"/>
                <w:lang w:val="en-US" w:eastAsia="zh-CN"/>
              </w:rPr>
              <w:t>22.945</w:t>
            </w:r>
          </w:p>
        </w:tc>
        <w:tc>
          <w:tcPr>
            <w:tcW w:w="833" w:type="pct"/>
            <w:tcBorders>
              <w:bottom w:val="single" w:color="000000" w:sz="12" w:space="0"/>
            </w:tcBorders>
            <w:shd w:val="clear" w:color="auto" w:fill="FFFFFF"/>
            <w:noWrap/>
            <w:vAlign w:val="center"/>
          </w:tcPr>
          <w:p w14:paraId="5ADA0A96">
            <w:pPr>
              <w:pStyle w:val="59"/>
              <w:bidi w:val="0"/>
              <w:rPr>
                <w:rFonts w:hint="eastAsia"/>
              </w:rPr>
            </w:pPr>
            <w:r>
              <w:rPr>
                <w:rFonts w:hint="eastAsia"/>
                <w:lang w:val="en-US" w:eastAsia="zh-CN"/>
              </w:rPr>
              <w:t>1829.365</w:t>
            </w:r>
          </w:p>
        </w:tc>
        <w:tc>
          <w:tcPr>
            <w:tcW w:w="833" w:type="pct"/>
            <w:tcBorders>
              <w:bottom w:val="single" w:color="000000" w:sz="12" w:space="0"/>
            </w:tcBorders>
            <w:shd w:val="clear" w:color="auto" w:fill="FFFFFF"/>
            <w:noWrap/>
            <w:vAlign w:val="center"/>
          </w:tcPr>
          <w:p w14:paraId="44CAD6AB">
            <w:pPr>
              <w:pStyle w:val="59"/>
              <w:bidi w:val="0"/>
              <w:rPr>
                <w:rFonts w:hint="eastAsia"/>
              </w:rPr>
            </w:pPr>
            <w:r>
              <w:rPr>
                <w:rFonts w:hint="eastAsia"/>
                <w:lang w:val="en-US" w:eastAsia="zh-CN"/>
              </w:rPr>
              <w:t>76.5</w:t>
            </w:r>
          </w:p>
        </w:tc>
        <w:tc>
          <w:tcPr>
            <w:tcW w:w="833" w:type="pct"/>
            <w:tcBorders>
              <w:bottom w:val="single" w:color="000000" w:sz="12" w:space="0"/>
            </w:tcBorders>
            <w:shd w:val="clear" w:color="auto" w:fill="FFFFFF"/>
            <w:noWrap/>
            <w:vAlign w:val="center"/>
          </w:tcPr>
          <w:p w14:paraId="25B10BB2">
            <w:pPr>
              <w:pStyle w:val="59"/>
              <w:bidi w:val="0"/>
              <w:rPr>
                <w:rFonts w:hint="eastAsia"/>
              </w:rPr>
            </w:pPr>
            <w:r>
              <w:rPr>
                <w:rFonts w:hint="eastAsia"/>
                <w:lang w:val="en-US" w:eastAsia="zh-CN"/>
              </w:rPr>
              <w:t>1715.825</w:t>
            </w:r>
          </w:p>
        </w:tc>
        <w:tc>
          <w:tcPr>
            <w:tcW w:w="834" w:type="pct"/>
            <w:tcBorders>
              <w:bottom w:val="single" w:color="000000" w:sz="12" w:space="0"/>
              <w:right w:val="nil"/>
            </w:tcBorders>
            <w:shd w:val="clear" w:color="auto" w:fill="FFFFFF"/>
            <w:noWrap/>
            <w:vAlign w:val="center"/>
          </w:tcPr>
          <w:p w14:paraId="7B9E4C88">
            <w:pPr>
              <w:pStyle w:val="59"/>
              <w:bidi w:val="0"/>
              <w:rPr>
                <w:rFonts w:hint="eastAsia"/>
              </w:rPr>
            </w:pPr>
            <w:r>
              <w:rPr>
                <w:rFonts w:hint="eastAsia"/>
                <w:lang w:val="en-US" w:eastAsia="zh-CN"/>
              </w:rPr>
              <w:t>2.03</w:t>
            </w:r>
          </w:p>
        </w:tc>
      </w:tr>
    </w:tbl>
    <w:p w14:paraId="280D6E41">
      <w:pPr>
        <w:spacing w:before="240" w:beforeLines="100" w:line="360" w:lineRule="auto"/>
        <w:ind w:firstLine="482"/>
        <w:rPr>
          <w:b/>
          <w:bCs/>
          <w:color w:val="auto"/>
        </w:rPr>
      </w:pPr>
      <w:r>
        <w:rPr>
          <w:b/>
          <w:bCs/>
          <w:color w:val="auto"/>
        </w:rPr>
        <w:t>②</w:t>
      </w:r>
      <w:r>
        <w:rPr>
          <w:rFonts w:hint="eastAsia"/>
          <w:b/>
          <w:bCs/>
          <w:color w:val="auto"/>
        </w:rPr>
        <w:t>常年月平均风频</w:t>
      </w:r>
    </w:p>
    <w:p w14:paraId="795DA110">
      <w:pPr>
        <w:spacing w:line="360" w:lineRule="auto"/>
        <w:ind w:firstLine="480"/>
        <w:rPr>
          <w:color w:val="auto"/>
        </w:rPr>
      </w:pPr>
      <w:r>
        <w:rPr>
          <w:rFonts w:hint="eastAsia"/>
          <w:color w:val="auto"/>
        </w:rPr>
        <w:t>根据鹤山国家气象站地面气象观测资料统计，鹤山近</w:t>
      </w:r>
      <w:r>
        <w:rPr>
          <w:color w:val="auto"/>
        </w:rPr>
        <w:t>20</w:t>
      </w:r>
      <w:r>
        <w:rPr>
          <w:rFonts w:hint="eastAsia"/>
          <w:color w:val="auto"/>
        </w:rPr>
        <w:t>年各风向频率见下表。</w:t>
      </w:r>
    </w:p>
    <w:p w14:paraId="248BCBE1">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鹤山市气象站年各风向频率（单位：%）</w:t>
      </w:r>
    </w:p>
    <w:tbl>
      <w:tblPr>
        <w:tblStyle w:val="38"/>
        <w:tblW w:w="5033" w:type="pct"/>
        <w:tblInd w:w="0" w:type="dxa"/>
        <w:tblLayout w:type="autofit"/>
        <w:tblCellMar>
          <w:top w:w="0" w:type="dxa"/>
          <w:left w:w="0" w:type="dxa"/>
          <w:bottom w:w="0" w:type="dxa"/>
          <w:right w:w="0" w:type="dxa"/>
        </w:tblCellMar>
      </w:tblPr>
      <w:tblGrid>
        <w:gridCol w:w="386"/>
        <w:gridCol w:w="588"/>
        <w:gridCol w:w="514"/>
        <w:gridCol w:w="483"/>
        <w:gridCol w:w="483"/>
        <w:gridCol w:w="483"/>
        <w:gridCol w:w="432"/>
        <w:gridCol w:w="483"/>
        <w:gridCol w:w="456"/>
        <w:gridCol w:w="483"/>
        <w:gridCol w:w="487"/>
        <w:gridCol w:w="447"/>
        <w:gridCol w:w="524"/>
        <w:gridCol w:w="483"/>
        <w:gridCol w:w="560"/>
        <w:gridCol w:w="483"/>
        <w:gridCol w:w="512"/>
        <w:gridCol w:w="384"/>
        <w:gridCol w:w="461"/>
      </w:tblGrid>
      <w:tr w14:paraId="48941E2F">
        <w:tblPrEx>
          <w:tblCellMar>
            <w:top w:w="0" w:type="dxa"/>
            <w:left w:w="0" w:type="dxa"/>
            <w:bottom w:w="0" w:type="dxa"/>
            <w:right w:w="0" w:type="dxa"/>
          </w:tblCellMar>
        </w:tblPrEx>
        <w:trPr>
          <w:trHeight w:val="397" w:hRule="atLeast"/>
        </w:trPr>
        <w:tc>
          <w:tcPr>
            <w:tcW w:w="211" w:type="pct"/>
            <w:tcBorders>
              <w:top w:val="single" w:color="000000" w:sz="12" w:space="0"/>
              <w:left w:val="nil"/>
              <w:bottom w:val="single" w:color="000000" w:sz="4" w:space="0"/>
              <w:right w:val="single" w:color="000000" w:sz="4" w:space="0"/>
            </w:tcBorders>
            <w:noWrap w:val="0"/>
            <w:vAlign w:val="center"/>
          </w:tcPr>
          <w:p w14:paraId="4E2733AE">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风向</w:t>
            </w:r>
          </w:p>
        </w:tc>
        <w:tc>
          <w:tcPr>
            <w:tcW w:w="321" w:type="pct"/>
            <w:tcBorders>
              <w:top w:val="single" w:color="000000" w:sz="12" w:space="0"/>
              <w:left w:val="single" w:color="000000" w:sz="4" w:space="0"/>
              <w:bottom w:val="single" w:color="000000" w:sz="4" w:space="0"/>
              <w:right w:val="single" w:color="000000" w:sz="4" w:space="0"/>
            </w:tcBorders>
            <w:noWrap w:val="0"/>
            <w:vAlign w:val="center"/>
          </w:tcPr>
          <w:p w14:paraId="4CFBC671">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w:t>
            </w:r>
          </w:p>
        </w:tc>
        <w:tc>
          <w:tcPr>
            <w:tcW w:w="281" w:type="pct"/>
            <w:tcBorders>
              <w:top w:val="single" w:color="000000" w:sz="12" w:space="0"/>
              <w:left w:val="single" w:color="000000" w:sz="4" w:space="0"/>
              <w:bottom w:val="single" w:color="000000" w:sz="4" w:space="0"/>
              <w:right w:val="single" w:color="000000" w:sz="4" w:space="0"/>
            </w:tcBorders>
            <w:noWrap w:val="0"/>
            <w:vAlign w:val="center"/>
          </w:tcPr>
          <w:p w14:paraId="2C6D2A1F">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NNE</w:t>
            </w:r>
          </w:p>
        </w:tc>
        <w:tc>
          <w:tcPr>
            <w:tcW w:w="264" w:type="pct"/>
            <w:tcBorders>
              <w:top w:val="single" w:color="000000" w:sz="12" w:space="0"/>
              <w:left w:val="single" w:color="000000" w:sz="4" w:space="0"/>
              <w:bottom w:val="single" w:color="000000" w:sz="4" w:space="0"/>
              <w:right w:val="single" w:color="000000" w:sz="4" w:space="0"/>
            </w:tcBorders>
            <w:noWrap w:val="0"/>
            <w:vAlign w:val="center"/>
          </w:tcPr>
          <w:p w14:paraId="601B40D6">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NE</w:t>
            </w:r>
          </w:p>
        </w:tc>
        <w:tc>
          <w:tcPr>
            <w:tcW w:w="264" w:type="pct"/>
            <w:tcBorders>
              <w:top w:val="single" w:color="000000" w:sz="12" w:space="0"/>
              <w:left w:val="single" w:color="000000" w:sz="4" w:space="0"/>
              <w:bottom w:val="single" w:color="000000" w:sz="4" w:space="0"/>
              <w:right w:val="single" w:color="000000" w:sz="4" w:space="0"/>
            </w:tcBorders>
            <w:noWrap w:val="0"/>
            <w:vAlign w:val="center"/>
          </w:tcPr>
          <w:p w14:paraId="7D0379A8">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ENE</w:t>
            </w:r>
          </w:p>
        </w:tc>
        <w:tc>
          <w:tcPr>
            <w:tcW w:w="264" w:type="pct"/>
            <w:tcBorders>
              <w:top w:val="single" w:color="000000" w:sz="12" w:space="0"/>
              <w:left w:val="single" w:color="000000" w:sz="4" w:space="0"/>
              <w:bottom w:val="single" w:color="000000" w:sz="4" w:space="0"/>
              <w:right w:val="single" w:color="000000" w:sz="4" w:space="0"/>
            </w:tcBorders>
            <w:noWrap w:val="0"/>
            <w:vAlign w:val="center"/>
          </w:tcPr>
          <w:p w14:paraId="589143FF">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w:t>
            </w:r>
          </w:p>
        </w:tc>
        <w:tc>
          <w:tcPr>
            <w:tcW w:w="236" w:type="pct"/>
            <w:tcBorders>
              <w:top w:val="single" w:color="000000" w:sz="12" w:space="0"/>
              <w:left w:val="single" w:color="000000" w:sz="4" w:space="0"/>
              <w:bottom w:val="single" w:color="000000" w:sz="4" w:space="0"/>
              <w:right w:val="single" w:color="000000" w:sz="4" w:space="0"/>
            </w:tcBorders>
            <w:noWrap w:val="0"/>
            <w:vAlign w:val="center"/>
          </w:tcPr>
          <w:p w14:paraId="28818D43">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ESE</w:t>
            </w:r>
          </w:p>
        </w:tc>
        <w:tc>
          <w:tcPr>
            <w:tcW w:w="264" w:type="pct"/>
            <w:tcBorders>
              <w:top w:val="single" w:color="000000" w:sz="12" w:space="0"/>
              <w:left w:val="single" w:color="000000" w:sz="4" w:space="0"/>
              <w:bottom w:val="single" w:color="000000" w:sz="4" w:space="0"/>
              <w:right w:val="single" w:color="000000" w:sz="4" w:space="0"/>
            </w:tcBorders>
            <w:noWrap w:val="0"/>
            <w:vAlign w:val="center"/>
          </w:tcPr>
          <w:p w14:paraId="608D7A9B">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SE</w:t>
            </w:r>
          </w:p>
        </w:tc>
        <w:tc>
          <w:tcPr>
            <w:tcW w:w="249" w:type="pct"/>
            <w:tcBorders>
              <w:top w:val="single" w:color="000000" w:sz="12" w:space="0"/>
              <w:left w:val="single" w:color="000000" w:sz="4" w:space="0"/>
              <w:bottom w:val="single" w:color="000000" w:sz="4" w:space="0"/>
              <w:right w:val="single" w:color="000000" w:sz="4" w:space="0"/>
            </w:tcBorders>
            <w:noWrap w:val="0"/>
            <w:vAlign w:val="center"/>
          </w:tcPr>
          <w:p w14:paraId="2BF064C6">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SSE</w:t>
            </w:r>
          </w:p>
        </w:tc>
        <w:tc>
          <w:tcPr>
            <w:tcW w:w="264" w:type="pct"/>
            <w:tcBorders>
              <w:top w:val="single" w:color="000000" w:sz="12" w:space="0"/>
              <w:left w:val="single" w:color="000000" w:sz="4" w:space="0"/>
              <w:bottom w:val="single" w:color="000000" w:sz="4" w:space="0"/>
              <w:right w:val="single" w:color="000000" w:sz="4" w:space="0"/>
            </w:tcBorders>
            <w:noWrap w:val="0"/>
            <w:vAlign w:val="center"/>
          </w:tcPr>
          <w:p w14:paraId="7094A0C5">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w:t>
            </w:r>
          </w:p>
        </w:tc>
        <w:tc>
          <w:tcPr>
            <w:tcW w:w="266" w:type="pct"/>
            <w:tcBorders>
              <w:top w:val="single" w:color="000000" w:sz="12" w:space="0"/>
              <w:left w:val="single" w:color="000000" w:sz="4" w:space="0"/>
              <w:bottom w:val="single" w:color="000000" w:sz="4" w:space="0"/>
              <w:right w:val="single" w:color="000000" w:sz="4" w:space="0"/>
            </w:tcBorders>
            <w:noWrap w:val="0"/>
            <w:vAlign w:val="center"/>
          </w:tcPr>
          <w:p w14:paraId="02B0C7C2">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SSW</w:t>
            </w:r>
          </w:p>
        </w:tc>
        <w:tc>
          <w:tcPr>
            <w:tcW w:w="244" w:type="pct"/>
            <w:tcBorders>
              <w:top w:val="single" w:color="000000" w:sz="12" w:space="0"/>
              <w:left w:val="single" w:color="000000" w:sz="4" w:space="0"/>
              <w:bottom w:val="single" w:color="000000" w:sz="4" w:space="0"/>
              <w:right w:val="single" w:color="000000" w:sz="4" w:space="0"/>
            </w:tcBorders>
            <w:noWrap w:val="0"/>
            <w:vAlign w:val="center"/>
          </w:tcPr>
          <w:p w14:paraId="3C153919">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SW</w:t>
            </w:r>
          </w:p>
        </w:tc>
        <w:tc>
          <w:tcPr>
            <w:tcW w:w="286" w:type="pct"/>
            <w:tcBorders>
              <w:top w:val="single" w:color="000000" w:sz="12" w:space="0"/>
              <w:left w:val="single" w:color="000000" w:sz="4" w:space="0"/>
              <w:bottom w:val="single" w:color="000000" w:sz="4" w:space="0"/>
              <w:right w:val="single" w:color="000000" w:sz="4" w:space="0"/>
            </w:tcBorders>
            <w:noWrap w:val="0"/>
            <w:vAlign w:val="center"/>
          </w:tcPr>
          <w:p w14:paraId="6D440EC9">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WSW</w:t>
            </w:r>
          </w:p>
        </w:tc>
        <w:tc>
          <w:tcPr>
            <w:tcW w:w="264" w:type="pct"/>
            <w:tcBorders>
              <w:top w:val="single" w:color="000000" w:sz="12" w:space="0"/>
              <w:left w:val="single" w:color="000000" w:sz="4" w:space="0"/>
              <w:bottom w:val="single" w:color="000000" w:sz="4" w:space="0"/>
              <w:right w:val="single" w:color="000000" w:sz="4" w:space="0"/>
            </w:tcBorders>
            <w:noWrap w:val="0"/>
            <w:vAlign w:val="center"/>
          </w:tcPr>
          <w:p w14:paraId="56D0C872">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w:t>
            </w:r>
          </w:p>
        </w:tc>
        <w:tc>
          <w:tcPr>
            <w:tcW w:w="306" w:type="pct"/>
            <w:tcBorders>
              <w:top w:val="single" w:color="000000" w:sz="12" w:space="0"/>
              <w:left w:val="single" w:color="000000" w:sz="4" w:space="0"/>
              <w:bottom w:val="single" w:color="000000" w:sz="4" w:space="0"/>
              <w:right w:val="single" w:color="000000" w:sz="4" w:space="0"/>
            </w:tcBorders>
            <w:noWrap w:val="0"/>
            <w:vAlign w:val="center"/>
          </w:tcPr>
          <w:p w14:paraId="79538844">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WNW</w:t>
            </w:r>
          </w:p>
        </w:tc>
        <w:tc>
          <w:tcPr>
            <w:tcW w:w="264" w:type="pct"/>
            <w:tcBorders>
              <w:top w:val="single" w:color="000000" w:sz="12" w:space="0"/>
              <w:left w:val="single" w:color="000000" w:sz="4" w:space="0"/>
              <w:bottom w:val="single" w:color="000000" w:sz="4" w:space="0"/>
              <w:right w:val="single" w:color="000000" w:sz="4" w:space="0"/>
            </w:tcBorders>
            <w:noWrap w:val="0"/>
            <w:vAlign w:val="center"/>
          </w:tcPr>
          <w:p w14:paraId="4D48B581">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NW</w:t>
            </w:r>
          </w:p>
        </w:tc>
        <w:tc>
          <w:tcPr>
            <w:tcW w:w="280" w:type="pct"/>
            <w:tcBorders>
              <w:top w:val="single" w:color="000000" w:sz="12" w:space="0"/>
              <w:left w:val="single" w:color="000000" w:sz="4" w:space="0"/>
              <w:bottom w:val="single" w:color="000000" w:sz="4" w:space="0"/>
              <w:right w:val="single" w:color="000000" w:sz="4" w:space="0"/>
            </w:tcBorders>
            <w:noWrap w:val="0"/>
            <w:vAlign w:val="center"/>
          </w:tcPr>
          <w:p w14:paraId="37A2703F">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NNW</w:t>
            </w:r>
          </w:p>
        </w:tc>
        <w:tc>
          <w:tcPr>
            <w:tcW w:w="210" w:type="pct"/>
            <w:tcBorders>
              <w:top w:val="single" w:color="000000" w:sz="12" w:space="0"/>
              <w:left w:val="single" w:color="000000" w:sz="4" w:space="0"/>
              <w:bottom w:val="single" w:color="000000" w:sz="4" w:space="0"/>
              <w:right w:val="single" w:color="000000" w:sz="4" w:space="0"/>
            </w:tcBorders>
            <w:noWrap w:val="0"/>
            <w:vAlign w:val="center"/>
          </w:tcPr>
          <w:p w14:paraId="5345128E">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w:t>
            </w:r>
          </w:p>
        </w:tc>
        <w:tc>
          <w:tcPr>
            <w:tcW w:w="252" w:type="pct"/>
            <w:tcBorders>
              <w:top w:val="single" w:color="000000" w:sz="12" w:space="0"/>
              <w:left w:val="single" w:color="000000" w:sz="4" w:space="0"/>
              <w:bottom w:val="single" w:color="000000" w:sz="4" w:space="0"/>
              <w:right w:val="nil"/>
            </w:tcBorders>
            <w:noWrap w:val="0"/>
            <w:vAlign w:val="center"/>
          </w:tcPr>
          <w:p w14:paraId="0720CD74">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最多风向</w:t>
            </w:r>
          </w:p>
        </w:tc>
      </w:tr>
      <w:tr w14:paraId="4AE939E3">
        <w:tblPrEx>
          <w:tblCellMar>
            <w:top w:w="0" w:type="dxa"/>
            <w:left w:w="0" w:type="dxa"/>
            <w:bottom w:w="0" w:type="dxa"/>
            <w:right w:w="0" w:type="dxa"/>
          </w:tblCellMar>
        </w:tblPrEx>
        <w:trPr>
          <w:trHeight w:val="397" w:hRule="atLeast"/>
        </w:trPr>
        <w:tc>
          <w:tcPr>
            <w:tcW w:w="211" w:type="pct"/>
            <w:tcBorders>
              <w:top w:val="single" w:color="000000" w:sz="4" w:space="0"/>
              <w:left w:val="nil"/>
              <w:bottom w:val="single" w:color="000000" w:sz="12" w:space="0"/>
              <w:right w:val="single" w:color="000000" w:sz="4" w:space="0"/>
            </w:tcBorders>
            <w:noWrap w:val="0"/>
            <w:vAlign w:val="center"/>
          </w:tcPr>
          <w:p w14:paraId="1D41EB25">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风频</w:t>
            </w:r>
          </w:p>
        </w:tc>
        <w:tc>
          <w:tcPr>
            <w:tcW w:w="321" w:type="pct"/>
            <w:tcBorders>
              <w:top w:val="single" w:color="000000" w:sz="4" w:space="0"/>
              <w:left w:val="single" w:color="000000" w:sz="4" w:space="0"/>
              <w:bottom w:val="single" w:color="000000" w:sz="12" w:space="0"/>
              <w:right w:val="single" w:color="000000" w:sz="4" w:space="0"/>
            </w:tcBorders>
            <w:noWrap w:val="0"/>
            <w:vAlign w:val="center"/>
          </w:tcPr>
          <w:p w14:paraId="5BD77CC4">
            <w:pPr>
              <w:pStyle w:val="59"/>
              <w:bidi w:val="0"/>
              <w:rPr>
                <w:rFonts w:hint="default"/>
              </w:rPr>
            </w:pPr>
            <w:r>
              <w:rPr>
                <w:rFonts w:hint="eastAsia"/>
                <w:lang w:val="en-US" w:eastAsia="zh-CN"/>
              </w:rPr>
              <w:t>15.625</w:t>
            </w:r>
          </w:p>
        </w:tc>
        <w:tc>
          <w:tcPr>
            <w:tcW w:w="281" w:type="pct"/>
            <w:tcBorders>
              <w:top w:val="single" w:color="000000" w:sz="4" w:space="0"/>
              <w:left w:val="single" w:color="000000" w:sz="4" w:space="0"/>
              <w:bottom w:val="single" w:color="000000" w:sz="12" w:space="0"/>
              <w:right w:val="single" w:color="000000" w:sz="4" w:space="0"/>
            </w:tcBorders>
            <w:noWrap w:val="0"/>
            <w:vAlign w:val="center"/>
          </w:tcPr>
          <w:p w14:paraId="0FD342F3">
            <w:pPr>
              <w:pStyle w:val="59"/>
              <w:bidi w:val="0"/>
              <w:rPr>
                <w:rFonts w:hint="default"/>
              </w:rPr>
            </w:pPr>
            <w:r>
              <w:rPr>
                <w:rFonts w:hint="eastAsia"/>
                <w:lang w:val="en-US" w:eastAsia="zh-CN"/>
              </w:rPr>
              <w:t>9.76</w:t>
            </w:r>
          </w:p>
        </w:tc>
        <w:tc>
          <w:tcPr>
            <w:tcW w:w="264" w:type="pct"/>
            <w:tcBorders>
              <w:top w:val="single" w:color="000000" w:sz="4" w:space="0"/>
              <w:left w:val="single" w:color="000000" w:sz="4" w:space="0"/>
              <w:bottom w:val="single" w:color="000000" w:sz="12" w:space="0"/>
              <w:right w:val="single" w:color="000000" w:sz="4" w:space="0"/>
            </w:tcBorders>
            <w:noWrap w:val="0"/>
            <w:vAlign w:val="center"/>
          </w:tcPr>
          <w:p w14:paraId="03720645">
            <w:pPr>
              <w:pStyle w:val="59"/>
              <w:bidi w:val="0"/>
              <w:rPr>
                <w:rFonts w:hint="default"/>
              </w:rPr>
            </w:pPr>
            <w:r>
              <w:rPr>
                <w:rFonts w:hint="eastAsia"/>
                <w:lang w:val="en-US" w:eastAsia="zh-CN"/>
              </w:rPr>
              <w:t>5.865</w:t>
            </w:r>
          </w:p>
        </w:tc>
        <w:tc>
          <w:tcPr>
            <w:tcW w:w="264" w:type="pct"/>
            <w:tcBorders>
              <w:top w:val="single" w:color="000000" w:sz="4" w:space="0"/>
              <w:left w:val="single" w:color="000000" w:sz="4" w:space="0"/>
              <w:bottom w:val="single" w:color="000000" w:sz="12" w:space="0"/>
              <w:right w:val="single" w:color="000000" w:sz="4" w:space="0"/>
            </w:tcBorders>
            <w:noWrap w:val="0"/>
            <w:vAlign w:val="center"/>
          </w:tcPr>
          <w:p w14:paraId="717A567B">
            <w:pPr>
              <w:pStyle w:val="59"/>
              <w:bidi w:val="0"/>
              <w:rPr>
                <w:rFonts w:hint="default"/>
              </w:rPr>
            </w:pPr>
            <w:r>
              <w:rPr>
                <w:rFonts w:hint="eastAsia"/>
                <w:lang w:val="en-US" w:eastAsia="zh-CN"/>
              </w:rPr>
              <w:t>3.925</w:t>
            </w:r>
          </w:p>
        </w:tc>
        <w:tc>
          <w:tcPr>
            <w:tcW w:w="264" w:type="pct"/>
            <w:tcBorders>
              <w:top w:val="single" w:color="000000" w:sz="4" w:space="0"/>
              <w:left w:val="single" w:color="000000" w:sz="4" w:space="0"/>
              <w:bottom w:val="single" w:color="000000" w:sz="12" w:space="0"/>
              <w:right w:val="single" w:color="000000" w:sz="4" w:space="0"/>
            </w:tcBorders>
            <w:noWrap w:val="0"/>
            <w:vAlign w:val="center"/>
          </w:tcPr>
          <w:p w14:paraId="4C6C3A8C">
            <w:pPr>
              <w:pStyle w:val="59"/>
              <w:bidi w:val="0"/>
              <w:rPr>
                <w:rFonts w:hint="default"/>
              </w:rPr>
            </w:pPr>
            <w:r>
              <w:rPr>
                <w:rFonts w:hint="eastAsia"/>
                <w:lang w:val="en-US" w:eastAsia="zh-CN"/>
              </w:rPr>
              <w:t>3.775</w:t>
            </w:r>
          </w:p>
        </w:tc>
        <w:tc>
          <w:tcPr>
            <w:tcW w:w="236" w:type="pct"/>
            <w:tcBorders>
              <w:top w:val="single" w:color="000000" w:sz="4" w:space="0"/>
              <w:left w:val="single" w:color="000000" w:sz="4" w:space="0"/>
              <w:bottom w:val="single" w:color="000000" w:sz="12" w:space="0"/>
              <w:right w:val="single" w:color="000000" w:sz="4" w:space="0"/>
            </w:tcBorders>
            <w:noWrap w:val="0"/>
            <w:vAlign w:val="center"/>
          </w:tcPr>
          <w:p w14:paraId="6A1ECEE6">
            <w:pPr>
              <w:pStyle w:val="59"/>
              <w:bidi w:val="0"/>
              <w:rPr>
                <w:rFonts w:hint="default"/>
              </w:rPr>
            </w:pPr>
            <w:r>
              <w:rPr>
                <w:rFonts w:hint="eastAsia"/>
                <w:lang w:val="en-US" w:eastAsia="zh-CN"/>
              </w:rPr>
              <w:t>4</w:t>
            </w:r>
          </w:p>
        </w:tc>
        <w:tc>
          <w:tcPr>
            <w:tcW w:w="264" w:type="pct"/>
            <w:tcBorders>
              <w:top w:val="single" w:color="000000" w:sz="4" w:space="0"/>
              <w:left w:val="single" w:color="000000" w:sz="4" w:space="0"/>
              <w:bottom w:val="single" w:color="000000" w:sz="12" w:space="0"/>
              <w:right w:val="single" w:color="000000" w:sz="4" w:space="0"/>
            </w:tcBorders>
            <w:noWrap w:val="0"/>
            <w:vAlign w:val="center"/>
          </w:tcPr>
          <w:p w14:paraId="17054388">
            <w:pPr>
              <w:pStyle w:val="59"/>
              <w:bidi w:val="0"/>
              <w:rPr>
                <w:rFonts w:hint="default"/>
              </w:rPr>
            </w:pPr>
            <w:r>
              <w:rPr>
                <w:rFonts w:hint="eastAsia"/>
                <w:lang w:val="en-US" w:eastAsia="zh-CN"/>
              </w:rPr>
              <w:t>6.545</w:t>
            </w:r>
          </w:p>
        </w:tc>
        <w:tc>
          <w:tcPr>
            <w:tcW w:w="249" w:type="pct"/>
            <w:tcBorders>
              <w:top w:val="single" w:color="000000" w:sz="4" w:space="0"/>
              <w:left w:val="single" w:color="000000" w:sz="4" w:space="0"/>
              <w:bottom w:val="single" w:color="000000" w:sz="12" w:space="0"/>
              <w:right w:val="single" w:color="000000" w:sz="4" w:space="0"/>
            </w:tcBorders>
            <w:noWrap w:val="0"/>
            <w:vAlign w:val="center"/>
          </w:tcPr>
          <w:p w14:paraId="0B563009">
            <w:pPr>
              <w:pStyle w:val="59"/>
              <w:bidi w:val="0"/>
              <w:rPr>
                <w:rFonts w:hint="default"/>
              </w:rPr>
            </w:pPr>
            <w:r>
              <w:rPr>
                <w:rFonts w:hint="eastAsia"/>
                <w:lang w:val="en-US" w:eastAsia="zh-CN"/>
              </w:rPr>
              <w:t>8.33</w:t>
            </w:r>
          </w:p>
        </w:tc>
        <w:tc>
          <w:tcPr>
            <w:tcW w:w="264" w:type="pct"/>
            <w:tcBorders>
              <w:top w:val="single" w:color="000000" w:sz="4" w:space="0"/>
              <w:left w:val="single" w:color="000000" w:sz="4" w:space="0"/>
              <w:bottom w:val="single" w:color="000000" w:sz="12" w:space="0"/>
              <w:right w:val="single" w:color="000000" w:sz="4" w:space="0"/>
            </w:tcBorders>
            <w:noWrap w:val="0"/>
            <w:vAlign w:val="center"/>
          </w:tcPr>
          <w:p w14:paraId="04CC27EF">
            <w:pPr>
              <w:pStyle w:val="59"/>
              <w:bidi w:val="0"/>
              <w:rPr>
                <w:rFonts w:hint="default"/>
              </w:rPr>
            </w:pPr>
            <w:r>
              <w:rPr>
                <w:rFonts w:hint="eastAsia"/>
                <w:lang w:val="en-US" w:eastAsia="zh-CN"/>
              </w:rPr>
              <w:t>7.605</w:t>
            </w:r>
          </w:p>
        </w:tc>
        <w:tc>
          <w:tcPr>
            <w:tcW w:w="266" w:type="pct"/>
            <w:tcBorders>
              <w:top w:val="single" w:color="000000" w:sz="4" w:space="0"/>
              <w:left w:val="single" w:color="000000" w:sz="4" w:space="0"/>
              <w:bottom w:val="single" w:color="000000" w:sz="12" w:space="0"/>
              <w:right w:val="single" w:color="000000" w:sz="4" w:space="0"/>
            </w:tcBorders>
            <w:noWrap w:val="0"/>
            <w:vAlign w:val="center"/>
          </w:tcPr>
          <w:p w14:paraId="255FD2BD">
            <w:pPr>
              <w:pStyle w:val="59"/>
              <w:bidi w:val="0"/>
              <w:rPr>
                <w:rFonts w:hint="default"/>
              </w:rPr>
            </w:pPr>
            <w:r>
              <w:rPr>
                <w:rFonts w:hint="eastAsia"/>
                <w:lang w:val="en-US" w:eastAsia="zh-CN"/>
              </w:rPr>
              <w:t>5.65</w:t>
            </w:r>
          </w:p>
        </w:tc>
        <w:tc>
          <w:tcPr>
            <w:tcW w:w="244" w:type="pct"/>
            <w:tcBorders>
              <w:top w:val="single" w:color="000000" w:sz="4" w:space="0"/>
              <w:left w:val="single" w:color="000000" w:sz="4" w:space="0"/>
              <w:bottom w:val="single" w:color="000000" w:sz="12" w:space="0"/>
              <w:right w:val="single" w:color="000000" w:sz="4" w:space="0"/>
            </w:tcBorders>
            <w:noWrap w:val="0"/>
            <w:vAlign w:val="center"/>
          </w:tcPr>
          <w:p w14:paraId="687D22AD">
            <w:pPr>
              <w:pStyle w:val="59"/>
              <w:bidi w:val="0"/>
              <w:rPr>
                <w:rFonts w:hint="default"/>
              </w:rPr>
            </w:pPr>
            <w:r>
              <w:rPr>
                <w:rFonts w:hint="eastAsia"/>
                <w:lang w:val="en-US" w:eastAsia="zh-CN"/>
              </w:rPr>
              <w:t>4.47</w:t>
            </w:r>
          </w:p>
        </w:tc>
        <w:tc>
          <w:tcPr>
            <w:tcW w:w="286" w:type="pct"/>
            <w:tcBorders>
              <w:top w:val="single" w:color="000000" w:sz="4" w:space="0"/>
              <w:left w:val="single" w:color="000000" w:sz="4" w:space="0"/>
              <w:bottom w:val="single" w:color="000000" w:sz="12" w:space="0"/>
              <w:right w:val="single" w:color="000000" w:sz="4" w:space="0"/>
            </w:tcBorders>
            <w:noWrap w:val="0"/>
            <w:vAlign w:val="center"/>
          </w:tcPr>
          <w:p w14:paraId="667141DD">
            <w:pPr>
              <w:pStyle w:val="59"/>
              <w:bidi w:val="0"/>
              <w:rPr>
                <w:rFonts w:hint="default"/>
              </w:rPr>
            </w:pPr>
            <w:r>
              <w:rPr>
                <w:rFonts w:hint="eastAsia"/>
                <w:lang w:val="en-US" w:eastAsia="zh-CN"/>
              </w:rPr>
              <w:t>3.195</w:t>
            </w:r>
          </w:p>
        </w:tc>
        <w:tc>
          <w:tcPr>
            <w:tcW w:w="264" w:type="pct"/>
            <w:tcBorders>
              <w:top w:val="single" w:color="000000" w:sz="4" w:space="0"/>
              <w:left w:val="single" w:color="000000" w:sz="4" w:space="0"/>
              <w:bottom w:val="single" w:color="000000" w:sz="12" w:space="0"/>
              <w:right w:val="single" w:color="000000" w:sz="4" w:space="0"/>
            </w:tcBorders>
            <w:noWrap w:val="0"/>
            <w:vAlign w:val="center"/>
          </w:tcPr>
          <w:p w14:paraId="2B6E06C9">
            <w:pPr>
              <w:pStyle w:val="59"/>
              <w:bidi w:val="0"/>
              <w:rPr>
                <w:rFonts w:hint="default"/>
              </w:rPr>
            </w:pPr>
            <w:r>
              <w:rPr>
                <w:rFonts w:hint="eastAsia"/>
                <w:lang w:val="en-US" w:eastAsia="zh-CN"/>
              </w:rPr>
              <w:t>2.885</w:t>
            </w:r>
          </w:p>
        </w:tc>
        <w:tc>
          <w:tcPr>
            <w:tcW w:w="306" w:type="pct"/>
            <w:tcBorders>
              <w:top w:val="single" w:color="000000" w:sz="4" w:space="0"/>
              <w:left w:val="single" w:color="000000" w:sz="4" w:space="0"/>
              <w:bottom w:val="single" w:color="000000" w:sz="12" w:space="0"/>
              <w:right w:val="single" w:color="000000" w:sz="4" w:space="0"/>
            </w:tcBorders>
            <w:noWrap w:val="0"/>
            <w:vAlign w:val="center"/>
          </w:tcPr>
          <w:p w14:paraId="06B7DE59">
            <w:pPr>
              <w:pStyle w:val="59"/>
              <w:bidi w:val="0"/>
              <w:rPr>
                <w:rFonts w:hint="default"/>
              </w:rPr>
            </w:pPr>
            <w:r>
              <w:rPr>
                <w:rFonts w:hint="eastAsia"/>
                <w:lang w:val="en-US" w:eastAsia="zh-CN"/>
              </w:rPr>
              <w:t>2.41</w:t>
            </w:r>
          </w:p>
        </w:tc>
        <w:tc>
          <w:tcPr>
            <w:tcW w:w="264" w:type="pct"/>
            <w:tcBorders>
              <w:top w:val="single" w:color="000000" w:sz="4" w:space="0"/>
              <w:left w:val="single" w:color="000000" w:sz="4" w:space="0"/>
              <w:bottom w:val="single" w:color="000000" w:sz="12" w:space="0"/>
              <w:right w:val="single" w:color="000000" w:sz="4" w:space="0"/>
            </w:tcBorders>
            <w:noWrap w:val="0"/>
            <w:vAlign w:val="center"/>
          </w:tcPr>
          <w:p w14:paraId="39E35240">
            <w:pPr>
              <w:pStyle w:val="59"/>
              <w:bidi w:val="0"/>
              <w:rPr>
                <w:rFonts w:hint="default"/>
              </w:rPr>
            </w:pPr>
            <w:r>
              <w:rPr>
                <w:rFonts w:hint="eastAsia"/>
                <w:lang w:val="en-US" w:eastAsia="zh-CN"/>
              </w:rPr>
              <w:t>4.085</w:t>
            </w:r>
          </w:p>
        </w:tc>
        <w:tc>
          <w:tcPr>
            <w:tcW w:w="280" w:type="pct"/>
            <w:tcBorders>
              <w:top w:val="single" w:color="000000" w:sz="4" w:space="0"/>
              <w:left w:val="single" w:color="000000" w:sz="4" w:space="0"/>
              <w:bottom w:val="single" w:color="000000" w:sz="12" w:space="0"/>
              <w:right w:val="single" w:color="000000" w:sz="4" w:space="0"/>
            </w:tcBorders>
            <w:noWrap w:val="0"/>
            <w:vAlign w:val="center"/>
          </w:tcPr>
          <w:p w14:paraId="7F69BE07">
            <w:pPr>
              <w:pStyle w:val="59"/>
              <w:bidi w:val="0"/>
              <w:rPr>
                <w:rFonts w:hint="default"/>
              </w:rPr>
            </w:pPr>
            <w:r>
              <w:rPr>
                <w:rFonts w:hint="eastAsia"/>
                <w:lang w:val="en-US" w:eastAsia="zh-CN"/>
              </w:rPr>
              <w:t>7.51</w:t>
            </w:r>
          </w:p>
        </w:tc>
        <w:tc>
          <w:tcPr>
            <w:tcW w:w="210" w:type="pct"/>
            <w:tcBorders>
              <w:top w:val="single" w:color="000000" w:sz="4" w:space="0"/>
              <w:left w:val="single" w:color="000000" w:sz="4" w:space="0"/>
              <w:bottom w:val="single" w:color="000000" w:sz="12" w:space="0"/>
              <w:right w:val="single" w:color="000000" w:sz="4" w:space="0"/>
            </w:tcBorders>
            <w:noWrap w:val="0"/>
            <w:vAlign w:val="center"/>
          </w:tcPr>
          <w:p w14:paraId="794737B5">
            <w:pPr>
              <w:pStyle w:val="59"/>
              <w:bidi w:val="0"/>
              <w:rPr>
                <w:rFonts w:hint="default"/>
              </w:rPr>
            </w:pPr>
            <w:r>
              <w:rPr>
                <w:rFonts w:hint="eastAsia"/>
                <w:lang w:val="en-US" w:eastAsia="zh-CN"/>
              </w:rPr>
              <w:t>4.31</w:t>
            </w:r>
          </w:p>
        </w:tc>
        <w:tc>
          <w:tcPr>
            <w:tcW w:w="252" w:type="pct"/>
            <w:tcBorders>
              <w:top w:val="single" w:color="000000" w:sz="4" w:space="0"/>
              <w:left w:val="single" w:color="000000" w:sz="4" w:space="0"/>
              <w:bottom w:val="single" w:color="000000" w:sz="12" w:space="0"/>
              <w:right w:val="nil"/>
            </w:tcBorders>
            <w:noWrap w:val="0"/>
            <w:vAlign w:val="center"/>
          </w:tcPr>
          <w:p w14:paraId="39377338">
            <w:pPr>
              <w:pStyle w:val="59"/>
              <w:bidi w:val="0"/>
              <w:rPr>
                <w:rFonts w:hint="eastAsia" w:eastAsia="宋体"/>
                <w:lang w:val="en-US" w:eastAsia="zh-CN"/>
              </w:rPr>
            </w:pPr>
            <w:r>
              <w:rPr>
                <w:rFonts w:hint="eastAsia"/>
                <w:lang w:val="en-US" w:eastAsia="zh-CN"/>
              </w:rPr>
              <w:t>N</w:t>
            </w:r>
          </w:p>
        </w:tc>
      </w:tr>
    </w:tbl>
    <w:p w14:paraId="12462496">
      <w:pPr>
        <w:numPr>
          <w:ilvl w:val="0"/>
          <w:numId w:val="39"/>
        </w:numPr>
        <w:autoSpaceDE w:val="0"/>
        <w:autoSpaceDN w:val="0"/>
        <w:adjustRightInd w:val="0"/>
        <w:spacing w:before="240" w:beforeLines="100" w:line="360" w:lineRule="auto"/>
        <w:ind w:firstLine="482"/>
        <w:textAlignment w:val="baseline"/>
        <w:rPr>
          <w:b/>
          <w:color w:val="auto"/>
        </w:rPr>
      </w:pPr>
      <w:r>
        <w:rPr>
          <w:rFonts w:hint="eastAsia"/>
          <w:b/>
          <w:color w:val="auto"/>
        </w:rPr>
        <w:t>预测观测气象资料</w:t>
      </w:r>
    </w:p>
    <w:p w14:paraId="09720474">
      <w:pPr>
        <w:spacing w:line="360" w:lineRule="auto"/>
        <w:ind w:firstLine="480"/>
        <w:rPr>
          <w:color w:val="auto"/>
        </w:rPr>
      </w:pPr>
      <w:r>
        <w:rPr>
          <w:rFonts w:hint="eastAsia"/>
          <w:color w:val="auto"/>
        </w:rPr>
        <w:t>按照《环境影响评价技术导则 大气环境》（HJ 2.2-20</w:t>
      </w:r>
      <w:r>
        <w:rPr>
          <w:rFonts w:hint="eastAsia"/>
          <w:color w:val="auto"/>
          <w:lang w:val="en-US" w:eastAsia="zh-CN"/>
        </w:rPr>
        <w:t>1</w:t>
      </w:r>
      <w:r>
        <w:rPr>
          <w:rFonts w:hint="eastAsia"/>
          <w:color w:val="auto"/>
        </w:rPr>
        <w:t>8），本次环评采用鹤山市气象观测站 202</w:t>
      </w:r>
      <w:r>
        <w:rPr>
          <w:rFonts w:hint="eastAsia"/>
          <w:color w:val="auto"/>
          <w:lang w:val="en-US" w:eastAsia="zh-CN"/>
        </w:rPr>
        <w:t>4</w:t>
      </w:r>
      <w:r>
        <w:rPr>
          <w:rFonts w:hint="eastAsia"/>
          <w:color w:val="auto"/>
        </w:rPr>
        <w:t>年全年逐日逐次的地面气象资料，气象因子包括风向、风速、总云量、低云量和干球温度，该数据由广东省气候中心提供。鹤山气象站基本信息如下：</w:t>
      </w:r>
    </w:p>
    <w:p w14:paraId="598F19D7">
      <w:pPr>
        <w:spacing w:line="360" w:lineRule="auto"/>
        <w:ind w:firstLine="480"/>
        <w:rPr>
          <w:color w:val="auto"/>
        </w:rPr>
      </w:pPr>
      <w:r>
        <w:rPr>
          <w:rFonts w:hint="eastAsia"/>
          <w:color w:val="auto"/>
        </w:rPr>
        <w:t>鹤山气象站：国家一般气象站； 区站号：59473；</w:t>
      </w:r>
    </w:p>
    <w:p w14:paraId="0FD232A5">
      <w:pPr>
        <w:spacing w:line="360" w:lineRule="auto"/>
        <w:ind w:firstLine="480"/>
        <w:rPr>
          <w:color w:val="auto"/>
        </w:rPr>
      </w:pPr>
      <w:r>
        <w:rPr>
          <w:rFonts w:hint="eastAsia"/>
          <w:color w:val="auto"/>
        </w:rPr>
        <w:t xml:space="preserve">地址：鹤山市沙坪镇人民东路 35 号（市区、山顶）； </w:t>
      </w:r>
    </w:p>
    <w:p w14:paraId="2DF4F5E1">
      <w:pPr>
        <w:spacing w:line="360" w:lineRule="auto"/>
        <w:ind w:firstLine="480"/>
        <w:rPr>
          <w:color w:val="auto"/>
        </w:rPr>
      </w:pPr>
      <w:r>
        <w:rPr>
          <w:rFonts w:hint="eastAsia"/>
          <w:color w:val="auto"/>
        </w:rPr>
        <w:t>经纬度：112.983°E、22.733°N。</w:t>
      </w:r>
    </w:p>
    <w:p w14:paraId="1DC7F8C7">
      <w:pPr>
        <w:spacing w:line="360" w:lineRule="auto"/>
        <w:ind w:firstLine="480"/>
        <w:rPr>
          <w:color w:val="auto"/>
        </w:rPr>
      </w:pPr>
      <w:r>
        <w:rPr>
          <w:rFonts w:hint="eastAsia"/>
          <w:color w:val="auto"/>
        </w:rPr>
        <w:t>根据鹤山市气象站 202</w:t>
      </w:r>
      <w:r>
        <w:rPr>
          <w:rFonts w:hint="eastAsia"/>
          <w:color w:val="auto"/>
          <w:lang w:val="en-US" w:eastAsia="zh-CN"/>
        </w:rPr>
        <w:t>4</w:t>
      </w:r>
      <w:r>
        <w:rPr>
          <w:rFonts w:hint="eastAsia"/>
          <w:color w:val="auto"/>
        </w:rPr>
        <w:t>年连续一年逐日、逐次常规地面气象观测数据进行统计分析， 包括：干球温度、风向、风速、总云量和低云量数据。该地夏季受热带海洋气团影响，冬季受大陆冷气团的影响，因此温度、风速风向呈明显的季节性变化。</w:t>
      </w:r>
    </w:p>
    <w:p w14:paraId="01BC3AB6">
      <w:pPr>
        <w:adjustRightInd w:val="0"/>
        <w:ind w:firstLine="482"/>
        <w:jc w:val="left"/>
        <w:rPr>
          <w:color w:val="auto"/>
        </w:rPr>
      </w:pPr>
      <w:r>
        <w:rPr>
          <w:b/>
          <w:bCs/>
          <w:color w:val="auto"/>
        </w:rPr>
        <w:t>①年平均温度的月变化</w:t>
      </w:r>
    </w:p>
    <w:p w14:paraId="7C708C7F">
      <w:pPr>
        <w:bidi w:val="0"/>
        <w:rPr>
          <w:color w:val="auto"/>
        </w:rPr>
      </w:pPr>
      <w:r>
        <w:rPr>
          <w:color w:val="auto"/>
        </w:rPr>
        <w:t>根据鹤山市气象站202</w:t>
      </w:r>
      <w:r>
        <w:rPr>
          <w:rFonts w:hint="eastAsia"/>
          <w:color w:val="auto"/>
          <w:lang w:val="en-US" w:eastAsia="zh-CN"/>
        </w:rPr>
        <w:t>4</w:t>
      </w:r>
      <w:r>
        <w:rPr>
          <w:color w:val="auto"/>
        </w:rPr>
        <w:t>年的气象观测数据，项目所在地202</w:t>
      </w:r>
      <w:r>
        <w:rPr>
          <w:rFonts w:hint="eastAsia"/>
          <w:color w:val="auto"/>
          <w:lang w:val="en-US" w:eastAsia="zh-CN"/>
        </w:rPr>
        <w:t>4</w:t>
      </w:r>
      <w:r>
        <w:rPr>
          <w:color w:val="auto"/>
        </w:rPr>
        <w:t>年平均温度见</w:t>
      </w:r>
      <w:r>
        <w:rPr>
          <w:rFonts w:hint="eastAsia"/>
          <w:color w:val="auto"/>
          <w:lang w:eastAsia="zh-CN"/>
        </w:rPr>
        <w:t>表</w:t>
      </w:r>
      <w:r>
        <w:rPr>
          <w:rFonts w:hint="eastAsia"/>
          <w:color w:val="auto"/>
          <w:lang w:val="en-US" w:eastAsia="zh-CN"/>
        </w:rPr>
        <w:t>4</w:t>
      </w:r>
      <w:r>
        <w:rPr>
          <w:rFonts w:hint="eastAsia"/>
          <w:color w:val="auto"/>
          <w:lang w:eastAsia="zh-CN"/>
        </w:rPr>
        <w:t>.2</w:t>
      </w:r>
      <w:r>
        <w:rPr>
          <w:rFonts w:hint="eastAsia"/>
          <w:color w:val="auto"/>
          <w:lang w:val="en-US" w:eastAsia="zh-CN"/>
        </w:rPr>
        <w:t>-4</w:t>
      </w:r>
      <w:r>
        <w:rPr>
          <w:color w:val="auto"/>
        </w:rPr>
        <w:t>和图</w:t>
      </w:r>
      <w:r>
        <w:rPr>
          <w:rFonts w:hint="eastAsia"/>
          <w:color w:val="auto"/>
          <w:lang w:val="en-US" w:eastAsia="zh-CN"/>
        </w:rPr>
        <w:t>1.8-2</w:t>
      </w:r>
      <w:r>
        <w:rPr>
          <w:color w:val="auto"/>
        </w:rPr>
        <w:t>，由表可见，</w:t>
      </w:r>
      <w:r>
        <w:rPr>
          <w:rFonts w:hint="default" w:ascii="Times New Roman" w:hAnsi="Times New Roman" w:cs="Times New Roman"/>
          <w:color w:val="auto"/>
          <w:highlight w:val="none"/>
        </w:rPr>
        <w:t>全年各月份平均温度介于14.50℃~29.35℃，年平均温度为23.61°C。</w:t>
      </w:r>
    </w:p>
    <w:p w14:paraId="2FE6B742">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年平均温度的月变化</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655"/>
        <w:gridCol w:w="655"/>
        <w:gridCol w:w="654"/>
        <w:gridCol w:w="654"/>
        <w:gridCol w:w="654"/>
        <w:gridCol w:w="654"/>
        <w:gridCol w:w="654"/>
        <w:gridCol w:w="654"/>
        <w:gridCol w:w="654"/>
        <w:gridCol w:w="654"/>
        <w:gridCol w:w="654"/>
        <w:gridCol w:w="654"/>
        <w:gridCol w:w="661"/>
      </w:tblGrid>
      <w:tr w14:paraId="65A2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18" w:type="pct"/>
            <w:tcBorders>
              <w:top w:val="single" w:color="auto" w:sz="12" w:space="0"/>
              <w:left w:val="nil"/>
            </w:tcBorders>
            <w:noWrap/>
            <w:vAlign w:val="center"/>
          </w:tcPr>
          <w:p w14:paraId="2624F073">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月份</w:t>
            </w:r>
          </w:p>
        </w:tc>
        <w:tc>
          <w:tcPr>
            <w:tcW w:w="352" w:type="pct"/>
            <w:tcBorders>
              <w:top w:val="single" w:color="auto" w:sz="12" w:space="0"/>
            </w:tcBorders>
            <w:noWrap/>
            <w:vAlign w:val="center"/>
          </w:tcPr>
          <w:p w14:paraId="12C2FEBB">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52" w:type="pct"/>
            <w:tcBorders>
              <w:top w:val="single" w:color="auto" w:sz="12" w:space="0"/>
            </w:tcBorders>
            <w:noWrap/>
            <w:vAlign w:val="center"/>
          </w:tcPr>
          <w:p w14:paraId="49E9F3DF">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52" w:type="pct"/>
            <w:tcBorders>
              <w:top w:val="single" w:color="auto" w:sz="12" w:space="0"/>
            </w:tcBorders>
            <w:noWrap/>
            <w:vAlign w:val="center"/>
          </w:tcPr>
          <w:p w14:paraId="7803AF19">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52" w:type="pct"/>
            <w:tcBorders>
              <w:top w:val="single" w:color="auto" w:sz="12" w:space="0"/>
            </w:tcBorders>
            <w:noWrap/>
            <w:vAlign w:val="center"/>
          </w:tcPr>
          <w:p w14:paraId="0951AFDC">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352" w:type="pct"/>
            <w:tcBorders>
              <w:top w:val="single" w:color="auto" w:sz="12" w:space="0"/>
            </w:tcBorders>
            <w:noWrap/>
            <w:vAlign w:val="center"/>
          </w:tcPr>
          <w:p w14:paraId="2A98547E">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352" w:type="pct"/>
            <w:tcBorders>
              <w:top w:val="single" w:color="auto" w:sz="12" w:space="0"/>
            </w:tcBorders>
            <w:noWrap/>
            <w:vAlign w:val="center"/>
          </w:tcPr>
          <w:p w14:paraId="75BF19E0">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352" w:type="pct"/>
            <w:tcBorders>
              <w:top w:val="single" w:color="auto" w:sz="12" w:space="0"/>
            </w:tcBorders>
            <w:noWrap/>
            <w:vAlign w:val="center"/>
          </w:tcPr>
          <w:p w14:paraId="22F45F93">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352" w:type="pct"/>
            <w:tcBorders>
              <w:top w:val="single" w:color="auto" w:sz="12" w:space="0"/>
            </w:tcBorders>
            <w:noWrap/>
            <w:vAlign w:val="center"/>
          </w:tcPr>
          <w:p w14:paraId="2A0B96A8">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352" w:type="pct"/>
            <w:tcBorders>
              <w:top w:val="single" w:color="auto" w:sz="12" w:space="0"/>
            </w:tcBorders>
            <w:noWrap/>
            <w:vAlign w:val="center"/>
          </w:tcPr>
          <w:p w14:paraId="7028E007">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352" w:type="pct"/>
            <w:tcBorders>
              <w:top w:val="single" w:color="auto" w:sz="12" w:space="0"/>
            </w:tcBorders>
            <w:noWrap/>
            <w:vAlign w:val="center"/>
          </w:tcPr>
          <w:p w14:paraId="1DE7B39E">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352" w:type="pct"/>
            <w:tcBorders>
              <w:top w:val="single" w:color="auto" w:sz="12" w:space="0"/>
            </w:tcBorders>
            <w:noWrap/>
            <w:vAlign w:val="center"/>
          </w:tcPr>
          <w:p w14:paraId="2A17A36A">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w:t>
            </w:r>
          </w:p>
        </w:tc>
        <w:tc>
          <w:tcPr>
            <w:tcW w:w="352" w:type="pct"/>
            <w:tcBorders>
              <w:top w:val="single" w:color="auto" w:sz="12" w:space="0"/>
            </w:tcBorders>
            <w:noWrap/>
            <w:vAlign w:val="center"/>
          </w:tcPr>
          <w:p w14:paraId="74040AE2">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w:t>
            </w:r>
          </w:p>
        </w:tc>
        <w:tc>
          <w:tcPr>
            <w:tcW w:w="356" w:type="pct"/>
            <w:tcBorders>
              <w:top w:val="single" w:color="auto" w:sz="12" w:space="0"/>
              <w:right w:val="nil"/>
            </w:tcBorders>
            <w:noWrap w:val="0"/>
            <w:vAlign w:val="center"/>
          </w:tcPr>
          <w:p w14:paraId="52A25BD2">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全年</w:t>
            </w:r>
          </w:p>
        </w:tc>
      </w:tr>
      <w:tr w14:paraId="5C7F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8" w:type="pct"/>
            <w:tcBorders>
              <w:left w:val="nil"/>
              <w:bottom w:val="single" w:color="auto" w:sz="12" w:space="0"/>
            </w:tcBorders>
            <w:noWrap/>
            <w:vAlign w:val="center"/>
          </w:tcPr>
          <w:p w14:paraId="0CBA1407">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气温（℃）</w:t>
            </w:r>
          </w:p>
        </w:tc>
        <w:tc>
          <w:tcPr>
            <w:tcW w:w="655" w:type="dxa"/>
            <w:tcBorders>
              <w:bottom w:val="single" w:color="auto" w:sz="12" w:space="0"/>
            </w:tcBorders>
            <w:noWrap/>
            <w:vAlign w:val="bottom"/>
          </w:tcPr>
          <w:p w14:paraId="1D1F4481">
            <w:pPr>
              <w:pStyle w:val="59"/>
              <w:bidi w:val="0"/>
              <w:rPr>
                <w:rFonts w:hint="default"/>
              </w:rPr>
            </w:pPr>
            <w:r>
              <w:rPr>
                <w:rFonts w:hint="eastAsia"/>
                <w:lang w:val="en-US" w:eastAsia="zh-CN"/>
              </w:rPr>
              <w:t xml:space="preserve">15.58 </w:t>
            </w:r>
          </w:p>
        </w:tc>
        <w:tc>
          <w:tcPr>
            <w:tcW w:w="655" w:type="dxa"/>
            <w:tcBorders>
              <w:bottom w:val="single" w:color="auto" w:sz="12" w:space="0"/>
            </w:tcBorders>
            <w:noWrap/>
            <w:vAlign w:val="bottom"/>
          </w:tcPr>
          <w:p w14:paraId="1361D3DA">
            <w:pPr>
              <w:pStyle w:val="59"/>
              <w:bidi w:val="0"/>
              <w:rPr>
                <w:rFonts w:hint="default"/>
              </w:rPr>
            </w:pPr>
            <w:r>
              <w:rPr>
                <w:rFonts w:hint="eastAsia"/>
                <w:lang w:val="en-US" w:eastAsia="zh-CN"/>
              </w:rPr>
              <w:t xml:space="preserve">16.00 </w:t>
            </w:r>
          </w:p>
        </w:tc>
        <w:tc>
          <w:tcPr>
            <w:tcW w:w="654" w:type="dxa"/>
            <w:tcBorders>
              <w:bottom w:val="single" w:color="auto" w:sz="12" w:space="0"/>
            </w:tcBorders>
            <w:noWrap/>
            <w:vAlign w:val="bottom"/>
          </w:tcPr>
          <w:p w14:paraId="43F2C4E6">
            <w:pPr>
              <w:pStyle w:val="59"/>
              <w:bidi w:val="0"/>
              <w:rPr>
                <w:rFonts w:hint="default"/>
              </w:rPr>
            </w:pPr>
            <w:r>
              <w:rPr>
                <w:rFonts w:hint="eastAsia"/>
                <w:lang w:val="en-US" w:eastAsia="zh-CN"/>
              </w:rPr>
              <w:t xml:space="preserve">19.53 </w:t>
            </w:r>
          </w:p>
        </w:tc>
        <w:tc>
          <w:tcPr>
            <w:tcW w:w="654" w:type="dxa"/>
            <w:tcBorders>
              <w:bottom w:val="single" w:color="auto" w:sz="12" w:space="0"/>
            </w:tcBorders>
            <w:noWrap/>
            <w:vAlign w:val="bottom"/>
          </w:tcPr>
          <w:p w14:paraId="73C89C8C">
            <w:pPr>
              <w:pStyle w:val="59"/>
              <w:bidi w:val="0"/>
              <w:rPr>
                <w:rFonts w:hint="default"/>
              </w:rPr>
            </w:pPr>
            <w:r>
              <w:rPr>
                <w:rFonts w:hint="eastAsia"/>
                <w:lang w:val="en-US" w:eastAsia="zh-CN"/>
              </w:rPr>
              <w:t xml:space="preserve">25.21 </w:t>
            </w:r>
          </w:p>
        </w:tc>
        <w:tc>
          <w:tcPr>
            <w:tcW w:w="654" w:type="dxa"/>
            <w:tcBorders>
              <w:bottom w:val="single" w:color="auto" w:sz="12" w:space="0"/>
            </w:tcBorders>
            <w:noWrap/>
            <w:vAlign w:val="bottom"/>
          </w:tcPr>
          <w:p w14:paraId="5CAE9CBD">
            <w:pPr>
              <w:pStyle w:val="59"/>
              <w:bidi w:val="0"/>
              <w:rPr>
                <w:rFonts w:hint="default"/>
              </w:rPr>
            </w:pPr>
            <w:r>
              <w:rPr>
                <w:rFonts w:hint="eastAsia"/>
                <w:lang w:val="en-US" w:eastAsia="zh-CN"/>
              </w:rPr>
              <w:t xml:space="preserve">25.09 </w:t>
            </w:r>
          </w:p>
        </w:tc>
        <w:tc>
          <w:tcPr>
            <w:tcW w:w="654" w:type="dxa"/>
            <w:tcBorders>
              <w:bottom w:val="single" w:color="auto" w:sz="12" w:space="0"/>
            </w:tcBorders>
            <w:noWrap/>
            <w:vAlign w:val="bottom"/>
          </w:tcPr>
          <w:p w14:paraId="1E2516FB">
            <w:pPr>
              <w:pStyle w:val="59"/>
              <w:bidi w:val="0"/>
              <w:rPr>
                <w:rFonts w:hint="default"/>
              </w:rPr>
            </w:pPr>
            <w:r>
              <w:rPr>
                <w:rFonts w:hint="eastAsia"/>
                <w:lang w:val="en-US" w:eastAsia="zh-CN"/>
              </w:rPr>
              <w:t xml:space="preserve">27.97 </w:t>
            </w:r>
          </w:p>
        </w:tc>
        <w:tc>
          <w:tcPr>
            <w:tcW w:w="654" w:type="dxa"/>
            <w:tcBorders>
              <w:bottom w:val="single" w:color="auto" w:sz="12" w:space="0"/>
            </w:tcBorders>
            <w:noWrap/>
            <w:vAlign w:val="bottom"/>
          </w:tcPr>
          <w:p w14:paraId="13E2975C">
            <w:pPr>
              <w:pStyle w:val="59"/>
              <w:bidi w:val="0"/>
              <w:rPr>
                <w:rFonts w:hint="default"/>
              </w:rPr>
            </w:pPr>
            <w:r>
              <w:rPr>
                <w:rFonts w:hint="eastAsia"/>
                <w:lang w:val="en-US" w:eastAsia="zh-CN"/>
              </w:rPr>
              <w:t xml:space="preserve">29.35 </w:t>
            </w:r>
          </w:p>
        </w:tc>
        <w:tc>
          <w:tcPr>
            <w:tcW w:w="654" w:type="dxa"/>
            <w:tcBorders>
              <w:bottom w:val="single" w:color="auto" w:sz="12" w:space="0"/>
            </w:tcBorders>
            <w:noWrap/>
            <w:vAlign w:val="bottom"/>
          </w:tcPr>
          <w:p w14:paraId="05A70420">
            <w:pPr>
              <w:pStyle w:val="59"/>
              <w:bidi w:val="0"/>
              <w:rPr>
                <w:rFonts w:hint="default"/>
              </w:rPr>
            </w:pPr>
            <w:r>
              <w:rPr>
                <w:rFonts w:hint="eastAsia"/>
                <w:lang w:val="en-US" w:eastAsia="zh-CN"/>
              </w:rPr>
              <w:t xml:space="preserve">28.61 </w:t>
            </w:r>
          </w:p>
        </w:tc>
        <w:tc>
          <w:tcPr>
            <w:tcW w:w="654" w:type="dxa"/>
            <w:tcBorders>
              <w:bottom w:val="single" w:color="auto" w:sz="12" w:space="0"/>
            </w:tcBorders>
            <w:noWrap/>
            <w:vAlign w:val="bottom"/>
          </w:tcPr>
          <w:p w14:paraId="6BF8C13F">
            <w:pPr>
              <w:pStyle w:val="59"/>
              <w:bidi w:val="0"/>
              <w:rPr>
                <w:rFonts w:hint="default"/>
              </w:rPr>
            </w:pPr>
            <w:r>
              <w:rPr>
                <w:rFonts w:hint="eastAsia"/>
                <w:lang w:val="en-US" w:eastAsia="zh-CN"/>
              </w:rPr>
              <w:t xml:space="preserve">27.99 </w:t>
            </w:r>
          </w:p>
        </w:tc>
        <w:tc>
          <w:tcPr>
            <w:tcW w:w="654" w:type="dxa"/>
            <w:tcBorders>
              <w:bottom w:val="single" w:color="auto" w:sz="12" w:space="0"/>
            </w:tcBorders>
            <w:noWrap/>
            <w:vAlign w:val="bottom"/>
          </w:tcPr>
          <w:p w14:paraId="5583352E">
            <w:pPr>
              <w:pStyle w:val="59"/>
              <w:bidi w:val="0"/>
              <w:rPr>
                <w:rFonts w:hint="default"/>
              </w:rPr>
            </w:pPr>
            <w:r>
              <w:rPr>
                <w:rFonts w:hint="eastAsia"/>
                <w:lang w:val="en-US" w:eastAsia="zh-CN"/>
              </w:rPr>
              <w:t xml:space="preserve">26.03 </w:t>
            </w:r>
          </w:p>
        </w:tc>
        <w:tc>
          <w:tcPr>
            <w:tcW w:w="654" w:type="dxa"/>
            <w:tcBorders>
              <w:bottom w:val="single" w:color="auto" w:sz="12" w:space="0"/>
            </w:tcBorders>
            <w:noWrap/>
            <w:vAlign w:val="bottom"/>
          </w:tcPr>
          <w:p w14:paraId="71A9B0C5">
            <w:pPr>
              <w:pStyle w:val="59"/>
              <w:bidi w:val="0"/>
              <w:rPr>
                <w:rFonts w:hint="default"/>
              </w:rPr>
            </w:pPr>
            <w:r>
              <w:rPr>
                <w:rFonts w:hint="eastAsia"/>
                <w:lang w:val="en-US" w:eastAsia="zh-CN"/>
              </w:rPr>
              <w:t xml:space="preserve">21.88 </w:t>
            </w:r>
          </w:p>
        </w:tc>
        <w:tc>
          <w:tcPr>
            <w:tcW w:w="654" w:type="dxa"/>
            <w:tcBorders>
              <w:bottom w:val="single" w:color="auto" w:sz="12" w:space="0"/>
            </w:tcBorders>
            <w:noWrap/>
            <w:vAlign w:val="bottom"/>
          </w:tcPr>
          <w:p w14:paraId="5DFE5BF1">
            <w:pPr>
              <w:pStyle w:val="59"/>
              <w:bidi w:val="0"/>
              <w:rPr>
                <w:rFonts w:hint="default"/>
              </w:rPr>
            </w:pPr>
            <w:r>
              <w:rPr>
                <w:rFonts w:hint="eastAsia"/>
                <w:lang w:val="en-US" w:eastAsia="zh-CN"/>
              </w:rPr>
              <w:t xml:space="preserve">15.87 </w:t>
            </w:r>
          </w:p>
        </w:tc>
        <w:tc>
          <w:tcPr>
            <w:tcW w:w="661" w:type="dxa"/>
            <w:tcBorders>
              <w:bottom w:val="single" w:color="auto" w:sz="12" w:space="0"/>
              <w:right w:val="nil"/>
            </w:tcBorders>
            <w:noWrap w:val="0"/>
            <w:vAlign w:val="bottom"/>
          </w:tcPr>
          <w:p w14:paraId="071F0D18">
            <w:pPr>
              <w:pStyle w:val="59"/>
              <w:bidi w:val="0"/>
              <w:rPr>
                <w:rFonts w:hint="default"/>
                <w:lang w:val="en-US" w:eastAsia="zh-CN"/>
              </w:rPr>
            </w:pPr>
            <w:r>
              <w:rPr>
                <w:rFonts w:hint="eastAsia"/>
                <w:lang w:val="en-US" w:eastAsia="zh-CN"/>
              </w:rPr>
              <w:t xml:space="preserve">15.58 </w:t>
            </w:r>
          </w:p>
        </w:tc>
      </w:tr>
    </w:tbl>
    <w:p w14:paraId="7E84E9DD">
      <w:pPr>
        <w:pStyle w:val="86"/>
        <w:spacing w:before="240" w:beforeLines="100" w:after="0" w:line="240" w:lineRule="auto"/>
        <w:ind w:firstLine="0" w:firstLineChars="0"/>
        <w:rPr>
          <w:color w:val="auto"/>
        </w:rPr>
      </w:pPr>
    </w:p>
    <w:p w14:paraId="7FFD5438">
      <w:pPr>
        <w:pStyle w:val="85"/>
        <w:bidi w:val="0"/>
        <w:rPr>
          <w:color w:val="auto"/>
        </w:rPr>
      </w:pPr>
      <w:r>
        <w:drawing>
          <wp:inline distT="0" distB="0" distL="114300" distR="114300">
            <wp:extent cx="5758815" cy="2455545"/>
            <wp:effectExtent l="4445" t="4445" r="8890" b="6985"/>
            <wp:docPr id="209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734F660">
      <w:pPr>
        <w:pStyle w:val="85"/>
        <w:keepNext w:val="0"/>
        <w:keepLines w:val="0"/>
        <w:pageBreakBefore w:val="0"/>
        <w:widowControl/>
        <w:numPr>
          <w:ilvl w:val="0"/>
          <w:numId w:val="38"/>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年各月平均气温变化图</w:t>
      </w:r>
    </w:p>
    <w:p w14:paraId="085E72F4">
      <w:pPr>
        <w:bidi w:val="0"/>
        <w:rPr>
          <w:b/>
          <w:bCs/>
          <w:color w:val="auto"/>
        </w:rPr>
      </w:pPr>
      <w:r>
        <w:rPr>
          <w:rFonts w:hint="eastAsia"/>
          <w:b/>
          <w:bCs/>
          <w:color w:val="auto"/>
        </w:rPr>
        <w:t>②</w:t>
      </w:r>
      <w:r>
        <w:rPr>
          <w:b/>
          <w:bCs/>
          <w:color w:val="auto"/>
        </w:rPr>
        <w:t>年平均风速的月变化</w:t>
      </w:r>
    </w:p>
    <w:p w14:paraId="5CD611EE">
      <w:pPr>
        <w:spacing w:line="360" w:lineRule="auto"/>
        <w:ind w:firstLine="480"/>
        <w:rPr>
          <w:color w:val="auto"/>
        </w:rPr>
      </w:pPr>
      <w:r>
        <w:rPr>
          <w:color w:val="auto"/>
        </w:rPr>
        <w:t>根据20</w:t>
      </w:r>
      <w:r>
        <w:rPr>
          <w:rFonts w:hint="eastAsia"/>
          <w:color w:val="auto"/>
        </w:rPr>
        <w:t>2</w:t>
      </w:r>
      <w:r>
        <w:rPr>
          <w:rFonts w:hint="eastAsia"/>
          <w:color w:val="auto"/>
          <w:lang w:val="en-US" w:eastAsia="zh-CN"/>
        </w:rPr>
        <w:t>4</w:t>
      </w:r>
      <w:r>
        <w:rPr>
          <w:color w:val="auto"/>
        </w:rPr>
        <w:t>年</w:t>
      </w:r>
      <w:r>
        <w:rPr>
          <w:rFonts w:hint="eastAsia"/>
          <w:color w:val="auto"/>
        </w:rPr>
        <w:t>鹤山</w:t>
      </w:r>
      <w:r>
        <w:rPr>
          <w:color w:val="auto"/>
        </w:rPr>
        <w:t>地面气象监测站的数据统计分析每月平均风速变化情况，统计结果见</w:t>
      </w:r>
      <w:r>
        <w:rPr>
          <w:rFonts w:hint="eastAsia"/>
          <w:color w:val="auto"/>
          <w:lang w:eastAsia="zh-CN"/>
        </w:rPr>
        <w:t>表</w:t>
      </w:r>
      <w:r>
        <w:rPr>
          <w:rFonts w:hint="eastAsia"/>
          <w:color w:val="auto"/>
          <w:lang w:val="en-US" w:eastAsia="zh-CN"/>
        </w:rPr>
        <w:t>4</w:t>
      </w:r>
      <w:r>
        <w:rPr>
          <w:rFonts w:hint="eastAsia"/>
          <w:color w:val="auto"/>
          <w:lang w:eastAsia="zh-CN"/>
        </w:rPr>
        <w:t>.2</w:t>
      </w:r>
      <w:r>
        <w:rPr>
          <w:rFonts w:hint="eastAsia"/>
          <w:color w:val="auto"/>
        </w:rPr>
        <w:t>-5</w:t>
      </w:r>
      <w:r>
        <w:rPr>
          <w:color w:val="auto"/>
        </w:rPr>
        <w:t>和</w:t>
      </w:r>
      <w:r>
        <w:rPr>
          <w:rFonts w:hint="eastAsia"/>
          <w:color w:val="auto"/>
          <w:lang w:eastAsia="zh-CN"/>
        </w:rPr>
        <w:t>图</w:t>
      </w:r>
      <w:r>
        <w:rPr>
          <w:rFonts w:hint="eastAsia"/>
          <w:color w:val="auto"/>
          <w:lang w:val="en-US" w:eastAsia="zh-CN"/>
        </w:rPr>
        <w:t>4</w:t>
      </w:r>
      <w:r>
        <w:rPr>
          <w:rFonts w:hint="eastAsia"/>
          <w:color w:val="auto"/>
          <w:lang w:eastAsia="zh-CN"/>
        </w:rPr>
        <w:t>.2</w:t>
      </w:r>
      <w:r>
        <w:rPr>
          <w:rFonts w:hint="eastAsia"/>
          <w:color w:val="auto"/>
        </w:rPr>
        <w:t>-3</w:t>
      </w:r>
      <w:r>
        <w:rPr>
          <w:rFonts w:hint="eastAsia"/>
          <w:color w:val="auto"/>
          <w:lang w:eastAsia="zh-CN"/>
        </w:rPr>
        <w:t>，</w:t>
      </w:r>
      <w:r>
        <w:rPr>
          <w:color w:val="auto"/>
        </w:rPr>
        <w:t>全年</w:t>
      </w:r>
      <w:r>
        <w:rPr>
          <w:rFonts w:hint="eastAsia"/>
          <w:color w:val="auto"/>
        </w:rPr>
        <w:t>平均风速为2.</w:t>
      </w:r>
      <w:r>
        <w:rPr>
          <w:rFonts w:hint="eastAsia"/>
          <w:color w:val="auto"/>
          <w:lang w:val="en-US" w:eastAsia="zh-CN"/>
        </w:rPr>
        <w:t>11</w:t>
      </w:r>
      <w:r>
        <w:rPr>
          <w:rFonts w:hint="eastAsia"/>
          <w:color w:val="auto"/>
        </w:rPr>
        <w:t>m/s</w:t>
      </w:r>
      <w:r>
        <w:rPr>
          <w:color w:val="auto"/>
        </w:rPr>
        <w:t>。</w:t>
      </w:r>
    </w:p>
    <w:p w14:paraId="09282EBC">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鹤山气象站202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年平均风速的月变化</w:t>
      </w:r>
    </w:p>
    <w:tbl>
      <w:tblPr>
        <w:tblStyle w:val="38"/>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264"/>
        <w:gridCol w:w="599"/>
        <w:gridCol w:w="605"/>
        <w:gridCol w:w="600"/>
        <w:gridCol w:w="603"/>
        <w:gridCol w:w="600"/>
        <w:gridCol w:w="605"/>
        <w:gridCol w:w="603"/>
        <w:gridCol w:w="600"/>
        <w:gridCol w:w="603"/>
        <w:gridCol w:w="605"/>
        <w:gridCol w:w="600"/>
        <w:gridCol w:w="594"/>
        <w:gridCol w:w="591"/>
      </w:tblGrid>
      <w:tr w14:paraId="54FF25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6" w:type="pct"/>
            <w:noWrap w:val="0"/>
            <w:vAlign w:val="center"/>
          </w:tcPr>
          <w:p w14:paraId="2E65E418">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月份</w:t>
            </w:r>
          </w:p>
        </w:tc>
        <w:tc>
          <w:tcPr>
            <w:tcW w:w="330" w:type="pct"/>
            <w:noWrap w:val="0"/>
            <w:vAlign w:val="center"/>
          </w:tcPr>
          <w:p w14:paraId="61E0B4EA">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1月</w:t>
            </w:r>
          </w:p>
        </w:tc>
        <w:tc>
          <w:tcPr>
            <w:tcW w:w="333" w:type="pct"/>
            <w:noWrap w:val="0"/>
            <w:vAlign w:val="center"/>
          </w:tcPr>
          <w:p w14:paraId="1528848A">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2月</w:t>
            </w:r>
          </w:p>
        </w:tc>
        <w:tc>
          <w:tcPr>
            <w:tcW w:w="330" w:type="pct"/>
            <w:noWrap w:val="0"/>
            <w:vAlign w:val="center"/>
          </w:tcPr>
          <w:p w14:paraId="1B3CD986">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3月</w:t>
            </w:r>
          </w:p>
        </w:tc>
        <w:tc>
          <w:tcPr>
            <w:tcW w:w="332" w:type="pct"/>
            <w:noWrap w:val="0"/>
            <w:vAlign w:val="center"/>
          </w:tcPr>
          <w:p w14:paraId="2DD86186">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4月</w:t>
            </w:r>
          </w:p>
        </w:tc>
        <w:tc>
          <w:tcPr>
            <w:tcW w:w="330" w:type="pct"/>
            <w:noWrap w:val="0"/>
            <w:vAlign w:val="center"/>
          </w:tcPr>
          <w:p w14:paraId="53254A33">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5月</w:t>
            </w:r>
          </w:p>
        </w:tc>
        <w:tc>
          <w:tcPr>
            <w:tcW w:w="333" w:type="pct"/>
            <w:noWrap w:val="0"/>
            <w:vAlign w:val="center"/>
          </w:tcPr>
          <w:p w14:paraId="73216980">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6月</w:t>
            </w:r>
          </w:p>
        </w:tc>
        <w:tc>
          <w:tcPr>
            <w:tcW w:w="332" w:type="pct"/>
            <w:noWrap w:val="0"/>
            <w:vAlign w:val="center"/>
          </w:tcPr>
          <w:p w14:paraId="3BA36244">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7月</w:t>
            </w:r>
          </w:p>
        </w:tc>
        <w:tc>
          <w:tcPr>
            <w:tcW w:w="330" w:type="pct"/>
            <w:noWrap w:val="0"/>
            <w:vAlign w:val="center"/>
          </w:tcPr>
          <w:p w14:paraId="3CA98FCB">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8月</w:t>
            </w:r>
          </w:p>
        </w:tc>
        <w:tc>
          <w:tcPr>
            <w:tcW w:w="332" w:type="pct"/>
            <w:noWrap w:val="0"/>
            <w:vAlign w:val="center"/>
          </w:tcPr>
          <w:p w14:paraId="76666826">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9月</w:t>
            </w:r>
          </w:p>
        </w:tc>
        <w:tc>
          <w:tcPr>
            <w:tcW w:w="333" w:type="pct"/>
            <w:noWrap w:val="0"/>
            <w:vAlign w:val="center"/>
          </w:tcPr>
          <w:p w14:paraId="6160959C">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10月</w:t>
            </w:r>
          </w:p>
        </w:tc>
        <w:tc>
          <w:tcPr>
            <w:tcW w:w="330" w:type="pct"/>
            <w:noWrap w:val="0"/>
            <w:vAlign w:val="center"/>
          </w:tcPr>
          <w:p w14:paraId="4597E252">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11月</w:t>
            </w:r>
          </w:p>
        </w:tc>
        <w:tc>
          <w:tcPr>
            <w:tcW w:w="327" w:type="pct"/>
            <w:noWrap w:val="0"/>
            <w:vAlign w:val="center"/>
          </w:tcPr>
          <w:p w14:paraId="6AE1D1A5">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12月</w:t>
            </w:r>
          </w:p>
        </w:tc>
        <w:tc>
          <w:tcPr>
            <w:tcW w:w="325" w:type="pct"/>
            <w:noWrap w:val="0"/>
            <w:vAlign w:val="center"/>
          </w:tcPr>
          <w:p w14:paraId="1AC93F31">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全年</w:t>
            </w:r>
          </w:p>
        </w:tc>
      </w:tr>
      <w:tr w14:paraId="580349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96" w:type="pct"/>
            <w:noWrap w:val="0"/>
            <w:vAlign w:val="center"/>
          </w:tcPr>
          <w:p w14:paraId="41AC6773">
            <w:pPr>
              <w:keepNext w:val="0"/>
              <w:keepLines w:val="0"/>
              <w:suppressLineNumbers w:val="0"/>
              <w:autoSpaceDE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风速(m/s)</w:t>
            </w:r>
          </w:p>
        </w:tc>
        <w:tc>
          <w:tcPr>
            <w:tcW w:w="600" w:type="dxa"/>
            <w:noWrap w:val="0"/>
            <w:vAlign w:val="center"/>
          </w:tcPr>
          <w:p w14:paraId="6DC61B47">
            <w:pPr>
              <w:pStyle w:val="59"/>
              <w:bidi w:val="0"/>
              <w:jc w:val="center"/>
              <w:rPr>
                <w:rFonts w:hint="default"/>
              </w:rPr>
            </w:pPr>
            <w:r>
              <w:rPr>
                <w:rFonts w:hint="eastAsia"/>
                <w:lang w:val="en-US" w:eastAsia="zh-CN"/>
              </w:rPr>
              <w:t>1.98</w:t>
            </w:r>
          </w:p>
        </w:tc>
        <w:tc>
          <w:tcPr>
            <w:tcW w:w="605" w:type="dxa"/>
            <w:noWrap w:val="0"/>
            <w:vAlign w:val="center"/>
          </w:tcPr>
          <w:p w14:paraId="770E07CA">
            <w:pPr>
              <w:pStyle w:val="59"/>
              <w:bidi w:val="0"/>
              <w:jc w:val="center"/>
              <w:rPr>
                <w:rFonts w:hint="default"/>
              </w:rPr>
            </w:pPr>
            <w:r>
              <w:rPr>
                <w:rFonts w:hint="eastAsia"/>
                <w:lang w:val="en-US" w:eastAsia="zh-CN"/>
              </w:rPr>
              <w:t>2.32</w:t>
            </w:r>
          </w:p>
        </w:tc>
        <w:tc>
          <w:tcPr>
            <w:tcW w:w="600" w:type="dxa"/>
            <w:noWrap w:val="0"/>
            <w:vAlign w:val="center"/>
          </w:tcPr>
          <w:p w14:paraId="3E41D8EF">
            <w:pPr>
              <w:pStyle w:val="59"/>
              <w:bidi w:val="0"/>
              <w:jc w:val="center"/>
              <w:rPr>
                <w:rFonts w:hint="default"/>
              </w:rPr>
            </w:pPr>
            <w:r>
              <w:rPr>
                <w:rFonts w:hint="eastAsia"/>
                <w:lang w:val="en-US" w:eastAsia="zh-CN"/>
              </w:rPr>
              <w:t>1.97</w:t>
            </w:r>
          </w:p>
        </w:tc>
        <w:tc>
          <w:tcPr>
            <w:tcW w:w="603" w:type="dxa"/>
            <w:noWrap w:val="0"/>
            <w:vAlign w:val="center"/>
          </w:tcPr>
          <w:p w14:paraId="094CE967">
            <w:pPr>
              <w:pStyle w:val="59"/>
              <w:bidi w:val="0"/>
              <w:jc w:val="center"/>
              <w:rPr>
                <w:rFonts w:hint="default"/>
              </w:rPr>
            </w:pPr>
            <w:r>
              <w:rPr>
                <w:rFonts w:hint="eastAsia"/>
                <w:lang w:val="en-US" w:eastAsia="zh-CN"/>
              </w:rPr>
              <w:t>2.10</w:t>
            </w:r>
          </w:p>
        </w:tc>
        <w:tc>
          <w:tcPr>
            <w:tcW w:w="600" w:type="dxa"/>
            <w:noWrap w:val="0"/>
            <w:vAlign w:val="center"/>
          </w:tcPr>
          <w:p w14:paraId="16C126FF">
            <w:pPr>
              <w:pStyle w:val="59"/>
              <w:bidi w:val="0"/>
              <w:jc w:val="center"/>
              <w:rPr>
                <w:rFonts w:hint="default"/>
              </w:rPr>
            </w:pPr>
            <w:r>
              <w:rPr>
                <w:rFonts w:hint="eastAsia"/>
                <w:lang w:val="en-US" w:eastAsia="zh-CN"/>
              </w:rPr>
              <w:t>1.62</w:t>
            </w:r>
          </w:p>
        </w:tc>
        <w:tc>
          <w:tcPr>
            <w:tcW w:w="605" w:type="dxa"/>
            <w:noWrap w:val="0"/>
            <w:vAlign w:val="center"/>
          </w:tcPr>
          <w:p w14:paraId="3755B266">
            <w:pPr>
              <w:pStyle w:val="59"/>
              <w:bidi w:val="0"/>
              <w:jc w:val="center"/>
              <w:rPr>
                <w:rFonts w:hint="default"/>
              </w:rPr>
            </w:pPr>
            <w:r>
              <w:rPr>
                <w:rFonts w:hint="eastAsia"/>
                <w:lang w:val="en-US" w:eastAsia="zh-CN"/>
              </w:rPr>
              <w:t>2.01</w:t>
            </w:r>
          </w:p>
        </w:tc>
        <w:tc>
          <w:tcPr>
            <w:tcW w:w="603" w:type="dxa"/>
            <w:noWrap w:val="0"/>
            <w:vAlign w:val="center"/>
          </w:tcPr>
          <w:p w14:paraId="178BD1C2">
            <w:pPr>
              <w:pStyle w:val="59"/>
              <w:bidi w:val="0"/>
              <w:jc w:val="center"/>
              <w:rPr>
                <w:rFonts w:hint="default"/>
              </w:rPr>
            </w:pPr>
            <w:r>
              <w:rPr>
                <w:rFonts w:hint="eastAsia"/>
                <w:lang w:val="en-US" w:eastAsia="zh-CN"/>
              </w:rPr>
              <w:t>2.06</w:t>
            </w:r>
          </w:p>
        </w:tc>
        <w:tc>
          <w:tcPr>
            <w:tcW w:w="600" w:type="dxa"/>
            <w:noWrap w:val="0"/>
            <w:vAlign w:val="center"/>
          </w:tcPr>
          <w:p w14:paraId="028659F1">
            <w:pPr>
              <w:pStyle w:val="59"/>
              <w:bidi w:val="0"/>
              <w:jc w:val="center"/>
              <w:rPr>
                <w:rFonts w:hint="default"/>
              </w:rPr>
            </w:pPr>
            <w:r>
              <w:rPr>
                <w:rFonts w:hint="eastAsia"/>
                <w:lang w:val="en-US" w:eastAsia="zh-CN"/>
              </w:rPr>
              <w:t>1.60</w:t>
            </w:r>
          </w:p>
        </w:tc>
        <w:tc>
          <w:tcPr>
            <w:tcW w:w="603" w:type="dxa"/>
            <w:noWrap w:val="0"/>
            <w:vAlign w:val="center"/>
          </w:tcPr>
          <w:p w14:paraId="1436D703">
            <w:pPr>
              <w:pStyle w:val="59"/>
              <w:bidi w:val="0"/>
              <w:jc w:val="center"/>
              <w:rPr>
                <w:rFonts w:hint="default"/>
              </w:rPr>
            </w:pPr>
            <w:r>
              <w:rPr>
                <w:rFonts w:hint="eastAsia"/>
                <w:lang w:val="en-US" w:eastAsia="zh-CN"/>
              </w:rPr>
              <w:t>1.74</w:t>
            </w:r>
          </w:p>
        </w:tc>
        <w:tc>
          <w:tcPr>
            <w:tcW w:w="605" w:type="dxa"/>
            <w:noWrap w:val="0"/>
            <w:vAlign w:val="center"/>
          </w:tcPr>
          <w:p w14:paraId="26990CD0">
            <w:pPr>
              <w:pStyle w:val="59"/>
              <w:bidi w:val="0"/>
              <w:jc w:val="center"/>
              <w:rPr>
                <w:rFonts w:hint="default"/>
              </w:rPr>
            </w:pPr>
            <w:r>
              <w:rPr>
                <w:rFonts w:hint="eastAsia"/>
                <w:lang w:val="en-US" w:eastAsia="zh-CN"/>
              </w:rPr>
              <w:t>2.51</w:t>
            </w:r>
          </w:p>
        </w:tc>
        <w:tc>
          <w:tcPr>
            <w:tcW w:w="600" w:type="dxa"/>
            <w:noWrap w:val="0"/>
            <w:vAlign w:val="center"/>
          </w:tcPr>
          <w:p w14:paraId="665024D7">
            <w:pPr>
              <w:pStyle w:val="59"/>
              <w:bidi w:val="0"/>
              <w:jc w:val="center"/>
              <w:rPr>
                <w:rFonts w:hint="default"/>
              </w:rPr>
            </w:pPr>
            <w:r>
              <w:rPr>
                <w:rFonts w:hint="eastAsia"/>
                <w:lang w:val="en-US" w:eastAsia="zh-CN"/>
              </w:rPr>
              <w:t>2.42</w:t>
            </w:r>
          </w:p>
        </w:tc>
        <w:tc>
          <w:tcPr>
            <w:tcW w:w="594" w:type="dxa"/>
            <w:noWrap w:val="0"/>
            <w:vAlign w:val="center"/>
          </w:tcPr>
          <w:p w14:paraId="081BB365">
            <w:pPr>
              <w:pStyle w:val="59"/>
              <w:bidi w:val="0"/>
              <w:jc w:val="center"/>
              <w:rPr>
                <w:rFonts w:hint="default"/>
              </w:rPr>
            </w:pPr>
            <w:r>
              <w:rPr>
                <w:rFonts w:hint="eastAsia"/>
                <w:lang w:val="en-US" w:eastAsia="zh-CN"/>
              </w:rPr>
              <w:t>2.33</w:t>
            </w:r>
          </w:p>
        </w:tc>
        <w:tc>
          <w:tcPr>
            <w:tcW w:w="591" w:type="dxa"/>
            <w:noWrap w:val="0"/>
            <w:vAlign w:val="center"/>
          </w:tcPr>
          <w:p w14:paraId="7895690C">
            <w:pPr>
              <w:pStyle w:val="59"/>
              <w:bidi w:val="0"/>
              <w:jc w:val="center"/>
              <w:rPr>
                <w:rFonts w:hint="default"/>
                <w:lang w:val="en-US" w:eastAsia="zh-CN"/>
              </w:rPr>
            </w:pPr>
            <w:r>
              <w:rPr>
                <w:rFonts w:hint="eastAsia"/>
                <w:lang w:val="en-US" w:eastAsia="zh-CN"/>
              </w:rPr>
              <w:t>1.98</w:t>
            </w:r>
          </w:p>
        </w:tc>
      </w:tr>
    </w:tbl>
    <w:p w14:paraId="742EF364">
      <w:pPr>
        <w:pStyle w:val="85"/>
        <w:bidi w:val="0"/>
        <w:rPr>
          <w:color w:val="auto"/>
        </w:rPr>
      </w:pPr>
    </w:p>
    <w:p w14:paraId="10E62BB5">
      <w:pPr>
        <w:pStyle w:val="85"/>
        <w:bidi w:val="0"/>
        <w:rPr>
          <w:color w:val="auto"/>
        </w:rPr>
      </w:pPr>
      <w:r>
        <w:drawing>
          <wp:inline distT="0" distB="0" distL="114300" distR="114300">
            <wp:extent cx="5756910" cy="2461895"/>
            <wp:effectExtent l="4445" t="4445" r="10795" b="10160"/>
            <wp:docPr id="209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76C2FB6">
      <w:pPr>
        <w:pStyle w:val="85"/>
        <w:keepNext w:val="0"/>
        <w:keepLines w:val="0"/>
        <w:pageBreakBefore w:val="0"/>
        <w:widowControl/>
        <w:numPr>
          <w:ilvl w:val="0"/>
          <w:numId w:val="38"/>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年各月平均风速变化图</w:t>
      </w:r>
    </w:p>
    <w:p w14:paraId="15A54C59">
      <w:pPr>
        <w:spacing w:before="240" w:beforeLines="100" w:line="360" w:lineRule="auto"/>
        <w:ind w:firstLine="482"/>
        <w:rPr>
          <w:b/>
          <w:color w:val="auto"/>
        </w:rPr>
      </w:pPr>
      <w:r>
        <w:rPr>
          <w:rFonts w:hint="eastAsia" w:ascii="宋体" w:hAnsi="宋体" w:cs="宋体"/>
          <w:b/>
          <w:color w:val="auto"/>
        </w:rPr>
        <w:t>③</w:t>
      </w:r>
      <w:r>
        <w:rPr>
          <w:b/>
          <w:color w:val="auto"/>
        </w:rPr>
        <w:t>季小时平均风速的日变化</w:t>
      </w:r>
    </w:p>
    <w:p w14:paraId="44AAE8B3">
      <w:pPr>
        <w:spacing w:line="360" w:lineRule="auto"/>
        <w:ind w:firstLine="480"/>
        <w:rPr>
          <w:color w:val="auto"/>
        </w:rPr>
      </w:pPr>
      <w:r>
        <w:rPr>
          <w:color w:val="auto"/>
        </w:rPr>
        <w:t>根据</w:t>
      </w:r>
      <w:r>
        <w:rPr>
          <w:rFonts w:hint="eastAsia"/>
          <w:color w:val="auto"/>
        </w:rPr>
        <w:t>鹤山</w:t>
      </w:r>
      <w:r>
        <w:rPr>
          <w:color w:val="auto"/>
        </w:rPr>
        <w:t>气象站20</w:t>
      </w:r>
      <w:r>
        <w:rPr>
          <w:rFonts w:hint="eastAsia"/>
          <w:color w:val="auto"/>
        </w:rPr>
        <w:t>2</w:t>
      </w:r>
      <w:r>
        <w:rPr>
          <w:rFonts w:hint="eastAsia"/>
          <w:color w:val="auto"/>
          <w:lang w:val="en-US" w:eastAsia="zh-CN"/>
        </w:rPr>
        <w:t>4</w:t>
      </w:r>
      <w:r>
        <w:rPr>
          <w:color w:val="auto"/>
        </w:rPr>
        <w:t>年的气象观测，该地区20</w:t>
      </w:r>
      <w:r>
        <w:rPr>
          <w:rFonts w:hint="eastAsia"/>
          <w:color w:val="auto"/>
        </w:rPr>
        <w:t>2</w:t>
      </w:r>
      <w:r>
        <w:rPr>
          <w:rFonts w:hint="eastAsia"/>
          <w:color w:val="auto"/>
          <w:lang w:val="en-US" w:eastAsia="zh-CN"/>
        </w:rPr>
        <w:t>4</w:t>
      </w:r>
      <w:r>
        <w:rPr>
          <w:color w:val="auto"/>
        </w:rPr>
        <w:t>年季小时平均风速日变化见下表。</w:t>
      </w:r>
    </w:p>
    <w:p w14:paraId="797D55DB">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年季小时平均风速日变化</w:t>
      </w:r>
    </w:p>
    <w:tbl>
      <w:tblPr>
        <w:tblStyle w:val="38"/>
        <w:tblW w:w="5000" w:type="pct"/>
        <w:tblInd w:w="0" w:type="dxa"/>
        <w:tblLayout w:type="autofit"/>
        <w:tblCellMar>
          <w:top w:w="0" w:type="dxa"/>
          <w:left w:w="0" w:type="dxa"/>
          <w:bottom w:w="0" w:type="dxa"/>
          <w:right w:w="0" w:type="dxa"/>
        </w:tblCellMar>
      </w:tblPr>
      <w:tblGrid>
        <w:gridCol w:w="1123"/>
        <w:gridCol w:w="662"/>
        <w:gridCol w:w="662"/>
        <w:gridCol w:w="662"/>
        <w:gridCol w:w="662"/>
        <w:gridCol w:w="662"/>
        <w:gridCol w:w="662"/>
        <w:gridCol w:w="662"/>
        <w:gridCol w:w="663"/>
        <w:gridCol w:w="663"/>
        <w:gridCol w:w="663"/>
        <w:gridCol w:w="663"/>
        <w:gridCol w:w="663"/>
      </w:tblGrid>
      <w:tr w14:paraId="526BC0A8">
        <w:tblPrEx>
          <w:tblCellMar>
            <w:top w:w="0" w:type="dxa"/>
            <w:left w:w="0" w:type="dxa"/>
            <w:bottom w:w="0" w:type="dxa"/>
            <w:right w:w="0" w:type="dxa"/>
          </w:tblCellMar>
        </w:tblPrEx>
        <w:trPr>
          <w:trHeight w:val="340" w:hRule="atLeast"/>
        </w:trPr>
        <w:tc>
          <w:tcPr>
            <w:tcW w:w="619" w:type="pct"/>
            <w:tcBorders>
              <w:top w:val="single" w:color="000000" w:sz="12" w:space="0"/>
              <w:left w:val="nil"/>
              <w:bottom w:val="single" w:color="000000" w:sz="4" w:space="0"/>
              <w:right w:val="single" w:color="000000" w:sz="4" w:space="0"/>
              <w:tl2br w:val="single" w:color="000000" w:sz="4" w:space="0"/>
            </w:tcBorders>
            <w:noWrap w:val="0"/>
            <w:vAlign w:val="center"/>
          </w:tcPr>
          <w:p w14:paraId="2EFF5B55">
            <w:pPr>
              <w:keepNext w:val="0"/>
              <w:keepLines w:val="0"/>
              <w:suppressLineNumbers w:val="0"/>
              <w:autoSpaceDE w:val="0"/>
              <w:spacing w:before="0" w:beforeAutospacing="0" w:after="0" w:afterAutospacing="0" w:line="240" w:lineRule="auto"/>
              <w:ind w:left="0" w:right="0" w:firstLine="0" w:firstLineChars="0"/>
              <w:jc w:val="right"/>
              <w:rPr>
                <w:rFonts w:hint="eastAsia" w:ascii="Times New Roman" w:hAnsi="Times New Roman" w:cs="Times New Roman"/>
                <w:b/>
                <w:bCs/>
                <w:color w:val="auto"/>
                <w:sz w:val="21"/>
                <w:szCs w:val="21"/>
              </w:rPr>
            </w:pPr>
            <w:r>
              <w:rPr>
                <w:rFonts w:hint="eastAsia" w:ascii="Times New Roman" w:hAnsi="Times New Roman" w:cs="Times New Roman"/>
                <w:b/>
                <w:bCs/>
                <w:color w:val="auto"/>
                <w:sz w:val="21"/>
                <w:szCs w:val="21"/>
              </w:rPr>
              <w:t>小时</w:t>
            </w:r>
          </w:p>
          <w:p w14:paraId="51B7F7D7">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b/>
                <w:bCs/>
                <w:color w:val="auto"/>
                <w:sz w:val="21"/>
                <w:szCs w:val="21"/>
              </w:rPr>
              <w:t>风速（m/s）</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28CF2978">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4A9BDBAC">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44539DA1">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3</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4B142C95">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29BB8B01">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5</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1AD2BF30">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6</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1A6C8D2F">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0853E6FC">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8</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052EE6B2">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9</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39373209">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10</w:t>
            </w:r>
          </w:p>
        </w:tc>
        <w:tc>
          <w:tcPr>
            <w:tcW w:w="365" w:type="pct"/>
            <w:tcBorders>
              <w:top w:val="single" w:color="000000" w:sz="12" w:space="0"/>
              <w:left w:val="single" w:color="000000" w:sz="4" w:space="0"/>
              <w:bottom w:val="single" w:color="000000" w:sz="4" w:space="0"/>
              <w:right w:val="single" w:color="000000" w:sz="4" w:space="0"/>
            </w:tcBorders>
            <w:noWrap w:val="0"/>
            <w:vAlign w:val="center"/>
          </w:tcPr>
          <w:p w14:paraId="6626EBC0">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11</w:t>
            </w:r>
          </w:p>
        </w:tc>
        <w:tc>
          <w:tcPr>
            <w:tcW w:w="365" w:type="pct"/>
            <w:tcBorders>
              <w:top w:val="single" w:color="000000" w:sz="12" w:space="0"/>
              <w:left w:val="single" w:color="000000" w:sz="4" w:space="0"/>
              <w:bottom w:val="single" w:color="000000" w:sz="4" w:space="0"/>
              <w:right w:val="nil"/>
            </w:tcBorders>
            <w:noWrap w:val="0"/>
            <w:vAlign w:val="center"/>
          </w:tcPr>
          <w:p w14:paraId="4C895669">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12</w:t>
            </w:r>
          </w:p>
        </w:tc>
      </w:tr>
      <w:tr w14:paraId="7BEC30C8">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cBorders>
            <w:noWrap w:val="0"/>
            <w:vAlign w:val="center"/>
          </w:tcPr>
          <w:p w14:paraId="66CCE41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春季</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BD4DDD2">
            <w:pPr>
              <w:pStyle w:val="59"/>
              <w:bidi w:val="0"/>
              <w:rPr>
                <w:rFonts w:hint="eastAsia"/>
              </w:rPr>
            </w:pPr>
            <w:r>
              <w:rPr>
                <w:rFonts w:hint="eastAsia"/>
                <w:lang w:val="en-US" w:eastAsia="zh-CN"/>
              </w:rPr>
              <w:t xml:space="preserve">1.58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35CCACF7">
            <w:pPr>
              <w:pStyle w:val="59"/>
              <w:bidi w:val="0"/>
              <w:rPr>
                <w:rFonts w:hint="eastAsia"/>
              </w:rPr>
            </w:pPr>
            <w:r>
              <w:rPr>
                <w:rFonts w:hint="eastAsia"/>
                <w:lang w:val="en-US" w:eastAsia="zh-CN"/>
              </w:rPr>
              <w:t xml:space="preserve">1.39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3B36F39A">
            <w:pPr>
              <w:pStyle w:val="59"/>
              <w:bidi w:val="0"/>
              <w:rPr>
                <w:rFonts w:hint="eastAsia"/>
              </w:rPr>
            </w:pPr>
            <w:r>
              <w:rPr>
                <w:rFonts w:hint="eastAsia"/>
                <w:lang w:val="en-US" w:eastAsia="zh-CN"/>
              </w:rPr>
              <w:t xml:space="preserve">1.41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1ACBB58B">
            <w:pPr>
              <w:pStyle w:val="59"/>
              <w:bidi w:val="0"/>
              <w:rPr>
                <w:rFonts w:hint="eastAsia"/>
              </w:rPr>
            </w:pPr>
            <w:r>
              <w:rPr>
                <w:rFonts w:hint="eastAsia"/>
                <w:lang w:val="en-US" w:eastAsia="zh-CN"/>
              </w:rPr>
              <w:t xml:space="preserve">1.47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C121355">
            <w:pPr>
              <w:pStyle w:val="59"/>
              <w:bidi w:val="0"/>
              <w:rPr>
                <w:rFonts w:hint="eastAsia"/>
              </w:rPr>
            </w:pPr>
            <w:r>
              <w:rPr>
                <w:rFonts w:hint="eastAsia"/>
                <w:lang w:val="en-US" w:eastAsia="zh-CN"/>
              </w:rPr>
              <w:t xml:space="preserve">1.41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D769969">
            <w:pPr>
              <w:pStyle w:val="59"/>
              <w:bidi w:val="0"/>
              <w:rPr>
                <w:rFonts w:hint="eastAsia"/>
              </w:rPr>
            </w:pPr>
            <w:r>
              <w:rPr>
                <w:rFonts w:hint="eastAsia"/>
                <w:lang w:val="en-US" w:eastAsia="zh-CN"/>
              </w:rPr>
              <w:t xml:space="preserve">1.42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278BEB39">
            <w:pPr>
              <w:pStyle w:val="59"/>
              <w:bidi w:val="0"/>
              <w:rPr>
                <w:rFonts w:hint="eastAsia"/>
              </w:rPr>
            </w:pPr>
            <w:r>
              <w:rPr>
                <w:rFonts w:hint="eastAsia"/>
                <w:lang w:val="en-US" w:eastAsia="zh-CN"/>
              </w:rPr>
              <w:t xml:space="preserve">1.44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1E9DF48A">
            <w:pPr>
              <w:pStyle w:val="59"/>
              <w:bidi w:val="0"/>
              <w:rPr>
                <w:rFonts w:hint="eastAsia"/>
              </w:rPr>
            </w:pPr>
            <w:r>
              <w:rPr>
                <w:rFonts w:hint="eastAsia"/>
                <w:lang w:val="en-US" w:eastAsia="zh-CN"/>
              </w:rPr>
              <w:t xml:space="preserve">1.72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46C7B818">
            <w:pPr>
              <w:pStyle w:val="59"/>
              <w:bidi w:val="0"/>
              <w:rPr>
                <w:rFonts w:hint="eastAsia"/>
              </w:rPr>
            </w:pPr>
            <w:r>
              <w:rPr>
                <w:rFonts w:hint="eastAsia"/>
                <w:lang w:val="en-US" w:eastAsia="zh-CN"/>
              </w:rPr>
              <w:t xml:space="preserve">2.03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62608A0F">
            <w:pPr>
              <w:pStyle w:val="59"/>
              <w:bidi w:val="0"/>
              <w:rPr>
                <w:rFonts w:hint="eastAsia"/>
              </w:rPr>
            </w:pPr>
            <w:r>
              <w:rPr>
                <w:rFonts w:hint="eastAsia"/>
                <w:lang w:val="en-US" w:eastAsia="zh-CN"/>
              </w:rPr>
              <w:t xml:space="preserve">2.12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73F68E5C">
            <w:pPr>
              <w:pStyle w:val="59"/>
              <w:bidi w:val="0"/>
              <w:rPr>
                <w:rFonts w:hint="eastAsia"/>
              </w:rPr>
            </w:pPr>
            <w:r>
              <w:rPr>
                <w:rFonts w:hint="eastAsia"/>
                <w:lang w:val="en-US" w:eastAsia="zh-CN"/>
              </w:rPr>
              <w:t xml:space="preserve">2.25 </w:t>
            </w:r>
          </w:p>
        </w:tc>
        <w:tc>
          <w:tcPr>
            <w:tcW w:w="663" w:type="dxa"/>
            <w:tcBorders>
              <w:top w:val="single" w:color="000000" w:sz="4" w:space="0"/>
              <w:left w:val="single" w:color="000000" w:sz="4" w:space="0"/>
              <w:bottom w:val="single" w:color="000000" w:sz="4" w:space="0"/>
              <w:right w:val="nil"/>
            </w:tcBorders>
            <w:noWrap w:val="0"/>
            <w:vAlign w:val="bottom"/>
          </w:tcPr>
          <w:p w14:paraId="09206D4D">
            <w:pPr>
              <w:pStyle w:val="59"/>
              <w:bidi w:val="0"/>
              <w:rPr>
                <w:rFonts w:hint="eastAsia"/>
              </w:rPr>
            </w:pPr>
            <w:r>
              <w:rPr>
                <w:rFonts w:hint="eastAsia"/>
                <w:lang w:val="en-US" w:eastAsia="zh-CN"/>
              </w:rPr>
              <w:t xml:space="preserve">2.50 </w:t>
            </w:r>
          </w:p>
        </w:tc>
      </w:tr>
      <w:tr w14:paraId="1F1B8DD9">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cBorders>
            <w:noWrap w:val="0"/>
            <w:vAlign w:val="center"/>
          </w:tcPr>
          <w:p w14:paraId="64080B76">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夏季</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272D523A">
            <w:pPr>
              <w:pStyle w:val="59"/>
              <w:bidi w:val="0"/>
              <w:rPr>
                <w:rFonts w:hint="eastAsia"/>
              </w:rPr>
            </w:pPr>
            <w:r>
              <w:rPr>
                <w:rFonts w:hint="eastAsia"/>
                <w:lang w:val="en-US" w:eastAsia="zh-CN"/>
              </w:rPr>
              <w:t xml:space="preserve">1.52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2666BB9F">
            <w:pPr>
              <w:pStyle w:val="59"/>
              <w:bidi w:val="0"/>
              <w:rPr>
                <w:rFonts w:hint="eastAsia"/>
              </w:rPr>
            </w:pPr>
            <w:r>
              <w:rPr>
                <w:rFonts w:hint="eastAsia"/>
                <w:lang w:val="en-US" w:eastAsia="zh-CN"/>
              </w:rPr>
              <w:t xml:space="preserve">1.44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4BDF5F75">
            <w:pPr>
              <w:pStyle w:val="59"/>
              <w:bidi w:val="0"/>
              <w:rPr>
                <w:rFonts w:hint="eastAsia"/>
              </w:rPr>
            </w:pPr>
            <w:r>
              <w:rPr>
                <w:rFonts w:hint="eastAsia"/>
                <w:lang w:val="en-US" w:eastAsia="zh-CN"/>
              </w:rPr>
              <w:t xml:space="preserve">1.31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77E92F98">
            <w:pPr>
              <w:pStyle w:val="59"/>
              <w:bidi w:val="0"/>
              <w:rPr>
                <w:rFonts w:hint="eastAsia"/>
              </w:rPr>
            </w:pPr>
            <w:r>
              <w:rPr>
                <w:rFonts w:hint="eastAsia"/>
                <w:lang w:val="en-US" w:eastAsia="zh-CN"/>
              </w:rPr>
              <w:t xml:space="preserve">1.25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2025D9B2">
            <w:pPr>
              <w:pStyle w:val="59"/>
              <w:bidi w:val="0"/>
              <w:rPr>
                <w:rFonts w:hint="eastAsia"/>
              </w:rPr>
            </w:pPr>
            <w:r>
              <w:rPr>
                <w:rFonts w:hint="eastAsia"/>
                <w:lang w:val="en-US" w:eastAsia="zh-CN"/>
              </w:rPr>
              <w:t xml:space="preserve">1.29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14D7E997">
            <w:pPr>
              <w:pStyle w:val="59"/>
              <w:bidi w:val="0"/>
              <w:rPr>
                <w:rFonts w:hint="eastAsia"/>
              </w:rPr>
            </w:pPr>
            <w:r>
              <w:rPr>
                <w:rFonts w:hint="eastAsia"/>
                <w:lang w:val="en-US" w:eastAsia="zh-CN"/>
              </w:rPr>
              <w:t xml:space="preserve">1.24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57808268">
            <w:pPr>
              <w:pStyle w:val="59"/>
              <w:bidi w:val="0"/>
              <w:rPr>
                <w:rFonts w:hint="eastAsia"/>
              </w:rPr>
            </w:pPr>
            <w:r>
              <w:rPr>
                <w:rFonts w:hint="eastAsia"/>
                <w:lang w:val="en-US" w:eastAsia="zh-CN"/>
              </w:rPr>
              <w:t xml:space="preserve">1.23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103F84D7">
            <w:pPr>
              <w:pStyle w:val="59"/>
              <w:bidi w:val="0"/>
              <w:rPr>
                <w:rFonts w:hint="eastAsia"/>
              </w:rPr>
            </w:pPr>
            <w:r>
              <w:rPr>
                <w:rFonts w:hint="eastAsia"/>
                <w:lang w:val="en-US" w:eastAsia="zh-CN"/>
              </w:rPr>
              <w:t xml:space="preserve">1.52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064383EA">
            <w:pPr>
              <w:pStyle w:val="59"/>
              <w:bidi w:val="0"/>
              <w:rPr>
                <w:rFonts w:hint="eastAsia"/>
              </w:rPr>
            </w:pPr>
            <w:r>
              <w:rPr>
                <w:rFonts w:hint="eastAsia"/>
                <w:lang w:val="en-US" w:eastAsia="zh-CN"/>
              </w:rPr>
              <w:t xml:space="preserve">1.78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228A299C">
            <w:pPr>
              <w:pStyle w:val="59"/>
              <w:bidi w:val="0"/>
              <w:rPr>
                <w:rFonts w:hint="eastAsia"/>
              </w:rPr>
            </w:pPr>
            <w:r>
              <w:rPr>
                <w:rFonts w:hint="eastAsia"/>
                <w:lang w:val="en-US" w:eastAsia="zh-CN"/>
              </w:rPr>
              <w:t xml:space="preserve">2.09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46540258">
            <w:pPr>
              <w:pStyle w:val="59"/>
              <w:bidi w:val="0"/>
              <w:rPr>
                <w:rFonts w:hint="eastAsia"/>
              </w:rPr>
            </w:pPr>
            <w:r>
              <w:rPr>
                <w:rFonts w:hint="eastAsia"/>
                <w:lang w:val="en-US" w:eastAsia="zh-CN"/>
              </w:rPr>
              <w:t xml:space="preserve">2.31 </w:t>
            </w:r>
          </w:p>
        </w:tc>
        <w:tc>
          <w:tcPr>
            <w:tcW w:w="663" w:type="dxa"/>
            <w:tcBorders>
              <w:top w:val="single" w:color="000000" w:sz="4" w:space="0"/>
              <w:left w:val="single" w:color="000000" w:sz="4" w:space="0"/>
              <w:bottom w:val="single" w:color="000000" w:sz="4" w:space="0"/>
              <w:right w:val="nil"/>
            </w:tcBorders>
            <w:noWrap w:val="0"/>
            <w:vAlign w:val="bottom"/>
          </w:tcPr>
          <w:p w14:paraId="7E338DB3">
            <w:pPr>
              <w:pStyle w:val="59"/>
              <w:bidi w:val="0"/>
              <w:rPr>
                <w:rFonts w:hint="eastAsia"/>
              </w:rPr>
            </w:pPr>
            <w:r>
              <w:rPr>
                <w:rFonts w:hint="eastAsia"/>
                <w:lang w:val="en-US" w:eastAsia="zh-CN"/>
              </w:rPr>
              <w:t xml:space="preserve">2.35 </w:t>
            </w:r>
          </w:p>
        </w:tc>
      </w:tr>
      <w:tr w14:paraId="3B6F3F4F">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cBorders>
            <w:noWrap w:val="0"/>
            <w:vAlign w:val="center"/>
          </w:tcPr>
          <w:p w14:paraId="3BCA987D">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秋季</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5A06DE12">
            <w:pPr>
              <w:pStyle w:val="59"/>
              <w:bidi w:val="0"/>
              <w:rPr>
                <w:rFonts w:hint="eastAsia"/>
              </w:rPr>
            </w:pPr>
            <w:r>
              <w:rPr>
                <w:rFonts w:hint="eastAsia"/>
                <w:lang w:val="en-US" w:eastAsia="zh-CN"/>
              </w:rPr>
              <w:t xml:space="preserve">1.85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CE3DB40">
            <w:pPr>
              <w:pStyle w:val="59"/>
              <w:bidi w:val="0"/>
              <w:rPr>
                <w:rFonts w:hint="eastAsia"/>
              </w:rPr>
            </w:pPr>
            <w:r>
              <w:rPr>
                <w:rFonts w:hint="eastAsia"/>
                <w:lang w:val="en-US" w:eastAsia="zh-CN"/>
              </w:rPr>
              <w:t xml:space="preserve">1.91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1D7EA674">
            <w:pPr>
              <w:pStyle w:val="59"/>
              <w:bidi w:val="0"/>
              <w:rPr>
                <w:rFonts w:hint="eastAsia"/>
              </w:rPr>
            </w:pPr>
            <w:r>
              <w:rPr>
                <w:rFonts w:hint="eastAsia"/>
                <w:lang w:val="en-US" w:eastAsia="zh-CN"/>
              </w:rPr>
              <w:t xml:space="preserve">2.05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53927DD3">
            <w:pPr>
              <w:pStyle w:val="59"/>
              <w:bidi w:val="0"/>
              <w:rPr>
                <w:rFonts w:hint="eastAsia"/>
              </w:rPr>
            </w:pPr>
            <w:r>
              <w:rPr>
                <w:rFonts w:hint="eastAsia"/>
                <w:lang w:val="en-US" w:eastAsia="zh-CN"/>
              </w:rPr>
              <w:t xml:space="preserve">1.99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779ACDB8">
            <w:pPr>
              <w:pStyle w:val="59"/>
              <w:bidi w:val="0"/>
              <w:rPr>
                <w:rFonts w:hint="eastAsia"/>
              </w:rPr>
            </w:pPr>
            <w:r>
              <w:rPr>
                <w:rFonts w:hint="eastAsia"/>
                <w:lang w:val="en-US" w:eastAsia="zh-CN"/>
              </w:rPr>
              <w:t xml:space="preserve">2.03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6E5AA14F">
            <w:pPr>
              <w:pStyle w:val="59"/>
              <w:bidi w:val="0"/>
              <w:rPr>
                <w:rFonts w:hint="eastAsia"/>
              </w:rPr>
            </w:pPr>
            <w:r>
              <w:rPr>
                <w:rFonts w:hint="eastAsia"/>
                <w:lang w:val="en-US" w:eastAsia="zh-CN"/>
              </w:rPr>
              <w:t xml:space="preserve">2.04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63FB5DD4">
            <w:pPr>
              <w:pStyle w:val="59"/>
              <w:bidi w:val="0"/>
              <w:rPr>
                <w:rFonts w:hint="eastAsia"/>
              </w:rPr>
            </w:pPr>
            <w:r>
              <w:rPr>
                <w:rFonts w:hint="eastAsia"/>
                <w:lang w:val="en-US" w:eastAsia="zh-CN"/>
              </w:rPr>
              <w:t xml:space="preserve">2.06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2F73FFEB">
            <w:pPr>
              <w:pStyle w:val="59"/>
              <w:bidi w:val="0"/>
              <w:rPr>
                <w:rFonts w:hint="eastAsia"/>
              </w:rPr>
            </w:pPr>
            <w:r>
              <w:rPr>
                <w:rFonts w:hint="eastAsia"/>
                <w:lang w:val="en-US" w:eastAsia="zh-CN"/>
              </w:rPr>
              <w:t xml:space="preserve">2.31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245E4A2D">
            <w:pPr>
              <w:pStyle w:val="59"/>
              <w:bidi w:val="0"/>
              <w:rPr>
                <w:rFonts w:hint="eastAsia"/>
              </w:rPr>
            </w:pPr>
            <w:r>
              <w:rPr>
                <w:rFonts w:hint="eastAsia"/>
                <w:lang w:val="en-US" w:eastAsia="zh-CN"/>
              </w:rPr>
              <w:t xml:space="preserve">2.59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77288C71">
            <w:pPr>
              <w:pStyle w:val="59"/>
              <w:bidi w:val="0"/>
              <w:rPr>
                <w:rFonts w:hint="eastAsia"/>
              </w:rPr>
            </w:pPr>
            <w:r>
              <w:rPr>
                <w:rFonts w:hint="eastAsia"/>
                <w:lang w:val="en-US" w:eastAsia="zh-CN"/>
              </w:rPr>
              <w:t xml:space="preserve">2.77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70D83427">
            <w:pPr>
              <w:pStyle w:val="59"/>
              <w:bidi w:val="0"/>
              <w:rPr>
                <w:rFonts w:hint="eastAsia"/>
              </w:rPr>
            </w:pPr>
            <w:r>
              <w:rPr>
                <w:rFonts w:hint="eastAsia"/>
                <w:lang w:val="en-US" w:eastAsia="zh-CN"/>
              </w:rPr>
              <w:t xml:space="preserve">2.69 </w:t>
            </w:r>
          </w:p>
        </w:tc>
        <w:tc>
          <w:tcPr>
            <w:tcW w:w="663" w:type="dxa"/>
            <w:tcBorders>
              <w:top w:val="single" w:color="000000" w:sz="4" w:space="0"/>
              <w:left w:val="single" w:color="000000" w:sz="4" w:space="0"/>
              <w:bottom w:val="single" w:color="000000" w:sz="4" w:space="0"/>
              <w:right w:val="nil"/>
            </w:tcBorders>
            <w:noWrap w:val="0"/>
            <w:vAlign w:val="bottom"/>
          </w:tcPr>
          <w:p w14:paraId="361A332B">
            <w:pPr>
              <w:pStyle w:val="59"/>
              <w:bidi w:val="0"/>
              <w:rPr>
                <w:rFonts w:hint="eastAsia"/>
              </w:rPr>
            </w:pPr>
            <w:r>
              <w:rPr>
                <w:rFonts w:hint="eastAsia"/>
                <w:lang w:val="en-US" w:eastAsia="zh-CN"/>
              </w:rPr>
              <w:t xml:space="preserve">2.78 </w:t>
            </w:r>
          </w:p>
        </w:tc>
      </w:tr>
      <w:tr w14:paraId="1B3F463E">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cBorders>
            <w:noWrap w:val="0"/>
            <w:vAlign w:val="center"/>
          </w:tcPr>
          <w:p w14:paraId="4D5BD7E2">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冬季</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4AA95A36">
            <w:pPr>
              <w:pStyle w:val="59"/>
              <w:bidi w:val="0"/>
              <w:rPr>
                <w:rFonts w:hint="eastAsia"/>
              </w:rPr>
            </w:pPr>
            <w:r>
              <w:rPr>
                <w:rFonts w:hint="eastAsia"/>
                <w:lang w:val="en-US" w:eastAsia="zh-CN"/>
              </w:rPr>
              <w:t xml:space="preserve">1.96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10EC1EDA">
            <w:pPr>
              <w:pStyle w:val="59"/>
              <w:bidi w:val="0"/>
              <w:rPr>
                <w:rFonts w:hint="eastAsia"/>
              </w:rPr>
            </w:pPr>
            <w:r>
              <w:rPr>
                <w:rFonts w:hint="eastAsia"/>
                <w:lang w:val="en-US" w:eastAsia="zh-CN"/>
              </w:rPr>
              <w:t xml:space="preserve">2.10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7CEE92F5">
            <w:pPr>
              <w:pStyle w:val="59"/>
              <w:bidi w:val="0"/>
              <w:rPr>
                <w:rFonts w:hint="eastAsia"/>
              </w:rPr>
            </w:pPr>
            <w:r>
              <w:rPr>
                <w:rFonts w:hint="eastAsia"/>
                <w:lang w:val="en-US" w:eastAsia="zh-CN"/>
              </w:rPr>
              <w:t xml:space="preserve">2.01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ECAEEB7">
            <w:pPr>
              <w:pStyle w:val="59"/>
              <w:bidi w:val="0"/>
              <w:rPr>
                <w:rFonts w:hint="eastAsia"/>
              </w:rPr>
            </w:pPr>
            <w:r>
              <w:rPr>
                <w:rFonts w:hint="eastAsia"/>
                <w:lang w:val="en-US" w:eastAsia="zh-CN"/>
              </w:rPr>
              <w:t xml:space="preserve">2.01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B1569F0">
            <w:pPr>
              <w:pStyle w:val="59"/>
              <w:bidi w:val="0"/>
              <w:rPr>
                <w:rFonts w:hint="eastAsia"/>
              </w:rPr>
            </w:pPr>
            <w:r>
              <w:rPr>
                <w:rFonts w:hint="eastAsia"/>
                <w:lang w:val="en-US" w:eastAsia="zh-CN"/>
              </w:rPr>
              <w:t xml:space="preserve">2.05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6E7F4DF1">
            <w:pPr>
              <w:pStyle w:val="59"/>
              <w:bidi w:val="0"/>
              <w:rPr>
                <w:rFonts w:hint="eastAsia"/>
              </w:rPr>
            </w:pPr>
            <w:r>
              <w:rPr>
                <w:rFonts w:hint="eastAsia"/>
                <w:lang w:val="en-US" w:eastAsia="zh-CN"/>
              </w:rPr>
              <w:t xml:space="preserve">1.99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13D34856">
            <w:pPr>
              <w:pStyle w:val="59"/>
              <w:bidi w:val="0"/>
              <w:rPr>
                <w:rFonts w:hint="eastAsia"/>
              </w:rPr>
            </w:pPr>
            <w:r>
              <w:rPr>
                <w:rFonts w:hint="eastAsia"/>
                <w:lang w:val="en-US" w:eastAsia="zh-CN"/>
              </w:rPr>
              <w:t xml:space="preserve">1.98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56785C37">
            <w:pPr>
              <w:pStyle w:val="59"/>
              <w:bidi w:val="0"/>
              <w:rPr>
                <w:rFonts w:hint="eastAsia"/>
              </w:rPr>
            </w:pPr>
            <w:r>
              <w:rPr>
                <w:rFonts w:hint="eastAsia"/>
                <w:lang w:val="en-US" w:eastAsia="zh-CN"/>
              </w:rPr>
              <w:t xml:space="preserve">1.98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19D26AA0">
            <w:pPr>
              <w:pStyle w:val="59"/>
              <w:bidi w:val="0"/>
              <w:rPr>
                <w:rFonts w:hint="eastAsia"/>
              </w:rPr>
            </w:pPr>
            <w:r>
              <w:rPr>
                <w:rFonts w:hint="eastAsia"/>
                <w:lang w:val="en-US" w:eastAsia="zh-CN"/>
              </w:rPr>
              <w:t xml:space="preserve">2.09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29256069">
            <w:pPr>
              <w:pStyle w:val="59"/>
              <w:bidi w:val="0"/>
              <w:rPr>
                <w:rFonts w:hint="eastAsia"/>
              </w:rPr>
            </w:pPr>
            <w:r>
              <w:rPr>
                <w:rFonts w:hint="eastAsia"/>
                <w:lang w:val="en-US" w:eastAsia="zh-CN"/>
              </w:rPr>
              <w:t xml:space="preserve">2.39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53E0DFB6">
            <w:pPr>
              <w:pStyle w:val="59"/>
              <w:bidi w:val="0"/>
              <w:rPr>
                <w:rFonts w:hint="eastAsia"/>
              </w:rPr>
            </w:pPr>
            <w:r>
              <w:rPr>
                <w:rFonts w:hint="eastAsia"/>
                <w:lang w:val="en-US" w:eastAsia="zh-CN"/>
              </w:rPr>
              <w:t xml:space="preserve">2.55 </w:t>
            </w:r>
          </w:p>
        </w:tc>
        <w:tc>
          <w:tcPr>
            <w:tcW w:w="663" w:type="dxa"/>
            <w:tcBorders>
              <w:top w:val="single" w:color="000000" w:sz="4" w:space="0"/>
              <w:left w:val="single" w:color="000000" w:sz="4" w:space="0"/>
              <w:bottom w:val="single" w:color="000000" w:sz="4" w:space="0"/>
              <w:right w:val="nil"/>
            </w:tcBorders>
            <w:noWrap w:val="0"/>
            <w:vAlign w:val="bottom"/>
          </w:tcPr>
          <w:p w14:paraId="6589FB69">
            <w:pPr>
              <w:pStyle w:val="59"/>
              <w:bidi w:val="0"/>
              <w:rPr>
                <w:rFonts w:hint="eastAsia"/>
              </w:rPr>
            </w:pPr>
            <w:r>
              <w:rPr>
                <w:rFonts w:hint="eastAsia"/>
                <w:lang w:val="en-US" w:eastAsia="zh-CN"/>
              </w:rPr>
              <w:t xml:space="preserve">2.69 </w:t>
            </w:r>
          </w:p>
        </w:tc>
      </w:tr>
      <w:tr w14:paraId="34B6408B">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l2br w:val="single" w:color="000000" w:sz="4" w:space="0"/>
            </w:tcBorders>
            <w:noWrap w:val="0"/>
            <w:vAlign w:val="center"/>
          </w:tcPr>
          <w:p w14:paraId="18C25EA0">
            <w:pPr>
              <w:keepNext w:val="0"/>
              <w:keepLines w:val="0"/>
              <w:suppressLineNumbers w:val="0"/>
              <w:autoSpaceDE w:val="0"/>
              <w:spacing w:before="0" w:beforeAutospacing="0" w:after="0" w:afterAutospacing="0" w:line="240" w:lineRule="auto"/>
              <w:ind w:left="0" w:right="0" w:firstLine="0" w:firstLineChars="0"/>
              <w:jc w:val="right"/>
              <w:rPr>
                <w:rFonts w:hint="eastAsia" w:ascii="Times New Roman" w:hAnsi="Times New Roman" w:cs="Times New Roman"/>
                <w:b/>
                <w:bCs/>
                <w:color w:val="auto"/>
                <w:sz w:val="21"/>
                <w:szCs w:val="21"/>
              </w:rPr>
            </w:pPr>
            <w:r>
              <w:rPr>
                <w:rFonts w:hint="eastAsia" w:ascii="Times New Roman" w:hAnsi="Times New Roman" w:cs="Times New Roman"/>
                <w:b/>
                <w:bCs/>
                <w:color w:val="auto"/>
                <w:sz w:val="21"/>
                <w:szCs w:val="21"/>
              </w:rPr>
              <w:t>小时</w:t>
            </w:r>
          </w:p>
          <w:p w14:paraId="3BD75E80">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b/>
                <w:bCs/>
                <w:color w:val="auto"/>
                <w:sz w:val="21"/>
                <w:szCs w:val="21"/>
              </w:rPr>
              <w:t>风速（m/s）</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14:paraId="0A3A3C3A">
            <w:pPr>
              <w:pStyle w:val="59"/>
              <w:bidi w:val="0"/>
              <w:rPr>
                <w:rFonts w:hint="eastAsia"/>
              </w:rPr>
            </w:pPr>
            <w:r>
              <w:rPr>
                <w:rFonts w:hint="eastAsia"/>
                <w:lang w:val="en-US" w:eastAsia="zh-CN"/>
              </w:rPr>
              <w:t>13</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14:paraId="6BBA22F5">
            <w:pPr>
              <w:pStyle w:val="59"/>
              <w:bidi w:val="0"/>
              <w:rPr>
                <w:rFonts w:hint="eastAsia"/>
              </w:rPr>
            </w:pPr>
            <w:r>
              <w:rPr>
                <w:rFonts w:hint="eastAsia"/>
                <w:lang w:val="en-US" w:eastAsia="zh-CN"/>
              </w:rPr>
              <w:t>14</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14:paraId="50D70CE3">
            <w:pPr>
              <w:pStyle w:val="59"/>
              <w:bidi w:val="0"/>
              <w:rPr>
                <w:rFonts w:hint="eastAsia"/>
              </w:rPr>
            </w:pPr>
            <w:r>
              <w:rPr>
                <w:rFonts w:hint="eastAsia"/>
                <w:lang w:val="en-US" w:eastAsia="zh-CN"/>
              </w:rPr>
              <w:t>15</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14:paraId="787506FC">
            <w:pPr>
              <w:pStyle w:val="59"/>
              <w:bidi w:val="0"/>
              <w:rPr>
                <w:rFonts w:hint="eastAsia"/>
              </w:rPr>
            </w:pPr>
            <w:r>
              <w:rPr>
                <w:rFonts w:hint="eastAsia"/>
                <w:lang w:val="en-US" w:eastAsia="zh-CN"/>
              </w:rPr>
              <w:t>16</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14:paraId="38F01AB0">
            <w:pPr>
              <w:pStyle w:val="59"/>
              <w:bidi w:val="0"/>
              <w:rPr>
                <w:rFonts w:hint="eastAsia"/>
              </w:rPr>
            </w:pPr>
            <w:r>
              <w:rPr>
                <w:rFonts w:hint="eastAsia"/>
                <w:lang w:val="en-US" w:eastAsia="zh-CN"/>
              </w:rPr>
              <w:t>17</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14:paraId="298EA90F">
            <w:pPr>
              <w:pStyle w:val="59"/>
              <w:bidi w:val="0"/>
              <w:rPr>
                <w:rFonts w:hint="eastAsia"/>
              </w:rPr>
            </w:pPr>
            <w:r>
              <w:rPr>
                <w:rFonts w:hint="eastAsia"/>
                <w:lang w:val="en-US" w:eastAsia="zh-CN"/>
              </w:rPr>
              <w:t>18</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9150AE3">
            <w:pPr>
              <w:pStyle w:val="59"/>
              <w:bidi w:val="0"/>
              <w:rPr>
                <w:rFonts w:hint="eastAsia"/>
              </w:rPr>
            </w:pPr>
            <w:r>
              <w:rPr>
                <w:rFonts w:hint="eastAsia"/>
                <w:lang w:val="en-US" w:eastAsia="zh-CN"/>
              </w:rPr>
              <w:t>19</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2DE91E2">
            <w:pPr>
              <w:pStyle w:val="59"/>
              <w:bidi w:val="0"/>
              <w:rPr>
                <w:rFonts w:hint="eastAsia"/>
              </w:rPr>
            </w:pPr>
            <w:r>
              <w:rPr>
                <w:rFonts w:hint="eastAsia"/>
                <w:lang w:val="en-US" w:eastAsia="zh-CN"/>
              </w:rPr>
              <w:t>20</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88DEB55">
            <w:pPr>
              <w:pStyle w:val="59"/>
              <w:bidi w:val="0"/>
              <w:rPr>
                <w:rFonts w:hint="eastAsia"/>
              </w:rPr>
            </w:pPr>
            <w:r>
              <w:rPr>
                <w:rFonts w:hint="eastAsia"/>
                <w:lang w:val="en-US" w:eastAsia="zh-CN"/>
              </w:rPr>
              <w:t>21</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B0DA184">
            <w:pPr>
              <w:pStyle w:val="59"/>
              <w:bidi w:val="0"/>
              <w:rPr>
                <w:rFonts w:hint="eastAsia"/>
              </w:rPr>
            </w:pPr>
            <w:r>
              <w:rPr>
                <w:rFonts w:hint="eastAsia"/>
                <w:lang w:val="en-US" w:eastAsia="zh-CN"/>
              </w:rPr>
              <w:t>22</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A5F51B6">
            <w:pPr>
              <w:pStyle w:val="59"/>
              <w:bidi w:val="0"/>
              <w:rPr>
                <w:rFonts w:hint="eastAsia"/>
              </w:rPr>
            </w:pPr>
            <w:r>
              <w:rPr>
                <w:rFonts w:hint="eastAsia"/>
                <w:lang w:val="en-US" w:eastAsia="zh-CN"/>
              </w:rPr>
              <w:t>23</w:t>
            </w:r>
          </w:p>
        </w:tc>
        <w:tc>
          <w:tcPr>
            <w:tcW w:w="663" w:type="dxa"/>
            <w:tcBorders>
              <w:top w:val="single" w:color="000000" w:sz="4" w:space="0"/>
              <w:left w:val="single" w:color="000000" w:sz="4" w:space="0"/>
              <w:bottom w:val="single" w:color="000000" w:sz="4" w:space="0"/>
              <w:right w:val="nil"/>
            </w:tcBorders>
            <w:noWrap w:val="0"/>
            <w:vAlign w:val="center"/>
          </w:tcPr>
          <w:p w14:paraId="25B53204">
            <w:pPr>
              <w:pStyle w:val="59"/>
              <w:bidi w:val="0"/>
              <w:rPr>
                <w:rFonts w:hint="eastAsia"/>
              </w:rPr>
            </w:pPr>
            <w:r>
              <w:rPr>
                <w:rFonts w:hint="eastAsia"/>
                <w:lang w:val="en-US" w:eastAsia="zh-CN"/>
              </w:rPr>
              <w:t>24</w:t>
            </w:r>
          </w:p>
        </w:tc>
      </w:tr>
      <w:tr w14:paraId="417FAB85">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cBorders>
            <w:noWrap w:val="0"/>
            <w:vAlign w:val="center"/>
          </w:tcPr>
          <w:p w14:paraId="78A8B632">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春季</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5AC23EF0">
            <w:pPr>
              <w:pStyle w:val="59"/>
              <w:bidi w:val="0"/>
              <w:rPr>
                <w:rFonts w:hint="eastAsia"/>
              </w:rPr>
            </w:pPr>
            <w:r>
              <w:rPr>
                <w:rFonts w:hint="eastAsia"/>
                <w:lang w:val="en-US" w:eastAsia="zh-CN"/>
              </w:rPr>
              <w:t xml:space="preserve">2.48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58868309">
            <w:pPr>
              <w:pStyle w:val="59"/>
              <w:bidi w:val="0"/>
              <w:rPr>
                <w:rFonts w:hint="eastAsia"/>
              </w:rPr>
            </w:pPr>
            <w:r>
              <w:rPr>
                <w:rFonts w:hint="eastAsia"/>
                <w:lang w:val="en-US" w:eastAsia="zh-CN"/>
              </w:rPr>
              <w:t xml:space="preserve">2.51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1AD7B7EC">
            <w:pPr>
              <w:pStyle w:val="59"/>
              <w:bidi w:val="0"/>
              <w:rPr>
                <w:rFonts w:hint="eastAsia"/>
              </w:rPr>
            </w:pPr>
            <w:r>
              <w:rPr>
                <w:rFonts w:hint="eastAsia"/>
                <w:lang w:val="en-US" w:eastAsia="zh-CN"/>
              </w:rPr>
              <w:t xml:space="preserve">2.44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F82B42F">
            <w:pPr>
              <w:pStyle w:val="59"/>
              <w:bidi w:val="0"/>
              <w:rPr>
                <w:rFonts w:hint="eastAsia"/>
              </w:rPr>
            </w:pPr>
            <w:r>
              <w:rPr>
                <w:rFonts w:hint="eastAsia"/>
                <w:lang w:val="en-US" w:eastAsia="zh-CN"/>
              </w:rPr>
              <w:t xml:space="preserve">2.36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CB0451D">
            <w:pPr>
              <w:pStyle w:val="59"/>
              <w:bidi w:val="0"/>
              <w:rPr>
                <w:rFonts w:hint="eastAsia"/>
              </w:rPr>
            </w:pPr>
            <w:r>
              <w:rPr>
                <w:rFonts w:hint="eastAsia"/>
                <w:lang w:val="en-US" w:eastAsia="zh-CN"/>
              </w:rPr>
              <w:t xml:space="preserve">2.11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431E56C1">
            <w:pPr>
              <w:pStyle w:val="59"/>
              <w:bidi w:val="0"/>
              <w:rPr>
                <w:rFonts w:hint="eastAsia"/>
              </w:rPr>
            </w:pPr>
            <w:r>
              <w:rPr>
                <w:rFonts w:hint="eastAsia"/>
                <w:lang w:val="en-US" w:eastAsia="zh-CN"/>
              </w:rPr>
              <w:t xml:space="preserve">1.93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54BC12CF">
            <w:pPr>
              <w:pStyle w:val="59"/>
              <w:bidi w:val="0"/>
              <w:rPr>
                <w:rFonts w:hint="eastAsia"/>
              </w:rPr>
            </w:pPr>
            <w:r>
              <w:rPr>
                <w:rFonts w:hint="eastAsia"/>
                <w:lang w:val="en-US" w:eastAsia="zh-CN"/>
              </w:rPr>
              <w:t xml:space="preserve">1.98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7E2526BC">
            <w:pPr>
              <w:pStyle w:val="59"/>
              <w:bidi w:val="0"/>
              <w:rPr>
                <w:rFonts w:hint="eastAsia"/>
              </w:rPr>
            </w:pPr>
            <w:r>
              <w:rPr>
                <w:rFonts w:hint="eastAsia"/>
                <w:lang w:val="en-US" w:eastAsia="zh-CN"/>
              </w:rPr>
              <w:t xml:space="preserve">2.02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4400C0C8">
            <w:pPr>
              <w:pStyle w:val="59"/>
              <w:bidi w:val="0"/>
              <w:rPr>
                <w:rFonts w:hint="eastAsia"/>
              </w:rPr>
            </w:pPr>
            <w:r>
              <w:rPr>
                <w:rFonts w:hint="eastAsia"/>
                <w:lang w:val="en-US" w:eastAsia="zh-CN"/>
              </w:rPr>
              <w:t xml:space="preserve">1.88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0605824D">
            <w:pPr>
              <w:pStyle w:val="59"/>
              <w:bidi w:val="0"/>
              <w:rPr>
                <w:rFonts w:hint="eastAsia"/>
              </w:rPr>
            </w:pPr>
            <w:r>
              <w:rPr>
                <w:rFonts w:hint="eastAsia"/>
                <w:lang w:val="en-US" w:eastAsia="zh-CN"/>
              </w:rPr>
              <w:t xml:space="preserve">1.81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40CB4E57">
            <w:pPr>
              <w:pStyle w:val="59"/>
              <w:bidi w:val="0"/>
              <w:rPr>
                <w:rFonts w:hint="eastAsia"/>
              </w:rPr>
            </w:pPr>
            <w:r>
              <w:rPr>
                <w:rFonts w:hint="eastAsia"/>
                <w:lang w:val="en-US" w:eastAsia="zh-CN"/>
              </w:rPr>
              <w:t xml:space="preserve">1.66 </w:t>
            </w:r>
          </w:p>
        </w:tc>
        <w:tc>
          <w:tcPr>
            <w:tcW w:w="663" w:type="dxa"/>
            <w:tcBorders>
              <w:top w:val="single" w:color="000000" w:sz="4" w:space="0"/>
              <w:left w:val="single" w:color="000000" w:sz="4" w:space="0"/>
              <w:bottom w:val="single" w:color="000000" w:sz="4" w:space="0"/>
              <w:right w:val="nil"/>
            </w:tcBorders>
            <w:noWrap w:val="0"/>
            <w:vAlign w:val="bottom"/>
          </w:tcPr>
          <w:p w14:paraId="5E57B720">
            <w:pPr>
              <w:pStyle w:val="59"/>
              <w:bidi w:val="0"/>
              <w:rPr>
                <w:rFonts w:hint="eastAsia"/>
              </w:rPr>
            </w:pPr>
            <w:r>
              <w:rPr>
                <w:rFonts w:hint="eastAsia"/>
                <w:lang w:val="en-US" w:eastAsia="zh-CN"/>
              </w:rPr>
              <w:t xml:space="preserve">1.61 </w:t>
            </w:r>
          </w:p>
        </w:tc>
      </w:tr>
      <w:tr w14:paraId="717CBCA3">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cBorders>
            <w:noWrap w:val="0"/>
            <w:vAlign w:val="center"/>
          </w:tcPr>
          <w:p w14:paraId="75530CD3">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夏季</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5F2AF9B4">
            <w:pPr>
              <w:pStyle w:val="59"/>
              <w:bidi w:val="0"/>
              <w:rPr>
                <w:rFonts w:hint="eastAsia"/>
              </w:rPr>
            </w:pPr>
            <w:r>
              <w:rPr>
                <w:rFonts w:hint="eastAsia"/>
                <w:lang w:val="en-US" w:eastAsia="zh-CN"/>
              </w:rPr>
              <w:t xml:space="preserve">2.50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354A2422">
            <w:pPr>
              <w:pStyle w:val="59"/>
              <w:bidi w:val="0"/>
              <w:rPr>
                <w:rFonts w:hint="eastAsia"/>
              </w:rPr>
            </w:pPr>
            <w:r>
              <w:rPr>
                <w:rFonts w:hint="eastAsia"/>
                <w:lang w:val="en-US" w:eastAsia="zh-CN"/>
              </w:rPr>
              <w:t xml:space="preserve">2.46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769FECA">
            <w:pPr>
              <w:pStyle w:val="59"/>
              <w:bidi w:val="0"/>
              <w:rPr>
                <w:rFonts w:hint="eastAsia"/>
              </w:rPr>
            </w:pPr>
            <w:r>
              <w:rPr>
                <w:rFonts w:hint="eastAsia"/>
                <w:lang w:val="en-US" w:eastAsia="zh-CN"/>
              </w:rPr>
              <w:t xml:space="preserve">2.59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7A7D932">
            <w:pPr>
              <w:pStyle w:val="59"/>
              <w:bidi w:val="0"/>
              <w:rPr>
                <w:rFonts w:hint="eastAsia"/>
              </w:rPr>
            </w:pPr>
            <w:r>
              <w:rPr>
                <w:rFonts w:hint="eastAsia"/>
                <w:lang w:val="en-US" w:eastAsia="zh-CN"/>
              </w:rPr>
              <w:t xml:space="preserve">2.70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45032737">
            <w:pPr>
              <w:pStyle w:val="59"/>
              <w:bidi w:val="0"/>
              <w:rPr>
                <w:rFonts w:hint="eastAsia"/>
              </w:rPr>
            </w:pPr>
            <w:r>
              <w:rPr>
                <w:rFonts w:hint="eastAsia"/>
                <w:lang w:val="en-US" w:eastAsia="zh-CN"/>
              </w:rPr>
              <w:t xml:space="preserve">2.53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32582961">
            <w:pPr>
              <w:pStyle w:val="59"/>
              <w:bidi w:val="0"/>
              <w:rPr>
                <w:rFonts w:hint="eastAsia"/>
              </w:rPr>
            </w:pPr>
            <w:r>
              <w:rPr>
                <w:rFonts w:hint="eastAsia"/>
                <w:lang w:val="en-US" w:eastAsia="zh-CN"/>
              </w:rPr>
              <w:t xml:space="preserve">2.22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4022E4AD">
            <w:pPr>
              <w:pStyle w:val="59"/>
              <w:bidi w:val="0"/>
              <w:rPr>
                <w:rFonts w:hint="eastAsia"/>
              </w:rPr>
            </w:pPr>
            <w:r>
              <w:rPr>
                <w:rFonts w:hint="eastAsia"/>
                <w:lang w:val="en-US" w:eastAsia="zh-CN"/>
              </w:rPr>
              <w:t xml:space="preserve">2.17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7B2381F2">
            <w:pPr>
              <w:pStyle w:val="59"/>
              <w:bidi w:val="0"/>
              <w:rPr>
                <w:rFonts w:hint="eastAsia"/>
              </w:rPr>
            </w:pPr>
            <w:r>
              <w:rPr>
                <w:rFonts w:hint="eastAsia"/>
                <w:lang w:val="en-US" w:eastAsia="zh-CN"/>
              </w:rPr>
              <w:t xml:space="preserve">2.08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3E47906E">
            <w:pPr>
              <w:pStyle w:val="59"/>
              <w:bidi w:val="0"/>
              <w:rPr>
                <w:rFonts w:hint="eastAsia"/>
              </w:rPr>
            </w:pPr>
            <w:r>
              <w:rPr>
                <w:rFonts w:hint="eastAsia"/>
                <w:lang w:val="en-US" w:eastAsia="zh-CN"/>
              </w:rPr>
              <w:t xml:space="preserve">1.97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57AE1200">
            <w:pPr>
              <w:pStyle w:val="59"/>
              <w:bidi w:val="0"/>
              <w:rPr>
                <w:rFonts w:hint="eastAsia"/>
              </w:rPr>
            </w:pPr>
            <w:r>
              <w:rPr>
                <w:rFonts w:hint="eastAsia"/>
                <w:lang w:val="en-US" w:eastAsia="zh-CN"/>
              </w:rPr>
              <w:t xml:space="preserve">1.70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756EC984">
            <w:pPr>
              <w:pStyle w:val="59"/>
              <w:bidi w:val="0"/>
              <w:rPr>
                <w:rFonts w:hint="eastAsia"/>
              </w:rPr>
            </w:pPr>
            <w:r>
              <w:rPr>
                <w:rFonts w:hint="eastAsia"/>
                <w:lang w:val="en-US" w:eastAsia="zh-CN"/>
              </w:rPr>
              <w:t xml:space="preserve">1.54 </w:t>
            </w:r>
          </w:p>
        </w:tc>
        <w:tc>
          <w:tcPr>
            <w:tcW w:w="663" w:type="dxa"/>
            <w:tcBorders>
              <w:top w:val="single" w:color="000000" w:sz="4" w:space="0"/>
              <w:left w:val="single" w:color="000000" w:sz="4" w:space="0"/>
              <w:bottom w:val="single" w:color="000000" w:sz="4" w:space="0"/>
              <w:right w:val="nil"/>
            </w:tcBorders>
            <w:noWrap w:val="0"/>
            <w:vAlign w:val="bottom"/>
          </w:tcPr>
          <w:p w14:paraId="098909C6">
            <w:pPr>
              <w:pStyle w:val="59"/>
              <w:bidi w:val="0"/>
              <w:rPr>
                <w:rFonts w:hint="eastAsia"/>
              </w:rPr>
            </w:pPr>
            <w:r>
              <w:rPr>
                <w:rFonts w:hint="eastAsia"/>
                <w:lang w:val="en-US" w:eastAsia="zh-CN"/>
              </w:rPr>
              <w:t xml:space="preserve">1.56 </w:t>
            </w:r>
          </w:p>
        </w:tc>
      </w:tr>
      <w:tr w14:paraId="1F4A43D0">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4" w:space="0"/>
              <w:right w:val="single" w:color="000000" w:sz="4" w:space="0"/>
            </w:tcBorders>
            <w:noWrap w:val="0"/>
            <w:vAlign w:val="center"/>
          </w:tcPr>
          <w:p w14:paraId="73003570">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秋季</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499EAA68">
            <w:pPr>
              <w:pStyle w:val="59"/>
              <w:bidi w:val="0"/>
              <w:rPr>
                <w:rFonts w:hint="eastAsia"/>
              </w:rPr>
            </w:pPr>
            <w:r>
              <w:rPr>
                <w:rFonts w:hint="eastAsia"/>
                <w:lang w:val="en-US" w:eastAsia="zh-CN"/>
              </w:rPr>
              <w:t xml:space="preserve">2.60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841806A">
            <w:pPr>
              <w:pStyle w:val="59"/>
              <w:bidi w:val="0"/>
              <w:rPr>
                <w:rFonts w:hint="eastAsia"/>
              </w:rPr>
            </w:pPr>
            <w:r>
              <w:rPr>
                <w:rFonts w:hint="eastAsia"/>
                <w:lang w:val="en-US" w:eastAsia="zh-CN"/>
              </w:rPr>
              <w:t xml:space="preserve">2.58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0A39A9C3">
            <w:pPr>
              <w:pStyle w:val="59"/>
              <w:bidi w:val="0"/>
              <w:rPr>
                <w:rFonts w:hint="eastAsia"/>
              </w:rPr>
            </w:pPr>
            <w:r>
              <w:rPr>
                <w:rFonts w:hint="eastAsia"/>
                <w:lang w:val="en-US" w:eastAsia="zh-CN"/>
              </w:rPr>
              <w:t xml:space="preserve">2.52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172C87D0">
            <w:pPr>
              <w:pStyle w:val="59"/>
              <w:bidi w:val="0"/>
              <w:rPr>
                <w:rFonts w:hint="eastAsia"/>
              </w:rPr>
            </w:pPr>
            <w:r>
              <w:rPr>
                <w:rFonts w:hint="eastAsia"/>
                <w:lang w:val="en-US" w:eastAsia="zh-CN"/>
              </w:rPr>
              <w:t xml:space="preserve">2.27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5EE5795F">
            <w:pPr>
              <w:pStyle w:val="59"/>
              <w:bidi w:val="0"/>
              <w:rPr>
                <w:rFonts w:hint="eastAsia"/>
              </w:rPr>
            </w:pPr>
            <w:r>
              <w:rPr>
                <w:rFonts w:hint="eastAsia"/>
                <w:lang w:val="en-US" w:eastAsia="zh-CN"/>
              </w:rPr>
              <w:t xml:space="preserve">2.11 </w:t>
            </w:r>
          </w:p>
        </w:tc>
        <w:tc>
          <w:tcPr>
            <w:tcW w:w="662" w:type="dxa"/>
            <w:tcBorders>
              <w:top w:val="single" w:color="000000" w:sz="4" w:space="0"/>
              <w:left w:val="single" w:color="000000" w:sz="4" w:space="0"/>
              <w:bottom w:val="single" w:color="000000" w:sz="4" w:space="0"/>
              <w:right w:val="single" w:color="000000" w:sz="4" w:space="0"/>
            </w:tcBorders>
            <w:noWrap w:val="0"/>
            <w:vAlign w:val="bottom"/>
          </w:tcPr>
          <w:p w14:paraId="60899D2C">
            <w:pPr>
              <w:pStyle w:val="59"/>
              <w:bidi w:val="0"/>
              <w:rPr>
                <w:rFonts w:hint="eastAsia"/>
              </w:rPr>
            </w:pPr>
            <w:r>
              <w:rPr>
                <w:rFonts w:hint="eastAsia"/>
                <w:lang w:val="en-US" w:eastAsia="zh-CN"/>
              </w:rPr>
              <w:t xml:space="preserve">2.01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5E5880AD">
            <w:pPr>
              <w:pStyle w:val="59"/>
              <w:bidi w:val="0"/>
              <w:rPr>
                <w:rFonts w:hint="eastAsia"/>
              </w:rPr>
            </w:pPr>
            <w:r>
              <w:rPr>
                <w:rFonts w:hint="eastAsia"/>
                <w:lang w:val="en-US" w:eastAsia="zh-CN"/>
              </w:rPr>
              <w:t xml:space="preserve">2.12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7490DE86">
            <w:pPr>
              <w:pStyle w:val="59"/>
              <w:bidi w:val="0"/>
              <w:rPr>
                <w:rFonts w:hint="eastAsia"/>
              </w:rPr>
            </w:pPr>
            <w:r>
              <w:rPr>
                <w:rFonts w:hint="eastAsia"/>
                <w:lang w:val="en-US" w:eastAsia="zh-CN"/>
              </w:rPr>
              <w:t xml:space="preserve">2.16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211AFEA1">
            <w:pPr>
              <w:pStyle w:val="59"/>
              <w:bidi w:val="0"/>
              <w:rPr>
                <w:rFonts w:hint="eastAsia"/>
              </w:rPr>
            </w:pPr>
            <w:r>
              <w:rPr>
                <w:rFonts w:hint="eastAsia"/>
                <w:lang w:val="en-US" w:eastAsia="zh-CN"/>
              </w:rPr>
              <w:t xml:space="preserve">2.04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05D73B78">
            <w:pPr>
              <w:pStyle w:val="59"/>
              <w:bidi w:val="0"/>
              <w:rPr>
                <w:rFonts w:hint="eastAsia"/>
              </w:rPr>
            </w:pPr>
            <w:r>
              <w:rPr>
                <w:rFonts w:hint="eastAsia"/>
                <w:lang w:val="en-US" w:eastAsia="zh-CN"/>
              </w:rPr>
              <w:t xml:space="preserve">2.07 </w:t>
            </w:r>
          </w:p>
        </w:tc>
        <w:tc>
          <w:tcPr>
            <w:tcW w:w="663" w:type="dxa"/>
            <w:tcBorders>
              <w:top w:val="single" w:color="000000" w:sz="4" w:space="0"/>
              <w:left w:val="single" w:color="000000" w:sz="4" w:space="0"/>
              <w:bottom w:val="single" w:color="000000" w:sz="4" w:space="0"/>
              <w:right w:val="single" w:color="000000" w:sz="4" w:space="0"/>
            </w:tcBorders>
            <w:noWrap w:val="0"/>
            <w:vAlign w:val="bottom"/>
          </w:tcPr>
          <w:p w14:paraId="0FAFD151">
            <w:pPr>
              <w:pStyle w:val="59"/>
              <w:bidi w:val="0"/>
              <w:rPr>
                <w:rFonts w:hint="eastAsia"/>
              </w:rPr>
            </w:pPr>
            <w:r>
              <w:rPr>
                <w:rFonts w:hint="eastAsia"/>
                <w:lang w:val="en-US" w:eastAsia="zh-CN"/>
              </w:rPr>
              <w:t xml:space="preserve">2.01 </w:t>
            </w:r>
          </w:p>
        </w:tc>
        <w:tc>
          <w:tcPr>
            <w:tcW w:w="663" w:type="dxa"/>
            <w:tcBorders>
              <w:top w:val="single" w:color="000000" w:sz="4" w:space="0"/>
              <w:left w:val="single" w:color="000000" w:sz="4" w:space="0"/>
              <w:bottom w:val="single" w:color="000000" w:sz="4" w:space="0"/>
              <w:right w:val="nil"/>
            </w:tcBorders>
            <w:noWrap w:val="0"/>
            <w:vAlign w:val="bottom"/>
          </w:tcPr>
          <w:p w14:paraId="6DDB096A">
            <w:pPr>
              <w:pStyle w:val="59"/>
              <w:bidi w:val="0"/>
              <w:rPr>
                <w:rFonts w:hint="eastAsia"/>
              </w:rPr>
            </w:pPr>
            <w:r>
              <w:rPr>
                <w:rFonts w:hint="eastAsia"/>
                <w:lang w:val="en-US" w:eastAsia="zh-CN"/>
              </w:rPr>
              <w:t xml:space="preserve">1.91 </w:t>
            </w:r>
          </w:p>
        </w:tc>
      </w:tr>
      <w:tr w14:paraId="761E221D">
        <w:tblPrEx>
          <w:tblCellMar>
            <w:top w:w="0" w:type="dxa"/>
            <w:left w:w="0" w:type="dxa"/>
            <w:bottom w:w="0" w:type="dxa"/>
            <w:right w:w="0" w:type="dxa"/>
          </w:tblCellMar>
        </w:tblPrEx>
        <w:trPr>
          <w:trHeight w:val="340" w:hRule="atLeast"/>
        </w:trPr>
        <w:tc>
          <w:tcPr>
            <w:tcW w:w="619" w:type="pct"/>
            <w:tcBorders>
              <w:top w:val="single" w:color="000000" w:sz="4" w:space="0"/>
              <w:left w:val="nil"/>
              <w:bottom w:val="single" w:color="000000" w:sz="12" w:space="0"/>
              <w:right w:val="single" w:color="000000" w:sz="4" w:space="0"/>
            </w:tcBorders>
            <w:noWrap w:val="0"/>
            <w:vAlign w:val="center"/>
          </w:tcPr>
          <w:p w14:paraId="620EF2C1">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冬季</w:t>
            </w:r>
          </w:p>
        </w:tc>
        <w:tc>
          <w:tcPr>
            <w:tcW w:w="662" w:type="dxa"/>
            <w:tcBorders>
              <w:top w:val="single" w:color="000000" w:sz="4" w:space="0"/>
              <w:left w:val="single" w:color="000000" w:sz="4" w:space="0"/>
              <w:bottom w:val="single" w:color="000000" w:sz="12" w:space="0"/>
              <w:right w:val="single" w:color="000000" w:sz="4" w:space="0"/>
            </w:tcBorders>
            <w:noWrap w:val="0"/>
            <w:vAlign w:val="bottom"/>
          </w:tcPr>
          <w:p w14:paraId="358092C7">
            <w:pPr>
              <w:pStyle w:val="59"/>
              <w:bidi w:val="0"/>
              <w:rPr>
                <w:rFonts w:hint="eastAsia"/>
              </w:rPr>
            </w:pPr>
            <w:r>
              <w:rPr>
                <w:rFonts w:hint="eastAsia"/>
                <w:lang w:val="en-US" w:eastAsia="zh-CN"/>
              </w:rPr>
              <w:t xml:space="preserve">2.67 </w:t>
            </w:r>
          </w:p>
        </w:tc>
        <w:tc>
          <w:tcPr>
            <w:tcW w:w="662" w:type="dxa"/>
            <w:tcBorders>
              <w:top w:val="single" w:color="000000" w:sz="4" w:space="0"/>
              <w:left w:val="single" w:color="000000" w:sz="4" w:space="0"/>
              <w:bottom w:val="single" w:color="000000" w:sz="12" w:space="0"/>
              <w:right w:val="single" w:color="000000" w:sz="4" w:space="0"/>
            </w:tcBorders>
            <w:noWrap w:val="0"/>
            <w:vAlign w:val="bottom"/>
          </w:tcPr>
          <w:p w14:paraId="10FE00B7">
            <w:pPr>
              <w:pStyle w:val="59"/>
              <w:bidi w:val="0"/>
              <w:rPr>
                <w:rFonts w:hint="eastAsia"/>
              </w:rPr>
            </w:pPr>
            <w:r>
              <w:rPr>
                <w:rFonts w:hint="eastAsia"/>
                <w:lang w:val="en-US" w:eastAsia="zh-CN"/>
              </w:rPr>
              <w:t xml:space="preserve">2.54 </w:t>
            </w:r>
          </w:p>
        </w:tc>
        <w:tc>
          <w:tcPr>
            <w:tcW w:w="662" w:type="dxa"/>
            <w:tcBorders>
              <w:top w:val="single" w:color="000000" w:sz="4" w:space="0"/>
              <w:left w:val="single" w:color="000000" w:sz="4" w:space="0"/>
              <w:bottom w:val="single" w:color="000000" w:sz="12" w:space="0"/>
              <w:right w:val="single" w:color="000000" w:sz="4" w:space="0"/>
            </w:tcBorders>
            <w:noWrap w:val="0"/>
            <w:vAlign w:val="bottom"/>
          </w:tcPr>
          <w:p w14:paraId="750F977F">
            <w:pPr>
              <w:pStyle w:val="59"/>
              <w:bidi w:val="0"/>
              <w:rPr>
                <w:rFonts w:hint="eastAsia"/>
              </w:rPr>
            </w:pPr>
            <w:r>
              <w:rPr>
                <w:rFonts w:hint="eastAsia"/>
                <w:lang w:val="en-US" w:eastAsia="zh-CN"/>
              </w:rPr>
              <w:t xml:space="preserve">2.50 </w:t>
            </w:r>
          </w:p>
        </w:tc>
        <w:tc>
          <w:tcPr>
            <w:tcW w:w="662" w:type="dxa"/>
            <w:tcBorders>
              <w:top w:val="single" w:color="000000" w:sz="4" w:space="0"/>
              <w:left w:val="single" w:color="000000" w:sz="4" w:space="0"/>
              <w:bottom w:val="single" w:color="000000" w:sz="12" w:space="0"/>
              <w:right w:val="single" w:color="000000" w:sz="4" w:space="0"/>
            </w:tcBorders>
            <w:noWrap w:val="0"/>
            <w:vAlign w:val="bottom"/>
          </w:tcPr>
          <w:p w14:paraId="13D1CABE">
            <w:pPr>
              <w:pStyle w:val="59"/>
              <w:bidi w:val="0"/>
              <w:rPr>
                <w:rFonts w:hint="eastAsia"/>
              </w:rPr>
            </w:pPr>
            <w:r>
              <w:rPr>
                <w:rFonts w:hint="eastAsia"/>
                <w:lang w:val="en-US" w:eastAsia="zh-CN"/>
              </w:rPr>
              <w:t xml:space="preserve">2.39 </w:t>
            </w:r>
          </w:p>
        </w:tc>
        <w:tc>
          <w:tcPr>
            <w:tcW w:w="662" w:type="dxa"/>
            <w:tcBorders>
              <w:top w:val="single" w:color="000000" w:sz="4" w:space="0"/>
              <w:left w:val="single" w:color="000000" w:sz="4" w:space="0"/>
              <w:bottom w:val="single" w:color="000000" w:sz="12" w:space="0"/>
              <w:right w:val="single" w:color="000000" w:sz="4" w:space="0"/>
            </w:tcBorders>
            <w:noWrap w:val="0"/>
            <w:vAlign w:val="bottom"/>
          </w:tcPr>
          <w:p w14:paraId="5E0D2192">
            <w:pPr>
              <w:pStyle w:val="59"/>
              <w:bidi w:val="0"/>
              <w:rPr>
                <w:rFonts w:hint="eastAsia"/>
              </w:rPr>
            </w:pPr>
            <w:r>
              <w:rPr>
                <w:rFonts w:hint="eastAsia"/>
                <w:lang w:val="en-US" w:eastAsia="zh-CN"/>
              </w:rPr>
              <w:t xml:space="preserve">2.32 </w:t>
            </w:r>
          </w:p>
        </w:tc>
        <w:tc>
          <w:tcPr>
            <w:tcW w:w="662" w:type="dxa"/>
            <w:tcBorders>
              <w:top w:val="single" w:color="000000" w:sz="4" w:space="0"/>
              <w:left w:val="single" w:color="000000" w:sz="4" w:space="0"/>
              <w:bottom w:val="single" w:color="000000" w:sz="12" w:space="0"/>
              <w:right w:val="single" w:color="000000" w:sz="4" w:space="0"/>
            </w:tcBorders>
            <w:noWrap w:val="0"/>
            <w:vAlign w:val="bottom"/>
          </w:tcPr>
          <w:p w14:paraId="797F89AD">
            <w:pPr>
              <w:pStyle w:val="59"/>
              <w:bidi w:val="0"/>
              <w:rPr>
                <w:rFonts w:hint="eastAsia"/>
              </w:rPr>
            </w:pPr>
            <w:r>
              <w:rPr>
                <w:rFonts w:hint="eastAsia"/>
                <w:lang w:val="en-US" w:eastAsia="zh-CN"/>
              </w:rPr>
              <w:t xml:space="preserve">2.08 </w:t>
            </w:r>
          </w:p>
        </w:tc>
        <w:tc>
          <w:tcPr>
            <w:tcW w:w="663" w:type="dxa"/>
            <w:tcBorders>
              <w:top w:val="single" w:color="000000" w:sz="4" w:space="0"/>
              <w:left w:val="single" w:color="000000" w:sz="4" w:space="0"/>
              <w:bottom w:val="single" w:color="000000" w:sz="12" w:space="0"/>
              <w:right w:val="single" w:color="000000" w:sz="4" w:space="0"/>
            </w:tcBorders>
            <w:noWrap w:val="0"/>
            <w:vAlign w:val="bottom"/>
          </w:tcPr>
          <w:p w14:paraId="544F135A">
            <w:pPr>
              <w:pStyle w:val="59"/>
              <w:bidi w:val="0"/>
              <w:rPr>
                <w:rFonts w:hint="eastAsia"/>
              </w:rPr>
            </w:pPr>
            <w:r>
              <w:rPr>
                <w:rFonts w:hint="eastAsia"/>
                <w:lang w:val="en-US" w:eastAsia="zh-CN"/>
              </w:rPr>
              <w:t xml:space="preserve">1.96 </w:t>
            </w:r>
          </w:p>
        </w:tc>
        <w:tc>
          <w:tcPr>
            <w:tcW w:w="663" w:type="dxa"/>
            <w:tcBorders>
              <w:top w:val="single" w:color="000000" w:sz="4" w:space="0"/>
              <w:left w:val="single" w:color="000000" w:sz="4" w:space="0"/>
              <w:bottom w:val="single" w:color="000000" w:sz="12" w:space="0"/>
              <w:right w:val="single" w:color="000000" w:sz="4" w:space="0"/>
            </w:tcBorders>
            <w:noWrap w:val="0"/>
            <w:vAlign w:val="bottom"/>
          </w:tcPr>
          <w:p w14:paraId="2BD14344">
            <w:pPr>
              <w:pStyle w:val="59"/>
              <w:bidi w:val="0"/>
              <w:rPr>
                <w:rFonts w:hint="eastAsia"/>
              </w:rPr>
            </w:pPr>
            <w:r>
              <w:rPr>
                <w:rFonts w:hint="eastAsia"/>
                <w:lang w:val="en-US" w:eastAsia="zh-CN"/>
              </w:rPr>
              <w:t xml:space="preserve">2.27 </w:t>
            </w:r>
          </w:p>
        </w:tc>
        <w:tc>
          <w:tcPr>
            <w:tcW w:w="663" w:type="dxa"/>
            <w:tcBorders>
              <w:top w:val="single" w:color="000000" w:sz="4" w:space="0"/>
              <w:left w:val="single" w:color="000000" w:sz="4" w:space="0"/>
              <w:bottom w:val="single" w:color="000000" w:sz="12" w:space="0"/>
              <w:right w:val="single" w:color="000000" w:sz="4" w:space="0"/>
            </w:tcBorders>
            <w:noWrap w:val="0"/>
            <w:vAlign w:val="bottom"/>
          </w:tcPr>
          <w:p w14:paraId="393681F6">
            <w:pPr>
              <w:pStyle w:val="59"/>
              <w:bidi w:val="0"/>
              <w:rPr>
                <w:rFonts w:hint="eastAsia"/>
              </w:rPr>
            </w:pPr>
            <w:r>
              <w:rPr>
                <w:rFonts w:hint="eastAsia"/>
                <w:lang w:val="en-US" w:eastAsia="zh-CN"/>
              </w:rPr>
              <w:t xml:space="preserve">2.24 </w:t>
            </w:r>
          </w:p>
        </w:tc>
        <w:tc>
          <w:tcPr>
            <w:tcW w:w="663" w:type="dxa"/>
            <w:tcBorders>
              <w:top w:val="single" w:color="000000" w:sz="4" w:space="0"/>
              <w:left w:val="single" w:color="000000" w:sz="4" w:space="0"/>
              <w:bottom w:val="single" w:color="000000" w:sz="12" w:space="0"/>
              <w:right w:val="single" w:color="000000" w:sz="4" w:space="0"/>
            </w:tcBorders>
            <w:noWrap w:val="0"/>
            <w:vAlign w:val="bottom"/>
          </w:tcPr>
          <w:p w14:paraId="44DA969E">
            <w:pPr>
              <w:pStyle w:val="59"/>
              <w:bidi w:val="0"/>
              <w:rPr>
                <w:rFonts w:hint="eastAsia"/>
              </w:rPr>
            </w:pPr>
            <w:r>
              <w:rPr>
                <w:rFonts w:hint="eastAsia"/>
                <w:lang w:val="en-US" w:eastAsia="zh-CN"/>
              </w:rPr>
              <w:t xml:space="preserve">2.09 </w:t>
            </w:r>
          </w:p>
        </w:tc>
        <w:tc>
          <w:tcPr>
            <w:tcW w:w="663" w:type="dxa"/>
            <w:tcBorders>
              <w:top w:val="single" w:color="000000" w:sz="4" w:space="0"/>
              <w:left w:val="single" w:color="000000" w:sz="4" w:space="0"/>
              <w:bottom w:val="single" w:color="000000" w:sz="12" w:space="0"/>
              <w:right w:val="single" w:color="000000" w:sz="4" w:space="0"/>
            </w:tcBorders>
            <w:noWrap w:val="0"/>
            <w:vAlign w:val="bottom"/>
          </w:tcPr>
          <w:p w14:paraId="7C777107">
            <w:pPr>
              <w:pStyle w:val="59"/>
              <w:bidi w:val="0"/>
              <w:rPr>
                <w:rFonts w:hint="eastAsia"/>
              </w:rPr>
            </w:pPr>
            <w:r>
              <w:rPr>
                <w:rFonts w:hint="eastAsia"/>
                <w:lang w:val="en-US" w:eastAsia="zh-CN"/>
              </w:rPr>
              <w:t xml:space="preserve">2.02 </w:t>
            </w:r>
          </w:p>
        </w:tc>
        <w:tc>
          <w:tcPr>
            <w:tcW w:w="663" w:type="dxa"/>
            <w:tcBorders>
              <w:top w:val="single" w:color="000000" w:sz="4" w:space="0"/>
              <w:left w:val="single" w:color="000000" w:sz="4" w:space="0"/>
              <w:bottom w:val="single" w:color="000000" w:sz="12" w:space="0"/>
              <w:right w:val="nil"/>
            </w:tcBorders>
            <w:noWrap w:val="0"/>
            <w:vAlign w:val="bottom"/>
          </w:tcPr>
          <w:p w14:paraId="0ED91455">
            <w:pPr>
              <w:pStyle w:val="59"/>
              <w:bidi w:val="0"/>
              <w:rPr>
                <w:rFonts w:hint="eastAsia"/>
              </w:rPr>
            </w:pPr>
            <w:r>
              <w:rPr>
                <w:rFonts w:hint="eastAsia"/>
                <w:lang w:val="en-US" w:eastAsia="zh-CN"/>
              </w:rPr>
              <w:t xml:space="preserve">2.06 </w:t>
            </w:r>
          </w:p>
        </w:tc>
      </w:tr>
    </w:tbl>
    <w:p w14:paraId="7A5A2B6A">
      <w:pPr>
        <w:pStyle w:val="85"/>
        <w:bidi w:val="0"/>
        <w:rPr>
          <w:color w:val="auto"/>
        </w:rPr>
      </w:pPr>
    </w:p>
    <w:p w14:paraId="7A38D8AC">
      <w:pPr>
        <w:pStyle w:val="85"/>
        <w:bidi w:val="0"/>
        <w:rPr>
          <w:color w:val="auto"/>
        </w:rPr>
      </w:pPr>
      <w:r>
        <w:drawing>
          <wp:inline distT="0" distB="0" distL="114300" distR="114300">
            <wp:extent cx="5757545" cy="2664460"/>
            <wp:effectExtent l="5080" t="4445" r="9525" b="7620"/>
            <wp:docPr id="209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C382847">
      <w:pPr>
        <w:pStyle w:val="85"/>
        <w:keepNext w:val="0"/>
        <w:keepLines w:val="0"/>
        <w:pageBreakBefore w:val="0"/>
        <w:widowControl/>
        <w:numPr>
          <w:ilvl w:val="0"/>
          <w:numId w:val="38"/>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年季小时平均风速变化图</w:t>
      </w:r>
    </w:p>
    <w:p w14:paraId="217698A8">
      <w:pPr>
        <w:numPr>
          <w:ilvl w:val="0"/>
          <w:numId w:val="39"/>
        </w:numPr>
        <w:autoSpaceDE w:val="0"/>
        <w:autoSpaceDN w:val="0"/>
        <w:adjustRightInd w:val="0"/>
        <w:spacing w:before="240" w:beforeLines="100" w:line="360" w:lineRule="auto"/>
        <w:ind w:firstLine="482"/>
        <w:textAlignment w:val="baseline"/>
        <w:rPr>
          <w:rFonts w:hint="eastAsia"/>
          <w:b/>
          <w:color w:val="auto"/>
        </w:rPr>
      </w:pPr>
      <w:r>
        <w:rPr>
          <w:rFonts w:hint="eastAsia"/>
          <w:b/>
          <w:color w:val="auto"/>
        </w:rPr>
        <w:t>气象特征</w:t>
      </w:r>
    </w:p>
    <w:p w14:paraId="656ABDFB">
      <w:pPr>
        <w:spacing w:line="360" w:lineRule="auto"/>
        <w:ind w:firstLine="480"/>
        <w:rPr>
          <w:color w:val="auto"/>
        </w:rPr>
      </w:pPr>
      <w:r>
        <w:rPr>
          <w:rFonts w:hint="eastAsia"/>
          <w:color w:val="auto"/>
        </w:rPr>
        <w:t>为了解本项目厂址所在区域地面风的变化规律，对鹤山市气象站202</w:t>
      </w:r>
      <w:r>
        <w:rPr>
          <w:rFonts w:hint="eastAsia"/>
          <w:color w:val="auto"/>
          <w:lang w:val="en-US" w:eastAsia="zh-CN"/>
        </w:rPr>
        <w:t>4</w:t>
      </w:r>
      <w:r>
        <w:rPr>
          <w:rFonts w:hint="eastAsia"/>
          <w:color w:val="auto"/>
        </w:rPr>
        <w:t>年逐日逐时的地面风资料进行统计分析，鹤山气象站202</w:t>
      </w:r>
      <w:r>
        <w:rPr>
          <w:rFonts w:hint="eastAsia"/>
          <w:color w:val="auto"/>
          <w:lang w:val="en-US" w:eastAsia="zh-CN"/>
        </w:rPr>
        <w:t>4</w:t>
      </w:r>
      <w:r>
        <w:rPr>
          <w:rFonts w:hint="eastAsia"/>
          <w:color w:val="auto"/>
        </w:rPr>
        <w:t>年年平均风频的月变化、季变化及年均风频见</w:t>
      </w:r>
      <w:r>
        <w:rPr>
          <w:rFonts w:hint="eastAsia"/>
          <w:color w:val="auto"/>
          <w:lang w:eastAsia="zh-CN"/>
        </w:rPr>
        <w:t>表</w:t>
      </w:r>
      <w:r>
        <w:rPr>
          <w:rFonts w:hint="eastAsia"/>
          <w:color w:val="auto"/>
          <w:lang w:val="en-US" w:eastAsia="zh-CN"/>
        </w:rPr>
        <w:t>4</w:t>
      </w:r>
      <w:r>
        <w:rPr>
          <w:rFonts w:hint="eastAsia"/>
          <w:color w:val="auto"/>
          <w:lang w:eastAsia="zh-CN"/>
        </w:rPr>
        <w:t>.2</w:t>
      </w:r>
      <w:r>
        <w:rPr>
          <w:rFonts w:hint="eastAsia"/>
          <w:color w:val="auto"/>
        </w:rPr>
        <w:t>-7。鹤山市气象站202</w:t>
      </w:r>
      <w:r>
        <w:rPr>
          <w:rFonts w:hint="eastAsia"/>
          <w:color w:val="auto"/>
          <w:lang w:val="en-US" w:eastAsia="zh-CN"/>
        </w:rPr>
        <w:t>4</w:t>
      </w:r>
      <w:r>
        <w:rPr>
          <w:rFonts w:hint="eastAsia"/>
          <w:color w:val="auto"/>
        </w:rPr>
        <w:t>年风频玫瑰图见</w:t>
      </w:r>
      <w:r>
        <w:rPr>
          <w:rFonts w:hint="eastAsia"/>
          <w:color w:val="auto"/>
          <w:lang w:eastAsia="zh-CN"/>
        </w:rPr>
        <w:t>图</w:t>
      </w:r>
      <w:r>
        <w:rPr>
          <w:rFonts w:hint="eastAsia"/>
          <w:color w:val="auto"/>
          <w:lang w:val="en-US" w:eastAsia="zh-CN"/>
        </w:rPr>
        <w:t>4</w:t>
      </w:r>
      <w:r>
        <w:rPr>
          <w:rFonts w:hint="eastAsia"/>
          <w:color w:val="auto"/>
          <w:lang w:eastAsia="zh-CN"/>
        </w:rPr>
        <w:t>.2</w:t>
      </w:r>
      <w:r>
        <w:rPr>
          <w:rFonts w:hint="eastAsia"/>
          <w:color w:val="auto"/>
        </w:rPr>
        <w:t>-5。</w:t>
      </w:r>
    </w:p>
    <w:p w14:paraId="16C83998">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年均风频的月变化（单位：%）</w:t>
      </w:r>
    </w:p>
    <w:tbl>
      <w:tblPr>
        <w:tblStyle w:val="38"/>
        <w:tblW w:w="4991" w:type="pct"/>
        <w:tblInd w:w="0" w:type="dxa"/>
        <w:tblLayout w:type="autofit"/>
        <w:tblCellMar>
          <w:top w:w="0" w:type="dxa"/>
          <w:left w:w="0" w:type="dxa"/>
          <w:bottom w:w="0" w:type="dxa"/>
          <w:right w:w="0" w:type="dxa"/>
        </w:tblCellMar>
      </w:tblPr>
      <w:tblGrid>
        <w:gridCol w:w="858"/>
        <w:gridCol w:w="602"/>
        <w:gridCol w:w="483"/>
        <w:gridCol w:w="483"/>
        <w:gridCol w:w="483"/>
        <w:gridCol w:w="421"/>
        <w:gridCol w:w="439"/>
        <w:gridCol w:w="483"/>
        <w:gridCol w:w="483"/>
        <w:gridCol w:w="483"/>
        <w:gridCol w:w="483"/>
        <w:gridCol w:w="483"/>
        <w:gridCol w:w="524"/>
        <w:gridCol w:w="417"/>
        <w:gridCol w:w="559"/>
        <w:gridCol w:w="429"/>
        <w:gridCol w:w="512"/>
        <w:gridCol w:w="431"/>
      </w:tblGrid>
      <w:tr w14:paraId="77A38AAF">
        <w:tblPrEx>
          <w:tblCellMar>
            <w:top w:w="0" w:type="dxa"/>
            <w:left w:w="0" w:type="dxa"/>
            <w:bottom w:w="0" w:type="dxa"/>
            <w:right w:w="0" w:type="dxa"/>
          </w:tblCellMar>
        </w:tblPrEx>
        <w:trPr>
          <w:trHeight w:val="397" w:hRule="atLeast"/>
          <w:tblHeader/>
        </w:trPr>
        <w:tc>
          <w:tcPr>
            <w:tcW w:w="478" w:type="pct"/>
            <w:tcBorders>
              <w:top w:val="single" w:color="000000" w:sz="12" w:space="0"/>
              <w:left w:val="nil"/>
              <w:bottom w:val="single" w:color="000000" w:sz="4" w:space="0"/>
              <w:right w:val="single" w:color="000000" w:sz="4" w:space="0"/>
              <w:tl2br w:val="single" w:color="000000" w:sz="4" w:space="0"/>
            </w:tcBorders>
            <w:noWrap w:val="0"/>
            <w:vAlign w:val="center"/>
          </w:tcPr>
          <w:p w14:paraId="374A52DD">
            <w:pPr>
              <w:keepNext w:val="0"/>
              <w:keepLines w:val="0"/>
              <w:suppressLineNumbers w:val="0"/>
              <w:autoSpaceDE w:val="0"/>
              <w:spacing w:before="0" w:beforeAutospacing="0" w:after="0" w:afterAutospacing="0" w:line="240" w:lineRule="auto"/>
              <w:ind w:left="0" w:right="0" w:firstLine="0" w:firstLineChars="0"/>
              <w:jc w:val="right"/>
              <w:rPr>
                <w:rFonts w:hint="eastAsia" w:ascii="Times New Roman" w:hAnsi="Times New Roman" w:cs="Times New Roman"/>
                <w:b/>
                <w:bCs/>
                <w:color w:val="auto"/>
                <w:sz w:val="21"/>
                <w:szCs w:val="21"/>
              </w:rPr>
            </w:pPr>
            <w:r>
              <w:rPr>
                <w:rFonts w:hint="eastAsia" w:ascii="Times New Roman" w:hAnsi="Times New Roman" w:cs="Times New Roman"/>
                <w:b/>
                <w:bCs/>
                <w:color w:val="auto"/>
                <w:sz w:val="21"/>
                <w:szCs w:val="21"/>
              </w:rPr>
              <w:t>风频</w:t>
            </w:r>
          </w:p>
          <w:p w14:paraId="7D221E45">
            <w:pPr>
              <w:keepNext w:val="0"/>
              <w:keepLines w:val="0"/>
              <w:suppressLineNumbers w:val="0"/>
              <w:autoSpaceDE w:val="0"/>
              <w:spacing w:before="0" w:beforeAutospacing="0" w:after="0" w:afterAutospacing="0" w:line="240" w:lineRule="auto"/>
              <w:ind w:left="0" w:right="0" w:firstLine="0" w:firstLineChars="0"/>
              <w:rPr>
                <w:rFonts w:hint="eastAsia" w:ascii="Times New Roman" w:hAnsi="Times New Roman" w:cs="Times New Roman"/>
                <w:color w:val="auto"/>
                <w:sz w:val="21"/>
                <w:szCs w:val="21"/>
              </w:rPr>
            </w:pPr>
            <w:r>
              <w:rPr>
                <w:rFonts w:hint="eastAsia" w:ascii="Times New Roman" w:hAnsi="Times New Roman" w:cs="Times New Roman"/>
                <w:b/>
                <w:bCs/>
                <w:color w:val="auto"/>
                <w:sz w:val="21"/>
                <w:szCs w:val="21"/>
              </w:rPr>
              <w:t>风向</w:t>
            </w:r>
          </w:p>
        </w:tc>
        <w:tc>
          <w:tcPr>
            <w:tcW w:w="337" w:type="pct"/>
            <w:tcBorders>
              <w:top w:val="single" w:color="000000" w:sz="12" w:space="0"/>
              <w:left w:val="single" w:color="000000" w:sz="4" w:space="0"/>
              <w:bottom w:val="single" w:color="000000" w:sz="4" w:space="0"/>
              <w:right w:val="single" w:color="000000" w:sz="4" w:space="0"/>
            </w:tcBorders>
            <w:noWrap w:val="0"/>
            <w:vAlign w:val="center"/>
          </w:tcPr>
          <w:p w14:paraId="2F6C6A3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w:t>
            </w:r>
          </w:p>
        </w:tc>
        <w:tc>
          <w:tcPr>
            <w:tcW w:w="265" w:type="pct"/>
            <w:tcBorders>
              <w:top w:val="single" w:color="000000" w:sz="12" w:space="0"/>
              <w:left w:val="single" w:color="000000" w:sz="4" w:space="0"/>
              <w:bottom w:val="single" w:color="000000" w:sz="4" w:space="0"/>
              <w:right w:val="single" w:color="000000" w:sz="4" w:space="0"/>
            </w:tcBorders>
            <w:noWrap w:val="0"/>
            <w:vAlign w:val="center"/>
          </w:tcPr>
          <w:p w14:paraId="081C2E18">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NNE</w:t>
            </w:r>
          </w:p>
        </w:tc>
        <w:tc>
          <w:tcPr>
            <w:tcW w:w="265" w:type="pct"/>
            <w:tcBorders>
              <w:top w:val="single" w:color="000000" w:sz="12" w:space="0"/>
              <w:left w:val="single" w:color="000000" w:sz="4" w:space="0"/>
              <w:bottom w:val="single" w:color="000000" w:sz="4" w:space="0"/>
              <w:right w:val="single" w:color="000000" w:sz="4" w:space="0"/>
            </w:tcBorders>
            <w:noWrap w:val="0"/>
            <w:vAlign w:val="center"/>
          </w:tcPr>
          <w:p w14:paraId="21E2EC49">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NE</w:t>
            </w:r>
          </w:p>
        </w:tc>
        <w:tc>
          <w:tcPr>
            <w:tcW w:w="265" w:type="pct"/>
            <w:tcBorders>
              <w:top w:val="single" w:color="000000" w:sz="12" w:space="0"/>
              <w:left w:val="single" w:color="000000" w:sz="4" w:space="0"/>
              <w:bottom w:val="single" w:color="000000" w:sz="4" w:space="0"/>
              <w:right w:val="single" w:color="000000" w:sz="4" w:space="0"/>
            </w:tcBorders>
            <w:noWrap w:val="0"/>
            <w:vAlign w:val="center"/>
          </w:tcPr>
          <w:p w14:paraId="2DA72D41">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ENE</w:t>
            </w:r>
          </w:p>
        </w:tc>
        <w:tc>
          <w:tcPr>
            <w:tcW w:w="237" w:type="pct"/>
            <w:tcBorders>
              <w:top w:val="single" w:color="000000" w:sz="12" w:space="0"/>
              <w:left w:val="single" w:color="000000" w:sz="4" w:space="0"/>
              <w:bottom w:val="single" w:color="000000" w:sz="4" w:space="0"/>
              <w:right w:val="single" w:color="000000" w:sz="4" w:space="0"/>
            </w:tcBorders>
            <w:noWrap w:val="0"/>
            <w:vAlign w:val="center"/>
          </w:tcPr>
          <w:p w14:paraId="3988ECFA">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E</w:t>
            </w:r>
          </w:p>
        </w:tc>
        <w:tc>
          <w:tcPr>
            <w:tcW w:w="247" w:type="pct"/>
            <w:tcBorders>
              <w:top w:val="single" w:color="000000" w:sz="12" w:space="0"/>
              <w:left w:val="single" w:color="000000" w:sz="4" w:space="0"/>
              <w:bottom w:val="single" w:color="000000" w:sz="4" w:space="0"/>
              <w:right w:val="single" w:color="000000" w:sz="4" w:space="0"/>
            </w:tcBorders>
            <w:noWrap w:val="0"/>
            <w:vAlign w:val="center"/>
          </w:tcPr>
          <w:p w14:paraId="20CC39F0">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ESE</w:t>
            </w:r>
          </w:p>
        </w:tc>
        <w:tc>
          <w:tcPr>
            <w:tcW w:w="244" w:type="pct"/>
            <w:tcBorders>
              <w:top w:val="single" w:color="000000" w:sz="12" w:space="0"/>
              <w:left w:val="single" w:color="000000" w:sz="4" w:space="0"/>
              <w:bottom w:val="single" w:color="000000" w:sz="4" w:space="0"/>
              <w:right w:val="single" w:color="000000" w:sz="4" w:space="0"/>
            </w:tcBorders>
            <w:noWrap w:val="0"/>
            <w:vAlign w:val="center"/>
          </w:tcPr>
          <w:p w14:paraId="3900D0F6">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SE</w:t>
            </w:r>
          </w:p>
        </w:tc>
        <w:tc>
          <w:tcPr>
            <w:tcW w:w="265" w:type="pct"/>
            <w:tcBorders>
              <w:top w:val="single" w:color="000000" w:sz="12" w:space="0"/>
              <w:left w:val="single" w:color="000000" w:sz="4" w:space="0"/>
              <w:bottom w:val="single" w:color="000000" w:sz="4" w:space="0"/>
              <w:right w:val="single" w:color="000000" w:sz="4" w:space="0"/>
            </w:tcBorders>
            <w:noWrap w:val="0"/>
            <w:vAlign w:val="center"/>
          </w:tcPr>
          <w:p w14:paraId="0439CAD5">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SSE</w:t>
            </w:r>
          </w:p>
        </w:tc>
        <w:tc>
          <w:tcPr>
            <w:tcW w:w="265" w:type="pct"/>
            <w:tcBorders>
              <w:top w:val="single" w:color="000000" w:sz="12" w:space="0"/>
              <w:left w:val="single" w:color="000000" w:sz="4" w:space="0"/>
              <w:bottom w:val="single" w:color="000000" w:sz="4" w:space="0"/>
              <w:right w:val="single" w:color="000000" w:sz="4" w:space="0"/>
            </w:tcBorders>
            <w:noWrap w:val="0"/>
            <w:vAlign w:val="center"/>
          </w:tcPr>
          <w:p w14:paraId="0180D3A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w:t>
            </w:r>
          </w:p>
        </w:tc>
        <w:tc>
          <w:tcPr>
            <w:tcW w:w="265" w:type="pct"/>
            <w:tcBorders>
              <w:top w:val="single" w:color="000000" w:sz="12" w:space="0"/>
              <w:left w:val="single" w:color="000000" w:sz="4" w:space="0"/>
              <w:bottom w:val="single" w:color="000000" w:sz="4" w:space="0"/>
              <w:right w:val="single" w:color="000000" w:sz="4" w:space="0"/>
            </w:tcBorders>
            <w:noWrap w:val="0"/>
            <w:vAlign w:val="center"/>
          </w:tcPr>
          <w:p w14:paraId="0FA3E190">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SSW</w:t>
            </w:r>
          </w:p>
        </w:tc>
        <w:tc>
          <w:tcPr>
            <w:tcW w:w="265" w:type="pct"/>
            <w:tcBorders>
              <w:top w:val="single" w:color="000000" w:sz="12" w:space="0"/>
              <w:left w:val="single" w:color="000000" w:sz="4" w:space="0"/>
              <w:bottom w:val="single" w:color="000000" w:sz="4" w:space="0"/>
              <w:right w:val="single" w:color="000000" w:sz="4" w:space="0"/>
            </w:tcBorders>
            <w:noWrap w:val="0"/>
            <w:vAlign w:val="center"/>
          </w:tcPr>
          <w:p w14:paraId="44D873FB">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SW</w:t>
            </w:r>
          </w:p>
        </w:tc>
        <w:tc>
          <w:tcPr>
            <w:tcW w:w="288" w:type="pct"/>
            <w:tcBorders>
              <w:top w:val="single" w:color="000000" w:sz="12" w:space="0"/>
              <w:left w:val="single" w:color="000000" w:sz="4" w:space="0"/>
              <w:bottom w:val="single" w:color="000000" w:sz="4" w:space="0"/>
              <w:right w:val="single" w:color="000000" w:sz="4" w:space="0"/>
            </w:tcBorders>
            <w:noWrap w:val="0"/>
            <w:vAlign w:val="center"/>
          </w:tcPr>
          <w:p w14:paraId="1D580B6A">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WSW</w:t>
            </w:r>
          </w:p>
        </w:tc>
        <w:tc>
          <w:tcPr>
            <w:tcW w:w="234" w:type="pct"/>
            <w:tcBorders>
              <w:top w:val="single" w:color="000000" w:sz="12" w:space="0"/>
              <w:left w:val="single" w:color="000000" w:sz="4" w:space="0"/>
              <w:bottom w:val="single" w:color="000000" w:sz="4" w:space="0"/>
              <w:right w:val="single" w:color="000000" w:sz="4" w:space="0"/>
            </w:tcBorders>
            <w:noWrap w:val="0"/>
            <w:vAlign w:val="center"/>
          </w:tcPr>
          <w:p w14:paraId="439B6EC0">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W</w:t>
            </w:r>
          </w:p>
        </w:tc>
        <w:tc>
          <w:tcPr>
            <w:tcW w:w="307" w:type="pct"/>
            <w:tcBorders>
              <w:top w:val="single" w:color="000000" w:sz="12" w:space="0"/>
              <w:left w:val="single" w:color="000000" w:sz="4" w:space="0"/>
              <w:bottom w:val="single" w:color="000000" w:sz="4" w:space="0"/>
              <w:right w:val="single" w:color="000000" w:sz="4" w:space="0"/>
            </w:tcBorders>
            <w:noWrap w:val="0"/>
            <w:vAlign w:val="center"/>
          </w:tcPr>
          <w:p w14:paraId="4A1B1916">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WNW</w:t>
            </w:r>
          </w:p>
        </w:tc>
        <w:tc>
          <w:tcPr>
            <w:tcW w:w="241" w:type="pct"/>
            <w:tcBorders>
              <w:top w:val="single" w:color="000000" w:sz="12" w:space="0"/>
              <w:left w:val="single" w:color="000000" w:sz="4" w:space="0"/>
              <w:bottom w:val="single" w:color="000000" w:sz="4" w:space="0"/>
              <w:right w:val="single" w:color="000000" w:sz="4" w:space="0"/>
            </w:tcBorders>
            <w:noWrap w:val="0"/>
            <w:vAlign w:val="center"/>
          </w:tcPr>
          <w:p w14:paraId="0B4BB73D">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NW</w:t>
            </w:r>
          </w:p>
        </w:tc>
        <w:tc>
          <w:tcPr>
            <w:tcW w:w="281" w:type="pct"/>
            <w:tcBorders>
              <w:top w:val="single" w:color="000000" w:sz="12" w:space="0"/>
              <w:left w:val="single" w:color="000000" w:sz="4" w:space="0"/>
              <w:bottom w:val="single" w:color="000000" w:sz="4" w:space="0"/>
              <w:right w:val="single" w:color="000000" w:sz="4" w:space="0"/>
            </w:tcBorders>
            <w:noWrap w:val="0"/>
            <w:vAlign w:val="center"/>
          </w:tcPr>
          <w:p w14:paraId="47E8C599">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NNW</w:t>
            </w:r>
          </w:p>
        </w:tc>
        <w:tc>
          <w:tcPr>
            <w:tcW w:w="242" w:type="pct"/>
            <w:tcBorders>
              <w:top w:val="single" w:color="000000" w:sz="12" w:space="0"/>
              <w:left w:val="single" w:color="000000" w:sz="4" w:space="0"/>
              <w:bottom w:val="single" w:color="000000" w:sz="4" w:space="0"/>
              <w:right w:val="nil"/>
            </w:tcBorders>
            <w:noWrap w:val="0"/>
            <w:vAlign w:val="center"/>
          </w:tcPr>
          <w:p w14:paraId="340495FB">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C</w:t>
            </w:r>
          </w:p>
        </w:tc>
      </w:tr>
      <w:tr w14:paraId="738384C3">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37B8FE75">
            <w:pPr>
              <w:pStyle w:val="59"/>
              <w:bidi w:val="0"/>
              <w:rPr>
                <w:rFonts w:hint="eastAsia"/>
              </w:rPr>
            </w:pPr>
            <w:r>
              <w:rPr>
                <w:rFonts w:hint="eastAsia"/>
                <w:lang w:val="en-US" w:eastAsia="zh-CN"/>
              </w:rPr>
              <w:t xml:space="preserve">一月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7C0835F7">
            <w:pPr>
              <w:pStyle w:val="59"/>
              <w:bidi w:val="0"/>
              <w:jc w:val="center"/>
              <w:rPr>
                <w:rFonts w:hint="eastAsia"/>
              </w:rPr>
            </w:pPr>
            <w:r>
              <w:rPr>
                <w:rFonts w:hint="eastAsia"/>
                <w:lang w:val="en-US" w:eastAsia="zh-CN"/>
              </w:rPr>
              <w:t>15.19</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0B2C907">
            <w:pPr>
              <w:pStyle w:val="59"/>
              <w:bidi w:val="0"/>
              <w:jc w:val="center"/>
              <w:rPr>
                <w:rFonts w:hint="eastAsia"/>
              </w:rPr>
            </w:pPr>
            <w:r>
              <w:rPr>
                <w:rFonts w:hint="eastAsia"/>
                <w:lang w:val="en-US" w:eastAsia="zh-CN"/>
              </w:rPr>
              <w:t>25.27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48A804C">
            <w:pPr>
              <w:pStyle w:val="59"/>
              <w:bidi w:val="0"/>
              <w:jc w:val="center"/>
              <w:rPr>
                <w:rFonts w:hint="eastAsia"/>
              </w:rPr>
            </w:pPr>
            <w:r>
              <w:rPr>
                <w:rFonts w:hint="eastAsia"/>
                <w:lang w:val="en-US" w:eastAsia="zh-CN"/>
              </w:rPr>
              <w:t>8.87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B4D6FE1">
            <w:pPr>
              <w:pStyle w:val="59"/>
              <w:bidi w:val="0"/>
              <w:jc w:val="center"/>
              <w:rPr>
                <w:rFonts w:hint="eastAsia"/>
              </w:rPr>
            </w:pPr>
            <w:r>
              <w:rPr>
                <w:rFonts w:hint="eastAsia"/>
                <w:lang w:val="en-US" w:eastAsia="zh-CN"/>
              </w:rPr>
              <w:t>5.38</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07D166F1">
            <w:pPr>
              <w:pStyle w:val="59"/>
              <w:bidi w:val="0"/>
              <w:jc w:val="center"/>
              <w:rPr>
                <w:rFonts w:hint="eastAsia"/>
              </w:rPr>
            </w:pPr>
            <w:r>
              <w:rPr>
                <w:rFonts w:hint="eastAsia"/>
                <w:lang w:val="en-US" w:eastAsia="zh-CN"/>
              </w:rPr>
              <w:t>2.82</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168F6934">
            <w:pPr>
              <w:pStyle w:val="59"/>
              <w:bidi w:val="0"/>
              <w:jc w:val="center"/>
              <w:rPr>
                <w:rFonts w:hint="eastAsia"/>
              </w:rPr>
            </w:pPr>
            <w:r>
              <w:rPr>
                <w:rFonts w:hint="eastAsia"/>
                <w:lang w:val="en-US" w:eastAsia="zh-CN"/>
              </w:rPr>
              <w:t>2.02</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3C0B6553">
            <w:pPr>
              <w:pStyle w:val="59"/>
              <w:bidi w:val="0"/>
              <w:jc w:val="center"/>
              <w:rPr>
                <w:rFonts w:hint="eastAsia"/>
              </w:rPr>
            </w:pPr>
            <w:r>
              <w:rPr>
                <w:rFonts w:hint="eastAsia"/>
                <w:lang w:val="en-US" w:eastAsia="zh-CN"/>
              </w:rPr>
              <w:t>4.03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70342F4">
            <w:pPr>
              <w:pStyle w:val="59"/>
              <w:bidi w:val="0"/>
              <w:jc w:val="center"/>
              <w:rPr>
                <w:rFonts w:hint="eastAsia"/>
              </w:rPr>
            </w:pPr>
            <w:r>
              <w:rPr>
                <w:rFonts w:hint="eastAsia"/>
                <w:lang w:val="en-US" w:eastAsia="zh-CN"/>
              </w:rPr>
              <w:t>4.44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D92E9B0">
            <w:pPr>
              <w:pStyle w:val="59"/>
              <w:bidi w:val="0"/>
              <w:jc w:val="center"/>
              <w:rPr>
                <w:rFonts w:hint="eastAsia"/>
              </w:rPr>
            </w:pPr>
            <w:r>
              <w:rPr>
                <w:rFonts w:hint="eastAsia"/>
                <w:lang w:val="en-US" w:eastAsia="zh-CN"/>
              </w:rPr>
              <w:t>3.23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6611486">
            <w:pPr>
              <w:pStyle w:val="59"/>
              <w:bidi w:val="0"/>
              <w:jc w:val="center"/>
              <w:rPr>
                <w:rFonts w:hint="eastAsia"/>
              </w:rPr>
            </w:pPr>
            <w:r>
              <w:rPr>
                <w:rFonts w:hint="eastAsia"/>
                <w:lang w:val="en-US" w:eastAsia="zh-CN"/>
              </w:rPr>
              <w:t>0.94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26DBF11">
            <w:pPr>
              <w:pStyle w:val="59"/>
              <w:bidi w:val="0"/>
              <w:jc w:val="center"/>
              <w:rPr>
                <w:rFonts w:hint="eastAsia"/>
              </w:rPr>
            </w:pPr>
            <w:r>
              <w:rPr>
                <w:rFonts w:hint="eastAsia"/>
                <w:lang w:val="en-US" w:eastAsia="zh-CN"/>
              </w:rPr>
              <w:t>1.48</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0E4BD0FA">
            <w:pPr>
              <w:pStyle w:val="59"/>
              <w:bidi w:val="0"/>
              <w:jc w:val="center"/>
              <w:rPr>
                <w:rFonts w:hint="eastAsia"/>
              </w:rPr>
            </w:pPr>
            <w:r>
              <w:rPr>
                <w:rFonts w:hint="eastAsia"/>
                <w:lang w:val="en-US" w:eastAsia="zh-CN"/>
              </w:rPr>
              <w:t>5.24</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07647CAA">
            <w:pPr>
              <w:pStyle w:val="59"/>
              <w:bidi w:val="0"/>
              <w:jc w:val="center"/>
              <w:rPr>
                <w:rFonts w:hint="eastAsia"/>
              </w:rPr>
            </w:pPr>
            <w:r>
              <w:rPr>
                <w:rFonts w:hint="eastAsia"/>
                <w:lang w:val="en-US" w:eastAsia="zh-CN"/>
              </w:rPr>
              <w:t>4.84</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7BE2242">
            <w:pPr>
              <w:pStyle w:val="59"/>
              <w:bidi w:val="0"/>
              <w:jc w:val="center"/>
              <w:rPr>
                <w:rFonts w:hint="eastAsia"/>
              </w:rPr>
            </w:pPr>
            <w:r>
              <w:rPr>
                <w:rFonts w:hint="eastAsia"/>
                <w:lang w:val="en-US" w:eastAsia="zh-CN"/>
              </w:rPr>
              <w:t>3.23</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7359A599">
            <w:pPr>
              <w:pStyle w:val="59"/>
              <w:bidi w:val="0"/>
              <w:jc w:val="center"/>
              <w:rPr>
                <w:rFonts w:hint="eastAsia"/>
              </w:rPr>
            </w:pPr>
            <w:r>
              <w:rPr>
                <w:rFonts w:hint="eastAsia"/>
                <w:lang w:val="en-US" w:eastAsia="zh-CN"/>
              </w:rPr>
              <w:t>3.36</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32FA4023">
            <w:pPr>
              <w:pStyle w:val="59"/>
              <w:bidi w:val="0"/>
              <w:jc w:val="center"/>
              <w:rPr>
                <w:rFonts w:hint="eastAsia"/>
              </w:rPr>
            </w:pPr>
            <w:r>
              <w:rPr>
                <w:rFonts w:hint="eastAsia"/>
                <w:lang w:val="en-US" w:eastAsia="zh-CN"/>
              </w:rPr>
              <w:t>6.05</w:t>
            </w:r>
          </w:p>
        </w:tc>
        <w:tc>
          <w:tcPr>
            <w:tcW w:w="437" w:type="dxa"/>
            <w:tcBorders>
              <w:top w:val="single" w:color="000000" w:sz="4" w:space="0"/>
              <w:left w:val="single" w:color="000000" w:sz="4" w:space="0"/>
              <w:bottom w:val="single" w:color="000000" w:sz="4" w:space="0"/>
              <w:right w:val="nil"/>
            </w:tcBorders>
            <w:noWrap w:val="0"/>
            <w:vAlign w:val="center"/>
          </w:tcPr>
          <w:p w14:paraId="30B41503">
            <w:pPr>
              <w:pStyle w:val="59"/>
              <w:bidi w:val="0"/>
              <w:jc w:val="center"/>
              <w:rPr>
                <w:rFonts w:hint="eastAsia"/>
              </w:rPr>
            </w:pPr>
            <w:r>
              <w:rPr>
                <w:rFonts w:hint="eastAsia"/>
                <w:lang w:val="en-US" w:eastAsia="zh-CN"/>
              </w:rPr>
              <w:t>3.63</w:t>
            </w:r>
          </w:p>
        </w:tc>
      </w:tr>
      <w:tr w14:paraId="08E0C944">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747BED00">
            <w:pPr>
              <w:pStyle w:val="59"/>
              <w:bidi w:val="0"/>
              <w:rPr>
                <w:rFonts w:hint="eastAsia"/>
              </w:rPr>
            </w:pPr>
            <w:r>
              <w:rPr>
                <w:rFonts w:hint="eastAsia"/>
                <w:lang w:val="en-US" w:eastAsia="zh-CN"/>
              </w:rPr>
              <w:t xml:space="preserve">二月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2A0F7E87">
            <w:pPr>
              <w:pStyle w:val="59"/>
              <w:bidi w:val="0"/>
              <w:jc w:val="center"/>
              <w:rPr>
                <w:rFonts w:hint="eastAsia"/>
              </w:rPr>
            </w:pPr>
            <w:r>
              <w:rPr>
                <w:rFonts w:hint="eastAsia"/>
                <w:lang w:val="en-US" w:eastAsia="zh-CN"/>
              </w:rPr>
              <w:t>35.20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4E41E84">
            <w:pPr>
              <w:pStyle w:val="59"/>
              <w:bidi w:val="0"/>
              <w:jc w:val="center"/>
              <w:rPr>
                <w:rFonts w:hint="eastAsia"/>
              </w:rPr>
            </w:pPr>
            <w:r>
              <w:rPr>
                <w:rFonts w:hint="eastAsia"/>
                <w:lang w:val="en-US" w:eastAsia="zh-CN"/>
              </w:rPr>
              <w:t>8.05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0C42BD3">
            <w:pPr>
              <w:pStyle w:val="59"/>
              <w:bidi w:val="0"/>
              <w:jc w:val="center"/>
              <w:rPr>
                <w:rFonts w:hint="eastAsia"/>
              </w:rPr>
            </w:pPr>
            <w:r>
              <w:rPr>
                <w:rFonts w:hint="eastAsia"/>
                <w:lang w:val="en-US" w:eastAsia="zh-CN"/>
              </w:rPr>
              <w:t>1.44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0E437A0">
            <w:pPr>
              <w:pStyle w:val="59"/>
              <w:bidi w:val="0"/>
              <w:jc w:val="center"/>
              <w:rPr>
                <w:rFonts w:hint="eastAsia"/>
              </w:rPr>
            </w:pPr>
            <w:r>
              <w:rPr>
                <w:rFonts w:hint="eastAsia"/>
                <w:lang w:val="en-US" w:eastAsia="zh-CN"/>
              </w:rPr>
              <w:t>1.15</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6492E5D9">
            <w:pPr>
              <w:pStyle w:val="59"/>
              <w:bidi w:val="0"/>
              <w:jc w:val="center"/>
              <w:rPr>
                <w:rFonts w:hint="eastAsia"/>
              </w:rPr>
            </w:pPr>
            <w:r>
              <w:rPr>
                <w:rFonts w:hint="eastAsia"/>
                <w:lang w:val="en-US" w:eastAsia="zh-CN"/>
              </w:rPr>
              <w:t>1.15</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49854C91">
            <w:pPr>
              <w:pStyle w:val="59"/>
              <w:bidi w:val="0"/>
              <w:jc w:val="center"/>
              <w:rPr>
                <w:rFonts w:hint="eastAsia"/>
              </w:rPr>
            </w:pPr>
            <w:r>
              <w:rPr>
                <w:rFonts w:hint="eastAsia"/>
                <w:lang w:val="en-US" w:eastAsia="zh-CN"/>
              </w:rPr>
              <w:t>3.16</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716A9F2C">
            <w:pPr>
              <w:pStyle w:val="59"/>
              <w:bidi w:val="0"/>
              <w:jc w:val="center"/>
              <w:rPr>
                <w:rFonts w:hint="eastAsia"/>
              </w:rPr>
            </w:pPr>
            <w:r>
              <w:rPr>
                <w:rFonts w:hint="eastAsia"/>
                <w:lang w:val="en-US" w:eastAsia="zh-CN"/>
              </w:rPr>
              <w:t>8.48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761A403">
            <w:pPr>
              <w:pStyle w:val="59"/>
              <w:bidi w:val="0"/>
              <w:jc w:val="center"/>
              <w:rPr>
                <w:rFonts w:hint="eastAsia"/>
              </w:rPr>
            </w:pPr>
            <w:r>
              <w:rPr>
                <w:rFonts w:hint="eastAsia"/>
                <w:lang w:val="en-US" w:eastAsia="zh-CN"/>
              </w:rPr>
              <w:t>15.37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914E00F">
            <w:pPr>
              <w:pStyle w:val="59"/>
              <w:bidi w:val="0"/>
              <w:jc w:val="center"/>
              <w:rPr>
                <w:rFonts w:hint="eastAsia"/>
              </w:rPr>
            </w:pPr>
            <w:r>
              <w:rPr>
                <w:rFonts w:hint="eastAsia"/>
                <w:lang w:val="en-US" w:eastAsia="zh-CN"/>
              </w:rPr>
              <w:t>7.33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6BE66B5">
            <w:pPr>
              <w:pStyle w:val="59"/>
              <w:bidi w:val="0"/>
              <w:jc w:val="center"/>
              <w:rPr>
                <w:rFonts w:hint="eastAsia"/>
              </w:rPr>
            </w:pPr>
            <w:r>
              <w:rPr>
                <w:rFonts w:hint="eastAsia"/>
                <w:lang w:val="en-US" w:eastAsia="zh-CN"/>
              </w:rPr>
              <w:t>2.16</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91BAC4B">
            <w:pPr>
              <w:pStyle w:val="59"/>
              <w:bidi w:val="0"/>
              <w:jc w:val="center"/>
              <w:rPr>
                <w:rFonts w:hint="eastAsia"/>
              </w:rPr>
            </w:pPr>
            <w:r>
              <w:rPr>
                <w:rFonts w:hint="eastAsia"/>
                <w:lang w:val="en-US" w:eastAsia="zh-CN"/>
              </w:rPr>
              <w:t>0.86</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7102096E">
            <w:pPr>
              <w:pStyle w:val="59"/>
              <w:bidi w:val="0"/>
              <w:jc w:val="center"/>
              <w:rPr>
                <w:rFonts w:hint="eastAsia"/>
              </w:rPr>
            </w:pPr>
            <w:r>
              <w:rPr>
                <w:rFonts w:hint="eastAsia"/>
                <w:lang w:val="en-US" w:eastAsia="zh-CN"/>
              </w:rPr>
              <w:t>1.01</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2FA9E470">
            <w:pPr>
              <w:pStyle w:val="59"/>
              <w:bidi w:val="0"/>
              <w:jc w:val="center"/>
              <w:rPr>
                <w:rFonts w:hint="eastAsia"/>
              </w:rPr>
            </w:pPr>
            <w:r>
              <w:rPr>
                <w:rFonts w:hint="eastAsia"/>
                <w:lang w:val="en-US" w:eastAsia="zh-CN"/>
              </w:rPr>
              <w:t>1.58</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70F38B56">
            <w:pPr>
              <w:pStyle w:val="59"/>
              <w:bidi w:val="0"/>
              <w:jc w:val="center"/>
              <w:rPr>
                <w:rFonts w:hint="eastAsia"/>
              </w:rPr>
            </w:pPr>
            <w:r>
              <w:rPr>
                <w:rFonts w:hint="eastAsia"/>
                <w:lang w:val="en-US" w:eastAsia="zh-CN"/>
              </w:rPr>
              <w:t>1.58</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B7AFDD6">
            <w:pPr>
              <w:pStyle w:val="59"/>
              <w:bidi w:val="0"/>
              <w:jc w:val="center"/>
              <w:rPr>
                <w:rFonts w:hint="eastAsia"/>
              </w:rPr>
            </w:pPr>
            <w:r>
              <w:rPr>
                <w:rFonts w:hint="eastAsia"/>
                <w:lang w:val="en-US" w:eastAsia="zh-CN"/>
              </w:rPr>
              <w:t>2.30</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7499B66D">
            <w:pPr>
              <w:pStyle w:val="59"/>
              <w:bidi w:val="0"/>
              <w:jc w:val="center"/>
              <w:rPr>
                <w:rFonts w:hint="eastAsia"/>
              </w:rPr>
            </w:pPr>
            <w:r>
              <w:rPr>
                <w:rFonts w:hint="eastAsia"/>
                <w:lang w:val="en-US" w:eastAsia="zh-CN"/>
              </w:rPr>
              <w:t>7.76</w:t>
            </w:r>
          </w:p>
        </w:tc>
        <w:tc>
          <w:tcPr>
            <w:tcW w:w="437" w:type="dxa"/>
            <w:tcBorders>
              <w:top w:val="single" w:color="000000" w:sz="4" w:space="0"/>
              <w:left w:val="single" w:color="000000" w:sz="4" w:space="0"/>
              <w:bottom w:val="single" w:color="000000" w:sz="4" w:space="0"/>
              <w:right w:val="nil"/>
            </w:tcBorders>
            <w:noWrap w:val="0"/>
            <w:vAlign w:val="center"/>
          </w:tcPr>
          <w:p w14:paraId="316164FE">
            <w:pPr>
              <w:pStyle w:val="59"/>
              <w:bidi w:val="0"/>
              <w:jc w:val="center"/>
              <w:rPr>
                <w:rFonts w:hint="eastAsia"/>
              </w:rPr>
            </w:pPr>
            <w:r>
              <w:rPr>
                <w:rFonts w:hint="eastAsia"/>
                <w:lang w:val="en-US" w:eastAsia="zh-CN"/>
              </w:rPr>
              <w:t>1.44</w:t>
            </w:r>
          </w:p>
        </w:tc>
      </w:tr>
      <w:tr w14:paraId="2BD42856">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20658D97">
            <w:pPr>
              <w:pStyle w:val="59"/>
              <w:bidi w:val="0"/>
              <w:rPr>
                <w:rFonts w:hint="eastAsia"/>
              </w:rPr>
            </w:pPr>
            <w:r>
              <w:rPr>
                <w:rFonts w:hint="eastAsia"/>
                <w:lang w:val="en-US" w:eastAsia="zh-CN"/>
              </w:rPr>
              <w:t xml:space="preserve">三月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1ACBC32B">
            <w:pPr>
              <w:pStyle w:val="59"/>
              <w:bidi w:val="0"/>
              <w:jc w:val="center"/>
              <w:rPr>
                <w:rFonts w:hint="eastAsia"/>
              </w:rPr>
            </w:pPr>
            <w:r>
              <w:rPr>
                <w:rFonts w:hint="eastAsia"/>
                <w:lang w:val="en-US" w:eastAsia="zh-CN"/>
              </w:rPr>
              <w:t>10.75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3F46826">
            <w:pPr>
              <w:pStyle w:val="59"/>
              <w:bidi w:val="0"/>
              <w:jc w:val="center"/>
              <w:rPr>
                <w:rFonts w:hint="eastAsia"/>
              </w:rPr>
            </w:pPr>
            <w:r>
              <w:rPr>
                <w:rFonts w:hint="eastAsia"/>
                <w:lang w:val="en-US" w:eastAsia="zh-CN"/>
              </w:rPr>
              <w:t>15.32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19C53D7">
            <w:pPr>
              <w:pStyle w:val="59"/>
              <w:bidi w:val="0"/>
              <w:jc w:val="center"/>
              <w:rPr>
                <w:rFonts w:hint="eastAsia"/>
              </w:rPr>
            </w:pPr>
            <w:r>
              <w:rPr>
                <w:rFonts w:hint="eastAsia"/>
                <w:lang w:val="en-US" w:eastAsia="zh-CN"/>
              </w:rPr>
              <w:t>9.41</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59EACAF">
            <w:pPr>
              <w:pStyle w:val="59"/>
              <w:bidi w:val="0"/>
              <w:jc w:val="center"/>
              <w:rPr>
                <w:rFonts w:hint="eastAsia"/>
              </w:rPr>
            </w:pPr>
            <w:r>
              <w:rPr>
                <w:rFonts w:hint="eastAsia"/>
                <w:lang w:val="en-US" w:eastAsia="zh-CN"/>
              </w:rPr>
              <w:t>3.23</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4D67F1A6">
            <w:pPr>
              <w:pStyle w:val="59"/>
              <w:bidi w:val="0"/>
              <w:jc w:val="center"/>
              <w:rPr>
                <w:rFonts w:hint="eastAsia"/>
              </w:rPr>
            </w:pPr>
            <w:r>
              <w:rPr>
                <w:rFonts w:hint="eastAsia"/>
                <w:lang w:val="en-US" w:eastAsia="zh-CN"/>
              </w:rPr>
              <w:t>2.69</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4C4DE447">
            <w:pPr>
              <w:pStyle w:val="59"/>
              <w:bidi w:val="0"/>
              <w:jc w:val="center"/>
              <w:rPr>
                <w:rFonts w:hint="eastAsia"/>
              </w:rPr>
            </w:pPr>
            <w:r>
              <w:rPr>
                <w:rFonts w:hint="eastAsia"/>
                <w:lang w:val="en-US" w:eastAsia="zh-CN"/>
              </w:rPr>
              <w:t>1.61</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04D47190">
            <w:pPr>
              <w:pStyle w:val="59"/>
              <w:bidi w:val="0"/>
              <w:jc w:val="center"/>
              <w:rPr>
                <w:rFonts w:hint="eastAsia"/>
              </w:rPr>
            </w:pPr>
            <w:r>
              <w:rPr>
                <w:rFonts w:hint="eastAsia"/>
                <w:lang w:val="en-US" w:eastAsia="zh-CN"/>
              </w:rPr>
              <w:t>7.93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6DFC01A">
            <w:pPr>
              <w:pStyle w:val="59"/>
              <w:bidi w:val="0"/>
              <w:jc w:val="center"/>
              <w:rPr>
                <w:rFonts w:hint="eastAsia"/>
              </w:rPr>
            </w:pPr>
            <w:r>
              <w:rPr>
                <w:rFonts w:hint="eastAsia"/>
                <w:lang w:val="en-US" w:eastAsia="zh-CN"/>
              </w:rPr>
              <w:t>15.59</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1C22C82">
            <w:pPr>
              <w:pStyle w:val="59"/>
              <w:bidi w:val="0"/>
              <w:jc w:val="center"/>
              <w:rPr>
                <w:rFonts w:hint="eastAsia"/>
              </w:rPr>
            </w:pPr>
            <w:r>
              <w:rPr>
                <w:rFonts w:hint="eastAsia"/>
                <w:lang w:val="en-US" w:eastAsia="zh-CN"/>
              </w:rPr>
              <w:t>7.80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A9EA8CE">
            <w:pPr>
              <w:pStyle w:val="59"/>
              <w:bidi w:val="0"/>
              <w:jc w:val="center"/>
              <w:rPr>
                <w:rFonts w:hint="eastAsia"/>
              </w:rPr>
            </w:pPr>
            <w:r>
              <w:rPr>
                <w:rFonts w:hint="eastAsia"/>
                <w:lang w:val="en-US" w:eastAsia="zh-CN"/>
              </w:rPr>
              <w:t>4.97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0B26617">
            <w:pPr>
              <w:pStyle w:val="59"/>
              <w:bidi w:val="0"/>
              <w:jc w:val="center"/>
              <w:rPr>
                <w:rFonts w:hint="eastAsia"/>
              </w:rPr>
            </w:pPr>
            <w:r>
              <w:rPr>
                <w:rFonts w:hint="eastAsia"/>
                <w:lang w:val="en-US" w:eastAsia="zh-CN"/>
              </w:rPr>
              <w:t>3.76</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6835D03A">
            <w:pPr>
              <w:pStyle w:val="59"/>
              <w:bidi w:val="0"/>
              <w:jc w:val="center"/>
              <w:rPr>
                <w:rFonts w:hint="eastAsia"/>
              </w:rPr>
            </w:pPr>
            <w:r>
              <w:rPr>
                <w:rFonts w:hint="eastAsia"/>
                <w:lang w:val="en-US" w:eastAsia="zh-CN"/>
              </w:rPr>
              <w:t>2.15</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2EC622A0">
            <w:pPr>
              <w:pStyle w:val="59"/>
              <w:bidi w:val="0"/>
              <w:jc w:val="center"/>
              <w:rPr>
                <w:rFonts w:hint="eastAsia"/>
              </w:rPr>
            </w:pPr>
            <w:r>
              <w:rPr>
                <w:rFonts w:hint="eastAsia"/>
                <w:lang w:val="en-US" w:eastAsia="zh-CN"/>
              </w:rPr>
              <w:t>3.49</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602F9883">
            <w:pPr>
              <w:pStyle w:val="59"/>
              <w:bidi w:val="0"/>
              <w:jc w:val="center"/>
              <w:rPr>
                <w:rFonts w:hint="eastAsia"/>
              </w:rPr>
            </w:pPr>
            <w:r>
              <w:rPr>
                <w:rFonts w:hint="eastAsia"/>
                <w:lang w:val="en-US" w:eastAsia="zh-CN"/>
              </w:rPr>
              <w:t>2.82</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1C2ECA28">
            <w:pPr>
              <w:pStyle w:val="59"/>
              <w:bidi w:val="0"/>
              <w:jc w:val="center"/>
              <w:rPr>
                <w:rFonts w:hint="eastAsia"/>
              </w:rPr>
            </w:pPr>
            <w:r>
              <w:rPr>
                <w:rFonts w:hint="eastAsia"/>
                <w:lang w:val="en-US" w:eastAsia="zh-CN"/>
              </w:rPr>
              <w:t>1.88</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66D7BD8E">
            <w:pPr>
              <w:pStyle w:val="59"/>
              <w:bidi w:val="0"/>
              <w:jc w:val="center"/>
              <w:rPr>
                <w:rFonts w:hint="eastAsia"/>
              </w:rPr>
            </w:pPr>
            <w:r>
              <w:rPr>
                <w:rFonts w:hint="eastAsia"/>
                <w:lang w:val="en-US" w:eastAsia="zh-CN"/>
              </w:rPr>
              <w:t>4.17</w:t>
            </w:r>
          </w:p>
        </w:tc>
        <w:tc>
          <w:tcPr>
            <w:tcW w:w="437" w:type="dxa"/>
            <w:tcBorders>
              <w:top w:val="single" w:color="000000" w:sz="4" w:space="0"/>
              <w:left w:val="single" w:color="000000" w:sz="4" w:space="0"/>
              <w:bottom w:val="single" w:color="000000" w:sz="4" w:space="0"/>
              <w:right w:val="nil"/>
            </w:tcBorders>
            <w:noWrap w:val="0"/>
            <w:vAlign w:val="center"/>
          </w:tcPr>
          <w:p w14:paraId="00D9B78C">
            <w:pPr>
              <w:pStyle w:val="59"/>
              <w:bidi w:val="0"/>
              <w:jc w:val="center"/>
              <w:rPr>
                <w:rFonts w:hint="eastAsia"/>
              </w:rPr>
            </w:pPr>
            <w:r>
              <w:rPr>
                <w:rFonts w:hint="eastAsia"/>
                <w:lang w:val="en-US" w:eastAsia="zh-CN"/>
              </w:rPr>
              <w:t>2.42</w:t>
            </w:r>
          </w:p>
        </w:tc>
      </w:tr>
      <w:tr w14:paraId="0B703465">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5BB41F38">
            <w:pPr>
              <w:pStyle w:val="59"/>
              <w:bidi w:val="0"/>
              <w:rPr>
                <w:rFonts w:hint="eastAsia"/>
              </w:rPr>
            </w:pPr>
            <w:r>
              <w:rPr>
                <w:rFonts w:hint="eastAsia"/>
                <w:lang w:val="en-US" w:eastAsia="zh-CN"/>
              </w:rPr>
              <w:t xml:space="preserve">四月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66D32779">
            <w:pPr>
              <w:pStyle w:val="59"/>
              <w:bidi w:val="0"/>
              <w:jc w:val="center"/>
              <w:rPr>
                <w:rFonts w:hint="eastAsia"/>
              </w:rPr>
            </w:pPr>
            <w:r>
              <w:rPr>
                <w:rFonts w:hint="eastAsia"/>
                <w:lang w:val="en-US" w:eastAsia="zh-CN"/>
              </w:rPr>
              <w:t>6.67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2D70A1E">
            <w:pPr>
              <w:pStyle w:val="59"/>
              <w:bidi w:val="0"/>
              <w:jc w:val="center"/>
              <w:rPr>
                <w:rFonts w:hint="eastAsia"/>
              </w:rPr>
            </w:pPr>
            <w:r>
              <w:rPr>
                <w:rFonts w:hint="eastAsia"/>
                <w:lang w:val="en-US" w:eastAsia="zh-CN"/>
              </w:rPr>
              <w:t>5.00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CB8BCB9">
            <w:pPr>
              <w:pStyle w:val="59"/>
              <w:bidi w:val="0"/>
              <w:jc w:val="center"/>
              <w:rPr>
                <w:rFonts w:hint="eastAsia"/>
              </w:rPr>
            </w:pPr>
            <w:r>
              <w:rPr>
                <w:rFonts w:hint="eastAsia"/>
                <w:lang w:val="en-US" w:eastAsia="zh-CN"/>
              </w:rPr>
              <w:t>5.28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000801D">
            <w:pPr>
              <w:pStyle w:val="59"/>
              <w:bidi w:val="0"/>
              <w:jc w:val="center"/>
              <w:rPr>
                <w:rFonts w:hint="eastAsia"/>
              </w:rPr>
            </w:pPr>
            <w:r>
              <w:rPr>
                <w:rFonts w:hint="eastAsia"/>
                <w:lang w:val="en-US" w:eastAsia="zh-CN"/>
              </w:rPr>
              <w:t>4.03</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24671214">
            <w:pPr>
              <w:pStyle w:val="59"/>
              <w:bidi w:val="0"/>
              <w:jc w:val="center"/>
              <w:rPr>
                <w:rFonts w:hint="eastAsia"/>
              </w:rPr>
            </w:pPr>
            <w:r>
              <w:rPr>
                <w:rFonts w:hint="eastAsia"/>
                <w:lang w:val="en-US" w:eastAsia="zh-CN"/>
              </w:rPr>
              <w:t>5.00</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9ABD767">
            <w:pPr>
              <w:pStyle w:val="59"/>
              <w:bidi w:val="0"/>
              <w:jc w:val="center"/>
              <w:rPr>
                <w:rFonts w:hint="eastAsia"/>
              </w:rPr>
            </w:pPr>
            <w:r>
              <w:rPr>
                <w:rFonts w:hint="eastAsia"/>
                <w:lang w:val="en-US" w:eastAsia="zh-CN"/>
              </w:rPr>
              <w:t>4.31</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781642E1">
            <w:pPr>
              <w:pStyle w:val="59"/>
              <w:bidi w:val="0"/>
              <w:jc w:val="center"/>
              <w:rPr>
                <w:rFonts w:hint="eastAsia"/>
              </w:rPr>
            </w:pPr>
            <w:r>
              <w:rPr>
                <w:rFonts w:hint="eastAsia"/>
                <w:lang w:val="en-US" w:eastAsia="zh-CN"/>
              </w:rPr>
              <w:t>9.31</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24E16FF">
            <w:pPr>
              <w:pStyle w:val="59"/>
              <w:bidi w:val="0"/>
              <w:jc w:val="center"/>
              <w:rPr>
                <w:rFonts w:hint="eastAsia"/>
              </w:rPr>
            </w:pPr>
            <w:r>
              <w:rPr>
                <w:rFonts w:hint="eastAsia"/>
                <w:lang w:val="en-US" w:eastAsia="zh-CN"/>
              </w:rPr>
              <w:t>19.58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BF3ED06">
            <w:pPr>
              <w:pStyle w:val="59"/>
              <w:bidi w:val="0"/>
              <w:jc w:val="center"/>
              <w:rPr>
                <w:rFonts w:hint="eastAsia"/>
              </w:rPr>
            </w:pPr>
            <w:r>
              <w:rPr>
                <w:rFonts w:hint="eastAsia"/>
                <w:lang w:val="en-US" w:eastAsia="zh-CN"/>
              </w:rPr>
              <w:t>16.81</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96AE762">
            <w:pPr>
              <w:pStyle w:val="59"/>
              <w:bidi w:val="0"/>
              <w:jc w:val="center"/>
              <w:rPr>
                <w:rFonts w:hint="eastAsia"/>
              </w:rPr>
            </w:pPr>
            <w:r>
              <w:rPr>
                <w:rFonts w:hint="eastAsia"/>
                <w:lang w:val="en-US" w:eastAsia="zh-CN"/>
              </w:rPr>
              <w:t>9.72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617C794">
            <w:pPr>
              <w:pStyle w:val="59"/>
              <w:bidi w:val="0"/>
              <w:jc w:val="center"/>
              <w:rPr>
                <w:rFonts w:hint="eastAsia"/>
              </w:rPr>
            </w:pPr>
            <w:r>
              <w:rPr>
                <w:rFonts w:hint="eastAsia"/>
                <w:lang w:val="en-US" w:eastAsia="zh-CN"/>
              </w:rPr>
              <w:t>4.72</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6A18C1B8">
            <w:pPr>
              <w:pStyle w:val="59"/>
              <w:bidi w:val="0"/>
              <w:jc w:val="center"/>
              <w:rPr>
                <w:rFonts w:hint="eastAsia"/>
              </w:rPr>
            </w:pPr>
            <w:r>
              <w:rPr>
                <w:rFonts w:hint="eastAsia"/>
                <w:lang w:val="en-US" w:eastAsia="zh-CN"/>
              </w:rPr>
              <w:t>2.22</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2E72C020">
            <w:pPr>
              <w:pStyle w:val="59"/>
              <w:bidi w:val="0"/>
              <w:jc w:val="center"/>
              <w:rPr>
                <w:rFonts w:hint="eastAsia"/>
              </w:rPr>
            </w:pPr>
            <w:r>
              <w:rPr>
                <w:rFonts w:hint="eastAsia"/>
                <w:lang w:val="en-US" w:eastAsia="zh-CN"/>
              </w:rPr>
              <w:t>1.25</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607B7F30">
            <w:pPr>
              <w:pStyle w:val="59"/>
              <w:bidi w:val="0"/>
              <w:jc w:val="center"/>
              <w:rPr>
                <w:rFonts w:hint="eastAsia"/>
              </w:rPr>
            </w:pPr>
            <w:r>
              <w:rPr>
                <w:rFonts w:hint="eastAsia"/>
                <w:lang w:val="en-US" w:eastAsia="zh-CN"/>
              </w:rPr>
              <w:t>1.11</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524A5B9">
            <w:pPr>
              <w:pStyle w:val="59"/>
              <w:bidi w:val="0"/>
              <w:jc w:val="center"/>
              <w:rPr>
                <w:rFonts w:hint="eastAsia"/>
              </w:rPr>
            </w:pPr>
            <w:r>
              <w:rPr>
                <w:rFonts w:hint="eastAsia"/>
                <w:lang w:val="en-US" w:eastAsia="zh-CN"/>
              </w:rPr>
              <w:t>1.39</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77C0E42D">
            <w:pPr>
              <w:pStyle w:val="59"/>
              <w:bidi w:val="0"/>
              <w:jc w:val="center"/>
              <w:rPr>
                <w:rFonts w:hint="eastAsia"/>
              </w:rPr>
            </w:pPr>
            <w:r>
              <w:rPr>
                <w:rFonts w:hint="eastAsia"/>
                <w:lang w:val="en-US" w:eastAsia="zh-CN"/>
              </w:rPr>
              <w:t>2.22</w:t>
            </w:r>
          </w:p>
        </w:tc>
        <w:tc>
          <w:tcPr>
            <w:tcW w:w="437" w:type="dxa"/>
            <w:tcBorders>
              <w:top w:val="single" w:color="000000" w:sz="4" w:space="0"/>
              <w:left w:val="single" w:color="000000" w:sz="4" w:space="0"/>
              <w:bottom w:val="single" w:color="000000" w:sz="4" w:space="0"/>
              <w:right w:val="nil"/>
            </w:tcBorders>
            <w:noWrap w:val="0"/>
            <w:vAlign w:val="center"/>
          </w:tcPr>
          <w:p w14:paraId="33954E4C">
            <w:pPr>
              <w:pStyle w:val="59"/>
              <w:bidi w:val="0"/>
              <w:jc w:val="center"/>
              <w:rPr>
                <w:rFonts w:hint="eastAsia"/>
              </w:rPr>
            </w:pPr>
            <w:r>
              <w:rPr>
                <w:rFonts w:hint="eastAsia"/>
                <w:lang w:val="en-US" w:eastAsia="zh-CN"/>
              </w:rPr>
              <w:t>1.39</w:t>
            </w:r>
          </w:p>
        </w:tc>
      </w:tr>
      <w:tr w14:paraId="3315B1F4">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53A88DB5">
            <w:pPr>
              <w:pStyle w:val="59"/>
              <w:bidi w:val="0"/>
              <w:rPr>
                <w:rFonts w:hint="eastAsia"/>
              </w:rPr>
            </w:pPr>
            <w:r>
              <w:rPr>
                <w:rFonts w:hint="eastAsia"/>
                <w:lang w:val="en-US" w:eastAsia="zh-CN"/>
              </w:rPr>
              <w:t xml:space="preserve">五月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631A9E47">
            <w:pPr>
              <w:pStyle w:val="59"/>
              <w:bidi w:val="0"/>
              <w:jc w:val="center"/>
              <w:rPr>
                <w:rFonts w:hint="eastAsia"/>
              </w:rPr>
            </w:pPr>
            <w:r>
              <w:rPr>
                <w:rFonts w:hint="eastAsia"/>
                <w:lang w:val="en-US" w:eastAsia="zh-CN"/>
              </w:rPr>
              <w:t>6.05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9E16ED5">
            <w:pPr>
              <w:pStyle w:val="59"/>
              <w:bidi w:val="0"/>
              <w:jc w:val="center"/>
              <w:rPr>
                <w:rFonts w:hint="eastAsia"/>
              </w:rPr>
            </w:pPr>
            <w:r>
              <w:rPr>
                <w:rFonts w:hint="eastAsia"/>
                <w:lang w:val="en-US" w:eastAsia="zh-CN"/>
              </w:rPr>
              <w:t>9.95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5858015">
            <w:pPr>
              <w:pStyle w:val="59"/>
              <w:bidi w:val="0"/>
              <w:jc w:val="center"/>
              <w:rPr>
                <w:rFonts w:hint="eastAsia"/>
              </w:rPr>
            </w:pPr>
            <w:r>
              <w:rPr>
                <w:rFonts w:hint="eastAsia"/>
                <w:lang w:val="en-US" w:eastAsia="zh-CN"/>
              </w:rPr>
              <w:t>10.35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68F8731">
            <w:pPr>
              <w:pStyle w:val="59"/>
              <w:bidi w:val="0"/>
              <w:jc w:val="center"/>
              <w:rPr>
                <w:rFonts w:hint="eastAsia"/>
              </w:rPr>
            </w:pPr>
            <w:r>
              <w:rPr>
                <w:rFonts w:hint="eastAsia"/>
                <w:lang w:val="en-US" w:eastAsia="zh-CN"/>
              </w:rPr>
              <w:t>13.71</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60E390C7">
            <w:pPr>
              <w:pStyle w:val="59"/>
              <w:bidi w:val="0"/>
              <w:jc w:val="center"/>
              <w:rPr>
                <w:rFonts w:hint="eastAsia"/>
              </w:rPr>
            </w:pPr>
            <w:r>
              <w:rPr>
                <w:rFonts w:hint="eastAsia"/>
                <w:lang w:val="en-US" w:eastAsia="zh-CN"/>
              </w:rPr>
              <w:t>7.12</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31DE4D1F">
            <w:pPr>
              <w:pStyle w:val="59"/>
              <w:bidi w:val="0"/>
              <w:jc w:val="center"/>
              <w:rPr>
                <w:rFonts w:hint="eastAsia"/>
              </w:rPr>
            </w:pPr>
            <w:r>
              <w:rPr>
                <w:rFonts w:hint="eastAsia"/>
                <w:lang w:val="en-US" w:eastAsia="zh-CN"/>
              </w:rPr>
              <w:t>5.24</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007888A3">
            <w:pPr>
              <w:pStyle w:val="59"/>
              <w:bidi w:val="0"/>
              <w:jc w:val="center"/>
              <w:rPr>
                <w:rFonts w:hint="eastAsia"/>
              </w:rPr>
            </w:pPr>
            <w:r>
              <w:rPr>
                <w:rFonts w:hint="eastAsia"/>
                <w:lang w:val="en-US" w:eastAsia="zh-CN"/>
              </w:rPr>
              <w:t>7.39</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1A5BBFF">
            <w:pPr>
              <w:pStyle w:val="59"/>
              <w:bidi w:val="0"/>
              <w:jc w:val="center"/>
              <w:rPr>
                <w:rFonts w:hint="eastAsia"/>
              </w:rPr>
            </w:pPr>
            <w:r>
              <w:rPr>
                <w:rFonts w:hint="eastAsia"/>
                <w:lang w:val="en-US" w:eastAsia="zh-CN"/>
              </w:rPr>
              <w:t>9.68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86CF288">
            <w:pPr>
              <w:pStyle w:val="59"/>
              <w:bidi w:val="0"/>
              <w:jc w:val="center"/>
              <w:rPr>
                <w:rFonts w:hint="eastAsia"/>
              </w:rPr>
            </w:pPr>
            <w:r>
              <w:rPr>
                <w:rFonts w:hint="eastAsia"/>
                <w:lang w:val="en-US" w:eastAsia="zh-CN"/>
              </w:rPr>
              <w:t>5.38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71E6A15">
            <w:pPr>
              <w:pStyle w:val="59"/>
              <w:bidi w:val="0"/>
              <w:jc w:val="center"/>
              <w:rPr>
                <w:rFonts w:hint="eastAsia"/>
              </w:rPr>
            </w:pPr>
            <w:r>
              <w:rPr>
                <w:rFonts w:hint="eastAsia"/>
                <w:lang w:val="en-US" w:eastAsia="zh-CN"/>
              </w:rPr>
              <w:t>4.03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A193686">
            <w:pPr>
              <w:pStyle w:val="59"/>
              <w:bidi w:val="0"/>
              <w:jc w:val="center"/>
              <w:rPr>
                <w:rFonts w:hint="eastAsia"/>
              </w:rPr>
            </w:pPr>
            <w:r>
              <w:rPr>
                <w:rFonts w:hint="eastAsia"/>
                <w:lang w:val="en-US" w:eastAsia="zh-CN"/>
              </w:rPr>
              <w:t>2.96</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0D78D203">
            <w:pPr>
              <w:pStyle w:val="59"/>
              <w:bidi w:val="0"/>
              <w:jc w:val="center"/>
              <w:rPr>
                <w:rFonts w:hint="eastAsia"/>
              </w:rPr>
            </w:pPr>
            <w:r>
              <w:rPr>
                <w:rFonts w:hint="eastAsia"/>
                <w:lang w:val="en-US" w:eastAsia="zh-CN"/>
              </w:rPr>
              <w:t>3.23</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1E4672F6">
            <w:pPr>
              <w:pStyle w:val="59"/>
              <w:bidi w:val="0"/>
              <w:jc w:val="center"/>
              <w:rPr>
                <w:rFonts w:hint="eastAsia"/>
              </w:rPr>
            </w:pPr>
            <w:r>
              <w:rPr>
                <w:rFonts w:hint="eastAsia"/>
                <w:lang w:val="en-US" w:eastAsia="zh-CN"/>
              </w:rPr>
              <w:t>3.09</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FFD9ACF">
            <w:pPr>
              <w:pStyle w:val="59"/>
              <w:bidi w:val="0"/>
              <w:jc w:val="center"/>
              <w:rPr>
                <w:rFonts w:hint="eastAsia"/>
              </w:rPr>
            </w:pPr>
            <w:r>
              <w:rPr>
                <w:rFonts w:hint="eastAsia"/>
                <w:lang w:val="en-US" w:eastAsia="zh-CN"/>
              </w:rPr>
              <w:t>1.88</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013607B8">
            <w:pPr>
              <w:pStyle w:val="59"/>
              <w:bidi w:val="0"/>
              <w:jc w:val="center"/>
              <w:rPr>
                <w:rFonts w:hint="eastAsia"/>
              </w:rPr>
            </w:pPr>
            <w:r>
              <w:rPr>
                <w:rFonts w:hint="eastAsia"/>
                <w:lang w:val="en-US" w:eastAsia="zh-CN"/>
              </w:rPr>
              <w:t>2.02</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0DCE872C">
            <w:pPr>
              <w:pStyle w:val="59"/>
              <w:bidi w:val="0"/>
              <w:jc w:val="center"/>
              <w:rPr>
                <w:rFonts w:hint="eastAsia"/>
              </w:rPr>
            </w:pPr>
            <w:r>
              <w:rPr>
                <w:rFonts w:hint="eastAsia"/>
                <w:lang w:val="en-US" w:eastAsia="zh-CN"/>
              </w:rPr>
              <w:t>3.36</w:t>
            </w:r>
          </w:p>
        </w:tc>
        <w:tc>
          <w:tcPr>
            <w:tcW w:w="437" w:type="dxa"/>
            <w:tcBorders>
              <w:top w:val="single" w:color="000000" w:sz="4" w:space="0"/>
              <w:left w:val="single" w:color="000000" w:sz="4" w:space="0"/>
              <w:bottom w:val="single" w:color="000000" w:sz="4" w:space="0"/>
              <w:right w:val="nil"/>
            </w:tcBorders>
            <w:noWrap w:val="0"/>
            <w:vAlign w:val="center"/>
          </w:tcPr>
          <w:p w14:paraId="5EAF5C9D">
            <w:pPr>
              <w:pStyle w:val="59"/>
              <w:bidi w:val="0"/>
              <w:jc w:val="center"/>
              <w:rPr>
                <w:rFonts w:hint="eastAsia"/>
              </w:rPr>
            </w:pPr>
            <w:r>
              <w:rPr>
                <w:rFonts w:hint="eastAsia"/>
                <w:lang w:val="en-US" w:eastAsia="zh-CN"/>
              </w:rPr>
              <w:t>4.57</w:t>
            </w:r>
          </w:p>
        </w:tc>
      </w:tr>
      <w:tr w14:paraId="0A0C07A7">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1B7CFCD8">
            <w:pPr>
              <w:pStyle w:val="59"/>
              <w:bidi w:val="0"/>
              <w:rPr>
                <w:rFonts w:hint="eastAsia"/>
              </w:rPr>
            </w:pPr>
            <w:r>
              <w:rPr>
                <w:rFonts w:hint="eastAsia"/>
                <w:lang w:val="en-US" w:eastAsia="zh-CN"/>
              </w:rPr>
              <w:t xml:space="preserve">六月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64B361EA">
            <w:pPr>
              <w:pStyle w:val="59"/>
              <w:bidi w:val="0"/>
              <w:jc w:val="center"/>
              <w:rPr>
                <w:rFonts w:hint="eastAsia"/>
              </w:rPr>
            </w:pPr>
            <w:r>
              <w:rPr>
                <w:rFonts w:hint="eastAsia"/>
                <w:lang w:val="en-US" w:eastAsia="zh-CN"/>
              </w:rPr>
              <w:t>1.94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B1BEAE9">
            <w:pPr>
              <w:pStyle w:val="59"/>
              <w:bidi w:val="0"/>
              <w:jc w:val="center"/>
              <w:rPr>
                <w:rFonts w:hint="eastAsia"/>
              </w:rPr>
            </w:pPr>
            <w:r>
              <w:rPr>
                <w:rFonts w:hint="eastAsia"/>
                <w:lang w:val="en-US" w:eastAsia="zh-CN"/>
              </w:rPr>
              <w:t>4.03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2C51E7C">
            <w:pPr>
              <w:pStyle w:val="59"/>
              <w:bidi w:val="0"/>
              <w:jc w:val="center"/>
              <w:rPr>
                <w:rFonts w:hint="eastAsia"/>
              </w:rPr>
            </w:pPr>
            <w:r>
              <w:rPr>
                <w:rFonts w:hint="eastAsia"/>
                <w:lang w:val="en-US" w:eastAsia="zh-CN"/>
              </w:rPr>
              <w:t>2.64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FC7BD5E">
            <w:pPr>
              <w:pStyle w:val="59"/>
              <w:bidi w:val="0"/>
              <w:jc w:val="center"/>
              <w:rPr>
                <w:rFonts w:hint="eastAsia"/>
              </w:rPr>
            </w:pPr>
            <w:r>
              <w:rPr>
                <w:rFonts w:hint="eastAsia"/>
                <w:lang w:val="en-US" w:eastAsia="zh-CN"/>
              </w:rPr>
              <w:t>4.17</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3C9F5295">
            <w:pPr>
              <w:pStyle w:val="59"/>
              <w:bidi w:val="0"/>
              <w:jc w:val="center"/>
              <w:rPr>
                <w:rFonts w:hint="eastAsia"/>
              </w:rPr>
            </w:pPr>
            <w:r>
              <w:rPr>
                <w:rFonts w:hint="eastAsia"/>
                <w:lang w:val="en-US" w:eastAsia="zh-CN"/>
              </w:rPr>
              <w:t>3.06</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49F524DC">
            <w:pPr>
              <w:pStyle w:val="59"/>
              <w:bidi w:val="0"/>
              <w:jc w:val="center"/>
              <w:rPr>
                <w:rFonts w:hint="eastAsia"/>
              </w:rPr>
            </w:pPr>
            <w:r>
              <w:rPr>
                <w:rFonts w:hint="eastAsia"/>
                <w:lang w:val="en-US" w:eastAsia="zh-CN"/>
              </w:rPr>
              <w:t>4.72</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56064F87">
            <w:pPr>
              <w:pStyle w:val="59"/>
              <w:bidi w:val="0"/>
              <w:jc w:val="center"/>
              <w:rPr>
                <w:rFonts w:hint="eastAsia"/>
              </w:rPr>
            </w:pPr>
            <w:r>
              <w:rPr>
                <w:rFonts w:hint="eastAsia"/>
                <w:lang w:val="en-US" w:eastAsia="zh-CN"/>
              </w:rPr>
              <w:t>11.67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8329F93">
            <w:pPr>
              <w:pStyle w:val="59"/>
              <w:bidi w:val="0"/>
              <w:jc w:val="center"/>
              <w:rPr>
                <w:rFonts w:hint="eastAsia"/>
              </w:rPr>
            </w:pPr>
            <w:r>
              <w:rPr>
                <w:rFonts w:hint="eastAsia"/>
                <w:lang w:val="en-US" w:eastAsia="zh-CN"/>
              </w:rPr>
              <w:t>18.47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4F44948">
            <w:pPr>
              <w:pStyle w:val="59"/>
              <w:bidi w:val="0"/>
              <w:jc w:val="center"/>
              <w:rPr>
                <w:rFonts w:hint="eastAsia"/>
              </w:rPr>
            </w:pPr>
            <w:r>
              <w:rPr>
                <w:rFonts w:hint="eastAsia"/>
                <w:lang w:val="en-US" w:eastAsia="zh-CN"/>
              </w:rPr>
              <w:t>16.25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96FD38E">
            <w:pPr>
              <w:pStyle w:val="59"/>
              <w:bidi w:val="0"/>
              <w:jc w:val="center"/>
              <w:rPr>
                <w:rFonts w:hint="eastAsia"/>
              </w:rPr>
            </w:pPr>
            <w:r>
              <w:rPr>
                <w:rFonts w:hint="eastAsia"/>
                <w:lang w:val="en-US" w:eastAsia="zh-CN"/>
              </w:rPr>
              <w:t>13.06</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9D65F31">
            <w:pPr>
              <w:pStyle w:val="59"/>
              <w:bidi w:val="0"/>
              <w:jc w:val="center"/>
              <w:rPr>
                <w:rFonts w:hint="eastAsia"/>
              </w:rPr>
            </w:pPr>
            <w:r>
              <w:rPr>
                <w:rFonts w:hint="eastAsia"/>
                <w:lang w:val="en-US" w:eastAsia="zh-CN"/>
              </w:rPr>
              <w:t>8.47</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0CF205AB">
            <w:pPr>
              <w:pStyle w:val="59"/>
              <w:bidi w:val="0"/>
              <w:jc w:val="center"/>
              <w:rPr>
                <w:rFonts w:hint="eastAsia"/>
              </w:rPr>
            </w:pPr>
            <w:r>
              <w:rPr>
                <w:rFonts w:hint="eastAsia"/>
                <w:lang w:val="en-US" w:eastAsia="zh-CN"/>
              </w:rPr>
              <w:t>3.19</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14C2A21E">
            <w:pPr>
              <w:pStyle w:val="59"/>
              <w:bidi w:val="0"/>
              <w:jc w:val="center"/>
              <w:rPr>
                <w:rFonts w:hint="eastAsia"/>
              </w:rPr>
            </w:pPr>
            <w:r>
              <w:rPr>
                <w:rFonts w:hint="eastAsia"/>
                <w:lang w:val="en-US" w:eastAsia="zh-CN"/>
              </w:rPr>
              <w:t>1.53</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1F5009AB">
            <w:pPr>
              <w:pStyle w:val="59"/>
              <w:bidi w:val="0"/>
              <w:jc w:val="center"/>
              <w:rPr>
                <w:rFonts w:hint="eastAsia"/>
              </w:rPr>
            </w:pPr>
            <w:r>
              <w:rPr>
                <w:rFonts w:hint="eastAsia"/>
                <w:lang w:val="en-US" w:eastAsia="zh-CN"/>
              </w:rPr>
              <w:t>1.67</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6B7992DE">
            <w:pPr>
              <w:pStyle w:val="59"/>
              <w:bidi w:val="0"/>
              <w:jc w:val="center"/>
              <w:rPr>
                <w:rFonts w:hint="eastAsia"/>
              </w:rPr>
            </w:pPr>
            <w:r>
              <w:rPr>
                <w:rFonts w:hint="eastAsia"/>
                <w:lang w:val="en-US" w:eastAsia="zh-CN"/>
              </w:rPr>
              <w:t>0.69</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54E1DBCA">
            <w:pPr>
              <w:pStyle w:val="59"/>
              <w:bidi w:val="0"/>
              <w:jc w:val="center"/>
              <w:rPr>
                <w:rFonts w:hint="eastAsia"/>
              </w:rPr>
            </w:pPr>
            <w:r>
              <w:rPr>
                <w:rFonts w:hint="eastAsia"/>
                <w:lang w:val="en-US" w:eastAsia="zh-CN"/>
              </w:rPr>
              <w:t>0.97</w:t>
            </w:r>
          </w:p>
        </w:tc>
        <w:tc>
          <w:tcPr>
            <w:tcW w:w="437" w:type="dxa"/>
            <w:tcBorders>
              <w:top w:val="single" w:color="000000" w:sz="4" w:space="0"/>
              <w:left w:val="single" w:color="000000" w:sz="4" w:space="0"/>
              <w:bottom w:val="single" w:color="000000" w:sz="4" w:space="0"/>
              <w:right w:val="nil"/>
            </w:tcBorders>
            <w:noWrap w:val="0"/>
            <w:vAlign w:val="center"/>
          </w:tcPr>
          <w:p w14:paraId="369157A6">
            <w:pPr>
              <w:pStyle w:val="59"/>
              <w:bidi w:val="0"/>
              <w:jc w:val="center"/>
              <w:rPr>
                <w:rFonts w:hint="eastAsia"/>
              </w:rPr>
            </w:pPr>
            <w:r>
              <w:rPr>
                <w:rFonts w:hint="eastAsia"/>
                <w:lang w:val="en-US" w:eastAsia="zh-CN"/>
              </w:rPr>
              <w:t>3.47</w:t>
            </w:r>
          </w:p>
        </w:tc>
      </w:tr>
      <w:tr w14:paraId="417A44EB">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3BD998A2">
            <w:pPr>
              <w:pStyle w:val="59"/>
              <w:bidi w:val="0"/>
              <w:rPr>
                <w:rFonts w:hint="eastAsia"/>
              </w:rPr>
            </w:pPr>
            <w:r>
              <w:rPr>
                <w:rFonts w:hint="eastAsia"/>
                <w:lang w:val="en-US" w:eastAsia="zh-CN"/>
              </w:rPr>
              <w:t xml:space="preserve">七月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32D298A2">
            <w:pPr>
              <w:pStyle w:val="59"/>
              <w:bidi w:val="0"/>
              <w:jc w:val="center"/>
              <w:rPr>
                <w:rFonts w:hint="eastAsia"/>
              </w:rPr>
            </w:pPr>
            <w:r>
              <w:rPr>
                <w:rFonts w:hint="eastAsia"/>
                <w:lang w:val="en-US" w:eastAsia="zh-CN"/>
              </w:rPr>
              <w:t>0.27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30B43E4">
            <w:pPr>
              <w:pStyle w:val="59"/>
              <w:bidi w:val="0"/>
              <w:jc w:val="center"/>
              <w:rPr>
                <w:rFonts w:hint="eastAsia"/>
              </w:rPr>
            </w:pPr>
            <w:r>
              <w:rPr>
                <w:rFonts w:hint="eastAsia"/>
                <w:lang w:val="en-US" w:eastAsia="zh-CN"/>
              </w:rPr>
              <w:t>0.54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5413C9B">
            <w:pPr>
              <w:pStyle w:val="59"/>
              <w:bidi w:val="0"/>
              <w:jc w:val="center"/>
              <w:rPr>
                <w:rFonts w:hint="eastAsia"/>
              </w:rPr>
            </w:pPr>
            <w:r>
              <w:rPr>
                <w:rFonts w:hint="eastAsia"/>
                <w:lang w:val="en-US" w:eastAsia="zh-CN"/>
              </w:rPr>
              <w:t>3.90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BBA115F">
            <w:pPr>
              <w:pStyle w:val="59"/>
              <w:bidi w:val="0"/>
              <w:jc w:val="center"/>
              <w:rPr>
                <w:rFonts w:hint="eastAsia"/>
              </w:rPr>
            </w:pPr>
            <w:r>
              <w:rPr>
                <w:rFonts w:hint="eastAsia"/>
                <w:lang w:val="en-US" w:eastAsia="zh-CN"/>
              </w:rPr>
              <w:t>6.99</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1CD931B0">
            <w:pPr>
              <w:pStyle w:val="59"/>
              <w:bidi w:val="0"/>
              <w:jc w:val="center"/>
              <w:rPr>
                <w:rFonts w:hint="eastAsia"/>
              </w:rPr>
            </w:pPr>
            <w:r>
              <w:rPr>
                <w:rFonts w:hint="eastAsia"/>
                <w:lang w:val="en-US" w:eastAsia="zh-CN"/>
              </w:rPr>
              <w:t>7.12</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3310D82B">
            <w:pPr>
              <w:pStyle w:val="59"/>
              <w:bidi w:val="0"/>
              <w:jc w:val="center"/>
              <w:rPr>
                <w:rFonts w:hint="eastAsia"/>
              </w:rPr>
            </w:pPr>
            <w:r>
              <w:rPr>
                <w:rFonts w:hint="eastAsia"/>
                <w:lang w:val="en-US" w:eastAsia="zh-CN"/>
              </w:rPr>
              <w:t>8.87</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73E2C1CF">
            <w:pPr>
              <w:pStyle w:val="59"/>
              <w:bidi w:val="0"/>
              <w:jc w:val="center"/>
              <w:rPr>
                <w:rFonts w:hint="eastAsia"/>
              </w:rPr>
            </w:pPr>
            <w:r>
              <w:rPr>
                <w:rFonts w:hint="eastAsia"/>
                <w:lang w:val="en-US" w:eastAsia="zh-CN"/>
              </w:rPr>
              <w:t>10.48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DB721C2">
            <w:pPr>
              <w:pStyle w:val="59"/>
              <w:bidi w:val="0"/>
              <w:jc w:val="center"/>
              <w:rPr>
                <w:rFonts w:hint="eastAsia"/>
              </w:rPr>
            </w:pPr>
            <w:r>
              <w:rPr>
                <w:rFonts w:hint="eastAsia"/>
                <w:lang w:val="en-US" w:eastAsia="zh-CN"/>
              </w:rPr>
              <w:t>12.50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5681231">
            <w:pPr>
              <w:pStyle w:val="59"/>
              <w:bidi w:val="0"/>
              <w:jc w:val="center"/>
              <w:rPr>
                <w:rFonts w:hint="eastAsia"/>
              </w:rPr>
            </w:pPr>
            <w:r>
              <w:rPr>
                <w:rFonts w:hint="eastAsia"/>
                <w:lang w:val="en-US" w:eastAsia="zh-CN"/>
              </w:rPr>
              <w:t>13.04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008D365">
            <w:pPr>
              <w:pStyle w:val="59"/>
              <w:bidi w:val="0"/>
              <w:jc w:val="center"/>
              <w:rPr>
                <w:rFonts w:hint="eastAsia"/>
              </w:rPr>
            </w:pPr>
            <w:r>
              <w:rPr>
                <w:rFonts w:hint="eastAsia"/>
                <w:lang w:val="en-US" w:eastAsia="zh-CN"/>
              </w:rPr>
              <w:t>9.81</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7369A22">
            <w:pPr>
              <w:pStyle w:val="59"/>
              <w:bidi w:val="0"/>
              <w:jc w:val="center"/>
              <w:rPr>
                <w:rFonts w:hint="eastAsia"/>
              </w:rPr>
            </w:pPr>
            <w:r>
              <w:rPr>
                <w:rFonts w:hint="eastAsia"/>
                <w:lang w:val="en-US" w:eastAsia="zh-CN"/>
              </w:rPr>
              <w:t>11.29</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5776FCB8">
            <w:pPr>
              <w:pStyle w:val="59"/>
              <w:bidi w:val="0"/>
              <w:jc w:val="center"/>
              <w:rPr>
                <w:rFonts w:hint="eastAsia"/>
              </w:rPr>
            </w:pPr>
            <w:r>
              <w:rPr>
                <w:rFonts w:hint="eastAsia"/>
                <w:lang w:val="en-US" w:eastAsia="zh-CN"/>
              </w:rPr>
              <w:t>4.84</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3505D458">
            <w:pPr>
              <w:pStyle w:val="59"/>
              <w:bidi w:val="0"/>
              <w:jc w:val="center"/>
              <w:rPr>
                <w:rFonts w:hint="eastAsia"/>
              </w:rPr>
            </w:pPr>
            <w:r>
              <w:rPr>
                <w:rFonts w:hint="eastAsia"/>
                <w:lang w:val="en-US" w:eastAsia="zh-CN"/>
              </w:rPr>
              <w:t>4.84</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02570B81">
            <w:pPr>
              <w:pStyle w:val="59"/>
              <w:bidi w:val="0"/>
              <w:jc w:val="center"/>
              <w:rPr>
                <w:rFonts w:hint="eastAsia"/>
              </w:rPr>
            </w:pPr>
            <w:r>
              <w:rPr>
                <w:rFonts w:hint="eastAsia"/>
                <w:lang w:val="en-US" w:eastAsia="zh-CN"/>
              </w:rPr>
              <w:t>0.54</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01A21E1">
            <w:pPr>
              <w:pStyle w:val="59"/>
              <w:bidi w:val="0"/>
              <w:jc w:val="center"/>
              <w:rPr>
                <w:rFonts w:hint="eastAsia"/>
              </w:rPr>
            </w:pPr>
            <w:r>
              <w:rPr>
                <w:rFonts w:hint="eastAsia"/>
                <w:lang w:val="en-US" w:eastAsia="zh-CN"/>
              </w:rPr>
              <w:t>0.40</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1C4176A0">
            <w:pPr>
              <w:pStyle w:val="59"/>
              <w:bidi w:val="0"/>
              <w:jc w:val="center"/>
              <w:rPr>
                <w:rFonts w:hint="eastAsia"/>
              </w:rPr>
            </w:pPr>
            <w:r>
              <w:rPr>
                <w:rFonts w:hint="eastAsia"/>
                <w:lang w:val="en-US" w:eastAsia="zh-CN"/>
              </w:rPr>
              <w:t>0.54</w:t>
            </w:r>
          </w:p>
        </w:tc>
        <w:tc>
          <w:tcPr>
            <w:tcW w:w="437" w:type="dxa"/>
            <w:tcBorders>
              <w:top w:val="single" w:color="000000" w:sz="4" w:space="0"/>
              <w:left w:val="single" w:color="000000" w:sz="4" w:space="0"/>
              <w:bottom w:val="single" w:color="000000" w:sz="4" w:space="0"/>
              <w:right w:val="nil"/>
            </w:tcBorders>
            <w:noWrap w:val="0"/>
            <w:vAlign w:val="center"/>
          </w:tcPr>
          <w:p w14:paraId="1D0558B0">
            <w:pPr>
              <w:pStyle w:val="59"/>
              <w:bidi w:val="0"/>
              <w:jc w:val="center"/>
              <w:rPr>
                <w:rFonts w:hint="eastAsia"/>
              </w:rPr>
            </w:pPr>
            <w:r>
              <w:rPr>
                <w:rFonts w:hint="eastAsia"/>
                <w:lang w:val="en-US" w:eastAsia="zh-CN"/>
              </w:rPr>
              <w:t>4.03</w:t>
            </w:r>
          </w:p>
        </w:tc>
      </w:tr>
      <w:tr w14:paraId="168E15BA">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4721581A">
            <w:pPr>
              <w:pStyle w:val="59"/>
              <w:bidi w:val="0"/>
              <w:rPr>
                <w:rFonts w:hint="eastAsia"/>
              </w:rPr>
            </w:pPr>
            <w:r>
              <w:rPr>
                <w:rFonts w:hint="eastAsia"/>
                <w:lang w:val="en-US" w:eastAsia="zh-CN"/>
              </w:rPr>
              <w:t xml:space="preserve">八月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7BAE5229">
            <w:pPr>
              <w:pStyle w:val="59"/>
              <w:bidi w:val="0"/>
              <w:jc w:val="center"/>
              <w:rPr>
                <w:rFonts w:hint="eastAsia"/>
              </w:rPr>
            </w:pPr>
            <w:r>
              <w:rPr>
                <w:rFonts w:hint="eastAsia"/>
                <w:lang w:val="en-US" w:eastAsia="zh-CN"/>
              </w:rPr>
              <w:t>2.02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B0FC03F">
            <w:pPr>
              <w:pStyle w:val="59"/>
              <w:bidi w:val="0"/>
              <w:jc w:val="center"/>
              <w:rPr>
                <w:rFonts w:hint="eastAsia"/>
              </w:rPr>
            </w:pPr>
            <w:r>
              <w:rPr>
                <w:rFonts w:hint="eastAsia"/>
                <w:lang w:val="en-US" w:eastAsia="zh-CN"/>
              </w:rPr>
              <w:t>1.34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31A83F9">
            <w:pPr>
              <w:pStyle w:val="59"/>
              <w:bidi w:val="0"/>
              <w:jc w:val="center"/>
              <w:rPr>
                <w:rFonts w:hint="eastAsia"/>
              </w:rPr>
            </w:pPr>
            <w:r>
              <w:rPr>
                <w:rFonts w:hint="eastAsia"/>
                <w:lang w:val="en-US" w:eastAsia="zh-CN"/>
              </w:rPr>
              <w:t>2.82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3B14500">
            <w:pPr>
              <w:pStyle w:val="59"/>
              <w:bidi w:val="0"/>
              <w:jc w:val="center"/>
              <w:rPr>
                <w:rFonts w:hint="eastAsia"/>
              </w:rPr>
            </w:pPr>
            <w:r>
              <w:rPr>
                <w:rFonts w:hint="eastAsia"/>
                <w:lang w:val="en-US" w:eastAsia="zh-CN"/>
              </w:rPr>
              <w:t>3.63</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50C9AEC1">
            <w:pPr>
              <w:pStyle w:val="59"/>
              <w:bidi w:val="0"/>
              <w:jc w:val="center"/>
              <w:rPr>
                <w:rFonts w:hint="eastAsia"/>
              </w:rPr>
            </w:pPr>
            <w:r>
              <w:rPr>
                <w:rFonts w:hint="eastAsia"/>
                <w:lang w:val="en-US" w:eastAsia="zh-CN"/>
              </w:rPr>
              <w:t>2.69</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10D96609">
            <w:pPr>
              <w:pStyle w:val="59"/>
              <w:bidi w:val="0"/>
              <w:jc w:val="center"/>
              <w:rPr>
                <w:rFonts w:hint="eastAsia"/>
              </w:rPr>
            </w:pPr>
            <w:r>
              <w:rPr>
                <w:rFonts w:hint="eastAsia"/>
                <w:lang w:val="en-US" w:eastAsia="zh-CN"/>
              </w:rPr>
              <w:t>2.02</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24F7FB4A">
            <w:pPr>
              <w:pStyle w:val="59"/>
              <w:bidi w:val="0"/>
              <w:jc w:val="center"/>
              <w:rPr>
                <w:rFonts w:hint="eastAsia"/>
              </w:rPr>
            </w:pPr>
            <w:r>
              <w:rPr>
                <w:rFonts w:hint="eastAsia"/>
                <w:lang w:val="en-US" w:eastAsia="zh-CN"/>
              </w:rPr>
              <w:t>3.90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29B9C6F">
            <w:pPr>
              <w:pStyle w:val="59"/>
              <w:bidi w:val="0"/>
              <w:jc w:val="center"/>
              <w:rPr>
                <w:rFonts w:hint="eastAsia"/>
              </w:rPr>
            </w:pPr>
            <w:r>
              <w:rPr>
                <w:rFonts w:hint="eastAsia"/>
                <w:lang w:val="en-US" w:eastAsia="zh-CN"/>
              </w:rPr>
              <w:t>6.59</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23EECC3">
            <w:pPr>
              <w:pStyle w:val="59"/>
              <w:bidi w:val="0"/>
              <w:jc w:val="center"/>
              <w:rPr>
                <w:rFonts w:hint="eastAsia"/>
              </w:rPr>
            </w:pPr>
            <w:r>
              <w:rPr>
                <w:rFonts w:hint="eastAsia"/>
                <w:lang w:val="en-US" w:eastAsia="zh-CN"/>
              </w:rPr>
              <w:t>7.80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C12BA26">
            <w:pPr>
              <w:pStyle w:val="59"/>
              <w:bidi w:val="0"/>
              <w:jc w:val="center"/>
              <w:rPr>
                <w:rFonts w:hint="eastAsia"/>
              </w:rPr>
            </w:pPr>
            <w:r>
              <w:rPr>
                <w:rFonts w:hint="eastAsia"/>
                <w:lang w:val="en-US" w:eastAsia="zh-CN"/>
              </w:rPr>
              <w:t>16.67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A3EF0C9">
            <w:pPr>
              <w:pStyle w:val="59"/>
              <w:bidi w:val="0"/>
              <w:jc w:val="center"/>
              <w:rPr>
                <w:rFonts w:hint="eastAsia"/>
              </w:rPr>
            </w:pPr>
            <w:r>
              <w:rPr>
                <w:rFonts w:hint="eastAsia"/>
                <w:lang w:val="en-US" w:eastAsia="zh-CN"/>
              </w:rPr>
              <w:t>15.59</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25AA4567">
            <w:pPr>
              <w:pStyle w:val="59"/>
              <w:bidi w:val="0"/>
              <w:jc w:val="center"/>
              <w:rPr>
                <w:rFonts w:hint="eastAsia"/>
              </w:rPr>
            </w:pPr>
            <w:r>
              <w:rPr>
                <w:rFonts w:hint="eastAsia"/>
                <w:lang w:val="en-US" w:eastAsia="zh-CN"/>
              </w:rPr>
              <w:t>12.90</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494574E2">
            <w:pPr>
              <w:pStyle w:val="59"/>
              <w:bidi w:val="0"/>
              <w:jc w:val="center"/>
              <w:rPr>
                <w:rFonts w:hint="eastAsia"/>
              </w:rPr>
            </w:pPr>
            <w:r>
              <w:rPr>
                <w:rFonts w:hint="eastAsia"/>
                <w:lang w:val="en-US" w:eastAsia="zh-CN"/>
              </w:rPr>
              <w:t>7.39</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7E0D9554">
            <w:pPr>
              <w:pStyle w:val="59"/>
              <w:bidi w:val="0"/>
              <w:jc w:val="center"/>
              <w:rPr>
                <w:rFonts w:hint="eastAsia"/>
              </w:rPr>
            </w:pPr>
            <w:r>
              <w:rPr>
                <w:rFonts w:hint="eastAsia"/>
                <w:lang w:val="en-US" w:eastAsia="zh-CN"/>
              </w:rPr>
              <w:t>3.49</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0F8113A7">
            <w:pPr>
              <w:pStyle w:val="59"/>
              <w:bidi w:val="0"/>
              <w:jc w:val="center"/>
              <w:rPr>
                <w:rFonts w:hint="eastAsia"/>
              </w:rPr>
            </w:pPr>
            <w:r>
              <w:rPr>
                <w:rFonts w:hint="eastAsia"/>
                <w:lang w:val="en-US" w:eastAsia="zh-CN"/>
              </w:rPr>
              <w:t>1.61</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72F609F5">
            <w:pPr>
              <w:pStyle w:val="59"/>
              <w:bidi w:val="0"/>
              <w:jc w:val="center"/>
              <w:rPr>
                <w:rFonts w:hint="eastAsia"/>
              </w:rPr>
            </w:pPr>
            <w:r>
              <w:rPr>
                <w:rFonts w:hint="eastAsia"/>
                <w:lang w:val="en-US" w:eastAsia="zh-CN"/>
              </w:rPr>
              <w:t>1.21</w:t>
            </w:r>
          </w:p>
        </w:tc>
        <w:tc>
          <w:tcPr>
            <w:tcW w:w="437" w:type="dxa"/>
            <w:tcBorders>
              <w:top w:val="single" w:color="000000" w:sz="4" w:space="0"/>
              <w:left w:val="single" w:color="000000" w:sz="4" w:space="0"/>
              <w:bottom w:val="single" w:color="000000" w:sz="4" w:space="0"/>
              <w:right w:val="nil"/>
            </w:tcBorders>
            <w:noWrap w:val="0"/>
            <w:vAlign w:val="center"/>
          </w:tcPr>
          <w:p w14:paraId="4A5AD33B">
            <w:pPr>
              <w:pStyle w:val="59"/>
              <w:bidi w:val="0"/>
              <w:jc w:val="center"/>
              <w:rPr>
                <w:rFonts w:hint="eastAsia"/>
              </w:rPr>
            </w:pPr>
            <w:r>
              <w:rPr>
                <w:rFonts w:hint="eastAsia"/>
                <w:lang w:val="en-US" w:eastAsia="zh-CN"/>
              </w:rPr>
              <w:t>8.33</w:t>
            </w:r>
          </w:p>
        </w:tc>
      </w:tr>
      <w:tr w14:paraId="5D5AADD3">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005F8777">
            <w:pPr>
              <w:pStyle w:val="59"/>
              <w:bidi w:val="0"/>
              <w:rPr>
                <w:rFonts w:hint="eastAsia"/>
              </w:rPr>
            </w:pPr>
            <w:r>
              <w:rPr>
                <w:rFonts w:hint="eastAsia"/>
                <w:lang w:val="en-US" w:eastAsia="zh-CN"/>
              </w:rPr>
              <w:t xml:space="preserve">九月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49CB2524">
            <w:pPr>
              <w:pStyle w:val="59"/>
              <w:bidi w:val="0"/>
              <w:jc w:val="center"/>
              <w:rPr>
                <w:rFonts w:hint="eastAsia"/>
              </w:rPr>
            </w:pPr>
            <w:r>
              <w:rPr>
                <w:rFonts w:hint="eastAsia"/>
                <w:lang w:val="en-US" w:eastAsia="zh-CN"/>
              </w:rPr>
              <w:t>6.94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C4B4C90">
            <w:pPr>
              <w:pStyle w:val="59"/>
              <w:bidi w:val="0"/>
              <w:jc w:val="center"/>
              <w:rPr>
                <w:rFonts w:hint="eastAsia"/>
              </w:rPr>
            </w:pPr>
            <w:r>
              <w:rPr>
                <w:rFonts w:hint="eastAsia"/>
                <w:lang w:val="en-US" w:eastAsia="zh-CN"/>
              </w:rPr>
              <w:t>10.14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0F41D27">
            <w:pPr>
              <w:pStyle w:val="59"/>
              <w:bidi w:val="0"/>
              <w:jc w:val="center"/>
              <w:rPr>
                <w:rFonts w:hint="eastAsia"/>
              </w:rPr>
            </w:pPr>
            <w:r>
              <w:rPr>
                <w:rFonts w:hint="eastAsia"/>
                <w:lang w:val="en-US" w:eastAsia="zh-CN"/>
              </w:rPr>
              <w:t>10.14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66944D4">
            <w:pPr>
              <w:pStyle w:val="59"/>
              <w:bidi w:val="0"/>
              <w:jc w:val="center"/>
              <w:rPr>
                <w:rFonts w:hint="eastAsia"/>
              </w:rPr>
            </w:pPr>
            <w:r>
              <w:rPr>
                <w:rFonts w:hint="eastAsia"/>
                <w:lang w:val="en-US" w:eastAsia="zh-CN"/>
              </w:rPr>
              <w:t>11.94</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00FEA845">
            <w:pPr>
              <w:pStyle w:val="59"/>
              <w:bidi w:val="0"/>
              <w:jc w:val="center"/>
              <w:rPr>
                <w:rFonts w:hint="eastAsia"/>
              </w:rPr>
            </w:pPr>
            <w:r>
              <w:rPr>
                <w:rFonts w:hint="eastAsia"/>
                <w:lang w:val="en-US" w:eastAsia="zh-CN"/>
              </w:rPr>
              <w:t>4.03</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76DC431E">
            <w:pPr>
              <w:pStyle w:val="59"/>
              <w:bidi w:val="0"/>
              <w:jc w:val="center"/>
              <w:rPr>
                <w:rFonts w:hint="eastAsia"/>
              </w:rPr>
            </w:pPr>
            <w:r>
              <w:rPr>
                <w:rFonts w:hint="eastAsia"/>
                <w:lang w:val="en-US" w:eastAsia="zh-CN"/>
              </w:rPr>
              <w:t>3.06</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72933160">
            <w:pPr>
              <w:pStyle w:val="59"/>
              <w:bidi w:val="0"/>
              <w:jc w:val="center"/>
              <w:rPr>
                <w:rFonts w:hint="eastAsia"/>
              </w:rPr>
            </w:pPr>
            <w:r>
              <w:rPr>
                <w:rFonts w:hint="eastAsia"/>
                <w:lang w:val="en-US" w:eastAsia="zh-CN"/>
              </w:rPr>
              <w:t>2.08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AC298F3">
            <w:pPr>
              <w:pStyle w:val="59"/>
              <w:bidi w:val="0"/>
              <w:jc w:val="center"/>
              <w:rPr>
                <w:rFonts w:hint="eastAsia"/>
              </w:rPr>
            </w:pPr>
            <w:r>
              <w:rPr>
                <w:rFonts w:hint="eastAsia"/>
                <w:lang w:val="en-US" w:eastAsia="zh-CN"/>
              </w:rPr>
              <w:t>1.94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09CF62B">
            <w:pPr>
              <w:pStyle w:val="59"/>
              <w:bidi w:val="0"/>
              <w:jc w:val="center"/>
              <w:rPr>
                <w:rFonts w:hint="eastAsia"/>
              </w:rPr>
            </w:pPr>
            <w:r>
              <w:rPr>
                <w:rFonts w:hint="eastAsia"/>
                <w:lang w:val="en-US" w:eastAsia="zh-CN"/>
              </w:rPr>
              <w:t>3.89</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9B3EAB7">
            <w:pPr>
              <w:pStyle w:val="59"/>
              <w:bidi w:val="0"/>
              <w:jc w:val="center"/>
              <w:rPr>
                <w:rFonts w:hint="eastAsia"/>
              </w:rPr>
            </w:pPr>
            <w:r>
              <w:rPr>
                <w:rFonts w:hint="eastAsia"/>
                <w:lang w:val="en-US" w:eastAsia="zh-CN"/>
              </w:rPr>
              <w:t>2.78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72815F8">
            <w:pPr>
              <w:pStyle w:val="59"/>
              <w:bidi w:val="0"/>
              <w:jc w:val="center"/>
              <w:rPr>
                <w:rFonts w:hint="eastAsia"/>
              </w:rPr>
            </w:pPr>
            <w:r>
              <w:rPr>
                <w:rFonts w:hint="eastAsia"/>
                <w:lang w:val="en-US" w:eastAsia="zh-CN"/>
              </w:rPr>
              <w:t>3.33</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247F4CE8">
            <w:pPr>
              <w:pStyle w:val="59"/>
              <w:bidi w:val="0"/>
              <w:jc w:val="center"/>
              <w:rPr>
                <w:rFonts w:hint="eastAsia"/>
              </w:rPr>
            </w:pPr>
            <w:r>
              <w:rPr>
                <w:rFonts w:hint="eastAsia"/>
                <w:lang w:val="en-US" w:eastAsia="zh-CN"/>
              </w:rPr>
              <w:t>11.53</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1A580290">
            <w:pPr>
              <w:pStyle w:val="59"/>
              <w:bidi w:val="0"/>
              <w:jc w:val="center"/>
              <w:rPr>
                <w:rFonts w:hint="eastAsia"/>
              </w:rPr>
            </w:pPr>
            <w:r>
              <w:rPr>
                <w:rFonts w:hint="eastAsia"/>
                <w:lang w:val="en-US" w:eastAsia="zh-CN"/>
              </w:rPr>
              <w:t>7.92</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63A5D0B7">
            <w:pPr>
              <w:pStyle w:val="59"/>
              <w:bidi w:val="0"/>
              <w:jc w:val="center"/>
              <w:rPr>
                <w:rFonts w:hint="eastAsia"/>
              </w:rPr>
            </w:pPr>
            <w:r>
              <w:rPr>
                <w:rFonts w:hint="eastAsia"/>
                <w:lang w:val="en-US" w:eastAsia="zh-CN"/>
              </w:rPr>
              <w:t>5.42</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53A97E65">
            <w:pPr>
              <w:pStyle w:val="59"/>
              <w:bidi w:val="0"/>
              <w:jc w:val="center"/>
              <w:rPr>
                <w:rFonts w:hint="eastAsia"/>
              </w:rPr>
            </w:pPr>
            <w:r>
              <w:rPr>
                <w:rFonts w:hint="eastAsia"/>
                <w:lang w:val="en-US" w:eastAsia="zh-CN"/>
              </w:rPr>
              <w:t>2.78</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614A1178">
            <w:pPr>
              <w:pStyle w:val="59"/>
              <w:bidi w:val="0"/>
              <w:jc w:val="center"/>
              <w:rPr>
                <w:rFonts w:hint="eastAsia"/>
              </w:rPr>
            </w:pPr>
            <w:r>
              <w:rPr>
                <w:rFonts w:hint="eastAsia"/>
                <w:lang w:val="en-US" w:eastAsia="zh-CN"/>
              </w:rPr>
              <w:t>3.89</w:t>
            </w:r>
          </w:p>
        </w:tc>
        <w:tc>
          <w:tcPr>
            <w:tcW w:w="437" w:type="dxa"/>
            <w:tcBorders>
              <w:top w:val="single" w:color="000000" w:sz="4" w:space="0"/>
              <w:left w:val="single" w:color="000000" w:sz="4" w:space="0"/>
              <w:bottom w:val="single" w:color="000000" w:sz="4" w:space="0"/>
              <w:right w:val="nil"/>
            </w:tcBorders>
            <w:noWrap w:val="0"/>
            <w:vAlign w:val="center"/>
          </w:tcPr>
          <w:p w14:paraId="3EE29E14">
            <w:pPr>
              <w:pStyle w:val="59"/>
              <w:bidi w:val="0"/>
              <w:jc w:val="center"/>
              <w:rPr>
                <w:rFonts w:hint="eastAsia"/>
              </w:rPr>
            </w:pPr>
            <w:r>
              <w:rPr>
                <w:rFonts w:hint="eastAsia"/>
                <w:lang w:val="en-US" w:eastAsia="zh-CN"/>
              </w:rPr>
              <w:t>8.19</w:t>
            </w:r>
          </w:p>
        </w:tc>
      </w:tr>
      <w:tr w14:paraId="6106BD89">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6DC605FF">
            <w:pPr>
              <w:pStyle w:val="59"/>
              <w:bidi w:val="0"/>
              <w:rPr>
                <w:rFonts w:hint="eastAsia"/>
              </w:rPr>
            </w:pPr>
            <w:r>
              <w:rPr>
                <w:rFonts w:hint="eastAsia"/>
                <w:lang w:val="en-US" w:eastAsia="zh-CN"/>
              </w:rPr>
              <w:t xml:space="preserve">十月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54BE04C9">
            <w:pPr>
              <w:pStyle w:val="59"/>
              <w:bidi w:val="0"/>
              <w:jc w:val="center"/>
              <w:rPr>
                <w:rFonts w:hint="eastAsia"/>
              </w:rPr>
            </w:pPr>
            <w:r>
              <w:rPr>
                <w:rFonts w:hint="eastAsia"/>
                <w:lang w:val="en-US" w:eastAsia="zh-CN"/>
              </w:rPr>
              <w:t>19.49</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3021599">
            <w:pPr>
              <w:pStyle w:val="59"/>
              <w:bidi w:val="0"/>
              <w:jc w:val="center"/>
              <w:rPr>
                <w:rFonts w:hint="eastAsia"/>
              </w:rPr>
            </w:pPr>
            <w:r>
              <w:rPr>
                <w:rFonts w:hint="eastAsia"/>
                <w:lang w:val="en-US" w:eastAsia="zh-CN"/>
              </w:rPr>
              <w:t>37.63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7FDE9DB">
            <w:pPr>
              <w:pStyle w:val="59"/>
              <w:bidi w:val="0"/>
              <w:jc w:val="center"/>
              <w:rPr>
                <w:rFonts w:hint="eastAsia"/>
              </w:rPr>
            </w:pPr>
            <w:r>
              <w:rPr>
                <w:rFonts w:hint="eastAsia"/>
                <w:lang w:val="en-US" w:eastAsia="zh-CN"/>
              </w:rPr>
              <w:t>9.68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450B5C8">
            <w:pPr>
              <w:pStyle w:val="59"/>
              <w:bidi w:val="0"/>
              <w:jc w:val="center"/>
              <w:rPr>
                <w:rFonts w:hint="eastAsia"/>
              </w:rPr>
            </w:pPr>
            <w:r>
              <w:rPr>
                <w:rFonts w:hint="eastAsia"/>
                <w:lang w:val="en-US" w:eastAsia="zh-CN"/>
              </w:rPr>
              <w:t>2.96</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41701FFF">
            <w:pPr>
              <w:pStyle w:val="59"/>
              <w:bidi w:val="0"/>
              <w:jc w:val="center"/>
              <w:rPr>
                <w:rFonts w:hint="eastAsia"/>
              </w:rPr>
            </w:pPr>
            <w:r>
              <w:rPr>
                <w:rFonts w:hint="eastAsia"/>
                <w:lang w:val="en-US" w:eastAsia="zh-CN"/>
              </w:rPr>
              <w:t>2.42</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28A23EAF">
            <w:pPr>
              <w:pStyle w:val="59"/>
              <w:bidi w:val="0"/>
              <w:jc w:val="center"/>
              <w:rPr>
                <w:rFonts w:hint="eastAsia"/>
              </w:rPr>
            </w:pPr>
            <w:r>
              <w:rPr>
                <w:rFonts w:hint="eastAsia"/>
                <w:lang w:val="en-US" w:eastAsia="zh-CN"/>
              </w:rPr>
              <w:t>1.61</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71AEB3FC">
            <w:pPr>
              <w:pStyle w:val="59"/>
              <w:bidi w:val="0"/>
              <w:jc w:val="center"/>
              <w:rPr>
                <w:rFonts w:hint="eastAsia"/>
              </w:rPr>
            </w:pPr>
            <w:r>
              <w:rPr>
                <w:rFonts w:hint="eastAsia"/>
                <w:lang w:val="en-US" w:eastAsia="zh-CN"/>
              </w:rPr>
              <w:t>1.21</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5A055EA">
            <w:pPr>
              <w:pStyle w:val="59"/>
              <w:bidi w:val="0"/>
              <w:jc w:val="center"/>
              <w:rPr>
                <w:rFonts w:hint="eastAsia"/>
              </w:rPr>
            </w:pPr>
            <w:r>
              <w:rPr>
                <w:rFonts w:hint="eastAsia"/>
                <w:lang w:val="en-US" w:eastAsia="zh-CN"/>
              </w:rPr>
              <w:t>2.15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98CFE73">
            <w:pPr>
              <w:pStyle w:val="59"/>
              <w:bidi w:val="0"/>
              <w:jc w:val="center"/>
              <w:rPr>
                <w:rFonts w:hint="eastAsia"/>
              </w:rPr>
            </w:pPr>
            <w:r>
              <w:rPr>
                <w:rFonts w:hint="eastAsia"/>
                <w:lang w:val="en-US" w:eastAsia="zh-CN"/>
              </w:rPr>
              <w:t>2.02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08D50B7">
            <w:pPr>
              <w:pStyle w:val="59"/>
              <w:bidi w:val="0"/>
              <w:jc w:val="center"/>
              <w:rPr>
                <w:rFonts w:hint="eastAsia"/>
              </w:rPr>
            </w:pPr>
            <w:r>
              <w:rPr>
                <w:rFonts w:hint="eastAsia"/>
                <w:lang w:val="en-US" w:eastAsia="zh-CN"/>
              </w:rPr>
              <w:t>2.02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EB79196">
            <w:pPr>
              <w:pStyle w:val="59"/>
              <w:bidi w:val="0"/>
              <w:jc w:val="center"/>
              <w:rPr>
                <w:rFonts w:hint="eastAsia"/>
              </w:rPr>
            </w:pPr>
            <w:r>
              <w:rPr>
                <w:rFonts w:hint="eastAsia"/>
                <w:lang w:val="en-US" w:eastAsia="zh-CN"/>
              </w:rPr>
              <w:t>1.61</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6CBE0152">
            <w:pPr>
              <w:pStyle w:val="59"/>
              <w:bidi w:val="0"/>
              <w:jc w:val="center"/>
              <w:rPr>
                <w:rFonts w:hint="eastAsia"/>
              </w:rPr>
            </w:pPr>
            <w:r>
              <w:rPr>
                <w:rFonts w:hint="eastAsia"/>
                <w:lang w:val="en-US" w:eastAsia="zh-CN"/>
              </w:rPr>
              <w:t>3.49</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26D8CDB8">
            <w:pPr>
              <w:pStyle w:val="59"/>
              <w:bidi w:val="0"/>
              <w:jc w:val="center"/>
              <w:rPr>
                <w:rFonts w:hint="eastAsia"/>
              </w:rPr>
            </w:pPr>
            <w:r>
              <w:rPr>
                <w:rFonts w:hint="eastAsia"/>
                <w:lang w:val="en-US" w:eastAsia="zh-CN"/>
              </w:rPr>
              <w:t>3.23</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1773173E">
            <w:pPr>
              <w:pStyle w:val="59"/>
              <w:bidi w:val="0"/>
              <w:jc w:val="center"/>
              <w:rPr>
                <w:rFonts w:hint="eastAsia"/>
              </w:rPr>
            </w:pPr>
            <w:r>
              <w:rPr>
                <w:rFonts w:hint="eastAsia"/>
                <w:lang w:val="en-US" w:eastAsia="zh-CN"/>
              </w:rPr>
              <w:t>1.61</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44151230">
            <w:pPr>
              <w:pStyle w:val="59"/>
              <w:bidi w:val="0"/>
              <w:jc w:val="center"/>
              <w:rPr>
                <w:rFonts w:hint="eastAsia"/>
              </w:rPr>
            </w:pPr>
            <w:r>
              <w:rPr>
                <w:rFonts w:hint="eastAsia"/>
                <w:lang w:val="en-US" w:eastAsia="zh-CN"/>
              </w:rPr>
              <w:t>2.55</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0F14333D">
            <w:pPr>
              <w:pStyle w:val="59"/>
              <w:bidi w:val="0"/>
              <w:jc w:val="center"/>
              <w:rPr>
                <w:rFonts w:hint="eastAsia"/>
              </w:rPr>
            </w:pPr>
            <w:r>
              <w:rPr>
                <w:rFonts w:hint="eastAsia"/>
                <w:lang w:val="en-US" w:eastAsia="zh-CN"/>
              </w:rPr>
              <w:t>4.70</w:t>
            </w:r>
          </w:p>
        </w:tc>
        <w:tc>
          <w:tcPr>
            <w:tcW w:w="437" w:type="dxa"/>
            <w:tcBorders>
              <w:top w:val="single" w:color="000000" w:sz="4" w:space="0"/>
              <w:left w:val="single" w:color="000000" w:sz="4" w:space="0"/>
              <w:bottom w:val="single" w:color="000000" w:sz="4" w:space="0"/>
              <w:right w:val="nil"/>
            </w:tcBorders>
            <w:noWrap w:val="0"/>
            <w:vAlign w:val="center"/>
          </w:tcPr>
          <w:p w14:paraId="28D23FAD">
            <w:pPr>
              <w:pStyle w:val="59"/>
              <w:bidi w:val="0"/>
              <w:jc w:val="center"/>
              <w:rPr>
                <w:rFonts w:hint="eastAsia"/>
              </w:rPr>
            </w:pPr>
            <w:r>
              <w:rPr>
                <w:rFonts w:hint="eastAsia"/>
                <w:lang w:val="en-US" w:eastAsia="zh-CN"/>
              </w:rPr>
              <w:t>1.61</w:t>
            </w:r>
          </w:p>
        </w:tc>
      </w:tr>
      <w:tr w14:paraId="5324DEE5">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4" w:space="0"/>
              <w:right w:val="single" w:color="000000" w:sz="4" w:space="0"/>
            </w:tcBorders>
            <w:noWrap w:val="0"/>
            <w:vAlign w:val="bottom"/>
          </w:tcPr>
          <w:p w14:paraId="0812F9D7">
            <w:pPr>
              <w:pStyle w:val="59"/>
              <w:bidi w:val="0"/>
              <w:rPr>
                <w:rFonts w:hint="eastAsia"/>
              </w:rPr>
            </w:pPr>
            <w:r>
              <w:rPr>
                <w:rFonts w:hint="eastAsia"/>
                <w:lang w:val="en-US" w:eastAsia="zh-CN"/>
              </w:rPr>
              <w:t xml:space="preserve">十一月         </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7690EB39">
            <w:pPr>
              <w:pStyle w:val="59"/>
              <w:bidi w:val="0"/>
              <w:jc w:val="center"/>
              <w:rPr>
                <w:rFonts w:hint="eastAsia"/>
              </w:rPr>
            </w:pPr>
            <w:r>
              <w:rPr>
                <w:rFonts w:hint="eastAsia"/>
                <w:lang w:val="en-US" w:eastAsia="zh-CN"/>
              </w:rPr>
              <w:t>18.06</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7F37307C">
            <w:pPr>
              <w:pStyle w:val="59"/>
              <w:bidi w:val="0"/>
              <w:jc w:val="center"/>
              <w:rPr>
                <w:rFonts w:hint="eastAsia"/>
              </w:rPr>
            </w:pPr>
            <w:r>
              <w:rPr>
                <w:rFonts w:hint="eastAsia"/>
                <w:lang w:val="en-US" w:eastAsia="zh-CN"/>
              </w:rPr>
              <w:t>41.67</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79662C4">
            <w:pPr>
              <w:pStyle w:val="59"/>
              <w:bidi w:val="0"/>
              <w:jc w:val="center"/>
              <w:rPr>
                <w:rFonts w:hint="eastAsia"/>
              </w:rPr>
            </w:pPr>
            <w:r>
              <w:rPr>
                <w:rFonts w:hint="eastAsia"/>
                <w:lang w:val="en-US" w:eastAsia="zh-CN"/>
              </w:rPr>
              <w:t>20.83</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FD1B82F">
            <w:pPr>
              <w:pStyle w:val="59"/>
              <w:bidi w:val="0"/>
              <w:jc w:val="center"/>
              <w:rPr>
                <w:rFonts w:hint="eastAsia"/>
              </w:rPr>
            </w:pPr>
            <w:r>
              <w:rPr>
                <w:rFonts w:hint="eastAsia"/>
                <w:lang w:val="en-US" w:eastAsia="zh-CN"/>
              </w:rPr>
              <w:t>4.44</w:t>
            </w:r>
          </w:p>
        </w:tc>
        <w:tc>
          <w:tcPr>
            <w:tcW w:w="427" w:type="dxa"/>
            <w:tcBorders>
              <w:top w:val="single" w:color="000000" w:sz="4" w:space="0"/>
              <w:left w:val="single" w:color="000000" w:sz="4" w:space="0"/>
              <w:bottom w:val="single" w:color="000000" w:sz="4" w:space="0"/>
              <w:right w:val="single" w:color="000000" w:sz="4" w:space="0"/>
            </w:tcBorders>
            <w:noWrap w:val="0"/>
            <w:vAlign w:val="center"/>
          </w:tcPr>
          <w:p w14:paraId="61D8E315">
            <w:pPr>
              <w:pStyle w:val="59"/>
              <w:bidi w:val="0"/>
              <w:jc w:val="center"/>
              <w:rPr>
                <w:rFonts w:hint="eastAsia"/>
              </w:rPr>
            </w:pPr>
            <w:r>
              <w:rPr>
                <w:rFonts w:hint="eastAsia"/>
                <w:lang w:val="en-US" w:eastAsia="zh-CN"/>
              </w:rPr>
              <w:t>1.11</w:t>
            </w: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1D1884D3">
            <w:pPr>
              <w:pStyle w:val="59"/>
              <w:bidi w:val="0"/>
              <w:jc w:val="center"/>
              <w:rPr>
                <w:rFonts w:hint="eastAsia"/>
              </w:rPr>
            </w:pPr>
            <w:r>
              <w:rPr>
                <w:rFonts w:hint="eastAsia"/>
                <w:lang w:val="en-US" w:eastAsia="zh-CN"/>
              </w:rPr>
              <w:t>0.56</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101D2363">
            <w:pPr>
              <w:pStyle w:val="59"/>
              <w:bidi w:val="0"/>
              <w:jc w:val="center"/>
              <w:rPr>
                <w:rFonts w:hint="eastAsia"/>
              </w:rPr>
            </w:pPr>
            <w:r>
              <w:rPr>
                <w:rFonts w:hint="eastAsia"/>
                <w:lang w:val="en-US" w:eastAsia="zh-CN"/>
              </w:rPr>
              <w:t>0.42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7EAF45D">
            <w:pPr>
              <w:pStyle w:val="59"/>
              <w:bidi w:val="0"/>
              <w:jc w:val="center"/>
              <w:rPr>
                <w:rFonts w:hint="eastAsia"/>
              </w:rPr>
            </w:pPr>
            <w:r>
              <w:rPr>
                <w:rFonts w:hint="eastAsia"/>
                <w:lang w:val="en-US" w:eastAsia="zh-CN"/>
              </w:rPr>
              <w:t>0.42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B4B558A">
            <w:pPr>
              <w:pStyle w:val="59"/>
              <w:bidi w:val="0"/>
              <w:jc w:val="center"/>
              <w:rPr>
                <w:rFonts w:hint="eastAsia"/>
              </w:rPr>
            </w:pPr>
            <w:r>
              <w:rPr>
                <w:rFonts w:hint="eastAsia"/>
                <w:lang w:val="en-US" w:eastAsia="zh-CN"/>
              </w:rPr>
              <w:t>0.42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EF14C44">
            <w:pPr>
              <w:pStyle w:val="59"/>
              <w:bidi w:val="0"/>
              <w:jc w:val="center"/>
              <w:rPr>
                <w:rFonts w:hint="eastAsia"/>
              </w:rPr>
            </w:pPr>
            <w:r>
              <w:rPr>
                <w:rFonts w:hint="eastAsia"/>
                <w:lang w:val="en-US" w:eastAsia="zh-CN"/>
              </w:rPr>
              <w:t>0.14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94980CD">
            <w:pPr>
              <w:pStyle w:val="59"/>
              <w:bidi w:val="0"/>
              <w:jc w:val="center"/>
              <w:rPr>
                <w:rFonts w:hint="eastAsia"/>
              </w:rPr>
            </w:pPr>
            <w:r>
              <w:rPr>
                <w:rFonts w:hint="eastAsia"/>
                <w:lang w:val="en-US" w:eastAsia="zh-CN"/>
              </w:rPr>
              <w:t>0.14</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1EB9B781">
            <w:pPr>
              <w:pStyle w:val="59"/>
              <w:bidi w:val="0"/>
              <w:jc w:val="center"/>
              <w:rPr>
                <w:rFonts w:hint="eastAsia"/>
              </w:rPr>
            </w:pPr>
            <w:r>
              <w:rPr>
                <w:rFonts w:hint="eastAsia"/>
                <w:lang w:val="en-US" w:eastAsia="zh-CN"/>
              </w:rPr>
              <w:t>1.53</w:t>
            </w:r>
          </w:p>
        </w:tc>
        <w:tc>
          <w:tcPr>
            <w:tcW w:w="423" w:type="dxa"/>
            <w:tcBorders>
              <w:top w:val="single" w:color="000000" w:sz="4" w:space="0"/>
              <w:left w:val="single" w:color="000000" w:sz="4" w:space="0"/>
              <w:bottom w:val="single" w:color="000000" w:sz="4" w:space="0"/>
              <w:right w:val="single" w:color="000000" w:sz="4" w:space="0"/>
            </w:tcBorders>
            <w:noWrap w:val="0"/>
            <w:vAlign w:val="center"/>
          </w:tcPr>
          <w:p w14:paraId="210FA248">
            <w:pPr>
              <w:pStyle w:val="59"/>
              <w:bidi w:val="0"/>
              <w:jc w:val="center"/>
              <w:rPr>
                <w:rFonts w:hint="eastAsia"/>
              </w:rPr>
            </w:pPr>
            <w:r>
              <w:rPr>
                <w:rFonts w:hint="eastAsia"/>
                <w:lang w:val="en-US" w:eastAsia="zh-CN"/>
              </w:rPr>
              <w:t>1.53</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2755F1FE">
            <w:pPr>
              <w:pStyle w:val="59"/>
              <w:bidi w:val="0"/>
              <w:jc w:val="center"/>
              <w:rPr>
                <w:rFonts w:hint="eastAsia"/>
              </w:rPr>
            </w:pPr>
            <w:r>
              <w:rPr>
                <w:rFonts w:hint="eastAsia"/>
                <w:lang w:val="en-US" w:eastAsia="zh-CN"/>
              </w:rPr>
              <w:t>1.67</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14:paraId="6118BE21">
            <w:pPr>
              <w:pStyle w:val="59"/>
              <w:bidi w:val="0"/>
              <w:jc w:val="center"/>
              <w:rPr>
                <w:rFonts w:hint="eastAsia"/>
              </w:rPr>
            </w:pPr>
            <w:r>
              <w:rPr>
                <w:rFonts w:hint="eastAsia"/>
                <w:lang w:val="en-US" w:eastAsia="zh-CN"/>
              </w:rPr>
              <w:t>1.67</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1EBF5A37">
            <w:pPr>
              <w:pStyle w:val="59"/>
              <w:bidi w:val="0"/>
              <w:jc w:val="center"/>
              <w:rPr>
                <w:rFonts w:hint="eastAsia"/>
              </w:rPr>
            </w:pPr>
            <w:r>
              <w:rPr>
                <w:rFonts w:hint="eastAsia"/>
                <w:lang w:val="en-US" w:eastAsia="zh-CN"/>
              </w:rPr>
              <w:t>4.44</w:t>
            </w:r>
          </w:p>
        </w:tc>
        <w:tc>
          <w:tcPr>
            <w:tcW w:w="437" w:type="dxa"/>
            <w:tcBorders>
              <w:top w:val="single" w:color="000000" w:sz="4" w:space="0"/>
              <w:left w:val="single" w:color="000000" w:sz="4" w:space="0"/>
              <w:bottom w:val="single" w:color="000000" w:sz="4" w:space="0"/>
              <w:right w:val="nil"/>
            </w:tcBorders>
            <w:noWrap w:val="0"/>
            <w:vAlign w:val="center"/>
          </w:tcPr>
          <w:p w14:paraId="1A2BDA07">
            <w:pPr>
              <w:pStyle w:val="59"/>
              <w:bidi w:val="0"/>
              <w:jc w:val="center"/>
              <w:rPr>
                <w:rFonts w:hint="eastAsia"/>
              </w:rPr>
            </w:pPr>
            <w:r>
              <w:rPr>
                <w:rFonts w:hint="eastAsia"/>
                <w:lang w:val="en-US" w:eastAsia="zh-CN"/>
              </w:rPr>
              <w:t>0.97</w:t>
            </w:r>
          </w:p>
        </w:tc>
      </w:tr>
      <w:tr w14:paraId="6331FB57">
        <w:tblPrEx>
          <w:tblCellMar>
            <w:top w:w="0" w:type="dxa"/>
            <w:left w:w="0" w:type="dxa"/>
            <w:bottom w:w="0" w:type="dxa"/>
            <w:right w:w="0" w:type="dxa"/>
          </w:tblCellMar>
        </w:tblPrEx>
        <w:trPr>
          <w:trHeight w:val="397" w:hRule="atLeast"/>
        </w:trPr>
        <w:tc>
          <w:tcPr>
            <w:tcW w:w="855" w:type="dxa"/>
            <w:tcBorders>
              <w:top w:val="single" w:color="000000" w:sz="4" w:space="0"/>
              <w:left w:val="nil"/>
              <w:bottom w:val="single" w:color="000000" w:sz="12" w:space="0"/>
              <w:right w:val="single" w:color="000000" w:sz="4" w:space="0"/>
            </w:tcBorders>
            <w:noWrap w:val="0"/>
            <w:vAlign w:val="bottom"/>
          </w:tcPr>
          <w:p w14:paraId="1EF2024D">
            <w:pPr>
              <w:pStyle w:val="59"/>
              <w:bidi w:val="0"/>
              <w:rPr>
                <w:rFonts w:hint="eastAsia"/>
              </w:rPr>
            </w:pPr>
            <w:r>
              <w:rPr>
                <w:rFonts w:hint="eastAsia"/>
                <w:lang w:val="en-US" w:eastAsia="zh-CN"/>
              </w:rPr>
              <w:t xml:space="preserve">十二月         </w:t>
            </w:r>
          </w:p>
        </w:tc>
        <w:tc>
          <w:tcPr>
            <w:tcW w:w="609" w:type="dxa"/>
            <w:tcBorders>
              <w:top w:val="single" w:color="000000" w:sz="4" w:space="0"/>
              <w:left w:val="single" w:color="000000" w:sz="4" w:space="0"/>
              <w:bottom w:val="single" w:color="000000" w:sz="12" w:space="0"/>
              <w:right w:val="single" w:color="000000" w:sz="4" w:space="0"/>
            </w:tcBorders>
            <w:noWrap w:val="0"/>
            <w:vAlign w:val="center"/>
          </w:tcPr>
          <w:p w14:paraId="500C16E4">
            <w:pPr>
              <w:pStyle w:val="59"/>
              <w:bidi w:val="0"/>
              <w:jc w:val="center"/>
              <w:rPr>
                <w:rFonts w:hint="eastAsia"/>
              </w:rPr>
            </w:pPr>
            <w:r>
              <w:rPr>
                <w:rFonts w:hint="eastAsia"/>
                <w:lang w:val="en-US" w:eastAsia="zh-CN"/>
              </w:rPr>
              <w:t>21.51</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04B0C31A">
            <w:pPr>
              <w:pStyle w:val="59"/>
              <w:bidi w:val="0"/>
              <w:jc w:val="center"/>
              <w:rPr>
                <w:rFonts w:hint="eastAsia"/>
              </w:rPr>
            </w:pPr>
            <w:r>
              <w:rPr>
                <w:rFonts w:hint="eastAsia"/>
                <w:lang w:val="en-US" w:eastAsia="zh-CN"/>
              </w:rPr>
              <w:t>40.19</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19B41DDE">
            <w:pPr>
              <w:pStyle w:val="59"/>
              <w:bidi w:val="0"/>
              <w:jc w:val="center"/>
              <w:rPr>
                <w:rFonts w:hint="eastAsia"/>
              </w:rPr>
            </w:pPr>
            <w:r>
              <w:rPr>
                <w:rFonts w:hint="eastAsia"/>
                <w:lang w:val="en-US" w:eastAsia="zh-CN"/>
              </w:rPr>
              <w:t>10.89</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77D9591A">
            <w:pPr>
              <w:pStyle w:val="59"/>
              <w:bidi w:val="0"/>
              <w:jc w:val="center"/>
              <w:rPr>
                <w:rFonts w:hint="eastAsia"/>
              </w:rPr>
            </w:pPr>
            <w:r>
              <w:rPr>
                <w:rFonts w:hint="eastAsia"/>
                <w:lang w:val="en-US" w:eastAsia="zh-CN"/>
              </w:rPr>
              <w:t>1.61</w:t>
            </w:r>
          </w:p>
        </w:tc>
        <w:tc>
          <w:tcPr>
            <w:tcW w:w="427" w:type="dxa"/>
            <w:tcBorders>
              <w:top w:val="single" w:color="000000" w:sz="4" w:space="0"/>
              <w:left w:val="single" w:color="000000" w:sz="4" w:space="0"/>
              <w:bottom w:val="single" w:color="000000" w:sz="12" w:space="0"/>
              <w:right w:val="single" w:color="000000" w:sz="4" w:space="0"/>
            </w:tcBorders>
            <w:noWrap w:val="0"/>
            <w:vAlign w:val="center"/>
          </w:tcPr>
          <w:p w14:paraId="46DAE098">
            <w:pPr>
              <w:pStyle w:val="59"/>
              <w:bidi w:val="0"/>
              <w:jc w:val="center"/>
              <w:rPr>
                <w:rFonts w:hint="eastAsia"/>
              </w:rPr>
            </w:pPr>
            <w:r>
              <w:rPr>
                <w:rFonts w:hint="eastAsia"/>
                <w:lang w:val="en-US" w:eastAsia="zh-CN"/>
              </w:rPr>
              <w:t>1.08</w:t>
            </w:r>
          </w:p>
        </w:tc>
        <w:tc>
          <w:tcPr>
            <w:tcW w:w="445" w:type="dxa"/>
            <w:tcBorders>
              <w:top w:val="single" w:color="000000" w:sz="4" w:space="0"/>
              <w:left w:val="single" w:color="000000" w:sz="4" w:space="0"/>
              <w:bottom w:val="single" w:color="000000" w:sz="12" w:space="0"/>
              <w:right w:val="single" w:color="000000" w:sz="4" w:space="0"/>
            </w:tcBorders>
            <w:noWrap w:val="0"/>
            <w:vAlign w:val="center"/>
          </w:tcPr>
          <w:p w14:paraId="03871934">
            <w:pPr>
              <w:pStyle w:val="59"/>
              <w:bidi w:val="0"/>
              <w:jc w:val="center"/>
              <w:rPr>
                <w:rFonts w:hint="eastAsia"/>
              </w:rPr>
            </w:pPr>
            <w:r>
              <w:rPr>
                <w:rFonts w:hint="eastAsia"/>
                <w:lang w:val="en-US" w:eastAsia="zh-CN"/>
              </w:rPr>
              <w:t>0.54</w:t>
            </w:r>
          </w:p>
        </w:tc>
        <w:tc>
          <w:tcPr>
            <w:tcW w:w="441" w:type="dxa"/>
            <w:tcBorders>
              <w:top w:val="single" w:color="000000" w:sz="4" w:space="0"/>
              <w:left w:val="single" w:color="000000" w:sz="4" w:space="0"/>
              <w:bottom w:val="single" w:color="000000" w:sz="12" w:space="0"/>
              <w:right w:val="single" w:color="000000" w:sz="4" w:space="0"/>
            </w:tcBorders>
            <w:noWrap w:val="0"/>
            <w:vAlign w:val="center"/>
          </w:tcPr>
          <w:p w14:paraId="4567D45E">
            <w:pPr>
              <w:pStyle w:val="59"/>
              <w:bidi w:val="0"/>
              <w:jc w:val="center"/>
              <w:rPr>
                <w:rFonts w:hint="eastAsia"/>
              </w:rPr>
            </w:pPr>
            <w:r>
              <w:rPr>
                <w:rFonts w:hint="eastAsia"/>
                <w:lang w:val="en-US" w:eastAsia="zh-CN"/>
              </w:rPr>
              <w:t>0.54</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545D0F07">
            <w:pPr>
              <w:pStyle w:val="59"/>
              <w:bidi w:val="0"/>
              <w:jc w:val="center"/>
              <w:rPr>
                <w:rFonts w:hint="eastAsia"/>
              </w:rPr>
            </w:pPr>
            <w:r>
              <w:rPr>
                <w:rFonts w:hint="eastAsia"/>
                <w:lang w:val="en-US" w:eastAsia="zh-CN"/>
              </w:rPr>
              <w:t>0.13</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783CF72D">
            <w:pPr>
              <w:pStyle w:val="59"/>
              <w:bidi w:val="0"/>
              <w:jc w:val="center"/>
              <w:rPr>
                <w:rFonts w:hint="eastAsia"/>
              </w:rPr>
            </w:pPr>
            <w:r>
              <w:rPr>
                <w:rFonts w:hint="eastAsia"/>
                <w:lang w:val="en-US" w:eastAsia="zh-CN"/>
              </w:rPr>
              <w:t>0.54</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79681C55">
            <w:pPr>
              <w:pStyle w:val="59"/>
              <w:bidi w:val="0"/>
              <w:jc w:val="center"/>
              <w:rPr>
                <w:rFonts w:hint="eastAsia"/>
              </w:rPr>
            </w:pPr>
            <w:r>
              <w:rPr>
                <w:rFonts w:hint="eastAsia"/>
                <w:lang w:val="en-US" w:eastAsia="zh-CN"/>
              </w:rPr>
              <w:t>0.13</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750EA84E">
            <w:pPr>
              <w:pStyle w:val="59"/>
              <w:bidi w:val="0"/>
              <w:jc w:val="center"/>
              <w:rPr>
                <w:rFonts w:hint="eastAsia"/>
              </w:rPr>
            </w:pPr>
            <w:r>
              <w:rPr>
                <w:rFonts w:hint="eastAsia"/>
                <w:lang w:val="en-US" w:eastAsia="zh-CN"/>
              </w:rPr>
              <w:t>0.67</w:t>
            </w:r>
          </w:p>
        </w:tc>
        <w:tc>
          <w:tcPr>
            <w:tcW w:w="524" w:type="dxa"/>
            <w:tcBorders>
              <w:top w:val="single" w:color="000000" w:sz="4" w:space="0"/>
              <w:left w:val="single" w:color="000000" w:sz="4" w:space="0"/>
              <w:bottom w:val="single" w:color="000000" w:sz="12" w:space="0"/>
              <w:right w:val="single" w:color="000000" w:sz="4" w:space="0"/>
            </w:tcBorders>
            <w:noWrap w:val="0"/>
            <w:vAlign w:val="center"/>
          </w:tcPr>
          <w:p w14:paraId="50DE777B">
            <w:pPr>
              <w:pStyle w:val="59"/>
              <w:bidi w:val="0"/>
              <w:jc w:val="center"/>
              <w:rPr>
                <w:rFonts w:hint="eastAsia"/>
              </w:rPr>
            </w:pPr>
            <w:r>
              <w:rPr>
                <w:rFonts w:hint="eastAsia"/>
                <w:lang w:val="en-US" w:eastAsia="zh-CN"/>
              </w:rPr>
              <w:t>2.02</w:t>
            </w:r>
          </w:p>
        </w:tc>
        <w:tc>
          <w:tcPr>
            <w:tcW w:w="423" w:type="dxa"/>
            <w:tcBorders>
              <w:top w:val="single" w:color="000000" w:sz="4" w:space="0"/>
              <w:left w:val="single" w:color="000000" w:sz="4" w:space="0"/>
              <w:bottom w:val="single" w:color="000000" w:sz="12" w:space="0"/>
              <w:right w:val="single" w:color="000000" w:sz="4" w:space="0"/>
            </w:tcBorders>
            <w:noWrap w:val="0"/>
            <w:vAlign w:val="center"/>
          </w:tcPr>
          <w:p w14:paraId="31665987">
            <w:pPr>
              <w:pStyle w:val="59"/>
              <w:bidi w:val="0"/>
              <w:jc w:val="center"/>
              <w:rPr>
                <w:rFonts w:hint="eastAsia"/>
              </w:rPr>
            </w:pPr>
            <w:r>
              <w:rPr>
                <w:rFonts w:hint="eastAsia"/>
                <w:lang w:val="en-US" w:eastAsia="zh-CN"/>
              </w:rPr>
              <w:t>3.76</w:t>
            </w:r>
          </w:p>
        </w:tc>
        <w:tc>
          <w:tcPr>
            <w:tcW w:w="559" w:type="dxa"/>
            <w:tcBorders>
              <w:top w:val="single" w:color="000000" w:sz="4" w:space="0"/>
              <w:left w:val="single" w:color="000000" w:sz="4" w:space="0"/>
              <w:bottom w:val="single" w:color="000000" w:sz="12" w:space="0"/>
              <w:right w:val="single" w:color="000000" w:sz="4" w:space="0"/>
            </w:tcBorders>
            <w:noWrap w:val="0"/>
            <w:vAlign w:val="center"/>
          </w:tcPr>
          <w:p w14:paraId="141BFF23">
            <w:pPr>
              <w:pStyle w:val="59"/>
              <w:bidi w:val="0"/>
              <w:jc w:val="center"/>
              <w:rPr>
                <w:rFonts w:hint="eastAsia"/>
              </w:rPr>
            </w:pPr>
            <w:r>
              <w:rPr>
                <w:rFonts w:hint="eastAsia"/>
                <w:lang w:val="en-US" w:eastAsia="zh-CN"/>
              </w:rPr>
              <w:t>4.03</w:t>
            </w:r>
          </w:p>
        </w:tc>
        <w:tc>
          <w:tcPr>
            <w:tcW w:w="435" w:type="dxa"/>
            <w:tcBorders>
              <w:top w:val="single" w:color="000000" w:sz="4" w:space="0"/>
              <w:left w:val="single" w:color="000000" w:sz="4" w:space="0"/>
              <w:bottom w:val="single" w:color="000000" w:sz="12" w:space="0"/>
              <w:right w:val="single" w:color="000000" w:sz="4" w:space="0"/>
            </w:tcBorders>
            <w:noWrap w:val="0"/>
            <w:vAlign w:val="center"/>
          </w:tcPr>
          <w:p w14:paraId="644C3D68">
            <w:pPr>
              <w:pStyle w:val="59"/>
              <w:bidi w:val="0"/>
              <w:jc w:val="center"/>
              <w:rPr>
                <w:rFonts w:hint="eastAsia"/>
              </w:rPr>
            </w:pPr>
            <w:r>
              <w:rPr>
                <w:rFonts w:hint="eastAsia"/>
                <w:lang w:val="en-US" w:eastAsia="zh-CN"/>
              </w:rPr>
              <w:t>3.09</w:t>
            </w:r>
          </w:p>
        </w:tc>
        <w:tc>
          <w:tcPr>
            <w:tcW w:w="512" w:type="dxa"/>
            <w:tcBorders>
              <w:top w:val="single" w:color="000000" w:sz="4" w:space="0"/>
              <w:left w:val="single" w:color="000000" w:sz="4" w:space="0"/>
              <w:bottom w:val="single" w:color="000000" w:sz="12" w:space="0"/>
              <w:right w:val="single" w:color="000000" w:sz="4" w:space="0"/>
            </w:tcBorders>
            <w:noWrap w:val="0"/>
            <w:vAlign w:val="center"/>
          </w:tcPr>
          <w:p w14:paraId="54870FF6">
            <w:pPr>
              <w:pStyle w:val="59"/>
              <w:bidi w:val="0"/>
              <w:jc w:val="center"/>
              <w:rPr>
                <w:rFonts w:hint="eastAsia"/>
              </w:rPr>
            </w:pPr>
            <w:r>
              <w:rPr>
                <w:rFonts w:hint="eastAsia"/>
                <w:lang w:val="en-US" w:eastAsia="zh-CN"/>
              </w:rPr>
              <w:t>5.65</w:t>
            </w:r>
          </w:p>
        </w:tc>
        <w:tc>
          <w:tcPr>
            <w:tcW w:w="437" w:type="dxa"/>
            <w:tcBorders>
              <w:top w:val="single" w:color="000000" w:sz="4" w:space="0"/>
              <w:left w:val="single" w:color="000000" w:sz="4" w:space="0"/>
              <w:bottom w:val="single" w:color="000000" w:sz="12" w:space="0"/>
              <w:right w:val="nil"/>
            </w:tcBorders>
            <w:noWrap w:val="0"/>
            <w:vAlign w:val="center"/>
          </w:tcPr>
          <w:p w14:paraId="3789017C">
            <w:pPr>
              <w:pStyle w:val="59"/>
              <w:bidi w:val="0"/>
              <w:jc w:val="center"/>
              <w:rPr>
                <w:rFonts w:hint="eastAsia"/>
              </w:rPr>
            </w:pPr>
            <w:r>
              <w:rPr>
                <w:rFonts w:hint="eastAsia"/>
                <w:lang w:val="en-US" w:eastAsia="zh-CN"/>
              </w:rPr>
              <w:t>3.63</w:t>
            </w:r>
          </w:p>
        </w:tc>
      </w:tr>
    </w:tbl>
    <w:p w14:paraId="4EE3A6AC">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年均风频的季变化及年均风频（单位：%）</w:t>
      </w:r>
    </w:p>
    <w:tbl>
      <w:tblPr>
        <w:tblStyle w:val="38"/>
        <w:tblW w:w="5004" w:type="pct"/>
        <w:tblInd w:w="0" w:type="dxa"/>
        <w:tblLayout w:type="autofit"/>
        <w:tblCellMar>
          <w:top w:w="0" w:type="dxa"/>
          <w:left w:w="0" w:type="dxa"/>
          <w:bottom w:w="0" w:type="dxa"/>
          <w:right w:w="0" w:type="dxa"/>
        </w:tblCellMar>
      </w:tblPr>
      <w:tblGrid>
        <w:gridCol w:w="794"/>
        <w:gridCol w:w="692"/>
        <w:gridCol w:w="483"/>
        <w:gridCol w:w="483"/>
        <w:gridCol w:w="448"/>
        <w:gridCol w:w="437"/>
        <w:gridCol w:w="448"/>
        <w:gridCol w:w="448"/>
        <w:gridCol w:w="483"/>
        <w:gridCol w:w="483"/>
        <w:gridCol w:w="483"/>
        <w:gridCol w:w="483"/>
        <w:gridCol w:w="524"/>
        <w:gridCol w:w="441"/>
        <w:gridCol w:w="559"/>
        <w:gridCol w:w="441"/>
        <w:gridCol w:w="512"/>
        <w:gridCol w:w="437"/>
      </w:tblGrid>
      <w:tr w14:paraId="4F2EF5FF">
        <w:tblPrEx>
          <w:tblCellMar>
            <w:top w:w="0" w:type="dxa"/>
            <w:left w:w="0" w:type="dxa"/>
            <w:bottom w:w="0" w:type="dxa"/>
            <w:right w:w="0" w:type="dxa"/>
          </w:tblCellMar>
        </w:tblPrEx>
        <w:trPr>
          <w:trHeight w:val="397" w:hRule="atLeast"/>
        </w:trPr>
        <w:tc>
          <w:tcPr>
            <w:tcW w:w="443" w:type="pct"/>
            <w:tcBorders>
              <w:top w:val="single" w:color="000000" w:sz="12" w:space="0"/>
              <w:left w:val="nil"/>
              <w:bottom w:val="single" w:color="000000" w:sz="4" w:space="0"/>
              <w:right w:val="single" w:color="000000" w:sz="4" w:space="0"/>
              <w:tl2br w:val="single" w:color="000000" w:sz="4" w:space="0"/>
            </w:tcBorders>
            <w:noWrap w:val="0"/>
            <w:vAlign w:val="center"/>
          </w:tcPr>
          <w:p w14:paraId="76EEB03E">
            <w:pPr>
              <w:keepNext w:val="0"/>
              <w:keepLines w:val="0"/>
              <w:suppressLineNumbers w:val="0"/>
              <w:autoSpaceDE w:val="0"/>
              <w:spacing w:before="0" w:beforeAutospacing="0" w:after="0" w:afterAutospacing="0" w:line="240" w:lineRule="auto"/>
              <w:ind w:left="0" w:right="0" w:firstLine="0" w:firstLineChars="0"/>
              <w:jc w:val="right"/>
              <w:rPr>
                <w:rFonts w:hint="eastAsia" w:ascii="Times New Roman" w:hAnsi="Times New Roman" w:cs="Times New Roman"/>
                <w:b/>
                <w:bCs/>
                <w:color w:val="auto"/>
                <w:sz w:val="21"/>
                <w:szCs w:val="21"/>
              </w:rPr>
            </w:pPr>
            <w:r>
              <w:rPr>
                <w:rFonts w:hint="eastAsia" w:ascii="Times New Roman" w:hAnsi="Times New Roman" w:cs="Times New Roman"/>
                <w:b/>
                <w:bCs/>
                <w:color w:val="auto"/>
                <w:sz w:val="21"/>
                <w:szCs w:val="21"/>
              </w:rPr>
              <w:t xml:space="preserve">风频   </w:t>
            </w:r>
          </w:p>
          <w:p w14:paraId="311E62CF">
            <w:pPr>
              <w:keepNext w:val="0"/>
              <w:keepLines w:val="0"/>
              <w:suppressLineNumbers w:val="0"/>
              <w:autoSpaceDE w:val="0"/>
              <w:spacing w:before="0" w:beforeAutospacing="0" w:after="0" w:afterAutospacing="0" w:line="240" w:lineRule="auto"/>
              <w:ind w:left="0" w:right="0" w:firstLine="0" w:firstLineChars="0"/>
              <w:rPr>
                <w:rFonts w:hint="eastAsia" w:ascii="Times New Roman" w:hAnsi="Times New Roman" w:cs="Times New Roman"/>
                <w:color w:val="auto"/>
                <w:sz w:val="21"/>
                <w:szCs w:val="21"/>
              </w:rPr>
            </w:pPr>
            <w:r>
              <w:rPr>
                <w:rFonts w:hint="eastAsia" w:ascii="Times New Roman" w:hAnsi="Times New Roman" w:cs="Times New Roman"/>
                <w:b/>
                <w:bCs/>
                <w:color w:val="auto"/>
                <w:sz w:val="21"/>
                <w:szCs w:val="21"/>
              </w:rPr>
              <w:t>风向</w:t>
            </w:r>
          </w:p>
        </w:tc>
        <w:tc>
          <w:tcPr>
            <w:tcW w:w="386" w:type="pct"/>
            <w:tcBorders>
              <w:top w:val="single" w:color="000000" w:sz="12" w:space="0"/>
              <w:left w:val="single" w:color="000000" w:sz="4" w:space="0"/>
              <w:bottom w:val="single" w:color="000000" w:sz="4" w:space="0"/>
              <w:right w:val="single" w:color="000000" w:sz="4" w:space="0"/>
            </w:tcBorders>
            <w:noWrap w:val="0"/>
            <w:vAlign w:val="center"/>
          </w:tcPr>
          <w:p w14:paraId="756BC906">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w:t>
            </w:r>
          </w:p>
        </w:tc>
        <w:tc>
          <w:tcPr>
            <w:tcW w:w="256" w:type="pct"/>
            <w:tcBorders>
              <w:top w:val="single" w:color="000000" w:sz="12" w:space="0"/>
              <w:left w:val="single" w:color="000000" w:sz="4" w:space="0"/>
              <w:bottom w:val="single" w:color="000000" w:sz="4" w:space="0"/>
              <w:right w:val="single" w:color="000000" w:sz="4" w:space="0"/>
            </w:tcBorders>
            <w:noWrap w:val="0"/>
            <w:vAlign w:val="center"/>
          </w:tcPr>
          <w:p w14:paraId="5D499C8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NNE</w:t>
            </w:r>
          </w:p>
        </w:tc>
        <w:tc>
          <w:tcPr>
            <w:tcW w:w="256" w:type="pct"/>
            <w:tcBorders>
              <w:top w:val="single" w:color="000000" w:sz="12" w:space="0"/>
              <w:left w:val="single" w:color="000000" w:sz="4" w:space="0"/>
              <w:bottom w:val="single" w:color="000000" w:sz="4" w:space="0"/>
              <w:right w:val="single" w:color="000000" w:sz="4" w:space="0"/>
            </w:tcBorders>
            <w:noWrap w:val="0"/>
            <w:vAlign w:val="center"/>
          </w:tcPr>
          <w:p w14:paraId="28BFECA8">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NE</w:t>
            </w:r>
          </w:p>
        </w:tc>
        <w:tc>
          <w:tcPr>
            <w:tcW w:w="252" w:type="pct"/>
            <w:tcBorders>
              <w:top w:val="single" w:color="000000" w:sz="12" w:space="0"/>
              <w:left w:val="single" w:color="000000" w:sz="4" w:space="0"/>
              <w:bottom w:val="single" w:color="000000" w:sz="4" w:space="0"/>
              <w:right w:val="single" w:color="000000" w:sz="4" w:space="0"/>
            </w:tcBorders>
            <w:noWrap w:val="0"/>
            <w:vAlign w:val="center"/>
          </w:tcPr>
          <w:p w14:paraId="76CC9D3D">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ENE</w:t>
            </w:r>
          </w:p>
        </w:tc>
        <w:tc>
          <w:tcPr>
            <w:tcW w:w="246" w:type="pct"/>
            <w:tcBorders>
              <w:top w:val="single" w:color="000000" w:sz="12" w:space="0"/>
              <w:left w:val="single" w:color="000000" w:sz="4" w:space="0"/>
              <w:bottom w:val="single" w:color="000000" w:sz="4" w:space="0"/>
              <w:right w:val="single" w:color="000000" w:sz="4" w:space="0"/>
            </w:tcBorders>
            <w:noWrap w:val="0"/>
            <w:vAlign w:val="center"/>
          </w:tcPr>
          <w:p w14:paraId="468CD0DF">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E</w:t>
            </w:r>
          </w:p>
        </w:tc>
        <w:tc>
          <w:tcPr>
            <w:tcW w:w="252" w:type="pct"/>
            <w:tcBorders>
              <w:top w:val="single" w:color="000000" w:sz="12" w:space="0"/>
              <w:left w:val="single" w:color="000000" w:sz="4" w:space="0"/>
              <w:bottom w:val="single" w:color="000000" w:sz="4" w:space="0"/>
              <w:right w:val="single" w:color="000000" w:sz="4" w:space="0"/>
            </w:tcBorders>
            <w:noWrap w:val="0"/>
            <w:vAlign w:val="center"/>
          </w:tcPr>
          <w:p w14:paraId="1BD4C65F">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ESE</w:t>
            </w:r>
          </w:p>
        </w:tc>
        <w:tc>
          <w:tcPr>
            <w:tcW w:w="252" w:type="pct"/>
            <w:tcBorders>
              <w:top w:val="single" w:color="000000" w:sz="12" w:space="0"/>
              <w:left w:val="single" w:color="000000" w:sz="4" w:space="0"/>
              <w:bottom w:val="single" w:color="000000" w:sz="4" w:space="0"/>
              <w:right w:val="single" w:color="000000" w:sz="4" w:space="0"/>
            </w:tcBorders>
            <w:noWrap w:val="0"/>
            <w:vAlign w:val="center"/>
          </w:tcPr>
          <w:p w14:paraId="50FD7C11">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SE</w:t>
            </w:r>
          </w:p>
        </w:tc>
        <w:tc>
          <w:tcPr>
            <w:tcW w:w="256" w:type="pct"/>
            <w:tcBorders>
              <w:top w:val="single" w:color="000000" w:sz="12" w:space="0"/>
              <w:left w:val="single" w:color="000000" w:sz="4" w:space="0"/>
              <w:bottom w:val="single" w:color="000000" w:sz="4" w:space="0"/>
              <w:right w:val="single" w:color="000000" w:sz="4" w:space="0"/>
            </w:tcBorders>
            <w:noWrap w:val="0"/>
            <w:vAlign w:val="center"/>
          </w:tcPr>
          <w:p w14:paraId="705B81C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SSE</w:t>
            </w:r>
          </w:p>
        </w:tc>
        <w:tc>
          <w:tcPr>
            <w:tcW w:w="256" w:type="pct"/>
            <w:tcBorders>
              <w:top w:val="single" w:color="000000" w:sz="12" w:space="0"/>
              <w:left w:val="single" w:color="000000" w:sz="4" w:space="0"/>
              <w:bottom w:val="single" w:color="000000" w:sz="4" w:space="0"/>
              <w:right w:val="single" w:color="000000" w:sz="4" w:space="0"/>
            </w:tcBorders>
            <w:noWrap w:val="0"/>
            <w:vAlign w:val="center"/>
          </w:tcPr>
          <w:p w14:paraId="49A135FD">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w:t>
            </w:r>
          </w:p>
        </w:tc>
        <w:tc>
          <w:tcPr>
            <w:tcW w:w="256" w:type="pct"/>
            <w:tcBorders>
              <w:top w:val="single" w:color="000000" w:sz="12" w:space="0"/>
              <w:left w:val="single" w:color="000000" w:sz="4" w:space="0"/>
              <w:bottom w:val="single" w:color="000000" w:sz="4" w:space="0"/>
              <w:right w:val="single" w:color="000000" w:sz="4" w:space="0"/>
            </w:tcBorders>
            <w:noWrap w:val="0"/>
            <w:vAlign w:val="center"/>
          </w:tcPr>
          <w:p w14:paraId="7CAB21A8">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SSW</w:t>
            </w:r>
          </w:p>
        </w:tc>
        <w:tc>
          <w:tcPr>
            <w:tcW w:w="256" w:type="pct"/>
            <w:tcBorders>
              <w:top w:val="single" w:color="000000" w:sz="12" w:space="0"/>
              <w:left w:val="single" w:color="000000" w:sz="4" w:space="0"/>
              <w:bottom w:val="single" w:color="000000" w:sz="4" w:space="0"/>
              <w:right w:val="single" w:color="000000" w:sz="4" w:space="0"/>
            </w:tcBorders>
            <w:noWrap w:val="0"/>
            <w:vAlign w:val="center"/>
          </w:tcPr>
          <w:p w14:paraId="404D526A">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SW</w:t>
            </w:r>
          </w:p>
        </w:tc>
        <w:tc>
          <w:tcPr>
            <w:tcW w:w="290" w:type="pct"/>
            <w:tcBorders>
              <w:top w:val="single" w:color="000000" w:sz="12" w:space="0"/>
              <w:left w:val="single" w:color="000000" w:sz="4" w:space="0"/>
              <w:bottom w:val="single" w:color="000000" w:sz="4" w:space="0"/>
              <w:right w:val="single" w:color="000000" w:sz="4" w:space="0"/>
            </w:tcBorders>
            <w:noWrap w:val="0"/>
            <w:vAlign w:val="center"/>
          </w:tcPr>
          <w:p w14:paraId="4563E92F">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WSW</w:t>
            </w:r>
          </w:p>
        </w:tc>
        <w:tc>
          <w:tcPr>
            <w:tcW w:w="252" w:type="pct"/>
            <w:tcBorders>
              <w:top w:val="single" w:color="000000" w:sz="12" w:space="0"/>
              <w:left w:val="single" w:color="000000" w:sz="4" w:space="0"/>
              <w:bottom w:val="single" w:color="000000" w:sz="4" w:space="0"/>
              <w:right w:val="single" w:color="000000" w:sz="4" w:space="0"/>
            </w:tcBorders>
            <w:noWrap w:val="0"/>
            <w:vAlign w:val="center"/>
          </w:tcPr>
          <w:p w14:paraId="2B051F6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W</w:t>
            </w:r>
          </w:p>
        </w:tc>
        <w:tc>
          <w:tcPr>
            <w:tcW w:w="308" w:type="pct"/>
            <w:tcBorders>
              <w:top w:val="single" w:color="000000" w:sz="12" w:space="0"/>
              <w:left w:val="single" w:color="000000" w:sz="4" w:space="0"/>
              <w:bottom w:val="single" w:color="000000" w:sz="4" w:space="0"/>
              <w:right w:val="single" w:color="000000" w:sz="4" w:space="0"/>
            </w:tcBorders>
            <w:noWrap w:val="0"/>
            <w:vAlign w:val="center"/>
          </w:tcPr>
          <w:p w14:paraId="14285BC1">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WNW</w:t>
            </w:r>
          </w:p>
        </w:tc>
        <w:tc>
          <w:tcPr>
            <w:tcW w:w="253" w:type="pct"/>
            <w:tcBorders>
              <w:top w:val="single" w:color="000000" w:sz="12" w:space="0"/>
              <w:left w:val="single" w:color="000000" w:sz="4" w:space="0"/>
              <w:bottom w:val="single" w:color="000000" w:sz="4" w:space="0"/>
              <w:right w:val="single" w:color="000000" w:sz="4" w:space="0"/>
            </w:tcBorders>
            <w:noWrap w:val="0"/>
            <w:vAlign w:val="center"/>
          </w:tcPr>
          <w:p w14:paraId="24C32942">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NW</w:t>
            </w:r>
          </w:p>
        </w:tc>
        <w:tc>
          <w:tcPr>
            <w:tcW w:w="278" w:type="pct"/>
            <w:tcBorders>
              <w:top w:val="single" w:color="000000" w:sz="12" w:space="0"/>
              <w:left w:val="single" w:color="000000" w:sz="4" w:space="0"/>
              <w:bottom w:val="single" w:color="000000" w:sz="4" w:space="0"/>
              <w:right w:val="single" w:color="000000" w:sz="4" w:space="0"/>
            </w:tcBorders>
            <w:noWrap w:val="0"/>
            <w:vAlign w:val="center"/>
          </w:tcPr>
          <w:p w14:paraId="7711CCCF">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NNW</w:t>
            </w:r>
          </w:p>
        </w:tc>
        <w:tc>
          <w:tcPr>
            <w:tcW w:w="246" w:type="pct"/>
            <w:tcBorders>
              <w:top w:val="single" w:color="000000" w:sz="12" w:space="0"/>
              <w:left w:val="single" w:color="000000" w:sz="4" w:space="0"/>
              <w:bottom w:val="single" w:color="000000" w:sz="4" w:space="0"/>
              <w:right w:val="nil"/>
            </w:tcBorders>
            <w:noWrap w:val="0"/>
            <w:vAlign w:val="center"/>
          </w:tcPr>
          <w:p w14:paraId="5A6A8389">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C</w:t>
            </w:r>
          </w:p>
        </w:tc>
      </w:tr>
      <w:tr w14:paraId="78B30FC4">
        <w:tblPrEx>
          <w:tblCellMar>
            <w:top w:w="0" w:type="dxa"/>
            <w:left w:w="0" w:type="dxa"/>
            <w:bottom w:w="0" w:type="dxa"/>
            <w:right w:w="0" w:type="dxa"/>
          </w:tblCellMar>
        </w:tblPrEx>
        <w:trPr>
          <w:trHeight w:val="397" w:hRule="atLeast"/>
        </w:trPr>
        <w:tc>
          <w:tcPr>
            <w:tcW w:w="443" w:type="pct"/>
            <w:tcBorders>
              <w:top w:val="single" w:color="000000" w:sz="4" w:space="0"/>
              <w:left w:val="nil"/>
              <w:bottom w:val="single" w:color="000000" w:sz="4" w:space="0"/>
              <w:right w:val="single" w:color="000000" w:sz="4" w:space="0"/>
            </w:tcBorders>
            <w:noWrap w:val="0"/>
            <w:vAlign w:val="center"/>
          </w:tcPr>
          <w:p w14:paraId="770CA0AC">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春季</w:t>
            </w:r>
          </w:p>
        </w:tc>
        <w:tc>
          <w:tcPr>
            <w:tcW w:w="692" w:type="dxa"/>
            <w:tcBorders>
              <w:top w:val="single" w:color="000000" w:sz="4" w:space="0"/>
              <w:left w:val="single" w:color="000000" w:sz="4" w:space="0"/>
              <w:bottom w:val="single" w:color="000000" w:sz="4" w:space="0"/>
              <w:right w:val="single" w:color="000000" w:sz="4" w:space="0"/>
            </w:tcBorders>
            <w:noWrap w:val="0"/>
            <w:vAlign w:val="center"/>
          </w:tcPr>
          <w:p w14:paraId="21AEEBF9">
            <w:pPr>
              <w:pStyle w:val="59"/>
              <w:bidi w:val="0"/>
              <w:jc w:val="center"/>
              <w:rPr>
                <w:rFonts w:hint="eastAsia"/>
              </w:rPr>
            </w:pPr>
            <w:r>
              <w:rPr>
                <w:rFonts w:hint="eastAsia"/>
                <w:lang w:val="en-US" w:eastAsia="zh-CN"/>
              </w:rPr>
              <w:t>7.84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7DA7857">
            <w:pPr>
              <w:pStyle w:val="59"/>
              <w:bidi w:val="0"/>
              <w:jc w:val="center"/>
              <w:rPr>
                <w:rFonts w:hint="eastAsia"/>
              </w:rPr>
            </w:pPr>
            <w:r>
              <w:rPr>
                <w:rFonts w:hint="eastAsia"/>
                <w:lang w:val="en-US" w:eastAsia="zh-CN"/>
              </w:rPr>
              <w:t>10.14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035E724">
            <w:pPr>
              <w:pStyle w:val="59"/>
              <w:bidi w:val="0"/>
              <w:jc w:val="center"/>
              <w:rPr>
                <w:rFonts w:hint="eastAsia"/>
              </w:rPr>
            </w:pPr>
            <w:r>
              <w:rPr>
                <w:rFonts w:hint="eastAsia"/>
                <w:lang w:val="en-US" w:eastAsia="zh-CN"/>
              </w:rPr>
              <w:t>8.38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98E64F8">
            <w:pPr>
              <w:pStyle w:val="59"/>
              <w:bidi w:val="0"/>
              <w:jc w:val="center"/>
              <w:rPr>
                <w:rFonts w:hint="eastAsia"/>
              </w:rPr>
            </w:pPr>
            <w:r>
              <w:rPr>
                <w:rFonts w:hint="eastAsia"/>
                <w:lang w:val="en-US" w:eastAsia="zh-CN"/>
              </w:rPr>
              <w:t>7.02</w:t>
            </w:r>
          </w:p>
        </w:tc>
        <w:tc>
          <w:tcPr>
            <w:tcW w:w="437" w:type="dxa"/>
            <w:tcBorders>
              <w:top w:val="single" w:color="000000" w:sz="4" w:space="0"/>
              <w:left w:val="single" w:color="000000" w:sz="4" w:space="0"/>
              <w:bottom w:val="single" w:color="000000" w:sz="4" w:space="0"/>
              <w:right w:val="single" w:color="000000" w:sz="4" w:space="0"/>
            </w:tcBorders>
            <w:noWrap w:val="0"/>
            <w:vAlign w:val="center"/>
          </w:tcPr>
          <w:p w14:paraId="05F00B3F">
            <w:pPr>
              <w:pStyle w:val="59"/>
              <w:bidi w:val="0"/>
              <w:jc w:val="center"/>
              <w:rPr>
                <w:rFonts w:hint="eastAsia"/>
              </w:rPr>
            </w:pPr>
            <w:r>
              <w:rPr>
                <w:rFonts w:hint="eastAsia"/>
                <w:lang w:val="en-US" w:eastAsia="zh-CN"/>
              </w:rPr>
              <w:t>4.94</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1AAF667">
            <w:pPr>
              <w:pStyle w:val="59"/>
              <w:bidi w:val="0"/>
              <w:jc w:val="center"/>
              <w:rPr>
                <w:rFonts w:hint="eastAsia"/>
              </w:rPr>
            </w:pPr>
            <w:r>
              <w:rPr>
                <w:rFonts w:hint="eastAsia"/>
                <w:lang w:val="en-US" w:eastAsia="zh-CN"/>
              </w:rPr>
              <w:t>3.71</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1D0554A1">
            <w:pPr>
              <w:pStyle w:val="59"/>
              <w:bidi w:val="0"/>
              <w:jc w:val="center"/>
              <w:rPr>
                <w:rFonts w:hint="eastAsia"/>
              </w:rPr>
            </w:pPr>
            <w:r>
              <w:rPr>
                <w:rFonts w:hint="eastAsia"/>
                <w:lang w:val="en-US" w:eastAsia="zh-CN"/>
              </w:rPr>
              <w:t>8.20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2B037A0">
            <w:pPr>
              <w:pStyle w:val="59"/>
              <w:bidi w:val="0"/>
              <w:jc w:val="center"/>
              <w:rPr>
                <w:rFonts w:hint="eastAsia"/>
              </w:rPr>
            </w:pPr>
            <w:r>
              <w:rPr>
                <w:rFonts w:hint="eastAsia"/>
                <w:lang w:val="en-US" w:eastAsia="zh-CN"/>
              </w:rPr>
              <w:t>14.90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1FE46B0">
            <w:pPr>
              <w:pStyle w:val="59"/>
              <w:bidi w:val="0"/>
              <w:jc w:val="center"/>
              <w:rPr>
                <w:rFonts w:hint="eastAsia"/>
              </w:rPr>
            </w:pPr>
            <w:r>
              <w:rPr>
                <w:rFonts w:hint="eastAsia"/>
                <w:lang w:val="en-US" w:eastAsia="zh-CN"/>
              </w:rPr>
              <w:t>9.92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EB70555">
            <w:pPr>
              <w:pStyle w:val="59"/>
              <w:bidi w:val="0"/>
              <w:jc w:val="center"/>
              <w:rPr>
                <w:rFonts w:hint="eastAsia"/>
              </w:rPr>
            </w:pPr>
            <w:r>
              <w:rPr>
                <w:rFonts w:hint="eastAsia"/>
                <w:lang w:val="en-US" w:eastAsia="zh-CN"/>
              </w:rPr>
              <w:t>6.20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803857A">
            <w:pPr>
              <w:pStyle w:val="59"/>
              <w:bidi w:val="0"/>
              <w:jc w:val="center"/>
              <w:rPr>
                <w:rFonts w:hint="eastAsia"/>
              </w:rPr>
            </w:pPr>
            <w:r>
              <w:rPr>
                <w:rFonts w:hint="eastAsia"/>
                <w:lang w:val="en-US" w:eastAsia="zh-CN"/>
              </w:rPr>
              <w:t>3.80</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4082A000">
            <w:pPr>
              <w:pStyle w:val="59"/>
              <w:bidi w:val="0"/>
              <w:jc w:val="center"/>
              <w:rPr>
                <w:rFonts w:hint="eastAsia"/>
              </w:rPr>
            </w:pPr>
            <w:r>
              <w:rPr>
                <w:rFonts w:hint="eastAsia"/>
                <w:lang w:val="en-US" w:eastAsia="zh-CN"/>
              </w:rPr>
              <w:t>2.54</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14DC977C">
            <w:pPr>
              <w:pStyle w:val="59"/>
              <w:bidi w:val="0"/>
              <w:jc w:val="center"/>
              <w:rPr>
                <w:rFonts w:hint="eastAsia"/>
              </w:rPr>
            </w:pPr>
            <w:r>
              <w:rPr>
                <w:rFonts w:hint="eastAsia"/>
                <w:lang w:val="en-US" w:eastAsia="zh-CN"/>
              </w:rPr>
              <w:t>2.63</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C07927A">
            <w:pPr>
              <w:pStyle w:val="59"/>
              <w:bidi w:val="0"/>
              <w:jc w:val="center"/>
              <w:rPr>
                <w:rFonts w:hint="eastAsia"/>
              </w:rPr>
            </w:pPr>
            <w:r>
              <w:rPr>
                <w:rFonts w:hint="eastAsia"/>
                <w:lang w:val="en-US" w:eastAsia="zh-CN"/>
              </w:rPr>
              <w:t>1.95</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0279AC47">
            <w:pPr>
              <w:pStyle w:val="59"/>
              <w:bidi w:val="0"/>
              <w:jc w:val="center"/>
              <w:rPr>
                <w:rFonts w:hint="eastAsia"/>
              </w:rPr>
            </w:pPr>
            <w:r>
              <w:rPr>
                <w:rFonts w:hint="eastAsia"/>
                <w:lang w:val="en-US" w:eastAsia="zh-CN"/>
              </w:rPr>
              <w:t>1.77</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70D76BFD">
            <w:pPr>
              <w:pStyle w:val="59"/>
              <w:bidi w:val="0"/>
              <w:jc w:val="center"/>
              <w:rPr>
                <w:rFonts w:hint="eastAsia"/>
              </w:rPr>
            </w:pPr>
            <w:r>
              <w:rPr>
                <w:rFonts w:hint="eastAsia"/>
                <w:lang w:val="en-US" w:eastAsia="zh-CN"/>
              </w:rPr>
              <w:t>3.26</w:t>
            </w:r>
          </w:p>
        </w:tc>
        <w:tc>
          <w:tcPr>
            <w:tcW w:w="437" w:type="dxa"/>
            <w:tcBorders>
              <w:top w:val="single" w:color="000000" w:sz="4" w:space="0"/>
              <w:left w:val="single" w:color="000000" w:sz="4" w:space="0"/>
              <w:bottom w:val="single" w:color="000000" w:sz="4" w:space="0"/>
              <w:right w:val="nil"/>
            </w:tcBorders>
            <w:noWrap w:val="0"/>
            <w:vAlign w:val="center"/>
          </w:tcPr>
          <w:p w14:paraId="39395D2B">
            <w:pPr>
              <w:pStyle w:val="59"/>
              <w:bidi w:val="0"/>
              <w:jc w:val="center"/>
              <w:rPr>
                <w:rFonts w:hint="eastAsia"/>
              </w:rPr>
            </w:pPr>
            <w:r>
              <w:rPr>
                <w:rFonts w:hint="eastAsia"/>
                <w:lang w:val="en-US" w:eastAsia="zh-CN"/>
              </w:rPr>
              <w:t>2.81</w:t>
            </w:r>
          </w:p>
        </w:tc>
      </w:tr>
      <w:tr w14:paraId="657B4419">
        <w:tblPrEx>
          <w:tblCellMar>
            <w:top w:w="0" w:type="dxa"/>
            <w:left w:w="0" w:type="dxa"/>
            <w:bottom w:w="0" w:type="dxa"/>
            <w:right w:w="0" w:type="dxa"/>
          </w:tblCellMar>
        </w:tblPrEx>
        <w:trPr>
          <w:trHeight w:val="397" w:hRule="atLeast"/>
        </w:trPr>
        <w:tc>
          <w:tcPr>
            <w:tcW w:w="443" w:type="pct"/>
            <w:tcBorders>
              <w:top w:val="single" w:color="000000" w:sz="4" w:space="0"/>
              <w:left w:val="nil"/>
              <w:bottom w:val="single" w:color="000000" w:sz="4" w:space="0"/>
              <w:right w:val="single" w:color="000000" w:sz="4" w:space="0"/>
            </w:tcBorders>
            <w:noWrap w:val="0"/>
            <w:vAlign w:val="center"/>
          </w:tcPr>
          <w:p w14:paraId="182B688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夏季</w:t>
            </w:r>
          </w:p>
        </w:tc>
        <w:tc>
          <w:tcPr>
            <w:tcW w:w="692" w:type="dxa"/>
            <w:tcBorders>
              <w:top w:val="single" w:color="000000" w:sz="4" w:space="0"/>
              <w:left w:val="single" w:color="000000" w:sz="4" w:space="0"/>
              <w:bottom w:val="single" w:color="000000" w:sz="4" w:space="0"/>
              <w:right w:val="single" w:color="000000" w:sz="4" w:space="0"/>
            </w:tcBorders>
            <w:noWrap w:val="0"/>
            <w:vAlign w:val="center"/>
          </w:tcPr>
          <w:p w14:paraId="6DAC550A">
            <w:pPr>
              <w:pStyle w:val="59"/>
              <w:bidi w:val="0"/>
              <w:jc w:val="center"/>
              <w:rPr>
                <w:rFonts w:hint="eastAsia"/>
              </w:rPr>
            </w:pPr>
            <w:r>
              <w:rPr>
                <w:rFonts w:hint="eastAsia"/>
                <w:lang w:val="en-US" w:eastAsia="zh-CN"/>
              </w:rPr>
              <w:t>1.40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0D453AF">
            <w:pPr>
              <w:pStyle w:val="59"/>
              <w:bidi w:val="0"/>
              <w:jc w:val="center"/>
              <w:rPr>
                <w:rFonts w:hint="eastAsia"/>
              </w:rPr>
            </w:pPr>
            <w:r>
              <w:rPr>
                <w:rFonts w:hint="eastAsia"/>
                <w:lang w:val="en-US" w:eastAsia="zh-CN"/>
              </w:rPr>
              <w:t>1.95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077D5AF">
            <w:pPr>
              <w:pStyle w:val="59"/>
              <w:bidi w:val="0"/>
              <w:jc w:val="center"/>
              <w:rPr>
                <w:rFonts w:hint="eastAsia"/>
              </w:rPr>
            </w:pPr>
            <w:r>
              <w:rPr>
                <w:rFonts w:hint="eastAsia"/>
                <w:lang w:val="en-US" w:eastAsia="zh-CN"/>
              </w:rPr>
              <w:t>3.13</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6FA1B77">
            <w:pPr>
              <w:pStyle w:val="59"/>
              <w:bidi w:val="0"/>
              <w:jc w:val="center"/>
              <w:rPr>
                <w:rFonts w:hint="eastAsia"/>
              </w:rPr>
            </w:pPr>
            <w:r>
              <w:rPr>
                <w:rFonts w:hint="eastAsia"/>
                <w:lang w:val="en-US" w:eastAsia="zh-CN"/>
              </w:rPr>
              <w:t>4.94</w:t>
            </w:r>
          </w:p>
        </w:tc>
        <w:tc>
          <w:tcPr>
            <w:tcW w:w="437" w:type="dxa"/>
            <w:tcBorders>
              <w:top w:val="single" w:color="000000" w:sz="4" w:space="0"/>
              <w:left w:val="single" w:color="000000" w:sz="4" w:space="0"/>
              <w:bottom w:val="single" w:color="000000" w:sz="4" w:space="0"/>
              <w:right w:val="single" w:color="000000" w:sz="4" w:space="0"/>
            </w:tcBorders>
            <w:noWrap w:val="0"/>
            <w:vAlign w:val="center"/>
          </w:tcPr>
          <w:p w14:paraId="6F3D7B31">
            <w:pPr>
              <w:pStyle w:val="59"/>
              <w:bidi w:val="0"/>
              <w:jc w:val="center"/>
              <w:rPr>
                <w:rFonts w:hint="eastAsia"/>
              </w:rPr>
            </w:pPr>
            <w:r>
              <w:rPr>
                <w:rFonts w:hint="eastAsia"/>
                <w:lang w:val="en-US" w:eastAsia="zh-CN"/>
              </w:rPr>
              <w:t>4.30</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CD0F8CD">
            <w:pPr>
              <w:pStyle w:val="59"/>
              <w:bidi w:val="0"/>
              <w:jc w:val="center"/>
              <w:rPr>
                <w:rFonts w:hint="eastAsia"/>
              </w:rPr>
            </w:pPr>
            <w:r>
              <w:rPr>
                <w:rFonts w:hint="eastAsia"/>
                <w:lang w:val="en-US" w:eastAsia="zh-CN"/>
              </w:rPr>
              <w:t>5.21</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76DEEEF">
            <w:pPr>
              <w:pStyle w:val="59"/>
              <w:bidi w:val="0"/>
              <w:jc w:val="center"/>
              <w:rPr>
                <w:rFonts w:hint="eastAsia"/>
              </w:rPr>
            </w:pPr>
            <w:r>
              <w:rPr>
                <w:rFonts w:hint="eastAsia"/>
                <w:lang w:val="en-US" w:eastAsia="zh-CN"/>
              </w:rPr>
              <w:t>8.65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23A2D03">
            <w:pPr>
              <w:pStyle w:val="59"/>
              <w:bidi w:val="0"/>
              <w:jc w:val="center"/>
              <w:rPr>
                <w:rFonts w:hint="eastAsia"/>
              </w:rPr>
            </w:pPr>
            <w:r>
              <w:rPr>
                <w:rFonts w:hint="eastAsia"/>
                <w:lang w:val="en-US" w:eastAsia="zh-CN"/>
              </w:rPr>
              <w:t>12.45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A8EB30A">
            <w:pPr>
              <w:pStyle w:val="59"/>
              <w:bidi w:val="0"/>
              <w:jc w:val="center"/>
              <w:rPr>
                <w:rFonts w:hint="eastAsia"/>
              </w:rPr>
            </w:pPr>
            <w:r>
              <w:rPr>
                <w:rFonts w:hint="eastAsia"/>
                <w:lang w:val="en-US" w:eastAsia="zh-CN"/>
              </w:rPr>
              <w:t>12.32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C13E3B1">
            <w:pPr>
              <w:pStyle w:val="59"/>
              <w:bidi w:val="0"/>
              <w:jc w:val="center"/>
              <w:rPr>
                <w:rFonts w:hint="eastAsia"/>
              </w:rPr>
            </w:pPr>
            <w:r>
              <w:rPr>
                <w:rFonts w:hint="eastAsia"/>
                <w:lang w:val="en-US" w:eastAsia="zh-CN"/>
              </w:rPr>
              <w:t>13.18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C51BEF2">
            <w:pPr>
              <w:pStyle w:val="59"/>
              <w:bidi w:val="0"/>
              <w:jc w:val="center"/>
              <w:rPr>
                <w:rFonts w:hint="eastAsia"/>
              </w:rPr>
            </w:pPr>
            <w:r>
              <w:rPr>
                <w:rFonts w:hint="eastAsia"/>
                <w:lang w:val="en-US" w:eastAsia="zh-CN"/>
              </w:rPr>
              <w:t>11.82</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3006DF7F">
            <w:pPr>
              <w:pStyle w:val="59"/>
              <w:bidi w:val="0"/>
              <w:jc w:val="center"/>
              <w:rPr>
                <w:rFonts w:hint="eastAsia"/>
              </w:rPr>
            </w:pPr>
            <w:r>
              <w:rPr>
                <w:rFonts w:hint="eastAsia"/>
                <w:lang w:val="en-US" w:eastAsia="zh-CN"/>
              </w:rPr>
              <w:t>7.02</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67C1BB9C">
            <w:pPr>
              <w:pStyle w:val="59"/>
              <w:bidi w:val="0"/>
              <w:jc w:val="center"/>
              <w:rPr>
                <w:rFonts w:hint="eastAsia"/>
              </w:rPr>
            </w:pPr>
            <w:r>
              <w:rPr>
                <w:rFonts w:hint="eastAsia"/>
                <w:lang w:val="en-US" w:eastAsia="zh-CN"/>
              </w:rPr>
              <w:t>4.62</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068C28FA">
            <w:pPr>
              <w:pStyle w:val="59"/>
              <w:bidi w:val="0"/>
              <w:jc w:val="center"/>
              <w:rPr>
                <w:rFonts w:hint="eastAsia"/>
              </w:rPr>
            </w:pPr>
            <w:r>
              <w:rPr>
                <w:rFonts w:hint="eastAsia"/>
                <w:lang w:val="en-US" w:eastAsia="zh-CN"/>
              </w:rPr>
              <w:t>1.90</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1719BF1D">
            <w:pPr>
              <w:pStyle w:val="59"/>
              <w:bidi w:val="0"/>
              <w:jc w:val="center"/>
              <w:rPr>
                <w:rFonts w:hint="eastAsia"/>
              </w:rPr>
            </w:pPr>
            <w:r>
              <w:rPr>
                <w:rFonts w:hint="eastAsia"/>
                <w:lang w:val="en-US" w:eastAsia="zh-CN"/>
              </w:rPr>
              <w:t>0.91</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55AB693E">
            <w:pPr>
              <w:pStyle w:val="59"/>
              <w:bidi w:val="0"/>
              <w:jc w:val="center"/>
              <w:rPr>
                <w:rFonts w:hint="eastAsia"/>
              </w:rPr>
            </w:pPr>
            <w:r>
              <w:rPr>
                <w:rFonts w:hint="eastAsia"/>
                <w:lang w:val="en-US" w:eastAsia="zh-CN"/>
              </w:rPr>
              <w:t>0.91</w:t>
            </w:r>
          </w:p>
        </w:tc>
        <w:tc>
          <w:tcPr>
            <w:tcW w:w="437" w:type="dxa"/>
            <w:tcBorders>
              <w:top w:val="single" w:color="000000" w:sz="4" w:space="0"/>
              <w:left w:val="single" w:color="000000" w:sz="4" w:space="0"/>
              <w:bottom w:val="single" w:color="000000" w:sz="4" w:space="0"/>
              <w:right w:val="nil"/>
            </w:tcBorders>
            <w:noWrap w:val="0"/>
            <w:vAlign w:val="center"/>
          </w:tcPr>
          <w:p w14:paraId="1CCDA9D9">
            <w:pPr>
              <w:pStyle w:val="59"/>
              <w:bidi w:val="0"/>
              <w:jc w:val="center"/>
              <w:rPr>
                <w:rFonts w:hint="eastAsia"/>
              </w:rPr>
            </w:pPr>
            <w:r>
              <w:rPr>
                <w:rFonts w:hint="eastAsia"/>
                <w:lang w:val="en-US" w:eastAsia="zh-CN"/>
              </w:rPr>
              <w:t>5.30</w:t>
            </w:r>
          </w:p>
        </w:tc>
      </w:tr>
      <w:tr w14:paraId="5711ABE5">
        <w:tblPrEx>
          <w:tblCellMar>
            <w:top w:w="0" w:type="dxa"/>
            <w:left w:w="0" w:type="dxa"/>
            <w:bottom w:w="0" w:type="dxa"/>
            <w:right w:w="0" w:type="dxa"/>
          </w:tblCellMar>
        </w:tblPrEx>
        <w:trPr>
          <w:trHeight w:val="397" w:hRule="atLeast"/>
        </w:trPr>
        <w:tc>
          <w:tcPr>
            <w:tcW w:w="443" w:type="pct"/>
            <w:tcBorders>
              <w:top w:val="single" w:color="000000" w:sz="4" w:space="0"/>
              <w:left w:val="nil"/>
              <w:bottom w:val="single" w:color="000000" w:sz="4" w:space="0"/>
              <w:right w:val="single" w:color="000000" w:sz="4" w:space="0"/>
            </w:tcBorders>
            <w:noWrap w:val="0"/>
            <w:vAlign w:val="center"/>
          </w:tcPr>
          <w:p w14:paraId="24261BC2">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秋季</w:t>
            </w:r>
          </w:p>
        </w:tc>
        <w:tc>
          <w:tcPr>
            <w:tcW w:w="692" w:type="dxa"/>
            <w:tcBorders>
              <w:top w:val="single" w:color="000000" w:sz="4" w:space="0"/>
              <w:left w:val="single" w:color="000000" w:sz="4" w:space="0"/>
              <w:bottom w:val="single" w:color="000000" w:sz="4" w:space="0"/>
              <w:right w:val="single" w:color="000000" w:sz="4" w:space="0"/>
            </w:tcBorders>
            <w:noWrap w:val="0"/>
            <w:vAlign w:val="center"/>
          </w:tcPr>
          <w:p w14:paraId="204BA2CA">
            <w:pPr>
              <w:pStyle w:val="59"/>
              <w:bidi w:val="0"/>
              <w:jc w:val="center"/>
              <w:rPr>
                <w:rFonts w:hint="eastAsia"/>
              </w:rPr>
            </w:pPr>
            <w:r>
              <w:rPr>
                <w:rFonts w:hint="eastAsia"/>
                <w:lang w:val="en-US" w:eastAsia="zh-CN"/>
              </w:rPr>
              <w:t>14.88</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3CDE7D50">
            <w:pPr>
              <w:pStyle w:val="59"/>
              <w:bidi w:val="0"/>
              <w:jc w:val="center"/>
              <w:rPr>
                <w:rFonts w:hint="eastAsia"/>
              </w:rPr>
            </w:pPr>
            <w:r>
              <w:rPr>
                <w:rFonts w:hint="eastAsia"/>
                <w:lang w:val="en-US" w:eastAsia="zh-CN"/>
              </w:rPr>
              <w:t>29.90</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1E6EA837">
            <w:pPr>
              <w:pStyle w:val="59"/>
              <w:bidi w:val="0"/>
              <w:jc w:val="center"/>
              <w:rPr>
                <w:rFonts w:hint="eastAsia"/>
              </w:rPr>
            </w:pPr>
            <w:r>
              <w:rPr>
                <w:rFonts w:hint="eastAsia"/>
                <w:lang w:val="en-US" w:eastAsia="zh-CN"/>
              </w:rPr>
              <w:t>13.51</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6B69ACA1">
            <w:pPr>
              <w:pStyle w:val="59"/>
              <w:bidi w:val="0"/>
              <w:jc w:val="center"/>
              <w:rPr>
                <w:rFonts w:hint="eastAsia"/>
              </w:rPr>
            </w:pPr>
            <w:r>
              <w:rPr>
                <w:rFonts w:hint="eastAsia"/>
                <w:lang w:val="en-US" w:eastAsia="zh-CN"/>
              </w:rPr>
              <w:t>6.41</w:t>
            </w:r>
          </w:p>
        </w:tc>
        <w:tc>
          <w:tcPr>
            <w:tcW w:w="437" w:type="dxa"/>
            <w:tcBorders>
              <w:top w:val="single" w:color="000000" w:sz="4" w:space="0"/>
              <w:left w:val="single" w:color="000000" w:sz="4" w:space="0"/>
              <w:bottom w:val="single" w:color="000000" w:sz="4" w:space="0"/>
              <w:right w:val="single" w:color="000000" w:sz="4" w:space="0"/>
            </w:tcBorders>
            <w:noWrap w:val="0"/>
            <w:vAlign w:val="center"/>
          </w:tcPr>
          <w:p w14:paraId="0333605E">
            <w:pPr>
              <w:pStyle w:val="59"/>
              <w:bidi w:val="0"/>
              <w:jc w:val="center"/>
              <w:rPr>
                <w:rFonts w:hint="eastAsia"/>
              </w:rPr>
            </w:pPr>
            <w:r>
              <w:rPr>
                <w:rFonts w:hint="eastAsia"/>
                <w:lang w:val="en-US" w:eastAsia="zh-CN"/>
              </w:rPr>
              <w:t>2.52</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AED04F2">
            <w:pPr>
              <w:pStyle w:val="59"/>
              <w:bidi w:val="0"/>
              <w:jc w:val="center"/>
              <w:rPr>
                <w:rFonts w:hint="eastAsia"/>
              </w:rPr>
            </w:pPr>
            <w:r>
              <w:rPr>
                <w:rFonts w:hint="eastAsia"/>
                <w:lang w:val="en-US" w:eastAsia="zh-CN"/>
              </w:rPr>
              <w:t>1.74</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280AEED6">
            <w:pPr>
              <w:pStyle w:val="59"/>
              <w:bidi w:val="0"/>
              <w:jc w:val="center"/>
              <w:rPr>
                <w:rFonts w:hint="eastAsia"/>
              </w:rPr>
            </w:pPr>
            <w:r>
              <w:rPr>
                <w:rFonts w:hint="eastAsia"/>
                <w:lang w:val="en-US" w:eastAsia="zh-CN"/>
              </w:rPr>
              <w:t>1.24</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ADD5FEA">
            <w:pPr>
              <w:pStyle w:val="59"/>
              <w:bidi w:val="0"/>
              <w:jc w:val="center"/>
              <w:rPr>
                <w:rFonts w:hint="eastAsia"/>
              </w:rPr>
            </w:pPr>
            <w:r>
              <w:rPr>
                <w:rFonts w:hint="eastAsia"/>
                <w:lang w:val="en-US" w:eastAsia="zh-CN"/>
              </w:rPr>
              <w:t>1.51</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13B371E">
            <w:pPr>
              <w:pStyle w:val="59"/>
              <w:bidi w:val="0"/>
              <w:jc w:val="center"/>
              <w:rPr>
                <w:rFonts w:hint="eastAsia"/>
              </w:rPr>
            </w:pPr>
            <w:r>
              <w:rPr>
                <w:rFonts w:hint="eastAsia"/>
                <w:lang w:val="en-US" w:eastAsia="zh-CN"/>
              </w:rPr>
              <w:t>2.11</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7EBD635">
            <w:pPr>
              <w:pStyle w:val="59"/>
              <w:bidi w:val="0"/>
              <w:jc w:val="center"/>
              <w:rPr>
                <w:rFonts w:hint="eastAsia"/>
              </w:rPr>
            </w:pPr>
            <w:r>
              <w:rPr>
                <w:rFonts w:hint="eastAsia"/>
                <w:lang w:val="en-US" w:eastAsia="zh-CN"/>
              </w:rPr>
              <w:t>1.65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A01D777">
            <w:pPr>
              <w:pStyle w:val="59"/>
              <w:bidi w:val="0"/>
              <w:jc w:val="center"/>
              <w:rPr>
                <w:rFonts w:hint="eastAsia"/>
              </w:rPr>
            </w:pPr>
            <w:r>
              <w:rPr>
                <w:rFonts w:hint="eastAsia"/>
                <w:lang w:val="en-US" w:eastAsia="zh-CN"/>
              </w:rPr>
              <w:t>1.69</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22394F36">
            <w:pPr>
              <w:pStyle w:val="59"/>
              <w:bidi w:val="0"/>
              <w:jc w:val="center"/>
              <w:rPr>
                <w:rFonts w:hint="eastAsia"/>
              </w:rPr>
            </w:pPr>
            <w:r>
              <w:rPr>
                <w:rFonts w:hint="eastAsia"/>
                <w:lang w:val="en-US" w:eastAsia="zh-CN"/>
              </w:rPr>
              <w:t>5.49</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6F387819">
            <w:pPr>
              <w:pStyle w:val="59"/>
              <w:bidi w:val="0"/>
              <w:jc w:val="center"/>
              <w:rPr>
                <w:rFonts w:hint="eastAsia"/>
              </w:rPr>
            </w:pPr>
            <w:r>
              <w:rPr>
                <w:rFonts w:hint="eastAsia"/>
                <w:lang w:val="en-US" w:eastAsia="zh-CN"/>
              </w:rPr>
              <w:t>4.21</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704B6EDD">
            <w:pPr>
              <w:pStyle w:val="59"/>
              <w:bidi w:val="0"/>
              <w:jc w:val="center"/>
              <w:rPr>
                <w:rFonts w:hint="eastAsia"/>
              </w:rPr>
            </w:pPr>
            <w:r>
              <w:rPr>
                <w:rFonts w:hint="eastAsia"/>
                <w:lang w:val="en-US" w:eastAsia="zh-CN"/>
              </w:rPr>
              <w:t>2.88</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12EE2692">
            <w:pPr>
              <w:pStyle w:val="59"/>
              <w:bidi w:val="0"/>
              <w:jc w:val="center"/>
              <w:rPr>
                <w:rFonts w:hint="eastAsia"/>
              </w:rPr>
            </w:pPr>
            <w:r>
              <w:rPr>
                <w:rFonts w:hint="eastAsia"/>
                <w:lang w:val="en-US" w:eastAsia="zh-CN"/>
              </w:rPr>
              <w:t>2.34</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76B6C2CF">
            <w:pPr>
              <w:pStyle w:val="59"/>
              <w:bidi w:val="0"/>
              <w:jc w:val="center"/>
              <w:rPr>
                <w:rFonts w:hint="eastAsia"/>
              </w:rPr>
            </w:pPr>
            <w:r>
              <w:rPr>
                <w:rFonts w:hint="eastAsia"/>
                <w:lang w:val="en-US" w:eastAsia="zh-CN"/>
              </w:rPr>
              <w:t>4.35</w:t>
            </w:r>
          </w:p>
        </w:tc>
        <w:tc>
          <w:tcPr>
            <w:tcW w:w="437" w:type="dxa"/>
            <w:tcBorders>
              <w:top w:val="single" w:color="000000" w:sz="4" w:space="0"/>
              <w:left w:val="single" w:color="000000" w:sz="4" w:space="0"/>
              <w:bottom w:val="single" w:color="000000" w:sz="4" w:space="0"/>
              <w:right w:val="nil"/>
            </w:tcBorders>
            <w:noWrap w:val="0"/>
            <w:vAlign w:val="center"/>
          </w:tcPr>
          <w:p w14:paraId="68E52B7F">
            <w:pPr>
              <w:pStyle w:val="59"/>
              <w:bidi w:val="0"/>
              <w:jc w:val="center"/>
              <w:rPr>
                <w:rFonts w:hint="eastAsia"/>
              </w:rPr>
            </w:pPr>
            <w:r>
              <w:rPr>
                <w:rFonts w:hint="eastAsia"/>
                <w:lang w:val="en-US" w:eastAsia="zh-CN"/>
              </w:rPr>
              <w:t>3.57</w:t>
            </w:r>
          </w:p>
        </w:tc>
      </w:tr>
      <w:tr w14:paraId="42CC87F4">
        <w:tblPrEx>
          <w:tblCellMar>
            <w:top w:w="0" w:type="dxa"/>
            <w:left w:w="0" w:type="dxa"/>
            <w:bottom w:w="0" w:type="dxa"/>
            <w:right w:w="0" w:type="dxa"/>
          </w:tblCellMar>
        </w:tblPrEx>
        <w:trPr>
          <w:trHeight w:val="397" w:hRule="atLeast"/>
        </w:trPr>
        <w:tc>
          <w:tcPr>
            <w:tcW w:w="443" w:type="pct"/>
            <w:tcBorders>
              <w:top w:val="single" w:color="000000" w:sz="4" w:space="0"/>
              <w:left w:val="nil"/>
              <w:bottom w:val="single" w:color="000000" w:sz="4" w:space="0"/>
              <w:right w:val="single" w:color="000000" w:sz="4" w:space="0"/>
            </w:tcBorders>
            <w:noWrap w:val="0"/>
            <w:vAlign w:val="center"/>
          </w:tcPr>
          <w:p w14:paraId="31C45251">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冬季</w:t>
            </w:r>
          </w:p>
        </w:tc>
        <w:tc>
          <w:tcPr>
            <w:tcW w:w="692" w:type="dxa"/>
            <w:tcBorders>
              <w:top w:val="single" w:color="000000" w:sz="4" w:space="0"/>
              <w:left w:val="single" w:color="000000" w:sz="4" w:space="0"/>
              <w:bottom w:val="single" w:color="000000" w:sz="4" w:space="0"/>
              <w:right w:val="single" w:color="000000" w:sz="4" w:space="0"/>
            </w:tcBorders>
            <w:noWrap w:val="0"/>
            <w:vAlign w:val="center"/>
          </w:tcPr>
          <w:p w14:paraId="4B8A5F0E">
            <w:pPr>
              <w:pStyle w:val="59"/>
              <w:bidi w:val="0"/>
              <w:jc w:val="center"/>
              <w:rPr>
                <w:rFonts w:hint="eastAsia"/>
              </w:rPr>
            </w:pPr>
            <w:r>
              <w:rPr>
                <w:rFonts w:hint="eastAsia"/>
                <w:lang w:val="en-US" w:eastAsia="zh-CN"/>
              </w:rPr>
              <w:t>23.72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608DACF2">
            <w:pPr>
              <w:pStyle w:val="59"/>
              <w:bidi w:val="0"/>
              <w:jc w:val="center"/>
              <w:rPr>
                <w:rFonts w:hint="eastAsia"/>
              </w:rPr>
            </w:pPr>
            <w:r>
              <w:rPr>
                <w:rFonts w:hint="eastAsia"/>
                <w:lang w:val="en-US" w:eastAsia="zh-CN"/>
              </w:rPr>
              <w:t>24.86</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5138EF37">
            <w:pPr>
              <w:pStyle w:val="59"/>
              <w:bidi w:val="0"/>
              <w:jc w:val="center"/>
              <w:rPr>
                <w:rFonts w:hint="eastAsia"/>
              </w:rPr>
            </w:pPr>
            <w:r>
              <w:rPr>
                <w:rFonts w:hint="eastAsia"/>
                <w:lang w:val="en-US" w:eastAsia="zh-CN"/>
              </w:rPr>
              <w:t>7.19</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3A05387A">
            <w:pPr>
              <w:pStyle w:val="59"/>
              <w:bidi w:val="0"/>
              <w:jc w:val="center"/>
              <w:rPr>
                <w:rFonts w:hint="eastAsia"/>
              </w:rPr>
            </w:pPr>
            <w:r>
              <w:rPr>
                <w:rFonts w:hint="eastAsia"/>
                <w:lang w:val="en-US" w:eastAsia="zh-CN"/>
              </w:rPr>
              <w:t>2.75</w:t>
            </w:r>
          </w:p>
        </w:tc>
        <w:tc>
          <w:tcPr>
            <w:tcW w:w="437" w:type="dxa"/>
            <w:tcBorders>
              <w:top w:val="single" w:color="000000" w:sz="4" w:space="0"/>
              <w:left w:val="single" w:color="000000" w:sz="4" w:space="0"/>
              <w:bottom w:val="single" w:color="000000" w:sz="4" w:space="0"/>
              <w:right w:val="single" w:color="000000" w:sz="4" w:space="0"/>
            </w:tcBorders>
            <w:noWrap w:val="0"/>
            <w:vAlign w:val="center"/>
          </w:tcPr>
          <w:p w14:paraId="0D05A45D">
            <w:pPr>
              <w:pStyle w:val="59"/>
              <w:bidi w:val="0"/>
              <w:jc w:val="center"/>
              <w:rPr>
                <w:rFonts w:hint="eastAsia"/>
              </w:rPr>
            </w:pPr>
            <w:r>
              <w:rPr>
                <w:rFonts w:hint="eastAsia"/>
                <w:lang w:val="en-US" w:eastAsia="zh-CN"/>
              </w:rPr>
              <w:t>1.69</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8D73544">
            <w:pPr>
              <w:pStyle w:val="59"/>
              <w:bidi w:val="0"/>
              <w:jc w:val="center"/>
              <w:rPr>
                <w:rFonts w:hint="eastAsia"/>
              </w:rPr>
            </w:pPr>
            <w:r>
              <w:rPr>
                <w:rFonts w:hint="eastAsia"/>
                <w:lang w:val="en-US" w:eastAsia="zh-CN"/>
              </w:rPr>
              <w:t>1.88</w:t>
            </w:r>
          </w:p>
        </w:tc>
        <w:tc>
          <w:tcPr>
            <w:tcW w:w="448" w:type="dxa"/>
            <w:tcBorders>
              <w:top w:val="single" w:color="000000" w:sz="4" w:space="0"/>
              <w:left w:val="single" w:color="000000" w:sz="4" w:space="0"/>
              <w:bottom w:val="single" w:color="000000" w:sz="4" w:space="0"/>
              <w:right w:val="single" w:color="000000" w:sz="4" w:space="0"/>
            </w:tcBorders>
            <w:noWrap w:val="0"/>
            <w:vAlign w:val="center"/>
          </w:tcPr>
          <w:p w14:paraId="43D619DD">
            <w:pPr>
              <w:pStyle w:val="59"/>
              <w:bidi w:val="0"/>
              <w:jc w:val="center"/>
              <w:rPr>
                <w:rFonts w:hint="eastAsia"/>
              </w:rPr>
            </w:pPr>
            <w:r>
              <w:rPr>
                <w:rFonts w:hint="eastAsia"/>
                <w:lang w:val="en-US" w:eastAsia="zh-CN"/>
              </w:rPr>
              <w:t>4.26</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CBA2073">
            <w:pPr>
              <w:pStyle w:val="59"/>
              <w:bidi w:val="0"/>
              <w:jc w:val="center"/>
              <w:rPr>
                <w:rFonts w:hint="eastAsia"/>
              </w:rPr>
            </w:pPr>
            <w:r>
              <w:rPr>
                <w:rFonts w:hint="eastAsia"/>
                <w:lang w:val="en-US" w:eastAsia="zh-CN"/>
              </w:rPr>
              <w:t>6.46</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0B8D2C41">
            <w:pPr>
              <w:pStyle w:val="59"/>
              <w:bidi w:val="0"/>
              <w:jc w:val="center"/>
              <w:rPr>
                <w:rFonts w:hint="eastAsia"/>
              </w:rPr>
            </w:pPr>
            <w:r>
              <w:rPr>
                <w:rFonts w:hint="eastAsia"/>
                <w:lang w:val="en-US" w:eastAsia="zh-CN"/>
              </w:rPr>
              <w:t>3.62</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4A695D07">
            <w:pPr>
              <w:pStyle w:val="59"/>
              <w:bidi w:val="0"/>
              <w:jc w:val="center"/>
              <w:rPr>
                <w:rFonts w:hint="eastAsia"/>
              </w:rPr>
            </w:pPr>
            <w:r>
              <w:rPr>
                <w:rFonts w:hint="eastAsia"/>
                <w:lang w:val="en-US" w:eastAsia="zh-CN"/>
              </w:rPr>
              <w:t>1.05</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14:paraId="2DB01E3A">
            <w:pPr>
              <w:pStyle w:val="59"/>
              <w:bidi w:val="0"/>
              <w:jc w:val="center"/>
              <w:rPr>
                <w:rFonts w:hint="eastAsia"/>
              </w:rPr>
            </w:pPr>
            <w:r>
              <w:rPr>
                <w:rFonts w:hint="eastAsia"/>
                <w:lang w:val="en-US" w:eastAsia="zh-CN"/>
              </w:rPr>
              <w:t>1.01</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082A9176">
            <w:pPr>
              <w:pStyle w:val="59"/>
              <w:bidi w:val="0"/>
              <w:jc w:val="center"/>
              <w:rPr>
                <w:rFonts w:hint="eastAsia"/>
              </w:rPr>
            </w:pPr>
            <w:r>
              <w:rPr>
                <w:rFonts w:hint="eastAsia"/>
                <w:lang w:val="en-US" w:eastAsia="zh-CN"/>
              </w:rPr>
              <w:t>2.79</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714D9F98">
            <w:pPr>
              <w:pStyle w:val="59"/>
              <w:bidi w:val="0"/>
              <w:jc w:val="center"/>
              <w:rPr>
                <w:rFonts w:hint="eastAsia"/>
              </w:rPr>
            </w:pPr>
            <w:r>
              <w:rPr>
                <w:rFonts w:hint="eastAsia"/>
                <w:lang w:val="en-US" w:eastAsia="zh-CN"/>
              </w:rPr>
              <w:t>3.43</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5B79B146">
            <w:pPr>
              <w:pStyle w:val="59"/>
              <w:bidi w:val="0"/>
              <w:jc w:val="center"/>
              <w:rPr>
                <w:rFonts w:hint="eastAsia"/>
              </w:rPr>
            </w:pPr>
            <w:r>
              <w:rPr>
                <w:rFonts w:hint="eastAsia"/>
                <w:lang w:val="en-US" w:eastAsia="zh-CN"/>
              </w:rPr>
              <w:t>2.98</w:t>
            </w:r>
          </w:p>
        </w:tc>
        <w:tc>
          <w:tcPr>
            <w:tcW w:w="441" w:type="dxa"/>
            <w:tcBorders>
              <w:top w:val="single" w:color="000000" w:sz="4" w:space="0"/>
              <w:left w:val="single" w:color="000000" w:sz="4" w:space="0"/>
              <w:bottom w:val="single" w:color="000000" w:sz="4" w:space="0"/>
              <w:right w:val="single" w:color="000000" w:sz="4" w:space="0"/>
            </w:tcBorders>
            <w:noWrap w:val="0"/>
            <w:vAlign w:val="center"/>
          </w:tcPr>
          <w:p w14:paraId="67A179A2">
            <w:pPr>
              <w:pStyle w:val="59"/>
              <w:bidi w:val="0"/>
              <w:jc w:val="center"/>
              <w:rPr>
                <w:rFonts w:hint="eastAsia"/>
              </w:rPr>
            </w:pPr>
            <w:r>
              <w:rPr>
                <w:rFonts w:hint="eastAsia"/>
                <w:lang w:val="en-US" w:eastAsia="zh-CN"/>
              </w:rPr>
              <w:t>2.93</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0B38D76A">
            <w:pPr>
              <w:pStyle w:val="59"/>
              <w:bidi w:val="0"/>
              <w:jc w:val="center"/>
              <w:rPr>
                <w:rFonts w:hint="eastAsia"/>
              </w:rPr>
            </w:pPr>
            <w:r>
              <w:rPr>
                <w:rFonts w:hint="eastAsia"/>
                <w:lang w:val="en-US" w:eastAsia="zh-CN"/>
              </w:rPr>
              <w:t>6.46</w:t>
            </w:r>
          </w:p>
        </w:tc>
        <w:tc>
          <w:tcPr>
            <w:tcW w:w="437" w:type="dxa"/>
            <w:tcBorders>
              <w:top w:val="single" w:color="000000" w:sz="4" w:space="0"/>
              <w:left w:val="single" w:color="000000" w:sz="4" w:space="0"/>
              <w:bottom w:val="single" w:color="000000" w:sz="4" w:space="0"/>
              <w:right w:val="nil"/>
            </w:tcBorders>
            <w:noWrap w:val="0"/>
            <w:vAlign w:val="center"/>
          </w:tcPr>
          <w:p w14:paraId="0105BDBE">
            <w:pPr>
              <w:pStyle w:val="59"/>
              <w:bidi w:val="0"/>
              <w:jc w:val="center"/>
              <w:rPr>
                <w:rFonts w:hint="eastAsia"/>
              </w:rPr>
            </w:pPr>
            <w:r>
              <w:rPr>
                <w:rFonts w:hint="eastAsia"/>
                <w:lang w:val="en-US" w:eastAsia="zh-CN"/>
              </w:rPr>
              <w:t>2.93</w:t>
            </w:r>
          </w:p>
        </w:tc>
      </w:tr>
      <w:tr w14:paraId="04D26C39">
        <w:tblPrEx>
          <w:tblCellMar>
            <w:top w:w="0" w:type="dxa"/>
            <w:left w:w="0" w:type="dxa"/>
            <w:bottom w:w="0" w:type="dxa"/>
            <w:right w:w="0" w:type="dxa"/>
          </w:tblCellMar>
        </w:tblPrEx>
        <w:trPr>
          <w:trHeight w:val="397" w:hRule="atLeast"/>
        </w:trPr>
        <w:tc>
          <w:tcPr>
            <w:tcW w:w="443" w:type="pct"/>
            <w:tcBorders>
              <w:top w:val="single" w:color="000000" w:sz="4" w:space="0"/>
              <w:left w:val="nil"/>
              <w:bottom w:val="single" w:color="000000" w:sz="12" w:space="0"/>
              <w:right w:val="single" w:color="000000" w:sz="4" w:space="0"/>
            </w:tcBorders>
            <w:noWrap w:val="0"/>
            <w:vAlign w:val="center"/>
          </w:tcPr>
          <w:p w14:paraId="18A7CF7E">
            <w:pPr>
              <w:keepNext w:val="0"/>
              <w:keepLines w:val="0"/>
              <w:suppressLineNumbers w:val="0"/>
              <w:autoSpaceDE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全年</w:t>
            </w:r>
          </w:p>
        </w:tc>
        <w:tc>
          <w:tcPr>
            <w:tcW w:w="692" w:type="dxa"/>
            <w:tcBorders>
              <w:top w:val="single" w:color="000000" w:sz="4" w:space="0"/>
              <w:left w:val="single" w:color="000000" w:sz="4" w:space="0"/>
              <w:bottom w:val="single" w:color="000000" w:sz="12" w:space="0"/>
              <w:right w:val="single" w:color="000000" w:sz="4" w:space="0"/>
            </w:tcBorders>
            <w:noWrap w:val="0"/>
            <w:vAlign w:val="center"/>
          </w:tcPr>
          <w:p w14:paraId="6AB6E448">
            <w:pPr>
              <w:pStyle w:val="59"/>
              <w:bidi w:val="0"/>
              <w:jc w:val="center"/>
              <w:rPr>
                <w:rFonts w:hint="eastAsia"/>
              </w:rPr>
            </w:pPr>
            <w:r>
              <w:rPr>
                <w:rFonts w:hint="eastAsia"/>
                <w:lang w:val="en-US" w:eastAsia="zh-CN"/>
              </w:rPr>
              <w:t>11.92</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467D99E6">
            <w:pPr>
              <w:pStyle w:val="59"/>
              <w:bidi w:val="0"/>
              <w:jc w:val="center"/>
              <w:rPr>
                <w:rFonts w:hint="eastAsia"/>
              </w:rPr>
            </w:pPr>
            <w:r>
              <w:rPr>
                <w:rFonts w:hint="eastAsia"/>
                <w:lang w:val="en-US" w:eastAsia="zh-CN"/>
              </w:rPr>
              <w:t>16.66</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007513CC">
            <w:pPr>
              <w:pStyle w:val="59"/>
              <w:bidi w:val="0"/>
              <w:jc w:val="center"/>
              <w:rPr>
                <w:rFonts w:hint="eastAsia"/>
              </w:rPr>
            </w:pPr>
            <w:r>
              <w:rPr>
                <w:rFonts w:hint="eastAsia"/>
                <w:lang w:val="en-US" w:eastAsia="zh-CN"/>
              </w:rPr>
              <w:t>8.04</w:t>
            </w:r>
          </w:p>
        </w:tc>
        <w:tc>
          <w:tcPr>
            <w:tcW w:w="448" w:type="dxa"/>
            <w:tcBorders>
              <w:top w:val="single" w:color="000000" w:sz="4" w:space="0"/>
              <w:left w:val="single" w:color="000000" w:sz="4" w:space="0"/>
              <w:bottom w:val="single" w:color="000000" w:sz="12" w:space="0"/>
              <w:right w:val="single" w:color="000000" w:sz="4" w:space="0"/>
            </w:tcBorders>
            <w:noWrap w:val="0"/>
            <w:vAlign w:val="center"/>
          </w:tcPr>
          <w:p w14:paraId="565699CD">
            <w:pPr>
              <w:pStyle w:val="59"/>
              <w:bidi w:val="0"/>
              <w:jc w:val="center"/>
              <w:rPr>
                <w:rFonts w:hint="eastAsia"/>
              </w:rPr>
            </w:pPr>
            <w:r>
              <w:rPr>
                <w:rFonts w:hint="eastAsia"/>
                <w:lang w:val="en-US" w:eastAsia="zh-CN"/>
              </w:rPr>
              <w:t>5.28</w:t>
            </w:r>
          </w:p>
        </w:tc>
        <w:tc>
          <w:tcPr>
            <w:tcW w:w="437" w:type="dxa"/>
            <w:tcBorders>
              <w:top w:val="single" w:color="000000" w:sz="4" w:space="0"/>
              <w:left w:val="single" w:color="000000" w:sz="4" w:space="0"/>
              <w:bottom w:val="single" w:color="000000" w:sz="12" w:space="0"/>
              <w:right w:val="single" w:color="000000" w:sz="4" w:space="0"/>
            </w:tcBorders>
            <w:noWrap w:val="0"/>
            <w:vAlign w:val="center"/>
          </w:tcPr>
          <w:p w14:paraId="3BE2569B">
            <w:pPr>
              <w:pStyle w:val="59"/>
              <w:bidi w:val="0"/>
              <w:jc w:val="center"/>
              <w:rPr>
                <w:rFonts w:hint="eastAsia"/>
              </w:rPr>
            </w:pPr>
            <w:r>
              <w:rPr>
                <w:rFonts w:hint="eastAsia"/>
                <w:lang w:val="en-US" w:eastAsia="zh-CN"/>
              </w:rPr>
              <w:t>3.37</w:t>
            </w:r>
          </w:p>
        </w:tc>
        <w:tc>
          <w:tcPr>
            <w:tcW w:w="448" w:type="dxa"/>
            <w:tcBorders>
              <w:top w:val="single" w:color="000000" w:sz="4" w:space="0"/>
              <w:left w:val="single" w:color="000000" w:sz="4" w:space="0"/>
              <w:bottom w:val="single" w:color="000000" w:sz="12" w:space="0"/>
              <w:right w:val="single" w:color="000000" w:sz="4" w:space="0"/>
            </w:tcBorders>
            <w:noWrap w:val="0"/>
            <w:vAlign w:val="center"/>
          </w:tcPr>
          <w:p w14:paraId="2AB47109">
            <w:pPr>
              <w:pStyle w:val="59"/>
              <w:bidi w:val="0"/>
              <w:jc w:val="center"/>
              <w:rPr>
                <w:rFonts w:hint="eastAsia"/>
              </w:rPr>
            </w:pPr>
            <w:r>
              <w:rPr>
                <w:rFonts w:hint="eastAsia"/>
                <w:lang w:val="en-US" w:eastAsia="zh-CN"/>
              </w:rPr>
              <w:t>3.14</w:t>
            </w:r>
          </w:p>
        </w:tc>
        <w:tc>
          <w:tcPr>
            <w:tcW w:w="448" w:type="dxa"/>
            <w:tcBorders>
              <w:top w:val="single" w:color="000000" w:sz="4" w:space="0"/>
              <w:left w:val="single" w:color="000000" w:sz="4" w:space="0"/>
              <w:bottom w:val="single" w:color="000000" w:sz="12" w:space="0"/>
              <w:right w:val="single" w:color="000000" w:sz="4" w:space="0"/>
            </w:tcBorders>
            <w:noWrap w:val="0"/>
            <w:vAlign w:val="center"/>
          </w:tcPr>
          <w:p w14:paraId="4C8584F7">
            <w:pPr>
              <w:pStyle w:val="59"/>
              <w:bidi w:val="0"/>
              <w:jc w:val="center"/>
              <w:rPr>
                <w:rFonts w:hint="eastAsia"/>
              </w:rPr>
            </w:pPr>
            <w:r>
              <w:rPr>
                <w:rFonts w:hint="eastAsia"/>
                <w:lang w:val="en-US" w:eastAsia="zh-CN"/>
              </w:rPr>
              <w:t>5.60</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7BC237B1">
            <w:pPr>
              <w:pStyle w:val="59"/>
              <w:bidi w:val="0"/>
              <w:jc w:val="center"/>
              <w:rPr>
                <w:rFonts w:hint="eastAsia"/>
              </w:rPr>
            </w:pPr>
            <w:r>
              <w:rPr>
                <w:rFonts w:hint="eastAsia"/>
                <w:lang w:val="en-US" w:eastAsia="zh-CN"/>
              </w:rPr>
              <w:t>8.86</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6CF6F88B">
            <w:pPr>
              <w:pStyle w:val="59"/>
              <w:bidi w:val="0"/>
              <w:jc w:val="center"/>
              <w:rPr>
                <w:rFonts w:hint="eastAsia"/>
              </w:rPr>
            </w:pPr>
            <w:r>
              <w:rPr>
                <w:rFonts w:hint="eastAsia"/>
                <w:lang w:val="en-US" w:eastAsia="zh-CN"/>
              </w:rPr>
              <w:t>7.01</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50AAAF40">
            <w:pPr>
              <w:pStyle w:val="59"/>
              <w:bidi w:val="0"/>
              <w:jc w:val="center"/>
              <w:rPr>
                <w:rFonts w:hint="eastAsia"/>
              </w:rPr>
            </w:pPr>
            <w:r>
              <w:rPr>
                <w:rFonts w:hint="eastAsia"/>
                <w:lang w:val="en-US" w:eastAsia="zh-CN"/>
              </w:rPr>
              <w:t>5.54</w:t>
            </w:r>
          </w:p>
        </w:tc>
        <w:tc>
          <w:tcPr>
            <w:tcW w:w="483" w:type="dxa"/>
            <w:tcBorders>
              <w:top w:val="single" w:color="000000" w:sz="4" w:space="0"/>
              <w:left w:val="single" w:color="000000" w:sz="4" w:space="0"/>
              <w:bottom w:val="single" w:color="000000" w:sz="12" w:space="0"/>
              <w:right w:val="single" w:color="000000" w:sz="4" w:space="0"/>
            </w:tcBorders>
            <w:noWrap w:val="0"/>
            <w:vAlign w:val="center"/>
          </w:tcPr>
          <w:p w14:paraId="1ED6F16F">
            <w:pPr>
              <w:pStyle w:val="59"/>
              <w:bidi w:val="0"/>
              <w:jc w:val="center"/>
              <w:rPr>
                <w:rFonts w:hint="eastAsia"/>
              </w:rPr>
            </w:pPr>
            <w:r>
              <w:rPr>
                <w:rFonts w:hint="eastAsia"/>
                <w:lang w:val="en-US" w:eastAsia="zh-CN"/>
              </w:rPr>
              <w:t>4.60</w:t>
            </w:r>
          </w:p>
        </w:tc>
        <w:tc>
          <w:tcPr>
            <w:tcW w:w="524" w:type="dxa"/>
            <w:tcBorders>
              <w:top w:val="single" w:color="000000" w:sz="4" w:space="0"/>
              <w:left w:val="single" w:color="000000" w:sz="4" w:space="0"/>
              <w:bottom w:val="single" w:color="000000" w:sz="12" w:space="0"/>
              <w:right w:val="single" w:color="000000" w:sz="4" w:space="0"/>
            </w:tcBorders>
            <w:noWrap w:val="0"/>
            <w:vAlign w:val="center"/>
          </w:tcPr>
          <w:p w14:paraId="7ED74082">
            <w:pPr>
              <w:pStyle w:val="59"/>
              <w:bidi w:val="0"/>
              <w:jc w:val="center"/>
              <w:rPr>
                <w:rFonts w:hint="eastAsia"/>
              </w:rPr>
            </w:pPr>
            <w:r>
              <w:rPr>
                <w:rFonts w:hint="eastAsia"/>
                <w:lang w:val="en-US" w:eastAsia="zh-CN"/>
              </w:rPr>
              <w:t>4.46</w:t>
            </w:r>
          </w:p>
        </w:tc>
        <w:tc>
          <w:tcPr>
            <w:tcW w:w="441" w:type="dxa"/>
            <w:tcBorders>
              <w:top w:val="single" w:color="000000" w:sz="4" w:space="0"/>
              <w:left w:val="single" w:color="000000" w:sz="4" w:space="0"/>
              <w:bottom w:val="single" w:color="000000" w:sz="12" w:space="0"/>
              <w:right w:val="single" w:color="000000" w:sz="4" w:space="0"/>
            </w:tcBorders>
            <w:noWrap w:val="0"/>
            <w:vAlign w:val="center"/>
          </w:tcPr>
          <w:p w14:paraId="5A5970BE">
            <w:pPr>
              <w:pStyle w:val="59"/>
              <w:bidi w:val="0"/>
              <w:jc w:val="center"/>
              <w:rPr>
                <w:rFonts w:hint="eastAsia"/>
              </w:rPr>
            </w:pPr>
            <w:r>
              <w:rPr>
                <w:rFonts w:hint="eastAsia"/>
                <w:lang w:val="en-US" w:eastAsia="zh-CN"/>
              </w:rPr>
              <w:t>3.72</w:t>
            </w:r>
          </w:p>
        </w:tc>
        <w:tc>
          <w:tcPr>
            <w:tcW w:w="559" w:type="dxa"/>
            <w:tcBorders>
              <w:top w:val="single" w:color="000000" w:sz="4" w:space="0"/>
              <w:left w:val="single" w:color="000000" w:sz="4" w:space="0"/>
              <w:bottom w:val="single" w:color="000000" w:sz="12" w:space="0"/>
              <w:right w:val="single" w:color="000000" w:sz="4" w:space="0"/>
            </w:tcBorders>
            <w:noWrap w:val="0"/>
            <w:vAlign w:val="center"/>
          </w:tcPr>
          <w:p w14:paraId="21EB327D">
            <w:pPr>
              <w:pStyle w:val="59"/>
              <w:bidi w:val="0"/>
              <w:jc w:val="center"/>
              <w:rPr>
                <w:rFonts w:hint="eastAsia"/>
              </w:rPr>
            </w:pPr>
            <w:r>
              <w:rPr>
                <w:rFonts w:hint="eastAsia"/>
                <w:lang w:val="en-US" w:eastAsia="zh-CN"/>
              </w:rPr>
              <w:t>2.42</w:t>
            </w:r>
          </w:p>
        </w:tc>
        <w:tc>
          <w:tcPr>
            <w:tcW w:w="441" w:type="dxa"/>
            <w:tcBorders>
              <w:top w:val="single" w:color="000000" w:sz="4" w:space="0"/>
              <w:left w:val="single" w:color="000000" w:sz="4" w:space="0"/>
              <w:bottom w:val="single" w:color="000000" w:sz="12" w:space="0"/>
              <w:right w:val="single" w:color="000000" w:sz="4" w:space="0"/>
            </w:tcBorders>
            <w:noWrap w:val="0"/>
            <w:vAlign w:val="center"/>
          </w:tcPr>
          <w:p w14:paraId="1B0A8010">
            <w:pPr>
              <w:pStyle w:val="59"/>
              <w:bidi w:val="0"/>
              <w:jc w:val="center"/>
              <w:rPr>
                <w:rFonts w:hint="eastAsia"/>
              </w:rPr>
            </w:pPr>
            <w:r>
              <w:rPr>
                <w:rFonts w:hint="eastAsia"/>
                <w:lang w:val="en-US" w:eastAsia="zh-CN"/>
              </w:rPr>
              <w:t>1.98</w:t>
            </w:r>
          </w:p>
        </w:tc>
        <w:tc>
          <w:tcPr>
            <w:tcW w:w="512" w:type="dxa"/>
            <w:tcBorders>
              <w:top w:val="single" w:color="000000" w:sz="4" w:space="0"/>
              <w:left w:val="single" w:color="000000" w:sz="4" w:space="0"/>
              <w:bottom w:val="single" w:color="000000" w:sz="12" w:space="0"/>
              <w:right w:val="single" w:color="000000" w:sz="4" w:space="0"/>
            </w:tcBorders>
            <w:noWrap w:val="0"/>
            <w:vAlign w:val="center"/>
          </w:tcPr>
          <w:p w14:paraId="5A005656">
            <w:pPr>
              <w:pStyle w:val="59"/>
              <w:bidi w:val="0"/>
              <w:jc w:val="center"/>
              <w:rPr>
                <w:rFonts w:hint="eastAsia"/>
              </w:rPr>
            </w:pPr>
            <w:r>
              <w:rPr>
                <w:rFonts w:hint="eastAsia"/>
                <w:lang w:val="en-US" w:eastAsia="zh-CN"/>
              </w:rPr>
              <w:t>3.73</w:t>
            </w:r>
          </w:p>
        </w:tc>
        <w:tc>
          <w:tcPr>
            <w:tcW w:w="437" w:type="dxa"/>
            <w:tcBorders>
              <w:top w:val="single" w:color="000000" w:sz="4" w:space="0"/>
              <w:left w:val="single" w:color="000000" w:sz="4" w:space="0"/>
              <w:bottom w:val="single" w:color="000000" w:sz="12" w:space="0"/>
              <w:right w:val="nil"/>
            </w:tcBorders>
            <w:noWrap w:val="0"/>
            <w:vAlign w:val="center"/>
          </w:tcPr>
          <w:p w14:paraId="44EAED33">
            <w:pPr>
              <w:pStyle w:val="59"/>
              <w:bidi w:val="0"/>
              <w:jc w:val="center"/>
              <w:rPr>
                <w:rFonts w:hint="eastAsia"/>
              </w:rPr>
            </w:pPr>
            <w:r>
              <w:rPr>
                <w:rFonts w:hint="eastAsia"/>
                <w:lang w:val="en-US" w:eastAsia="zh-CN"/>
              </w:rPr>
              <w:t>3.65</w:t>
            </w:r>
          </w:p>
        </w:tc>
      </w:tr>
    </w:tbl>
    <w:p w14:paraId="6914ED14">
      <w:pPr>
        <w:spacing w:before="240" w:beforeLines="100" w:line="360" w:lineRule="auto"/>
        <w:ind w:firstLine="480"/>
        <w:rPr>
          <w:color w:val="auto"/>
        </w:rPr>
      </w:pPr>
      <w:r>
        <w:rPr>
          <w:rFonts w:hint="eastAsia"/>
          <w:color w:val="auto"/>
        </w:rPr>
        <w:t>由上表统计结果可知，本项目厂址所在区域常年主导风向为</w:t>
      </w:r>
      <w:r>
        <w:rPr>
          <w:rFonts w:hint="eastAsia"/>
          <w:color w:val="auto"/>
          <w:lang w:val="en-US" w:eastAsia="zh-CN"/>
        </w:rPr>
        <w:t>N</w:t>
      </w:r>
      <w:r>
        <w:rPr>
          <w:rFonts w:hint="eastAsia"/>
          <w:color w:val="auto"/>
        </w:rPr>
        <w:t>风，该区域年平均风速为</w:t>
      </w:r>
      <w:r>
        <w:rPr>
          <w:color w:val="auto"/>
        </w:rPr>
        <w:t>2.</w:t>
      </w:r>
      <w:r>
        <w:rPr>
          <w:rFonts w:hint="eastAsia"/>
          <w:color w:val="auto"/>
          <w:lang w:val="en-US" w:eastAsia="zh-CN"/>
        </w:rPr>
        <w:t>0</w:t>
      </w:r>
      <w:r>
        <w:rPr>
          <w:color w:val="auto"/>
        </w:rPr>
        <w:t>m⁄s</w:t>
      </w:r>
      <w:r>
        <w:rPr>
          <w:rFonts w:hint="eastAsia"/>
          <w:color w:val="auto"/>
        </w:rPr>
        <w:t>。该区风向呈明显的季节性变化。春季地面以</w:t>
      </w:r>
      <w:r>
        <w:rPr>
          <w:color w:val="auto"/>
        </w:rPr>
        <w:t>S</w:t>
      </w:r>
      <w:r>
        <w:rPr>
          <w:rFonts w:hint="eastAsia"/>
          <w:color w:val="auto"/>
          <w:lang w:val="en-US" w:eastAsia="zh-CN"/>
        </w:rPr>
        <w:t>SE</w:t>
      </w:r>
      <w:r>
        <w:rPr>
          <w:rFonts w:hint="eastAsia"/>
          <w:color w:val="auto"/>
        </w:rPr>
        <w:t>为主导风向，出现频率为</w:t>
      </w:r>
      <w:r>
        <w:rPr>
          <w:rFonts w:hint="eastAsia"/>
          <w:color w:val="auto"/>
          <w:lang w:val="en-US" w:eastAsia="zh-CN"/>
        </w:rPr>
        <w:t>14.9</w:t>
      </w:r>
      <w:r>
        <w:rPr>
          <w:color w:val="auto"/>
        </w:rPr>
        <w:t>%</w:t>
      </w:r>
      <w:r>
        <w:rPr>
          <w:rFonts w:hint="eastAsia"/>
          <w:color w:val="auto"/>
        </w:rPr>
        <w:t>，次主导风向为</w:t>
      </w:r>
      <w:r>
        <w:rPr>
          <w:rFonts w:hint="eastAsia"/>
          <w:color w:val="auto"/>
          <w:lang w:val="en-US" w:eastAsia="zh-CN"/>
        </w:rPr>
        <w:t>NNE</w:t>
      </w:r>
      <w:r>
        <w:rPr>
          <w:rFonts w:hint="eastAsia"/>
          <w:color w:val="auto"/>
        </w:rPr>
        <w:t>风，频率为</w:t>
      </w:r>
      <w:r>
        <w:rPr>
          <w:rFonts w:hint="eastAsia"/>
          <w:color w:val="auto"/>
          <w:lang w:val="en-US" w:eastAsia="zh-CN"/>
        </w:rPr>
        <w:t>10.14</w:t>
      </w:r>
      <w:r>
        <w:rPr>
          <w:color w:val="auto"/>
        </w:rPr>
        <w:t>%</w:t>
      </w:r>
      <w:r>
        <w:rPr>
          <w:rFonts w:hint="eastAsia"/>
          <w:color w:val="auto"/>
        </w:rPr>
        <w:t>，静风频率为</w:t>
      </w:r>
      <w:r>
        <w:rPr>
          <w:rFonts w:hint="eastAsia"/>
          <w:color w:val="auto"/>
          <w:lang w:val="en-US" w:eastAsia="zh-CN"/>
        </w:rPr>
        <w:t>2.81</w:t>
      </w:r>
      <w:r>
        <w:rPr>
          <w:color w:val="auto"/>
        </w:rPr>
        <w:t>%</w:t>
      </w:r>
      <w:r>
        <w:rPr>
          <w:rFonts w:hint="eastAsia"/>
          <w:color w:val="auto"/>
        </w:rPr>
        <w:t>。夏季的地面风主要S</w:t>
      </w:r>
      <w:r>
        <w:rPr>
          <w:rFonts w:hint="eastAsia"/>
          <w:color w:val="auto"/>
          <w:lang w:val="en-US" w:eastAsia="zh-CN"/>
        </w:rPr>
        <w:t>SW</w:t>
      </w:r>
      <w:r>
        <w:rPr>
          <w:rFonts w:hint="eastAsia"/>
          <w:color w:val="auto"/>
        </w:rPr>
        <w:t>风向为主，出现频率为</w:t>
      </w:r>
      <w:r>
        <w:rPr>
          <w:rFonts w:hint="eastAsia"/>
          <w:color w:val="auto"/>
          <w:lang w:val="en-US" w:eastAsia="zh-CN"/>
        </w:rPr>
        <w:t>13.18</w:t>
      </w:r>
      <w:r>
        <w:rPr>
          <w:color w:val="auto"/>
        </w:rPr>
        <w:t>%</w:t>
      </w:r>
      <w:r>
        <w:rPr>
          <w:rFonts w:hint="eastAsia"/>
          <w:color w:val="auto"/>
        </w:rPr>
        <w:t>，其次为</w:t>
      </w:r>
      <w:r>
        <w:rPr>
          <w:color w:val="auto"/>
        </w:rPr>
        <w:t>SS</w:t>
      </w:r>
      <w:r>
        <w:rPr>
          <w:rFonts w:hint="eastAsia"/>
          <w:color w:val="auto"/>
          <w:lang w:val="en-US" w:eastAsia="zh-CN"/>
        </w:rPr>
        <w:t>W</w:t>
      </w:r>
      <w:r>
        <w:rPr>
          <w:rFonts w:hint="eastAsia"/>
          <w:color w:val="auto"/>
        </w:rPr>
        <w:t>风，频率为</w:t>
      </w:r>
      <w:r>
        <w:rPr>
          <w:rFonts w:hint="eastAsia"/>
          <w:color w:val="auto"/>
          <w:lang w:val="en-US" w:eastAsia="zh-CN"/>
        </w:rPr>
        <w:t>12.45</w:t>
      </w:r>
      <w:r>
        <w:rPr>
          <w:color w:val="auto"/>
        </w:rPr>
        <w:t>%</w:t>
      </w:r>
      <w:r>
        <w:rPr>
          <w:rFonts w:hint="eastAsia"/>
          <w:color w:val="auto"/>
        </w:rPr>
        <w:t>，静风频率为</w:t>
      </w:r>
      <w:r>
        <w:rPr>
          <w:rFonts w:hint="eastAsia"/>
          <w:color w:val="auto"/>
          <w:lang w:val="en-US" w:eastAsia="zh-CN"/>
        </w:rPr>
        <w:t>5.30</w:t>
      </w:r>
      <w:r>
        <w:rPr>
          <w:color w:val="auto"/>
        </w:rPr>
        <w:t>%</w:t>
      </w:r>
      <w:r>
        <w:rPr>
          <w:rFonts w:hint="eastAsia"/>
          <w:color w:val="auto"/>
        </w:rPr>
        <w:t>。秋季的地面风主要以</w:t>
      </w:r>
      <w:r>
        <w:rPr>
          <w:rFonts w:hint="eastAsia"/>
          <w:color w:val="auto"/>
          <w:lang w:val="en-US" w:eastAsia="zh-CN"/>
        </w:rPr>
        <w:t>NNE</w:t>
      </w:r>
      <w:r>
        <w:rPr>
          <w:rFonts w:hint="eastAsia"/>
          <w:color w:val="auto"/>
        </w:rPr>
        <w:t>风为主，出现频率为</w:t>
      </w:r>
      <w:r>
        <w:rPr>
          <w:rFonts w:hint="eastAsia"/>
          <w:color w:val="auto"/>
          <w:lang w:val="en-US" w:eastAsia="zh-CN"/>
        </w:rPr>
        <w:t>29.90</w:t>
      </w:r>
      <w:r>
        <w:rPr>
          <w:color w:val="auto"/>
        </w:rPr>
        <w:t>%</w:t>
      </w:r>
      <w:r>
        <w:rPr>
          <w:rFonts w:hint="eastAsia"/>
          <w:color w:val="auto"/>
        </w:rPr>
        <w:t>，次主导风向</w:t>
      </w:r>
      <w:r>
        <w:rPr>
          <w:color w:val="auto"/>
        </w:rPr>
        <w:t>N</w:t>
      </w:r>
      <w:r>
        <w:rPr>
          <w:rFonts w:hint="eastAsia"/>
          <w:color w:val="auto"/>
        </w:rPr>
        <w:t>，出现频率为</w:t>
      </w:r>
      <w:r>
        <w:rPr>
          <w:rFonts w:hint="eastAsia"/>
          <w:color w:val="auto"/>
          <w:lang w:val="en-US" w:eastAsia="zh-CN"/>
        </w:rPr>
        <w:t>14.88</w:t>
      </w:r>
      <w:r>
        <w:rPr>
          <w:color w:val="auto"/>
        </w:rPr>
        <w:t>%</w:t>
      </w:r>
      <w:r>
        <w:rPr>
          <w:rFonts w:hint="eastAsia"/>
          <w:color w:val="auto"/>
        </w:rPr>
        <w:t>，静风频率为</w:t>
      </w:r>
      <w:r>
        <w:rPr>
          <w:rFonts w:hint="eastAsia"/>
          <w:color w:val="auto"/>
          <w:lang w:val="en-US" w:eastAsia="zh-CN"/>
        </w:rPr>
        <w:t>2.93</w:t>
      </w:r>
      <w:r>
        <w:rPr>
          <w:color w:val="auto"/>
        </w:rPr>
        <w:t>%</w:t>
      </w:r>
      <w:r>
        <w:rPr>
          <w:rFonts w:hint="eastAsia"/>
          <w:color w:val="auto"/>
        </w:rPr>
        <w:t>。冬季地面以</w:t>
      </w:r>
      <w:r>
        <w:rPr>
          <w:color w:val="auto"/>
        </w:rPr>
        <w:t>N</w:t>
      </w:r>
      <w:r>
        <w:rPr>
          <w:rFonts w:hint="eastAsia"/>
          <w:color w:val="auto"/>
          <w:lang w:val="en-US" w:eastAsia="zh-CN"/>
        </w:rPr>
        <w:t>NE</w:t>
      </w:r>
      <w:r>
        <w:rPr>
          <w:rFonts w:hint="eastAsia"/>
          <w:color w:val="auto"/>
        </w:rPr>
        <w:t>风为主，出现频率</w:t>
      </w:r>
      <w:r>
        <w:rPr>
          <w:rFonts w:hint="eastAsia"/>
          <w:color w:val="auto"/>
          <w:lang w:val="en-US" w:eastAsia="zh-CN"/>
        </w:rPr>
        <w:t>24.86</w:t>
      </w:r>
      <w:r>
        <w:rPr>
          <w:color w:val="auto"/>
        </w:rPr>
        <w:t>%</w:t>
      </w:r>
      <w:r>
        <w:rPr>
          <w:rFonts w:hint="eastAsia"/>
          <w:color w:val="auto"/>
        </w:rPr>
        <w:t>，次主导风向</w:t>
      </w:r>
      <w:r>
        <w:rPr>
          <w:color w:val="auto"/>
        </w:rPr>
        <w:t>N</w:t>
      </w:r>
      <w:r>
        <w:rPr>
          <w:rFonts w:hint="eastAsia"/>
          <w:color w:val="auto"/>
        </w:rPr>
        <w:t>，出现频率为</w:t>
      </w:r>
      <w:r>
        <w:rPr>
          <w:rFonts w:hint="eastAsia"/>
          <w:color w:val="auto"/>
          <w:lang w:val="en-US" w:eastAsia="zh-CN"/>
        </w:rPr>
        <w:t>23.72</w:t>
      </w:r>
      <w:r>
        <w:rPr>
          <w:color w:val="auto"/>
        </w:rPr>
        <w:t>%</w:t>
      </w:r>
      <w:r>
        <w:rPr>
          <w:rFonts w:hint="eastAsia"/>
          <w:color w:val="auto"/>
        </w:rPr>
        <w:t>，静风频率为</w:t>
      </w:r>
      <w:r>
        <w:rPr>
          <w:rFonts w:hint="eastAsia"/>
          <w:color w:val="auto"/>
          <w:lang w:val="en-US" w:eastAsia="zh-CN"/>
        </w:rPr>
        <w:t>3.65</w:t>
      </w:r>
      <w:r>
        <w:rPr>
          <w:color w:val="auto"/>
        </w:rPr>
        <w:t>%</w:t>
      </w:r>
      <w:r>
        <w:rPr>
          <w:rFonts w:hint="eastAsia"/>
          <w:color w:val="auto"/>
        </w:rPr>
        <w:t>。</w:t>
      </w:r>
    </w:p>
    <w:p w14:paraId="5CB820F4">
      <w:pPr>
        <w:pStyle w:val="62"/>
        <w:bidi w:val="0"/>
      </w:pPr>
      <w:r>
        <w:drawing>
          <wp:inline distT="0" distB="0" distL="114300" distR="114300">
            <wp:extent cx="36830" cy="36830"/>
            <wp:effectExtent l="0" t="0" r="0" b="0"/>
            <wp:docPr id="121"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96"/>
                    <pic:cNvPicPr>
                      <a:picLocks noChangeAspect="1"/>
                    </pic:cNvPicPr>
                  </pic:nvPicPr>
                  <pic:blipFill>
                    <a:blip r:embed="rId75"/>
                    <a:stretch>
                      <a:fillRect/>
                    </a:stretch>
                  </pic:blipFill>
                  <pic:spPr>
                    <a:xfrm>
                      <a:off x="0" y="0"/>
                      <a:ext cx="36830" cy="36830"/>
                    </a:xfrm>
                    <a:prstGeom prst="rect">
                      <a:avLst/>
                    </a:prstGeom>
                    <a:noFill/>
                    <a:ln>
                      <a:noFill/>
                    </a:ln>
                  </pic:spPr>
                </pic:pic>
              </a:graphicData>
            </a:graphic>
          </wp:inline>
        </w:drawing>
      </w:r>
      <w:r>
        <w:drawing>
          <wp:inline distT="0" distB="0" distL="0" distR="0">
            <wp:extent cx="5063490" cy="7228840"/>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063490" cy="7228840"/>
                    </a:xfrm>
                    <a:prstGeom prst="rect">
                      <a:avLst/>
                    </a:prstGeom>
                    <a:noFill/>
                    <a:ln>
                      <a:noFill/>
                    </a:ln>
                  </pic:spPr>
                </pic:pic>
              </a:graphicData>
            </a:graphic>
          </wp:inline>
        </w:drawing>
      </w:r>
    </w:p>
    <w:p w14:paraId="6EDB53DE">
      <w:pPr>
        <w:pStyle w:val="85"/>
        <w:keepNext w:val="0"/>
        <w:keepLines w:val="0"/>
        <w:pageBreakBefore w:val="0"/>
        <w:widowControl/>
        <w:numPr>
          <w:ilvl w:val="0"/>
          <w:numId w:val="38"/>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年风频玫瑰图</w:t>
      </w:r>
    </w:p>
    <w:p w14:paraId="7F77C9C8">
      <w:pPr>
        <w:pStyle w:val="62"/>
        <w:bidi w:val="0"/>
      </w:pPr>
      <w:r>
        <w:drawing>
          <wp:inline distT="0" distB="0" distL="0" distR="0">
            <wp:extent cx="5063490" cy="7228840"/>
            <wp:effectExtent l="0" t="0" r="3810" b="63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063490" cy="7228840"/>
                    </a:xfrm>
                    <a:prstGeom prst="rect">
                      <a:avLst/>
                    </a:prstGeom>
                    <a:noFill/>
                    <a:ln>
                      <a:noFill/>
                    </a:ln>
                  </pic:spPr>
                </pic:pic>
              </a:graphicData>
            </a:graphic>
          </wp:inline>
        </w:drawing>
      </w:r>
    </w:p>
    <w:p w14:paraId="25E30B08">
      <w:pPr>
        <w:pStyle w:val="85"/>
        <w:keepNext w:val="0"/>
        <w:keepLines w:val="0"/>
        <w:pageBreakBefore w:val="0"/>
        <w:widowControl/>
        <w:numPr>
          <w:ilvl w:val="0"/>
          <w:numId w:val="38"/>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t>鹤山市202</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lang w:eastAsia="zh-CN"/>
        </w:rPr>
        <w:t>年</w:t>
      </w:r>
      <w:r>
        <w:rPr>
          <w:rFonts w:hint="eastAsia" w:ascii="Times New Roman" w:hAnsi="Times New Roman" w:eastAsia="宋体" w:cs="Times New Roman"/>
          <w:color w:val="auto"/>
          <w:sz w:val="24"/>
          <w:szCs w:val="24"/>
          <w:lang w:val="en-US" w:eastAsia="zh-CN"/>
        </w:rPr>
        <w:t>风速</w:t>
      </w:r>
      <w:r>
        <w:rPr>
          <w:rFonts w:hint="eastAsia" w:ascii="Times New Roman" w:hAnsi="Times New Roman" w:eastAsia="宋体" w:cs="Times New Roman"/>
          <w:color w:val="auto"/>
          <w:sz w:val="24"/>
          <w:szCs w:val="24"/>
          <w:lang w:eastAsia="zh-CN"/>
        </w:rPr>
        <w:t>玫瑰图</w:t>
      </w:r>
    </w:p>
    <w:p w14:paraId="2AA9340C">
      <w:pPr>
        <w:pStyle w:val="64"/>
        <w:numPr>
          <w:ilvl w:val="2"/>
          <w:numId w:val="8"/>
        </w:numPr>
        <w:spacing w:before="166" w:after="166"/>
        <w:ind w:left="709" w:leftChars="0" w:hanging="709" w:firstLineChars="0"/>
        <w:rPr>
          <w:rFonts w:hint="eastAsia"/>
          <w:color w:val="auto"/>
        </w:rPr>
      </w:pPr>
      <w:r>
        <w:rPr>
          <w:rFonts w:hint="eastAsia"/>
          <w:color w:val="auto"/>
        </w:rPr>
        <w:t>环境影响预测参数</w:t>
      </w:r>
    </w:p>
    <w:p w14:paraId="53D6E40E">
      <w:pPr>
        <w:ind w:firstLine="482"/>
        <w:rPr>
          <w:b/>
          <w:bCs/>
          <w:color w:val="auto"/>
          <w:szCs w:val="24"/>
        </w:rPr>
      </w:pPr>
      <w:r>
        <w:rPr>
          <w:b/>
          <w:bCs/>
          <w:color w:val="auto"/>
          <w:szCs w:val="24"/>
        </w:rPr>
        <w:t>1、预测范围</w:t>
      </w:r>
    </w:p>
    <w:p w14:paraId="33AD64AC">
      <w:pPr>
        <w:ind w:firstLine="480"/>
        <w:rPr>
          <w:color w:val="auto"/>
          <w:szCs w:val="24"/>
        </w:rPr>
      </w:pPr>
      <w:r>
        <w:rPr>
          <w:color w:val="auto"/>
          <w:szCs w:val="24"/>
        </w:rPr>
        <w:t>以</w:t>
      </w:r>
      <w:r>
        <w:rPr>
          <w:rFonts w:hint="eastAsia"/>
          <w:color w:val="auto"/>
          <w:szCs w:val="24"/>
        </w:rPr>
        <w:t>项目厂址</w:t>
      </w:r>
      <w:r>
        <w:rPr>
          <w:color w:val="auto"/>
          <w:szCs w:val="24"/>
        </w:rPr>
        <w:t>为中心，边长为5km的正方形区域范围作为评价范围。</w:t>
      </w:r>
    </w:p>
    <w:p w14:paraId="07BDE470">
      <w:pPr>
        <w:ind w:firstLine="482"/>
        <w:rPr>
          <w:b/>
          <w:bCs/>
          <w:color w:val="auto"/>
          <w:szCs w:val="24"/>
        </w:rPr>
      </w:pPr>
      <w:r>
        <w:rPr>
          <w:b/>
          <w:bCs/>
          <w:color w:val="auto"/>
          <w:szCs w:val="24"/>
        </w:rPr>
        <w:t>2、计算点及坐标定义</w:t>
      </w:r>
    </w:p>
    <w:p w14:paraId="4F240DD2">
      <w:pPr>
        <w:ind w:firstLine="480"/>
        <w:rPr>
          <w:color w:val="auto"/>
          <w:szCs w:val="24"/>
        </w:rPr>
      </w:pPr>
      <w:r>
        <w:rPr>
          <w:color w:val="auto"/>
          <w:szCs w:val="24"/>
        </w:rPr>
        <w:t>选择区域最大地面浓度点、网格点和环境敏感保护目标作为计算点，区域最大地面浓度点的预测网格采用网格等间距法布设，网格距选50×50m。</w:t>
      </w:r>
    </w:p>
    <w:p w14:paraId="302EB403">
      <w:pPr>
        <w:ind w:firstLine="480"/>
        <w:rPr>
          <w:color w:val="auto"/>
          <w:szCs w:val="24"/>
        </w:rPr>
      </w:pPr>
      <w:r>
        <w:rPr>
          <w:color w:val="auto"/>
          <w:szCs w:val="24"/>
        </w:rPr>
        <w:t>以厂址</w:t>
      </w:r>
      <w:r>
        <w:rPr>
          <w:rFonts w:hint="eastAsia"/>
          <w:color w:val="auto"/>
          <w:szCs w:val="24"/>
        </w:rPr>
        <w:t>西角</w:t>
      </w:r>
      <w:r>
        <w:rPr>
          <w:color w:val="auto"/>
          <w:szCs w:val="24"/>
        </w:rPr>
        <w:t>为坐标原点（0</w:t>
      </w:r>
      <w:r>
        <w:rPr>
          <w:rFonts w:hint="eastAsia"/>
          <w:color w:val="auto"/>
          <w:szCs w:val="24"/>
        </w:rPr>
        <w:t>，</w:t>
      </w:r>
      <w:r>
        <w:rPr>
          <w:color w:val="auto"/>
          <w:szCs w:val="24"/>
        </w:rPr>
        <w:t>0），东西方向为X轴，南北方向为Y轴。本次评价选取大气预测范围内的环境空气保护目标、现状监测点为关心点进行特定计算，共计</w:t>
      </w:r>
      <w:r>
        <w:rPr>
          <w:rFonts w:hint="eastAsia"/>
          <w:color w:val="auto"/>
          <w:szCs w:val="24"/>
          <w:lang w:val="en-US" w:eastAsia="zh-CN"/>
        </w:rPr>
        <w:t>51</w:t>
      </w:r>
      <w:r>
        <w:rPr>
          <w:color w:val="auto"/>
          <w:szCs w:val="24"/>
        </w:rPr>
        <w:t>个关心点，各评价关注点坐标值见如下所示：</w:t>
      </w:r>
    </w:p>
    <w:p w14:paraId="75C3C1D5">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各敏感点的坐标及地面高程一览表</w:t>
      </w:r>
    </w:p>
    <w:tbl>
      <w:tblPr>
        <w:tblStyle w:val="38"/>
        <w:tblW w:w="905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15" w:type="dxa"/>
          <w:left w:w="15" w:type="dxa"/>
          <w:bottom w:w="15" w:type="dxa"/>
          <w:right w:w="15" w:type="dxa"/>
        </w:tblCellMar>
      </w:tblPr>
      <w:tblGrid>
        <w:gridCol w:w="844"/>
        <w:gridCol w:w="2053"/>
        <w:gridCol w:w="2054"/>
        <w:gridCol w:w="2053"/>
        <w:gridCol w:w="2052"/>
      </w:tblGrid>
      <w:tr w14:paraId="24D9F4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blHeader/>
        </w:trPr>
        <w:tc>
          <w:tcPr>
            <w:tcW w:w="844" w:type="dxa"/>
            <w:vAlign w:val="center"/>
          </w:tcPr>
          <w:p w14:paraId="4F0640DD">
            <w:pPr>
              <w:widowControl/>
              <w:spacing w:line="240" w:lineRule="auto"/>
              <w:ind w:firstLine="0" w:firstLineChars="0"/>
              <w:jc w:val="center"/>
              <w:textAlignment w:val="center"/>
              <w:rPr>
                <w:b/>
                <w:bCs/>
                <w:color w:val="auto"/>
                <w:sz w:val="21"/>
              </w:rPr>
            </w:pPr>
            <w:r>
              <w:rPr>
                <w:b/>
                <w:bCs/>
                <w:color w:val="auto"/>
                <w:sz w:val="21"/>
              </w:rPr>
              <w:t>序号</w:t>
            </w:r>
          </w:p>
        </w:tc>
        <w:tc>
          <w:tcPr>
            <w:tcW w:w="2053" w:type="dxa"/>
            <w:vAlign w:val="center"/>
          </w:tcPr>
          <w:p w14:paraId="1F1501E2">
            <w:pPr>
              <w:widowControl/>
              <w:spacing w:line="240" w:lineRule="auto"/>
              <w:ind w:firstLine="0" w:firstLineChars="0"/>
              <w:jc w:val="center"/>
              <w:textAlignment w:val="center"/>
              <w:rPr>
                <w:b/>
                <w:bCs/>
                <w:color w:val="auto"/>
                <w:sz w:val="21"/>
              </w:rPr>
            </w:pPr>
            <w:r>
              <w:rPr>
                <w:b/>
                <w:bCs/>
                <w:color w:val="auto"/>
                <w:sz w:val="21"/>
              </w:rPr>
              <w:t>名称</w:t>
            </w:r>
          </w:p>
        </w:tc>
        <w:tc>
          <w:tcPr>
            <w:tcW w:w="2054" w:type="dxa"/>
            <w:vAlign w:val="center"/>
          </w:tcPr>
          <w:p w14:paraId="79963FAB">
            <w:pPr>
              <w:widowControl/>
              <w:spacing w:line="240" w:lineRule="auto"/>
              <w:ind w:firstLine="0" w:firstLineChars="0"/>
              <w:jc w:val="center"/>
              <w:textAlignment w:val="center"/>
              <w:rPr>
                <w:b/>
                <w:bCs/>
                <w:color w:val="auto"/>
                <w:sz w:val="21"/>
              </w:rPr>
            </w:pPr>
            <w:r>
              <w:rPr>
                <w:b/>
                <w:bCs/>
                <w:color w:val="auto"/>
                <w:sz w:val="21"/>
              </w:rPr>
              <w:t>X（m）</w:t>
            </w:r>
          </w:p>
        </w:tc>
        <w:tc>
          <w:tcPr>
            <w:tcW w:w="2053" w:type="dxa"/>
            <w:vAlign w:val="center"/>
          </w:tcPr>
          <w:p w14:paraId="1AE10BFE">
            <w:pPr>
              <w:widowControl/>
              <w:spacing w:line="240" w:lineRule="auto"/>
              <w:ind w:firstLine="0" w:firstLineChars="0"/>
              <w:jc w:val="center"/>
              <w:textAlignment w:val="center"/>
              <w:rPr>
                <w:b/>
                <w:bCs/>
                <w:color w:val="auto"/>
                <w:sz w:val="21"/>
              </w:rPr>
            </w:pPr>
            <w:r>
              <w:rPr>
                <w:b/>
                <w:bCs/>
                <w:color w:val="auto"/>
                <w:sz w:val="21"/>
              </w:rPr>
              <w:t>Y（m）</w:t>
            </w:r>
          </w:p>
        </w:tc>
        <w:tc>
          <w:tcPr>
            <w:tcW w:w="2052" w:type="dxa"/>
            <w:vAlign w:val="center"/>
          </w:tcPr>
          <w:p w14:paraId="6FB4E68B">
            <w:pPr>
              <w:widowControl/>
              <w:spacing w:line="240" w:lineRule="auto"/>
              <w:ind w:firstLine="0" w:firstLineChars="0"/>
              <w:jc w:val="center"/>
              <w:textAlignment w:val="center"/>
              <w:rPr>
                <w:b/>
                <w:bCs/>
                <w:color w:val="auto"/>
                <w:sz w:val="21"/>
              </w:rPr>
            </w:pPr>
            <w:r>
              <w:rPr>
                <w:b/>
                <w:bCs/>
                <w:color w:val="auto"/>
                <w:sz w:val="21"/>
              </w:rPr>
              <w:t>地面高程（m）</w:t>
            </w:r>
          </w:p>
        </w:tc>
      </w:tr>
      <w:tr w14:paraId="59AE48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7B42A37">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4657E8FD">
            <w:pPr>
              <w:pStyle w:val="59"/>
              <w:bidi w:val="0"/>
              <w:rPr>
                <w:rFonts w:hint="eastAsia"/>
                <w:lang w:val="en-US" w:eastAsia="zh-CN"/>
              </w:rPr>
            </w:pPr>
            <w:r>
              <w:rPr>
                <w:rFonts w:hint="eastAsia"/>
              </w:rPr>
              <w:t>天伦</w:t>
            </w:r>
          </w:p>
        </w:tc>
        <w:tc>
          <w:tcPr>
            <w:tcW w:w="2054" w:type="dxa"/>
            <w:vAlign w:val="center"/>
          </w:tcPr>
          <w:p w14:paraId="78ECB60F">
            <w:pPr>
              <w:pStyle w:val="59"/>
              <w:bidi w:val="0"/>
            </w:pPr>
            <w:r>
              <w:rPr>
                <w:rFonts w:hint="eastAsia"/>
              </w:rPr>
              <w:t>-876</w:t>
            </w:r>
          </w:p>
        </w:tc>
        <w:tc>
          <w:tcPr>
            <w:tcW w:w="2053" w:type="dxa"/>
            <w:vAlign w:val="center"/>
          </w:tcPr>
          <w:p w14:paraId="164BBD3F">
            <w:pPr>
              <w:pStyle w:val="59"/>
              <w:bidi w:val="0"/>
            </w:pPr>
            <w:r>
              <w:rPr>
                <w:rFonts w:hint="eastAsia"/>
              </w:rPr>
              <w:t>130</w:t>
            </w:r>
          </w:p>
        </w:tc>
        <w:tc>
          <w:tcPr>
            <w:tcW w:w="2052" w:type="dxa"/>
            <w:vAlign w:val="center"/>
          </w:tcPr>
          <w:p w14:paraId="0DFCA4F2">
            <w:pPr>
              <w:pStyle w:val="59"/>
              <w:bidi w:val="0"/>
            </w:pPr>
            <w:r>
              <w:rPr>
                <w:rFonts w:hint="eastAsia"/>
              </w:rPr>
              <w:t>10.59</w:t>
            </w:r>
          </w:p>
        </w:tc>
      </w:tr>
      <w:tr w14:paraId="3B9042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47D6309">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36944E44">
            <w:pPr>
              <w:pStyle w:val="59"/>
              <w:bidi w:val="0"/>
              <w:rPr>
                <w:rFonts w:hint="eastAsia"/>
                <w:lang w:val="en-US" w:eastAsia="zh-CN"/>
              </w:rPr>
            </w:pPr>
            <w:r>
              <w:rPr>
                <w:rFonts w:hint="eastAsia"/>
              </w:rPr>
              <w:t>水楼</w:t>
            </w:r>
          </w:p>
        </w:tc>
        <w:tc>
          <w:tcPr>
            <w:tcW w:w="2054" w:type="dxa"/>
            <w:vAlign w:val="center"/>
          </w:tcPr>
          <w:p w14:paraId="4A960A7F">
            <w:pPr>
              <w:pStyle w:val="59"/>
              <w:bidi w:val="0"/>
            </w:pPr>
            <w:r>
              <w:rPr>
                <w:rFonts w:hint="eastAsia"/>
              </w:rPr>
              <w:t>-472</w:t>
            </w:r>
          </w:p>
        </w:tc>
        <w:tc>
          <w:tcPr>
            <w:tcW w:w="2053" w:type="dxa"/>
            <w:vAlign w:val="center"/>
          </w:tcPr>
          <w:p w14:paraId="4BE59C9D">
            <w:pPr>
              <w:pStyle w:val="59"/>
              <w:bidi w:val="0"/>
            </w:pPr>
            <w:r>
              <w:rPr>
                <w:rFonts w:hint="eastAsia"/>
              </w:rPr>
              <w:t>507</w:t>
            </w:r>
          </w:p>
        </w:tc>
        <w:tc>
          <w:tcPr>
            <w:tcW w:w="2052" w:type="dxa"/>
            <w:vAlign w:val="center"/>
          </w:tcPr>
          <w:p w14:paraId="34CDBCA9">
            <w:pPr>
              <w:pStyle w:val="59"/>
              <w:bidi w:val="0"/>
            </w:pPr>
            <w:r>
              <w:rPr>
                <w:rFonts w:hint="eastAsia"/>
              </w:rPr>
              <w:t>9.88</w:t>
            </w:r>
          </w:p>
        </w:tc>
      </w:tr>
      <w:tr w14:paraId="7CFB79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126F71BF">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4175C713">
            <w:pPr>
              <w:pStyle w:val="59"/>
              <w:bidi w:val="0"/>
              <w:rPr>
                <w:rFonts w:hint="eastAsia"/>
                <w:lang w:val="en-US" w:eastAsia="zh-CN"/>
              </w:rPr>
            </w:pPr>
            <w:r>
              <w:rPr>
                <w:rFonts w:hint="eastAsia"/>
              </w:rPr>
              <w:t>中和</w:t>
            </w:r>
          </w:p>
        </w:tc>
        <w:tc>
          <w:tcPr>
            <w:tcW w:w="2054" w:type="dxa"/>
            <w:vAlign w:val="center"/>
          </w:tcPr>
          <w:p w14:paraId="1001198C">
            <w:pPr>
              <w:pStyle w:val="59"/>
              <w:bidi w:val="0"/>
            </w:pPr>
            <w:r>
              <w:rPr>
                <w:rFonts w:hint="eastAsia"/>
              </w:rPr>
              <w:t>-286</w:t>
            </w:r>
          </w:p>
        </w:tc>
        <w:tc>
          <w:tcPr>
            <w:tcW w:w="2053" w:type="dxa"/>
            <w:vAlign w:val="center"/>
          </w:tcPr>
          <w:p w14:paraId="437FCFC7">
            <w:pPr>
              <w:pStyle w:val="59"/>
              <w:bidi w:val="0"/>
            </w:pPr>
            <w:r>
              <w:rPr>
                <w:rFonts w:hint="eastAsia"/>
              </w:rPr>
              <w:t>795</w:t>
            </w:r>
          </w:p>
        </w:tc>
        <w:tc>
          <w:tcPr>
            <w:tcW w:w="2052" w:type="dxa"/>
            <w:vAlign w:val="center"/>
          </w:tcPr>
          <w:p w14:paraId="6B2FEBE9">
            <w:pPr>
              <w:pStyle w:val="59"/>
              <w:bidi w:val="0"/>
            </w:pPr>
            <w:r>
              <w:rPr>
                <w:rFonts w:hint="eastAsia"/>
              </w:rPr>
              <w:t>3.04</w:t>
            </w:r>
          </w:p>
        </w:tc>
      </w:tr>
      <w:tr w14:paraId="542E8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5C884F37">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77BE17E6">
            <w:pPr>
              <w:pStyle w:val="59"/>
              <w:bidi w:val="0"/>
              <w:rPr>
                <w:rFonts w:hint="eastAsia"/>
                <w:lang w:val="en-US" w:eastAsia="zh-CN"/>
              </w:rPr>
            </w:pPr>
            <w:r>
              <w:rPr>
                <w:rFonts w:hint="eastAsia"/>
              </w:rPr>
              <w:t>新岗</w:t>
            </w:r>
          </w:p>
        </w:tc>
        <w:tc>
          <w:tcPr>
            <w:tcW w:w="2054" w:type="dxa"/>
            <w:vAlign w:val="center"/>
          </w:tcPr>
          <w:p w14:paraId="7DE8280C">
            <w:pPr>
              <w:pStyle w:val="59"/>
              <w:bidi w:val="0"/>
            </w:pPr>
            <w:r>
              <w:rPr>
                <w:rFonts w:hint="eastAsia"/>
              </w:rPr>
              <w:t>-140</w:t>
            </w:r>
          </w:p>
        </w:tc>
        <w:tc>
          <w:tcPr>
            <w:tcW w:w="2053" w:type="dxa"/>
            <w:vAlign w:val="center"/>
          </w:tcPr>
          <w:p w14:paraId="5C3EEED1">
            <w:pPr>
              <w:pStyle w:val="59"/>
              <w:bidi w:val="0"/>
            </w:pPr>
            <w:r>
              <w:rPr>
                <w:rFonts w:hint="eastAsia"/>
              </w:rPr>
              <w:t>161</w:t>
            </w:r>
          </w:p>
        </w:tc>
        <w:tc>
          <w:tcPr>
            <w:tcW w:w="2052" w:type="dxa"/>
            <w:vAlign w:val="center"/>
          </w:tcPr>
          <w:p w14:paraId="67F8D9E2">
            <w:pPr>
              <w:pStyle w:val="59"/>
              <w:bidi w:val="0"/>
            </w:pPr>
            <w:r>
              <w:rPr>
                <w:rFonts w:hint="eastAsia"/>
              </w:rPr>
              <w:t>9.46</w:t>
            </w:r>
          </w:p>
        </w:tc>
      </w:tr>
      <w:tr w14:paraId="6C745B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AEDA5DD">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41860910">
            <w:pPr>
              <w:pStyle w:val="59"/>
              <w:bidi w:val="0"/>
              <w:rPr>
                <w:rFonts w:hint="eastAsia"/>
                <w:lang w:val="en-US" w:eastAsia="zh-CN"/>
              </w:rPr>
            </w:pPr>
            <w:r>
              <w:rPr>
                <w:rFonts w:hint="eastAsia"/>
              </w:rPr>
              <w:t>龙井</w:t>
            </w:r>
          </w:p>
        </w:tc>
        <w:tc>
          <w:tcPr>
            <w:tcW w:w="2054" w:type="dxa"/>
            <w:vAlign w:val="center"/>
          </w:tcPr>
          <w:p w14:paraId="776759EB">
            <w:pPr>
              <w:pStyle w:val="59"/>
              <w:bidi w:val="0"/>
            </w:pPr>
            <w:r>
              <w:rPr>
                <w:rFonts w:hint="eastAsia"/>
              </w:rPr>
              <w:t>-268</w:t>
            </w:r>
          </w:p>
        </w:tc>
        <w:tc>
          <w:tcPr>
            <w:tcW w:w="2053" w:type="dxa"/>
            <w:vAlign w:val="center"/>
          </w:tcPr>
          <w:p w14:paraId="2DFEC362">
            <w:pPr>
              <w:pStyle w:val="59"/>
              <w:bidi w:val="0"/>
            </w:pPr>
            <w:r>
              <w:rPr>
                <w:rFonts w:hint="eastAsia"/>
              </w:rPr>
              <w:t>449</w:t>
            </w:r>
          </w:p>
        </w:tc>
        <w:tc>
          <w:tcPr>
            <w:tcW w:w="2052" w:type="dxa"/>
            <w:vAlign w:val="center"/>
          </w:tcPr>
          <w:p w14:paraId="78D4BDEB">
            <w:pPr>
              <w:pStyle w:val="59"/>
              <w:bidi w:val="0"/>
            </w:pPr>
            <w:r>
              <w:rPr>
                <w:rFonts w:hint="eastAsia"/>
              </w:rPr>
              <w:t>10.32</w:t>
            </w:r>
          </w:p>
        </w:tc>
      </w:tr>
      <w:tr w14:paraId="512D37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2BB67A15">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6B1A84B3">
            <w:pPr>
              <w:pStyle w:val="59"/>
              <w:bidi w:val="0"/>
              <w:rPr>
                <w:rFonts w:hint="eastAsia"/>
                <w:lang w:val="en-US" w:eastAsia="zh-CN"/>
              </w:rPr>
            </w:pPr>
            <w:r>
              <w:rPr>
                <w:rFonts w:hint="eastAsia"/>
              </w:rPr>
              <w:t>大江头</w:t>
            </w:r>
          </w:p>
        </w:tc>
        <w:tc>
          <w:tcPr>
            <w:tcW w:w="2054" w:type="dxa"/>
            <w:vAlign w:val="center"/>
          </w:tcPr>
          <w:p w14:paraId="6776485C">
            <w:pPr>
              <w:pStyle w:val="59"/>
              <w:bidi w:val="0"/>
            </w:pPr>
            <w:r>
              <w:rPr>
                <w:rFonts w:hint="eastAsia"/>
              </w:rPr>
              <w:t>-1280</w:t>
            </w:r>
          </w:p>
        </w:tc>
        <w:tc>
          <w:tcPr>
            <w:tcW w:w="2053" w:type="dxa"/>
            <w:vAlign w:val="center"/>
          </w:tcPr>
          <w:p w14:paraId="4F5442B4">
            <w:pPr>
              <w:pStyle w:val="59"/>
              <w:bidi w:val="0"/>
            </w:pPr>
            <w:r>
              <w:rPr>
                <w:rFonts w:hint="eastAsia"/>
              </w:rPr>
              <w:t>-407</w:t>
            </w:r>
          </w:p>
        </w:tc>
        <w:tc>
          <w:tcPr>
            <w:tcW w:w="2052" w:type="dxa"/>
            <w:vAlign w:val="center"/>
          </w:tcPr>
          <w:p w14:paraId="01A336FD">
            <w:pPr>
              <w:pStyle w:val="59"/>
              <w:bidi w:val="0"/>
            </w:pPr>
            <w:r>
              <w:rPr>
                <w:rFonts w:hint="eastAsia"/>
              </w:rPr>
              <w:t>23.99</w:t>
            </w:r>
          </w:p>
        </w:tc>
      </w:tr>
      <w:tr w14:paraId="37E2DB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22412313">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38137C85">
            <w:pPr>
              <w:pStyle w:val="59"/>
              <w:bidi w:val="0"/>
              <w:rPr>
                <w:rFonts w:hint="eastAsia"/>
                <w:lang w:val="en-US" w:eastAsia="zh-CN"/>
              </w:rPr>
            </w:pPr>
            <w:r>
              <w:rPr>
                <w:rFonts w:hint="eastAsia"/>
              </w:rPr>
              <w:t>小江头</w:t>
            </w:r>
          </w:p>
        </w:tc>
        <w:tc>
          <w:tcPr>
            <w:tcW w:w="2054" w:type="dxa"/>
            <w:vAlign w:val="center"/>
          </w:tcPr>
          <w:p w14:paraId="566913EC">
            <w:pPr>
              <w:pStyle w:val="59"/>
              <w:bidi w:val="0"/>
            </w:pPr>
            <w:r>
              <w:rPr>
                <w:rFonts w:hint="eastAsia"/>
              </w:rPr>
              <w:t>-849</w:t>
            </w:r>
          </w:p>
        </w:tc>
        <w:tc>
          <w:tcPr>
            <w:tcW w:w="2053" w:type="dxa"/>
            <w:vAlign w:val="center"/>
          </w:tcPr>
          <w:p w14:paraId="2F4C94C0">
            <w:pPr>
              <w:pStyle w:val="59"/>
              <w:bidi w:val="0"/>
            </w:pPr>
            <w:r>
              <w:rPr>
                <w:rFonts w:hint="eastAsia"/>
              </w:rPr>
              <w:t>-660</w:t>
            </w:r>
          </w:p>
        </w:tc>
        <w:tc>
          <w:tcPr>
            <w:tcW w:w="2052" w:type="dxa"/>
            <w:vAlign w:val="center"/>
          </w:tcPr>
          <w:p w14:paraId="55A1877D">
            <w:pPr>
              <w:pStyle w:val="59"/>
              <w:bidi w:val="0"/>
            </w:pPr>
            <w:r>
              <w:rPr>
                <w:rFonts w:hint="eastAsia"/>
              </w:rPr>
              <w:t>12.2</w:t>
            </w:r>
          </w:p>
        </w:tc>
      </w:tr>
      <w:tr w14:paraId="3F02A5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F39A95D">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525A8487">
            <w:pPr>
              <w:pStyle w:val="59"/>
              <w:bidi w:val="0"/>
              <w:rPr>
                <w:rFonts w:hint="default"/>
                <w:lang w:val="en-US" w:eastAsia="zh-CN"/>
              </w:rPr>
            </w:pPr>
            <w:r>
              <w:rPr>
                <w:rFonts w:hint="eastAsia"/>
              </w:rPr>
              <w:t>前江</w:t>
            </w:r>
          </w:p>
        </w:tc>
        <w:tc>
          <w:tcPr>
            <w:tcW w:w="2054" w:type="dxa"/>
            <w:vAlign w:val="center"/>
          </w:tcPr>
          <w:p w14:paraId="6D362836">
            <w:pPr>
              <w:pStyle w:val="59"/>
              <w:bidi w:val="0"/>
            </w:pPr>
            <w:r>
              <w:rPr>
                <w:rFonts w:hint="eastAsia"/>
              </w:rPr>
              <w:t>308</w:t>
            </w:r>
          </w:p>
        </w:tc>
        <w:tc>
          <w:tcPr>
            <w:tcW w:w="2053" w:type="dxa"/>
            <w:vAlign w:val="center"/>
          </w:tcPr>
          <w:p w14:paraId="3F582CCB">
            <w:pPr>
              <w:pStyle w:val="59"/>
              <w:bidi w:val="0"/>
            </w:pPr>
            <w:r>
              <w:rPr>
                <w:rFonts w:hint="eastAsia"/>
              </w:rPr>
              <w:t>-642</w:t>
            </w:r>
          </w:p>
        </w:tc>
        <w:tc>
          <w:tcPr>
            <w:tcW w:w="2052" w:type="dxa"/>
            <w:vAlign w:val="center"/>
          </w:tcPr>
          <w:p w14:paraId="0ADC7481">
            <w:pPr>
              <w:pStyle w:val="59"/>
              <w:bidi w:val="0"/>
            </w:pPr>
            <w:r>
              <w:rPr>
                <w:rFonts w:hint="eastAsia"/>
              </w:rPr>
              <w:t>15.41</w:t>
            </w:r>
          </w:p>
        </w:tc>
      </w:tr>
      <w:tr w14:paraId="46715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16B14809">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357869D7">
            <w:pPr>
              <w:pStyle w:val="59"/>
              <w:bidi w:val="0"/>
              <w:rPr>
                <w:rFonts w:hint="default"/>
                <w:lang w:val="en-US" w:eastAsia="zh-CN"/>
              </w:rPr>
            </w:pPr>
            <w:r>
              <w:rPr>
                <w:rFonts w:hint="eastAsia"/>
              </w:rPr>
              <w:t>江里</w:t>
            </w:r>
          </w:p>
        </w:tc>
        <w:tc>
          <w:tcPr>
            <w:tcW w:w="2054" w:type="dxa"/>
            <w:vAlign w:val="center"/>
          </w:tcPr>
          <w:p w14:paraId="70C57635">
            <w:pPr>
              <w:pStyle w:val="59"/>
              <w:bidi w:val="0"/>
            </w:pPr>
            <w:r>
              <w:rPr>
                <w:rFonts w:hint="eastAsia"/>
              </w:rPr>
              <w:t>60</w:t>
            </w:r>
          </w:p>
        </w:tc>
        <w:tc>
          <w:tcPr>
            <w:tcW w:w="2053" w:type="dxa"/>
            <w:vAlign w:val="center"/>
          </w:tcPr>
          <w:p w14:paraId="40EC9EC7">
            <w:pPr>
              <w:pStyle w:val="59"/>
              <w:bidi w:val="0"/>
            </w:pPr>
            <w:r>
              <w:rPr>
                <w:rFonts w:hint="eastAsia"/>
              </w:rPr>
              <w:t>347</w:t>
            </w:r>
          </w:p>
        </w:tc>
        <w:tc>
          <w:tcPr>
            <w:tcW w:w="2052" w:type="dxa"/>
            <w:vAlign w:val="center"/>
          </w:tcPr>
          <w:p w14:paraId="5DAFF332">
            <w:pPr>
              <w:pStyle w:val="59"/>
              <w:bidi w:val="0"/>
            </w:pPr>
            <w:r>
              <w:rPr>
                <w:rFonts w:hint="eastAsia"/>
              </w:rPr>
              <w:t>11.89</w:t>
            </w:r>
          </w:p>
        </w:tc>
      </w:tr>
      <w:tr w14:paraId="3AF8D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D924CB6">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79B0E199">
            <w:pPr>
              <w:pStyle w:val="59"/>
              <w:bidi w:val="0"/>
              <w:rPr>
                <w:rFonts w:hint="default"/>
                <w:lang w:val="en-US" w:eastAsia="zh-CN"/>
              </w:rPr>
            </w:pPr>
            <w:r>
              <w:rPr>
                <w:rFonts w:hint="eastAsia"/>
              </w:rPr>
              <w:t>罗江</w:t>
            </w:r>
          </w:p>
        </w:tc>
        <w:tc>
          <w:tcPr>
            <w:tcW w:w="2054" w:type="dxa"/>
            <w:vAlign w:val="center"/>
          </w:tcPr>
          <w:p w14:paraId="6B4FAA95">
            <w:pPr>
              <w:pStyle w:val="59"/>
              <w:bidi w:val="0"/>
            </w:pPr>
            <w:r>
              <w:rPr>
                <w:rFonts w:hint="eastAsia"/>
              </w:rPr>
              <w:t>787</w:t>
            </w:r>
          </w:p>
        </w:tc>
        <w:tc>
          <w:tcPr>
            <w:tcW w:w="2053" w:type="dxa"/>
            <w:vAlign w:val="center"/>
          </w:tcPr>
          <w:p w14:paraId="32C11DC2">
            <w:pPr>
              <w:pStyle w:val="59"/>
              <w:bidi w:val="0"/>
            </w:pPr>
            <w:r>
              <w:rPr>
                <w:rFonts w:hint="eastAsia"/>
              </w:rPr>
              <w:t>-762</w:t>
            </w:r>
          </w:p>
        </w:tc>
        <w:tc>
          <w:tcPr>
            <w:tcW w:w="2052" w:type="dxa"/>
            <w:vAlign w:val="center"/>
          </w:tcPr>
          <w:p w14:paraId="6CDE96F9">
            <w:pPr>
              <w:pStyle w:val="59"/>
              <w:bidi w:val="0"/>
            </w:pPr>
            <w:r>
              <w:rPr>
                <w:rFonts w:hint="eastAsia"/>
              </w:rPr>
              <w:t>9.03</w:t>
            </w:r>
          </w:p>
        </w:tc>
      </w:tr>
      <w:tr w14:paraId="7E3794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8B97115">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05EAF095">
            <w:pPr>
              <w:pStyle w:val="59"/>
              <w:bidi w:val="0"/>
              <w:rPr>
                <w:rFonts w:hint="default"/>
                <w:lang w:val="en-US" w:eastAsia="zh-CN"/>
              </w:rPr>
            </w:pPr>
            <w:r>
              <w:rPr>
                <w:rFonts w:hint="eastAsia"/>
              </w:rPr>
              <w:t>梧坑</w:t>
            </w:r>
          </w:p>
        </w:tc>
        <w:tc>
          <w:tcPr>
            <w:tcW w:w="2054" w:type="dxa"/>
            <w:vAlign w:val="center"/>
          </w:tcPr>
          <w:p w14:paraId="415A4058">
            <w:pPr>
              <w:pStyle w:val="59"/>
              <w:bidi w:val="0"/>
            </w:pPr>
            <w:r>
              <w:rPr>
                <w:rFonts w:hint="eastAsia"/>
              </w:rPr>
              <w:t>286</w:t>
            </w:r>
          </w:p>
        </w:tc>
        <w:tc>
          <w:tcPr>
            <w:tcW w:w="2053" w:type="dxa"/>
            <w:vAlign w:val="center"/>
          </w:tcPr>
          <w:p w14:paraId="0181AA36">
            <w:pPr>
              <w:pStyle w:val="59"/>
              <w:bidi w:val="0"/>
            </w:pPr>
            <w:r>
              <w:rPr>
                <w:rFonts w:hint="eastAsia"/>
              </w:rPr>
              <w:t>-25</w:t>
            </w:r>
          </w:p>
        </w:tc>
        <w:tc>
          <w:tcPr>
            <w:tcW w:w="2052" w:type="dxa"/>
            <w:vAlign w:val="center"/>
          </w:tcPr>
          <w:p w14:paraId="6308625C">
            <w:pPr>
              <w:pStyle w:val="59"/>
              <w:bidi w:val="0"/>
            </w:pPr>
            <w:r>
              <w:rPr>
                <w:rFonts w:hint="eastAsia"/>
              </w:rPr>
              <w:t>15.46</w:t>
            </w:r>
          </w:p>
        </w:tc>
      </w:tr>
      <w:tr w14:paraId="743FA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5B2CC62E">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5C06B6DA">
            <w:pPr>
              <w:pStyle w:val="59"/>
              <w:bidi w:val="0"/>
              <w:rPr>
                <w:rFonts w:hint="default"/>
                <w:lang w:val="en-US" w:eastAsia="zh-CN"/>
              </w:rPr>
            </w:pPr>
            <w:r>
              <w:rPr>
                <w:rFonts w:hint="eastAsia"/>
              </w:rPr>
              <w:t>六联</w:t>
            </w:r>
          </w:p>
        </w:tc>
        <w:tc>
          <w:tcPr>
            <w:tcW w:w="2054" w:type="dxa"/>
            <w:vAlign w:val="center"/>
          </w:tcPr>
          <w:p w14:paraId="618D1EDE">
            <w:pPr>
              <w:pStyle w:val="59"/>
              <w:bidi w:val="0"/>
            </w:pPr>
            <w:r>
              <w:rPr>
                <w:rFonts w:hint="eastAsia"/>
              </w:rPr>
              <w:t>91</w:t>
            </w:r>
          </w:p>
        </w:tc>
        <w:tc>
          <w:tcPr>
            <w:tcW w:w="2053" w:type="dxa"/>
            <w:vAlign w:val="center"/>
          </w:tcPr>
          <w:p w14:paraId="7E065A5D">
            <w:pPr>
              <w:pStyle w:val="59"/>
              <w:bidi w:val="0"/>
            </w:pPr>
            <w:r>
              <w:rPr>
                <w:rFonts w:hint="eastAsia"/>
              </w:rPr>
              <w:t>143</w:t>
            </w:r>
          </w:p>
        </w:tc>
        <w:tc>
          <w:tcPr>
            <w:tcW w:w="2052" w:type="dxa"/>
            <w:vAlign w:val="center"/>
          </w:tcPr>
          <w:p w14:paraId="6657A12A">
            <w:pPr>
              <w:pStyle w:val="59"/>
              <w:bidi w:val="0"/>
            </w:pPr>
            <w:r>
              <w:rPr>
                <w:rFonts w:hint="eastAsia"/>
              </w:rPr>
              <w:t>6.51</w:t>
            </w:r>
          </w:p>
        </w:tc>
      </w:tr>
      <w:tr w14:paraId="63EF20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C36C51F">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61EA6A29">
            <w:pPr>
              <w:pStyle w:val="59"/>
              <w:bidi w:val="0"/>
              <w:rPr>
                <w:rFonts w:hint="default"/>
                <w:lang w:val="en-US" w:eastAsia="zh-CN"/>
              </w:rPr>
            </w:pPr>
            <w:r>
              <w:rPr>
                <w:rFonts w:hint="eastAsia"/>
              </w:rPr>
              <w:t>古劳中学</w:t>
            </w:r>
          </w:p>
        </w:tc>
        <w:tc>
          <w:tcPr>
            <w:tcW w:w="2054" w:type="dxa"/>
            <w:vAlign w:val="center"/>
          </w:tcPr>
          <w:p w14:paraId="503E9CCA">
            <w:pPr>
              <w:pStyle w:val="59"/>
              <w:bidi w:val="0"/>
            </w:pPr>
            <w:r>
              <w:rPr>
                <w:rFonts w:hint="eastAsia"/>
              </w:rPr>
              <w:t>180</w:t>
            </w:r>
          </w:p>
        </w:tc>
        <w:tc>
          <w:tcPr>
            <w:tcW w:w="2053" w:type="dxa"/>
            <w:vAlign w:val="center"/>
          </w:tcPr>
          <w:p w14:paraId="55253B63">
            <w:pPr>
              <w:pStyle w:val="59"/>
              <w:bidi w:val="0"/>
            </w:pPr>
            <w:r>
              <w:rPr>
                <w:rFonts w:hint="eastAsia"/>
              </w:rPr>
              <w:t>-287</w:t>
            </w:r>
          </w:p>
        </w:tc>
        <w:tc>
          <w:tcPr>
            <w:tcW w:w="2052" w:type="dxa"/>
            <w:vAlign w:val="center"/>
          </w:tcPr>
          <w:p w14:paraId="7E9B9501">
            <w:pPr>
              <w:pStyle w:val="59"/>
              <w:bidi w:val="0"/>
            </w:pPr>
            <w:r>
              <w:rPr>
                <w:rFonts w:hint="eastAsia"/>
              </w:rPr>
              <w:t>11.84</w:t>
            </w:r>
          </w:p>
        </w:tc>
      </w:tr>
      <w:tr w14:paraId="1FB570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06D9FF2">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1074A60C">
            <w:pPr>
              <w:pStyle w:val="59"/>
              <w:bidi w:val="0"/>
              <w:rPr>
                <w:rFonts w:hint="default"/>
                <w:lang w:val="en-US" w:eastAsia="zh-CN"/>
              </w:rPr>
            </w:pPr>
            <w:r>
              <w:rPr>
                <w:rFonts w:hint="eastAsia"/>
              </w:rPr>
              <w:t>连城幼儿园</w:t>
            </w:r>
          </w:p>
        </w:tc>
        <w:tc>
          <w:tcPr>
            <w:tcW w:w="2054" w:type="dxa"/>
            <w:vAlign w:val="center"/>
          </w:tcPr>
          <w:p w14:paraId="511FB537">
            <w:pPr>
              <w:pStyle w:val="59"/>
              <w:bidi w:val="0"/>
            </w:pPr>
            <w:r>
              <w:rPr>
                <w:rFonts w:hint="eastAsia"/>
              </w:rPr>
              <w:t>-694</w:t>
            </w:r>
          </w:p>
        </w:tc>
        <w:tc>
          <w:tcPr>
            <w:tcW w:w="2053" w:type="dxa"/>
            <w:vAlign w:val="center"/>
          </w:tcPr>
          <w:p w14:paraId="7B439181">
            <w:pPr>
              <w:pStyle w:val="59"/>
              <w:bidi w:val="0"/>
            </w:pPr>
            <w:r>
              <w:rPr>
                <w:rFonts w:hint="eastAsia"/>
              </w:rPr>
              <w:t>130</w:t>
            </w:r>
          </w:p>
        </w:tc>
        <w:tc>
          <w:tcPr>
            <w:tcW w:w="2052" w:type="dxa"/>
            <w:vAlign w:val="center"/>
          </w:tcPr>
          <w:p w14:paraId="48F409D3">
            <w:pPr>
              <w:pStyle w:val="59"/>
              <w:bidi w:val="0"/>
            </w:pPr>
            <w:r>
              <w:rPr>
                <w:rFonts w:hint="eastAsia"/>
              </w:rPr>
              <w:t>14.64</w:t>
            </w:r>
          </w:p>
        </w:tc>
      </w:tr>
      <w:tr w14:paraId="79816E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4BCF5779">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7FB4BB5F">
            <w:pPr>
              <w:pStyle w:val="59"/>
              <w:bidi w:val="0"/>
              <w:rPr>
                <w:rFonts w:hint="default"/>
                <w:lang w:val="en-US" w:eastAsia="zh-CN"/>
              </w:rPr>
            </w:pPr>
            <w:r>
              <w:rPr>
                <w:rFonts w:hint="eastAsia"/>
              </w:rPr>
              <w:t>连南小学</w:t>
            </w:r>
          </w:p>
        </w:tc>
        <w:tc>
          <w:tcPr>
            <w:tcW w:w="2054" w:type="dxa"/>
            <w:vAlign w:val="center"/>
          </w:tcPr>
          <w:p w14:paraId="13A5E787">
            <w:pPr>
              <w:pStyle w:val="59"/>
              <w:bidi w:val="0"/>
            </w:pPr>
            <w:r>
              <w:rPr>
                <w:rFonts w:hint="eastAsia"/>
              </w:rPr>
              <w:t>523</w:t>
            </w:r>
          </w:p>
        </w:tc>
        <w:tc>
          <w:tcPr>
            <w:tcW w:w="2053" w:type="dxa"/>
            <w:vAlign w:val="center"/>
          </w:tcPr>
          <w:p w14:paraId="79A4FFA2">
            <w:pPr>
              <w:pStyle w:val="59"/>
              <w:bidi w:val="0"/>
            </w:pPr>
            <w:r>
              <w:rPr>
                <w:rFonts w:hint="eastAsia"/>
              </w:rPr>
              <w:t>-764</w:t>
            </w:r>
          </w:p>
        </w:tc>
        <w:tc>
          <w:tcPr>
            <w:tcW w:w="2052" w:type="dxa"/>
            <w:vAlign w:val="center"/>
          </w:tcPr>
          <w:p w14:paraId="5C782814">
            <w:pPr>
              <w:pStyle w:val="59"/>
              <w:bidi w:val="0"/>
            </w:pPr>
            <w:r>
              <w:rPr>
                <w:rFonts w:hint="eastAsia"/>
              </w:rPr>
              <w:t>8.17</w:t>
            </w:r>
          </w:p>
        </w:tc>
      </w:tr>
      <w:tr w14:paraId="607583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59D5D92E">
            <w:pPr>
              <w:widowControl/>
              <w:numPr>
                <w:ilvl w:val="0"/>
                <w:numId w:val="40"/>
              </w:numPr>
              <w:spacing w:line="240" w:lineRule="auto"/>
              <w:ind w:left="425" w:leftChars="0" w:hanging="425" w:firstLineChars="0"/>
              <w:jc w:val="center"/>
              <w:textAlignment w:val="center"/>
              <w:rPr>
                <w:color w:val="auto"/>
                <w:sz w:val="21"/>
              </w:rPr>
            </w:pPr>
          </w:p>
        </w:tc>
        <w:tc>
          <w:tcPr>
            <w:tcW w:w="2053" w:type="dxa"/>
            <w:shd w:val="clear" w:color="auto" w:fill="FFFFFF"/>
            <w:vAlign w:val="center"/>
          </w:tcPr>
          <w:p w14:paraId="72FCDFCE">
            <w:pPr>
              <w:pStyle w:val="59"/>
              <w:bidi w:val="0"/>
              <w:rPr>
                <w:rFonts w:hint="eastAsia"/>
                <w:lang w:val="en-US" w:eastAsia="zh-CN"/>
              </w:rPr>
            </w:pPr>
            <w:r>
              <w:rPr>
                <w:rFonts w:hint="eastAsia"/>
              </w:rPr>
              <w:t>大埠村</w:t>
            </w:r>
          </w:p>
        </w:tc>
        <w:tc>
          <w:tcPr>
            <w:tcW w:w="2054" w:type="dxa"/>
            <w:vAlign w:val="center"/>
          </w:tcPr>
          <w:p w14:paraId="091AE655">
            <w:pPr>
              <w:pStyle w:val="59"/>
              <w:bidi w:val="0"/>
            </w:pPr>
            <w:r>
              <w:rPr>
                <w:rFonts w:hint="eastAsia"/>
              </w:rPr>
              <w:t>183</w:t>
            </w:r>
          </w:p>
        </w:tc>
        <w:tc>
          <w:tcPr>
            <w:tcW w:w="2053" w:type="dxa"/>
            <w:vAlign w:val="center"/>
          </w:tcPr>
          <w:p w14:paraId="62FC8AEB">
            <w:pPr>
              <w:pStyle w:val="59"/>
              <w:bidi w:val="0"/>
            </w:pPr>
            <w:r>
              <w:rPr>
                <w:rFonts w:hint="eastAsia"/>
              </w:rPr>
              <w:t>1270</w:t>
            </w:r>
          </w:p>
        </w:tc>
        <w:tc>
          <w:tcPr>
            <w:tcW w:w="2052" w:type="dxa"/>
            <w:vAlign w:val="center"/>
          </w:tcPr>
          <w:p w14:paraId="5FD5F0E2">
            <w:pPr>
              <w:pStyle w:val="59"/>
              <w:bidi w:val="0"/>
            </w:pPr>
            <w:r>
              <w:rPr>
                <w:rFonts w:hint="eastAsia"/>
              </w:rPr>
              <w:t>4.92</w:t>
            </w:r>
          </w:p>
        </w:tc>
      </w:tr>
      <w:tr w14:paraId="7EC20F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297B7922">
            <w:pPr>
              <w:pStyle w:val="59"/>
              <w:numPr>
                <w:ilvl w:val="0"/>
                <w:numId w:val="40"/>
              </w:numPr>
              <w:ind w:left="425" w:leftChars="0" w:hanging="425" w:firstLineChars="0"/>
              <w:jc w:val="center"/>
              <w:rPr>
                <w:color w:val="auto"/>
              </w:rPr>
            </w:pPr>
          </w:p>
        </w:tc>
        <w:tc>
          <w:tcPr>
            <w:tcW w:w="2053" w:type="dxa"/>
            <w:shd w:val="clear" w:color="auto" w:fill="FFFFFF"/>
            <w:vAlign w:val="center"/>
          </w:tcPr>
          <w:p w14:paraId="1EB3BCE2">
            <w:pPr>
              <w:pStyle w:val="59"/>
              <w:bidi w:val="0"/>
              <w:rPr>
                <w:rFonts w:hint="default"/>
                <w:lang w:val="en-US" w:eastAsia="zh-CN"/>
              </w:rPr>
            </w:pPr>
            <w:r>
              <w:rPr>
                <w:rFonts w:hint="eastAsia"/>
              </w:rPr>
              <w:t>连北村</w:t>
            </w:r>
          </w:p>
        </w:tc>
        <w:tc>
          <w:tcPr>
            <w:tcW w:w="2054" w:type="dxa"/>
            <w:vAlign w:val="center"/>
          </w:tcPr>
          <w:p w14:paraId="7011A189">
            <w:pPr>
              <w:pStyle w:val="59"/>
              <w:bidi w:val="0"/>
            </w:pPr>
            <w:r>
              <w:rPr>
                <w:rFonts w:hint="eastAsia"/>
              </w:rPr>
              <w:t>-142</w:t>
            </w:r>
          </w:p>
        </w:tc>
        <w:tc>
          <w:tcPr>
            <w:tcW w:w="2053" w:type="dxa"/>
            <w:vAlign w:val="center"/>
          </w:tcPr>
          <w:p w14:paraId="64AC5730">
            <w:pPr>
              <w:pStyle w:val="59"/>
              <w:bidi w:val="0"/>
            </w:pPr>
            <w:r>
              <w:rPr>
                <w:rFonts w:hint="eastAsia"/>
              </w:rPr>
              <w:t>1330</w:t>
            </w:r>
          </w:p>
        </w:tc>
        <w:tc>
          <w:tcPr>
            <w:tcW w:w="2052" w:type="dxa"/>
            <w:vAlign w:val="center"/>
          </w:tcPr>
          <w:p w14:paraId="0E4839B4">
            <w:pPr>
              <w:pStyle w:val="59"/>
              <w:bidi w:val="0"/>
            </w:pPr>
            <w:r>
              <w:rPr>
                <w:rFonts w:hint="eastAsia"/>
              </w:rPr>
              <w:t>17</w:t>
            </w:r>
          </w:p>
        </w:tc>
      </w:tr>
      <w:tr w14:paraId="7D772F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037A6FC2">
            <w:pPr>
              <w:pStyle w:val="69"/>
              <w:numPr>
                <w:ilvl w:val="0"/>
                <w:numId w:val="40"/>
              </w:numPr>
              <w:ind w:left="425" w:leftChars="0" w:hanging="425" w:firstLineChars="0"/>
              <w:jc w:val="center"/>
              <w:rPr>
                <w:color w:val="auto"/>
              </w:rPr>
            </w:pPr>
          </w:p>
        </w:tc>
        <w:tc>
          <w:tcPr>
            <w:tcW w:w="2053" w:type="dxa"/>
            <w:shd w:val="clear" w:color="auto" w:fill="FFFFFF"/>
            <w:vAlign w:val="center"/>
          </w:tcPr>
          <w:p w14:paraId="56410AB3">
            <w:pPr>
              <w:pStyle w:val="59"/>
              <w:bidi w:val="0"/>
              <w:rPr>
                <w:rFonts w:hint="eastAsia"/>
                <w:lang w:val="en-US" w:eastAsia="zh-CN"/>
              </w:rPr>
            </w:pPr>
            <w:r>
              <w:rPr>
                <w:rFonts w:hint="eastAsia"/>
              </w:rPr>
              <w:t>下六村</w:t>
            </w:r>
          </w:p>
        </w:tc>
        <w:tc>
          <w:tcPr>
            <w:tcW w:w="2054" w:type="dxa"/>
            <w:vAlign w:val="center"/>
          </w:tcPr>
          <w:p w14:paraId="625BFD7E">
            <w:pPr>
              <w:pStyle w:val="59"/>
              <w:bidi w:val="0"/>
            </w:pPr>
            <w:r>
              <w:rPr>
                <w:rFonts w:hint="eastAsia"/>
              </w:rPr>
              <w:t>-2036</w:t>
            </w:r>
          </w:p>
        </w:tc>
        <w:tc>
          <w:tcPr>
            <w:tcW w:w="2053" w:type="dxa"/>
            <w:vAlign w:val="center"/>
          </w:tcPr>
          <w:p w14:paraId="7088CC1D">
            <w:pPr>
              <w:pStyle w:val="59"/>
              <w:bidi w:val="0"/>
            </w:pPr>
            <w:r>
              <w:rPr>
                <w:rFonts w:hint="eastAsia"/>
              </w:rPr>
              <w:t>935</w:t>
            </w:r>
          </w:p>
        </w:tc>
        <w:tc>
          <w:tcPr>
            <w:tcW w:w="2052" w:type="dxa"/>
            <w:vAlign w:val="center"/>
          </w:tcPr>
          <w:p w14:paraId="498DDF36">
            <w:pPr>
              <w:pStyle w:val="59"/>
              <w:bidi w:val="0"/>
            </w:pPr>
            <w:r>
              <w:rPr>
                <w:rFonts w:hint="eastAsia"/>
              </w:rPr>
              <w:t>11</w:t>
            </w:r>
          </w:p>
        </w:tc>
      </w:tr>
      <w:tr w14:paraId="0DBBD8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047C81D">
            <w:pPr>
              <w:pStyle w:val="69"/>
              <w:numPr>
                <w:ilvl w:val="0"/>
                <w:numId w:val="40"/>
              </w:numPr>
              <w:ind w:left="425" w:leftChars="0" w:hanging="425" w:firstLineChars="0"/>
              <w:jc w:val="center"/>
              <w:rPr>
                <w:color w:val="auto"/>
              </w:rPr>
            </w:pPr>
          </w:p>
        </w:tc>
        <w:tc>
          <w:tcPr>
            <w:tcW w:w="2053" w:type="dxa"/>
            <w:shd w:val="clear" w:color="auto" w:fill="FFFFFF"/>
            <w:vAlign w:val="center"/>
          </w:tcPr>
          <w:p w14:paraId="02221DB7">
            <w:pPr>
              <w:pStyle w:val="59"/>
              <w:bidi w:val="0"/>
              <w:rPr>
                <w:rFonts w:hint="default"/>
                <w:lang w:val="en-US" w:eastAsia="zh-CN"/>
              </w:rPr>
            </w:pPr>
            <w:r>
              <w:rPr>
                <w:rFonts w:hint="eastAsia"/>
              </w:rPr>
              <w:t>沙坪第一小学</w:t>
            </w:r>
          </w:p>
        </w:tc>
        <w:tc>
          <w:tcPr>
            <w:tcW w:w="2054" w:type="dxa"/>
            <w:vAlign w:val="center"/>
          </w:tcPr>
          <w:p w14:paraId="16C4E613">
            <w:pPr>
              <w:pStyle w:val="59"/>
              <w:bidi w:val="0"/>
            </w:pPr>
            <w:r>
              <w:rPr>
                <w:rFonts w:hint="eastAsia"/>
              </w:rPr>
              <w:t>1163</w:t>
            </w:r>
          </w:p>
        </w:tc>
        <w:tc>
          <w:tcPr>
            <w:tcW w:w="2053" w:type="dxa"/>
            <w:vAlign w:val="center"/>
          </w:tcPr>
          <w:p w14:paraId="6DA39DA1">
            <w:pPr>
              <w:pStyle w:val="59"/>
              <w:bidi w:val="0"/>
            </w:pPr>
            <w:r>
              <w:rPr>
                <w:rFonts w:hint="eastAsia"/>
              </w:rPr>
              <w:t>-1344</w:t>
            </w:r>
          </w:p>
        </w:tc>
        <w:tc>
          <w:tcPr>
            <w:tcW w:w="2052" w:type="dxa"/>
            <w:vAlign w:val="center"/>
          </w:tcPr>
          <w:p w14:paraId="44079C94">
            <w:pPr>
              <w:pStyle w:val="59"/>
              <w:bidi w:val="0"/>
            </w:pPr>
            <w:r>
              <w:rPr>
                <w:rFonts w:hint="eastAsia"/>
              </w:rPr>
              <w:t>0.84</w:t>
            </w:r>
          </w:p>
        </w:tc>
      </w:tr>
      <w:tr w14:paraId="55890A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15B86771">
            <w:pPr>
              <w:pStyle w:val="69"/>
              <w:numPr>
                <w:ilvl w:val="0"/>
                <w:numId w:val="40"/>
              </w:numPr>
              <w:ind w:left="425" w:leftChars="0" w:hanging="425" w:firstLineChars="0"/>
              <w:jc w:val="center"/>
              <w:rPr>
                <w:color w:val="auto"/>
              </w:rPr>
            </w:pPr>
          </w:p>
        </w:tc>
        <w:tc>
          <w:tcPr>
            <w:tcW w:w="2053" w:type="dxa"/>
            <w:shd w:val="clear" w:color="auto" w:fill="FFFFFF"/>
            <w:vAlign w:val="center"/>
          </w:tcPr>
          <w:p w14:paraId="430419FD">
            <w:pPr>
              <w:pStyle w:val="59"/>
              <w:bidi w:val="0"/>
              <w:rPr>
                <w:rFonts w:hint="default"/>
                <w:lang w:val="en-US" w:eastAsia="zh-CN"/>
              </w:rPr>
            </w:pPr>
            <w:r>
              <w:rPr>
                <w:rFonts w:hint="eastAsia"/>
              </w:rPr>
              <w:t>上升村</w:t>
            </w:r>
          </w:p>
        </w:tc>
        <w:tc>
          <w:tcPr>
            <w:tcW w:w="2054" w:type="dxa"/>
            <w:vAlign w:val="center"/>
          </w:tcPr>
          <w:p w14:paraId="6145EB5B">
            <w:pPr>
              <w:pStyle w:val="59"/>
              <w:bidi w:val="0"/>
            </w:pPr>
            <w:r>
              <w:rPr>
                <w:rFonts w:hint="eastAsia"/>
              </w:rPr>
              <w:t>1804</w:t>
            </w:r>
          </w:p>
        </w:tc>
        <w:tc>
          <w:tcPr>
            <w:tcW w:w="2053" w:type="dxa"/>
            <w:vAlign w:val="center"/>
          </w:tcPr>
          <w:p w14:paraId="1398A166">
            <w:pPr>
              <w:pStyle w:val="59"/>
              <w:bidi w:val="0"/>
            </w:pPr>
            <w:r>
              <w:rPr>
                <w:rFonts w:hint="eastAsia"/>
              </w:rPr>
              <w:t>854</w:t>
            </w:r>
          </w:p>
        </w:tc>
        <w:tc>
          <w:tcPr>
            <w:tcW w:w="2052" w:type="dxa"/>
            <w:vAlign w:val="center"/>
          </w:tcPr>
          <w:p w14:paraId="19407554">
            <w:pPr>
              <w:pStyle w:val="59"/>
              <w:bidi w:val="0"/>
            </w:pPr>
            <w:r>
              <w:rPr>
                <w:rFonts w:hint="eastAsia"/>
              </w:rPr>
              <w:t>-0.21</w:t>
            </w:r>
          </w:p>
        </w:tc>
      </w:tr>
      <w:tr w14:paraId="72D4D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29E53BA3">
            <w:pPr>
              <w:pStyle w:val="69"/>
              <w:numPr>
                <w:ilvl w:val="0"/>
                <w:numId w:val="40"/>
              </w:numPr>
              <w:ind w:left="425" w:leftChars="0" w:hanging="425" w:firstLineChars="0"/>
              <w:jc w:val="center"/>
              <w:rPr>
                <w:color w:val="auto"/>
              </w:rPr>
            </w:pPr>
          </w:p>
        </w:tc>
        <w:tc>
          <w:tcPr>
            <w:tcW w:w="2053" w:type="dxa"/>
            <w:shd w:val="clear" w:color="auto" w:fill="FFFFFF"/>
            <w:vAlign w:val="center"/>
          </w:tcPr>
          <w:p w14:paraId="03BA473D">
            <w:pPr>
              <w:pStyle w:val="59"/>
              <w:bidi w:val="0"/>
              <w:rPr>
                <w:rFonts w:hint="default"/>
                <w:lang w:val="en-US" w:eastAsia="zh-CN"/>
              </w:rPr>
            </w:pPr>
            <w:r>
              <w:rPr>
                <w:rFonts w:hint="eastAsia"/>
              </w:rPr>
              <w:t>新星村</w:t>
            </w:r>
          </w:p>
        </w:tc>
        <w:tc>
          <w:tcPr>
            <w:tcW w:w="2054" w:type="dxa"/>
            <w:vAlign w:val="center"/>
          </w:tcPr>
          <w:p w14:paraId="1555856D">
            <w:pPr>
              <w:pStyle w:val="59"/>
              <w:bidi w:val="0"/>
            </w:pPr>
            <w:r>
              <w:rPr>
                <w:rFonts w:hint="eastAsia"/>
              </w:rPr>
              <w:t>2033</w:t>
            </w:r>
          </w:p>
        </w:tc>
        <w:tc>
          <w:tcPr>
            <w:tcW w:w="2053" w:type="dxa"/>
            <w:vAlign w:val="center"/>
          </w:tcPr>
          <w:p w14:paraId="509EF6A5">
            <w:pPr>
              <w:pStyle w:val="59"/>
              <w:bidi w:val="0"/>
            </w:pPr>
            <w:r>
              <w:rPr>
                <w:rFonts w:hint="eastAsia"/>
              </w:rPr>
              <w:t>311</w:t>
            </w:r>
          </w:p>
        </w:tc>
        <w:tc>
          <w:tcPr>
            <w:tcW w:w="2052" w:type="dxa"/>
            <w:vAlign w:val="center"/>
          </w:tcPr>
          <w:p w14:paraId="61061D42">
            <w:pPr>
              <w:pStyle w:val="59"/>
              <w:bidi w:val="0"/>
            </w:pPr>
            <w:r>
              <w:rPr>
                <w:rFonts w:hint="eastAsia"/>
              </w:rPr>
              <w:t>3.47</w:t>
            </w:r>
          </w:p>
        </w:tc>
      </w:tr>
      <w:tr w14:paraId="4C227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557CC79A">
            <w:pPr>
              <w:pStyle w:val="69"/>
              <w:numPr>
                <w:ilvl w:val="0"/>
                <w:numId w:val="40"/>
              </w:numPr>
              <w:ind w:left="425" w:leftChars="0" w:hanging="425" w:firstLineChars="0"/>
              <w:jc w:val="center"/>
              <w:rPr>
                <w:color w:val="auto"/>
              </w:rPr>
            </w:pPr>
          </w:p>
        </w:tc>
        <w:tc>
          <w:tcPr>
            <w:tcW w:w="2053" w:type="dxa"/>
            <w:shd w:val="clear" w:color="auto" w:fill="FFFFFF"/>
            <w:vAlign w:val="center"/>
          </w:tcPr>
          <w:p w14:paraId="215D6D59">
            <w:pPr>
              <w:pStyle w:val="59"/>
              <w:bidi w:val="0"/>
              <w:rPr>
                <w:rFonts w:hint="eastAsia"/>
                <w:lang w:val="en-US" w:eastAsia="zh-CN"/>
              </w:rPr>
            </w:pPr>
            <w:r>
              <w:rPr>
                <w:rFonts w:hint="eastAsia"/>
              </w:rPr>
              <w:t>双桥村</w:t>
            </w:r>
          </w:p>
        </w:tc>
        <w:tc>
          <w:tcPr>
            <w:tcW w:w="2054" w:type="dxa"/>
            <w:vAlign w:val="center"/>
          </w:tcPr>
          <w:p w14:paraId="713944D6">
            <w:pPr>
              <w:pStyle w:val="59"/>
              <w:bidi w:val="0"/>
            </w:pPr>
            <w:r>
              <w:rPr>
                <w:rFonts w:hint="eastAsia"/>
              </w:rPr>
              <w:t>720</w:t>
            </w:r>
          </w:p>
        </w:tc>
        <w:tc>
          <w:tcPr>
            <w:tcW w:w="2053" w:type="dxa"/>
            <w:vAlign w:val="center"/>
          </w:tcPr>
          <w:p w14:paraId="586A1435">
            <w:pPr>
              <w:pStyle w:val="59"/>
              <w:bidi w:val="0"/>
            </w:pPr>
            <w:r>
              <w:rPr>
                <w:rFonts w:hint="eastAsia"/>
              </w:rPr>
              <w:t>2397</w:t>
            </w:r>
          </w:p>
        </w:tc>
        <w:tc>
          <w:tcPr>
            <w:tcW w:w="2052" w:type="dxa"/>
            <w:vAlign w:val="center"/>
          </w:tcPr>
          <w:p w14:paraId="267D5B8A">
            <w:pPr>
              <w:pStyle w:val="59"/>
              <w:bidi w:val="0"/>
            </w:pPr>
            <w:r>
              <w:rPr>
                <w:rFonts w:hint="eastAsia"/>
              </w:rPr>
              <w:t>0.56</w:t>
            </w:r>
          </w:p>
        </w:tc>
      </w:tr>
      <w:tr w14:paraId="719BC4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1ABA5E7E">
            <w:pPr>
              <w:pStyle w:val="69"/>
              <w:numPr>
                <w:ilvl w:val="0"/>
                <w:numId w:val="40"/>
              </w:numPr>
              <w:ind w:left="425" w:leftChars="0" w:hanging="425" w:firstLineChars="0"/>
              <w:jc w:val="center"/>
              <w:rPr>
                <w:color w:val="auto"/>
              </w:rPr>
            </w:pPr>
          </w:p>
        </w:tc>
        <w:tc>
          <w:tcPr>
            <w:tcW w:w="2053" w:type="dxa"/>
            <w:shd w:val="clear" w:color="auto" w:fill="FFFFFF"/>
            <w:vAlign w:val="center"/>
          </w:tcPr>
          <w:p w14:paraId="229E6F7C">
            <w:pPr>
              <w:pStyle w:val="59"/>
              <w:bidi w:val="0"/>
              <w:rPr>
                <w:rFonts w:hint="default"/>
                <w:lang w:val="en-US" w:eastAsia="zh-CN"/>
              </w:rPr>
            </w:pPr>
            <w:r>
              <w:rPr>
                <w:rFonts w:hint="eastAsia"/>
              </w:rPr>
              <w:t>粤语·碧水湾</w:t>
            </w:r>
          </w:p>
        </w:tc>
        <w:tc>
          <w:tcPr>
            <w:tcW w:w="2054" w:type="dxa"/>
            <w:vAlign w:val="center"/>
          </w:tcPr>
          <w:p w14:paraId="3FAAD6F9">
            <w:pPr>
              <w:pStyle w:val="59"/>
              <w:bidi w:val="0"/>
            </w:pPr>
            <w:r>
              <w:rPr>
                <w:rFonts w:hint="eastAsia"/>
              </w:rPr>
              <w:t>152</w:t>
            </w:r>
          </w:p>
        </w:tc>
        <w:tc>
          <w:tcPr>
            <w:tcW w:w="2053" w:type="dxa"/>
            <w:vAlign w:val="center"/>
          </w:tcPr>
          <w:p w14:paraId="438FD62F">
            <w:pPr>
              <w:pStyle w:val="59"/>
              <w:bidi w:val="0"/>
            </w:pPr>
            <w:r>
              <w:rPr>
                <w:rFonts w:hint="eastAsia"/>
              </w:rPr>
              <w:t>-2529</w:t>
            </w:r>
          </w:p>
        </w:tc>
        <w:tc>
          <w:tcPr>
            <w:tcW w:w="2052" w:type="dxa"/>
            <w:vAlign w:val="center"/>
          </w:tcPr>
          <w:p w14:paraId="1801C375">
            <w:pPr>
              <w:pStyle w:val="59"/>
              <w:bidi w:val="0"/>
            </w:pPr>
            <w:r>
              <w:rPr>
                <w:rFonts w:hint="eastAsia"/>
              </w:rPr>
              <w:t>5.42</w:t>
            </w:r>
          </w:p>
        </w:tc>
      </w:tr>
      <w:tr w14:paraId="266168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44A8EA8D">
            <w:pPr>
              <w:pStyle w:val="69"/>
              <w:numPr>
                <w:ilvl w:val="0"/>
                <w:numId w:val="40"/>
              </w:numPr>
              <w:ind w:left="425" w:leftChars="0" w:hanging="425" w:firstLineChars="0"/>
              <w:jc w:val="center"/>
              <w:rPr>
                <w:color w:val="auto"/>
              </w:rPr>
            </w:pPr>
          </w:p>
        </w:tc>
        <w:tc>
          <w:tcPr>
            <w:tcW w:w="2053" w:type="dxa"/>
            <w:shd w:val="clear" w:color="auto" w:fill="FFFFFF"/>
            <w:vAlign w:val="center"/>
          </w:tcPr>
          <w:p w14:paraId="19E11764">
            <w:pPr>
              <w:pStyle w:val="59"/>
              <w:bidi w:val="0"/>
              <w:rPr>
                <w:rFonts w:hint="eastAsia"/>
                <w:lang w:val="en-US" w:eastAsia="zh-CN"/>
              </w:rPr>
            </w:pPr>
            <w:r>
              <w:rPr>
                <w:rFonts w:hint="eastAsia"/>
              </w:rPr>
              <w:t>霄南村</w:t>
            </w:r>
          </w:p>
        </w:tc>
        <w:tc>
          <w:tcPr>
            <w:tcW w:w="2054" w:type="dxa"/>
            <w:vAlign w:val="center"/>
          </w:tcPr>
          <w:p w14:paraId="2763D91E">
            <w:pPr>
              <w:pStyle w:val="59"/>
              <w:bidi w:val="0"/>
            </w:pPr>
            <w:r>
              <w:rPr>
                <w:rFonts w:hint="eastAsia"/>
              </w:rPr>
              <w:t>-2052</w:t>
            </w:r>
          </w:p>
        </w:tc>
        <w:tc>
          <w:tcPr>
            <w:tcW w:w="2053" w:type="dxa"/>
            <w:vAlign w:val="center"/>
          </w:tcPr>
          <w:p w14:paraId="38211AA2">
            <w:pPr>
              <w:pStyle w:val="59"/>
              <w:bidi w:val="0"/>
            </w:pPr>
            <w:r>
              <w:rPr>
                <w:rFonts w:hint="eastAsia"/>
              </w:rPr>
              <w:t>-960</w:t>
            </w:r>
          </w:p>
        </w:tc>
        <w:tc>
          <w:tcPr>
            <w:tcW w:w="2052" w:type="dxa"/>
            <w:vAlign w:val="center"/>
          </w:tcPr>
          <w:p w14:paraId="59C29957">
            <w:pPr>
              <w:pStyle w:val="59"/>
              <w:bidi w:val="0"/>
            </w:pPr>
            <w:r>
              <w:rPr>
                <w:rFonts w:hint="eastAsia"/>
              </w:rPr>
              <w:t>14.46</w:t>
            </w:r>
          </w:p>
        </w:tc>
      </w:tr>
      <w:tr w14:paraId="623ED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432503FB">
            <w:pPr>
              <w:pStyle w:val="69"/>
              <w:numPr>
                <w:ilvl w:val="0"/>
                <w:numId w:val="40"/>
              </w:numPr>
              <w:ind w:left="425" w:leftChars="0" w:hanging="425" w:firstLineChars="0"/>
              <w:jc w:val="center"/>
              <w:rPr>
                <w:color w:val="auto"/>
              </w:rPr>
            </w:pPr>
          </w:p>
        </w:tc>
        <w:tc>
          <w:tcPr>
            <w:tcW w:w="2053" w:type="dxa"/>
            <w:shd w:val="clear" w:color="auto" w:fill="FFFFFF"/>
            <w:vAlign w:val="center"/>
          </w:tcPr>
          <w:p w14:paraId="5225196B">
            <w:pPr>
              <w:pStyle w:val="59"/>
              <w:bidi w:val="0"/>
              <w:rPr>
                <w:rFonts w:hint="default"/>
                <w:lang w:val="en-US" w:eastAsia="zh-CN"/>
              </w:rPr>
            </w:pPr>
            <w:r>
              <w:rPr>
                <w:rFonts w:hint="eastAsia"/>
              </w:rPr>
              <w:t>峻廷湾</w:t>
            </w:r>
          </w:p>
        </w:tc>
        <w:tc>
          <w:tcPr>
            <w:tcW w:w="2054" w:type="dxa"/>
            <w:vAlign w:val="center"/>
          </w:tcPr>
          <w:p w14:paraId="7EBBFFB4">
            <w:pPr>
              <w:pStyle w:val="59"/>
              <w:bidi w:val="0"/>
            </w:pPr>
            <w:r>
              <w:rPr>
                <w:rFonts w:hint="eastAsia"/>
              </w:rPr>
              <w:t>948</w:t>
            </w:r>
          </w:p>
        </w:tc>
        <w:tc>
          <w:tcPr>
            <w:tcW w:w="2053" w:type="dxa"/>
            <w:vAlign w:val="center"/>
          </w:tcPr>
          <w:p w14:paraId="27897D94">
            <w:pPr>
              <w:pStyle w:val="59"/>
              <w:bidi w:val="0"/>
            </w:pPr>
            <w:r>
              <w:rPr>
                <w:rFonts w:hint="eastAsia"/>
              </w:rPr>
              <w:t>-1079</w:t>
            </w:r>
          </w:p>
        </w:tc>
        <w:tc>
          <w:tcPr>
            <w:tcW w:w="2052" w:type="dxa"/>
            <w:vAlign w:val="center"/>
          </w:tcPr>
          <w:p w14:paraId="05D9C6EE">
            <w:pPr>
              <w:pStyle w:val="59"/>
              <w:bidi w:val="0"/>
            </w:pPr>
            <w:r>
              <w:rPr>
                <w:rFonts w:hint="eastAsia"/>
              </w:rPr>
              <w:t>1.74</w:t>
            </w:r>
          </w:p>
        </w:tc>
      </w:tr>
      <w:tr w14:paraId="7A0233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D236B35">
            <w:pPr>
              <w:pStyle w:val="69"/>
              <w:numPr>
                <w:ilvl w:val="0"/>
                <w:numId w:val="40"/>
              </w:numPr>
              <w:ind w:left="425" w:leftChars="0" w:hanging="425" w:firstLineChars="0"/>
              <w:jc w:val="center"/>
              <w:rPr>
                <w:color w:val="auto"/>
              </w:rPr>
            </w:pPr>
          </w:p>
        </w:tc>
        <w:tc>
          <w:tcPr>
            <w:tcW w:w="2053" w:type="dxa"/>
            <w:shd w:val="clear" w:color="auto" w:fill="FFFFFF"/>
            <w:vAlign w:val="center"/>
          </w:tcPr>
          <w:p w14:paraId="670787F5">
            <w:pPr>
              <w:pStyle w:val="59"/>
              <w:bidi w:val="0"/>
              <w:rPr>
                <w:rFonts w:hint="eastAsia"/>
                <w:lang w:val="en-US" w:eastAsia="zh-CN"/>
              </w:rPr>
            </w:pPr>
            <w:r>
              <w:rPr>
                <w:rFonts w:hint="eastAsia"/>
              </w:rPr>
              <w:t>金碧嘉园</w:t>
            </w:r>
          </w:p>
        </w:tc>
        <w:tc>
          <w:tcPr>
            <w:tcW w:w="2054" w:type="dxa"/>
            <w:vAlign w:val="center"/>
          </w:tcPr>
          <w:p w14:paraId="5F99D4EB">
            <w:pPr>
              <w:pStyle w:val="59"/>
              <w:bidi w:val="0"/>
            </w:pPr>
            <w:r>
              <w:rPr>
                <w:rFonts w:hint="eastAsia"/>
              </w:rPr>
              <w:t>1143</w:t>
            </w:r>
          </w:p>
        </w:tc>
        <w:tc>
          <w:tcPr>
            <w:tcW w:w="2053" w:type="dxa"/>
            <w:vAlign w:val="center"/>
          </w:tcPr>
          <w:p w14:paraId="17E627D9">
            <w:pPr>
              <w:pStyle w:val="59"/>
              <w:bidi w:val="0"/>
            </w:pPr>
            <w:r>
              <w:rPr>
                <w:rFonts w:hint="eastAsia"/>
              </w:rPr>
              <w:t>-1427</w:t>
            </w:r>
          </w:p>
        </w:tc>
        <w:tc>
          <w:tcPr>
            <w:tcW w:w="2052" w:type="dxa"/>
            <w:vAlign w:val="center"/>
          </w:tcPr>
          <w:p w14:paraId="52BA20EE">
            <w:pPr>
              <w:pStyle w:val="59"/>
              <w:bidi w:val="0"/>
            </w:pPr>
            <w:r>
              <w:rPr>
                <w:rFonts w:hint="eastAsia"/>
              </w:rPr>
              <w:t>-0.84</w:t>
            </w:r>
          </w:p>
        </w:tc>
      </w:tr>
      <w:tr w14:paraId="27FC50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8D3299B">
            <w:pPr>
              <w:pStyle w:val="69"/>
              <w:numPr>
                <w:ilvl w:val="0"/>
                <w:numId w:val="40"/>
              </w:numPr>
              <w:ind w:left="425" w:leftChars="0" w:hanging="425" w:firstLineChars="0"/>
              <w:jc w:val="center"/>
              <w:rPr>
                <w:color w:val="auto"/>
              </w:rPr>
            </w:pPr>
          </w:p>
        </w:tc>
        <w:tc>
          <w:tcPr>
            <w:tcW w:w="2053" w:type="dxa"/>
            <w:shd w:val="clear" w:color="auto" w:fill="FFFFFF"/>
            <w:vAlign w:val="center"/>
          </w:tcPr>
          <w:p w14:paraId="0D01BB12">
            <w:pPr>
              <w:pStyle w:val="59"/>
              <w:bidi w:val="0"/>
              <w:rPr>
                <w:rFonts w:hint="default"/>
                <w:lang w:val="en-US" w:eastAsia="zh-CN"/>
              </w:rPr>
            </w:pPr>
            <w:r>
              <w:rPr>
                <w:rFonts w:hint="eastAsia"/>
              </w:rPr>
              <w:t>玉桥村</w:t>
            </w:r>
          </w:p>
        </w:tc>
        <w:tc>
          <w:tcPr>
            <w:tcW w:w="2054" w:type="dxa"/>
            <w:vAlign w:val="center"/>
          </w:tcPr>
          <w:p w14:paraId="1CF136D7">
            <w:pPr>
              <w:pStyle w:val="59"/>
              <w:bidi w:val="0"/>
            </w:pPr>
            <w:r>
              <w:rPr>
                <w:rFonts w:hint="eastAsia"/>
              </w:rPr>
              <w:t>-52</w:t>
            </w:r>
          </w:p>
        </w:tc>
        <w:tc>
          <w:tcPr>
            <w:tcW w:w="2053" w:type="dxa"/>
            <w:vAlign w:val="center"/>
          </w:tcPr>
          <w:p w14:paraId="6A3F9E53">
            <w:pPr>
              <w:pStyle w:val="59"/>
              <w:bidi w:val="0"/>
            </w:pPr>
            <w:r>
              <w:rPr>
                <w:rFonts w:hint="eastAsia"/>
              </w:rPr>
              <w:t>-1851</w:t>
            </w:r>
          </w:p>
        </w:tc>
        <w:tc>
          <w:tcPr>
            <w:tcW w:w="2052" w:type="dxa"/>
            <w:vAlign w:val="center"/>
          </w:tcPr>
          <w:p w14:paraId="7DDE4F60">
            <w:pPr>
              <w:pStyle w:val="59"/>
              <w:bidi w:val="0"/>
            </w:pPr>
            <w:r>
              <w:rPr>
                <w:rFonts w:hint="eastAsia"/>
              </w:rPr>
              <w:t>3.44</w:t>
            </w:r>
          </w:p>
        </w:tc>
      </w:tr>
      <w:tr w14:paraId="292CDE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81A0AD3">
            <w:pPr>
              <w:pStyle w:val="69"/>
              <w:numPr>
                <w:ilvl w:val="0"/>
                <w:numId w:val="40"/>
              </w:numPr>
              <w:ind w:left="425" w:leftChars="0" w:hanging="425" w:firstLineChars="0"/>
              <w:jc w:val="center"/>
              <w:rPr>
                <w:color w:val="auto"/>
              </w:rPr>
            </w:pPr>
          </w:p>
        </w:tc>
        <w:tc>
          <w:tcPr>
            <w:tcW w:w="2053" w:type="dxa"/>
            <w:shd w:val="clear" w:color="auto" w:fill="FFFFFF"/>
            <w:vAlign w:val="center"/>
          </w:tcPr>
          <w:p w14:paraId="7538D99C">
            <w:pPr>
              <w:pStyle w:val="59"/>
              <w:bidi w:val="0"/>
              <w:rPr>
                <w:rFonts w:hint="eastAsia"/>
                <w:lang w:val="en-US" w:eastAsia="zh-CN"/>
              </w:rPr>
            </w:pPr>
            <w:r>
              <w:rPr>
                <w:rFonts w:hint="eastAsia"/>
              </w:rPr>
              <w:t>玉桥小学</w:t>
            </w:r>
          </w:p>
        </w:tc>
        <w:tc>
          <w:tcPr>
            <w:tcW w:w="2054" w:type="dxa"/>
            <w:vAlign w:val="center"/>
          </w:tcPr>
          <w:p w14:paraId="75D0B537">
            <w:pPr>
              <w:pStyle w:val="59"/>
              <w:bidi w:val="0"/>
            </w:pPr>
            <w:r>
              <w:rPr>
                <w:rFonts w:hint="eastAsia"/>
              </w:rPr>
              <w:t>-670</w:t>
            </w:r>
          </w:p>
        </w:tc>
        <w:tc>
          <w:tcPr>
            <w:tcW w:w="2053" w:type="dxa"/>
            <w:vAlign w:val="center"/>
          </w:tcPr>
          <w:p w14:paraId="5055C954">
            <w:pPr>
              <w:pStyle w:val="59"/>
              <w:bidi w:val="0"/>
            </w:pPr>
            <w:r>
              <w:rPr>
                <w:rFonts w:hint="eastAsia"/>
              </w:rPr>
              <w:t>-1825</w:t>
            </w:r>
          </w:p>
        </w:tc>
        <w:tc>
          <w:tcPr>
            <w:tcW w:w="2052" w:type="dxa"/>
            <w:vAlign w:val="center"/>
          </w:tcPr>
          <w:p w14:paraId="3FA7692B">
            <w:pPr>
              <w:pStyle w:val="59"/>
              <w:bidi w:val="0"/>
            </w:pPr>
            <w:r>
              <w:rPr>
                <w:rFonts w:hint="eastAsia"/>
              </w:rPr>
              <w:t>1.31</w:t>
            </w:r>
          </w:p>
        </w:tc>
      </w:tr>
      <w:tr w14:paraId="49D2D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5B06A58F">
            <w:pPr>
              <w:pStyle w:val="69"/>
              <w:numPr>
                <w:ilvl w:val="0"/>
                <w:numId w:val="40"/>
              </w:numPr>
              <w:ind w:left="425" w:leftChars="0" w:hanging="425" w:firstLineChars="0"/>
              <w:jc w:val="center"/>
              <w:rPr>
                <w:color w:val="auto"/>
              </w:rPr>
            </w:pPr>
          </w:p>
        </w:tc>
        <w:tc>
          <w:tcPr>
            <w:tcW w:w="2053" w:type="dxa"/>
            <w:shd w:val="clear" w:color="auto" w:fill="FFFFFF"/>
            <w:vAlign w:val="center"/>
          </w:tcPr>
          <w:p w14:paraId="1CF6718A">
            <w:pPr>
              <w:pStyle w:val="59"/>
              <w:bidi w:val="0"/>
              <w:rPr>
                <w:rFonts w:hint="default"/>
                <w:lang w:val="en-US" w:eastAsia="zh-CN"/>
              </w:rPr>
            </w:pPr>
            <w:r>
              <w:rPr>
                <w:rFonts w:hint="eastAsia"/>
              </w:rPr>
              <w:t>中东西村</w:t>
            </w:r>
          </w:p>
        </w:tc>
        <w:tc>
          <w:tcPr>
            <w:tcW w:w="2054" w:type="dxa"/>
            <w:vAlign w:val="center"/>
          </w:tcPr>
          <w:p w14:paraId="360FF0E7">
            <w:pPr>
              <w:pStyle w:val="59"/>
              <w:bidi w:val="0"/>
            </w:pPr>
            <w:r>
              <w:rPr>
                <w:rFonts w:hint="eastAsia"/>
              </w:rPr>
              <w:t>2482</w:t>
            </w:r>
          </w:p>
        </w:tc>
        <w:tc>
          <w:tcPr>
            <w:tcW w:w="2053" w:type="dxa"/>
            <w:vAlign w:val="center"/>
          </w:tcPr>
          <w:p w14:paraId="09CF8A4A">
            <w:pPr>
              <w:pStyle w:val="59"/>
              <w:bidi w:val="0"/>
            </w:pPr>
            <w:r>
              <w:rPr>
                <w:rFonts w:hint="eastAsia"/>
              </w:rPr>
              <w:t>-1011</w:t>
            </w:r>
          </w:p>
        </w:tc>
        <w:tc>
          <w:tcPr>
            <w:tcW w:w="2052" w:type="dxa"/>
            <w:vAlign w:val="center"/>
          </w:tcPr>
          <w:p w14:paraId="02BC5AD5">
            <w:pPr>
              <w:pStyle w:val="59"/>
              <w:bidi w:val="0"/>
            </w:pPr>
            <w:r>
              <w:rPr>
                <w:rFonts w:hint="eastAsia"/>
              </w:rPr>
              <w:t>1.2</w:t>
            </w:r>
          </w:p>
        </w:tc>
      </w:tr>
      <w:tr w14:paraId="12D73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4C7F3337">
            <w:pPr>
              <w:pStyle w:val="69"/>
              <w:numPr>
                <w:ilvl w:val="0"/>
                <w:numId w:val="40"/>
              </w:numPr>
              <w:ind w:left="425" w:leftChars="0" w:hanging="425" w:firstLineChars="0"/>
              <w:jc w:val="center"/>
              <w:rPr>
                <w:color w:val="auto"/>
              </w:rPr>
            </w:pPr>
          </w:p>
        </w:tc>
        <w:tc>
          <w:tcPr>
            <w:tcW w:w="2053" w:type="dxa"/>
            <w:shd w:val="clear" w:color="auto" w:fill="FFFFFF"/>
            <w:vAlign w:val="center"/>
          </w:tcPr>
          <w:p w14:paraId="5B40F1C9">
            <w:pPr>
              <w:pStyle w:val="59"/>
              <w:bidi w:val="0"/>
              <w:rPr>
                <w:rFonts w:hint="eastAsia"/>
                <w:lang w:val="en-US" w:eastAsia="zh-CN"/>
              </w:rPr>
            </w:pPr>
            <w:r>
              <w:rPr>
                <w:rFonts w:hint="eastAsia"/>
              </w:rPr>
              <w:t>仓边村</w:t>
            </w:r>
          </w:p>
        </w:tc>
        <w:tc>
          <w:tcPr>
            <w:tcW w:w="2054" w:type="dxa"/>
            <w:vAlign w:val="center"/>
          </w:tcPr>
          <w:p w14:paraId="5C140BF6">
            <w:pPr>
              <w:pStyle w:val="59"/>
              <w:bidi w:val="0"/>
            </w:pPr>
            <w:r>
              <w:rPr>
                <w:rFonts w:hint="eastAsia"/>
              </w:rPr>
              <w:t>618</w:t>
            </w:r>
          </w:p>
        </w:tc>
        <w:tc>
          <w:tcPr>
            <w:tcW w:w="2053" w:type="dxa"/>
            <w:vAlign w:val="center"/>
          </w:tcPr>
          <w:p w14:paraId="367C1573">
            <w:pPr>
              <w:pStyle w:val="59"/>
              <w:bidi w:val="0"/>
            </w:pPr>
            <w:r>
              <w:rPr>
                <w:rFonts w:hint="eastAsia"/>
              </w:rPr>
              <w:t>-1995</w:t>
            </w:r>
          </w:p>
        </w:tc>
        <w:tc>
          <w:tcPr>
            <w:tcW w:w="2052" w:type="dxa"/>
            <w:vAlign w:val="center"/>
          </w:tcPr>
          <w:p w14:paraId="294DC0E3">
            <w:pPr>
              <w:pStyle w:val="59"/>
              <w:bidi w:val="0"/>
            </w:pPr>
            <w:r>
              <w:rPr>
                <w:rFonts w:hint="eastAsia"/>
              </w:rPr>
              <w:t>4.95</w:t>
            </w:r>
          </w:p>
        </w:tc>
      </w:tr>
      <w:tr w14:paraId="4D9E02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5DCC4036">
            <w:pPr>
              <w:pStyle w:val="69"/>
              <w:numPr>
                <w:ilvl w:val="0"/>
                <w:numId w:val="40"/>
              </w:numPr>
              <w:ind w:left="425" w:leftChars="0" w:hanging="425" w:firstLineChars="0"/>
              <w:jc w:val="center"/>
              <w:rPr>
                <w:color w:val="auto"/>
              </w:rPr>
            </w:pPr>
          </w:p>
        </w:tc>
        <w:tc>
          <w:tcPr>
            <w:tcW w:w="2053" w:type="dxa"/>
            <w:shd w:val="clear" w:color="auto" w:fill="FFFFFF"/>
            <w:vAlign w:val="center"/>
          </w:tcPr>
          <w:p w14:paraId="605145B9">
            <w:pPr>
              <w:pStyle w:val="59"/>
              <w:bidi w:val="0"/>
              <w:rPr>
                <w:rFonts w:hint="default"/>
                <w:lang w:val="en-US" w:eastAsia="zh-CN"/>
              </w:rPr>
            </w:pPr>
            <w:r>
              <w:rPr>
                <w:rFonts w:hint="eastAsia"/>
              </w:rPr>
              <w:t>新业社区</w:t>
            </w:r>
          </w:p>
        </w:tc>
        <w:tc>
          <w:tcPr>
            <w:tcW w:w="2054" w:type="dxa"/>
            <w:vAlign w:val="center"/>
          </w:tcPr>
          <w:p w14:paraId="4CB291E9">
            <w:pPr>
              <w:pStyle w:val="59"/>
              <w:bidi w:val="0"/>
            </w:pPr>
            <w:r>
              <w:rPr>
                <w:rFonts w:hint="eastAsia"/>
              </w:rPr>
              <w:t>1592</w:t>
            </w:r>
          </w:p>
        </w:tc>
        <w:tc>
          <w:tcPr>
            <w:tcW w:w="2053" w:type="dxa"/>
            <w:vAlign w:val="center"/>
          </w:tcPr>
          <w:p w14:paraId="4353FAB5">
            <w:pPr>
              <w:pStyle w:val="59"/>
              <w:bidi w:val="0"/>
            </w:pPr>
            <w:r>
              <w:rPr>
                <w:rFonts w:hint="eastAsia"/>
              </w:rPr>
              <w:t>-1189</w:t>
            </w:r>
          </w:p>
        </w:tc>
        <w:tc>
          <w:tcPr>
            <w:tcW w:w="2052" w:type="dxa"/>
            <w:vAlign w:val="center"/>
          </w:tcPr>
          <w:p w14:paraId="3B100A07">
            <w:pPr>
              <w:pStyle w:val="59"/>
              <w:bidi w:val="0"/>
            </w:pPr>
            <w:r>
              <w:rPr>
                <w:rFonts w:hint="eastAsia"/>
              </w:rPr>
              <w:t>3.18</w:t>
            </w:r>
          </w:p>
        </w:tc>
      </w:tr>
      <w:tr w14:paraId="0FD5B5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02CF7C2">
            <w:pPr>
              <w:pStyle w:val="69"/>
              <w:numPr>
                <w:ilvl w:val="0"/>
                <w:numId w:val="40"/>
              </w:numPr>
              <w:ind w:left="425" w:leftChars="0" w:hanging="425" w:firstLineChars="0"/>
              <w:jc w:val="center"/>
              <w:rPr>
                <w:color w:val="auto"/>
              </w:rPr>
            </w:pPr>
          </w:p>
        </w:tc>
        <w:tc>
          <w:tcPr>
            <w:tcW w:w="2053" w:type="dxa"/>
            <w:shd w:val="clear" w:color="auto" w:fill="FFFFFF"/>
            <w:vAlign w:val="center"/>
          </w:tcPr>
          <w:p w14:paraId="1EF1502B">
            <w:pPr>
              <w:pStyle w:val="59"/>
              <w:bidi w:val="0"/>
              <w:rPr>
                <w:rFonts w:hint="default"/>
                <w:lang w:val="en-US" w:eastAsia="zh-CN"/>
              </w:rPr>
            </w:pPr>
            <w:r>
              <w:rPr>
                <w:rFonts w:hint="eastAsia"/>
              </w:rPr>
              <w:t>恒晖花园</w:t>
            </w:r>
          </w:p>
        </w:tc>
        <w:tc>
          <w:tcPr>
            <w:tcW w:w="2054" w:type="dxa"/>
            <w:vAlign w:val="center"/>
          </w:tcPr>
          <w:p w14:paraId="74E6FE5E">
            <w:pPr>
              <w:pStyle w:val="59"/>
              <w:bidi w:val="0"/>
            </w:pPr>
            <w:r>
              <w:rPr>
                <w:rFonts w:hint="eastAsia"/>
              </w:rPr>
              <w:t>1321</w:t>
            </w:r>
          </w:p>
        </w:tc>
        <w:tc>
          <w:tcPr>
            <w:tcW w:w="2053" w:type="dxa"/>
            <w:vAlign w:val="center"/>
          </w:tcPr>
          <w:p w14:paraId="6760D7F3">
            <w:pPr>
              <w:pStyle w:val="59"/>
              <w:bidi w:val="0"/>
            </w:pPr>
            <w:r>
              <w:rPr>
                <w:rFonts w:hint="eastAsia"/>
              </w:rPr>
              <w:t>-1698</w:t>
            </w:r>
          </w:p>
        </w:tc>
        <w:tc>
          <w:tcPr>
            <w:tcW w:w="2052" w:type="dxa"/>
            <w:vAlign w:val="center"/>
          </w:tcPr>
          <w:p w14:paraId="199C35C5">
            <w:pPr>
              <w:pStyle w:val="59"/>
              <w:bidi w:val="0"/>
            </w:pPr>
            <w:r>
              <w:rPr>
                <w:rFonts w:hint="eastAsia"/>
              </w:rPr>
              <w:t>4.05</w:t>
            </w:r>
          </w:p>
        </w:tc>
      </w:tr>
      <w:tr w14:paraId="59F72C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77C04B5">
            <w:pPr>
              <w:pStyle w:val="69"/>
              <w:numPr>
                <w:ilvl w:val="0"/>
                <w:numId w:val="40"/>
              </w:numPr>
              <w:ind w:left="425" w:leftChars="0" w:hanging="425" w:firstLineChars="0"/>
              <w:jc w:val="center"/>
              <w:rPr>
                <w:color w:val="auto"/>
              </w:rPr>
            </w:pPr>
          </w:p>
        </w:tc>
        <w:tc>
          <w:tcPr>
            <w:tcW w:w="2053" w:type="dxa"/>
            <w:shd w:val="clear" w:color="auto" w:fill="FFFFFF"/>
            <w:vAlign w:val="center"/>
          </w:tcPr>
          <w:p w14:paraId="1CABCFFD">
            <w:pPr>
              <w:pStyle w:val="59"/>
              <w:bidi w:val="0"/>
              <w:rPr>
                <w:rFonts w:hint="default"/>
                <w:lang w:val="en-US" w:eastAsia="zh-CN"/>
              </w:rPr>
            </w:pPr>
            <w:r>
              <w:rPr>
                <w:rFonts w:hint="eastAsia"/>
              </w:rPr>
              <w:t>莺朗村</w:t>
            </w:r>
          </w:p>
        </w:tc>
        <w:tc>
          <w:tcPr>
            <w:tcW w:w="2054" w:type="dxa"/>
            <w:vAlign w:val="center"/>
          </w:tcPr>
          <w:p w14:paraId="5FE3DDFC">
            <w:pPr>
              <w:pStyle w:val="59"/>
              <w:bidi w:val="0"/>
            </w:pPr>
            <w:r>
              <w:rPr>
                <w:rFonts w:hint="eastAsia"/>
              </w:rPr>
              <w:t>-35</w:t>
            </w:r>
          </w:p>
        </w:tc>
        <w:tc>
          <w:tcPr>
            <w:tcW w:w="2053" w:type="dxa"/>
            <w:vAlign w:val="center"/>
          </w:tcPr>
          <w:p w14:paraId="31D3FD5A">
            <w:pPr>
              <w:pStyle w:val="59"/>
              <w:bidi w:val="0"/>
            </w:pPr>
            <w:r>
              <w:rPr>
                <w:rFonts w:hint="eastAsia"/>
              </w:rPr>
              <w:t>-2368</w:t>
            </w:r>
          </w:p>
        </w:tc>
        <w:tc>
          <w:tcPr>
            <w:tcW w:w="2052" w:type="dxa"/>
            <w:vAlign w:val="center"/>
          </w:tcPr>
          <w:p w14:paraId="39C671F4">
            <w:pPr>
              <w:pStyle w:val="59"/>
              <w:bidi w:val="0"/>
            </w:pPr>
            <w:r>
              <w:rPr>
                <w:rFonts w:hint="eastAsia"/>
              </w:rPr>
              <w:t>2.4</w:t>
            </w:r>
          </w:p>
        </w:tc>
      </w:tr>
      <w:tr w14:paraId="59E9E3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26851677">
            <w:pPr>
              <w:pStyle w:val="69"/>
              <w:numPr>
                <w:ilvl w:val="0"/>
                <w:numId w:val="40"/>
              </w:numPr>
              <w:ind w:left="425" w:leftChars="0" w:hanging="425" w:firstLineChars="0"/>
              <w:jc w:val="center"/>
              <w:rPr>
                <w:color w:val="auto"/>
              </w:rPr>
            </w:pPr>
          </w:p>
        </w:tc>
        <w:tc>
          <w:tcPr>
            <w:tcW w:w="2053" w:type="dxa"/>
            <w:shd w:val="clear" w:color="auto" w:fill="FFFFFF"/>
            <w:vAlign w:val="center"/>
          </w:tcPr>
          <w:p w14:paraId="7BCA99F8">
            <w:pPr>
              <w:pStyle w:val="59"/>
              <w:bidi w:val="0"/>
              <w:rPr>
                <w:rFonts w:hint="eastAsia"/>
                <w:lang w:val="en-US" w:eastAsia="zh-CN"/>
              </w:rPr>
            </w:pPr>
            <w:r>
              <w:rPr>
                <w:rFonts w:hint="eastAsia"/>
              </w:rPr>
              <w:t>嘉悦名都</w:t>
            </w:r>
          </w:p>
        </w:tc>
        <w:tc>
          <w:tcPr>
            <w:tcW w:w="2054" w:type="dxa"/>
            <w:vAlign w:val="center"/>
          </w:tcPr>
          <w:p w14:paraId="7ED3DE73">
            <w:pPr>
              <w:pStyle w:val="59"/>
              <w:bidi w:val="0"/>
            </w:pPr>
            <w:r>
              <w:rPr>
                <w:rFonts w:hint="eastAsia"/>
              </w:rPr>
              <w:t>2626</w:t>
            </w:r>
          </w:p>
        </w:tc>
        <w:tc>
          <w:tcPr>
            <w:tcW w:w="2053" w:type="dxa"/>
            <w:vAlign w:val="center"/>
          </w:tcPr>
          <w:p w14:paraId="3F344D9E">
            <w:pPr>
              <w:pStyle w:val="59"/>
              <w:bidi w:val="0"/>
            </w:pPr>
            <w:r>
              <w:rPr>
                <w:rFonts w:hint="eastAsia"/>
              </w:rPr>
              <w:t>-1003</w:t>
            </w:r>
          </w:p>
        </w:tc>
        <w:tc>
          <w:tcPr>
            <w:tcW w:w="2052" w:type="dxa"/>
            <w:vAlign w:val="center"/>
          </w:tcPr>
          <w:p w14:paraId="2C994D5D">
            <w:pPr>
              <w:pStyle w:val="59"/>
              <w:bidi w:val="0"/>
            </w:pPr>
            <w:r>
              <w:rPr>
                <w:rFonts w:hint="eastAsia"/>
              </w:rPr>
              <w:t>-1.41</w:t>
            </w:r>
          </w:p>
        </w:tc>
      </w:tr>
      <w:tr w14:paraId="3AC8B8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4C4B0547">
            <w:pPr>
              <w:pStyle w:val="69"/>
              <w:numPr>
                <w:ilvl w:val="0"/>
                <w:numId w:val="40"/>
              </w:numPr>
              <w:ind w:left="425" w:leftChars="0" w:hanging="425" w:firstLineChars="0"/>
              <w:jc w:val="center"/>
              <w:rPr>
                <w:color w:val="auto"/>
              </w:rPr>
            </w:pPr>
          </w:p>
        </w:tc>
        <w:tc>
          <w:tcPr>
            <w:tcW w:w="2053" w:type="dxa"/>
            <w:shd w:val="clear" w:color="auto" w:fill="FFFFFF"/>
            <w:vAlign w:val="center"/>
          </w:tcPr>
          <w:p w14:paraId="03E22ADF">
            <w:pPr>
              <w:pStyle w:val="59"/>
              <w:bidi w:val="0"/>
              <w:rPr>
                <w:rFonts w:hint="eastAsia"/>
                <w:lang w:val="en-US" w:eastAsia="zh-CN"/>
              </w:rPr>
            </w:pPr>
            <w:r>
              <w:rPr>
                <w:rFonts w:hint="eastAsia"/>
              </w:rPr>
              <w:t>东升社区</w:t>
            </w:r>
          </w:p>
        </w:tc>
        <w:tc>
          <w:tcPr>
            <w:tcW w:w="2054" w:type="dxa"/>
            <w:vAlign w:val="center"/>
          </w:tcPr>
          <w:p w14:paraId="1CA0D521">
            <w:pPr>
              <w:pStyle w:val="59"/>
              <w:bidi w:val="0"/>
            </w:pPr>
            <w:r>
              <w:rPr>
                <w:rFonts w:hint="eastAsia"/>
              </w:rPr>
              <w:t>2643</w:t>
            </w:r>
          </w:p>
        </w:tc>
        <w:tc>
          <w:tcPr>
            <w:tcW w:w="2053" w:type="dxa"/>
            <w:vAlign w:val="center"/>
          </w:tcPr>
          <w:p w14:paraId="0DB20EE8">
            <w:pPr>
              <w:pStyle w:val="59"/>
              <w:bidi w:val="0"/>
            </w:pPr>
            <w:r>
              <w:rPr>
                <w:rFonts w:hint="eastAsia"/>
              </w:rPr>
              <w:t>-1240</w:t>
            </w:r>
          </w:p>
        </w:tc>
        <w:tc>
          <w:tcPr>
            <w:tcW w:w="2052" w:type="dxa"/>
            <w:vAlign w:val="center"/>
          </w:tcPr>
          <w:p w14:paraId="1F9158C5">
            <w:pPr>
              <w:pStyle w:val="59"/>
              <w:bidi w:val="0"/>
            </w:pPr>
            <w:r>
              <w:rPr>
                <w:rFonts w:hint="eastAsia"/>
              </w:rPr>
              <w:t>1.98</w:t>
            </w:r>
          </w:p>
        </w:tc>
      </w:tr>
      <w:tr w14:paraId="2FE620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3DAA1C0A">
            <w:pPr>
              <w:pStyle w:val="69"/>
              <w:numPr>
                <w:ilvl w:val="0"/>
                <w:numId w:val="40"/>
              </w:numPr>
              <w:ind w:left="425" w:leftChars="0" w:hanging="425" w:firstLineChars="0"/>
              <w:jc w:val="center"/>
              <w:rPr>
                <w:color w:val="auto"/>
              </w:rPr>
            </w:pPr>
          </w:p>
        </w:tc>
        <w:tc>
          <w:tcPr>
            <w:tcW w:w="2053" w:type="dxa"/>
            <w:shd w:val="clear" w:color="auto" w:fill="FFFFFF"/>
            <w:vAlign w:val="center"/>
          </w:tcPr>
          <w:p w14:paraId="29703028">
            <w:pPr>
              <w:pStyle w:val="59"/>
              <w:bidi w:val="0"/>
              <w:rPr>
                <w:rFonts w:hint="eastAsia"/>
                <w:lang w:val="en-US" w:eastAsia="zh-CN"/>
              </w:rPr>
            </w:pPr>
            <w:r>
              <w:rPr>
                <w:rFonts w:hint="eastAsia"/>
              </w:rPr>
              <w:t>义学社区</w:t>
            </w:r>
          </w:p>
        </w:tc>
        <w:tc>
          <w:tcPr>
            <w:tcW w:w="2054" w:type="dxa"/>
            <w:vAlign w:val="center"/>
          </w:tcPr>
          <w:p w14:paraId="585A7369">
            <w:pPr>
              <w:pStyle w:val="59"/>
              <w:bidi w:val="0"/>
            </w:pPr>
            <w:r>
              <w:rPr>
                <w:rFonts w:hint="eastAsia"/>
              </w:rPr>
              <w:t>1881</w:t>
            </w:r>
          </w:p>
        </w:tc>
        <w:tc>
          <w:tcPr>
            <w:tcW w:w="2053" w:type="dxa"/>
            <w:vAlign w:val="center"/>
          </w:tcPr>
          <w:p w14:paraId="35325732">
            <w:pPr>
              <w:pStyle w:val="59"/>
              <w:bidi w:val="0"/>
            </w:pPr>
            <w:r>
              <w:rPr>
                <w:rFonts w:hint="eastAsia"/>
              </w:rPr>
              <w:t>-2241</w:t>
            </w:r>
          </w:p>
        </w:tc>
        <w:tc>
          <w:tcPr>
            <w:tcW w:w="2052" w:type="dxa"/>
            <w:vAlign w:val="center"/>
          </w:tcPr>
          <w:p w14:paraId="6293E060">
            <w:pPr>
              <w:pStyle w:val="59"/>
              <w:bidi w:val="0"/>
            </w:pPr>
            <w:r>
              <w:rPr>
                <w:rFonts w:hint="eastAsia"/>
              </w:rPr>
              <w:t>4.19</w:t>
            </w:r>
          </w:p>
        </w:tc>
      </w:tr>
      <w:tr w14:paraId="53E427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52847F3C">
            <w:pPr>
              <w:pStyle w:val="69"/>
              <w:numPr>
                <w:ilvl w:val="0"/>
                <w:numId w:val="40"/>
              </w:numPr>
              <w:ind w:left="425" w:leftChars="0" w:hanging="425" w:firstLineChars="0"/>
              <w:jc w:val="center"/>
              <w:rPr>
                <w:color w:val="auto"/>
              </w:rPr>
            </w:pPr>
          </w:p>
        </w:tc>
        <w:tc>
          <w:tcPr>
            <w:tcW w:w="2053" w:type="dxa"/>
            <w:shd w:val="clear" w:color="auto" w:fill="FFFFFF"/>
            <w:vAlign w:val="center"/>
          </w:tcPr>
          <w:p w14:paraId="26F6CA87">
            <w:pPr>
              <w:pStyle w:val="59"/>
              <w:bidi w:val="0"/>
              <w:rPr>
                <w:rFonts w:hint="eastAsia"/>
                <w:lang w:val="en-US" w:eastAsia="zh-CN"/>
              </w:rPr>
            </w:pPr>
            <w:r>
              <w:rPr>
                <w:rFonts w:hint="eastAsia"/>
              </w:rPr>
              <w:t>镇南村</w:t>
            </w:r>
          </w:p>
        </w:tc>
        <w:tc>
          <w:tcPr>
            <w:tcW w:w="2054" w:type="dxa"/>
            <w:vAlign w:val="center"/>
          </w:tcPr>
          <w:p w14:paraId="7D42951E">
            <w:pPr>
              <w:pStyle w:val="59"/>
              <w:bidi w:val="0"/>
            </w:pPr>
            <w:r>
              <w:rPr>
                <w:rFonts w:hint="eastAsia"/>
              </w:rPr>
              <w:t>330</w:t>
            </w:r>
          </w:p>
        </w:tc>
        <w:tc>
          <w:tcPr>
            <w:tcW w:w="2053" w:type="dxa"/>
            <w:vAlign w:val="center"/>
          </w:tcPr>
          <w:p w14:paraId="3EEFC09C">
            <w:pPr>
              <w:pStyle w:val="59"/>
              <w:bidi w:val="0"/>
            </w:pPr>
            <w:r>
              <w:rPr>
                <w:rFonts w:hint="eastAsia"/>
              </w:rPr>
              <w:t>-2876</w:t>
            </w:r>
          </w:p>
        </w:tc>
        <w:tc>
          <w:tcPr>
            <w:tcW w:w="2052" w:type="dxa"/>
            <w:vAlign w:val="center"/>
          </w:tcPr>
          <w:p w14:paraId="49D4D30F">
            <w:pPr>
              <w:pStyle w:val="59"/>
              <w:bidi w:val="0"/>
            </w:pPr>
            <w:r>
              <w:rPr>
                <w:rFonts w:hint="eastAsia"/>
              </w:rPr>
              <w:t>4.45</w:t>
            </w:r>
          </w:p>
        </w:tc>
      </w:tr>
      <w:tr w14:paraId="00C23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718D90C8">
            <w:pPr>
              <w:pStyle w:val="69"/>
              <w:numPr>
                <w:ilvl w:val="0"/>
                <w:numId w:val="40"/>
              </w:numPr>
              <w:ind w:left="425" w:leftChars="0" w:hanging="425" w:firstLineChars="0"/>
              <w:jc w:val="center"/>
              <w:rPr>
                <w:rFonts w:hint="eastAsia"/>
                <w:color w:val="auto"/>
              </w:rPr>
            </w:pPr>
          </w:p>
        </w:tc>
        <w:tc>
          <w:tcPr>
            <w:tcW w:w="2053" w:type="dxa"/>
            <w:shd w:val="clear" w:color="auto" w:fill="FFFFFF"/>
            <w:vAlign w:val="center"/>
          </w:tcPr>
          <w:p w14:paraId="2F01DB54">
            <w:pPr>
              <w:pStyle w:val="59"/>
              <w:bidi w:val="0"/>
              <w:rPr>
                <w:rFonts w:hint="eastAsia"/>
                <w:lang w:val="en-US" w:eastAsia="zh-CN"/>
              </w:rPr>
            </w:pPr>
            <w:r>
              <w:rPr>
                <w:rFonts w:hint="eastAsia"/>
              </w:rPr>
              <w:t>尚城雅苑</w:t>
            </w:r>
          </w:p>
        </w:tc>
        <w:tc>
          <w:tcPr>
            <w:tcW w:w="2054" w:type="dxa"/>
            <w:vAlign w:val="center"/>
          </w:tcPr>
          <w:p w14:paraId="5496E042">
            <w:pPr>
              <w:pStyle w:val="59"/>
              <w:bidi w:val="0"/>
              <w:rPr>
                <w:rFonts w:hint="eastAsia"/>
              </w:rPr>
            </w:pPr>
            <w:r>
              <w:rPr>
                <w:rFonts w:hint="eastAsia"/>
              </w:rPr>
              <w:t>2830</w:t>
            </w:r>
          </w:p>
        </w:tc>
        <w:tc>
          <w:tcPr>
            <w:tcW w:w="2053" w:type="dxa"/>
            <w:vAlign w:val="center"/>
          </w:tcPr>
          <w:p w14:paraId="4106961E">
            <w:pPr>
              <w:pStyle w:val="59"/>
              <w:bidi w:val="0"/>
              <w:rPr>
                <w:rFonts w:hint="eastAsia"/>
              </w:rPr>
            </w:pPr>
            <w:r>
              <w:rPr>
                <w:rFonts w:hint="eastAsia"/>
              </w:rPr>
              <w:t>-1088</w:t>
            </w:r>
          </w:p>
        </w:tc>
        <w:tc>
          <w:tcPr>
            <w:tcW w:w="2052" w:type="dxa"/>
            <w:vAlign w:val="center"/>
          </w:tcPr>
          <w:p w14:paraId="43BAE30D">
            <w:pPr>
              <w:pStyle w:val="59"/>
              <w:bidi w:val="0"/>
              <w:rPr>
                <w:rFonts w:hint="eastAsia"/>
              </w:rPr>
            </w:pPr>
            <w:r>
              <w:rPr>
                <w:rFonts w:hint="eastAsia"/>
              </w:rPr>
              <w:t>-0.34</w:t>
            </w:r>
          </w:p>
        </w:tc>
      </w:tr>
      <w:tr w14:paraId="51D55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0F82C28E">
            <w:pPr>
              <w:pStyle w:val="69"/>
              <w:numPr>
                <w:ilvl w:val="0"/>
                <w:numId w:val="40"/>
              </w:numPr>
              <w:ind w:left="425" w:leftChars="0" w:hanging="425" w:firstLineChars="0"/>
              <w:jc w:val="center"/>
              <w:rPr>
                <w:rFonts w:hint="eastAsia"/>
                <w:color w:val="auto"/>
              </w:rPr>
            </w:pPr>
          </w:p>
        </w:tc>
        <w:tc>
          <w:tcPr>
            <w:tcW w:w="2053" w:type="dxa"/>
            <w:shd w:val="clear" w:color="auto" w:fill="FFFFFF"/>
            <w:vAlign w:val="center"/>
          </w:tcPr>
          <w:p w14:paraId="7A0EC1D9">
            <w:pPr>
              <w:pStyle w:val="59"/>
              <w:bidi w:val="0"/>
              <w:rPr>
                <w:rFonts w:hint="eastAsia"/>
                <w:lang w:val="en-US" w:eastAsia="zh-CN"/>
              </w:rPr>
            </w:pPr>
            <w:r>
              <w:rPr>
                <w:rFonts w:hint="eastAsia"/>
              </w:rPr>
              <w:t>青文村</w:t>
            </w:r>
          </w:p>
        </w:tc>
        <w:tc>
          <w:tcPr>
            <w:tcW w:w="2054" w:type="dxa"/>
            <w:vAlign w:val="center"/>
          </w:tcPr>
          <w:p w14:paraId="128BB2EB">
            <w:pPr>
              <w:pStyle w:val="59"/>
              <w:bidi w:val="0"/>
              <w:rPr>
                <w:rFonts w:hint="eastAsia"/>
              </w:rPr>
            </w:pPr>
            <w:r>
              <w:rPr>
                <w:rFonts w:hint="eastAsia"/>
              </w:rPr>
              <w:t>-2170</w:t>
            </w:r>
          </w:p>
        </w:tc>
        <w:tc>
          <w:tcPr>
            <w:tcW w:w="2053" w:type="dxa"/>
            <w:vAlign w:val="center"/>
          </w:tcPr>
          <w:p w14:paraId="20E54A78">
            <w:pPr>
              <w:pStyle w:val="59"/>
              <w:bidi w:val="0"/>
              <w:rPr>
                <w:rFonts w:hint="eastAsia"/>
              </w:rPr>
            </w:pPr>
            <w:r>
              <w:rPr>
                <w:rFonts w:hint="eastAsia"/>
              </w:rPr>
              <w:t>-2419</w:t>
            </w:r>
          </w:p>
        </w:tc>
        <w:tc>
          <w:tcPr>
            <w:tcW w:w="2052" w:type="dxa"/>
            <w:vAlign w:val="center"/>
          </w:tcPr>
          <w:p w14:paraId="31BB540E">
            <w:pPr>
              <w:pStyle w:val="59"/>
              <w:bidi w:val="0"/>
              <w:rPr>
                <w:rFonts w:hint="eastAsia"/>
              </w:rPr>
            </w:pPr>
            <w:r>
              <w:rPr>
                <w:rFonts w:hint="eastAsia"/>
              </w:rPr>
              <w:t>15.46</w:t>
            </w:r>
          </w:p>
        </w:tc>
      </w:tr>
      <w:tr w14:paraId="78162C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844" w:type="dxa"/>
            <w:vAlign w:val="center"/>
          </w:tcPr>
          <w:p w14:paraId="46078CB3">
            <w:pPr>
              <w:pStyle w:val="69"/>
              <w:numPr>
                <w:ilvl w:val="0"/>
                <w:numId w:val="40"/>
              </w:numPr>
              <w:ind w:left="425" w:leftChars="0" w:hanging="425" w:firstLineChars="0"/>
              <w:jc w:val="center"/>
              <w:rPr>
                <w:rFonts w:hint="eastAsia"/>
                <w:color w:val="auto"/>
              </w:rPr>
            </w:pPr>
          </w:p>
        </w:tc>
        <w:tc>
          <w:tcPr>
            <w:tcW w:w="2053" w:type="dxa"/>
            <w:shd w:val="clear" w:color="auto" w:fill="FFFFFF"/>
            <w:vAlign w:val="center"/>
          </w:tcPr>
          <w:p w14:paraId="799904B0">
            <w:pPr>
              <w:pStyle w:val="59"/>
              <w:bidi w:val="0"/>
              <w:rPr>
                <w:rFonts w:hint="eastAsia"/>
                <w:lang w:val="en-US" w:eastAsia="zh-CN"/>
              </w:rPr>
            </w:pPr>
            <w:r>
              <w:rPr>
                <w:rFonts w:hint="eastAsia"/>
              </w:rPr>
              <w:t>华景轩</w:t>
            </w:r>
          </w:p>
        </w:tc>
        <w:tc>
          <w:tcPr>
            <w:tcW w:w="2054" w:type="dxa"/>
            <w:vAlign w:val="center"/>
          </w:tcPr>
          <w:p w14:paraId="393B8CA6">
            <w:pPr>
              <w:pStyle w:val="59"/>
              <w:bidi w:val="0"/>
              <w:rPr>
                <w:rFonts w:hint="eastAsia"/>
              </w:rPr>
            </w:pPr>
            <w:r>
              <w:rPr>
                <w:rFonts w:hint="eastAsia"/>
              </w:rPr>
              <w:t>2457</w:t>
            </w:r>
          </w:p>
        </w:tc>
        <w:tc>
          <w:tcPr>
            <w:tcW w:w="2053" w:type="dxa"/>
            <w:vAlign w:val="center"/>
          </w:tcPr>
          <w:p w14:paraId="14314EBA">
            <w:pPr>
              <w:pStyle w:val="59"/>
              <w:bidi w:val="0"/>
              <w:rPr>
                <w:rFonts w:hint="eastAsia"/>
              </w:rPr>
            </w:pPr>
            <w:r>
              <w:rPr>
                <w:rFonts w:hint="eastAsia"/>
              </w:rPr>
              <w:t>-1003</w:t>
            </w:r>
          </w:p>
        </w:tc>
        <w:tc>
          <w:tcPr>
            <w:tcW w:w="2052" w:type="dxa"/>
            <w:vAlign w:val="center"/>
          </w:tcPr>
          <w:p w14:paraId="649CF63D">
            <w:pPr>
              <w:pStyle w:val="59"/>
              <w:bidi w:val="0"/>
              <w:rPr>
                <w:rFonts w:hint="eastAsia"/>
              </w:rPr>
            </w:pPr>
            <w:r>
              <w:rPr>
                <w:rFonts w:hint="eastAsia"/>
              </w:rPr>
              <w:t>1.44</w:t>
            </w:r>
          </w:p>
        </w:tc>
      </w:tr>
    </w:tbl>
    <w:p w14:paraId="28E23388">
      <w:pPr>
        <w:ind w:firstLine="482"/>
        <w:rPr>
          <w:b/>
          <w:bCs/>
          <w:color w:val="auto"/>
          <w:szCs w:val="24"/>
        </w:rPr>
      </w:pPr>
      <w:r>
        <w:rPr>
          <w:b/>
          <w:bCs/>
          <w:color w:val="auto"/>
          <w:szCs w:val="24"/>
        </w:rPr>
        <w:t>3、气象条件</w:t>
      </w:r>
    </w:p>
    <w:p w14:paraId="59F82747">
      <w:pPr>
        <w:ind w:firstLine="480"/>
        <w:rPr>
          <w:color w:val="auto"/>
          <w:szCs w:val="24"/>
        </w:rPr>
      </w:pPr>
      <w:r>
        <w:rPr>
          <w:color w:val="auto"/>
          <w:szCs w:val="24"/>
        </w:rPr>
        <w:t>①计算小时平均浓度需采用长期气象条件，进行逐时或逐次计算。选择污染最严重的(针对所有计算点)的小时气象条件和对各环境空气保护目标影响最大的若干个小时气象条件作为典型小时气象条件。</w:t>
      </w:r>
    </w:p>
    <w:p w14:paraId="3427FBE7">
      <w:pPr>
        <w:ind w:firstLine="480"/>
        <w:rPr>
          <w:color w:val="auto"/>
          <w:szCs w:val="24"/>
        </w:rPr>
      </w:pPr>
      <w:r>
        <w:rPr>
          <w:color w:val="auto"/>
          <w:szCs w:val="24"/>
        </w:rPr>
        <w:t>②计算日平均浓度需采用长期气象条件，进行逐日平均计算。选择污染最严重的(针对所有计算点)日气象条件和对各环境空气保护目标影响最大的若干个日气象条件作为典型日气象条伴。</w:t>
      </w:r>
    </w:p>
    <w:p w14:paraId="633E8A99">
      <w:pPr>
        <w:ind w:firstLine="482"/>
        <w:rPr>
          <w:b/>
          <w:bCs/>
          <w:color w:val="auto"/>
          <w:szCs w:val="24"/>
        </w:rPr>
      </w:pPr>
      <w:r>
        <w:rPr>
          <w:b/>
          <w:bCs/>
          <w:color w:val="auto"/>
          <w:szCs w:val="24"/>
        </w:rPr>
        <w:t>4、地表参数选取</w:t>
      </w:r>
    </w:p>
    <w:p w14:paraId="13F0AF39">
      <w:pPr>
        <w:ind w:firstLine="480"/>
        <w:rPr>
          <w:color w:val="auto"/>
          <w:szCs w:val="24"/>
        </w:rPr>
      </w:pPr>
      <w:r>
        <w:rPr>
          <w:color w:val="auto"/>
          <w:szCs w:val="24"/>
        </w:rPr>
        <w:t>本次预测地表特征参数，见</w:t>
      </w:r>
      <w:r>
        <w:rPr>
          <w:rFonts w:hint="eastAsia"/>
          <w:color w:val="auto"/>
          <w:szCs w:val="24"/>
          <w:lang w:eastAsia="zh-CN"/>
        </w:rPr>
        <w:t>表</w:t>
      </w:r>
      <w:r>
        <w:rPr>
          <w:rFonts w:hint="eastAsia"/>
          <w:color w:val="auto"/>
          <w:szCs w:val="24"/>
          <w:lang w:val="en-US" w:eastAsia="zh-CN"/>
        </w:rPr>
        <w:t>4</w:t>
      </w:r>
      <w:r>
        <w:rPr>
          <w:color w:val="auto"/>
          <w:szCs w:val="24"/>
        </w:rPr>
        <w:t>.</w:t>
      </w:r>
      <w:r>
        <w:rPr>
          <w:rFonts w:hint="eastAsia"/>
          <w:color w:val="auto"/>
          <w:szCs w:val="24"/>
        </w:rPr>
        <w:t>2</w:t>
      </w:r>
      <w:r>
        <w:rPr>
          <w:color w:val="auto"/>
          <w:szCs w:val="24"/>
        </w:rPr>
        <w:t>-1</w:t>
      </w:r>
      <w:r>
        <w:rPr>
          <w:rFonts w:hint="eastAsia"/>
          <w:color w:val="auto"/>
          <w:szCs w:val="24"/>
        </w:rPr>
        <w:t>1</w:t>
      </w:r>
      <w:r>
        <w:rPr>
          <w:color w:val="auto"/>
          <w:szCs w:val="24"/>
        </w:rPr>
        <w:t>所示:</w:t>
      </w:r>
    </w:p>
    <w:p w14:paraId="59EAEAB9">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地表特征数据</w:t>
      </w:r>
    </w:p>
    <w:tbl>
      <w:tblPr>
        <w:tblStyle w:val="38"/>
        <w:tblW w:w="9102" w:type="dxa"/>
        <w:tblInd w:w="0" w:type="dxa"/>
        <w:tblBorders>
          <w:top w:val="none" w:color="auto" w:sz="4" w:space="0"/>
          <w:left w:val="none" w:color="auto" w:sz="4" w:space="0"/>
          <w:bottom w:val="single" w:color="auto" w:sz="12"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1517"/>
        <w:gridCol w:w="1517"/>
        <w:gridCol w:w="1517"/>
        <w:gridCol w:w="1517"/>
        <w:gridCol w:w="1517"/>
        <w:gridCol w:w="1517"/>
      </w:tblGrid>
      <w:tr w14:paraId="170B656E">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1517" w:type="dxa"/>
            <w:tcBorders>
              <w:top w:val="single" w:color="auto" w:sz="12" w:space="0"/>
              <w:left w:val="nil"/>
              <w:bottom w:val="single" w:color="auto" w:sz="4" w:space="0"/>
              <w:right w:val="single" w:color="auto" w:sz="4" w:space="0"/>
            </w:tcBorders>
            <w:noWrap/>
            <w:tcMar>
              <w:top w:w="15" w:type="dxa"/>
              <w:left w:w="15" w:type="dxa"/>
              <w:right w:w="15" w:type="dxa"/>
            </w:tcMar>
            <w:vAlign w:val="center"/>
          </w:tcPr>
          <w:p w14:paraId="5B982D36">
            <w:pPr>
              <w:pStyle w:val="69"/>
              <w:rPr>
                <w:color w:val="auto"/>
              </w:rPr>
            </w:pPr>
            <w:r>
              <w:rPr>
                <w:color w:val="auto"/>
              </w:rPr>
              <w:t>序号</w:t>
            </w:r>
          </w:p>
        </w:tc>
        <w:tc>
          <w:tcPr>
            <w:tcW w:w="1517" w:type="dxa"/>
            <w:tcBorders>
              <w:top w:val="single" w:color="auto" w:sz="12" w:space="0"/>
              <w:left w:val="single" w:color="auto" w:sz="4" w:space="0"/>
              <w:bottom w:val="single" w:color="auto" w:sz="4" w:space="0"/>
              <w:right w:val="single" w:color="auto" w:sz="4" w:space="0"/>
            </w:tcBorders>
            <w:noWrap/>
            <w:tcMar>
              <w:top w:w="15" w:type="dxa"/>
              <w:left w:w="15" w:type="dxa"/>
              <w:right w:w="15" w:type="dxa"/>
            </w:tcMar>
            <w:vAlign w:val="center"/>
          </w:tcPr>
          <w:p w14:paraId="06D223C6">
            <w:pPr>
              <w:pStyle w:val="69"/>
              <w:rPr>
                <w:color w:val="auto"/>
              </w:rPr>
            </w:pPr>
            <w:r>
              <w:rPr>
                <w:color w:val="auto"/>
              </w:rPr>
              <w:t>扇区</w:t>
            </w:r>
          </w:p>
        </w:tc>
        <w:tc>
          <w:tcPr>
            <w:tcW w:w="1517" w:type="dxa"/>
            <w:tcBorders>
              <w:top w:val="single" w:color="auto" w:sz="12" w:space="0"/>
              <w:left w:val="single" w:color="auto" w:sz="4" w:space="0"/>
              <w:bottom w:val="single" w:color="auto" w:sz="4" w:space="0"/>
              <w:right w:val="single" w:color="auto" w:sz="4" w:space="0"/>
            </w:tcBorders>
            <w:noWrap/>
            <w:tcMar>
              <w:top w:w="15" w:type="dxa"/>
              <w:left w:w="15" w:type="dxa"/>
              <w:right w:w="15" w:type="dxa"/>
            </w:tcMar>
            <w:vAlign w:val="center"/>
          </w:tcPr>
          <w:p w14:paraId="0AA1ACEE">
            <w:pPr>
              <w:pStyle w:val="69"/>
              <w:rPr>
                <w:color w:val="auto"/>
              </w:rPr>
            </w:pPr>
            <w:r>
              <w:rPr>
                <w:color w:val="auto"/>
              </w:rPr>
              <w:t>时段</w:t>
            </w:r>
          </w:p>
        </w:tc>
        <w:tc>
          <w:tcPr>
            <w:tcW w:w="1517" w:type="dxa"/>
            <w:tcBorders>
              <w:top w:val="single" w:color="auto" w:sz="12" w:space="0"/>
              <w:left w:val="single" w:color="auto" w:sz="4" w:space="0"/>
              <w:bottom w:val="single" w:color="auto" w:sz="4" w:space="0"/>
              <w:right w:val="single" w:color="auto" w:sz="4" w:space="0"/>
            </w:tcBorders>
            <w:noWrap/>
            <w:tcMar>
              <w:top w:w="15" w:type="dxa"/>
              <w:left w:w="15" w:type="dxa"/>
              <w:right w:w="15" w:type="dxa"/>
            </w:tcMar>
            <w:vAlign w:val="center"/>
          </w:tcPr>
          <w:p w14:paraId="7B04D936">
            <w:pPr>
              <w:pStyle w:val="69"/>
              <w:rPr>
                <w:color w:val="auto"/>
              </w:rPr>
            </w:pPr>
            <w:r>
              <w:rPr>
                <w:color w:val="auto"/>
              </w:rPr>
              <w:t>正午反照率</w:t>
            </w:r>
          </w:p>
        </w:tc>
        <w:tc>
          <w:tcPr>
            <w:tcW w:w="1517" w:type="dxa"/>
            <w:tcBorders>
              <w:top w:val="single" w:color="auto" w:sz="12" w:space="0"/>
              <w:left w:val="single" w:color="auto" w:sz="4" w:space="0"/>
              <w:bottom w:val="single" w:color="auto" w:sz="4" w:space="0"/>
              <w:right w:val="single" w:color="auto" w:sz="4" w:space="0"/>
            </w:tcBorders>
            <w:noWrap/>
            <w:tcMar>
              <w:top w:w="15" w:type="dxa"/>
              <w:left w:w="15" w:type="dxa"/>
              <w:right w:w="15" w:type="dxa"/>
            </w:tcMar>
            <w:vAlign w:val="center"/>
          </w:tcPr>
          <w:p w14:paraId="166BB0FC">
            <w:pPr>
              <w:pStyle w:val="69"/>
              <w:rPr>
                <w:color w:val="auto"/>
              </w:rPr>
            </w:pPr>
            <w:r>
              <w:rPr>
                <w:color w:val="auto"/>
              </w:rPr>
              <w:t>BOWEN</w:t>
            </w:r>
          </w:p>
        </w:tc>
        <w:tc>
          <w:tcPr>
            <w:tcW w:w="1517" w:type="dxa"/>
            <w:tcBorders>
              <w:top w:val="single" w:color="auto" w:sz="12" w:space="0"/>
              <w:left w:val="single" w:color="auto" w:sz="4" w:space="0"/>
              <w:bottom w:val="single" w:color="auto" w:sz="4" w:space="0"/>
              <w:right w:val="nil"/>
            </w:tcBorders>
            <w:noWrap/>
            <w:tcMar>
              <w:top w:w="15" w:type="dxa"/>
              <w:left w:w="15" w:type="dxa"/>
              <w:right w:w="15" w:type="dxa"/>
            </w:tcMar>
            <w:vAlign w:val="center"/>
          </w:tcPr>
          <w:p w14:paraId="10DC8941">
            <w:pPr>
              <w:pStyle w:val="69"/>
              <w:rPr>
                <w:color w:val="auto"/>
              </w:rPr>
            </w:pPr>
            <w:r>
              <w:rPr>
                <w:color w:val="auto"/>
              </w:rPr>
              <w:t>粗糙度</w:t>
            </w:r>
          </w:p>
        </w:tc>
      </w:tr>
      <w:tr w14:paraId="5360F295">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1517"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59F44C91">
            <w:pPr>
              <w:pStyle w:val="69"/>
              <w:rPr>
                <w:color w:val="auto"/>
              </w:rPr>
            </w:pPr>
            <w:r>
              <w:rPr>
                <w:color w:val="auto"/>
              </w:rPr>
              <w:t>1</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0D53B26">
            <w:pPr>
              <w:pStyle w:val="69"/>
              <w:rPr>
                <w:color w:val="auto"/>
              </w:rPr>
            </w:pPr>
            <w:r>
              <w:rPr>
                <w:rFonts w:hint="eastAsia"/>
                <w:color w:val="auto"/>
              </w:rPr>
              <w:t>0-360</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97A26F6">
            <w:pPr>
              <w:pStyle w:val="69"/>
              <w:rPr>
                <w:color w:val="auto"/>
              </w:rPr>
            </w:pPr>
            <w:r>
              <w:rPr>
                <w:rFonts w:hint="eastAsia"/>
                <w:color w:val="auto"/>
              </w:rPr>
              <w:t>冬季</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A8934E">
            <w:pPr>
              <w:pStyle w:val="59"/>
              <w:bidi w:val="0"/>
              <w:rPr>
                <w:rFonts w:hint="default" w:eastAsia="宋体"/>
                <w:color w:val="auto"/>
                <w:lang w:val="en-US" w:eastAsia="zh-CN"/>
              </w:rPr>
            </w:pPr>
            <w:r>
              <w:rPr>
                <w:rFonts w:hint="eastAsia"/>
                <w:color w:val="auto"/>
              </w:rPr>
              <w:t>0.</w:t>
            </w:r>
            <w:r>
              <w:rPr>
                <w:rFonts w:hint="eastAsia"/>
                <w:color w:val="auto"/>
                <w:lang w:val="en-US" w:eastAsia="zh-CN"/>
              </w:rPr>
              <w:t>18</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E78785D">
            <w:pPr>
              <w:pStyle w:val="59"/>
              <w:bidi w:val="0"/>
              <w:rPr>
                <w:color w:val="auto"/>
              </w:rPr>
            </w:pPr>
            <w:r>
              <w:rPr>
                <w:rFonts w:hint="eastAsia"/>
                <w:color w:val="auto"/>
              </w:rPr>
              <w:t>0.5</w:t>
            </w:r>
          </w:p>
        </w:tc>
        <w:tc>
          <w:tcPr>
            <w:tcW w:w="1517" w:type="dxa"/>
            <w:tcBorders>
              <w:top w:val="single" w:color="auto" w:sz="4" w:space="0"/>
              <w:left w:val="single" w:color="auto" w:sz="4" w:space="0"/>
              <w:bottom w:val="single" w:color="auto" w:sz="4" w:space="0"/>
              <w:right w:val="nil"/>
            </w:tcBorders>
            <w:noWrap/>
            <w:tcMar>
              <w:top w:w="15" w:type="dxa"/>
              <w:left w:w="15" w:type="dxa"/>
              <w:right w:w="15" w:type="dxa"/>
            </w:tcMar>
            <w:vAlign w:val="center"/>
          </w:tcPr>
          <w:p w14:paraId="093D6DFC">
            <w:pPr>
              <w:pStyle w:val="59"/>
              <w:bidi w:val="0"/>
              <w:rPr>
                <w:color w:val="auto"/>
              </w:rPr>
            </w:pPr>
            <w:r>
              <w:rPr>
                <w:rFonts w:hint="eastAsia"/>
                <w:color w:val="auto"/>
              </w:rPr>
              <w:t>1</w:t>
            </w:r>
          </w:p>
        </w:tc>
      </w:tr>
      <w:tr w14:paraId="61A4711E">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1517"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2D19C7C6">
            <w:pPr>
              <w:pStyle w:val="69"/>
              <w:rPr>
                <w:color w:val="auto"/>
              </w:rPr>
            </w:pPr>
            <w:r>
              <w:rPr>
                <w:rFonts w:hint="eastAsia"/>
                <w:color w:val="auto"/>
              </w:rPr>
              <w:t>2</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252F2BE">
            <w:pPr>
              <w:pStyle w:val="69"/>
              <w:rPr>
                <w:color w:val="auto"/>
              </w:rPr>
            </w:pPr>
            <w:r>
              <w:rPr>
                <w:rFonts w:hint="eastAsia"/>
                <w:color w:val="auto"/>
              </w:rPr>
              <w:t>0-360</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4334F6B">
            <w:pPr>
              <w:pStyle w:val="69"/>
              <w:rPr>
                <w:color w:val="auto"/>
              </w:rPr>
            </w:pPr>
            <w:r>
              <w:rPr>
                <w:rFonts w:hint="eastAsia"/>
                <w:color w:val="auto"/>
              </w:rPr>
              <w:t>春季</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73C710">
            <w:pPr>
              <w:pStyle w:val="59"/>
              <w:bidi w:val="0"/>
              <w:rPr>
                <w:color w:val="auto"/>
              </w:rPr>
            </w:pPr>
            <w:r>
              <w:rPr>
                <w:rFonts w:hint="eastAsia"/>
                <w:color w:val="auto"/>
              </w:rPr>
              <w:t>0.14</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1E78ED">
            <w:pPr>
              <w:pStyle w:val="59"/>
              <w:bidi w:val="0"/>
              <w:rPr>
                <w:color w:val="auto"/>
              </w:rPr>
            </w:pPr>
            <w:r>
              <w:rPr>
                <w:rFonts w:hint="eastAsia"/>
                <w:color w:val="auto"/>
              </w:rPr>
              <w:t>0.5</w:t>
            </w:r>
          </w:p>
        </w:tc>
        <w:tc>
          <w:tcPr>
            <w:tcW w:w="1517" w:type="dxa"/>
            <w:tcBorders>
              <w:top w:val="single" w:color="auto" w:sz="4" w:space="0"/>
              <w:left w:val="single" w:color="auto" w:sz="4" w:space="0"/>
              <w:bottom w:val="single" w:color="auto" w:sz="4" w:space="0"/>
              <w:right w:val="nil"/>
            </w:tcBorders>
            <w:noWrap/>
            <w:tcMar>
              <w:top w:w="15" w:type="dxa"/>
              <w:left w:w="15" w:type="dxa"/>
              <w:right w:w="15" w:type="dxa"/>
            </w:tcMar>
            <w:vAlign w:val="center"/>
          </w:tcPr>
          <w:p w14:paraId="1ABC3A2E">
            <w:pPr>
              <w:pStyle w:val="59"/>
              <w:bidi w:val="0"/>
              <w:rPr>
                <w:color w:val="auto"/>
              </w:rPr>
            </w:pPr>
            <w:r>
              <w:rPr>
                <w:rFonts w:hint="eastAsia"/>
                <w:color w:val="auto"/>
              </w:rPr>
              <w:t>1</w:t>
            </w:r>
          </w:p>
        </w:tc>
      </w:tr>
      <w:tr w14:paraId="25DE8F22">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1517"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52D4ACEC">
            <w:pPr>
              <w:pStyle w:val="69"/>
              <w:rPr>
                <w:color w:val="auto"/>
              </w:rPr>
            </w:pPr>
            <w:r>
              <w:rPr>
                <w:rFonts w:hint="eastAsia"/>
                <w:color w:val="auto"/>
              </w:rPr>
              <w:t>3</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058B6B1">
            <w:pPr>
              <w:pStyle w:val="69"/>
              <w:rPr>
                <w:color w:val="auto"/>
              </w:rPr>
            </w:pPr>
            <w:r>
              <w:rPr>
                <w:rFonts w:hint="eastAsia"/>
                <w:color w:val="auto"/>
              </w:rPr>
              <w:t>0-360</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043F2F">
            <w:pPr>
              <w:pStyle w:val="69"/>
              <w:rPr>
                <w:color w:val="auto"/>
              </w:rPr>
            </w:pPr>
            <w:r>
              <w:rPr>
                <w:rFonts w:hint="eastAsia"/>
                <w:color w:val="auto"/>
              </w:rPr>
              <w:t>夏季</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4EE30B">
            <w:pPr>
              <w:pStyle w:val="59"/>
              <w:bidi w:val="0"/>
              <w:rPr>
                <w:color w:val="auto"/>
              </w:rPr>
            </w:pPr>
            <w:r>
              <w:rPr>
                <w:rFonts w:hint="eastAsia"/>
                <w:color w:val="auto"/>
              </w:rPr>
              <w:t>0.16</w:t>
            </w:r>
          </w:p>
        </w:tc>
        <w:tc>
          <w:tcPr>
            <w:tcW w:w="151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AA8CB3">
            <w:pPr>
              <w:pStyle w:val="59"/>
              <w:bidi w:val="0"/>
              <w:rPr>
                <w:color w:val="auto"/>
              </w:rPr>
            </w:pPr>
            <w:r>
              <w:rPr>
                <w:rFonts w:hint="eastAsia"/>
                <w:color w:val="auto"/>
              </w:rPr>
              <w:t>1</w:t>
            </w:r>
          </w:p>
        </w:tc>
        <w:tc>
          <w:tcPr>
            <w:tcW w:w="1517" w:type="dxa"/>
            <w:tcBorders>
              <w:top w:val="single" w:color="auto" w:sz="4" w:space="0"/>
              <w:left w:val="single" w:color="auto" w:sz="4" w:space="0"/>
              <w:bottom w:val="single" w:color="auto" w:sz="4" w:space="0"/>
              <w:right w:val="nil"/>
            </w:tcBorders>
            <w:noWrap/>
            <w:tcMar>
              <w:top w:w="15" w:type="dxa"/>
              <w:left w:w="15" w:type="dxa"/>
              <w:right w:w="15" w:type="dxa"/>
            </w:tcMar>
            <w:vAlign w:val="center"/>
          </w:tcPr>
          <w:p w14:paraId="1A068488">
            <w:pPr>
              <w:pStyle w:val="59"/>
              <w:bidi w:val="0"/>
              <w:rPr>
                <w:color w:val="auto"/>
              </w:rPr>
            </w:pPr>
            <w:r>
              <w:rPr>
                <w:rFonts w:hint="eastAsia"/>
                <w:color w:val="auto"/>
              </w:rPr>
              <w:t>1</w:t>
            </w:r>
          </w:p>
        </w:tc>
      </w:tr>
      <w:tr w14:paraId="0BD2D56C">
        <w:tblPrEx>
          <w:tblBorders>
            <w:top w:val="none" w:color="auto" w:sz="4" w:space="0"/>
            <w:left w:val="none" w:color="auto" w:sz="4" w:space="0"/>
            <w:bottom w:val="single" w:color="auto" w:sz="12"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1517" w:type="dxa"/>
            <w:tcBorders>
              <w:top w:val="single" w:color="auto" w:sz="4" w:space="0"/>
              <w:left w:val="nil"/>
              <w:bottom w:val="single" w:color="auto" w:sz="12" w:space="0"/>
              <w:right w:val="single" w:color="auto" w:sz="4" w:space="0"/>
            </w:tcBorders>
            <w:noWrap/>
            <w:tcMar>
              <w:top w:w="15" w:type="dxa"/>
              <w:left w:w="15" w:type="dxa"/>
              <w:right w:w="15" w:type="dxa"/>
            </w:tcMar>
            <w:vAlign w:val="center"/>
          </w:tcPr>
          <w:p w14:paraId="79FE746F">
            <w:pPr>
              <w:pStyle w:val="69"/>
              <w:rPr>
                <w:color w:val="auto"/>
              </w:rPr>
            </w:pPr>
            <w:r>
              <w:rPr>
                <w:rFonts w:hint="eastAsia"/>
                <w:color w:val="auto"/>
              </w:rPr>
              <w:t>4</w:t>
            </w:r>
          </w:p>
        </w:tc>
        <w:tc>
          <w:tcPr>
            <w:tcW w:w="1517" w:type="dxa"/>
            <w:tcBorders>
              <w:top w:val="single" w:color="auto" w:sz="4" w:space="0"/>
              <w:left w:val="single" w:color="auto" w:sz="4" w:space="0"/>
              <w:bottom w:val="single" w:color="auto" w:sz="12" w:space="0"/>
              <w:right w:val="single" w:color="auto" w:sz="4" w:space="0"/>
            </w:tcBorders>
            <w:noWrap/>
            <w:tcMar>
              <w:top w:w="15" w:type="dxa"/>
              <w:left w:w="15" w:type="dxa"/>
              <w:right w:w="15" w:type="dxa"/>
            </w:tcMar>
            <w:vAlign w:val="center"/>
          </w:tcPr>
          <w:p w14:paraId="02E99943">
            <w:pPr>
              <w:pStyle w:val="69"/>
              <w:rPr>
                <w:color w:val="auto"/>
              </w:rPr>
            </w:pPr>
            <w:r>
              <w:rPr>
                <w:rFonts w:hint="eastAsia"/>
                <w:color w:val="auto"/>
              </w:rPr>
              <w:t>0-360</w:t>
            </w:r>
          </w:p>
        </w:tc>
        <w:tc>
          <w:tcPr>
            <w:tcW w:w="1517" w:type="dxa"/>
            <w:tcBorders>
              <w:top w:val="single" w:color="auto" w:sz="4" w:space="0"/>
              <w:left w:val="single" w:color="auto" w:sz="4" w:space="0"/>
              <w:bottom w:val="single" w:color="auto" w:sz="12" w:space="0"/>
              <w:right w:val="single" w:color="auto" w:sz="4" w:space="0"/>
            </w:tcBorders>
            <w:noWrap/>
            <w:tcMar>
              <w:top w:w="15" w:type="dxa"/>
              <w:left w:w="15" w:type="dxa"/>
              <w:right w:w="15" w:type="dxa"/>
            </w:tcMar>
            <w:vAlign w:val="center"/>
          </w:tcPr>
          <w:p w14:paraId="0AB59882">
            <w:pPr>
              <w:pStyle w:val="69"/>
              <w:rPr>
                <w:color w:val="auto"/>
              </w:rPr>
            </w:pPr>
            <w:r>
              <w:rPr>
                <w:rFonts w:hint="eastAsia"/>
                <w:color w:val="auto"/>
              </w:rPr>
              <w:t>秋季</w:t>
            </w:r>
          </w:p>
        </w:tc>
        <w:tc>
          <w:tcPr>
            <w:tcW w:w="1517" w:type="dxa"/>
            <w:tcBorders>
              <w:top w:val="single" w:color="auto" w:sz="4" w:space="0"/>
              <w:left w:val="single" w:color="auto" w:sz="4" w:space="0"/>
              <w:bottom w:val="single" w:color="auto" w:sz="12" w:space="0"/>
              <w:right w:val="single" w:color="auto" w:sz="4" w:space="0"/>
            </w:tcBorders>
            <w:noWrap/>
            <w:tcMar>
              <w:top w:w="15" w:type="dxa"/>
              <w:left w:w="15" w:type="dxa"/>
              <w:right w:w="15" w:type="dxa"/>
            </w:tcMar>
            <w:vAlign w:val="center"/>
          </w:tcPr>
          <w:p w14:paraId="7FCF2271">
            <w:pPr>
              <w:pStyle w:val="59"/>
              <w:bidi w:val="0"/>
              <w:rPr>
                <w:color w:val="auto"/>
              </w:rPr>
            </w:pPr>
            <w:r>
              <w:rPr>
                <w:rFonts w:hint="eastAsia"/>
                <w:color w:val="auto"/>
              </w:rPr>
              <w:t>0.18</w:t>
            </w:r>
          </w:p>
        </w:tc>
        <w:tc>
          <w:tcPr>
            <w:tcW w:w="1517" w:type="dxa"/>
            <w:tcBorders>
              <w:top w:val="single" w:color="auto" w:sz="4" w:space="0"/>
              <w:left w:val="single" w:color="auto" w:sz="4" w:space="0"/>
              <w:bottom w:val="single" w:color="auto" w:sz="12" w:space="0"/>
              <w:right w:val="single" w:color="auto" w:sz="4" w:space="0"/>
            </w:tcBorders>
            <w:noWrap/>
            <w:tcMar>
              <w:top w:w="15" w:type="dxa"/>
              <w:left w:w="15" w:type="dxa"/>
              <w:right w:w="15" w:type="dxa"/>
            </w:tcMar>
            <w:vAlign w:val="center"/>
          </w:tcPr>
          <w:p w14:paraId="3ACB7879">
            <w:pPr>
              <w:pStyle w:val="59"/>
              <w:bidi w:val="0"/>
              <w:rPr>
                <w:color w:val="auto"/>
              </w:rPr>
            </w:pPr>
            <w:r>
              <w:rPr>
                <w:rFonts w:hint="eastAsia"/>
                <w:color w:val="auto"/>
              </w:rPr>
              <w:t>1</w:t>
            </w:r>
          </w:p>
        </w:tc>
        <w:tc>
          <w:tcPr>
            <w:tcW w:w="1517" w:type="dxa"/>
            <w:tcBorders>
              <w:top w:val="single" w:color="auto" w:sz="4" w:space="0"/>
              <w:left w:val="single" w:color="auto" w:sz="4" w:space="0"/>
              <w:bottom w:val="single" w:color="auto" w:sz="12" w:space="0"/>
              <w:right w:val="nil"/>
            </w:tcBorders>
            <w:noWrap/>
            <w:tcMar>
              <w:top w:w="15" w:type="dxa"/>
              <w:left w:w="15" w:type="dxa"/>
              <w:right w:w="15" w:type="dxa"/>
            </w:tcMar>
            <w:vAlign w:val="center"/>
          </w:tcPr>
          <w:p w14:paraId="7C5ACDB6">
            <w:pPr>
              <w:pStyle w:val="59"/>
              <w:bidi w:val="0"/>
              <w:rPr>
                <w:color w:val="auto"/>
              </w:rPr>
            </w:pPr>
            <w:r>
              <w:rPr>
                <w:rFonts w:hint="eastAsia"/>
                <w:color w:val="auto"/>
              </w:rPr>
              <w:t>1</w:t>
            </w:r>
          </w:p>
        </w:tc>
      </w:tr>
    </w:tbl>
    <w:p w14:paraId="71AA03E0">
      <w:pPr>
        <w:ind w:firstLine="482"/>
        <w:rPr>
          <w:b/>
          <w:bCs/>
          <w:color w:val="auto"/>
          <w:szCs w:val="24"/>
        </w:rPr>
      </w:pPr>
      <w:r>
        <w:rPr>
          <w:b/>
          <w:bCs/>
          <w:color w:val="auto"/>
          <w:szCs w:val="24"/>
        </w:rPr>
        <w:t>5、地形选取</w:t>
      </w:r>
    </w:p>
    <w:p w14:paraId="76ABA2AA">
      <w:pPr>
        <w:bidi w:val="0"/>
        <w:rPr>
          <w:color w:val="auto"/>
        </w:rPr>
      </w:pPr>
      <w:r>
        <w:rPr>
          <w:color w:val="auto"/>
        </w:rPr>
        <w:t>项目所在区域地势较平坦，地形参数由大气预测软件附带的网址进行下载，选取评价范围内的地形数据生成“*.dem”文件，插入本项目计算文件中。</w:t>
      </w:r>
    </w:p>
    <w:p w14:paraId="741EAB6D">
      <w:pPr>
        <w:bidi w:val="0"/>
        <w:rPr>
          <w:color w:val="auto"/>
          <w:lang w:val="sq-AL"/>
        </w:rPr>
      </w:pPr>
      <w:r>
        <w:rPr>
          <w:color w:val="auto"/>
          <w:lang w:val="sq-AL"/>
        </w:rPr>
        <w:t>地形数据来源于</w:t>
      </w:r>
      <w:r>
        <w:rPr>
          <w:color w:val="auto"/>
        </w:rPr>
        <w:fldChar w:fldCharType="begin"/>
      </w:r>
      <w:r>
        <w:rPr>
          <w:color w:val="auto"/>
        </w:rPr>
        <w:instrText xml:space="preserve"> HYPERLINK "http://srtm.csi.cgiar.org/" </w:instrText>
      </w:r>
      <w:r>
        <w:rPr>
          <w:color w:val="auto"/>
        </w:rPr>
        <w:fldChar w:fldCharType="separate"/>
      </w:r>
      <w:r>
        <w:rPr>
          <w:color w:val="auto"/>
          <w:lang w:val="sq-AL"/>
        </w:rPr>
        <w:t>http://srtm.csi.cgiar.org/</w:t>
      </w:r>
      <w:r>
        <w:rPr>
          <w:color w:val="auto"/>
          <w:lang w:val="sq-AL"/>
        </w:rPr>
        <w:fldChar w:fldCharType="end"/>
      </w:r>
      <w:r>
        <w:rPr>
          <w:color w:val="auto"/>
          <w:lang w:val="sq-AL"/>
        </w:rPr>
        <w:t>，数据精度为3秒(约90m)，即东西向网格间距为3(秒)、南北向网格间距为3(秒)，区域四个顶点的坐标(经度，纬度)为：</w:t>
      </w:r>
    </w:p>
    <w:p w14:paraId="4883B3D5">
      <w:pPr>
        <w:ind w:firstLine="480"/>
        <w:rPr>
          <w:rFonts w:hint="eastAsia"/>
          <w:color w:val="auto"/>
        </w:rPr>
      </w:pPr>
      <w:r>
        <w:rPr>
          <w:rFonts w:hint="eastAsia"/>
          <w:color w:val="auto"/>
        </w:rPr>
        <w:t>西北角(112.657916666667,23.04875)</w:t>
      </w:r>
      <w:r>
        <w:rPr>
          <w:rFonts w:hint="eastAsia"/>
          <w:color w:val="auto"/>
          <w:lang w:eastAsia="zh-CN"/>
        </w:rPr>
        <w:t>，</w:t>
      </w:r>
      <w:r>
        <w:rPr>
          <w:rFonts w:hint="eastAsia"/>
          <w:color w:val="auto"/>
        </w:rPr>
        <w:t>东北角(113.212083333333,23.04875)</w:t>
      </w:r>
      <w:r>
        <w:rPr>
          <w:rFonts w:hint="eastAsia"/>
          <w:color w:val="auto"/>
          <w:lang w:eastAsia="zh-CN"/>
        </w:rPr>
        <w:t>，</w:t>
      </w:r>
      <w:r>
        <w:rPr>
          <w:rFonts w:hint="eastAsia"/>
          <w:color w:val="auto"/>
        </w:rPr>
        <w:t>西南角(112.657916666667,22.5304166666667)</w:t>
      </w:r>
      <w:r>
        <w:rPr>
          <w:rFonts w:hint="eastAsia"/>
          <w:color w:val="auto"/>
          <w:lang w:eastAsia="zh-CN"/>
        </w:rPr>
        <w:t>，</w:t>
      </w:r>
      <w:r>
        <w:rPr>
          <w:rFonts w:hint="eastAsia"/>
          <w:color w:val="auto"/>
        </w:rPr>
        <w:t>东南角(113.212083333333,22.5304166666667)</w:t>
      </w:r>
    </w:p>
    <w:p w14:paraId="78294343">
      <w:pPr>
        <w:bidi w:val="0"/>
        <w:rPr>
          <w:color w:val="auto"/>
        </w:rPr>
      </w:pPr>
      <w:r>
        <w:rPr>
          <w:rFonts w:hint="eastAsia"/>
          <w:color w:val="auto"/>
        </w:rPr>
        <w:t>高程最小值：-32 (m)</w:t>
      </w:r>
    </w:p>
    <w:p w14:paraId="79955A99">
      <w:pPr>
        <w:ind w:firstLine="480"/>
        <w:rPr>
          <w:rFonts w:hint="eastAsia"/>
          <w:color w:val="auto"/>
        </w:rPr>
      </w:pPr>
      <w:r>
        <w:rPr>
          <w:rFonts w:hint="eastAsia"/>
          <w:color w:val="auto"/>
        </w:rPr>
        <w:t xml:space="preserve">高程最大值：791 (m) </w:t>
      </w:r>
    </w:p>
    <w:p w14:paraId="6808EDCB">
      <w:pPr>
        <w:pStyle w:val="62"/>
        <w:bidi w:val="0"/>
      </w:pPr>
      <w:r>
        <w:drawing>
          <wp:inline distT="0" distB="0" distL="114300" distR="114300">
            <wp:extent cx="5760720" cy="3764280"/>
            <wp:effectExtent l="0" t="0" r="1905" b="7620"/>
            <wp:docPr id="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pic:cNvPicPr>
                      <a:picLocks noChangeAspect="1"/>
                    </pic:cNvPicPr>
                  </pic:nvPicPr>
                  <pic:blipFill>
                    <a:blip r:embed="rId78"/>
                    <a:stretch>
                      <a:fillRect/>
                    </a:stretch>
                  </pic:blipFill>
                  <pic:spPr>
                    <a:xfrm>
                      <a:off x="0" y="0"/>
                      <a:ext cx="5760720" cy="3764280"/>
                    </a:xfrm>
                    <a:prstGeom prst="rect">
                      <a:avLst/>
                    </a:prstGeom>
                    <a:noFill/>
                    <a:ln>
                      <a:noFill/>
                    </a:ln>
                  </pic:spPr>
                </pic:pic>
              </a:graphicData>
            </a:graphic>
          </wp:inline>
        </w:drawing>
      </w:r>
    </w:p>
    <w:p w14:paraId="6DC2D2D9">
      <w:pPr>
        <w:pStyle w:val="85"/>
        <w:keepNext w:val="0"/>
        <w:keepLines w:val="0"/>
        <w:pageBreakBefore w:val="0"/>
        <w:widowControl/>
        <w:numPr>
          <w:ilvl w:val="0"/>
          <w:numId w:val="38"/>
        </w:numPr>
        <w:kinsoku/>
        <w:wordWrap/>
        <w:overflowPunct/>
        <w:topLinePunct w:val="0"/>
        <w:autoSpaceDE/>
        <w:autoSpaceDN/>
        <w:bidi w:val="0"/>
        <w:adjustRightInd/>
        <w:snapToGrid/>
        <w:spacing w:line="240" w:lineRule="auto"/>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项目所在区域</w:t>
      </w:r>
      <w:r>
        <w:rPr>
          <w:rFonts w:hint="eastAsia" w:ascii="Times New Roman" w:hAnsi="Times New Roman" w:eastAsia="宋体" w:cs="Times New Roman"/>
          <w:color w:val="auto"/>
          <w:sz w:val="24"/>
          <w:szCs w:val="24"/>
        </w:rPr>
        <w:t>地形图</w:t>
      </w:r>
    </w:p>
    <w:p w14:paraId="2AF87C4A">
      <w:pPr>
        <w:ind w:firstLine="482"/>
        <w:rPr>
          <w:b/>
          <w:bCs/>
          <w:color w:val="auto"/>
          <w:szCs w:val="24"/>
        </w:rPr>
      </w:pPr>
      <w:r>
        <w:rPr>
          <w:b/>
          <w:bCs/>
          <w:color w:val="auto"/>
          <w:szCs w:val="24"/>
        </w:rPr>
        <w:t>6、相关参数选项</w:t>
      </w:r>
    </w:p>
    <w:p w14:paraId="66597617">
      <w:pPr>
        <w:ind w:firstLine="480"/>
        <w:rPr>
          <w:color w:val="auto"/>
          <w:szCs w:val="24"/>
        </w:rPr>
      </w:pPr>
      <w:r>
        <w:rPr>
          <w:color w:val="auto"/>
          <w:szCs w:val="24"/>
        </w:rPr>
        <w:t>(1)地形高程:考虑地形高程影响</w:t>
      </w:r>
    </w:p>
    <w:p w14:paraId="195051C5">
      <w:pPr>
        <w:ind w:firstLine="480"/>
        <w:rPr>
          <w:color w:val="auto"/>
          <w:szCs w:val="24"/>
        </w:rPr>
      </w:pPr>
      <w:r>
        <w:rPr>
          <w:color w:val="auto"/>
          <w:szCs w:val="24"/>
        </w:rPr>
        <w:t>(2)预测点离地高:不考虑(预测点在地面上)</w:t>
      </w:r>
    </w:p>
    <w:p w14:paraId="7D2F6E20">
      <w:pPr>
        <w:ind w:firstLine="480"/>
        <w:rPr>
          <w:color w:val="auto"/>
          <w:szCs w:val="24"/>
        </w:rPr>
      </w:pPr>
      <w:r>
        <w:rPr>
          <w:color w:val="auto"/>
          <w:szCs w:val="24"/>
        </w:rPr>
        <w:t>(3)烟囱出口下洗:考虑</w:t>
      </w:r>
    </w:p>
    <w:p w14:paraId="6E4934DB">
      <w:pPr>
        <w:ind w:firstLine="480"/>
        <w:rPr>
          <w:color w:val="auto"/>
          <w:szCs w:val="24"/>
        </w:rPr>
      </w:pPr>
      <w:r>
        <w:rPr>
          <w:color w:val="auto"/>
          <w:szCs w:val="24"/>
        </w:rPr>
        <w:t>(4)城市效应:不考虑</w:t>
      </w:r>
    </w:p>
    <w:p w14:paraId="2BD36BF4">
      <w:pPr>
        <w:ind w:firstLine="480"/>
        <w:rPr>
          <w:color w:val="auto"/>
          <w:szCs w:val="24"/>
        </w:rPr>
      </w:pPr>
      <w:r>
        <w:rPr>
          <w:color w:val="auto"/>
          <w:szCs w:val="24"/>
        </w:rPr>
        <w:t>(5)二氧化硫半衰期:</w:t>
      </w:r>
    </w:p>
    <w:p w14:paraId="62FF2ADD">
      <w:pPr>
        <w:ind w:firstLine="480"/>
        <w:rPr>
          <w:color w:val="auto"/>
          <w:szCs w:val="24"/>
        </w:rPr>
      </w:pPr>
      <w:r>
        <w:rPr>
          <w:color w:val="auto"/>
          <w:szCs w:val="24"/>
        </w:rPr>
        <w:t>在计算日平均或更长时间平均质量浓度时，应考虑化学转化。SO</w:t>
      </w:r>
      <w:r>
        <w:rPr>
          <w:color w:val="auto"/>
          <w:szCs w:val="24"/>
          <w:vertAlign w:val="subscript"/>
        </w:rPr>
        <w:t>2</w:t>
      </w:r>
      <w:r>
        <w:rPr>
          <w:color w:val="auto"/>
          <w:szCs w:val="24"/>
        </w:rPr>
        <w:t>转化可取半衰期为4h；</w:t>
      </w:r>
    </w:p>
    <w:p w14:paraId="31B12150">
      <w:pPr>
        <w:ind w:firstLine="480"/>
        <w:rPr>
          <w:color w:val="auto"/>
          <w:szCs w:val="24"/>
        </w:rPr>
      </w:pPr>
      <w:r>
        <w:rPr>
          <w:color w:val="auto"/>
          <w:szCs w:val="24"/>
        </w:rPr>
        <w:t>(6)总沉降:考虑</w:t>
      </w:r>
    </w:p>
    <w:p w14:paraId="060C0310">
      <w:pPr>
        <w:ind w:firstLine="480"/>
        <w:rPr>
          <w:color w:val="auto"/>
          <w:szCs w:val="24"/>
        </w:rPr>
      </w:pPr>
      <w:r>
        <w:rPr>
          <w:color w:val="auto"/>
          <w:szCs w:val="24"/>
        </w:rPr>
        <w:t>(7)干沉降:考虑</w:t>
      </w:r>
    </w:p>
    <w:p w14:paraId="24415E6A">
      <w:pPr>
        <w:ind w:firstLine="480"/>
        <w:rPr>
          <w:color w:val="auto"/>
          <w:szCs w:val="24"/>
        </w:rPr>
      </w:pPr>
      <w:r>
        <w:rPr>
          <w:color w:val="auto"/>
          <w:szCs w:val="24"/>
        </w:rPr>
        <w:t>(8)湿沉降:考虑</w:t>
      </w:r>
    </w:p>
    <w:p w14:paraId="68FA9D94">
      <w:pPr>
        <w:ind w:firstLine="480"/>
        <w:rPr>
          <w:color w:val="auto"/>
          <w:szCs w:val="24"/>
        </w:rPr>
      </w:pPr>
      <w:r>
        <w:rPr>
          <w:color w:val="auto"/>
          <w:szCs w:val="24"/>
        </w:rPr>
        <w:t>(9)面源计算考虑干去除损耗:不考虑</w:t>
      </w:r>
    </w:p>
    <w:p w14:paraId="437EE2D2">
      <w:pPr>
        <w:ind w:firstLine="480"/>
        <w:rPr>
          <w:color w:val="auto"/>
          <w:szCs w:val="24"/>
        </w:rPr>
      </w:pPr>
      <w:r>
        <w:rPr>
          <w:color w:val="auto"/>
          <w:szCs w:val="24"/>
        </w:rPr>
        <w:t>(10)使用AERMOD的BETA选项:不考虑</w:t>
      </w:r>
    </w:p>
    <w:p w14:paraId="63F953C3">
      <w:pPr>
        <w:ind w:firstLine="480"/>
        <w:rPr>
          <w:color w:val="auto"/>
          <w:szCs w:val="24"/>
        </w:rPr>
      </w:pPr>
      <w:r>
        <w:rPr>
          <w:color w:val="auto"/>
          <w:szCs w:val="24"/>
        </w:rPr>
        <w:t>(11)考虑建筑物下洗:不考虑</w:t>
      </w:r>
    </w:p>
    <w:p w14:paraId="6C380225">
      <w:pPr>
        <w:ind w:firstLine="480"/>
        <w:rPr>
          <w:color w:val="auto"/>
          <w:szCs w:val="24"/>
        </w:rPr>
      </w:pPr>
      <w:r>
        <w:rPr>
          <w:color w:val="auto"/>
          <w:szCs w:val="24"/>
        </w:rPr>
        <w:t>(12)考虑NO</w:t>
      </w:r>
      <w:r>
        <w:rPr>
          <w:color w:val="auto"/>
          <w:szCs w:val="24"/>
          <w:vertAlign w:val="subscript"/>
        </w:rPr>
        <w:t>2</w:t>
      </w:r>
      <w:r>
        <w:rPr>
          <w:color w:val="auto"/>
          <w:szCs w:val="24"/>
        </w:rPr>
        <w:t>化学反应:不考虑</w:t>
      </w:r>
    </w:p>
    <w:p w14:paraId="60DF178E">
      <w:pPr>
        <w:ind w:firstLine="480"/>
        <w:rPr>
          <w:color w:val="auto"/>
          <w:szCs w:val="24"/>
        </w:rPr>
      </w:pPr>
      <w:r>
        <w:rPr>
          <w:color w:val="auto"/>
          <w:szCs w:val="24"/>
        </w:rPr>
        <w:t>(13)考虑全部源速度优化:是</w:t>
      </w:r>
    </w:p>
    <w:p w14:paraId="32591992">
      <w:pPr>
        <w:ind w:firstLine="480"/>
        <w:rPr>
          <w:color w:val="auto"/>
          <w:szCs w:val="24"/>
        </w:rPr>
      </w:pPr>
      <w:r>
        <w:rPr>
          <w:color w:val="auto"/>
          <w:szCs w:val="24"/>
        </w:rPr>
        <w:t>(14)考虑扩散过程的衰减:不考虑</w:t>
      </w:r>
    </w:p>
    <w:p w14:paraId="7626BE5B">
      <w:pPr>
        <w:ind w:firstLine="480"/>
        <w:rPr>
          <w:color w:val="auto"/>
          <w:szCs w:val="24"/>
        </w:rPr>
      </w:pPr>
      <w:r>
        <w:rPr>
          <w:color w:val="auto"/>
          <w:szCs w:val="24"/>
        </w:rPr>
        <w:t>(15)考虑浓度的背景值叠加:是</w:t>
      </w:r>
    </w:p>
    <w:p w14:paraId="7CB698CA">
      <w:pPr>
        <w:ind w:firstLine="480"/>
        <w:rPr>
          <w:color w:val="auto"/>
          <w:szCs w:val="24"/>
        </w:rPr>
      </w:pPr>
      <w:r>
        <w:rPr>
          <w:color w:val="auto"/>
          <w:szCs w:val="24"/>
        </w:rPr>
        <w:t>(16)气象选项</w:t>
      </w:r>
    </w:p>
    <w:p w14:paraId="6D0C93B5">
      <w:pPr>
        <w:ind w:firstLine="480"/>
        <w:rPr>
          <w:color w:val="auto"/>
          <w:szCs w:val="24"/>
        </w:rPr>
      </w:pPr>
      <w:r>
        <w:rPr>
          <w:color w:val="auto"/>
          <w:szCs w:val="24"/>
        </w:rPr>
        <w:t>气象起止日期:20</w:t>
      </w:r>
      <w:r>
        <w:rPr>
          <w:rFonts w:hint="eastAsia"/>
          <w:color w:val="auto"/>
          <w:szCs w:val="24"/>
          <w:lang w:val="en-US" w:eastAsia="zh-CN"/>
        </w:rPr>
        <w:t>24</w:t>
      </w:r>
      <w:r>
        <w:rPr>
          <w:color w:val="auto"/>
          <w:szCs w:val="24"/>
        </w:rPr>
        <w:t>-1-1；20</w:t>
      </w:r>
      <w:r>
        <w:rPr>
          <w:rFonts w:hint="eastAsia"/>
          <w:color w:val="auto"/>
          <w:szCs w:val="24"/>
          <w:lang w:val="en-US" w:eastAsia="zh-CN"/>
        </w:rPr>
        <w:t>24</w:t>
      </w:r>
      <w:r>
        <w:rPr>
          <w:color w:val="auto"/>
          <w:szCs w:val="24"/>
        </w:rPr>
        <w:t>-12-31。</w:t>
      </w:r>
    </w:p>
    <w:p w14:paraId="6A4BD621">
      <w:pPr>
        <w:pStyle w:val="64"/>
        <w:numPr>
          <w:ilvl w:val="2"/>
          <w:numId w:val="8"/>
        </w:numPr>
        <w:spacing w:before="166" w:after="166"/>
        <w:ind w:left="709" w:leftChars="0" w:hanging="709" w:firstLineChars="0"/>
        <w:rPr>
          <w:rFonts w:hint="eastAsia"/>
          <w:color w:val="auto"/>
        </w:rPr>
      </w:pPr>
      <w:r>
        <w:rPr>
          <w:rFonts w:hint="eastAsia"/>
          <w:color w:val="auto"/>
          <w:lang w:val="en-US" w:eastAsia="zh-CN"/>
        </w:rPr>
        <w:t>污染源</w:t>
      </w:r>
      <w:r>
        <w:rPr>
          <w:rFonts w:hint="eastAsia"/>
          <w:color w:val="auto"/>
        </w:rPr>
        <w:t>源强</w:t>
      </w:r>
    </w:p>
    <w:p w14:paraId="19185113">
      <w:pPr>
        <w:ind w:firstLine="482"/>
        <w:rPr>
          <w:b/>
          <w:bCs/>
          <w:color w:val="auto"/>
        </w:rPr>
      </w:pPr>
      <w:r>
        <w:rPr>
          <w:rFonts w:hint="eastAsia"/>
          <w:b/>
          <w:bCs/>
          <w:color w:val="auto"/>
        </w:rPr>
        <w:t>1、</w:t>
      </w:r>
      <w:r>
        <w:rPr>
          <w:b/>
          <w:bCs/>
          <w:color w:val="auto"/>
        </w:rPr>
        <w:t>点源</w:t>
      </w:r>
      <w:r>
        <w:rPr>
          <w:rFonts w:hint="eastAsia"/>
          <w:b/>
          <w:bCs/>
          <w:color w:val="auto"/>
        </w:rPr>
        <w:t>源强</w:t>
      </w:r>
    </w:p>
    <w:p w14:paraId="16E3D32B">
      <w:pPr>
        <w:ind w:firstLine="480"/>
        <w:rPr>
          <w:color w:val="auto"/>
        </w:rPr>
      </w:pPr>
      <w:r>
        <w:rPr>
          <w:rFonts w:hint="eastAsia"/>
          <w:color w:val="auto"/>
          <w:lang w:val="en-US" w:eastAsia="zh-CN"/>
        </w:rPr>
        <w:t>本项目新建1</w:t>
      </w:r>
      <w:r>
        <w:rPr>
          <w:rFonts w:hint="eastAsia"/>
          <w:color w:val="auto"/>
        </w:rPr>
        <w:t>根工艺废气排气筒。排气筒的</w:t>
      </w:r>
      <w:r>
        <w:rPr>
          <w:color w:val="auto"/>
        </w:rPr>
        <w:t>大气污染源强及排放参数</w:t>
      </w:r>
      <w:r>
        <w:rPr>
          <w:rFonts w:hint="eastAsia"/>
          <w:color w:val="auto"/>
        </w:rPr>
        <w:t>见</w:t>
      </w:r>
      <w:r>
        <w:rPr>
          <w:rFonts w:hint="eastAsia"/>
          <w:color w:val="auto"/>
          <w:lang w:eastAsia="zh-CN"/>
        </w:rPr>
        <w:t>表</w:t>
      </w:r>
      <w:r>
        <w:rPr>
          <w:rFonts w:hint="eastAsia"/>
          <w:color w:val="auto"/>
          <w:lang w:val="en-US" w:eastAsia="zh-CN"/>
        </w:rPr>
        <w:t>4</w:t>
      </w:r>
      <w:r>
        <w:rPr>
          <w:rFonts w:hint="eastAsia"/>
          <w:color w:val="auto"/>
        </w:rPr>
        <w:t>.2-1</w:t>
      </w:r>
      <w:r>
        <w:rPr>
          <w:rFonts w:hint="eastAsia"/>
          <w:color w:val="auto"/>
          <w:lang w:val="en-US" w:eastAsia="zh-CN"/>
        </w:rPr>
        <w:t>1</w:t>
      </w:r>
      <w:r>
        <w:rPr>
          <w:color w:val="auto"/>
        </w:rPr>
        <w:t>。</w:t>
      </w:r>
    </w:p>
    <w:p w14:paraId="09A52444">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主要废气污染源参数一览表(点源)</w:t>
      </w:r>
    </w:p>
    <w:tbl>
      <w:tblPr>
        <w:tblStyle w:val="38"/>
        <w:tblW w:w="9123" w:type="dxa"/>
        <w:tblInd w:w="0" w:type="dxa"/>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8"/>
        <w:gridCol w:w="611"/>
        <w:gridCol w:w="708"/>
        <w:gridCol w:w="802"/>
        <w:gridCol w:w="698"/>
        <w:gridCol w:w="698"/>
        <w:gridCol w:w="698"/>
        <w:gridCol w:w="708"/>
        <w:gridCol w:w="741"/>
        <w:gridCol w:w="722"/>
        <w:gridCol w:w="935"/>
        <w:gridCol w:w="844"/>
      </w:tblGrid>
      <w:tr w14:paraId="531599B9">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958" w:type="dxa"/>
            <w:vMerge w:val="restart"/>
            <w:shd w:val="clear" w:color="auto" w:fill="FFFFFF"/>
            <w:vAlign w:val="center"/>
          </w:tcPr>
          <w:p w14:paraId="5C4418D9">
            <w:pPr>
              <w:pStyle w:val="59"/>
              <w:rPr>
                <w:color w:val="auto"/>
                <w:kern w:val="2"/>
                <w:szCs w:val="24"/>
              </w:rPr>
            </w:pPr>
            <w:r>
              <w:rPr>
                <w:color w:val="auto"/>
                <w:kern w:val="2"/>
                <w:szCs w:val="24"/>
              </w:rPr>
              <w:t>污染源名称</w:t>
            </w:r>
          </w:p>
        </w:tc>
        <w:tc>
          <w:tcPr>
            <w:tcW w:w="1319" w:type="dxa"/>
            <w:gridSpan w:val="2"/>
            <w:shd w:val="clear" w:color="auto" w:fill="FFFFFF"/>
            <w:vAlign w:val="center"/>
          </w:tcPr>
          <w:p w14:paraId="2CA6D4F8">
            <w:pPr>
              <w:pStyle w:val="69"/>
              <w:rPr>
                <w:color w:val="auto"/>
                <w:szCs w:val="24"/>
              </w:rPr>
            </w:pPr>
            <w:r>
              <w:rPr>
                <w:color w:val="auto"/>
                <w:szCs w:val="24"/>
              </w:rPr>
              <w:t>排气筒底部中心坐标(</w:t>
            </w:r>
            <w:r>
              <w:rPr>
                <w:rFonts w:hint="eastAsia"/>
                <w:color w:val="auto"/>
                <w:szCs w:val="24"/>
              </w:rPr>
              <w:t>m</w:t>
            </w:r>
            <w:r>
              <w:rPr>
                <w:color w:val="auto"/>
                <w:szCs w:val="24"/>
              </w:rPr>
              <w:t>)</w:t>
            </w:r>
          </w:p>
        </w:tc>
        <w:tc>
          <w:tcPr>
            <w:tcW w:w="802" w:type="dxa"/>
            <w:vMerge w:val="restart"/>
            <w:shd w:val="clear" w:color="auto" w:fill="FFFFFF"/>
            <w:vAlign w:val="center"/>
          </w:tcPr>
          <w:p w14:paraId="6EFB4C9C">
            <w:pPr>
              <w:pStyle w:val="59"/>
              <w:bidi w:val="0"/>
            </w:pPr>
            <w:r>
              <w:t>排气筒底部海拔高度(m)</w:t>
            </w:r>
          </w:p>
        </w:tc>
        <w:tc>
          <w:tcPr>
            <w:tcW w:w="2802" w:type="dxa"/>
            <w:gridSpan w:val="4"/>
            <w:shd w:val="clear" w:color="auto" w:fill="FFFFFF"/>
            <w:vAlign w:val="center"/>
          </w:tcPr>
          <w:p w14:paraId="7AB3DF27">
            <w:pPr>
              <w:pStyle w:val="59"/>
              <w:bidi w:val="0"/>
            </w:pPr>
            <w:r>
              <w:t>排气筒参数</w:t>
            </w:r>
          </w:p>
        </w:tc>
        <w:tc>
          <w:tcPr>
            <w:tcW w:w="741" w:type="dxa"/>
            <w:vMerge w:val="restart"/>
            <w:tcBorders>
              <w:bottom w:val="single" w:color="auto" w:sz="4" w:space="0"/>
              <w:right w:val="single" w:color="auto" w:sz="4" w:space="0"/>
            </w:tcBorders>
            <w:shd w:val="clear" w:color="auto" w:fill="FFFFFF"/>
            <w:vAlign w:val="center"/>
          </w:tcPr>
          <w:p w14:paraId="38C78B86">
            <w:pPr>
              <w:pStyle w:val="59"/>
              <w:bidi w:val="0"/>
            </w:pPr>
            <w:r>
              <w:rPr>
                <w:rFonts w:hint="eastAsia"/>
              </w:rPr>
              <w:t>年排放小时数/h</w:t>
            </w:r>
          </w:p>
        </w:tc>
        <w:tc>
          <w:tcPr>
            <w:tcW w:w="722" w:type="dxa"/>
            <w:vMerge w:val="restart"/>
            <w:tcBorders>
              <w:left w:val="single" w:color="auto" w:sz="4" w:space="0"/>
              <w:bottom w:val="single" w:color="auto" w:sz="4" w:space="0"/>
              <w:right w:val="single" w:color="auto" w:sz="4" w:space="0"/>
            </w:tcBorders>
            <w:shd w:val="clear" w:color="auto" w:fill="FFFFFF"/>
            <w:vAlign w:val="center"/>
          </w:tcPr>
          <w:p w14:paraId="78FA7610">
            <w:pPr>
              <w:pStyle w:val="59"/>
              <w:bidi w:val="0"/>
            </w:pPr>
            <w:r>
              <w:rPr>
                <w:rFonts w:hint="eastAsia"/>
              </w:rPr>
              <w:t>排放工况</w:t>
            </w:r>
          </w:p>
        </w:tc>
        <w:tc>
          <w:tcPr>
            <w:tcW w:w="935" w:type="dxa"/>
            <w:vMerge w:val="restart"/>
            <w:tcBorders>
              <w:left w:val="single" w:color="auto" w:sz="4" w:space="0"/>
              <w:bottom w:val="single" w:color="auto" w:sz="4" w:space="0"/>
            </w:tcBorders>
            <w:shd w:val="clear" w:color="auto" w:fill="FFFFFF"/>
            <w:vAlign w:val="center"/>
          </w:tcPr>
          <w:p w14:paraId="74C4D66E">
            <w:pPr>
              <w:pStyle w:val="59"/>
              <w:rPr>
                <w:color w:val="auto"/>
                <w:kern w:val="2"/>
                <w:szCs w:val="24"/>
              </w:rPr>
            </w:pPr>
            <w:r>
              <w:rPr>
                <w:color w:val="auto"/>
                <w:kern w:val="2"/>
                <w:szCs w:val="24"/>
              </w:rPr>
              <w:t>污染物名称</w:t>
            </w:r>
          </w:p>
        </w:tc>
        <w:tc>
          <w:tcPr>
            <w:tcW w:w="844" w:type="dxa"/>
            <w:vMerge w:val="restart"/>
            <w:tcBorders>
              <w:right w:val="dotted" w:color="auto" w:sz="4" w:space="0"/>
            </w:tcBorders>
            <w:shd w:val="clear" w:color="auto" w:fill="FFFFFF"/>
            <w:vAlign w:val="center"/>
          </w:tcPr>
          <w:p w14:paraId="7E9C6973">
            <w:pPr>
              <w:pStyle w:val="59"/>
              <w:rPr>
                <w:color w:val="auto"/>
                <w:kern w:val="2"/>
                <w:szCs w:val="24"/>
              </w:rPr>
            </w:pPr>
            <w:r>
              <w:rPr>
                <w:color w:val="auto"/>
                <w:kern w:val="2"/>
                <w:szCs w:val="24"/>
              </w:rPr>
              <w:t>排放速率</w:t>
            </w:r>
            <w:r>
              <w:rPr>
                <w:rFonts w:hint="eastAsia"/>
                <w:color w:val="auto"/>
                <w:kern w:val="2"/>
                <w:szCs w:val="24"/>
              </w:rPr>
              <w:t>kg/h</w:t>
            </w:r>
            <w:r>
              <w:rPr>
                <w:color w:val="auto"/>
                <w:kern w:val="2"/>
                <w:szCs w:val="24"/>
              </w:rPr>
              <w:t xml:space="preserve"> </w:t>
            </w:r>
          </w:p>
        </w:tc>
      </w:tr>
      <w:tr w14:paraId="452A11D4">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958" w:type="dxa"/>
            <w:vMerge w:val="continue"/>
            <w:shd w:val="clear" w:color="auto" w:fill="FFFFFF"/>
            <w:vAlign w:val="center"/>
          </w:tcPr>
          <w:p w14:paraId="483CB93F">
            <w:pPr>
              <w:pStyle w:val="59"/>
              <w:rPr>
                <w:color w:val="auto"/>
                <w:kern w:val="2"/>
                <w:szCs w:val="24"/>
              </w:rPr>
            </w:pPr>
          </w:p>
        </w:tc>
        <w:tc>
          <w:tcPr>
            <w:tcW w:w="611" w:type="dxa"/>
            <w:shd w:val="clear" w:color="auto" w:fill="FFFFFF"/>
            <w:vAlign w:val="center"/>
          </w:tcPr>
          <w:p w14:paraId="5B0D9A08">
            <w:pPr>
              <w:pStyle w:val="69"/>
              <w:rPr>
                <w:color w:val="auto"/>
                <w:szCs w:val="24"/>
              </w:rPr>
            </w:pPr>
            <w:r>
              <w:rPr>
                <w:rFonts w:hint="eastAsia"/>
                <w:color w:val="auto"/>
                <w:szCs w:val="24"/>
              </w:rPr>
              <w:t>X</w:t>
            </w:r>
          </w:p>
        </w:tc>
        <w:tc>
          <w:tcPr>
            <w:tcW w:w="708" w:type="dxa"/>
            <w:shd w:val="clear" w:color="auto" w:fill="FFFFFF"/>
            <w:vAlign w:val="center"/>
          </w:tcPr>
          <w:p w14:paraId="105718DE">
            <w:pPr>
              <w:pStyle w:val="69"/>
              <w:rPr>
                <w:color w:val="auto"/>
                <w:szCs w:val="24"/>
              </w:rPr>
            </w:pPr>
            <w:r>
              <w:rPr>
                <w:rFonts w:hint="eastAsia"/>
                <w:color w:val="auto"/>
                <w:szCs w:val="24"/>
              </w:rPr>
              <w:t>Y</w:t>
            </w:r>
          </w:p>
        </w:tc>
        <w:tc>
          <w:tcPr>
            <w:tcW w:w="802" w:type="dxa"/>
            <w:vMerge w:val="continue"/>
            <w:shd w:val="clear" w:color="auto" w:fill="FFFFFF"/>
            <w:vAlign w:val="center"/>
          </w:tcPr>
          <w:p w14:paraId="4FB714BA">
            <w:pPr>
              <w:pStyle w:val="59"/>
              <w:rPr>
                <w:color w:val="auto"/>
                <w:kern w:val="2"/>
                <w:szCs w:val="24"/>
              </w:rPr>
            </w:pPr>
          </w:p>
        </w:tc>
        <w:tc>
          <w:tcPr>
            <w:tcW w:w="698" w:type="dxa"/>
            <w:shd w:val="clear" w:color="auto" w:fill="FFFFFF"/>
            <w:vAlign w:val="center"/>
          </w:tcPr>
          <w:p w14:paraId="2116AD90">
            <w:pPr>
              <w:pStyle w:val="59"/>
              <w:rPr>
                <w:color w:val="auto"/>
                <w:kern w:val="2"/>
                <w:szCs w:val="24"/>
              </w:rPr>
            </w:pPr>
            <w:r>
              <w:rPr>
                <w:color w:val="auto"/>
                <w:kern w:val="2"/>
                <w:szCs w:val="24"/>
              </w:rPr>
              <w:t>高度(m)</w:t>
            </w:r>
          </w:p>
        </w:tc>
        <w:tc>
          <w:tcPr>
            <w:tcW w:w="698" w:type="dxa"/>
            <w:shd w:val="clear" w:color="auto" w:fill="FFFFFF"/>
            <w:vAlign w:val="center"/>
          </w:tcPr>
          <w:p w14:paraId="4BA49273">
            <w:pPr>
              <w:pStyle w:val="59"/>
              <w:rPr>
                <w:color w:val="auto"/>
                <w:kern w:val="2"/>
                <w:szCs w:val="24"/>
              </w:rPr>
            </w:pPr>
            <w:r>
              <w:rPr>
                <w:color w:val="auto"/>
                <w:kern w:val="2"/>
                <w:szCs w:val="24"/>
              </w:rPr>
              <w:t>内径(m)</w:t>
            </w:r>
          </w:p>
        </w:tc>
        <w:tc>
          <w:tcPr>
            <w:tcW w:w="698" w:type="dxa"/>
            <w:shd w:val="clear" w:color="auto" w:fill="FFFFFF"/>
            <w:vAlign w:val="center"/>
          </w:tcPr>
          <w:p w14:paraId="2E6804E8">
            <w:pPr>
              <w:pStyle w:val="59"/>
              <w:rPr>
                <w:color w:val="auto"/>
                <w:kern w:val="2"/>
                <w:szCs w:val="24"/>
              </w:rPr>
            </w:pPr>
            <w:r>
              <w:rPr>
                <w:color w:val="auto"/>
                <w:kern w:val="2"/>
                <w:szCs w:val="24"/>
              </w:rPr>
              <w:t>温度(</w:t>
            </w:r>
            <w:r>
              <w:rPr>
                <w:rFonts w:hint="eastAsia"/>
                <w:color w:val="auto"/>
                <w:kern w:val="2"/>
                <w:szCs w:val="24"/>
              </w:rPr>
              <w:t>℃</w:t>
            </w:r>
            <w:r>
              <w:rPr>
                <w:color w:val="auto"/>
                <w:kern w:val="2"/>
                <w:szCs w:val="24"/>
              </w:rPr>
              <w:t>)</w:t>
            </w:r>
          </w:p>
        </w:tc>
        <w:tc>
          <w:tcPr>
            <w:tcW w:w="708" w:type="dxa"/>
            <w:shd w:val="clear" w:color="auto" w:fill="FFFFFF"/>
            <w:vAlign w:val="center"/>
          </w:tcPr>
          <w:p w14:paraId="3E70099C">
            <w:pPr>
              <w:pStyle w:val="59"/>
              <w:rPr>
                <w:color w:val="auto"/>
                <w:kern w:val="2"/>
                <w:szCs w:val="24"/>
              </w:rPr>
            </w:pPr>
            <w:r>
              <w:rPr>
                <w:color w:val="auto"/>
                <w:kern w:val="2"/>
                <w:szCs w:val="24"/>
              </w:rPr>
              <w:t>流速(m/s)</w:t>
            </w:r>
          </w:p>
        </w:tc>
        <w:tc>
          <w:tcPr>
            <w:tcW w:w="741" w:type="dxa"/>
            <w:vMerge w:val="continue"/>
            <w:tcBorders>
              <w:top w:val="single" w:color="auto" w:sz="4" w:space="0"/>
              <w:bottom w:val="single" w:color="auto" w:sz="4" w:space="0"/>
              <w:right w:val="single" w:color="auto" w:sz="4" w:space="0"/>
            </w:tcBorders>
            <w:shd w:val="clear" w:color="auto" w:fill="FFFFFF"/>
            <w:vAlign w:val="center"/>
          </w:tcPr>
          <w:p w14:paraId="7E642D59">
            <w:pPr>
              <w:pStyle w:val="59"/>
              <w:rPr>
                <w:color w:val="auto"/>
                <w:kern w:val="2"/>
                <w:szCs w:val="24"/>
              </w:rPr>
            </w:pPr>
          </w:p>
        </w:tc>
        <w:tc>
          <w:tcPr>
            <w:tcW w:w="72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3204C24">
            <w:pPr>
              <w:pStyle w:val="59"/>
              <w:rPr>
                <w:color w:val="auto"/>
                <w:kern w:val="2"/>
                <w:szCs w:val="24"/>
              </w:rPr>
            </w:pPr>
          </w:p>
        </w:tc>
        <w:tc>
          <w:tcPr>
            <w:tcW w:w="935" w:type="dxa"/>
            <w:vMerge w:val="continue"/>
            <w:tcBorders>
              <w:top w:val="single" w:color="auto" w:sz="4" w:space="0"/>
              <w:left w:val="single" w:color="auto" w:sz="4" w:space="0"/>
              <w:bottom w:val="single" w:color="auto" w:sz="4" w:space="0"/>
            </w:tcBorders>
            <w:shd w:val="clear" w:color="auto" w:fill="FFFFFF"/>
            <w:vAlign w:val="center"/>
          </w:tcPr>
          <w:p w14:paraId="6D414146">
            <w:pPr>
              <w:pStyle w:val="59"/>
              <w:rPr>
                <w:color w:val="auto"/>
                <w:kern w:val="2"/>
                <w:szCs w:val="24"/>
              </w:rPr>
            </w:pPr>
          </w:p>
        </w:tc>
        <w:tc>
          <w:tcPr>
            <w:tcW w:w="844" w:type="dxa"/>
            <w:vMerge w:val="continue"/>
            <w:tcBorders>
              <w:right w:val="dotted" w:color="auto" w:sz="4" w:space="0"/>
            </w:tcBorders>
            <w:shd w:val="clear" w:color="auto" w:fill="FFFFFF"/>
            <w:vAlign w:val="center"/>
          </w:tcPr>
          <w:p w14:paraId="2BA2BB3F">
            <w:pPr>
              <w:pStyle w:val="59"/>
              <w:rPr>
                <w:color w:val="auto"/>
                <w:kern w:val="2"/>
                <w:szCs w:val="24"/>
              </w:rPr>
            </w:pPr>
          </w:p>
        </w:tc>
      </w:tr>
      <w:tr w14:paraId="25CC745C">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restart"/>
            <w:shd w:val="clear" w:color="auto" w:fill="FFFFFF"/>
            <w:vAlign w:val="center"/>
          </w:tcPr>
          <w:p w14:paraId="1BFDA826">
            <w:pPr>
              <w:pStyle w:val="59"/>
              <w:bidi w:val="0"/>
              <w:rPr>
                <w:rFonts w:hint="default" w:eastAsia="宋体"/>
                <w:color w:val="auto"/>
                <w:lang w:val="en-US" w:eastAsia="zh-CN"/>
              </w:rPr>
            </w:pPr>
            <w:r>
              <w:rPr>
                <w:rFonts w:hint="eastAsia"/>
                <w:color w:val="auto"/>
                <w:lang w:val="en-US" w:eastAsia="zh-CN"/>
              </w:rPr>
              <w:t>DA001</w:t>
            </w:r>
          </w:p>
        </w:tc>
        <w:tc>
          <w:tcPr>
            <w:tcW w:w="611" w:type="dxa"/>
            <w:vMerge w:val="restart"/>
            <w:shd w:val="clear" w:color="auto" w:fill="FFFFFF"/>
            <w:vAlign w:val="center"/>
          </w:tcPr>
          <w:p w14:paraId="2C580D19">
            <w:pPr>
              <w:pStyle w:val="59"/>
              <w:rPr>
                <w:rFonts w:hint="default" w:eastAsia="宋体"/>
                <w:color w:val="auto"/>
                <w:lang w:val="en-US" w:eastAsia="zh-CN"/>
              </w:rPr>
            </w:pPr>
            <w:r>
              <w:rPr>
                <w:rFonts w:hint="eastAsia"/>
                <w:color w:val="auto"/>
                <w:lang w:val="en-US" w:eastAsia="zh-CN"/>
              </w:rPr>
              <w:t>0</w:t>
            </w:r>
          </w:p>
        </w:tc>
        <w:tc>
          <w:tcPr>
            <w:tcW w:w="708" w:type="dxa"/>
            <w:vMerge w:val="restart"/>
            <w:shd w:val="clear" w:color="auto" w:fill="FFFFFF"/>
            <w:vAlign w:val="center"/>
          </w:tcPr>
          <w:p w14:paraId="74283F7C">
            <w:pPr>
              <w:pStyle w:val="59"/>
              <w:rPr>
                <w:rFonts w:hint="default" w:eastAsia="宋体"/>
                <w:color w:val="auto"/>
                <w:lang w:val="en-US" w:eastAsia="zh-CN"/>
              </w:rPr>
            </w:pPr>
            <w:r>
              <w:rPr>
                <w:rFonts w:hint="eastAsia"/>
                <w:color w:val="auto"/>
                <w:lang w:val="en-US" w:eastAsia="zh-CN"/>
              </w:rPr>
              <w:t>0</w:t>
            </w:r>
          </w:p>
        </w:tc>
        <w:tc>
          <w:tcPr>
            <w:tcW w:w="802" w:type="dxa"/>
            <w:vMerge w:val="restart"/>
            <w:shd w:val="clear" w:color="auto" w:fill="FFFFFF"/>
            <w:vAlign w:val="center"/>
          </w:tcPr>
          <w:p w14:paraId="27CC4630">
            <w:pPr>
              <w:pStyle w:val="59"/>
              <w:rPr>
                <w:rFonts w:hint="default" w:eastAsia="宋体"/>
                <w:color w:val="auto"/>
                <w:lang w:val="en-US" w:eastAsia="zh-CN"/>
              </w:rPr>
            </w:pPr>
            <w:r>
              <w:rPr>
                <w:rFonts w:hint="eastAsia"/>
                <w:color w:val="auto"/>
                <w:lang w:val="en-US" w:eastAsia="zh-CN"/>
              </w:rPr>
              <w:t>12</w:t>
            </w:r>
          </w:p>
        </w:tc>
        <w:tc>
          <w:tcPr>
            <w:tcW w:w="698" w:type="dxa"/>
            <w:vMerge w:val="restart"/>
            <w:shd w:val="clear" w:color="auto" w:fill="FFFFFF"/>
            <w:vAlign w:val="center"/>
          </w:tcPr>
          <w:p w14:paraId="4C249D30">
            <w:pPr>
              <w:pStyle w:val="59"/>
              <w:bidi w:val="0"/>
              <w:rPr>
                <w:color w:val="auto"/>
              </w:rPr>
            </w:pPr>
            <w:r>
              <w:rPr>
                <w:rFonts w:hint="default"/>
                <w:color w:val="auto"/>
                <w:lang w:val="en-US" w:eastAsia="zh-CN"/>
              </w:rPr>
              <w:t>2</w:t>
            </w:r>
            <w:r>
              <w:rPr>
                <w:rFonts w:hint="eastAsia"/>
                <w:color w:val="auto"/>
                <w:lang w:val="en-US" w:eastAsia="zh-CN"/>
              </w:rPr>
              <w:t>5</w:t>
            </w:r>
          </w:p>
        </w:tc>
        <w:tc>
          <w:tcPr>
            <w:tcW w:w="698" w:type="dxa"/>
            <w:vMerge w:val="restart"/>
            <w:shd w:val="clear" w:color="auto" w:fill="FFFFFF"/>
            <w:vAlign w:val="center"/>
          </w:tcPr>
          <w:p w14:paraId="2289816A">
            <w:pPr>
              <w:pStyle w:val="59"/>
              <w:bidi w:val="0"/>
            </w:pPr>
            <w:r>
              <w:rPr>
                <w:rFonts w:hint="default"/>
                <w:lang w:val="en-US" w:eastAsia="zh-CN"/>
              </w:rPr>
              <w:t>0.8</w:t>
            </w:r>
          </w:p>
        </w:tc>
        <w:tc>
          <w:tcPr>
            <w:tcW w:w="698" w:type="dxa"/>
            <w:vMerge w:val="restart"/>
            <w:shd w:val="clear" w:color="auto" w:fill="FFFFFF"/>
            <w:vAlign w:val="center"/>
          </w:tcPr>
          <w:p w14:paraId="2608FF01">
            <w:pPr>
              <w:pStyle w:val="59"/>
              <w:bidi w:val="0"/>
            </w:pPr>
            <w:r>
              <w:rPr>
                <w:rFonts w:hint="eastAsia"/>
                <w:lang w:val="en-US" w:eastAsia="zh-CN"/>
              </w:rPr>
              <w:t>40</w:t>
            </w:r>
          </w:p>
        </w:tc>
        <w:tc>
          <w:tcPr>
            <w:tcW w:w="708" w:type="dxa"/>
            <w:vMerge w:val="restart"/>
            <w:shd w:val="clear" w:color="auto" w:fill="FFFFFF"/>
            <w:vAlign w:val="center"/>
          </w:tcPr>
          <w:p w14:paraId="520BDE99">
            <w:pPr>
              <w:pStyle w:val="59"/>
              <w:bidi w:val="0"/>
            </w:pPr>
            <w:r>
              <w:rPr>
                <w:rFonts w:hint="eastAsia"/>
                <w:lang w:val="en-US" w:eastAsia="zh-CN"/>
              </w:rPr>
              <w:t xml:space="preserve">16.6 </w:t>
            </w:r>
          </w:p>
        </w:tc>
        <w:tc>
          <w:tcPr>
            <w:tcW w:w="741" w:type="dxa"/>
            <w:tcBorders>
              <w:top w:val="single" w:color="auto" w:sz="4" w:space="0"/>
              <w:bottom w:val="single" w:color="auto" w:sz="4" w:space="0"/>
              <w:right w:val="single" w:color="auto" w:sz="4" w:space="0"/>
            </w:tcBorders>
            <w:shd w:val="clear" w:color="auto" w:fill="FFFFFF"/>
            <w:vAlign w:val="center"/>
          </w:tcPr>
          <w:p w14:paraId="2B15A208">
            <w:pPr>
              <w:pStyle w:val="59"/>
              <w:bidi w:val="0"/>
            </w:pPr>
            <w:r>
              <w:rPr>
                <w:rFonts w:hint="eastAsia"/>
                <w:lang w:val="en-US" w:eastAsia="zh-CN"/>
              </w:rPr>
              <w:t xml:space="preserve">1896 </w:t>
            </w:r>
          </w:p>
        </w:tc>
        <w:tc>
          <w:tcPr>
            <w:tcW w:w="722" w:type="dxa"/>
            <w:vMerge w:val="restart"/>
            <w:tcBorders>
              <w:top w:val="single" w:color="auto" w:sz="4" w:space="0"/>
              <w:left w:val="single" w:color="auto" w:sz="4" w:space="0"/>
              <w:right w:val="single" w:color="auto" w:sz="4" w:space="0"/>
            </w:tcBorders>
            <w:shd w:val="clear" w:color="auto" w:fill="FFFFFF"/>
            <w:vAlign w:val="center"/>
          </w:tcPr>
          <w:p w14:paraId="0736824F">
            <w:pPr>
              <w:pStyle w:val="59"/>
              <w:bidi w:val="0"/>
            </w:pPr>
            <w:r>
              <w:rPr>
                <w:rFonts w:hint="eastAsia"/>
                <w:lang w:val="en-US" w:eastAsia="zh-CN"/>
              </w:rPr>
              <w:t>正常</w:t>
            </w:r>
          </w:p>
        </w:tc>
        <w:tc>
          <w:tcPr>
            <w:tcW w:w="935" w:type="dxa"/>
            <w:tcBorders>
              <w:top w:val="single" w:color="auto" w:sz="4" w:space="0"/>
              <w:left w:val="single" w:color="auto" w:sz="4" w:space="0"/>
              <w:bottom w:val="single" w:color="auto" w:sz="4" w:space="0"/>
            </w:tcBorders>
            <w:shd w:val="clear" w:color="auto" w:fill="FFFFFF"/>
            <w:vAlign w:val="center"/>
          </w:tcPr>
          <w:p w14:paraId="06695A32">
            <w:pPr>
              <w:pStyle w:val="59"/>
              <w:bidi w:val="0"/>
            </w:pPr>
            <w:r>
              <w:rPr>
                <w:rFonts w:hint="eastAsia"/>
                <w:lang w:val="en-US" w:eastAsia="zh-CN"/>
              </w:rPr>
              <w:t>总VOCs</w:t>
            </w:r>
          </w:p>
        </w:tc>
        <w:tc>
          <w:tcPr>
            <w:tcW w:w="844" w:type="dxa"/>
            <w:tcBorders>
              <w:right w:val="dotted" w:color="auto" w:sz="4" w:space="0"/>
            </w:tcBorders>
            <w:shd w:val="clear" w:color="auto" w:fill="FFFFFF"/>
            <w:vAlign w:val="center"/>
          </w:tcPr>
          <w:p w14:paraId="279B65F9">
            <w:pPr>
              <w:pStyle w:val="59"/>
              <w:bidi w:val="0"/>
            </w:pPr>
            <w:r>
              <w:rPr>
                <w:rFonts w:hint="eastAsia"/>
                <w:lang w:val="en-US" w:eastAsia="zh-CN"/>
              </w:rPr>
              <w:t xml:space="preserve">2.744 </w:t>
            </w:r>
          </w:p>
        </w:tc>
      </w:tr>
      <w:tr w14:paraId="4BD22938">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shd w:val="clear" w:color="auto" w:fill="FFFFFF"/>
            <w:vAlign w:val="center"/>
          </w:tcPr>
          <w:p w14:paraId="0BE012AC">
            <w:pPr>
              <w:pStyle w:val="59"/>
              <w:bidi w:val="0"/>
              <w:rPr>
                <w:color w:val="auto"/>
              </w:rPr>
            </w:pPr>
          </w:p>
        </w:tc>
        <w:tc>
          <w:tcPr>
            <w:tcW w:w="611" w:type="dxa"/>
            <w:vMerge w:val="continue"/>
            <w:shd w:val="clear" w:color="auto" w:fill="FFFFFF"/>
            <w:vAlign w:val="center"/>
          </w:tcPr>
          <w:p w14:paraId="10E1B681">
            <w:pPr>
              <w:pStyle w:val="59"/>
              <w:rPr>
                <w:color w:val="auto"/>
              </w:rPr>
            </w:pPr>
          </w:p>
        </w:tc>
        <w:tc>
          <w:tcPr>
            <w:tcW w:w="708" w:type="dxa"/>
            <w:vMerge w:val="continue"/>
            <w:shd w:val="clear" w:color="auto" w:fill="FFFFFF"/>
            <w:vAlign w:val="center"/>
          </w:tcPr>
          <w:p w14:paraId="68095409">
            <w:pPr>
              <w:pStyle w:val="59"/>
              <w:rPr>
                <w:rFonts w:hint="default" w:eastAsia="宋体"/>
                <w:color w:val="auto"/>
                <w:lang w:val="en-US" w:eastAsia="zh-CN"/>
              </w:rPr>
            </w:pPr>
          </w:p>
        </w:tc>
        <w:tc>
          <w:tcPr>
            <w:tcW w:w="802" w:type="dxa"/>
            <w:vMerge w:val="continue"/>
            <w:shd w:val="clear" w:color="auto" w:fill="FFFFFF"/>
            <w:vAlign w:val="center"/>
          </w:tcPr>
          <w:p w14:paraId="1770B66F">
            <w:pPr>
              <w:pStyle w:val="59"/>
              <w:rPr>
                <w:rFonts w:hint="eastAsia" w:eastAsia="宋体"/>
                <w:color w:val="auto"/>
                <w:lang w:val="en-US" w:eastAsia="zh-CN"/>
              </w:rPr>
            </w:pPr>
          </w:p>
        </w:tc>
        <w:tc>
          <w:tcPr>
            <w:tcW w:w="698" w:type="dxa"/>
            <w:vMerge w:val="continue"/>
            <w:shd w:val="clear" w:color="auto" w:fill="FFFFFF"/>
            <w:vAlign w:val="center"/>
          </w:tcPr>
          <w:p w14:paraId="738711D5">
            <w:pPr>
              <w:pStyle w:val="59"/>
              <w:bidi w:val="0"/>
            </w:pPr>
          </w:p>
        </w:tc>
        <w:tc>
          <w:tcPr>
            <w:tcW w:w="698" w:type="dxa"/>
            <w:vMerge w:val="continue"/>
            <w:shd w:val="clear" w:color="auto" w:fill="FFFFFF"/>
            <w:vAlign w:val="center"/>
          </w:tcPr>
          <w:p w14:paraId="3AB5A0B6">
            <w:pPr>
              <w:pStyle w:val="59"/>
              <w:bidi w:val="0"/>
            </w:pPr>
          </w:p>
        </w:tc>
        <w:tc>
          <w:tcPr>
            <w:tcW w:w="698" w:type="dxa"/>
            <w:vMerge w:val="continue"/>
            <w:shd w:val="clear" w:color="auto" w:fill="FFFFFF"/>
            <w:vAlign w:val="center"/>
          </w:tcPr>
          <w:p w14:paraId="264E9EE6">
            <w:pPr>
              <w:pStyle w:val="59"/>
              <w:bidi w:val="0"/>
            </w:pPr>
          </w:p>
        </w:tc>
        <w:tc>
          <w:tcPr>
            <w:tcW w:w="708" w:type="dxa"/>
            <w:vMerge w:val="continue"/>
            <w:shd w:val="clear" w:color="auto" w:fill="FFFFFF"/>
            <w:vAlign w:val="center"/>
          </w:tcPr>
          <w:p w14:paraId="48DECD6F">
            <w:pPr>
              <w:pStyle w:val="59"/>
              <w:bidi w:val="0"/>
            </w:pPr>
          </w:p>
        </w:tc>
        <w:tc>
          <w:tcPr>
            <w:tcW w:w="741" w:type="dxa"/>
            <w:tcBorders>
              <w:top w:val="single" w:color="auto" w:sz="4" w:space="0"/>
              <w:bottom w:val="single" w:color="auto" w:sz="4" w:space="0"/>
              <w:right w:val="single" w:color="auto" w:sz="4" w:space="0"/>
            </w:tcBorders>
            <w:shd w:val="clear" w:color="auto" w:fill="FFFFFF"/>
            <w:vAlign w:val="center"/>
          </w:tcPr>
          <w:p w14:paraId="118B2CD4">
            <w:pPr>
              <w:pStyle w:val="59"/>
              <w:bidi w:val="0"/>
            </w:pPr>
            <w:r>
              <w:rPr>
                <w:rFonts w:hint="eastAsia"/>
                <w:lang w:val="en-US" w:eastAsia="zh-CN"/>
              </w:rPr>
              <w:t xml:space="preserve">1180 </w:t>
            </w:r>
          </w:p>
        </w:tc>
        <w:tc>
          <w:tcPr>
            <w:tcW w:w="722" w:type="dxa"/>
            <w:vMerge w:val="continue"/>
            <w:tcBorders>
              <w:left w:val="single" w:color="auto" w:sz="4" w:space="0"/>
              <w:right w:val="single" w:color="auto" w:sz="4" w:space="0"/>
            </w:tcBorders>
            <w:shd w:val="clear" w:color="auto" w:fill="FFFFFF"/>
            <w:vAlign w:val="center"/>
          </w:tcPr>
          <w:p w14:paraId="6C485968">
            <w:pPr>
              <w:pStyle w:val="59"/>
              <w:bidi w:val="0"/>
            </w:pPr>
          </w:p>
        </w:tc>
        <w:tc>
          <w:tcPr>
            <w:tcW w:w="935" w:type="dxa"/>
            <w:tcBorders>
              <w:top w:val="single" w:color="auto" w:sz="4" w:space="0"/>
              <w:left w:val="single" w:color="auto" w:sz="4" w:space="0"/>
              <w:bottom w:val="single" w:color="auto" w:sz="4" w:space="0"/>
            </w:tcBorders>
            <w:shd w:val="clear" w:color="auto" w:fill="FFFFFF"/>
            <w:vAlign w:val="center"/>
          </w:tcPr>
          <w:p w14:paraId="554243CB">
            <w:pPr>
              <w:pStyle w:val="59"/>
              <w:bidi w:val="0"/>
            </w:pPr>
            <w:r>
              <w:rPr>
                <w:rFonts w:hint="eastAsia"/>
                <w:lang w:val="en-US" w:eastAsia="zh-CN"/>
              </w:rPr>
              <w:t>氮氧化物</w:t>
            </w:r>
          </w:p>
        </w:tc>
        <w:tc>
          <w:tcPr>
            <w:tcW w:w="844" w:type="dxa"/>
            <w:tcBorders>
              <w:right w:val="dotted" w:color="auto" w:sz="4" w:space="0"/>
            </w:tcBorders>
            <w:shd w:val="clear" w:color="auto" w:fill="FFFFFF"/>
            <w:vAlign w:val="center"/>
          </w:tcPr>
          <w:p w14:paraId="7680A74D">
            <w:pPr>
              <w:pStyle w:val="59"/>
              <w:bidi w:val="0"/>
            </w:pPr>
            <w:r>
              <w:rPr>
                <w:rFonts w:hint="eastAsia"/>
                <w:lang w:val="en-US" w:eastAsia="zh-CN"/>
              </w:rPr>
              <w:t xml:space="preserve">0.174 </w:t>
            </w:r>
          </w:p>
        </w:tc>
      </w:tr>
      <w:tr w14:paraId="5BC4FB43">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shd w:val="clear" w:color="auto" w:fill="FFFFFF"/>
            <w:vAlign w:val="center"/>
          </w:tcPr>
          <w:p w14:paraId="58CD66BE">
            <w:pPr>
              <w:pStyle w:val="59"/>
              <w:bidi w:val="0"/>
              <w:rPr>
                <w:color w:val="auto"/>
              </w:rPr>
            </w:pPr>
          </w:p>
        </w:tc>
        <w:tc>
          <w:tcPr>
            <w:tcW w:w="611" w:type="dxa"/>
            <w:vMerge w:val="continue"/>
            <w:shd w:val="clear" w:color="auto" w:fill="FFFFFF"/>
            <w:vAlign w:val="center"/>
          </w:tcPr>
          <w:p w14:paraId="082A9D93">
            <w:pPr>
              <w:pStyle w:val="59"/>
              <w:ind w:firstLine="0" w:firstLineChars="0"/>
              <w:rPr>
                <w:rFonts w:ascii="Times New Roman" w:hAnsi="Times New Roman" w:eastAsia="宋体" w:cs="Times New Roman"/>
                <w:color w:val="auto"/>
                <w:kern w:val="0"/>
                <w:sz w:val="21"/>
                <w:szCs w:val="20"/>
                <w:lang w:val="en-US" w:eastAsia="zh-CN" w:bidi="ar-SA"/>
              </w:rPr>
            </w:pPr>
          </w:p>
        </w:tc>
        <w:tc>
          <w:tcPr>
            <w:tcW w:w="708" w:type="dxa"/>
            <w:vMerge w:val="continue"/>
            <w:shd w:val="clear" w:color="auto" w:fill="FFFFFF"/>
            <w:vAlign w:val="center"/>
          </w:tcPr>
          <w:p w14:paraId="7BF0EF9A">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802" w:type="dxa"/>
            <w:vMerge w:val="continue"/>
            <w:shd w:val="clear" w:color="auto" w:fill="FFFFFF"/>
            <w:vAlign w:val="center"/>
          </w:tcPr>
          <w:p w14:paraId="07EBC78C">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698" w:type="dxa"/>
            <w:vMerge w:val="continue"/>
            <w:shd w:val="clear" w:color="auto" w:fill="FFFFFF"/>
            <w:vAlign w:val="center"/>
          </w:tcPr>
          <w:p w14:paraId="684CFD45">
            <w:pPr>
              <w:pStyle w:val="59"/>
              <w:bidi w:val="0"/>
              <w:rPr>
                <w:rFonts w:hint="eastAsia"/>
                <w:lang w:val="en-US" w:eastAsia="zh-CN"/>
              </w:rPr>
            </w:pPr>
          </w:p>
        </w:tc>
        <w:tc>
          <w:tcPr>
            <w:tcW w:w="698" w:type="dxa"/>
            <w:vMerge w:val="continue"/>
            <w:shd w:val="clear" w:color="auto" w:fill="FFFFFF"/>
            <w:vAlign w:val="center"/>
          </w:tcPr>
          <w:p w14:paraId="49488A8A">
            <w:pPr>
              <w:pStyle w:val="59"/>
              <w:bidi w:val="0"/>
              <w:rPr>
                <w:rFonts w:hint="eastAsia"/>
                <w:lang w:val="en-US" w:eastAsia="zh-CN"/>
              </w:rPr>
            </w:pPr>
          </w:p>
        </w:tc>
        <w:tc>
          <w:tcPr>
            <w:tcW w:w="698" w:type="dxa"/>
            <w:vMerge w:val="continue"/>
            <w:shd w:val="clear" w:color="auto" w:fill="FFFFFF"/>
            <w:vAlign w:val="center"/>
          </w:tcPr>
          <w:p w14:paraId="1BD6BAE1">
            <w:pPr>
              <w:pStyle w:val="59"/>
              <w:bidi w:val="0"/>
              <w:rPr>
                <w:rFonts w:hint="eastAsia"/>
                <w:lang w:val="en-US" w:eastAsia="zh-CN"/>
              </w:rPr>
            </w:pPr>
          </w:p>
        </w:tc>
        <w:tc>
          <w:tcPr>
            <w:tcW w:w="708" w:type="dxa"/>
            <w:vMerge w:val="continue"/>
            <w:shd w:val="clear" w:color="auto" w:fill="FFFFFF"/>
            <w:vAlign w:val="center"/>
          </w:tcPr>
          <w:p w14:paraId="4AA64AC7">
            <w:pPr>
              <w:pStyle w:val="59"/>
              <w:bidi w:val="0"/>
              <w:rPr>
                <w:rFonts w:hint="eastAsia"/>
                <w:lang w:val="en-US" w:eastAsia="zh-CN"/>
              </w:rPr>
            </w:pPr>
          </w:p>
        </w:tc>
        <w:tc>
          <w:tcPr>
            <w:tcW w:w="741" w:type="dxa"/>
            <w:tcBorders>
              <w:top w:val="single" w:color="auto" w:sz="4" w:space="0"/>
              <w:bottom w:val="single" w:color="auto" w:sz="4" w:space="0"/>
              <w:right w:val="single" w:color="auto" w:sz="4" w:space="0"/>
            </w:tcBorders>
            <w:shd w:val="clear" w:color="auto" w:fill="FFFFFF"/>
            <w:vAlign w:val="center"/>
          </w:tcPr>
          <w:p w14:paraId="7A526689">
            <w:pPr>
              <w:pStyle w:val="59"/>
              <w:bidi w:val="0"/>
              <w:rPr>
                <w:rFonts w:hint="eastAsia"/>
                <w:lang w:val="en-US" w:eastAsia="zh-CN"/>
              </w:rPr>
            </w:pPr>
            <w:r>
              <w:rPr>
                <w:rFonts w:hint="eastAsia"/>
                <w:lang w:val="en-US" w:eastAsia="zh-CN"/>
              </w:rPr>
              <w:t xml:space="preserve">1180 </w:t>
            </w:r>
          </w:p>
        </w:tc>
        <w:tc>
          <w:tcPr>
            <w:tcW w:w="722" w:type="dxa"/>
            <w:vMerge w:val="continue"/>
            <w:tcBorders>
              <w:left w:val="single" w:color="auto" w:sz="4" w:space="0"/>
              <w:right w:val="single" w:color="auto" w:sz="4" w:space="0"/>
            </w:tcBorders>
            <w:shd w:val="clear" w:color="auto" w:fill="FFFFFF"/>
            <w:vAlign w:val="center"/>
          </w:tcPr>
          <w:p w14:paraId="62023416">
            <w:pPr>
              <w:pStyle w:val="59"/>
              <w:bidi w:val="0"/>
              <w:rPr>
                <w:rFonts w:hint="eastAsia"/>
                <w:lang w:val="en-US" w:eastAsia="zh-CN"/>
              </w:rPr>
            </w:pPr>
          </w:p>
        </w:tc>
        <w:tc>
          <w:tcPr>
            <w:tcW w:w="935" w:type="dxa"/>
            <w:tcBorders>
              <w:top w:val="single" w:color="auto" w:sz="4" w:space="0"/>
              <w:left w:val="single" w:color="auto" w:sz="4" w:space="0"/>
              <w:bottom w:val="single" w:color="auto" w:sz="4" w:space="0"/>
            </w:tcBorders>
            <w:shd w:val="clear" w:color="auto" w:fill="FFFFFF"/>
            <w:vAlign w:val="center"/>
          </w:tcPr>
          <w:p w14:paraId="2029F2F1">
            <w:pPr>
              <w:pStyle w:val="59"/>
              <w:bidi w:val="0"/>
              <w:rPr>
                <w:rFonts w:hint="eastAsia"/>
                <w:lang w:val="en-US" w:eastAsia="zh-CN"/>
              </w:rPr>
            </w:pPr>
            <w:r>
              <w:rPr>
                <w:rFonts w:hint="eastAsia"/>
                <w:lang w:val="en-US" w:eastAsia="zh-CN"/>
              </w:rPr>
              <w:t>二氧化硫</w:t>
            </w:r>
          </w:p>
        </w:tc>
        <w:tc>
          <w:tcPr>
            <w:tcW w:w="844" w:type="dxa"/>
            <w:tcBorders>
              <w:right w:val="dotted" w:color="auto" w:sz="4" w:space="0"/>
            </w:tcBorders>
            <w:shd w:val="clear" w:color="auto" w:fill="FFFFFF"/>
            <w:vAlign w:val="center"/>
          </w:tcPr>
          <w:p w14:paraId="25D93719">
            <w:pPr>
              <w:pStyle w:val="59"/>
              <w:bidi w:val="0"/>
              <w:rPr>
                <w:rFonts w:hint="eastAsia"/>
                <w:lang w:val="en-US" w:eastAsia="zh-CN"/>
              </w:rPr>
            </w:pPr>
            <w:r>
              <w:rPr>
                <w:rFonts w:hint="eastAsia"/>
                <w:lang w:val="en-US" w:eastAsia="zh-CN"/>
              </w:rPr>
              <w:t xml:space="preserve">0.002 </w:t>
            </w:r>
          </w:p>
        </w:tc>
      </w:tr>
      <w:tr w14:paraId="1F51EAE1">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shd w:val="clear" w:color="auto" w:fill="FFFFFF"/>
            <w:vAlign w:val="center"/>
          </w:tcPr>
          <w:p w14:paraId="60D83203">
            <w:pPr>
              <w:pStyle w:val="59"/>
              <w:bidi w:val="0"/>
              <w:rPr>
                <w:color w:val="auto"/>
              </w:rPr>
            </w:pPr>
          </w:p>
        </w:tc>
        <w:tc>
          <w:tcPr>
            <w:tcW w:w="611" w:type="dxa"/>
            <w:vMerge w:val="continue"/>
            <w:shd w:val="clear" w:color="auto" w:fill="FFFFFF"/>
            <w:vAlign w:val="center"/>
          </w:tcPr>
          <w:p w14:paraId="2D8DC69A">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708" w:type="dxa"/>
            <w:vMerge w:val="continue"/>
            <w:shd w:val="clear" w:color="auto" w:fill="FFFFFF"/>
            <w:vAlign w:val="center"/>
          </w:tcPr>
          <w:p w14:paraId="0CB73C10">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802" w:type="dxa"/>
            <w:vMerge w:val="continue"/>
            <w:shd w:val="clear" w:color="auto" w:fill="FFFFFF"/>
            <w:vAlign w:val="center"/>
          </w:tcPr>
          <w:p w14:paraId="64C9FF0C">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698" w:type="dxa"/>
            <w:vMerge w:val="continue"/>
            <w:shd w:val="clear" w:color="auto" w:fill="FFFFFF"/>
            <w:vAlign w:val="center"/>
          </w:tcPr>
          <w:p w14:paraId="67227524">
            <w:pPr>
              <w:pStyle w:val="59"/>
              <w:bidi w:val="0"/>
              <w:rPr>
                <w:rFonts w:hint="eastAsia"/>
                <w:lang w:val="en-US" w:eastAsia="zh-CN"/>
              </w:rPr>
            </w:pPr>
          </w:p>
        </w:tc>
        <w:tc>
          <w:tcPr>
            <w:tcW w:w="698" w:type="dxa"/>
            <w:vMerge w:val="continue"/>
            <w:shd w:val="clear" w:color="auto" w:fill="FFFFFF"/>
            <w:vAlign w:val="center"/>
          </w:tcPr>
          <w:p w14:paraId="1451F749">
            <w:pPr>
              <w:pStyle w:val="59"/>
              <w:bidi w:val="0"/>
              <w:rPr>
                <w:rFonts w:hint="eastAsia"/>
                <w:lang w:val="en-US" w:eastAsia="zh-CN"/>
              </w:rPr>
            </w:pPr>
          </w:p>
        </w:tc>
        <w:tc>
          <w:tcPr>
            <w:tcW w:w="698" w:type="dxa"/>
            <w:vMerge w:val="continue"/>
            <w:shd w:val="clear" w:color="auto" w:fill="FFFFFF"/>
            <w:vAlign w:val="center"/>
          </w:tcPr>
          <w:p w14:paraId="17CB2B18">
            <w:pPr>
              <w:pStyle w:val="59"/>
              <w:bidi w:val="0"/>
              <w:rPr>
                <w:rFonts w:hint="eastAsia"/>
                <w:lang w:val="en-US" w:eastAsia="zh-CN"/>
              </w:rPr>
            </w:pPr>
          </w:p>
        </w:tc>
        <w:tc>
          <w:tcPr>
            <w:tcW w:w="708" w:type="dxa"/>
            <w:vMerge w:val="continue"/>
            <w:shd w:val="clear" w:color="auto" w:fill="FFFFFF"/>
            <w:vAlign w:val="center"/>
          </w:tcPr>
          <w:p w14:paraId="646F6AF5">
            <w:pPr>
              <w:pStyle w:val="59"/>
              <w:bidi w:val="0"/>
              <w:rPr>
                <w:rFonts w:hint="eastAsia"/>
                <w:lang w:val="en-US" w:eastAsia="zh-CN"/>
              </w:rPr>
            </w:pPr>
          </w:p>
        </w:tc>
        <w:tc>
          <w:tcPr>
            <w:tcW w:w="741" w:type="dxa"/>
            <w:tcBorders>
              <w:top w:val="single" w:color="auto" w:sz="4" w:space="0"/>
              <w:bottom w:val="single" w:color="auto" w:sz="4" w:space="0"/>
              <w:right w:val="single" w:color="auto" w:sz="4" w:space="0"/>
            </w:tcBorders>
            <w:shd w:val="clear" w:color="auto" w:fill="FFFFFF"/>
            <w:vAlign w:val="center"/>
          </w:tcPr>
          <w:p w14:paraId="63BAA555">
            <w:pPr>
              <w:pStyle w:val="59"/>
              <w:bidi w:val="0"/>
              <w:rPr>
                <w:rFonts w:hint="eastAsia"/>
                <w:lang w:val="en-US" w:eastAsia="zh-CN"/>
              </w:rPr>
            </w:pPr>
            <w:r>
              <w:rPr>
                <w:rFonts w:hint="eastAsia"/>
                <w:lang w:val="en-US" w:eastAsia="zh-CN"/>
              </w:rPr>
              <w:t xml:space="preserve">1180 </w:t>
            </w:r>
          </w:p>
        </w:tc>
        <w:tc>
          <w:tcPr>
            <w:tcW w:w="722" w:type="dxa"/>
            <w:vMerge w:val="continue"/>
            <w:tcBorders>
              <w:left w:val="single" w:color="auto" w:sz="4" w:space="0"/>
              <w:bottom w:val="single" w:color="auto" w:sz="4" w:space="0"/>
              <w:right w:val="single" w:color="auto" w:sz="4" w:space="0"/>
            </w:tcBorders>
            <w:shd w:val="clear" w:color="auto" w:fill="FFFFFF"/>
            <w:vAlign w:val="center"/>
          </w:tcPr>
          <w:p w14:paraId="72CD8EAB">
            <w:pPr>
              <w:pStyle w:val="59"/>
              <w:bidi w:val="0"/>
              <w:rPr>
                <w:rFonts w:hint="eastAsia"/>
                <w:lang w:val="en-US" w:eastAsia="zh-CN"/>
              </w:rPr>
            </w:pPr>
          </w:p>
        </w:tc>
        <w:tc>
          <w:tcPr>
            <w:tcW w:w="935" w:type="dxa"/>
            <w:tcBorders>
              <w:top w:val="single" w:color="auto" w:sz="4" w:space="0"/>
              <w:left w:val="single" w:color="auto" w:sz="4" w:space="0"/>
              <w:bottom w:val="single" w:color="auto" w:sz="4" w:space="0"/>
            </w:tcBorders>
            <w:shd w:val="clear" w:color="auto" w:fill="FFFFFF"/>
            <w:vAlign w:val="center"/>
          </w:tcPr>
          <w:p w14:paraId="171BE200">
            <w:pPr>
              <w:pStyle w:val="59"/>
              <w:bidi w:val="0"/>
              <w:rPr>
                <w:rFonts w:hint="default"/>
                <w:lang w:val="en-US" w:eastAsia="zh-CN"/>
              </w:rPr>
            </w:pPr>
            <w:r>
              <w:rPr>
                <w:rFonts w:hint="eastAsia"/>
                <w:lang w:val="en-US" w:eastAsia="zh-CN"/>
              </w:rPr>
              <w:t>PM</w:t>
            </w:r>
            <w:r>
              <w:rPr>
                <w:rFonts w:hint="eastAsia"/>
                <w:vertAlign w:val="subscript"/>
                <w:lang w:val="en-US" w:eastAsia="zh-CN"/>
              </w:rPr>
              <w:t>10</w:t>
            </w:r>
          </w:p>
        </w:tc>
        <w:tc>
          <w:tcPr>
            <w:tcW w:w="844" w:type="dxa"/>
            <w:tcBorders>
              <w:right w:val="dotted" w:color="auto" w:sz="4" w:space="0"/>
            </w:tcBorders>
            <w:shd w:val="clear" w:color="auto" w:fill="FFFFFF"/>
            <w:vAlign w:val="center"/>
          </w:tcPr>
          <w:p w14:paraId="4997A655">
            <w:pPr>
              <w:pStyle w:val="59"/>
              <w:bidi w:val="0"/>
              <w:rPr>
                <w:rFonts w:hint="eastAsia"/>
                <w:lang w:val="en-US" w:eastAsia="zh-CN"/>
              </w:rPr>
            </w:pPr>
            <w:r>
              <w:rPr>
                <w:rFonts w:hint="eastAsia"/>
                <w:lang w:val="en-US" w:eastAsia="zh-CN"/>
              </w:rPr>
              <w:t xml:space="preserve">0.027 </w:t>
            </w:r>
          </w:p>
        </w:tc>
      </w:tr>
      <w:tr w14:paraId="2554FAC3">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restart"/>
            <w:shd w:val="clear" w:color="auto" w:fill="FFFFFF"/>
            <w:vAlign w:val="center"/>
          </w:tcPr>
          <w:p w14:paraId="30581A0C">
            <w:pPr>
              <w:pStyle w:val="59"/>
              <w:bidi w:val="0"/>
              <w:rPr>
                <w:rFonts w:hint="default" w:eastAsia="宋体"/>
                <w:color w:val="auto"/>
                <w:lang w:val="en-US" w:eastAsia="zh-CN"/>
              </w:rPr>
            </w:pPr>
            <w:r>
              <w:rPr>
                <w:rFonts w:hint="eastAsia"/>
                <w:color w:val="auto"/>
                <w:lang w:val="en-US" w:eastAsia="zh-CN"/>
              </w:rPr>
              <w:t>DA002</w:t>
            </w:r>
          </w:p>
        </w:tc>
        <w:tc>
          <w:tcPr>
            <w:tcW w:w="611" w:type="dxa"/>
            <w:vMerge w:val="restart"/>
            <w:shd w:val="clear" w:color="auto" w:fill="FFFFFF"/>
            <w:vAlign w:val="center"/>
          </w:tcPr>
          <w:p w14:paraId="1FCDB107">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23</w:t>
            </w:r>
          </w:p>
        </w:tc>
        <w:tc>
          <w:tcPr>
            <w:tcW w:w="708" w:type="dxa"/>
            <w:vMerge w:val="restart"/>
            <w:shd w:val="clear" w:color="auto" w:fill="FFFFFF"/>
            <w:vAlign w:val="center"/>
          </w:tcPr>
          <w:p w14:paraId="0F48429C">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w:t>
            </w:r>
          </w:p>
        </w:tc>
        <w:tc>
          <w:tcPr>
            <w:tcW w:w="802" w:type="dxa"/>
            <w:vMerge w:val="restart"/>
            <w:shd w:val="clear" w:color="auto" w:fill="FFFFFF"/>
            <w:vAlign w:val="center"/>
          </w:tcPr>
          <w:p w14:paraId="5ACE6936">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11</w:t>
            </w:r>
          </w:p>
        </w:tc>
        <w:tc>
          <w:tcPr>
            <w:tcW w:w="698" w:type="dxa"/>
            <w:vMerge w:val="restart"/>
            <w:shd w:val="clear" w:color="auto" w:fill="FFFFFF"/>
            <w:vAlign w:val="center"/>
          </w:tcPr>
          <w:p w14:paraId="30A33FB1">
            <w:pPr>
              <w:pStyle w:val="59"/>
              <w:bidi w:val="0"/>
              <w:rPr>
                <w:rFonts w:hint="default" w:eastAsia="宋体"/>
                <w:lang w:val="en-US" w:eastAsia="zh-CN"/>
              </w:rPr>
            </w:pPr>
            <w:r>
              <w:rPr>
                <w:rFonts w:hint="eastAsia"/>
                <w:lang w:val="en-US" w:eastAsia="zh-CN"/>
              </w:rPr>
              <w:t>25</w:t>
            </w:r>
          </w:p>
        </w:tc>
        <w:tc>
          <w:tcPr>
            <w:tcW w:w="698" w:type="dxa"/>
            <w:vMerge w:val="restart"/>
            <w:shd w:val="clear" w:color="auto" w:fill="FFFFFF"/>
            <w:vAlign w:val="center"/>
          </w:tcPr>
          <w:p w14:paraId="22CBAF7E">
            <w:pPr>
              <w:pStyle w:val="59"/>
              <w:bidi w:val="0"/>
              <w:rPr>
                <w:rFonts w:hint="default" w:eastAsia="宋体"/>
                <w:lang w:val="en-US" w:eastAsia="zh-CN"/>
              </w:rPr>
            </w:pPr>
            <w:r>
              <w:rPr>
                <w:rFonts w:hint="eastAsia"/>
                <w:lang w:val="en-US" w:eastAsia="zh-CN"/>
              </w:rPr>
              <w:t>0.6</w:t>
            </w:r>
          </w:p>
        </w:tc>
        <w:tc>
          <w:tcPr>
            <w:tcW w:w="698" w:type="dxa"/>
            <w:vMerge w:val="restart"/>
            <w:shd w:val="clear" w:color="auto" w:fill="FFFFFF"/>
            <w:vAlign w:val="center"/>
          </w:tcPr>
          <w:p w14:paraId="3F408B64">
            <w:pPr>
              <w:pStyle w:val="59"/>
              <w:bidi w:val="0"/>
              <w:rPr>
                <w:rFonts w:hint="eastAsia" w:eastAsia="宋体"/>
                <w:lang w:val="en-US" w:eastAsia="zh-CN"/>
              </w:rPr>
            </w:pPr>
            <w:r>
              <w:rPr>
                <w:rFonts w:hint="eastAsia"/>
                <w:lang w:val="en-US" w:eastAsia="zh-CN"/>
              </w:rPr>
              <w:t>常温</w:t>
            </w:r>
          </w:p>
        </w:tc>
        <w:tc>
          <w:tcPr>
            <w:tcW w:w="708" w:type="dxa"/>
            <w:vMerge w:val="restart"/>
            <w:shd w:val="clear" w:color="auto" w:fill="FFFFFF"/>
            <w:vAlign w:val="center"/>
          </w:tcPr>
          <w:p w14:paraId="4963D6E4">
            <w:pPr>
              <w:pStyle w:val="59"/>
              <w:bidi w:val="0"/>
              <w:rPr>
                <w:rFonts w:hint="default" w:eastAsia="宋体"/>
                <w:lang w:val="en-US" w:eastAsia="zh-CN"/>
              </w:rPr>
            </w:pPr>
            <w:r>
              <w:rPr>
                <w:rFonts w:hint="eastAsia"/>
                <w:lang w:val="en-US" w:eastAsia="zh-CN"/>
              </w:rPr>
              <w:t>14.7</w:t>
            </w:r>
          </w:p>
        </w:tc>
        <w:tc>
          <w:tcPr>
            <w:tcW w:w="741" w:type="dxa"/>
            <w:tcBorders>
              <w:top w:val="single" w:color="auto" w:sz="4" w:space="0"/>
              <w:bottom w:val="single" w:color="auto" w:sz="4" w:space="0"/>
              <w:right w:val="single" w:color="auto" w:sz="4" w:space="0"/>
            </w:tcBorders>
            <w:shd w:val="clear" w:color="auto" w:fill="FFFFFF"/>
            <w:vAlign w:val="center"/>
          </w:tcPr>
          <w:p w14:paraId="160BD722">
            <w:pPr>
              <w:pStyle w:val="59"/>
              <w:bidi w:val="0"/>
            </w:pPr>
            <w:r>
              <w:rPr>
                <w:rFonts w:hint="eastAsia"/>
                <w:lang w:val="en-US" w:eastAsia="zh-CN"/>
              </w:rPr>
              <w:t xml:space="preserve">1934 </w:t>
            </w:r>
          </w:p>
        </w:tc>
        <w:tc>
          <w:tcPr>
            <w:tcW w:w="722" w:type="dxa"/>
            <w:vMerge w:val="restart"/>
            <w:tcBorders>
              <w:top w:val="single" w:color="auto" w:sz="4" w:space="0"/>
              <w:left w:val="single" w:color="auto" w:sz="4" w:space="0"/>
              <w:right w:val="single" w:color="auto" w:sz="4" w:space="0"/>
            </w:tcBorders>
            <w:shd w:val="clear" w:color="auto" w:fill="FFFFFF"/>
            <w:vAlign w:val="center"/>
          </w:tcPr>
          <w:p w14:paraId="164F73CD">
            <w:pPr>
              <w:pStyle w:val="59"/>
              <w:bidi w:val="0"/>
            </w:pPr>
            <w:r>
              <w:rPr>
                <w:rFonts w:hint="eastAsia"/>
                <w:lang w:val="en-US" w:eastAsia="zh-CN"/>
              </w:rPr>
              <w:t>正常</w:t>
            </w:r>
          </w:p>
        </w:tc>
        <w:tc>
          <w:tcPr>
            <w:tcW w:w="935" w:type="dxa"/>
            <w:tcBorders>
              <w:top w:val="single" w:color="auto" w:sz="4" w:space="0"/>
              <w:left w:val="single" w:color="auto" w:sz="4" w:space="0"/>
              <w:bottom w:val="single" w:color="auto" w:sz="4" w:space="0"/>
            </w:tcBorders>
            <w:shd w:val="clear" w:color="auto" w:fill="FFFFFF"/>
            <w:vAlign w:val="center"/>
          </w:tcPr>
          <w:p w14:paraId="6F377367">
            <w:pPr>
              <w:pStyle w:val="59"/>
              <w:bidi w:val="0"/>
            </w:pPr>
            <w:r>
              <w:rPr>
                <w:rFonts w:hint="eastAsia"/>
                <w:lang w:val="en-US" w:eastAsia="zh-CN"/>
              </w:rPr>
              <w:t>NMHC</w:t>
            </w:r>
          </w:p>
        </w:tc>
        <w:tc>
          <w:tcPr>
            <w:tcW w:w="844" w:type="dxa"/>
            <w:tcBorders>
              <w:right w:val="dotted" w:color="auto" w:sz="4" w:space="0"/>
            </w:tcBorders>
            <w:shd w:val="clear" w:color="auto" w:fill="FFFFFF"/>
            <w:vAlign w:val="center"/>
          </w:tcPr>
          <w:p w14:paraId="33F05DFA">
            <w:pPr>
              <w:pStyle w:val="59"/>
              <w:bidi w:val="0"/>
            </w:pPr>
            <w:r>
              <w:rPr>
                <w:rFonts w:hint="eastAsia"/>
                <w:lang w:val="en-US" w:eastAsia="zh-CN"/>
              </w:rPr>
              <w:t xml:space="preserve">0.023 </w:t>
            </w:r>
          </w:p>
        </w:tc>
      </w:tr>
      <w:tr w14:paraId="128040DA">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shd w:val="clear" w:color="auto" w:fill="FFFFFF"/>
            <w:vAlign w:val="center"/>
          </w:tcPr>
          <w:p w14:paraId="691ECF7F">
            <w:pPr>
              <w:pStyle w:val="59"/>
              <w:bidi w:val="0"/>
              <w:rPr>
                <w:color w:val="auto"/>
              </w:rPr>
            </w:pPr>
          </w:p>
        </w:tc>
        <w:tc>
          <w:tcPr>
            <w:tcW w:w="611" w:type="dxa"/>
            <w:vMerge w:val="continue"/>
            <w:shd w:val="clear" w:color="auto" w:fill="FFFFFF"/>
            <w:vAlign w:val="center"/>
          </w:tcPr>
          <w:p w14:paraId="00D83862">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708" w:type="dxa"/>
            <w:vMerge w:val="continue"/>
            <w:shd w:val="clear" w:color="auto" w:fill="FFFFFF"/>
            <w:vAlign w:val="center"/>
          </w:tcPr>
          <w:p w14:paraId="45AD9870">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802" w:type="dxa"/>
            <w:vMerge w:val="continue"/>
            <w:shd w:val="clear" w:color="auto" w:fill="FFFFFF"/>
            <w:vAlign w:val="center"/>
          </w:tcPr>
          <w:p w14:paraId="021A593F">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698" w:type="dxa"/>
            <w:vMerge w:val="continue"/>
            <w:shd w:val="clear" w:color="auto" w:fill="FFFFFF"/>
            <w:vAlign w:val="center"/>
          </w:tcPr>
          <w:p w14:paraId="61C12C5A">
            <w:pPr>
              <w:pStyle w:val="59"/>
              <w:bidi w:val="0"/>
            </w:pPr>
          </w:p>
        </w:tc>
        <w:tc>
          <w:tcPr>
            <w:tcW w:w="698" w:type="dxa"/>
            <w:vMerge w:val="continue"/>
            <w:shd w:val="clear" w:color="auto" w:fill="FFFFFF"/>
            <w:vAlign w:val="center"/>
          </w:tcPr>
          <w:p w14:paraId="03360EB4">
            <w:pPr>
              <w:pStyle w:val="59"/>
              <w:bidi w:val="0"/>
            </w:pPr>
          </w:p>
        </w:tc>
        <w:tc>
          <w:tcPr>
            <w:tcW w:w="698" w:type="dxa"/>
            <w:vMerge w:val="continue"/>
            <w:shd w:val="clear" w:color="auto" w:fill="FFFFFF"/>
            <w:vAlign w:val="center"/>
          </w:tcPr>
          <w:p w14:paraId="0A41EE8B">
            <w:pPr>
              <w:pStyle w:val="59"/>
              <w:bidi w:val="0"/>
            </w:pPr>
          </w:p>
        </w:tc>
        <w:tc>
          <w:tcPr>
            <w:tcW w:w="708" w:type="dxa"/>
            <w:vMerge w:val="continue"/>
            <w:shd w:val="clear" w:color="auto" w:fill="FFFFFF"/>
            <w:vAlign w:val="center"/>
          </w:tcPr>
          <w:p w14:paraId="7F990843">
            <w:pPr>
              <w:pStyle w:val="59"/>
              <w:bidi w:val="0"/>
            </w:pPr>
          </w:p>
        </w:tc>
        <w:tc>
          <w:tcPr>
            <w:tcW w:w="741" w:type="dxa"/>
            <w:tcBorders>
              <w:top w:val="single" w:color="auto" w:sz="4" w:space="0"/>
              <w:bottom w:val="single" w:color="auto" w:sz="4" w:space="0"/>
              <w:right w:val="single" w:color="auto" w:sz="4" w:space="0"/>
            </w:tcBorders>
            <w:shd w:val="clear" w:color="auto" w:fill="FFFFFF"/>
            <w:vAlign w:val="center"/>
          </w:tcPr>
          <w:p w14:paraId="57843B6C">
            <w:pPr>
              <w:pStyle w:val="59"/>
              <w:bidi w:val="0"/>
            </w:pPr>
            <w:r>
              <w:rPr>
                <w:rFonts w:hint="eastAsia"/>
                <w:lang w:val="en-US" w:eastAsia="zh-CN"/>
              </w:rPr>
              <w:t xml:space="preserve">1934 </w:t>
            </w:r>
          </w:p>
        </w:tc>
        <w:tc>
          <w:tcPr>
            <w:tcW w:w="722" w:type="dxa"/>
            <w:vMerge w:val="continue"/>
            <w:tcBorders>
              <w:left w:val="single" w:color="auto" w:sz="4" w:space="0"/>
              <w:right w:val="single" w:color="auto" w:sz="4" w:space="0"/>
            </w:tcBorders>
            <w:shd w:val="clear" w:color="auto" w:fill="FFFFFF"/>
            <w:vAlign w:val="center"/>
          </w:tcPr>
          <w:p w14:paraId="03C4128A">
            <w:pPr>
              <w:pStyle w:val="59"/>
              <w:bidi w:val="0"/>
            </w:pPr>
          </w:p>
        </w:tc>
        <w:tc>
          <w:tcPr>
            <w:tcW w:w="935" w:type="dxa"/>
            <w:tcBorders>
              <w:top w:val="single" w:color="auto" w:sz="4" w:space="0"/>
              <w:left w:val="single" w:color="auto" w:sz="4" w:space="0"/>
              <w:bottom w:val="single" w:color="auto" w:sz="4" w:space="0"/>
            </w:tcBorders>
            <w:shd w:val="clear" w:color="auto" w:fill="FFFFFF"/>
            <w:vAlign w:val="center"/>
          </w:tcPr>
          <w:p w14:paraId="3DF9BC43">
            <w:pPr>
              <w:pStyle w:val="59"/>
              <w:bidi w:val="0"/>
            </w:pPr>
            <w:r>
              <w:rPr>
                <w:rFonts w:hint="eastAsia"/>
                <w:lang w:val="en-US" w:eastAsia="zh-CN"/>
              </w:rPr>
              <w:t>氯化氢</w:t>
            </w:r>
          </w:p>
        </w:tc>
        <w:tc>
          <w:tcPr>
            <w:tcW w:w="844" w:type="dxa"/>
            <w:tcBorders>
              <w:right w:val="dotted" w:color="auto" w:sz="4" w:space="0"/>
            </w:tcBorders>
            <w:shd w:val="clear" w:color="auto" w:fill="FFFFFF"/>
            <w:vAlign w:val="center"/>
          </w:tcPr>
          <w:p w14:paraId="03BEF19F">
            <w:pPr>
              <w:pStyle w:val="59"/>
              <w:bidi w:val="0"/>
            </w:pPr>
            <w:r>
              <w:rPr>
                <w:rFonts w:hint="eastAsia"/>
                <w:lang w:val="en-US" w:eastAsia="zh-CN"/>
              </w:rPr>
              <w:t xml:space="preserve">0.000002 </w:t>
            </w:r>
          </w:p>
        </w:tc>
      </w:tr>
      <w:tr w14:paraId="331E6000">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shd w:val="clear" w:color="auto" w:fill="FFFFFF"/>
            <w:vAlign w:val="center"/>
          </w:tcPr>
          <w:p w14:paraId="4094C009">
            <w:pPr>
              <w:pStyle w:val="59"/>
              <w:bidi w:val="0"/>
              <w:rPr>
                <w:color w:val="auto"/>
              </w:rPr>
            </w:pPr>
          </w:p>
        </w:tc>
        <w:tc>
          <w:tcPr>
            <w:tcW w:w="611" w:type="dxa"/>
            <w:vMerge w:val="continue"/>
            <w:shd w:val="clear" w:color="auto" w:fill="FFFFFF"/>
            <w:vAlign w:val="center"/>
          </w:tcPr>
          <w:p w14:paraId="3273674D">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708" w:type="dxa"/>
            <w:vMerge w:val="continue"/>
            <w:shd w:val="clear" w:color="auto" w:fill="FFFFFF"/>
            <w:vAlign w:val="center"/>
          </w:tcPr>
          <w:p w14:paraId="0CDBD433">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802" w:type="dxa"/>
            <w:vMerge w:val="continue"/>
            <w:shd w:val="clear" w:color="auto" w:fill="FFFFFF"/>
            <w:vAlign w:val="center"/>
          </w:tcPr>
          <w:p w14:paraId="5B8BD250">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698" w:type="dxa"/>
            <w:vMerge w:val="continue"/>
            <w:shd w:val="clear" w:color="auto" w:fill="FFFFFF"/>
            <w:vAlign w:val="center"/>
          </w:tcPr>
          <w:p w14:paraId="0E985722">
            <w:pPr>
              <w:pStyle w:val="59"/>
              <w:bidi w:val="0"/>
              <w:rPr>
                <w:rFonts w:hint="default"/>
                <w:lang w:val="en-US" w:eastAsia="zh-CN"/>
              </w:rPr>
            </w:pPr>
          </w:p>
        </w:tc>
        <w:tc>
          <w:tcPr>
            <w:tcW w:w="698" w:type="dxa"/>
            <w:vMerge w:val="continue"/>
            <w:shd w:val="clear" w:color="auto" w:fill="FFFFFF"/>
            <w:vAlign w:val="center"/>
          </w:tcPr>
          <w:p w14:paraId="5C1A65BF">
            <w:pPr>
              <w:pStyle w:val="59"/>
              <w:bidi w:val="0"/>
              <w:rPr>
                <w:rFonts w:hint="default"/>
                <w:lang w:val="en-US" w:eastAsia="zh-CN"/>
              </w:rPr>
            </w:pPr>
          </w:p>
        </w:tc>
        <w:tc>
          <w:tcPr>
            <w:tcW w:w="698" w:type="dxa"/>
            <w:vMerge w:val="continue"/>
            <w:shd w:val="clear" w:color="auto" w:fill="FFFFFF"/>
            <w:vAlign w:val="center"/>
          </w:tcPr>
          <w:p w14:paraId="2055E845">
            <w:pPr>
              <w:pStyle w:val="59"/>
              <w:bidi w:val="0"/>
              <w:rPr>
                <w:rFonts w:hint="eastAsia"/>
                <w:lang w:val="en-US" w:eastAsia="zh-CN"/>
              </w:rPr>
            </w:pPr>
          </w:p>
        </w:tc>
        <w:tc>
          <w:tcPr>
            <w:tcW w:w="708" w:type="dxa"/>
            <w:vMerge w:val="continue"/>
            <w:shd w:val="clear" w:color="auto" w:fill="FFFFFF"/>
            <w:vAlign w:val="center"/>
          </w:tcPr>
          <w:p w14:paraId="7278BC96">
            <w:pPr>
              <w:pStyle w:val="59"/>
              <w:bidi w:val="0"/>
              <w:rPr>
                <w:rFonts w:hint="eastAsia"/>
                <w:lang w:val="en-US" w:eastAsia="zh-CN"/>
              </w:rPr>
            </w:pPr>
          </w:p>
        </w:tc>
        <w:tc>
          <w:tcPr>
            <w:tcW w:w="741" w:type="dxa"/>
            <w:tcBorders>
              <w:top w:val="single" w:color="auto" w:sz="4" w:space="0"/>
              <w:bottom w:val="single" w:color="auto" w:sz="4" w:space="0"/>
              <w:right w:val="single" w:color="auto" w:sz="4" w:space="0"/>
            </w:tcBorders>
            <w:shd w:val="clear" w:color="auto" w:fill="FFFFFF"/>
            <w:vAlign w:val="center"/>
          </w:tcPr>
          <w:p w14:paraId="04B464EF">
            <w:pPr>
              <w:pStyle w:val="59"/>
              <w:bidi w:val="0"/>
              <w:rPr>
                <w:rFonts w:hint="default"/>
                <w:lang w:val="en-US" w:eastAsia="zh-CN"/>
              </w:rPr>
            </w:pPr>
            <w:r>
              <w:rPr>
                <w:rFonts w:hint="eastAsia"/>
                <w:lang w:val="en-US" w:eastAsia="zh-CN"/>
              </w:rPr>
              <w:t xml:space="preserve">1934 </w:t>
            </w:r>
          </w:p>
        </w:tc>
        <w:tc>
          <w:tcPr>
            <w:tcW w:w="722" w:type="dxa"/>
            <w:vMerge w:val="continue"/>
            <w:tcBorders>
              <w:left w:val="single" w:color="auto" w:sz="4" w:space="0"/>
              <w:right w:val="single" w:color="auto" w:sz="4" w:space="0"/>
            </w:tcBorders>
            <w:shd w:val="clear" w:color="auto" w:fill="FFFFFF"/>
            <w:vAlign w:val="center"/>
          </w:tcPr>
          <w:p w14:paraId="6FED83FE">
            <w:pPr>
              <w:pStyle w:val="59"/>
              <w:bidi w:val="0"/>
              <w:rPr>
                <w:rFonts w:hint="eastAsia"/>
              </w:rPr>
            </w:pPr>
          </w:p>
        </w:tc>
        <w:tc>
          <w:tcPr>
            <w:tcW w:w="935" w:type="dxa"/>
            <w:tcBorders>
              <w:top w:val="single" w:color="auto" w:sz="4" w:space="0"/>
              <w:left w:val="single" w:color="auto" w:sz="4" w:space="0"/>
              <w:bottom w:val="single" w:color="auto" w:sz="4" w:space="0"/>
            </w:tcBorders>
            <w:shd w:val="clear" w:color="auto" w:fill="FFFFFF"/>
            <w:vAlign w:val="center"/>
          </w:tcPr>
          <w:p w14:paraId="62D775B0">
            <w:pPr>
              <w:pStyle w:val="59"/>
              <w:bidi w:val="0"/>
              <w:rPr>
                <w:rFonts w:hint="eastAsia"/>
              </w:rPr>
            </w:pPr>
            <w:r>
              <w:rPr>
                <w:rFonts w:hint="eastAsia"/>
                <w:lang w:val="en-US" w:eastAsia="zh-CN"/>
              </w:rPr>
              <w:t>氯乙烯</w:t>
            </w:r>
          </w:p>
        </w:tc>
        <w:tc>
          <w:tcPr>
            <w:tcW w:w="844" w:type="dxa"/>
            <w:tcBorders>
              <w:right w:val="dotted" w:color="auto" w:sz="4" w:space="0"/>
            </w:tcBorders>
            <w:shd w:val="clear" w:color="auto" w:fill="FFFFFF"/>
            <w:vAlign w:val="center"/>
          </w:tcPr>
          <w:p w14:paraId="10B0E9B5">
            <w:pPr>
              <w:pStyle w:val="59"/>
              <w:bidi w:val="0"/>
              <w:rPr>
                <w:rFonts w:hint="eastAsia"/>
                <w:lang w:val="en-US" w:eastAsia="zh-CN"/>
              </w:rPr>
            </w:pPr>
            <w:r>
              <w:rPr>
                <w:rFonts w:hint="eastAsia"/>
                <w:lang w:val="en-US" w:eastAsia="zh-CN"/>
              </w:rPr>
              <w:t xml:space="preserve">0.000002 </w:t>
            </w:r>
          </w:p>
        </w:tc>
      </w:tr>
      <w:tr w14:paraId="4F484772">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shd w:val="clear" w:color="auto" w:fill="FFFFFF"/>
            <w:vAlign w:val="center"/>
          </w:tcPr>
          <w:p w14:paraId="62ECB457">
            <w:pPr>
              <w:pStyle w:val="59"/>
              <w:bidi w:val="0"/>
              <w:rPr>
                <w:rFonts w:hint="eastAsia"/>
                <w:color w:val="auto"/>
              </w:rPr>
            </w:pPr>
          </w:p>
        </w:tc>
        <w:tc>
          <w:tcPr>
            <w:tcW w:w="611" w:type="dxa"/>
            <w:vMerge w:val="continue"/>
            <w:shd w:val="clear" w:color="auto" w:fill="FFFFFF"/>
            <w:vAlign w:val="center"/>
          </w:tcPr>
          <w:p w14:paraId="64829916">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708" w:type="dxa"/>
            <w:vMerge w:val="continue"/>
            <w:shd w:val="clear" w:color="auto" w:fill="FFFFFF"/>
            <w:vAlign w:val="center"/>
          </w:tcPr>
          <w:p w14:paraId="2C6CEA3A">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802" w:type="dxa"/>
            <w:vMerge w:val="continue"/>
            <w:shd w:val="clear" w:color="auto" w:fill="FFFFFF"/>
            <w:vAlign w:val="center"/>
          </w:tcPr>
          <w:p w14:paraId="44E79611">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698" w:type="dxa"/>
            <w:vMerge w:val="continue"/>
            <w:shd w:val="clear" w:color="auto" w:fill="FFFFFF"/>
            <w:vAlign w:val="center"/>
          </w:tcPr>
          <w:p w14:paraId="0D74B3C7">
            <w:pPr>
              <w:pStyle w:val="59"/>
              <w:bidi w:val="0"/>
              <w:rPr>
                <w:rFonts w:hint="eastAsia"/>
                <w:lang w:val="en-US" w:eastAsia="zh-CN"/>
              </w:rPr>
            </w:pPr>
          </w:p>
        </w:tc>
        <w:tc>
          <w:tcPr>
            <w:tcW w:w="698" w:type="dxa"/>
            <w:vMerge w:val="continue"/>
            <w:shd w:val="clear" w:color="auto" w:fill="FFFFFF"/>
            <w:vAlign w:val="center"/>
          </w:tcPr>
          <w:p w14:paraId="2C74ADE0">
            <w:pPr>
              <w:pStyle w:val="59"/>
              <w:bidi w:val="0"/>
              <w:rPr>
                <w:rFonts w:hint="eastAsia"/>
                <w:lang w:val="en-US" w:eastAsia="zh-CN"/>
              </w:rPr>
            </w:pPr>
          </w:p>
        </w:tc>
        <w:tc>
          <w:tcPr>
            <w:tcW w:w="698" w:type="dxa"/>
            <w:vMerge w:val="continue"/>
            <w:shd w:val="clear" w:color="auto" w:fill="FFFFFF"/>
            <w:vAlign w:val="center"/>
          </w:tcPr>
          <w:p w14:paraId="3ACAB538">
            <w:pPr>
              <w:pStyle w:val="59"/>
              <w:bidi w:val="0"/>
              <w:rPr>
                <w:rFonts w:hint="eastAsia"/>
                <w:lang w:val="en-US" w:eastAsia="zh-CN"/>
              </w:rPr>
            </w:pPr>
          </w:p>
        </w:tc>
        <w:tc>
          <w:tcPr>
            <w:tcW w:w="708" w:type="dxa"/>
            <w:vMerge w:val="continue"/>
            <w:shd w:val="clear" w:color="auto" w:fill="FFFFFF"/>
            <w:vAlign w:val="center"/>
          </w:tcPr>
          <w:p w14:paraId="1B7BCF50">
            <w:pPr>
              <w:pStyle w:val="59"/>
              <w:bidi w:val="0"/>
              <w:rPr>
                <w:rFonts w:hint="eastAsia"/>
                <w:lang w:val="en-US" w:eastAsia="zh-CN"/>
              </w:rPr>
            </w:pPr>
          </w:p>
        </w:tc>
        <w:tc>
          <w:tcPr>
            <w:tcW w:w="741" w:type="dxa"/>
            <w:tcBorders>
              <w:top w:val="single" w:color="auto" w:sz="4" w:space="0"/>
              <w:bottom w:val="single" w:color="auto" w:sz="4" w:space="0"/>
              <w:right w:val="single" w:color="auto" w:sz="4" w:space="0"/>
            </w:tcBorders>
            <w:shd w:val="clear" w:color="auto" w:fill="FFFFFF"/>
            <w:vAlign w:val="center"/>
          </w:tcPr>
          <w:p w14:paraId="009E7275">
            <w:pPr>
              <w:pStyle w:val="59"/>
              <w:bidi w:val="0"/>
              <w:rPr>
                <w:rFonts w:hint="eastAsia"/>
                <w:lang w:val="en-US" w:eastAsia="zh-CN"/>
              </w:rPr>
            </w:pPr>
            <w:r>
              <w:rPr>
                <w:rFonts w:hint="eastAsia"/>
                <w:lang w:val="en-US" w:eastAsia="zh-CN"/>
              </w:rPr>
              <w:t xml:space="preserve">1934 </w:t>
            </w:r>
          </w:p>
        </w:tc>
        <w:tc>
          <w:tcPr>
            <w:tcW w:w="722" w:type="dxa"/>
            <w:vMerge w:val="continue"/>
            <w:tcBorders>
              <w:left w:val="single" w:color="auto" w:sz="4" w:space="0"/>
              <w:right w:val="single" w:color="auto" w:sz="4" w:space="0"/>
            </w:tcBorders>
            <w:shd w:val="clear" w:color="auto" w:fill="FFFFFF"/>
            <w:vAlign w:val="center"/>
          </w:tcPr>
          <w:p w14:paraId="683D2825">
            <w:pPr>
              <w:pStyle w:val="59"/>
              <w:bidi w:val="0"/>
              <w:rPr>
                <w:rFonts w:hint="eastAsia"/>
              </w:rPr>
            </w:pPr>
          </w:p>
        </w:tc>
        <w:tc>
          <w:tcPr>
            <w:tcW w:w="935" w:type="dxa"/>
            <w:tcBorders>
              <w:top w:val="single" w:color="auto" w:sz="4" w:space="0"/>
              <w:left w:val="single" w:color="auto" w:sz="4" w:space="0"/>
              <w:bottom w:val="single" w:color="auto" w:sz="4" w:space="0"/>
            </w:tcBorders>
            <w:shd w:val="clear" w:color="auto" w:fill="FFFFFF"/>
            <w:vAlign w:val="center"/>
          </w:tcPr>
          <w:p w14:paraId="653DA717">
            <w:pPr>
              <w:pStyle w:val="59"/>
              <w:bidi w:val="0"/>
              <w:rPr>
                <w:rFonts w:hint="eastAsia"/>
              </w:rPr>
            </w:pPr>
            <w:r>
              <w:rPr>
                <w:rFonts w:hint="eastAsia"/>
                <w:lang w:val="en-US" w:eastAsia="zh-CN"/>
              </w:rPr>
              <w:t>苯</w:t>
            </w:r>
          </w:p>
        </w:tc>
        <w:tc>
          <w:tcPr>
            <w:tcW w:w="844" w:type="dxa"/>
            <w:tcBorders>
              <w:right w:val="dotted" w:color="auto" w:sz="4" w:space="0"/>
            </w:tcBorders>
            <w:shd w:val="clear" w:color="auto" w:fill="FFFFFF"/>
            <w:vAlign w:val="center"/>
          </w:tcPr>
          <w:p w14:paraId="008FDDBA">
            <w:pPr>
              <w:pStyle w:val="59"/>
              <w:bidi w:val="0"/>
              <w:rPr>
                <w:rFonts w:hint="eastAsia"/>
                <w:lang w:val="en-US" w:eastAsia="zh-CN"/>
              </w:rPr>
            </w:pPr>
            <w:r>
              <w:rPr>
                <w:rFonts w:hint="eastAsia"/>
                <w:lang w:val="en-US" w:eastAsia="zh-CN"/>
              </w:rPr>
              <w:t xml:space="preserve">0.000000 </w:t>
            </w:r>
          </w:p>
        </w:tc>
      </w:tr>
      <w:tr w14:paraId="4442A5FD">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shd w:val="clear" w:color="auto" w:fill="FFFFFF"/>
            <w:vAlign w:val="center"/>
          </w:tcPr>
          <w:p w14:paraId="62A5DE9B">
            <w:pPr>
              <w:pStyle w:val="59"/>
              <w:bidi w:val="0"/>
              <w:rPr>
                <w:rFonts w:hint="eastAsia"/>
                <w:color w:val="auto"/>
              </w:rPr>
            </w:pPr>
          </w:p>
        </w:tc>
        <w:tc>
          <w:tcPr>
            <w:tcW w:w="611" w:type="dxa"/>
            <w:vMerge w:val="continue"/>
            <w:shd w:val="clear" w:color="auto" w:fill="FFFFFF"/>
            <w:vAlign w:val="center"/>
          </w:tcPr>
          <w:p w14:paraId="7D1F0BDA">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708" w:type="dxa"/>
            <w:vMerge w:val="continue"/>
            <w:shd w:val="clear" w:color="auto" w:fill="FFFFFF"/>
            <w:vAlign w:val="center"/>
          </w:tcPr>
          <w:p w14:paraId="342CFDB8">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802" w:type="dxa"/>
            <w:vMerge w:val="continue"/>
            <w:shd w:val="clear" w:color="auto" w:fill="FFFFFF"/>
            <w:vAlign w:val="center"/>
          </w:tcPr>
          <w:p w14:paraId="4BC45947">
            <w:pPr>
              <w:pStyle w:val="59"/>
              <w:bidi w:val="0"/>
              <w:rPr>
                <w:rFonts w:hint="eastAsia"/>
                <w:lang w:val="en-US" w:eastAsia="zh-CN"/>
              </w:rPr>
            </w:pPr>
          </w:p>
        </w:tc>
        <w:tc>
          <w:tcPr>
            <w:tcW w:w="698" w:type="dxa"/>
            <w:vMerge w:val="continue"/>
            <w:shd w:val="clear" w:color="auto" w:fill="FFFFFF"/>
            <w:vAlign w:val="center"/>
          </w:tcPr>
          <w:p w14:paraId="09F31EE1">
            <w:pPr>
              <w:pStyle w:val="59"/>
              <w:bidi w:val="0"/>
              <w:rPr>
                <w:rFonts w:hint="eastAsia"/>
                <w:lang w:val="en-US" w:eastAsia="zh-CN"/>
              </w:rPr>
            </w:pPr>
          </w:p>
        </w:tc>
        <w:tc>
          <w:tcPr>
            <w:tcW w:w="698" w:type="dxa"/>
            <w:vMerge w:val="continue"/>
            <w:shd w:val="clear" w:color="auto" w:fill="FFFFFF"/>
            <w:vAlign w:val="center"/>
          </w:tcPr>
          <w:p w14:paraId="6A25F3D0">
            <w:pPr>
              <w:pStyle w:val="59"/>
              <w:bidi w:val="0"/>
              <w:rPr>
                <w:rFonts w:hint="eastAsia"/>
                <w:lang w:val="en-US" w:eastAsia="zh-CN"/>
              </w:rPr>
            </w:pPr>
          </w:p>
        </w:tc>
        <w:tc>
          <w:tcPr>
            <w:tcW w:w="698" w:type="dxa"/>
            <w:vMerge w:val="continue"/>
            <w:shd w:val="clear" w:color="auto" w:fill="FFFFFF"/>
            <w:vAlign w:val="center"/>
          </w:tcPr>
          <w:p w14:paraId="4EF649E0">
            <w:pPr>
              <w:pStyle w:val="59"/>
              <w:bidi w:val="0"/>
              <w:rPr>
                <w:rFonts w:hint="eastAsia"/>
                <w:lang w:val="en-US" w:eastAsia="zh-CN"/>
              </w:rPr>
            </w:pPr>
          </w:p>
        </w:tc>
        <w:tc>
          <w:tcPr>
            <w:tcW w:w="708" w:type="dxa"/>
            <w:vMerge w:val="continue"/>
            <w:shd w:val="clear" w:color="auto" w:fill="FFFFFF"/>
            <w:vAlign w:val="center"/>
          </w:tcPr>
          <w:p w14:paraId="431F1CA4">
            <w:pPr>
              <w:pStyle w:val="59"/>
              <w:bidi w:val="0"/>
              <w:rPr>
                <w:rFonts w:hint="eastAsia"/>
                <w:lang w:val="en-US" w:eastAsia="zh-CN"/>
              </w:rPr>
            </w:pPr>
          </w:p>
        </w:tc>
        <w:tc>
          <w:tcPr>
            <w:tcW w:w="741" w:type="dxa"/>
            <w:tcBorders>
              <w:top w:val="single" w:color="auto" w:sz="4" w:space="0"/>
              <w:bottom w:val="single" w:color="auto" w:sz="4" w:space="0"/>
              <w:right w:val="single" w:color="auto" w:sz="4" w:space="0"/>
            </w:tcBorders>
            <w:shd w:val="clear" w:color="auto" w:fill="FFFFFF"/>
            <w:vAlign w:val="center"/>
          </w:tcPr>
          <w:p w14:paraId="41C257A5">
            <w:pPr>
              <w:pStyle w:val="59"/>
              <w:bidi w:val="0"/>
              <w:rPr>
                <w:rFonts w:hint="eastAsia"/>
                <w:lang w:val="en-US" w:eastAsia="zh-CN"/>
              </w:rPr>
            </w:pPr>
            <w:r>
              <w:rPr>
                <w:rFonts w:hint="eastAsia"/>
                <w:lang w:val="en-US" w:eastAsia="zh-CN"/>
              </w:rPr>
              <w:t xml:space="preserve">1934 </w:t>
            </w:r>
          </w:p>
        </w:tc>
        <w:tc>
          <w:tcPr>
            <w:tcW w:w="722" w:type="dxa"/>
            <w:vMerge w:val="continue"/>
            <w:tcBorders>
              <w:left w:val="single" w:color="auto" w:sz="4" w:space="0"/>
              <w:right w:val="single" w:color="auto" w:sz="4" w:space="0"/>
            </w:tcBorders>
            <w:shd w:val="clear" w:color="auto" w:fill="FFFFFF"/>
            <w:vAlign w:val="center"/>
          </w:tcPr>
          <w:p w14:paraId="4BC365D0">
            <w:pPr>
              <w:pStyle w:val="59"/>
              <w:bidi w:val="0"/>
              <w:rPr>
                <w:rFonts w:hint="eastAsia"/>
                <w:lang w:val="en-US" w:eastAsia="zh-CN"/>
              </w:rPr>
            </w:pPr>
          </w:p>
        </w:tc>
        <w:tc>
          <w:tcPr>
            <w:tcW w:w="935" w:type="dxa"/>
            <w:tcBorders>
              <w:top w:val="single" w:color="auto" w:sz="4" w:space="0"/>
              <w:left w:val="single" w:color="auto" w:sz="4" w:space="0"/>
              <w:bottom w:val="single" w:color="auto" w:sz="4" w:space="0"/>
            </w:tcBorders>
            <w:shd w:val="clear" w:color="auto" w:fill="FFFFFF"/>
            <w:vAlign w:val="center"/>
          </w:tcPr>
          <w:p w14:paraId="16FB22D9">
            <w:pPr>
              <w:pStyle w:val="59"/>
              <w:bidi w:val="0"/>
              <w:rPr>
                <w:rFonts w:hint="eastAsia"/>
                <w:lang w:val="en-US" w:eastAsia="zh-CN"/>
              </w:rPr>
            </w:pPr>
            <w:r>
              <w:rPr>
                <w:rFonts w:hint="eastAsia"/>
                <w:lang w:val="en-US" w:eastAsia="zh-CN"/>
              </w:rPr>
              <w:t>甲苯</w:t>
            </w:r>
          </w:p>
        </w:tc>
        <w:tc>
          <w:tcPr>
            <w:tcW w:w="844" w:type="dxa"/>
            <w:tcBorders>
              <w:right w:val="dotted" w:color="auto" w:sz="4" w:space="0"/>
            </w:tcBorders>
            <w:shd w:val="clear" w:color="auto" w:fill="FFFFFF"/>
            <w:vAlign w:val="center"/>
          </w:tcPr>
          <w:p w14:paraId="6769170C">
            <w:pPr>
              <w:pStyle w:val="59"/>
              <w:bidi w:val="0"/>
              <w:rPr>
                <w:rFonts w:hint="eastAsia"/>
                <w:lang w:val="en-US" w:eastAsia="zh-CN"/>
              </w:rPr>
            </w:pPr>
            <w:r>
              <w:rPr>
                <w:rFonts w:hint="eastAsia"/>
                <w:lang w:val="en-US" w:eastAsia="zh-CN"/>
              </w:rPr>
              <w:t xml:space="preserve">0.000000 </w:t>
            </w:r>
          </w:p>
        </w:tc>
      </w:tr>
      <w:tr w14:paraId="755CD573">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58" w:type="dxa"/>
            <w:vMerge w:val="continue"/>
            <w:tcBorders>
              <w:bottom w:val="single" w:color="auto" w:sz="12" w:space="0"/>
            </w:tcBorders>
            <w:shd w:val="clear" w:color="auto" w:fill="FFFFFF"/>
            <w:vAlign w:val="center"/>
          </w:tcPr>
          <w:p w14:paraId="7689FD8C">
            <w:pPr>
              <w:pStyle w:val="59"/>
              <w:bidi w:val="0"/>
              <w:rPr>
                <w:rFonts w:hint="eastAsia"/>
                <w:color w:val="auto"/>
              </w:rPr>
            </w:pPr>
          </w:p>
        </w:tc>
        <w:tc>
          <w:tcPr>
            <w:tcW w:w="611" w:type="dxa"/>
            <w:vMerge w:val="continue"/>
            <w:tcBorders>
              <w:bottom w:val="single" w:color="auto" w:sz="12" w:space="0"/>
            </w:tcBorders>
            <w:shd w:val="clear" w:color="auto" w:fill="FFFFFF"/>
            <w:vAlign w:val="center"/>
          </w:tcPr>
          <w:p w14:paraId="129A72E8">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708" w:type="dxa"/>
            <w:vMerge w:val="continue"/>
            <w:tcBorders>
              <w:bottom w:val="single" w:color="auto" w:sz="12" w:space="0"/>
            </w:tcBorders>
            <w:shd w:val="clear" w:color="auto" w:fill="FFFFFF"/>
            <w:vAlign w:val="center"/>
          </w:tcPr>
          <w:p w14:paraId="7F3B7295">
            <w:pPr>
              <w:pStyle w:val="59"/>
              <w:ind w:firstLine="0" w:firstLineChars="0"/>
              <w:rPr>
                <w:rFonts w:hint="default" w:ascii="Times New Roman" w:hAnsi="Times New Roman" w:eastAsia="宋体" w:cs="Times New Roman"/>
                <w:color w:val="auto"/>
                <w:kern w:val="0"/>
                <w:sz w:val="21"/>
                <w:szCs w:val="20"/>
                <w:lang w:val="en-US" w:eastAsia="zh-CN" w:bidi="ar-SA"/>
              </w:rPr>
            </w:pPr>
          </w:p>
        </w:tc>
        <w:tc>
          <w:tcPr>
            <w:tcW w:w="802" w:type="dxa"/>
            <w:vMerge w:val="continue"/>
            <w:tcBorders>
              <w:bottom w:val="single" w:color="auto" w:sz="12" w:space="0"/>
            </w:tcBorders>
            <w:shd w:val="clear" w:color="auto" w:fill="FFFFFF"/>
            <w:vAlign w:val="center"/>
          </w:tcPr>
          <w:p w14:paraId="544900EC">
            <w:pPr>
              <w:pStyle w:val="59"/>
              <w:bidi w:val="0"/>
              <w:rPr>
                <w:rFonts w:hint="eastAsia"/>
                <w:lang w:val="en-US" w:eastAsia="zh-CN"/>
              </w:rPr>
            </w:pPr>
          </w:p>
        </w:tc>
        <w:tc>
          <w:tcPr>
            <w:tcW w:w="698" w:type="dxa"/>
            <w:vMerge w:val="continue"/>
            <w:tcBorders>
              <w:bottom w:val="single" w:color="auto" w:sz="12" w:space="0"/>
            </w:tcBorders>
            <w:shd w:val="clear" w:color="auto" w:fill="FFFFFF"/>
            <w:vAlign w:val="center"/>
          </w:tcPr>
          <w:p w14:paraId="74FA1B8A">
            <w:pPr>
              <w:pStyle w:val="59"/>
              <w:bidi w:val="0"/>
              <w:rPr>
                <w:rFonts w:hint="default"/>
                <w:lang w:val="en-US" w:eastAsia="zh-CN"/>
              </w:rPr>
            </w:pPr>
          </w:p>
        </w:tc>
        <w:tc>
          <w:tcPr>
            <w:tcW w:w="698" w:type="dxa"/>
            <w:vMerge w:val="continue"/>
            <w:tcBorders>
              <w:bottom w:val="single" w:color="auto" w:sz="12" w:space="0"/>
            </w:tcBorders>
            <w:shd w:val="clear" w:color="auto" w:fill="FFFFFF"/>
            <w:vAlign w:val="center"/>
          </w:tcPr>
          <w:p w14:paraId="15523D2A">
            <w:pPr>
              <w:pStyle w:val="59"/>
              <w:bidi w:val="0"/>
              <w:rPr>
                <w:rFonts w:hint="eastAsia"/>
                <w:lang w:val="en-US" w:eastAsia="zh-CN"/>
              </w:rPr>
            </w:pPr>
          </w:p>
        </w:tc>
        <w:tc>
          <w:tcPr>
            <w:tcW w:w="698" w:type="dxa"/>
            <w:vMerge w:val="continue"/>
            <w:tcBorders>
              <w:bottom w:val="single" w:color="auto" w:sz="12" w:space="0"/>
            </w:tcBorders>
            <w:shd w:val="clear" w:color="auto" w:fill="FFFFFF"/>
            <w:vAlign w:val="center"/>
          </w:tcPr>
          <w:p w14:paraId="1CD4BABA">
            <w:pPr>
              <w:pStyle w:val="59"/>
              <w:bidi w:val="0"/>
              <w:rPr>
                <w:rFonts w:hint="eastAsia"/>
                <w:lang w:val="en-US" w:eastAsia="zh-CN"/>
              </w:rPr>
            </w:pPr>
          </w:p>
        </w:tc>
        <w:tc>
          <w:tcPr>
            <w:tcW w:w="708" w:type="dxa"/>
            <w:vMerge w:val="continue"/>
            <w:tcBorders>
              <w:bottom w:val="single" w:color="auto" w:sz="12" w:space="0"/>
            </w:tcBorders>
            <w:shd w:val="clear" w:color="auto" w:fill="FFFFFF"/>
            <w:vAlign w:val="center"/>
          </w:tcPr>
          <w:p w14:paraId="27E8C4A9">
            <w:pPr>
              <w:pStyle w:val="59"/>
              <w:bidi w:val="0"/>
              <w:rPr>
                <w:rFonts w:hint="eastAsia"/>
                <w:lang w:val="en-US" w:eastAsia="zh-CN"/>
              </w:rPr>
            </w:pPr>
          </w:p>
        </w:tc>
        <w:tc>
          <w:tcPr>
            <w:tcW w:w="741" w:type="dxa"/>
            <w:tcBorders>
              <w:top w:val="single" w:color="auto" w:sz="4" w:space="0"/>
              <w:bottom w:val="single" w:color="auto" w:sz="12" w:space="0"/>
              <w:right w:val="single" w:color="auto" w:sz="4" w:space="0"/>
            </w:tcBorders>
            <w:shd w:val="clear" w:color="auto" w:fill="FFFFFF"/>
            <w:vAlign w:val="center"/>
          </w:tcPr>
          <w:p w14:paraId="10E9CDF1">
            <w:pPr>
              <w:pStyle w:val="59"/>
              <w:bidi w:val="0"/>
              <w:rPr>
                <w:rFonts w:hint="eastAsia"/>
                <w:lang w:val="en-US" w:eastAsia="zh-CN"/>
              </w:rPr>
            </w:pPr>
            <w:r>
              <w:rPr>
                <w:rFonts w:hint="eastAsia"/>
                <w:lang w:val="en-US" w:eastAsia="zh-CN"/>
              </w:rPr>
              <w:t xml:space="preserve">1934 </w:t>
            </w:r>
          </w:p>
        </w:tc>
        <w:tc>
          <w:tcPr>
            <w:tcW w:w="722" w:type="dxa"/>
            <w:vMerge w:val="continue"/>
            <w:tcBorders>
              <w:left w:val="single" w:color="auto" w:sz="4" w:space="0"/>
              <w:bottom w:val="single" w:color="auto" w:sz="12" w:space="0"/>
              <w:right w:val="single" w:color="auto" w:sz="4" w:space="0"/>
            </w:tcBorders>
            <w:shd w:val="clear" w:color="auto" w:fill="FFFFFF"/>
            <w:vAlign w:val="center"/>
          </w:tcPr>
          <w:p w14:paraId="1D96E245">
            <w:pPr>
              <w:pStyle w:val="59"/>
              <w:bidi w:val="0"/>
              <w:rPr>
                <w:rFonts w:hint="eastAsia"/>
                <w:lang w:val="en-US" w:eastAsia="zh-CN"/>
              </w:rPr>
            </w:pPr>
          </w:p>
        </w:tc>
        <w:tc>
          <w:tcPr>
            <w:tcW w:w="935" w:type="dxa"/>
            <w:tcBorders>
              <w:top w:val="single" w:color="auto" w:sz="4" w:space="0"/>
              <w:left w:val="single" w:color="auto" w:sz="4" w:space="0"/>
              <w:bottom w:val="single" w:color="auto" w:sz="12" w:space="0"/>
            </w:tcBorders>
            <w:shd w:val="clear" w:color="auto" w:fill="FFFFFF"/>
            <w:vAlign w:val="center"/>
          </w:tcPr>
          <w:p w14:paraId="4AF6D534">
            <w:pPr>
              <w:pStyle w:val="59"/>
              <w:bidi w:val="0"/>
              <w:rPr>
                <w:rFonts w:hint="eastAsia"/>
                <w:lang w:val="en-US" w:eastAsia="zh-CN"/>
              </w:rPr>
            </w:pPr>
            <w:r>
              <w:rPr>
                <w:rFonts w:hint="eastAsia"/>
                <w:lang w:val="en-US" w:eastAsia="zh-CN"/>
              </w:rPr>
              <w:t>总VOCs</w:t>
            </w:r>
          </w:p>
        </w:tc>
        <w:tc>
          <w:tcPr>
            <w:tcW w:w="844" w:type="dxa"/>
            <w:tcBorders>
              <w:bottom w:val="single" w:color="auto" w:sz="12" w:space="0"/>
              <w:right w:val="dotted" w:color="auto" w:sz="4" w:space="0"/>
            </w:tcBorders>
            <w:shd w:val="clear" w:color="auto" w:fill="FFFFFF"/>
            <w:vAlign w:val="center"/>
          </w:tcPr>
          <w:p w14:paraId="41B40668">
            <w:pPr>
              <w:pStyle w:val="59"/>
              <w:bidi w:val="0"/>
              <w:rPr>
                <w:rFonts w:hint="default"/>
                <w:lang w:val="en-US" w:eastAsia="zh-CN"/>
              </w:rPr>
            </w:pPr>
            <w:r>
              <w:rPr>
                <w:rFonts w:hint="eastAsia"/>
                <w:lang w:val="en-US" w:eastAsia="zh-CN"/>
              </w:rPr>
              <w:t xml:space="preserve">0.036 </w:t>
            </w:r>
          </w:p>
        </w:tc>
      </w:tr>
    </w:tbl>
    <w:p w14:paraId="5E499924">
      <w:pPr>
        <w:ind w:firstLine="482"/>
        <w:rPr>
          <w:b/>
          <w:bCs/>
          <w:color w:val="auto"/>
        </w:rPr>
      </w:pPr>
      <w:r>
        <w:rPr>
          <w:rFonts w:hint="eastAsia"/>
          <w:b/>
          <w:bCs/>
          <w:color w:val="auto"/>
        </w:rPr>
        <w:t>2、面源源强</w:t>
      </w:r>
    </w:p>
    <w:p w14:paraId="2B7CC671">
      <w:pPr>
        <w:ind w:firstLine="480"/>
        <w:rPr>
          <w:color w:val="auto"/>
        </w:rPr>
      </w:pPr>
      <w:r>
        <w:rPr>
          <w:rFonts w:hint="eastAsia"/>
          <w:color w:val="auto"/>
        </w:rPr>
        <w:t>面源污染源强及其排放参数如</w:t>
      </w:r>
      <w:r>
        <w:rPr>
          <w:rFonts w:hint="eastAsia"/>
          <w:color w:val="auto"/>
          <w:lang w:eastAsia="zh-CN"/>
        </w:rPr>
        <w:t>表</w:t>
      </w:r>
      <w:r>
        <w:rPr>
          <w:rFonts w:hint="eastAsia"/>
          <w:color w:val="auto"/>
          <w:lang w:val="en-US" w:eastAsia="zh-CN"/>
        </w:rPr>
        <w:t>4</w:t>
      </w:r>
      <w:r>
        <w:rPr>
          <w:rFonts w:hint="eastAsia"/>
          <w:color w:val="auto"/>
        </w:rPr>
        <w:t>.2-1</w:t>
      </w:r>
      <w:r>
        <w:rPr>
          <w:rFonts w:hint="eastAsia"/>
          <w:color w:val="auto"/>
          <w:lang w:val="en-US" w:eastAsia="zh-CN"/>
        </w:rPr>
        <w:t>2</w:t>
      </w:r>
      <w:r>
        <w:rPr>
          <w:rFonts w:hint="eastAsia"/>
          <w:color w:val="auto"/>
        </w:rPr>
        <w:t>。</w:t>
      </w:r>
    </w:p>
    <w:p w14:paraId="4C1ADD63">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项目无组织废气面源输入源强及参数</w:t>
      </w:r>
    </w:p>
    <w:tbl>
      <w:tblPr>
        <w:tblStyle w:val="38"/>
        <w:tblW w:w="9439" w:type="dxa"/>
        <w:tblInd w:w="-15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06"/>
        <w:gridCol w:w="707"/>
        <w:gridCol w:w="704"/>
        <w:gridCol w:w="706"/>
        <w:gridCol w:w="706"/>
        <w:gridCol w:w="707"/>
        <w:gridCol w:w="704"/>
        <w:gridCol w:w="707"/>
        <w:gridCol w:w="705"/>
        <w:gridCol w:w="707"/>
        <w:gridCol w:w="938"/>
        <w:gridCol w:w="942"/>
      </w:tblGrid>
      <w:tr w14:paraId="6B71A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06" w:type="dxa"/>
            <w:vMerge w:val="restart"/>
            <w:shd w:val="clear" w:color="auto" w:fill="FFFFFF"/>
            <w:vAlign w:val="center"/>
          </w:tcPr>
          <w:p w14:paraId="1954BA37">
            <w:pPr>
              <w:pStyle w:val="69"/>
              <w:rPr>
                <w:color w:val="auto"/>
                <w:szCs w:val="24"/>
              </w:rPr>
            </w:pPr>
            <w:r>
              <w:rPr>
                <w:color w:val="auto"/>
                <w:szCs w:val="24"/>
              </w:rPr>
              <w:t>污染源名称</w:t>
            </w:r>
          </w:p>
        </w:tc>
        <w:tc>
          <w:tcPr>
            <w:tcW w:w="1411" w:type="dxa"/>
            <w:gridSpan w:val="2"/>
            <w:shd w:val="clear" w:color="auto" w:fill="FFFFFF"/>
            <w:vAlign w:val="center"/>
          </w:tcPr>
          <w:p w14:paraId="10C04185">
            <w:pPr>
              <w:pStyle w:val="69"/>
              <w:rPr>
                <w:color w:val="auto"/>
                <w:szCs w:val="24"/>
              </w:rPr>
            </w:pPr>
            <w:r>
              <w:rPr>
                <w:rFonts w:hint="eastAsia"/>
                <w:color w:val="auto"/>
                <w:szCs w:val="24"/>
              </w:rPr>
              <w:t>面源各顶点坐标m</w:t>
            </w:r>
          </w:p>
        </w:tc>
        <w:tc>
          <w:tcPr>
            <w:tcW w:w="706" w:type="dxa"/>
            <w:vMerge w:val="restart"/>
            <w:shd w:val="clear" w:color="auto" w:fill="FFFFFF"/>
            <w:vAlign w:val="center"/>
          </w:tcPr>
          <w:p w14:paraId="5BC064C3">
            <w:pPr>
              <w:pStyle w:val="69"/>
              <w:rPr>
                <w:color w:val="auto"/>
                <w:szCs w:val="24"/>
              </w:rPr>
            </w:pPr>
            <w:r>
              <w:rPr>
                <w:rFonts w:hint="eastAsia"/>
                <w:color w:val="auto"/>
                <w:szCs w:val="24"/>
              </w:rPr>
              <w:t>面源海拔高度/m</w:t>
            </w:r>
          </w:p>
        </w:tc>
        <w:tc>
          <w:tcPr>
            <w:tcW w:w="706" w:type="dxa"/>
            <w:vMerge w:val="restart"/>
            <w:shd w:val="clear" w:color="auto" w:fill="FFFFFF"/>
            <w:vAlign w:val="center"/>
          </w:tcPr>
          <w:p w14:paraId="1D98B126">
            <w:pPr>
              <w:pStyle w:val="69"/>
              <w:rPr>
                <w:color w:val="auto"/>
                <w:szCs w:val="24"/>
              </w:rPr>
            </w:pPr>
            <w:r>
              <w:rPr>
                <w:rFonts w:hint="eastAsia"/>
                <w:color w:val="auto"/>
                <w:szCs w:val="24"/>
              </w:rPr>
              <w:t>面源长度/m</w:t>
            </w:r>
          </w:p>
        </w:tc>
        <w:tc>
          <w:tcPr>
            <w:tcW w:w="707" w:type="dxa"/>
            <w:vMerge w:val="restart"/>
            <w:shd w:val="clear" w:color="auto" w:fill="FFFFFF"/>
            <w:vAlign w:val="center"/>
          </w:tcPr>
          <w:p w14:paraId="569E6CB2">
            <w:pPr>
              <w:pStyle w:val="69"/>
              <w:rPr>
                <w:color w:val="auto"/>
                <w:szCs w:val="24"/>
              </w:rPr>
            </w:pPr>
            <w:r>
              <w:rPr>
                <w:rFonts w:hint="eastAsia"/>
                <w:color w:val="auto"/>
                <w:szCs w:val="24"/>
              </w:rPr>
              <w:t>面源宽度/m</w:t>
            </w:r>
          </w:p>
        </w:tc>
        <w:tc>
          <w:tcPr>
            <w:tcW w:w="704" w:type="dxa"/>
            <w:vMerge w:val="restart"/>
            <w:shd w:val="clear" w:color="auto" w:fill="FFFFFF"/>
            <w:vAlign w:val="center"/>
          </w:tcPr>
          <w:p w14:paraId="038D4D19">
            <w:pPr>
              <w:pStyle w:val="69"/>
              <w:rPr>
                <w:color w:val="auto"/>
                <w:szCs w:val="24"/>
              </w:rPr>
            </w:pPr>
            <w:r>
              <w:rPr>
                <w:rFonts w:hint="eastAsia"/>
                <w:color w:val="auto"/>
                <w:szCs w:val="24"/>
              </w:rPr>
              <w:t>与正北夹角/°</w:t>
            </w:r>
          </w:p>
        </w:tc>
        <w:tc>
          <w:tcPr>
            <w:tcW w:w="707" w:type="dxa"/>
            <w:vMerge w:val="restart"/>
            <w:shd w:val="clear" w:color="auto" w:fill="FFFFFF"/>
            <w:vAlign w:val="center"/>
          </w:tcPr>
          <w:p w14:paraId="3882F653">
            <w:pPr>
              <w:pStyle w:val="69"/>
              <w:rPr>
                <w:color w:val="auto"/>
                <w:szCs w:val="24"/>
              </w:rPr>
            </w:pPr>
            <w:r>
              <w:rPr>
                <w:rFonts w:hint="eastAsia"/>
                <w:color w:val="auto"/>
                <w:szCs w:val="24"/>
              </w:rPr>
              <w:t>面源有效排放高度/m</w:t>
            </w:r>
          </w:p>
        </w:tc>
        <w:tc>
          <w:tcPr>
            <w:tcW w:w="705" w:type="dxa"/>
            <w:vMerge w:val="restart"/>
            <w:shd w:val="clear" w:color="auto" w:fill="FFFFFF"/>
            <w:vAlign w:val="center"/>
          </w:tcPr>
          <w:p w14:paraId="01DCAD0C">
            <w:pPr>
              <w:pStyle w:val="69"/>
              <w:rPr>
                <w:color w:val="auto"/>
                <w:szCs w:val="24"/>
              </w:rPr>
            </w:pPr>
            <w:r>
              <w:rPr>
                <w:rFonts w:hint="eastAsia"/>
                <w:color w:val="auto"/>
                <w:szCs w:val="24"/>
              </w:rPr>
              <w:t>年排放小时数/h</w:t>
            </w:r>
          </w:p>
        </w:tc>
        <w:tc>
          <w:tcPr>
            <w:tcW w:w="707" w:type="dxa"/>
            <w:vMerge w:val="restart"/>
            <w:shd w:val="clear" w:color="auto" w:fill="FFFFFF"/>
            <w:vAlign w:val="center"/>
          </w:tcPr>
          <w:p w14:paraId="19EBEF02">
            <w:pPr>
              <w:pStyle w:val="69"/>
              <w:rPr>
                <w:color w:val="auto"/>
                <w:szCs w:val="24"/>
              </w:rPr>
            </w:pPr>
            <w:r>
              <w:rPr>
                <w:rFonts w:hint="eastAsia"/>
                <w:color w:val="auto"/>
                <w:szCs w:val="24"/>
              </w:rPr>
              <w:t>排放工况</w:t>
            </w:r>
          </w:p>
        </w:tc>
        <w:tc>
          <w:tcPr>
            <w:tcW w:w="938" w:type="dxa"/>
            <w:vMerge w:val="restart"/>
            <w:shd w:val="clear" w:color="auto" w:fill="FFFFFF"/>
            <w:vAlign w:val="center"/>
          </w:tcPr>
          <w:p w14:paraId="667B6C0E">
            <w:pPr>
              <w:pStyle w:val="69"/>
              <w:rPr>
                <w:color w:val="auto"/>
                <w:szCs w:val="24"/>
              </w:rPr>
            </w:pPr>
            <w:r>
              <w:rPr>
                <w:rFonts w:hint="eastAsia"/>
                <w:color w:val="auto"/>
                <w:szCs w:val="24"/>
              </w:rPr>
              <w:t>污染物</w:t>
            </w:r>
          </w:p>
        </w:tc>
        <w:tc>
          <w:tcPr>
            <w:tcW w:w="942" w:type="dxa"/>
            <w:vMerge w:val="restart"/>
            <w:shd w:val="clear" w:color="auto" w:fill="FFFFFF"/>
            <w:vAlign w:val="center"/>
          </w:tcPr>
          <w:p w14:paraId="43514EE9">
            <w:pPr>
              <w:pStyle w:val="69"/>
              <w:rPr>
                <w:color w:val="auto"/>
                <w:szCs w:val="24"/>
              </w:rPr>
            </w:pPr>
            <w:r>
              <w:rPr>
                <w:rFonts w:hint="eastAsia"/>
                <w:color w:val="auto"/>
                <w:szCs w:val="24"/>
              </w:rPr>
              <w:t>排放速率kg/h</w:t>
            </w:r>
          </w:p>
        </w:tc>
      </w:tr>
      <w:tr w14:paraId="33E972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06" w:type="dxa"/>
            <w:vMerge w:val="continue"/>
            <w:shd w:val="clear" w:color="auto" w:fill="FFFFFF"/>
            <w:vAlign w:val="center"/>
          </w:tcPr>
          <w:p w14:paraId="70935BDC">
            <w:pPr>
              <w:pStyle w:val="69"/>
              <w:rPr>
                <w:color w:val="auto"/>
                <w:szCs w:val="24"/>
              </w:rPr>
            </w:pPr>
          </w:p>
        </w:tc>
        <w:tc>
          <w:tcPr>
            <w:tcW w:w="707" w:type="dxa"/>
            <w:shd w:val="clear" w:color="auto" w:fill="FFFFFF"/>
            <w:vAlign w:val="center"/>
          </w:tcPr>
          <w:p w14:paraId="04EBADB4">
            <w:pPr>
              <w:pStyle w:val="69"/>
              <w:rPr>
                <w:color w:val="auto"/>
                <w:szCs w:val="24"/>
              </w:rPr>
            </w:pPr>
            <w:r>
              <w:rPr>
                <w:rFonts w:hint="eastAsia"/>
                <w:color w:val="auto"/>
                <w:szCs w:val="24"/>
              </w:rPr>
              <w:t>X</w:t>
            </w:r>
          </w:p>
        </w:tc>
        <w:tc>
          <w:tcPr>
            <w:tcW w:w="704" w:type="dxa"/>
            <w:shd w:val="clear" w:color="auto" w:fill="FFFFFF"/>
            <w:vAlign w:val="center"/>
          </w:tcPr>
          <w:p w14:paraId="2490DFFC">
            <w:pPr>
              <w:pStyle w:val="69"/>
              <w:rPr>
                <w:color w:val="auto"/>
                <w:szCs w:val="24"/>
              </w:rPr>
            </w:pPr>
            <w:r>
              <w:rPr>
                <w:rFonts w:hint="eastAsia"/>
                <w:color w:val="auto"/>
                <w:szCs w:val="24"/>
              </w:rPr>
              <w:t>Y</w:t>
            </w:r>
          </w:p>
        </w:tc>
        <w:tc>
          <w:tcPr>
            <w:tcW w:w="706" w:type="dxa"/>
            <w:vMerge w:val="continue"/>
            <w:shd w:val="clear" w:color="auto" w:fill="FFFFFF"/>
            <w:vAlign w:val="center"/>
          </w:tcPr>
          <w:p w14:paraId="2B23D389">
            <w:pPr>
              <w:pStyle w:val="69"/>
              <w:rPr>
                <w:color w:val="auto"/>
                <w:szCs w:val="24"/>
              </w:rPr>
            </w:pPr>
          </w:p>
        </w:tc>
        <w:tc>
          <w:tcPr>
            <w:tcW w:w="706" w:type="dxa"/>
            <w:vMerge w:val="continue"/>
            <w:shd w:val="clear" w:color="auto" w:fill="FFFFFF"/>
            <w:vAlign w:val="center"/>
          </w:tcPr>
          <w:p w14:paraId="4CE983B8">
            <w:pPr>
              <w:pStyle w:val="69"/>
              <w:rPr>
                <w:color w:val="auto"/>
                <w:szCs w:val="24"/>
              </w:rPr>
            </w:pPr>
          </w:p>
        </w:tc>
        <w:tc>
          <w:tcPr>
            <w:tcW w:w="707" w:type="dxa"/>
            <w:vMerge w:val="continue"/>
            <w:shd w:val="clear" w:color="auto" w:fill="FFFFFF"/>
            <w:vAlign w:val="center"/>
          </w:tcPr>
          <w:p w14:paraId="2335C4C2">
            <w:pPr>
              <w:pStyle w:val="69"/>
              <w:rPr>
                <w:color w:val="auto"/>
                <w:szCs w:val="24"/>
              </w:rPr>
            </w:pPr>
          </w:p>
        </w:tc>
        <w:tc>
          <w:tcPr>
            <w:tcW w:w="704" w:type="dxa"/>
            <w:vMerge w:val="continue"/>
            <w:shd w:val="clear" w:color="auto" w:fill="FFFFFF"/>
            <w:vAlign w:val="center"/>
          </w:tcPr>
          <w:p w14:paraId="09E4393C">
            <w:pPr>
              <w:pStyle w:val="69"/>
              <w:rPr>
                <w:color w:val="auto"/>
                <w:szCs w:val="24"/>
              </w:rPr>
            </w:pPr>
          </w:p>
        </w:tc>
        <w:tc>
          <w:tcPr>
            <w:tcW w:w="707" w:type="dxa"/>
            <w:vMerge w:val="continue"/>
            <w:shd w:val="clear" w:color="auto" w:fill="FFFFFF"/>
            <w:vAlign w:val="center"/>
          </w:tcPr>
          <w:p w14:paraId="00BD5F23">
            <w:pPr>
              <w:pStyle w:val="69"/>
              <w:rPr>
                <w:color w:val="auto"/>
                <w:szCs w:val="24"/>
              </w:rPr>
            </w:pPr>
          </w:p>
        </w:tc>
        <w:tc>
          <w:tcPr>
            <w:tcW w:w="705" w:type="dxa"/>
            <w:vMerge w:val="continue"/>
            <w:shd w:val="clear" w:color="auto" w:fill="FFFFFF"/>
            <w:vAlign w:val="center"/>
          </w:tcPr>
          <w:p w14:paraId="7BA9CC1B">
            <w:pPr>
              <w:pStyle w:val="69"/>
              <w:rPr>
                <w:color w:val="auto"/>
                <w:szCs w:val="24"/>
              </w:rPr>
            </w:pPr>
          </w:p>
        </w:tc>
        <w:tc>
          <w:tcPr>
            <w:tcW w:w="707" w:type="dxa"/>
            <w:vMerge w:val="continue"/>
            <w:shd w:val="clear" w:color="auto" w:fill="FFFFFF"/>
            <w:vAlign w:val="center"/>
          </w:tcPr>
          <w:p w14:paraId="1A0F7E66">
            <w:pPr>
              <w:pStyle w:val="69"/>
              <w:rPr>
                <w:color w:val="auto"/>
                <w:szCs w:val="24"/>
              </w:rPr>
            </w:pPr>
          </w:p>
        </w:tc>
        <w:tc>
          <w:tcPr>
            <w:tcW w:w="938" w:type="dxa"/>
            <w:vMerge w:val="continue"/>
            <w:shd w:val="clear" w:color="auto" w:fill="FFFFFF"/>
            <w:vAlign w:val="center"/>
          </w:tcPr>
          <w:p w14:paraId="4088474E">
            <w:pPr>
              <w:pStyle w:val="69"/>
              <w:rPr>
                <w:color w:val="auto"/>
                <w:szCs w:val="24"/>
              </w:rPr>
            </w:pPr>
          </w:p>
        </w:tc>
        <w:tc>
          <w:tcPr>
            <w:tcW w:w="942" w:type="dxa"/>
            <w:vMerge w:val="continue"/>
            <w:shd w:val="clear" w:color="auto" w:fill="FFFFFF"/>
            <w:vAlign w:val="center"/>
          </w:tcPr>
          <w:p w14:paraId="117DEBBD">
            <w:pPr>
              <w:pStyle w:val="69"/>
              <w:rPr>
                <w:color w:val="auto"/>
                <w:szCs w:val="24"/>
              </w:rPr>
            </w:pPr>
          </w:p>
        </w:tc>
      </w:tr>
      <w:tr w14:paraId="390488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6" w:type="dxa"/>
            <w:shd w:val="clear" w:color="auto" w:fill="FFFFFF"/>
            <w:vAlign w:val="center"/>
          </w:tcPr>
          <w:p w14:paraId="4DCE10BA">
            <w:pPr>
              <w:pStyle w:val="59"/>
              <w:bidi w:val="0"/>
              <w:rPr>
                <w:rFonts w:hint="default"/>
                <w:color w:val="auto"/>
                <w:lang w:val="en-US"/>
              </w:rPr>
            </w:pPr>
            <w:r>
              <w:rPr>
                <w:rFonts w:hint="eastAsia"/>
                <w:color w:val="auto"/>
                <w:lang w:val="en-US" w:eastAsia="zh-CN"/>
              </w:rPr>
              <w:t>印刷、合掌、定型废气</w:t>
            </w:r>
          </w:p>
        </w:tc>
        <w:tc>
          <w:tcPr>
            <w:tcW w:w="707" w:type="dxa"/>
            <w:shd w:val="clear" w:color="auto" w:fill="FFFFFF"/>
            <w:vAlign w:val="center"/>
          </w:tcPr>
          <w:p w14:paraId="7BB5228F">
            <w:pPr>
              <w:pStyle w:val="59"/>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kern w:val="2"/>
                <w:szCs w:val="24"/>
                <w:lang w:val="en-US" w:eastAsia="zh-CN"/>
              </w:rPr>
              <w:t>-1</w:t>
            </w:r>
          </w:p>
        </w:tc>
        <w:tc>
          <w:tcPr>
            <w:tcW w:w="704" w:type="dxa"/>
            <w:shd w:val="clear" w:color="auto" w:fill="FFFFFF"/>
            <w:vAlign w:val="center"/>
          </w:tcPr>
          <w:p w14:paraId="60C1B060">
            <w:pPr>
              <w:pStyle w:val="59"/>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kern w:val="2"/>
                <w:szCs w:val="24"/>
                <w:lang w:val="en-US" w:eastAsia="zh-CN"/>
              </w:rPr>
              <w:t>18</w:t>
            </w:r>
          </w:p>
        </w:tc>
        <w:tc>
          <w:tcPr>
            <w:tcW w:w="706" w:type="dxa"/>
            <w:shd w:val="clear" w:color="auto" w:fill="FFFFFF"/>
            <w:vAlign w:val="center"/>
          </w:tcPr>
          <w:p w14:paraId="7E75F3BF">
            <w:pPr>
              <w:pStyle w:val="59"/>
              <w:rPr>
                <w:rFonts w:hint="default" w:eastAsia="宋体"/>
                <w:color w:val="auto"/>
                <w:kern w:val="2"/>
                <w:szCs w:val="24"/>
                <w:lang w:val="en-US" w:eastAsia="zh-CN"/>
              </w:rPr>
            </w:pPr>
            <w:r>
              <w:rPr>
                <w:rFonts w:hint="eastAsia"/>
                <w:color w:val="auto"/>
                <w:kern w:val="2"/>
                <w:szCs w:val="24"/>
                <w:lang w:val="en-US" w:eastAsia="zh-CN"/>
              </w:rPr>
              <w:t>12</w:t>
            </w:r>
          </w:p>
        </w:tc>
        <w:tc>
          <w:tcPr>
            <w:tcW w:w="706" w:type="dxa"/>
            <w:shd w:val="clear" w:color="auto" w:fill="FFFFFF"/>
            <w:vAlign w:val="center"/>
          </w:tcPr>
          <w:p w14:paraId="20409B72">
            <w:pPr>
              <w:pStyle w:val="59"/>
              <w:rPr>
                <w:rFonts w:hint="default" w:eastAsia="宋体"/>
                <w:color w:val="auto"/>
                <w:lang w:val="en-US" w:eastAsia="zh-CN"/>
              </w:rPr>
            </w:pPr>
            <w:r>
              <w:rPr>
                <w:rFonts w:hint="eastAsia"/>
                <w:color w:val="auto"/>
                <w:lang w:val="en-US" w:eastAsia="zh-CN"/>
              </w:rPr>
              <w:t>32</w:t>
            </w:r>
          </w:p>
        </w:tc>
        <w:tc>
          <w:tcPr>
            <w:tcW w:w="707" w:type="dxa"/>
            <w:shd w:val="clear" w:color="auto" w:fill="FFFFFF"/>
            <w:vAlign w:val="center"/>
          </w:tcPr>
          <w:p w14:paraId="02D58596">
            <w:pPr>
              <w:pStyle w:val="59"/>
              <w:rPr>
                <w:rFonts w:hint="default" w:eastAsia="宋体"/>
                <w:color w:val="auto"/>
                <w:lang w:val="en-US" w:eastAsia="zh-CN"/>
              </w:rPr>
            </w:pPr>
            <w:r>
              <w:rPr>
                <w:rFonts w:hint="eastAsia"/>
                <w:color w:val="auto"/>
                <w:lang w:val="en-US" w:eastAsia="zh-CN"/>
              </w:rPr>
              <w:t>7</w:t>
            </w:r>
          </w:p>
        </w:tc>
        <w:tc>
          <w:tcPr>
            <w:tcW w:w="704" w:type="dxa"/>
            <w:shd w:val="clear" w:color="auto" w:fill="FFFFFF"/>
            <w:vAlign w:val="center"/>
          </w:tcPr>
          <w:p w14:paraId="78CED4AD">
            <w:pPr>
              <w:pStyle w:val="59"/>
              <w:rPr>
                <w:rFonts w:hint="default" w:eastAsia="宋体"/>
                <w:color w:val="auto"/>
                <w:lang w:val="en-US" w:eastAsia="zh-CN"/>
              </w:rPr>
            </w:pPr>
            <w:r>
              <w:rPr>
                <w:rFonts w:hint="eastAsia"/>
                <w:color w:val="auto"/>
                <w:lang w:val="en-US" w:eastAsia="zh-CN"/>
              </w:rPr>
              <w:t>90</w:t>
            </w:r>
          </w:p>
        </w:tc>
        <w:tc>
          <w:tcPr>
            <w:tcW w:w="707" w:type="dxa"/>
            <w:shd w:val="clear" w:color="auto" w:fill="FFFFFF"/>
            <w:vAlign w:val="center"/>
          </w:tcPr>
          <w:p w14:paraId="0BD15AF7">
            <w:pPr>
              <w:pStyle w:val="69"/>
              <w:bidi w:val="0"/>
              <w:rPr>
                <w:rFonts w:hint="default"/>
                <w:color w:val="auto"/>
                <w:lang w:val="en-US"/>
              </w:rPr>
            </w:pPr>
            <w:r>
              <w:rPr>
                <w:rFonts w:hint="eastAsia"/>
                <w:color w:val="auto"/>
                <w:lang w:val="en-US" w:eastAsia="zh-CN"/>
              </w:rPr>
              <w:t>8</w:t>
            </w:r>
          </w:p>
        </w:tc>
        <w:tc>
          <w:tcPr>
            <w:tcW w:w="705" w:type="dxa"/>
            <w:shd w:val="clear" w:color="auto" w:fill="FFFFFF"/>
            <w:vAlign w:val="center"/>
          </w:tcPr>
          <w:p w14:paraId="512D8498">
            <w:pPr>
              <w:pStyle w:val="59"/>
              <w:bidi w:val="0"/>
              <w:rPr>
                <w:rFonts w:hint="default"/>
                <w:color w:val="auto"/>
                <w:lang w:val="en-US"/>
              </w:rPr>
            </w:pPr>
            <w:r>
              <w:rPr>
                <w:rFonts w:hint="eastAsia"/>
                <w:color w:val="auto"/>
                <w:lang w:val="en-US" w:eastAsia="zh-CN"/>
              </w:rPr>
              <w:t>1896</w:t>
            </w:r>
          </w:p>
        </w:tc>
        <w:tc>
          <w:tcPr>
            <w:tcW w:w="707" w:type="dxa"/>
            <w:shd w:val="clear" w:color="auto" w:fill="FFFFFF"/>
            <w:vAlign w:val="center"/>
          </w:tcPr>
          <w:p w14:paraId="7399E2D0">
            <w:pPr>
              <w:pStyle w:val="59"/>
              <w:bidi w:val="0"/>
              <w:rPr>
                <w:color w:val="auto"/>
              </w:rPr>
            </w:pPr>
            <w:r>
              <w:rPr>
                <w:rFonts w:hint="eastAsia"/>
                <w:color w:val="auto"/>
                <w:lang w:val="en-US" w:eastAsia="zh-CN"/>
              </w:rPr>
              <w:t>正常</w:t>
            </w:r>
          </w:p>
        </w:tc>
        <w:tc>
          <w:tcPr>
            <w:tcW w:w="938" w:type="dxa"/>
            <w:shd w:val="clear" w:color="auto" w:fill="FFFFFF"/>
            <w:vAlign w:val="center"/>
          </w:tcPr>
          <w:p w14:paraId="1D43EF1B">
            <w:pPr>
              <w:pStyle w:val="59"/>
              <w:bidi w:val="0"/>
              <w:rPr>
                <w:color w:val="auto"/>
              </w:rPr>
            </w:pPr>
            <w:r>
              <w:rPr>
                <w:rFonts w:hint="default"/>
                <w:color w:val="auto"/>
                <w:lang w:val="en-US" w:eastAsia="zh-CN"/>
              </w:rPr>
              <w:t>VOCs</w:t>
            </w:r>
          </w:p>
        </w:tc>
        <w:tc>
          <w:tcPr>
            <w:tcW w:w="942" w:type="dxa"/>
            <w:shd w:val="clear" w:color="auto" w:fill="FFFFFF"/>
            <w:vAlign w:val="center"/>
          </w:tcPr>
          <w:p w14:paraId="16F86FC1">
            <w:pPr>
              <w:pStyle w:val="59"/>
              <w:bidi w:val="0"/>
              <w:rPr>
                <w:rFonts w:hint="default"/>
                <w:lang w:val="en-US"/>
              </w:rPr>
            </w:pPr>
            <w:r>
              <w:rPr>
                <w:rFonts w:hint="eastAsia"/>
                <w:lang w:val="en-US" w:eastAsia="zh-CN"/>
              </w:rPr>
              <w:t xml:space="preserve">2.485 </w:t>
            </w:r>
          </w:p>
        </w:tc>
      </w:tr>
      <w:tr w14:paraId="2C529E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6" w:type="dxa"/>
            <w:vMerge w:val="restart"/>
            <w:shd w:val="clear" w:color="auto" w:fill="FFFFFF"/>
            <w:vAlign w:val="center"/>
          </w:tcPr>
          <w:p w14:paraId="1C034713">
            <w:pPr>
              <w:pStyle w:val="59"/>
              <w:bidi w:val="0"/>
              <w:rPr>
                <w:rFonts w:hint="default"/>
                <w:color w:val="auto"/>
                <w:lang w:val="en-US"/>
              </w:rPr>
            </w:pPr>
            <w:r>
              <w:rPr>
                <w:rFonts w:hint="eastAsia"/>
                <w:color w:val="auto"/>
                <w:lang w:val="en-US" w:eastAsia="zh-CN"/>
              </w:rPr>
              <w:t>定型废气</w:t>
            </w:r>
          </w:p>
        </w:tc>
        <w:tc>
          <w:tcPr>
            <w:tcW w:w="707" w:type="dxa"/>
            <w:vMerge w:val="restart"/>
            <w:shd w:val="clear" w:color="auto" w:fill="FFFFFF"/>
            <w:vAlign w:val="center"/>
          </w:tcPr>
          <w:p w14:paraId="1BFB4E60">
            <w:pPr>
              <w:pStyle w:val="59"/>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kern w:val="2"/>
                <w:szCs w:val="24"/>
                <w:lang w:val="en-US" w:eastAsia="zh-CN"/>
              </w:rPr>
              <w:t>-1</w:t>
            </w:r>
          </w:p>
        </w:tc>
        <w:tc>
          <w:tcPr>
            <w:tcW w:w="704" w:type="dxa"/>
            <w:vMerge w:val="restart"/>
            <w:shd w:val="clear" w:color="auto" w:fill="FFFFFF"/>
            <w:vAlign w:val="center"/>
          </w:tcPr>
          <w:p w14:paraId="269192C5">
            <w:pPr>
              <w:pStyle w:val="59"/>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kern w:val="2"/>
                <w:szCs w:val="24"/>
                <w:lang w:val="en-US" w:eastAsia="zh-CN"/>
              </w:rPr>
              <w:t>18</w:t>
            </w:r>
          </w:p>
        </w:tc>
        <w:tc>
          <w:tcPr>
            <w:tcW w:w="706" w:type="dxa"/>
            <w:vMerge w:val="restart"/>
            <w:shd w:val="clear" w:color="auto" w:fill="FFFFFF"/>
            <w:vAlign w:val="center"/>
          </w:tcPr>
          <w:p w14:paraId="64D82CDA">
            <w:pPr>
              <w:pStyle w:val="59"/>
              <w:ind w:firstLine="0" w:firstLineChars="0"/>
              <w:rPr>
                <w:rFonts w:hint="default" w:eastAsia="宋体"/>
                <w:color w:val="auto"/>
                <w:kern w:val="2"/>
                <w:szCs w:val="24"/>
                <w:lang w:val="en-US" w:eastAsia="zh-CN"/>
              </w:rPr>
            </w:pPr>
            <w:r>
              <w:rPr>
                <w:rFonts w:hint="eastAsia"/>
                <w:color w:val="auto"/>
                <w:kern w:val="2"/>
                <w:szCs w:val="24"/>
                <w:lang w:val="en-US" w:eastAsia="zh-CN"/>
              </w:rPr>
              <w:t>12</w:t>
            </w:r>
          </w:p>
        </w:tc>
        <w:tc>
          <w:tcPr>
            <w:tcW w:w="706" w:type="dxa"/>
            <w:vMerge w:val="restart"/>
            <w:shd w:val="clear" w:color="auto" w:fill="FFFFFF"/>
            <w:vAlign w:val="center"/>
          </w:tcPr>
          <w:p w14:paraId="5BA156BD">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20</w:t>
            </w:r>
          </w:p>
        </w:tc>
        <w:tc>
          <w:tcPr>
            <w:tcW w:w="707" w:type="dxa"/>
            <w:vMerge w:val="restart"/>
            <w:shd w:val="clear" w:color="auto" w:fill="FFFFFF"/>
            <w:vAlign w:val="center"/>
          </w:tcPr>
          <w:p w14:paraId="4923A2B2">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10</w:t>
            </w:r>
          </w:p>
        </w:tc>
        <w:tc>
          <w:tcPr>
            <w:tcW w:w="704" w:type="dxa"/>
            <w:vMerge w:val="restart"/>
            <w:shd w:val="clear" w:color="auto" w:fill="FFFFFF"/>
            <w:vAlign w:val="center"/>
          </w:tcPr>
          <w:p w14:paraId="3569585D">
            <w:pPr>
              <w:pStyle w:val="59"/>
              <w:ind w:firstLine="0" w:firstLineChars="0"/>
              <w:rPr>
                <w:color w:val="auto"/>
              </w:rPr>
            </w:pPr>
            <w:r>
              <w:rPr>
                <w:rFonts w:hint="eastAsia"/>
                <w:color w:val="auto"/>
                <w:lang w:val="en-US" w:eastAsia="zh-CN"/>
              </w:rPr>
              <w:t>90</w:t>
            </w:r>
          </w:p>
        </w:tc>
        <w:tc>
          <w:tcPr>
            <w:tcW w:w="707" w:type="dxa"/>
            <w:vMerge w:val="restart"/>
            <w:shd w:val="clear" w:color="auto" w:fill="FFFFFF"/>
            <w:vAlign w:val="center"/>
          </w:tcPr>
          <w:p w14:paraId="4EA4E174">
            <w:pPr>
              <w:pStyle w:val="69"/>
              <w:bidi w:val="0"/>
              <w:rPr>
                <w:rFonts w:hint="eastAsia"/>
                <w:color w:val="auto"/>
                <w:lang w:val="en-US" w:eastAsia="zh-CN"/>
              </w:rPr>
            </w:pPr>
            <w:r>
              <w:rPr>
                <w:rFonts w:hint="eastAsia"/>
                <w:color w:val="auto"/>
                <w:lang w:val="en-US" w:eastAsia="zh-CN"/>
              </w:rPr>
              <w:t>8</w:t>
            </w:r>
          </w:p>
        </w:tc>
        <w:tc>
          <w:tcPr>
            <w:tcW w:w="705" w:type="dxa"/>
            <w:vMerge w:val="restart"/>
            <w:shd w:val="clear" w:color="auto" w:fill="FFFFFF"/>
            <w:vAlign w:val="center"/>
          </w:tcPr>
          <w:p w14:paraId="5F59CCF3">
            <w:pPr>
              <w:pStyle w:val="59"/>
              <w:bidi w:val="0"/>
              <w:rPr>
                <w:rFonts w:hint="eastAsia"/>
                <w:lang w:val="en-US" w:eastAsia="zh-CN"/>
              </w:rPr>
            </w:pPr>
            <w:r>
              <w:rPr>
                <w:rFonts w:hint="default"/>
                <w:lang w:val="en-US" w:eastAsia="zh-CN"/>
              </w:rPr>
              <w:t xml:space="preserve">1934 </w:t>
            </w:r>
          </w:p>
        </w:tc>
        <w:tc>
          <w:tcPr>
            <w:tcW w:w="707" w:type="dxa"/>
            <w:vMerge w:val="restart"/>
            <w:shd w:val="clear" w:color="auto" w:fill="FFFFFF"/>
            <w:vAlign w:val="center"/>
          </w:tcPr>
          <w:p w14:paraId="76CCF757">
            <w:pPr>
              <w:pStyle w:val="59"/>
              <w:bidi w:val="0"/>
              <w:rPr>
                <w:rFonts w:hint="eastAsia"/>
                <w:color w:val="auto"/>
                <w:lang w:val="en-US" w:eastAsia="zh-CN"/>
              </w:rPr>
            </w:pPr>
            <w:r>
              <w:rPr>
                <w:rFonts w:hint="eastAsia"/>
                <w:color w:val="auto"/>
                <w:lang w:val="en-US" w:eastAsia="zh-CN"/>
              </w:rPr>
              <w:t>正常</w:t>
            </w:r>
          </w:p>
        </w:tc>
        <w:tc>
          <w:tcPr>
            <w:tcW w:w="938" w:type="dxa"/>
            <w:shd w:val="clear" w:color="auto" w:fill="FFFFFF"/>
            <w:vAlign w:val="center"/>
          </w:tcPr>
          <w:p w14:paraId="77BCCD84">
            <w:pPr>
              <w:pStyle w:val="59"/>
              <w:bidi w:val="0"/>
              <w:rPr>
                <w:rFonts w:hint="eastAsia"/>
                <w:lang w:val="en-US" w:eastAsia="zh-CN"/>
              </w:rPr>
            </w:pPr>
            <w:r>
              <w:rPr>
                <w:rFonts w:hint="eastAsia"/>
                <w:lang w:val="en-US" w:eastAsia="zh-CN"/>
              </w:rPr>
              <w:t>NMHC</w:t>
            </w:r>
          </w:p>
        </w:tc>
        <w:tc>
          <w:tcPr>
            <w:tcW w:w="942" w:type="dxa"/>
            <w:shd w:val="clear" w:color="auto" w:fill="FFFFFF"/>
            <w:vAlign w:val="center"/>
          </w:tcPr>
          <w:p w14:paraId="05D05CF6">
            <w:pPr>
              <w:pStyle w:val="59"/>
              <w:bidi w:val="0"/>
              <w:rPr>
                <w:rFonts w:hint="eastAsia"/>
                <w:lang w:val="en-US" w:eastAsia="zh-CN"/>
              </w:rPr>
            </w:pPr>
            <w:r>
              <w:rPr>
                <w:rFonts w:hint="eastAsia"/>
                <w:lang w:val="en-US" w:eastAsia="zh-CN"/>
              </w:rPr>
              <w:t xml:space="preserve">0.115 </w:t>
            </w:r>
          </w:p>
        </w:tc>
      </w:tr>
      <w:tr w14:paraId="2D882F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6" w:type="dxa"/>
            <w:vMerge w:val="continue"/>
            <w:shd w:val="clear" w:color="auto" w:fill="FFFFFF"/>
            <w:vAlign w:val="center"/>
          </w:tcPr>
          <w:p w14:paraId="3288BC18">
            <w:pPr>
              <w:pStyle w:val="59"/>
              <w:bidi w:val="0"/>
              <w:rPr>
                <w:color w:val="auto"/>
              </w:rPr>
            </w:pPr>
          </w:p>
        </w:tc>
        <w:tc>
          <w:tcPr>
            <w:tcW w:w="707" w:type="dxa"/>
            <w:vMerge w:val="continue"/>
            <w:shd w:val="clear" w:color="auto" w:fill="FFFFFF"/>
            <w:vAlign w:val="center"/>
          </w:tcPr>
          <w:p w14:paraId="73F85451">
            <w:pPr>
              <w:pStyle w:val="59"/>
              <w:ind w:firstLine="0" w:firstLineChars="0"/>
              <w:rPr>
                <w:color w:val="auto"/>
                <w:kern w:val="2"/>
                <w:szCs w:val="24"/>
              </w:rPr>
            </w:pPr>
          </w:p>
        </w:tc>
        <w:tc>
          <w:tcPr>
            <w:tcW w:w="704" w:type="dxa"/>
            <w:vMerge w:val="continue"/>
            <w:shd w:val="clear" w:color="auto" w:fill="FFFFFF"/>
            <w:vAlign w:val="center"/>
          </w:tcPr>
          <w:p w14:paraId="67517C3D">
            <w:pPr>
              <w:pStyle w:val="59"/>
              <w:ind w:firstLine="0" w:firstLineChars="0"/>
              <w:rPr>
                <w:color w:val="auto"/>
                <w:kern w:val="2"/>
                <w:szCs w:val="24"/>
              </w:rPr>
            </w:pPr>
          </w:p>
        </w:tc>
        <w:tc>
          <w:tcPr>
            <w:tcW w:w="706" w:type="dxa"/>
            <w:vMerge w:val="continue"/>
            <w:shd w:val="clear" w:color="auto" w:fill="FFFFFF"/>
            <w:vAlign w:val="center"/>
          </w:tcPr>
          <w:p w14:paraId="06F7A62D">
            <w:pPr>
              <w:pStyle w:val="59"/>
              <w:ind w:firstLine="0" w:firstLineChars="0"/>
              <w:rPr>
                <w:color w:val="auto"/>
                <w:kern w:val="2"/>
                <w:szCs w:val="24"/>
              </w:rPr>
            </w:pPr>
          </w:p>
        </w:tc>
        <w:tc>
          <w:tcPr>
            <w:tcW w:w="706" w:type="dxa"/>
            <w:vMerge w:val="continue"/>
            <w:shd w:val="clear" w:color="auto" w:fill="FFFFFF"/>
            <w:vAlign w:val="center"/>
          </w:tcPr>
          <w:p w14:paraId="18218426">
            <w:pPr>
              <w:pStyle w:val="59"/>
              <w:ind w:firstLine="0" w:firstLineChars="0"/>
              <w:rPr>
                <w:color w:val="auto"/>
              </w:rPr>
            </w:pPr>
          </w:p>
        </w:tc>
        <w:tc>
          <w:tcPr>
            <w:tcW w:w="707" w:type="dxa"/>
            <w:vMerge w:val="continue"/>
            <w:shd w:val="clear" w:color="auto" w:fill="FFFFFF"/>
            <w:vAlign w:val="center"/>
          </w:tcPr>
          <w:p w14:paraId="77DCF735">
            <w:pPr>
              <w:pStyle w:val="59"/>
              <w:ind w:firstLine="0" w:firstLineChars="0"/>
              <w:rPr>
                <w:color w:val="auto"/>
              </w:rPr>
            </w:pPr>
          </w:p>
        </w:tc>
        <w:tc>
          <w:tcPr>
            <w:tcW w:w="704" w:type="dxa"/>
            <w:vMerge w:val="continue"/>
            <w:shd w:val="clear" w:color="auto" w:fill="FFFFFF"/>
            <w:vAlign w:val="center"/>
          </w:tcPr>
          <w:p w14:paraId="6F19A4F6">
            <w:pPr>
              <w:pStyle w:val="59"/>
              <w:ind w:firstLine="0" w:firstLineChars="0"/>
              <w:rPr>
                <w:color w:val="auto"/>
              </w:rPr>
            </w:pPr>
          </w:p>
        </w:tc>
        <w:tc>
          <w:tcPr>
            <w:tcW w:w="707" w:type="dxa"/>
            <w:vMerge w:val="continue"/>
            <w:shd w:val="clear" w:color="auto" w:fill="FFFFFF"/>
            <w:vAlign w:val="center"/>
          </w:tcPr>
          <w:p w14:paraId="1E97DF97">
            <w:pPr>
              <w:pStyle w:val="69"/>
              <w:bidi w:val="0"/>
              <w:rPr>
                <w:color w:val="auto"/>
              </w:rPr>
            </w:pPr>
          </w:p>
        </w:tc>
        <w:tc>
          <w:tcPr>
            <w:tcW w:w="705" w:type="dxa"/>
            <w:vMerge w:val="continue"/>
            <w:shd w:val="clear" w:color="auto" w:fill="FFFFFF"/>
            <w:vAlign w:val="center"/>
          </w:tcPr>
          <w:p w14:paraId="001F828A">
            <w:pPr>
              <w:pStyle w:val="59"/>
              <w:bidi w:val="0"/>
            </w:pPr>
          </w:p>
        </w:tc>
        <w:tc>
          <w:tcPr>
            <w:tcW w:w="707" w:type="dxa"/>
            <w:vMerge w:val="continue"/>
            <w:shd w:val="clear" w:color="auto" w:fill="FFFFFF"/>
            <w:vAlign w:val="center"/>
          </w:tcPr>
          <w:p w14:paraId="7EF45409">
            <w:pPr>
              <w:pStyle w:val="59"/>
              <w:bidi w:val="0"/>
              <w:rPr>
                <w:color w:val="auto"/>
              </w:rPr>
            </w:pPr>
          </w:p>
        </w:tc>
        <w:tc>
          <w:tcPr>
            <w:tcW w:w="938" w:type="dxa"/>
            <w:shd w:val="clear" w:color="auto" w:fill="FFFFFF"/>
            <w:vAlign w:val="center"/>
          </w:tcPr>
          <w:p w14:paraId="7582BFD6">
            <w:pPr>
              <w:pStyle w:val="59"/>
              <w:bidi w:val="0"/>
            </w:pPr>
            <w:r>
              <w:rPr>
                <w:rFonts w:hint="eastAsia"/>
                <w:lang w:val="en-US" w:eastAsia="zh-CN"/>
              </w:rPr>
              <w:t>氯化氢</w:t>
            </w:r>
          </w:p>
        </w:tc>
        <w:tc>
          <w:tcPr>
            <w:tcW w:w="942" w:type="dxa"/>
            <w:shd w:val="clear" w:color="auto" w:fill="FFFFFF"/>
            <w:vAlign w:val="center"/>
          </w:tcPr>
          <w:p w14:paraId="78EAB50B">
            <w:pPr>
              <w:pStyle w:val="59"/>
              <w:bidi w:val="0"/>
              <w:rPr>
                <w:rFonts w:hint="default"/>
                <w:lang w:val="en-US" w:eastAsia="zh-CN"/>
              </w:rPr>
            </w:pPr>
            <w:r>
              <w:rPr>
                <w:rFonts w:hint="eastAsia"/>
                <w:lang w:val="en-US" w:eastAsia="zh-CN"/>
              </w:rPr>
              <w:t xml:space="preserve">0.000008 </w:t>
            </w:r>
          </w:p>
        </w:tc>
      </w:tr>
      <w:tr w14:paraId="54A1CF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6" w:type="dxa"/>
            <w:vMerge w:val="continue"/>
            <w:shd w:val="clear" w:color="auto" w:fill="FFFFFF"/>
            <w:vAlign w:val="center"/>
          </w:tcPr>
          <w:p w14:paraId="3B229CAD">
            <w:pPr>
              <w:pStyle w:val="59"/>
              <w:bidi w:val="0"/>
              <w:rPr>
                <w:color w:val="auto"/>
              </w:rPr>
            </w:pPr>
          </w:p>
        </w:tc>
        <w:tc>
          <w:tcPr>
            <w:tcW w:w="707" w:type="dxa"/>
            <w:vMerge w:val="continue"/>
            <w:shd w:val="clear" w:color="auto" w:fill="FFFFFF"/>
            <w:vAlign w:val="center"/>
          </w:tcPr>
          <w:p w14:paraId="6F5F0335">
            <w:pPr>
              <w:pStyle w:val="59"/>
              <w:ind w:firstLine="0" w:firstLineChars="0"/>
              <w:rPr>
                <w:rFonts w:hint="eastAsia"/>
                <w:color w:val="auto"/>
                <w:kern w:val="2"/>
                <w:szCs w:val="24"/>
                <w:lang w:val="en-US" w:eastAsia="zh-CN"/>
              </w:rPr>
            </w:pPr>
          </w:p>
        </w:tc>
        <w:tc>
          <w:tcPr>
            <w:tcW w:w="704" w:type="dxa"/>
            <w:vMerge w:val="continue"/>
            <w:shd w:val="clear" w:color="auto" w:fill="FFFFFF"/>
            <w:vAlign w:val="center"/>
          </w:tcPr>
          <w:p w14:paraId="3F50E9BA">
            <w:pPr>
              <w:pStyle w:val="59"/>
              <w:ind w:firstLine="0" w:firstLineChars="0"/>
              <w:rPr>
                <w:rFonts w:hint="eastAsia"/>
                <w:color w:val="auto"/>
                <w:kern w:val="2"/>
                <w:szCs w:val="24"/>
                <w:lang w:val="en-US" w:eastAsia="zh-CN"/>
              </w:rPr>
            </w:pPr>
          </w:p>
        </w:tc>
        <w:tc>
          <w:tcPr>
            <w:tcW w:w="706" w:type="dxa"/>
            <w:vMerge w:val="continue"/>
            <w:shd w:val="clear" w:color="auto" w:fill="FFFFFF"/>
            <w:vAlign w:val="center"/>
          </w:tcPr>
          <w:p w14:paraId="7DC45F43">
            <w:pPr>
              <w:pStyle w:val="59"/>
              <w:ind w:firstLine="0" w:firstLineChars="0"/>
              <w:rPr>
                <w:rFonts w:hint="eastAsia"/>
                <w:color w:val="auto"/>
                <w:kern w:val="2"/>
                <w:szCs w:val="24"/>
                <w:lang w:val="en-US" w:eastAsia="zh-CN"/>
              </w:rPr>
            </w:pPr>
          </w:p>
        </w:tc>
        <w:tc>
          <w:tcPr>
            <w:tcW w:w="706" w:type="dxa"/>
            <w:vMerge w:val="continue"/>
            <w:shd w:val="clear" w:color="auto" w:fill="FFFFFF"/>
            <w:vAlign w:val="center"/>
          </w:tcPr>
          <w:p w14:paraId="3CF6FB25">
            <w:pPr>
              <w:pStyle w:val="59"/>
              <w:ind w:firstLine="0" w:firstLineChars="0"/>
              <w:rPr>
                <w:rFonts w:hint="eastAsia"/>
                <w:color w:val="auto"/>
                <w:lang w:val="en-US" w:eastAsia="zh-CN"/>
              </w:rPr>
            </w:pPr>
          </w:p>
        </w:tc>
        <w:tc>
          <w:tcPr>
            <w:tcW w:w="707" w:type="dxa"/>
            <w:vMerge w:val="continue"/>
            <w:shd w:val="clear" w:color="auto" w:fill="FFFFFF"/>
            <w:vAlign w:val="center"/>
          </w:tcPr>
          <w:p w14:paraId="41691AC0">
            <w:pPr>
              <w:pStyle w:val="59"/>
              <w:ind w:firstLine="0" w:firstLineChars="0"/>
              <w:rPr>
                <w:rFonts w:hint="eastAsia"/>
                <w:color w:val="auto"/>
                <w:lang w:val="en-US" w:eastAsia="zh-CN"/>
              </w:rPr>
            </w:pPr>
          </w:p>
        </w:tc>
        <w:tc>
          <w:tcPr>
            <w:tcW w:w="704" w:type="dxa"/>
            <w:vMerge w:val="continue"/>
            <w:shd w:val="clear" w:color="auto" w:fill="FFFFFF"/>
            <w:vAlign w:val="center"/>
          </w:tcPr>
          <w:p w14:paraId="75EE05BE">
            <w:pPr>
              <w:pStyle w:val="59"/>
              <w:ind w:firstLine="0" w:firstLineChars="0"/>
              <w:rPr>
                <w:rFonts w:hint="eastAsia"/>
                <w:color w:val="auto"/>
                <w:lang w:val="en-US" w:eastAsia="zh-CN"/>
              </w:rPr>
            </w:pPr>
          </w:p>
        </w:tc>
        <w:tc>
          <w:tcPr>
            <w:tcW w:w="707" w:type="dxa"/>
            <w:vMerge w:val="continue"/>
            <w:shd w:val="clear" w:color="auto" w:fill="FFFFFF"/>
            <w:vAlign w:val="center"/>
          </w:tcPr>
          <w:p w14:paraId="75A7ED76">
            <w:pPr>
              <w:pStyle w:val="69"/>
              <w:bidi w:val="0"/>
              <w:rPr>
                <w:rFonts w:hint="default"/>
                <w:color w:val="auto"/>
                <w:lang w:val="en-US" w:eastAsia="zh-CN"/>
              </w:rPr>
            </w:pPr>
          </w:p>
        </w:tc>
        <w:tc>
          <w:tcPr>
            <w:tcW w:w="705" w:type="dxa"/>
            <w:vMerge w:val="continue"/>
            <w:shd w:val="clear" w:color="auto" w:fill="FFFFFF"/>
            <w:vAlign w:val="center"/>
          </w:tcPr>
          <w:p w14:paraId="019EA110">
            <w:pPr>
              <w:pStyle w:val="59"/>
              <w:bidi w:val="0"/>
              <w:rPr>
                <w:rFonts w:hint="eastAsia"/>
                <w:lang w:val="en-US" w:eastAsia="zh-CN"/>
              </w:rPr>
            </w:pPr>
          </w:p>
        </w:tc>
        <w:tc>
          <w:tcPr>
            <w:tcW w:w="707" w:type="dxa"/>
            <w:vMerge w:val="continue"/>
            <w:shd w:val="clear" w:color="auto" w:fill="FFFFFF"/>
            <w:vAlign w:val="center"/>
          </w:tcPr>
          <w:p w14:paraId="4A487DD4">
            <w:pPr>
              <w:pStyle w:val="59"/>
              <w:bidi w:val="0"/>
              <w:rPr>
                <w:rFonts w:hint="eastAsia"/>
                <w:lang w:val="en-US" w:eastAsia="zh-CN"/>
              </w:rPr>
            </w:pPr>
          </w:p>
        </w:tc>
        <w:tc>
          <w:tcPr>
            <w:tcW w:w="938" w:type="dxa"/>
            <w:shd w:val="clear" w:color="auto" w:fill="FFFFFF"/>
            <w:vAlign w:val="center"/>
          </w:tcPr>
          <w:p w14:paraId="7E3DA22A">
            <w:pPr>
              <w:pStyle w:val="59"/>
              <w:bidi w:val="0"/>
              <w:rPr>
                <w:rFonts w:hint="eastAsia"/>
                <w:lang w:val="en-US" w:eastAsia="zh-CN"/>
              </w:rPr>
            </w:pPr>
            <w:r>
              <w:rPr>
                <w:rFonts w:hint="eastAsia"/>
                <w:lang w:val="en-US" w:eastAsia="zh-CN"/>
              </w:rPr>
              <w:t>氯乙烯</w:t>
            </w:r>
          </w:p>
        </w:tc>
        <w:tc>
          <w:tcPr>
            <w:tcW w:w="942" w:type="dxa"/>
            <w:shd w:val="clear" w:color="auto" w:fill="FFFFFF"/>
            <w:vAlign w:val="center"/>
          </w:tcPr>
          <w:p w14:paraId="5F22A002">
            <w:pPr>
              <w:pStyle w:val="59"/>
              <w:bidi w:val="0"/>
              <w:rPr>
                <w:rFonts w:hint="eastAsia"/>
                <w:lang w:val="en-US" w:eastAsia="zh-CN"/>
              </w:rPr>
            </w:pPr>
            <w:r>
              <w:rPr>
                <w:rFonts w:hint="eastAsia"/>
                <w:lang w:val="en-US" w:eastAsia="zh-CN"/>
              </w:rPr>
              <w:t xml:space="preserve">0.000009 </w:t>
            </w:r>
          </w:p>
        </w:tc>
      </w:tr>
      <w:tr w14:paraId="7442DB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6" w:type="dxa"/>
            <w:vMerge w:val="continue"/>
            <w:shd w:val="clear" w:color="auto" w:fill="FFFFFF"/>
            <w:vAlign w:val="center"/>
          </w:tcPr>
          <w:p w14:paraId="348A073D">
            <w:pPr>
              <w:pStyle w:val="59"/>
              <w:bidi w:val="0"/>
              <w:rPr>
                <w:color w:val="auto"/>
              </w:rPr>
            </w:pPr>
          </w:p>
        </w:tc>
        <w:tc>
          <w:tcPr>
            <w:tcW w:w="707" w:type="dxa"/>
            <w:vMerge w:val="continue"/>
            <w:shd w:val="clear" w:color="auto" w:fill="FFFFFF"/>
            <w:vAlign w:val="center"/>
          </w:tcPr>
          <w:p w14:paraId="7872167F">
            <w:pPr>
              <w:pStyle w:val="59"/>
              <w:ind w:firstLine="0" w:firstLineChars="0"/>
              <w:rPr>
                <w:rFonts w:hint="eastAsia"/>
                <w:color w:val="auto"/>
                <w:kern w:val="2"/>
                <w:szCs w:val="24"/>
                <w:lang w:val="en-US" w:eastAsia="zh-CN"/>
              </w:rPr>
            </w:pPr>
          </w:p>
        </w:tc>
        <w:tc>
          <w:tcPr>
            <w:tcW w:w="704" w:type="dxa"/>
            <w:vMerge w:val="continue"/>
            <w:shd w:val="clear" w:color="auto" w:fill="FFFFFF"/>
            <w:vAlign w:val="center"/>
          </w:tcPr>
          <w:p w14:paraId="5809D113">
            <w:pPr>
              <w:pStyle w:val="59"/>
              <w:ind w:firstLine="0" w:firstLineChars="0"/>
              <w:rPr>
                <w:rFonts w:hint="eastAsia"/>
                <w:color w:val="auto"/>
                <w:kern w:val="2"/>
                <w:szCs w:val="24"/>
                <w:lang w:val="en-US" w:eastAsia="zh-CN"/>
              </w:rPr>
            </w:pPr>
          </w:p>
        </w:tc>
        <w:tc>
          <w:tcPr>
            <w:tcW w:w="706" w:type="dxa"/>
            <w:vMerge w:val="continue"/>
            <w:shd w:val="clear" w:color="auto" w:fill="FFFFFF"/>
            <w:vAlign w:val="center"/>
          </w:tcPr>
          <w:p w14:paraId="5EF0710F">
            <w:pPr>
              <w:pStyle w:val="59"/>
              <w:ind w:firstLine="0" w:firstLineChars="0"/>
              <w:rPr>
                <w:rFonts w:hint="eastAsia"/>
                <w:color w:val="auto"/>
                <w:kern w:val="2"/>
                <w:szCs w:val="24"/>
                <w:lang w:val="en-US" w:eastAsia="zh-CN"/>
              </w:rPr>
            </w:pPr>
          </w:p>
        </w:tc>
        <w:tc>
          <w:tcPr>
            <w:tcW w:w="706" w:type="dxa"/>
            <w:vMerge w:val="continue"/>
            <w:shd w:val="clear" w:color="auto" w:fill="FFFFFF"/>
            <w:vAlign w:val="center"/>
          </w:tcPr>
          <w:p w14:paraId="5CD122E5">
            <w:pPr>
              <w:pStyle w:val="59"/>
              <w:ind w:firstLine="0" w:firstLineChars="0"/>
              <w:rPr>
                <w:rFonts w:hint="eastAsia"/>
                <w:color w:val="auto"/>
                <w:lang w:val="en-US" w:eastAsia="zh-CN"/>
              </w:rPr>
            </w:pPr>
          </w:p>
        </w:tc>
        <w:tc>
          <w:tcPr>
            <w:tcW w:w="707" w:type="dxa"/>
            <w:vMerge w:val="continue"/>
            <w:shd w:val="clear" w:color="auto" w:fill="FFFFFF"/>
            <w:vAlign w:val="center"/>
          </w:tcPr>
          <w:p w14:paraId="546D6F51">
            <w:pPr>
              <w:pStyle w:val="59"/>
              <w:ind w:firstLine="0" w:firstLineChars="0"/>
              <w:rPr>
                <w:rFonts w:hint="eastAsia"/>
                <w:color w:val="auto"/>
                <w:lang w:val="en-US" w:eastAsia="zh-CN"/>
              </w:rPr>
            </w:pPr>
          </w:p>
        </w:tc>
        <w:tc>
          <w:tcPr>
            <w:tcW w:w="704" w:type="dxa"/>
            <w:vMerge w:val="continue"/>
            <w:shd w:val="clear" w:color="auto" w:fill="FFFFFF"/>
            <w:vAlign w:val="center"/>
          </w:tcPr>
          <w:p w14:paraId="419BDDD6">
            <w:pPr>
              <w:pStyle w:val="59"/>
              <w:ind w:firstLine="0" w:firstLineChars="0"/>
              <w:rPr>
                <w:rFonts w:hint="eastAsia"/>
                <w:color w:val="auto"/>
                <w:lang w:val="en-US" w:eastAsia="zh-CN"/>
              </w:rPr>
            </w:pPr>
          </w:p>
        </w:tc>
        <w:tc>
          <w:tcPr>
            <w:tcW w:w="707" w:type="dxa"/>
            <w:vMerge w:val="continue"/>
            <w:shd w:val="clear" w:color="auto" w:fill="FFFFFF"/>
            <w:vAlign w:val="center"/>
          </w:tcPr>
          <w:p w14:paraId="4451E382">
            <w:pPr>
              <w:pStyle w:val="69"/>
              <w:bidi w:val="0"/>
              <w:rPr>
                <w:rFonts w:hint="default"/>
                <w:color w:val="auto"/>
                <w:lang w:val="en-US" w:eastAsia="zh-CN"/>
              </w:rPr>
            </w:pPr>
          </w:p>
        </w:tc>
        <w:tc>
          <w:tcPr>
            <w:tcW w:w="705" w:type="dxa"/>
            <w:vMerge w:val="continue"/>
            <w:shd w:val="clear" w:color="auto" w:fill="FFFFFF"/>
            <w:vAlign w:val="center"/>
          </w:tcPr>
          <w:p w14:paraId="04DFEF74">
            <w:pPr>
              <w:pStyle w:val="59"/>
              <w:bidi w:val="0"/>
              <w:rPr>
                <w:rFonts w:hint="eastAsia"/>
                <w:lang w:val="en-US" w:eastAsia="zh-CN"/>
              </w:rPr>
            </w:pPr>
          </w:p>
        </w:tc>
        <w:tc>
          <w:tcPr>
            <w:tcW w:w="707" w:type="dxa"/>
            <w:vMerge w:val="continue"/>
            <w:shd w:val="clear" w:color="auto" w:fill="FFFFFF"/>
            <w:vAlign w:val="center"/>
          </w:tcPr>
          <w:p w14:paraId="4589BF4D">
            <w:pPr>
              <w:pStyle w:val="59"/>
              <w:bidi w:val="0"/>
              <w:rPr>
                <w:rFonts w:hint="eastAsia"/>
                <w:lang w:val="en-US" w:eastAsia="zh-CN"/>
              </w:rPr>
            </w:pPr>
          </w:p>
        </w:tc>
        <w:tc>
          <w:tcPr>
            <w:tcW w:w="938" w:type="dxa"/>
            <w:shd w:val="clear" w:color="auto" w:fill="FFFFFF"/>
            <w:vAlign w:val="center"/>
          </w:tcPr>
          <w:p w14:paraId="626D7B90">
            <w:pPr>
              <w:pStyle w:val="59"/>
              <w:bidi w:val="0"/>
              <w:rPr>
                <w:rFonts w:hint="eastAsia"/>
                <w:lang w:val="en-US" w:eastAsia="zh-CN"/>
              </w:rPr>
            </w:pPr>
            <w:r>
              <w:rPr>
                <w:rFonts w:hint="eastAsia"/>
                <w:lang w:val="en-US" w:eastAsia="zh-CN"/>
              </w:rPr>
              <w:t>苯</w:t>
            </w:r>
          </w:p>
        </w:tc>
        <w:tc>
          <w:tcPr>
            <w:tcW w:w="942" w:type="dxa"/>
            <w:shd w:val="clear" w:color="auto" w:fill="FFFFFF"/>
            <w:vAlign w:val="center"/>
          </w:tcPr>
          <w:p w14:paraId="4A974888">
            <w:pPr>
              <w:pStyle w:val="59"/>
              <w:bidi w:val="0"/>
              <w:rPr>
                <w:rFonts w:hint="eastAsia"/>
                <w:lang w:val="en-US" w:eastAsia="zh-CN"/>
              </w:rPr>
            </w:pPr>
            <w:r>
              <w:rPr>
                <w:rFonts w:hint="eastAsia"/>
                <w:lang w:val="en-US" w:eastAsia="zh-CN"/>
              </w:rPr>
              <w:t xml:space="preserve">0.0000005 </w:t>
            </w:r>
          </w:p>
        </w:tc>
      </w:tr>
      <w:tr w14:paraId="533622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6" w:type="dxa"/>
            <w:vMerge w:val="continue"/>
            <w:shd w:val="clear" w:color="auto" w:fill="FFFFFF"/>
            <w:vAlign w:val="center"/>
          </w:tcPr>
          <w:p w14:paraId="5C2ACC1C">
            <w:pPr>
              <w:pStyle w:val="59"/>
              <w:bidi w:val="0"/>
              <w:rPr>
                <w:color w:val="auto"/>
              </w:rPr>
            </w:pPr>
          </w:p>
        </w:tc>
        <w:tc>
          <w:tcPr>
            <w:tcW w:w="707" w:type="dxa"/>
            <w:vMerge w:val="continue"/>
            <w:shd w:val="clear" w:color="auto" w:fill="FFFFFF"/>
            <w:vAlign w:val="center"/>
          </w:tcPr>
          <w:p w14:paraId="7495F8BC">
            <w:pPr>
              <w:pStyle w:val="59"/>
              <w:ind w:firstLine="0" w:firstLineChars="0"/>
              <w:rPr>
                <w:rFonts w:hint="eastAsia"/>
                <w:color w:val="auto"/>
                <w:kern w:val="2"/>
                <w:szCs w:val="24"/>
                <w:lang w:val="en-US" w:eastAsia="zh-CN"/>
              </w:rPr>
            </w:pPr>
          </w:p>
        </w:tc>
        <w:tc>
          <w:tcPr>
            <w:tcW w:w="704" w:type="dxa"/>
            <w:vMerge w:val="continue"/>
            <w:shd w:val="clear" w:color="auto" w:fill="FFFFFF"/>
            <w:vAlign w:val="center"/>
          </w:tcPr>
          <w:p w14:paraId="4B2E2830">
            <w:pPr>
              <w:pStyle w:val="59"/>
              <w:ind w:firstLine="0" w:firstLineChars="0"/>
              <w:rPr>
                <w:rFonts w:hint="eastAsia"/>
                <w:color w:val="auto"/>
                <w:kern w:val="2"/>
                <w:szCs w:val="24"/>
                <w:lang w:val="en-US" w:eastAsia="zh-CN"/>
              </w:rPr>
            </w:pPr>
          </w:p>
        </w:tc>
        <w:tc>
          <w:tcPr>
            <w:tcW w:w="706" w:type="dxa"/>
            <w:vMerge w:val="continue"/>
            <w:shd w:val="clear" w:color="auto" w:fill="FFFFFF"/>
            <w:vAlign w:val="center"/>
          </w:tcPr>
          <w:p w14:paraId="046F8841">
            <w:pPr>
              <w:pStyle w:val="59"/>
              <w:ind w:firstLine="0" w:firstLineChars="0"/>
              <w:rPr>
                <w:rFonts w:hint="eastAsia"/>
                <w:color w:val="auto"/>
                <w:kern w:val="2"/>
                <w:szCs w:val="24"/>
                <w:lang w:val="en-US" w:eastAsia="zh-CN"/>
              </w:rPr>
            </w:pPr>
          </w:p>
        </w:tc>
        <w:tc>
          <w:tcPr>
            <w:tcW w:w="706" w:type="dxa"/>
            <w:vMerge w:val="continue"/>
            <w:shd w:val="clear" w:color="auto" w:fill="FFFFFF"/>
            <w:vAlign w:val="center"/>
          </w:tcPr>
          <w:p w14:paraId="4F195296">
            <w:pPr>
              <w:pStyle w:val="59"/>
              <w:ind w:firstLine="0" w:firstLineChars="0"/>
              <w:rPr>
                <w:rFonts w:hint="eastAsia"/>
                <w:color w:val="auto"/>
                <w:lang w:val="en-US" w:eastAsia="zh-CN"/>
              </w:rPr>
            </w:pPr>
          </w:p>
        </w:tc>
        <w:tc>
          <w:tcPr>
            <w:tcW w:w="707" w:type="dxa"/>
            <w:vMerge w:val="continue"/>
            <w:shd w:val="clear" w:color="auto" w:fill="FFFFFF"/>
            <w:vAlign w:val="center"/>
          </w:tcPr>
          <w:p w14:paraId="4EB526BE">
            <w:pPr>
              <w:pStyle w:val="59"/>
              <w:ind w:firstLine="0" w:firstLineChars="0"/>
              <w:rPr>
                <w:rFonts w:hint="eastAsia"/>
                <w:color w:val="auto"/>
                <w:lang w:val="en-US" w:eastAsia="zh-CN"/>
              </w:rPr>
            </w:pPr>
          </w:p>
        </w:tc>
        <w:tc>
          <w:tcPr>
            <w:tcW w:w="704" w:type="dxa"/>
            <w:vMerge w:val="continue"/>
            <w:shd w:val="clear" w:color="auto" w:fill="FFFFFF"/>
            <w:vAlign w:val="center"/>
          </w:tcPr>
          <w:p w14:paraId="4E2DFEC8">
            <w:pPr>
              <w:pStyle w:val="59"/>
              <w:ind w:firstLine="0" w:firstLineChars="0"/>
              <w:rPr>
                <w:rFonts w:hint="eastAsia"/>
                <w:color w:val="auto"/>
                <w:lang w:val="en-US" w:eastAsia="zh-CN"/>
              </w:rPr>
            </w:pPr>
          </w:p>
        </w:tc>
        <w:tc>
          <w:tcPr>
            <w:tcW w:w="707" w:type="dxa"/>
            <w:vMerge w:val="continue"/>
            <w:shd w:val="clear" w:color="auto" w:fill="FFFFFF"/>
            <w:vAlign w:val="center"/>
          </w:tcPr>
          <w:p w14:paraId="0CFF75B9">
            <w:pPr>
              <w:pStyle w:val="69"/>
              <w:bidi w:val="0"/>
              <w:rPr>
                <w:rFonts w:hint="default"/>
                <w:color w:val="auto"/>
                <w:lang w:val="en-US" w:eastAsia="zh-CN"/>
              </w:rPr>
            </w:pPr>
          </w:p>
        </w:tc>
        <w:tc>
          <w:tcPr>
            <w:tcW w:w="705" w:type="dxa"/>
            <w:vMerge w:val="continue"/>
            <w:shd w:val="clear" w:color="auto" w:fill="FFFFFF"/>
            <w:vAlign w:val="center"/>
          </w:tcPr>
          <w:p w14:paraId="09E77B23">
            <w:pPr>
              <w:pStyle w:val="59"/>
              <w:bidi w:val="0"/>
              <w:rPr>
                <w:rFonts w:hint="eastAsia"/>
                <w:lang w:val="en-US" w:eastAsia="zh-CN"/>
              </w:rPr>
            </w:pPr>
          </w:p>
        </w:tc>
        <w:tc>
          <w:tcPr>
            <w:tcW w:w="707" w:type="dxa"/>
            <w:vMerge w:val="continue"/>
            <w:shd w:val="clear" w:color="auto" w:fill="FFFFFF"/>
            <w:vAlign w:val="center"/>
          </w:tcPr>
          <w:p w14:paraId="173416BA">
            <w:pPr>
              <w:pStyle w:val="59"/>
              <w:bidi w:val="0"/>
              <w:rPr>
                <w:rFonts w:hint="eastAsia"/>
                <w:lang w:val="en-US" w:eastAsia="zh-CN"/>
              </w:rPr>
            </w:pPr>
          </w:p>
        </w:tc>
        <w:tc>
          <w:tcPr>
            <w:tcW w:w="938" w:type="dxa"/>
            <w:shd w:val="clear" w:color="auto" w:fill="FFFFFF"/>
            <w:vAlign w:val="center"/>
          </w:tcPr>
          <w:p w14:paraId="4F9032DB">
            <w:pPr>
              <w:pStyle w:val="59"/>
              <w:bidi w:val="0"/>
              <w:rPr>
                <w:rFonts w:hint="eastAsia"/>
                <w:lang w:val="en-US" w:eastAsia="zh-CN"/>
              </w:rPr>
            </w:pPr>
            <w:r>
              <w:rPr>
                <w:rFonts w:hint="eastAsia"/>
                <w:lang w:val="en-US" w:eastAsia="zh-CN"/>
              </w:rPr>
              <w:t>甲苯</w:t>
            </w:r>
          </w:p>
        </w:tc>
        <w:tc>
          <w:tcPr>
            <w:tcW w:w="942" w:type="dxa"/>
            <w:shd w:val="clear" w:color="auto" w:fill="FFFFFF"/>
            <w:vAlign w:val="center"/>
          </w:tcPr>
          <w:p w14:paraId="68C07B30">
            <w:pPr>
              <w:pStyle w:val="59"/>
              <w:bidi w:val="0"/>
              <w:rPr>
                <w:rFonts w:hint="eastAsia"/>
                <w:lang w:val="en-US" w:eastAsia="zh-CN"/>
              </w:rPr>
            </w:pPr>
            <w:r>
              <w:rPr>
                <w:rFonts w:hint="eastAsia"/>
                <w:lang w:val="en-US" w:eastAsia="zh-CN"/>
              </w:rPr>
              <w:t xml:space="preserve">0.0000002 </w:t>
            </w:r>
          </w:p>
        </w:tc>
      </w:tr>
      <w:tr w14:paraId="1A7871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06" w:type="dxa"/>
            <w:shd w:val="clear" w:color="auto" w:fill="FFFFFF"/>
            <w:vAlign w:val="center"/>
          </w:tcPr>
          <w:p w14:paraId="2AB0404F">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复合废气</w:t>
            </w:r>
          </w:p>
        </w:tc>
        <w:tc>
          <w:tcPr>
            <w:tcW w:w="707" w:type="dxa"/>
            <w:shd w:val="clear" w:color="auto" w:fill="FFFFFF"/>
            <w:vAlign w:val="center"/>
          </w:tcPr>
          <w:p w14:paraId="3CF55721">
            <w:pPr>
              <w:pStyle w:val="59"/>
              <w:ind w:firstLine="0" w:firstLineChars="0"/>
              <w:rPr>
                <w:rFonts w:hint="eastAsia" w:ascii="Times New Roman" w:hAnsi="Times New Roman" w:eastAsia="宋体" w:cs="Times New Roman"/>
                <w:color w:val="auto"/>
                <w:kern w:val="2"/>
                <w:sz w:val="21"/>
                <w:szCs w:val="24"/>
                <w:lang w:val="en-US" w:eastAsia="zh-CN" w:bidi="ar-SA"/>
              </w:rPr>
            </w:pPr>
            <w:r>
              <w:rPr>
                <w:rFonts w:hint="eastAsia"/>
                <w:color w:val="auto"/>
                <w:kern w:val="2"/>
                <w:szCs w:val="24"/>
                <w:lang w:val="en-US" w:eastAsia="zh-CN"/>
              </w:rPr>
              <w:t>-1</w:t>
            </w:r>
          </w:p>
        </w:tc>
        <w:tc>
          <w:tcPr>
            <w:tcW w:w="704" w:type="dxa"/>
            <w:shd w:val="clear" w:color="auto" w:fill="FFFFFF"/>
            <w:vAlign w:val="center"/>
          </w:tcPr>
          <w:p w14:paraId="106421EB">
            <w:pPr>
              <w:pStyle w:val="59"/>
              <w:ind w:firstLine="0" w:firstLineChars="0"/>
              <w:rPr>
                <w:rFonts w:hint="eastAsia" w:ascii="Times New Roman" w:hAnsi="Times New Roman" w:eastAsia="宋体" w:cs="Times New Roman"/>
                <w:color w:val="auto"/>
                <w:kern w:val="2"/>
                <w:sz w:val="21"/>
                <w:szCs w:val="24"/>
                <w:lang w:val="en-US" w:eastAsia="zh-CN" w:bidi="ar-SA"/>
              </w:rPr>
            </w:pPr>
            <w:r>
              <w:rPr>
                <w:rFonts w:hint="eastAsia"/>
                <w:color w:val="auto"/>
                <w:kern w:val="2"/>
                <w:szCs w:val="24"/>
                <w:lang w:val="en-US" w:eastAsia="zh-CN"/>
              </w:rPr>
              <w:t>18</w:t>
            </w:r>
          </w:p>
        </w:tc>
        <w:tc>
          <w:tcPr>
            <w:tcW w:w="706" w:type="dxa"/>
            <w:shd w:val="clear" w:color="auto" w:fill="FFFFFF"/>
            <w:vAlign w:val="center"/>
          </w:tcPr>
          <w:p w14:paraId="15E54548">
            <w:pPr>
              <w:pStyle w:val="59"/>
              <w:ind w:firstLine="0" w:firstLineChars="0"/>
              <w:rPr>
                <w:rFonts w:hint="default" w:ascii="Times New Roman" w:hAnsi="Times New Roman" w:eastAsia="宋体" w:cs="Times New Roman"/>
                <w:color w:val="auto"/>
                <w:kern w:val="2"/>
                <w:sz w:val="21"/>
                <w:szCs w:val="24"/>
                <w:lang w:val="en-US" w:eastAsia="zh-CN" w:bidi="ar-SA"/>
              </w:rPr>
            </w:pPr>
            <w:r>
              <w:rPr>
                <w:rFonts w:hint="eastAsia"/>
                <w:color w:val="auto"/>
                <w:kern w:val="2"/>
                <w:szCs w:val="24"/>
                <w:lang w:val="en-US" w:eastAsia="zh-CN"/>
              </w:rPr>
              <w:t>12</w:t>
            </w:r>
          </w:p>
        </w:tc>
        <w:tc>
          <w:tcPr>
            <w:tcW w:w="706" w:type="dxa"/>
            <w:shd w:val="clear" w:color="auto" w:fill="FFFFFF"/>
            <w:vAlign w:val="center"/>
          </w:tcPr>
          <w:p w14:paraId="6F7CEAEE">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12</w:t>
            </w:r>
          </w:p>
        </w:tc>
        <w:tc>
          <w:tcPr>
            <w:tcW w:w="707" w:type="dxa"/>
            <w:shd w:val="clear" w:color="auto" w:fill="FFFFFF"/>
            <w:vAlign w:val="center"/>
          </w:tcPr>
          <w:p w14:paraId="7A6B42E9">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7</w:t>
            </w:r>
          </w:p>
        </w:tc>
        <w:tc>
          <w:tcPr>
            <w:tcW w:w="704" w:type="dxa"/>
            <w:shd w:val="clear" w:color="auto" w:fill="FFFFFF"/>
            <w:vAlign w:val="center"/>
          </w:tcPr>
          <w:p w14:paraId="4D37C619">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90</w:t>
            </w:r>
          </w:p>
        </w:tc>
        <w:tc>
          <w:tcPr>
            <w:tcW w:w="707" w:type="dxa"/>
            <w:shd w:val="clear" w:color="auto" w:fill="FFFFFF"/>
            <w:vAlign w:val="center"/>
          </w:tcPr>
          <w:p w14:paraId="58B25482">
            <w:pPr>
              <w:pStyle w:val="69"/>
              <w:bidi w:val="0"/>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3</w:t>
            </w:r>
          </w:p>
        </w:tc>
        <w:tc>
          <w:tcPr>
            <w:tcW w:w="705" w:type="dxa"/>
            <w:shd w:val="clear" w:color="auto" w:fill="FFFFFF"/>
            <w:vAlign w:val="center"/>
          </w:tcPr>
          <w:p w14:paraId="53F5238E">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643</w:t>
            </w:r>
          </w:p>
        </w:tc>
        <w:tc>
          <w:tcPr>
            <w:tcW w:w="707" w:type="dxa"/>
            <w:shd w:val="clear" w:color="auto" w:fill="FFFFFF"/>
            <w:vAlign w:val="center"/>
          </w:tcPr>
          <w:p w14:paraId="4E7DA7FF">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正常</w:t>
            </w:r>
          </w:p>
        </w:tc>
        <w:tc>
          <w:tcPr>
            <w:tcW w:w="938" w:type="dxa"/>
            <w:shd w:val="clear" w:color="auto" w:fill="FFFFFF"/>
            <w:vAlign w:val="center"/>
          </w:tcPr>
          <w:p w14:paraId="0478812F">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NMHC</w:t>
            </w:r>
          </w:p>
        </w:tc>
        <w:tc>
          <w:tcPr>
            <w:tcW w:w="942" w:type="dxa"/>
            <w:shd w:val="clear" w:color="auto" w:fill="FFFFFF"/>
            <w:vAlign w:val="center"/>
          </w:tcPr>
          <w:p w14:paraId="210624CA">
            <w:pPr>
              <w:pStyle w:val="59"/>
              <w:bidi w:val="0"/>
              <w:rPr>
                <w:rFonts w:hint="eastAsia"/>
                <w:lang w:val="en-US" w:eastAsia="zh-CN"/>
              </w:rPr>
            </w:pPr>
            <w:r>
              <w:rPr>
                <w:rFonts w:hint="eastAsia"/>
                <w:lang w:val="en-US" w:eastAsia="zh-CN"/>
              </w:rPr>
              <w:t xml:space="preserve">0.050 </w:t>
            </w:r>
          </w:p>
        </w:tc>
      </w:tr>
    </w:tbl>
    <w:p w14:paraId="037FCB54">
      <w:pPr>
        <w:ind w:firstLine="482"/>
        <w:rPr>
          <w:rFonts w:hint="eastAsia"/>
          <w:b/>
          <w:bCs/>
          <w:color w:val="auto"/>
        </w:rPr>
      </w:pPr>
      <w:r>
        <w:rPr>
          <w:color w:val="auto"/>
        </w:rPr>
        <w:pict>
          <v:shape id="_x0000_s2113" o:spid="_x0000_s2113" o:spt="136" type="#_x0000_t136" style="position:absolute;left:0pt;margin-left:136.75pt;margin-top:265.15pt;height:9.45pt;width:19pt;z-index:251671552;mso-width-relative:page;mso-height-relative:page;" fillcolor="#FFFFFF" filled="t" stroked="t" coordsize="21600,21600" adj="10800">
            <v:path/>
            <v:fill on="t" focussize="0,0"/>
            <v:stroke color="#FFFFFF"/>
            <v:imagedata o:title=""/>
            <o:lock v:ext="edit" aspectratio="f"/>
            <v:textpath on="t" fitshape="t" fitpath="t" trim="t" xscale="f" string="8m" style="font-family:宋体;font-size:10pt;v-rotate-letters:f;v-same-letter-heights:f;v-text-align:center;"/>
          </v:shape>
        </w:pict>
      </w:r>
      <w:r>
        <w:rPr>
          <w:color w:val="auto"/>
        </w:rPr>
        <mc:AlternateContent>
          <mc:Choice Requires="wps">
            <w:drawing>
              <wp:anchor distT="0" distB="0" distL="114300" distR="114300" simplePos="0" relativeHeight="251670528" behindDoc="0" locked="0" layoutInCell="1" allowOverlap="1">
                <wp:simplePos x="0" y="0"/>
                <wp:positionH relativeFrom="column">
                  <wp:posOffset>1692275</wp:posOffset>
                </wp:positionH>
                <wp:positionV relativeFrom="paragraph">
                  <wp:posOffset>3135630</wp:posOffset>
                </wp:positionV>
                <wp:extent cx="24765" cy="684530"/>
                <wp:effectExtent l="46355" t="0" r="52705" b="1270"/>
                <wp:wrapNone/>
                <wp:docPr id="136" name="直接箭头连接符 136"/>
                <wp:cNvGraphicFramePr/>
                <a:graphic xmlns:a="http://schemas.openxmlformats.org/drawingml/2006/main">
                  <a:graphicData uri="http://schemas.microsoft.com/office/word/2010/wordprocessingShape">
                    <wps:wsp>
                      <wps:cNvCnPr/>
                      <wps:spPr>
                        <a:xfrm flipH="1">
                          <a:off x="0" y="0"/>
                          <a:ext cx="24765" cy="684530"/>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33.25pt;margin-top:246.9pt;height:53.9pt;width:1.95pt;z-index:251670528;mso-width-relative:page;mso-height-relative:page;" filled="f" stroked="t" coordsize="21600,21600" o:gfxdata="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51UOdoAAAALAQAADwAAAAAAAAAB&#10;ACAAAAAiAAAAZHJzL2Rvd25yZXYueG1sUEsBAhQAFAAAAAgAh07iQLX2o0cOAgAA8QMAAA4AAAAA&#10;AAAAAQAgAAAAKQEAAGRycy9lMm9Eb2MueG1sUEsFBgAAAAAGAAYAWQEAAKkFAAAAAA==&#10;">
                <v:fill on="f" focussize="0,0"/>
                <v:stroke color="#FF0000 [3204]" joinstyle="round" startarrow="open" endarrow="open"/>
                <v:imagedata o:title=""/>
                <o:lock v:ext="edit" aspectratio="f"/>
              </v:shape>
            </w:pict>
          </mc:Fallback>
        </mc:AlternateContent>
      </w:r>
      <w:r>
        <w:rPr>
          <w:color w:val="auto"/>
        </w:rPr>
        <w:pict>
          <v:shape id="_x0000_s2111" o:spid="_x0000_s2111" o:spt="136" type="#_x0000_t136" style="position:absolute;left:0pt;margin-left:92.55pt;margin-top:290.4pt;height:8.35pt;width:16.75pt;z-index:251675648;mso-width-relative:page;mso-height-relative:page;" filled="f" stroked="t" coordsize="21600,21600" adj="10800">
            <v:path/>
            <v:fill on="f" focussize="0,0"/>
            <v:stroke color="#FFFFFF"/>
            <v:imagedata o:title=""/>
            <o:lock v:ext="edit" aspectratio="f"/>
            <v:textpath on="t" fitshape="t" fitpath="t" trim="t" xscale="f" string="3m" style="font-family:宋体;font-size:10pt;v-rotate-letters:f;v-same-letter-heights:f;v-text-align:center;"/>
          </v:shape>
        </w:pict>
      </w:r>
      <w:r>
        <w:rPr>
          <w:color w:val="auto"/>
        </w:rPr>
        <mc:AlternateContent>
          <mc:Choice Requires="wps">
            <w:drawing>
              <wp:anchor distT="0" distB="0" distL="114300" distR="114300" simplePos="0" relativeHeight="251674624" behindDoc="0" locked="0" layoutInCell="1" allowOverlap="1">
                <wp:simplePos x="0" y="0"/>
                <wp:positionH relativeFrom="column">
                  <wp:posOffset>1096010</wp:posOffset>
                </wp:positionH>
                <wp:positionV relativeFrom="paragraph">
                  <wp:posOffset>3621405</wp:posOffset>
                </wp:positionV>
                <wp:extent cx="20955" cy="294005"/>
                <wp:effectExtent l="43180" t="0" r="50165" b="1270"/>
                <wp:wrapNone/>
                <wp:docPr id="348" name="直接箭头连接符 348"/>
                <wp:cNvGraphicFramePr/>
                <a:graphic xmlns:a="http://schemas.openxmlformats.org/drawingml/2006/main">
                  <a:graphicData uri="http://schemas.microsoft.com/office/word/2010/wordprocessingShape">
                    <wps:wsp>
                      <wps:cNvCnPr/>
                      <wps:spPr>
                        <a:xfrm flipH="1">
                          <a:off x="0" y="0"/>
                          <a:ext cx="20955" cy="294005"/>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86.3pt;margin-top:285.15pt;height:23.15pt;width:1.65pt;z-index:251674624;mso-width-relative:page;mso-height-relative:page;" filled="f" stroked="t" coordsize="21600,21600" o:gfxdata="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vr1bi2gAAAAsBAAAPAAAAAAAAAAEA&#10;IAAAACIAAABkcnMvZG93bnJldi54bWxQSwECFAAUAAAACACHTuJAdaRG/w0CAADxAwAADgAAAAAA&#10;AAABACAAAAApAQAAZHJzL2Uyb0RvYy54bWxQSwUGAAAAAAYABgBZAQAAqAUAAAAA&#10;">
                <v:fill on="f" focussize="0,0"/>
                <v:stroke color="#FF0000 [3204]" joinstyle="round" startarrow="open" endarrow="open"/>
                <v:imagedata o:title=""/>
                <o:lock v:ext="edit" aspectratio="f"/>
              </v:shape>
            </w:pict>
          </mc:Fallback>
        </mc:AlternateContent>
      </w:r>
      <w:r>
        <w:rPr>
          <w:rFonts w:hint="eastAsia"/>
          <w:b/>
          <w:bCs/>
          <w:color w:val="auto"/>
        </w:rPr>
        <w:t>注：面源有效排放高度取车间窗户</w:t>
      </w:r>
      <w:r>
        <w:rPr>
          <w:rFonts w:hint="eastAsia"/>
          <w:b/>
          <w:bCs/>
          <w:color w:val="auto"/>
          <w:lang w:val="en-US" w:eastAsia="zh-CN"/>
        </w:rPr>
        <w:t>中部</w:t>
      </w:r>
      <w:r>
        <w:rPr>
          <w:rFonts w:hint="eastAsia"/>
          <w:b/>
          <w:bCs/>
          <w:color w:val="auto"/>
        </w:rPr>
        <w:t>到地面的距离。见下图：</w:t>
      </w:r>
    </w:p>
    <w:p w14:paraId="68A90B85">
      <w:pPr>
        <w:pStyle w:val="62"/>
        <w:bidi w:val="0"/>
      </w:pPr>
      <w:r>
        <w:rPr>
          <w:rFonts w:hint="eastAsia"/>
          <w:lang w:eastAsia="zh-CN"/>
        </w:rPr>
        <w:drawing>
          <wp:inline distT="0" distB="0" distL="114300" distR="114300">
            <wp:extent cx="5745480" cy="4309110"/>
            <wp:effectExtent l="0" t="0" r="7620" b="5715"/>
            <wp:docPr id="32" name="图片 32" descr="IMG_20260320_16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0260320_162249"/>
                    <pic:cNvPicPr>
                      <a:picLocks noChangeAspect="1"/>
                    </pic:cNvPicPr>
                  </pic:nvPicPr>
                  <pic:blipFill>
                    <a:blip r:embed="rId79"/>
                    <a:stretch>
                      <a:fillRect/>
                    </a:stretch>
                  </pic:blipFill>
                  <pic:spPr>
                    <a:xfrm>
                      <a:off x="0" y="0"/>
                      <a:ext cx="5745480" cy="4309110"/>
                    </a:xfrm>
                    <a:prstGeom prst="rect">
                      <a:avLst/>
                    </a:prstGeom>
                  </pic:spPr>
                </pic:pic>
              </a:graphicData>
            </a:graphic>
          </wp:inline>
        </w:drawing>
      </w:r>
    </w:p>
    <w:p w14:paraId="515DAF27">
      <w:pPr>
        <w:pStyle w:val="62"/>
        <w:rPr>
          <w:rFonts w:hint="eastAsia"/>
          <w:color w:val="auto"/>
        </w:rPr>
      </w:pPr>
      <w:r>
        <w:rPr>
          <w:rFonts w:hint="eastAsia"/>
          <w:color w:val="auto"/>
          <w:lang w:eastAsia="zh-CN"/>
        </w:rPr>
        <w:t>图5</w:t>
      </w:r>
      <w:r>
        <w:rPr>
          <w:rFonts w:hint="eastAsia"/>
          <w:color w:val="auto"/>
        </w:rPr>
        <w:t>.2-8  面源高度示意图</w:t>
      </w:r>
    </w:p>
    <w:p w14:paraId="50B7304E">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rFonts w:hint="eastAsia"/>
          <w:b/>
          <w:bCs/>
        </w:rPr>
      </w:pPr>
      <w:r>
        <w:rPr>
          <w:rFonts w:hint="eastAsia"/>
          <w:b/>
          <w:bCs/>
        </w:rPr>
        <w:t>3、预测情景内容</w:t>
      </w:r>
    </w:p>
    <w:p w14:paraId="420641C4">
      <w:pPr>
        <w:ind w:firstLine="480"/>
        <w:rPr>
          <w:rFonts w:hint="eastAsia"/>
        </w:rPr>
      </w:pPr>
      <w:r>
        <w:rPr>
          <w:rFonts w:hint="eastAsia"/>
        </w:rPr>
        <w:t>本次评价的预测内容如下表所示：</w:t>
      </w:r>
    </w:p>
    <w:p w14:paraId="11F61ACD">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预测内容与评价要求</w:t>
      </w:r>
    </w:p>
    <w:tbl>
      <w:tblPr>
        <w:tblStyle w:val="38"/>
        <w:tblW w:w="928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2276"/>
        <w:gridCol w:w="1857"/>
        <w:gridCol w:w="1303"/>
        <w:gridCol w:w="2414"/>
      </w:tblGrid>
      <w:tr w14:paraId="1EDA38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438" w:type="dxa"/>
            <w:noWrap w:val="0"/>
            <w:vAlign w:val="center"/>
          </w:tcPr>
          <w:p w14:paraId="51CE82B7">
            <w:pPr>
              <w:spacing w:line="240" w:lineRule="auto"/>
              <w:ind w:firstLine="0" w:firstLineChars="0"/>
              <w:jc w:val="center"/>
              <w:rPr>
                <w:rFonts w:hint="eastAsia" w:cs="宋体"/>
                <w:b/>
                <w:bCs/>
                <w:sz w:val="21"/>
              </w:rPr>
            </w:pPr>
            <w:r>
              <w:rPr>
                <w:rFonts w:hint="eastAsia" w:cs="宋体"/>
                <w:b/>
                <w:bCs/>
                <w:sz w:val="21"/>
              </w:rPr>
              <w:t>评价对象</w:t>
            </w:r>
          </w:p>
        </w:tc>
        <w:tc>
          <w:tcPr>
            <w:tcW w:w="2276" w:type="dxa"/>
            <w:noWrap w:val="0"/>
            <w:vAlign w:val="center"/>
          </w:tcPr>
          <w:p w14:paraId="37EE693A">
            <w:pPr>
              <w:spacing w:line="240" w:lineRule="auto"/>
              <w:ind w:firstLine="0" w:firstLineChars="0"/>
              <w:jc w:val="center"/>
              <w:rPr>
                <w:rFonts w:hint="eastAsia" w:cs="宋体"/>
                <w:b/>
                <w:bCs/>
                <w:sz w:val="21"/>
              </w:rPr>
            </w:pPr>
            <w:r>
              <w:rPr>
                <w:rFonts w:hint="eastAsia" w:cs="宋体"/>
                <w:b/>
                <w:bCs/>
                <w:sz w:val="21"/>
              </w:rPr>
              <w:t>污染源</w:t>
            </w:r>
          </w:p>
        </w:tc>
        <w:tc>
          <w:tcPr>
            <w:tcW w:w="1857" w:type="dxa"/>
            <w:noWrap w:val="0"/>
            <w:vAlign w:val="center"/>
          </w:tcPr>
          <w:p w14:paraId="3B7F55B9">
            <w:pPr>
              <w:spacing w:line="240" w:lineRule="auto"/>
              <w:ind w:firstLine="0" w:firstLineChars="0"/>
              <w:jc w:val="center"/>
              <w:rPr>
                <w:rFonts w:hint="eastAsia" w:cs="宋体"/>
                <w:b/>
                <w:bCs/>
                <w:sz w:val="21"/>
              </w:rPr>
            </w:pPr>
            <w:r>
              <w:rPr>
                <w:rFonts w:hint="eastAsia" w:cs="宋体"/>
                <w:b/>
                <w:bCs/>
                <w:sz w:val="21"/>
              </w:rPr>
              <w:t>污染源排放形式</w:t>
            </w:r>
          </w:p>
        </w:tc>
        <w:tc>
          <w:tcPr>
            <w:tcW w:w="1303" w:type="dxa"/>
            <w:noWrap w:val="0"/>
            <w:vAlign w:val="center"/>
          </w:tcPr>
          <w:p w14:paraId="6D19341D">
            <w:pPr>
              <w:spacing w:line="240" w:lineRule="auto"/>
              <w:ind w:firstLine="0" w:firstLineChars="0"/>
              <w:jc w:val="center"/>
              <w:rPr>
                <w:rFonts w:hint="eastAsia" w:cs="宋体"/>
                <w:b/>
                <w:bCs/>
                <w:sz w:val="21"/>
              </w:rPr>
            </w:pPr>
            <w:r>
              <w:rPr>
                <w:rFonts w:hint="eastAsia" w:cs="宋体"/>
                <w:b/>
                <w:bCs/>
                <w:sz w:val="21"/>
              </w:rPr>
              <w:t>预测内容</w:t>
            </w:r>
          </w:p>
        </w:tc>
        <w:tc>
          <w:tcPr>
            <w:tcW w:w="2414" w:type="dxa"/>
            <w:noWrap w:val="0"/>
            <w:vAlign w:val="center"/>
          </w:tcPr>
          <w:p w14:paraId="57CE662E">
            <w:pPr>
              <w:spacing w:line="240" w:lineRule="auto"/>
              <w:ind w:firstLine="0" w:firstLineChars="0"/>
              <w:jc w:val="center"/>
              <w:rPr>
                <w:rFonts w:hint="eastAsia" w:cs="宋体"/>
                <w:b/>
                <w:bCs/>
                <w:sz w:val="21"/>
              </w:rPr>
            </w:pPr>
            <w:r>
              <w:rPr>
                <w:rFonts w:hint="eastAsia" w:cs="宋体"/>
                <w:b/>
                <w:bCs/>
                <w:sz w:val="21"/>
              </w:rPr>
              <w:t>评价内容</w:t>
            </w:r>
          </w:p>
        </w:tc>
      </w:tr>
      <w:tr w14:paraId="7EF0C2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38" w:type="dxa"/>
            <w:vMerge w:val="restart"/>
            <w:noWrap w:val="0"/>
            <w:vAlign w:val="center"/>
          </w:tcPr>
          <w:p w14:paraId="7FF1C38E">
            <w:pPr>
              <w:spacing w:line="240" w:lineRule="auto"/>
              <w:ind w:firstLine="0" w:firstLineChars="0"/>
              <w:jc w:val="center"/>
              <w:rPr>
                <w:rFonts w:hint="eastAsia" w:cs="宋体"/>
                <w:sz w:val="21"/>
              </w:rPr>
            </w:pPr>
            <w:r>
              <w:rPr>
                <w:rFonts w:hint="eastAsia" w:cs="宋体"/>
                <w:sz w:val="21"/>
              </w:rPr>
              <w:t>达标区评价</w:t>
            </w:r>
          </w:p>
        </w:tc>
        <w:tc>
          <w:tcPr>
            <w:tcW w:w="2276" w:type="dxa"/>
            <w:noWrap w:val="0"/>
            <w:vAlign w:val="center"/>
          </w:tcPr>
          <w:p w14:paraId="5D9179AD">
            <w:pPr>
              <w:spacing w:line="240" w:lineRule="auto"/>
              <w:ind w:firstLine="0" w:firstLineChars="0"/>
              <w:jc w:val="center"/>
              <w:rPr>
                <w:rFonts w:hint="eastAsia" w:cs="宋体"/>
                <w:sz w:val="21"/>
              </w:rPr>
            </w:pPr>
            <w:r>
              <w:rPr>
                <w:rFonts w:hint="eastAsia" w:cs="宋体"/>
                <w:sz w:val="21"/>
              </w:rPr>
              <w:t>新增污染源</w:t>
            </w:r>
          </w:p>
        </w:tc>
        <w:tc>
          <w:tcPr>
            <w:tcW w:w="1857" w:type="dxa"/>
            <w:noWrap w:val="0"/>
            <w:vAlign w:val="center"/>
          </w:tcPr>
          <w:p w14:paraId="1E75C366">
            <w:pPr>
              <w:spacing w:line="240" w:lineRule="auto"/>
              <w:ind w:firstLine="0" w:firstLineChars="0"/>
              <w:jc w:val="center"/>
              <w:rPr>
                <w:rFonts w:hint="eastAsia" w:cs="宋体"/>
                <w:sz w:val="21"/>
              </w:rPr>
            </w:pPr>
            <w:r>
              <w:rPr>
                <w:rFonts w:hint="eastAsia" w:cs="宋体"/>
                <w:sz w:val="21"/>
              </w:rPr>
              <w:t>正常排放</w:t>
            </w:r>
          </w:p>
        </w:tc>
        <w:tc>
          <w:tcPr>
            <w:tcW w:w="1303" w:type="dxa"/>
            <w:noWrap w:val="0"/>
            <w:vAlign w:val="center"/>
          </w:tcPr>
          <w:p w14:paraId="213303BA">
            <w:pPr>
              <w:spacing w:line="240" w:lineRule="auto"/>
              <w:ind w:firstLine="0" w:firstLineChars="0"/>
              <w:jc w:val="center"/>
              <w:rPr>
                <w:rFonts w:hint="eastAsia" w:cs="宋体"/>
                <w:sz w:val="21"/>
              </w:rPr>
            </w:pPr>
            <w:r>
              <w:rPr>
                <w:rFonts w:hint="eastAsia" w:cs="宋体"/>
                <w:sz w:val="21"/>
              </w:rPr>
              <w:t>短期浓度</w:t>
            </w:r>
          </w:p>
          <w:p w14:paraId="40275D86">
            <w:pPr>
              <w:spacing w:line="240" w:lineRule="auto"/>
              <w:ind w:firstLine="0" w:firstLineChars="0"/>
              <w:jc w:val="center"/>
              <w:rPr>
                <w:rFonts w:hint="eastAsia" w:cs="宋体"/>
                <w:sz w:val="21"/>
              </w:rPr>
            </w:pPr>
            <w:r>
              <w:rPr>
                <w:rFonts w:hint="eastAsia" w:cs="宋体"/>
                <w:sz w:val="21"/>
              </w:rPr>
              <w:t>长期浓度</w:t>
            </w:r>
          </w:p>
        </w:tc>
        <w:tc>
          <w:tcPr>
            <w:tcW w:w="2414" w:type="dxa"/>
            <w:noWrap w:val="0"/>
            <w:vAlign w:val="center"/>
          </w:tcPr>
          <w:p w14:paraId="53CA6302">
            <w:pPr>
              <w:spacing w:line="240" w:lineRule="auto"/>
              <w:ind w:firstLine="0" w:firstLineChars="0"/>
              <w:jc w:val="center"/>
              <w:rPr>
                <w:rFonts w:hint="eastAsia" w:cs="宋体"/>
                <w:sz w:val="21"/>
              </w:rPr>
            </w:pPr>
            <w:r>
              <w:rPr>
                <w:rFonts w:hint="eastAsia" w:cs="宋体"/>
                <w:sz w:val="21"/>
              </w:rPr>
              <w:t>最大浓度占标率</w:t>
            </w:r>
          </w:p>
        </w:tc>
      </w:tr>
      <w:tr w14:paraId="52A4EE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38" w:type="dxa"/>
            <w:vMerge w:val="continue"/>
            <w:noWrap w:val="0"/>
            <w:vAlign w:val="center"/>
          </w:tcPr>
          <w:p w14:paraId="6C6349A6">
            <w:pPr>
              <w:spacing w:line="240" w:lineRule="auto"/>
              <w:ind w:firstLine="0" w:firstLineChars="0"/>
              <w:jc w:val="center"/>
              <w:rPr>
                <w:rFonts w:cs="宋体"/>
                <w:sz w:val="21"/>
              </w:rPr>
            </w:pPr>
          </w:p>
        </w:tc>
        <w:tc>
          <w:tcPr>
            <w:tcW w:w="2276" w:type="dxa"/>
            <w:noWrap w:val="0"/>
            <w:vAlign w:val="center"/>
          </w:tcPr>
          <w:p w14:paraId="3BA3044D">
            <w:pPr>
              <w:spacing w:line="240" w:lineRule="auto"/>
              <w:ind w:firstLine="0" w:firstLineChars="0"/>
              <w:jc w:val="center"/>
              <w:rPr>
                <w:rFonts w:hint="eastAsia" w:cs="宋体"/>
                <w:sz w:val="21"/>
              </w:rPr>
            </w:pPr>
            <w:r>
              <w:rPr>
                <w:rFonts w:hint="eastAsia" w:cs="宋体"/>
                <w:sz w:val="21"/>
              </w:rPr>
              <w:t>新增污染源－“以新带老”污染源（如有）－区域削减污染源（如有）＋其他在建、拟的污染源（如有）</w:t>
            </w:r>
          </w:p>
        </w:tc>
        <w:tc>
          <w:tcPr>
            <w:tcW w:w="1857" w:type="dxa"/>
            <w:noWrap w:val="0"/>
            <w:vAlign w:val="center"/>
          </w:tcPr>
          <w:p w14:paraId="0AFC2503">
            <w:pPr>
              <w:spacing w:line="240" w:lineRule="auto"/>
              <w:ind w:firstLine="0" w:firstLineChars="0"/>
              <w:jc w:val="center"/>
              <w:rPr>
                <w:rFonts w:hint="eastAsia" w:cs="宋体"/>
                <w:sz w:val="21"/>
              </w:rPr>
            </w:pPr>
            <w:r>
              <w:rPr>
                <w:rFonts w:hint="eastAsia" w:cs="宋体"/>
                <w:sz w:val="21"/>
              </w:rPr>
              <w:t>正常排放</w:t>
            </w:r>
          </w:p>
        </w:tc>
        <w:tc>
          <w:tcPr>
            <w:tcW w:w="1303" w:type="dxa"/>
            <w:noWrap w:val="0"/>
            <w:vAlign w:val="center"/>
          </w:tcPr>
          <w:p w14:paraId="264AC1CA">
            <w:pPr>
              <w:spacing w:line="240" w:lineRule="auto"/>
              <w:ind w:firstLine="0" w:firstLineChars="0"/>
              <w:jc w:val="center"/>
              <w:rPr>
                <w:rFonts w:hint="eastAsia" w:cs="宋体"/>
                <w:sz w:val="21"/>
              </w:rPr>
            </w:pPr>
            <w:r>
              <w:rPr>
                <w:rFonts w:hint="eastAsia" w:cs="宋体"/>
                <w:sz w:val="21"/>
              </w:rPr>
              <w:t>短期浓度</w:t>
            </w:r>
          </w:p>
          <w:p w14:paraId="76538310">
            <w:pPr>
              <w:spacing w:line="240" w:lineRule="auto"/>
              <w:ind w:firstLine="0" w:firstLineChars="0"/>
              <w:jc w:val="center"/>
              <w:rPr>
                <w:rFonts w:cs="宋体"/>
                <w:sz w:val="21"/>
              </w:rPr>
            </w:pPr>
            <w:r>
              <w:rPr>
                <w:rFonts w:hint="eastAsia" w:cs="宋体"/>
                <w:sz w:val="21"/>
              </w:rPr>
              <w:t>长期浓度</w:t>
            </w:r>
          </w:p>
        </w:tc>
        <w:tc>
          <w:tcPr>
            <w:tcW w:w="2414" w:type="dxa"/>
            <w:noWrap w:val="0"/>
            <w:vAlign w:val="center"/>
          </w:tcPr>
          <w:p w14:paraId="738ED583">
            <w:pPr>
              <w:spacing w:line="240" w:lineRule="auto"/>
              <w:ind w:firstLine="0" w:firstLineChars="0"/>
              <w:jc w:val="center"/>
              <w:rPr>
                <w:rFonts w:hint="eastAsia" w:cs="宋体"/>
                <w:sz w:val="21"/>
              </w:rPr>
            </w:pPr>
            <w:r>
              <w:rPr>
                <w:rFonts w:hint="eastAsia" w:cs="宋体"/>
                <w:sz w:val="21"/>
              </w:rPr>
              <w:t>叠加环境质量现状浓度后的保证率日平均质量浓度和年平均质量浓度的占标率，或短期浓度的达标情况</w:t>
            </w:r>
          </w:p>
        </w:tc>
      </w:tr>
      <w:tr w14:paraId="0F087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38" w:type="dxa"/>
            <w:vMerge w:val="continue"/>
            <w:noWrap w:val="0"/>
            <w:vAlign w:val="center"/>
          </w:tcPr>
          <w:p w14:paraId="12BF8502">
            <w:pPr>
              <w:spacing w:line="240" w:lineRule="auto"/>
              <w:ind w:firstLine="0" w:firstLineChars="0"/>
              <w:jc w:val="center"/>
              <w:rPr>
                <w:rFonts w:cs="宋体"/>
                <w:sz w:val="21"/>
              </w:rPr>
            </w:pPr>
          </w:p>
        </w:tc>
        <w:tc>
          <w:tcPr>
            <w:tcW w:w="2276" w:type="dxa"/>
            <w:noWrap w:val="0"/>
            <w:vAlign w:val="center"/>
          </w:tcPr>
          <w:p w14:paraId="762FE6DB">
            <w:pPr>
              <w:spacing w:line="240" w:lineRule="auto"/>
              <w:ind w:firstLine="0" w:firstLineChars="0"/>
              <w:jc w:val="center"/>
              <w:rPr>
                <w:rFonts w:cs="宋体"/>
                <w:sz w:val="21"/>
              </w:rPr>
            </w:pPr>
            <w:r>
              <w:rPr>
                <w:rFonts w:hint="eastAsia" w:cs="宋体"/>
                <w:sz w:val="21"/>
              </w:rPr>
              <w:t>新增污染源</w:t>
            </w:r>
          </w:p>
        </w:tc>
        <w:tc>
          <w:tcPr>
            <w:tcW w:w="1857" w:type="dxa"/>
            <w:noWrap w:val="0"/>
            <w:vAlign w:val="center"/>
          </w:tcPr>
          <w:p w14:paraId="7BDEC3E8">
            <w:pPr>
              <w:spacing w:line="240" w:lineRule="auto"/>
              <w:ind w:firstLine="0" w:firstLineChars="0"/>
              <w:jc w:val="center"/>
              <w:rPr>
                <w:rFonts w:hint="eastAsia" w:cs="宋体"/>
                <w:sz w:val="21"/>
              </w:rPr>
            </w:pPr>
            <w:r>
              <w:rPr>
                <w:rFonts w:hint="eastAsia" w:cs="宋体"/>
                <w:sz w:val="21"/>
              </w:rPr>
              <w:t>非正常排放</w:t>
            </w:r>
          </w:p>
        </w:tc>
        <w:tc>
          <w:tcPr>
            <w:tcW w:w="1303" w:type="dxa"/>
            <w:noWrap w:val="0"/>
            <w:vAlign w:val="center"/>
          </w:tcPr>
          <w:p w14:paraId="1F14D5B2">
            <w:pPr>
              <w:spacing w:line="240" w:lineRule="auto"/>
              <w:ind w:firstLine="0" w:firstLineChars="0"/>
              <w:jc w:val="center"/>
              <w:rPr>
                <w:rFonts w:cs="宋体"/>
                <w:sz w:val="21"/>
              </w:rPr>
            </w:pPr>
            <w:r>
              <w:rPr>
                <w:rFonts w:hint="eastAsia" w:cs="宋体"/>
                <w:sz w:val="21"/>
              </w:rPr>
              <w:t>短期浓度</w:t>
            </w:r>
          </w:p>
        </w:tc>
        <w:tc>
          <w:tcPr>
            <w:tcW w:w="2414" w:type="dxa"/>
            <w:noWrap w:val="0"/>
            <w:vAlign w:val="center"/>
          </w:tcPr>
          <w:p w14:paraId="4F90852C">
            <w:pPr>
              <w:spacing w:line="240" w:lineRule="auto"/>
              <w:ind w:firstLine="0" w:firstLineChars="0"/>
              <w:jc w:val="center"/>
              <w:rPr>
                <w:rFonts w:cs="宋体"/>
                <w:sz w:val="21"/>
              </w:rPr>
            </w:pPr>
            <w:r>
              <w:rPr>
                <w:rFonts w:hint="eastAsia" w:cs="宋体"/>
                <w:sz w:val="21"/>
              </w:rPr>
              <w:t>最大浓度占标率</w:t>
            </w:r>
          </w:p>
        </w:tc>
      </w:tr>
      <w:tr w14:paraId="02EA2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38" w:type="dxa"/>
            <w:vMerge w:val="restart"/>
            <w:noWrap w:val="0"/>
            <w:vAlign w:val="center"/>
          </w:tcPr>
          <w:p w14:paraId="588C6934">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不达标区评价</w:t>
            </w:r>
          </w:p>
        </w:tc>
        <w:tc>
          <w:tcPr>
            <w:tcW w:w="2276" w:type="dxa"/>
            <w:noWrap w:val="0"/>
            <w:vAlign w:val="center"/>
          </w:tcPr>
          <w:p w14:paraId="3A3E1D9E">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新增污染源</w:t>
            </w:r>
          </w:p>
        </w:tc>
        <w:tc>
          <w:tcPr>
            <w:tcW w:w="1857" w:type="dxa"/>
            <w:noWrap w:val="0"/>
            <w:vAlign w:val="center"/>
          </w:tcPr>
          <w:p w14:paraId="5037E52A">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正常排放</w:t>
            </w:r>
          </w:p>
        </w:tc>
        <w:tc>
          <w:tcPr>
            <w:tcW w:w="1303" w:type="dxa"/>
            <w:noWrap w:val="0"/>
            <w:vAlign w:val="center"/>
          </w:tcPr>
          <w:p w14:paraId="66E4464C">
            <w:pPr>
              <w:spacing w:line="240" w:lineRule="auto"/>
              <w:ind w:firstLine="0" w:firstLineChars="0"/>
              <w:jc w:val="center"/>
              <w:rPr>
                <w:rFonts w:hint="eastAsia" w:cs="宋体"/>
                <w:color w:val="auto"/>
                <w:sz w:val="21"/>
              </w:rPr>
            </w:pPr>
            <w:r>
              <w:rPr>
                <w:rFonts w:hint="eastAsia" w:cs="宋体"/>
                <w:color w:val="auto"/>
                <w:sz w:val="21"/>
              </w:rPr>
              <w:t>短期浓度</w:t>
            </w:r>
          </w:p>
          <w:p w14:paraId="50DD8A6C">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长期浓度</w:t>
            </w:r>
          </w:p>
        </w:tc>
        <w:tc>
          <w:tcPr>
            <w:tcW w:w="2414" w:type="dxa"/>
            <w:noWrap w:val="0"/>
            <w:vAlign w:val="center"/>
          </w:tcPr>
          <w:p w14:paraId="7F8B430B">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最大浓度占标率</w:t>
            </w:r>
          </w:p>
        </w:tc>
      </w:tr>
      <w:tr w14:paraId="61C516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38" w:type="dxa"/>
            <w:vMerge w:val="continue"/>
            <w:noWrap w:val="0"/>
            <w:vAlign w:val="top"/>
          </w:tcPr>
          <w:p w14:paraId="4F721220">
            <w:pPr>
              <w:spacing w:line="240" w:lineRule="auto"/>
              <w:ind w:firstLine="0" w:firstLineChars="0"/>
              <w:jc w:val="center"/>
              <w:rPr>
                <w:rFonts w:cs="宋体"/>
                <w:sz w:val="21"/>
              </w:rPr>
            </w:pPr>
          </w:p>
        </w:tc>
        <w:tc>
          <w:tcPr>
            <w:tcW w:w="0" w:type="auto"/>
            <w:noWrap w:val="0"/>
            <w:vAlign w:val="center"/>
          </w:tcPr>
          <w:p w14:paraId="71856DA9">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新增污染源－“以新带老”污染源（如有）－区域削减污染源（如有）＋其他</w:t>
            </w:r>
            <w:r>
              <w:rPr>
                <w:rFonts w:hint="eastAsia" w:cs="宋体"/>
                <w:color w:val="auto"/>
                <w:sz w:val="21"/>
                <w:lang w:eastAsia="zh-CN"/>
              </w:rPr>
              <w:t>在建、拟建的</w:t>
            </w:r>
            <w:r>
              <w:rPr>
                <w:rFonts w:hint="eastAsia" w:cs="宋体"/>
                <w:color w:val="auto"/>
                <w:sz w:val="21"/>
              </w:rPr>
              <w:t>污染源（如有）</w:t>
            </w:r>
          </w:p>
        </w:tc>
        <w:tc>
          <w:tcPr>
            <w:tcW w:w="0" w:type="auto"/>
            <w:noWrap w:val="0"/>
            <w:vAlign w:val="center"/>
          </w:tcPr>
          <w:p w14:paraId="682E2E66">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正常排放</w:t>
            </w:r>
          </w:p>
        </w:tc>
        <w:tc>
          <w:tcPr>
            <w:tcW w:w="0" w:type="auto"/>
            <w:noWrap w:val="0"/>
            <w:vAlign w:val="center"/>
          </w:tcPr>
          <w:p w14:paraId="3A8F0F60">
            <w:pPr>
              <w:spacing w:line="240" w:lineRule="auto"/>
              <w:ind w:firstLine="0" w:firstLineChars="0"/>
              <w:jc w:val="center"/>
              <w:rPr>
                <w:rFonts w:hint="eastAsia" w:cs="宋体"/>
                <w:color w:val="auto"/>
                <w:sz w:val="21"/>
              </w:rPr>
            </w:pPr>
            <w:r>
              <w:rPr>
                <w:rFonts w:hint="eastAsia" w:cs="宋体"/>
                <w:color w:val="auto"/>
                <w:sz w:val="21"/>
              </w:rPr>
              <w:t>短期浓度</w:t>
            </w:r>
          </w:p>
          <w:p w14:paraId="4457A5F5">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长期浓度</w:t>
            </w:r>
          </w:p>
        </w:tc>
        <w:tc>
          <w:tcPr>
            <w:tcW w:w="0" w:type="auto"/>
            <w:noWrap w:val="0"/>
            <w:vAlign w:val="center"/>
          </w:tcPr>
          <w:p w14:paraId="139782A5">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叠加达标规划浓度后的 保证率日平均质量浓度和年平均质量浓度的占标率，或短期浓度的达标情况；评价年平均质量浓度变化率</w:t>
            </w:r>
          </w:p>
        </w:tc>
      </w:tr>
      <w:tr w14:paraId="159AF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38" w:type="dxa"/>
            <w:vMerge w:val="continue"/>
            <w:noWrap w:val="0"/>
            <w:vAlign w:val="top"/>
          </w:tcPr>
          <w:p w14:paraId="50D19E45">
            <w:pPr>
              <w:spacing w:line="240" w:lineRule="auto"/>
              <w:ind w:firstLine="0" w:firstLineChars="0"/>
              <w:jc w:val="center"/>
              <w:rPr>
                <w:rFonts w:cs="宋体"/>
                <w:sz w:val="21"/>
              </w:rPr>
            </w:pPr>
          </w:p>
        </w:tc>
        <w:tc>
          <w:tcPr>
            <w:tcW w:w="0" w:type="auto"/>
            <w:noWrap w:val="0"/>
            <w:vAlign w:val="center"/>
          </w:tcPr>
          <w:p w14:paraId="5D06A2A0">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新增污染源</w:t>
            </w:r>
          </w:p>
        </w:tc>
        <w:tc>
          <w:tcPr>
            <w:tcW w:w="0" w:type="auto"/>
            <w:noWrap w:val="0"/>
            <w:vAlign w:val="center"/>
          </w:tcPr>
          <w:p w14:paraId="4172F39D">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非正常排放</w:t>
            </w:r>
          </w:p>
        </w:tc>
        <w:tc>
          <w:tcPr>
            <w:tcW w:w="0" w:type="auto"/>
            <w:noWrap w:val="0"/>
            <w:vAlign w:val="center"/>
          </w:tcPr>
          <w:p w14:paraId="01000DCC">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短期浓度</w:t>
            </w:r>
          </w:p>
        </w:tc>
        <w:tc>
          <w:tcPr>
            <w:tcW w:w="0" w:type="auto"/>
            <w:noWrap w:val="0"/>
            <w:vAlign w:val="center"/>
          </w:tcPr>
          <w:p w14:paraId="612D4105">
            <w:pPr>
              <w:spacing w:line="240" w:lineRule="auto"/>
              <w:ind w:firstLine="0" w:firstLineChars="0"/>
              <w:jc w:val="center"/>
              <w:rPr>
                <w:rFonts w:hint="eastAsia" w:cs="宋体"/>
                <w:color w:val="auto"/>
                <w:kern w:val="2"/>
                <w:sz w:val="21"/>
                <w:szCs w:val="24"/>
                <w:lang w:val="en-US" w:eastAsia="zh-CN" w:bidi="ar-SA"/>
              </w:rPr>
            </w:pPr>
            <w:r>
              <w:rPr>
                <w:rFonts w:hint="eastAsia" w:cs="宋体"/>
                <w:color w:val="auto"/>
                <w:sz w:val="21"/>
              </w:rPr>
              <w:t>最大浓度占标率</w:t>
            </w:r>
          </w:p>
        </w:tc>
      </w:tr>
    </w:tbl>
    <w:p w14:paraId="531134B0">
      <w:pPr>
        <w:ind w:firstLine="480"/>
        <w:rPr>
          <w:rFonts w:hint="eastAsia"/>
        </w:rPr>
      </w:pPr>
    </w:p>
    <w:p w14:paraId="69808555">
      <w:pPr>
        <w:ind w:firstLine="482"/>
        <w:rPr>
          <w:b/>
          <w:bCs/>
        </w:rPr>
      </w:pPr>
      <w:r>
        <w:rPr>
          <w:rFonts w:hint="eastAsia"/>
          <w:b/>
          <w:bCs/>
        </w:rPr>
        <w:t>4、其他在建、拟建污染源</w:t>
      </w:r>
    </w:p>
    <w:p w14:paraId="6DF3DCB8">
      <w:pPr>
        <w:bidi w:val="0"/>
        <w:rPr>
          <w:rFonts w:hint="eastAsia"/>
        </w:rPr>
        <w:sectPr>
          <w:pgSz w:w="11906" w:h="16838"/>
          <w:pgMar w:top="1417" w:right="1417" w:bottom="1417" w:left="1417" w:header="851" w:footer="992" w:gutter="0"/>
          <w:pgNumType w:fmt="decimal"/>
          <w:cols w:space="720" w:num="1"/>
          <w:docGrid w:type="lines" w:linePitch="333" w:charSpace="0"/>
        </w:sectPr>
      </w:pPr>
      <w:r>
        <w:rPr>
          <w:rFonts w:hint="eastAsia"/>
        </w:rPr>
        <w:t>评价区域内排放同类污染物的在建、拟建污染源见下表：</w:t>
      </w:r>
    </w:p>
    <w:p w14:paraId="3636015E">
      <w:pPr>
        <w:pStyle w:val="85"/>
        <w:numPr>
          <w:ilvl w:val="0"/>
          <w:numId w:val="37"/>
        </w:numPr>
        <w:ind w:left="0" w:leftChars="0" w:firstLine="0" w:firstLineChars="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已批复的在建、拟建点源废气污染源参数一览表</w:t>
      </w:r>
    </w:p>
    <w:tbl>
      <w:tblPr>
        <w:tblStyle w:val="38"/>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324"/>
        <w:gridCol w:w="1269"/>
        <w:gridCol w:w="1064"/>
        <w:gridCol w:w="980"/>
        <w:gridCol w:w="971"/>
        <w:gridCol w:w="870"/>
        <w:gridCol w:w="938"/>
        <w:gridCol w:w="946"/>
        <w:gridCol w:w="977"/>
        <w:gridCol w:w="1025"/>
        <w:gridCol w:w="910"/>
        <w:gridCol w:w="918"/>
        <w:gridCol w:w="834"/>
      </w:tblGrid>
      <w:tr w14:paraId="778F7F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blHeader/>
        </w:trPr>
        <w:tc>
          <w:tcPr>
            <w:tcW w:w="828" w:type="pct"/>
            <w:vMerge w:val="restart"/>
            <w:noWrap w:val="0"/>
            <w:tcMar>
              <w:top w:w="15" w:type="dxa"/>
              <w:left w:w="15" w:type="dxa"/>
              <w:right w:w="15" w:type="dxa"/>
            </w:tcMar>
            <w:vAlign w:val="center"/>
          </w:tcPr>
          <w:p w14:paraId="2748A766">
            <w:pPr>
              <w:widowControl/>
              <w:spacing w:line="240" w:lineRule="auto"/>
              <w:ind w:firstLine="0" w:firstLineChars="0"/>
              <w:jc w:val="center"/>
              <w:textAlignment w:val="center"/>
              <w:rPr>
                <w:rFonts w:hint="eastAsia"/>
                <w:bCs/>
                <w:sz w:val="21"/>
              </w:rPr>
            </w:pPr>
            <w:r>
              <w:rPr>
                <w:rFonts w:hint="eastAsia"/>
                <w:bCs/>
                <w:sz w:val="21"/>
              </w:rPr>
              <w:t>项目</w:t>
            </w:r>
          </w:p>
        </w:tc>
        <w:tc>
          <w:tcPr>
            <w:tcW w:w="452" w:type="pct"/>
            <w:vMerge w:val="restart"/>
            <w:noWrap w:val="0"/>
            <w:tcMar>
              <w:top w:w="15" w:type="dxa"/>
              <w:left w:w="15" w:type="dxa"/>
              <w:right w:w="15" w:type="dxa"/>
            </w:tcMar>
            <w:vAlign w:val="center"/>
          </w:tcPr>
          <w:p w14:paraId="24E8840F">
            <w:pPr>
              <w:widowControl/>
              <w:spacing w:line="240" w:lineRule="auto"/>
              <w:ind w:firstLine="0" w:firstLineChars="0"/>
              <w:jc w:val="center"/>
              <w:textAlignment w:val="center"/>
              <w:rPr>
                <w:bCs/>
                <w:sz w:val="21"/>
              </w:rPr>
            </w:pPr>
            <w:r>
              <w:rPr>
                <w:bCs/>
                <w:kern w:val="0"/>
                <w:sz w:val="21"/>
              </w:rPr>
              <w:t>名称</w:t>
            </w:r>
          </w:p>
        </w:tc>
        <w:tc>
          <w:tcPr>
            <w:tcW w:w="728" w:type="pct"/>
            <w:gridSpan w:val="2"/>
            <w:noWrap w:val="0"/>
            <w:tcMar>
              <w:top w:w="15" w:type="dxa"/>
              <w:left w:w="15" w:type="dxa"/>
              <w:right w:w="15" w:type="dxa"/>
            </w:tcMar>
            <w:vAlign w:val="center"/>
          </w:tcPr>
          <w:p w14:paraId="02BAA8FF">
            <w:pPr>
              <w:widowControl/>
              <w:spacing w:line="240" w:lineRule="auto"/>
              <w:ind w:firstLine="0" w:firstLineChars="0"/>
              <w:jc w:val="center"/>
              <w:textAlignment w:val="center"/>
              <w:rPr>
                <w:bCs/>
                <w:sz w:val="21"/>
              </w:rPr>
            </w:pPr>
            <w:r>
              <w:rPr>
                <w:bCs/>
                <w:kern w:val="0"/>
                <w:sz w:val="21"/>
              </w:rPr>
              <w:t>排气筒底部中心坐标/m</w:t>
            </w:r>
          </w:p>
        </w:tc>
        <w:tc>
          <w:tcPr>
            <w:tcW w:w="346" w:type="pct"/>
            <w:vMerge w:val="restart"/>
            <w:noWrap w:val="0"/>
            <w:tcMar>
              <w:top w:w="15" w:type="dxa"/>
              <w:left w:w="15" w:type="dxa"/>
              <w:right w:w="15" w:type="dxa"/>
            </w:tcMar>
            <w:vAlign w:val="center"/>
          </w:tcPr>
          <w:p w14:paraId="1D496CC4">
            <w:pPr>
              <w:widowControl/>
              <w:spacing w:line="240" w:lineRule="auto"/>
              <w:ind w:firstLine="0" w:firstLineChars="0"/>
              <w:jc w:val="center"/>
              <w:textAlignment w:val="center"/>
              <w:rPr>
                <w:bCs/>
                <w:sz w:val="21"/>
              </w:rPr>
            </w:pPr>
            <w:r>
              <w:rPr>
                <w:bCs/>
                <w:kern w:val="0"/>
                <w:sz w:val="21"/>
              </w:rPr>
              <w:t>排气筒底部海拔高度/m</w:t>
            </w:r>
          </w:p>
        </w:tc>
        <w:tc>
          <w:tcPr>
            <w:tcW w:w="310" w:type="pct"/>
            <w:vMerge w:val="restart"/>
            <w:noWrap w:val="0"/>
            <w:tcMar>
              <w:top w:w="15" w:type="dxa"/>
              <w:left w:w="15" w:type="dxa"/>
              <w:right w:w="15" w:type="dxa"/>
            </w:tcMar>
            <w:vAlign w:val="center"/>
          </w:tcPr>
          <w:p w14:paraId="49B8A984">
            <w:pPr>
              <w:widowControl/>
              <w:spacing w:line="240" w:lineRule="auto"/>
              <w:ind w:firstLine="0" w:firstLineChars="0"/>
              <w:jc w:val="center"/>
              <w:textAlignment w:val="center"/>
              <w:rPr>
                <w:bCs/>
                <w:sz w:val="21"/>
              </w:rPr>
            </w:pPr>
            <w:r>
              <w:rPr>
                <w:bCs/>
                <w:kern w:val="0"/>
                <w:sz w:val="21"/>
              </w:rPr>
              <w:t>排气筒高度/m</w:t>
            </w:r>
          </w:p>
        </w:tc>
        <w:tc>
          <w:tcPr>
            <w:tcW w:w="334" w:type="pct"/>
            <w:vMerge w:val="restart"/>
            <w:noWrap w:val="0"/>
            <w:tcMar>
              <w:top w:w="15" w:type="dxa"/>
              <w:left w:w="15" w:type="dxa"/>
              <w:right w:w="15" w:type="dxa"/>
            </w:tcMar>
            <w:vAlign w:val="center"/>
          </w:tcPr>
          <w:p w14:paraId="6DF874C9">
            <w:pPr>
              <w:widowControl/>
              <w:spacing w:line="240" w:lineRule="auto"/>
              <w:ind w:firstLine="0" w:firstLineChars="0"/>
              <w:jc w:val="center"/>
              <w:textAlignment w:val="center"/>
              <w:rPr>
                <w:bCs/>
                <w:sz w:val="21"/>
              </w:rPr>
            </w:pPr>
            <w:r>
              <w:rPr>
                <w:bCs/>
                <w:kern w:val="0"/>
                <w:sz w:val="21"/>
              </w:rPr>
              <w:t>排气筒出口内径/m</w:t>
            </w:r>
          </w:p>
        </w:tc>
        <w:tc>
          <w:tcPr>
            <w:tcW w:w="337" w:type="pct"/>
            <w:vMerge w:val="restart"/>
            <w:noWrap w:val="0"/>
            <w:tcMar>
              <w:top w:w="15" w:type="dxa"/>
              <w:left w:w="15" w:type="dxa"/>
              <w:right w:w="15" w:type="dxa"/>
            </w:tcMar>
            <w:vAlign w:val="center"/>
          </w:tcPr>
          <w:p w14:paraId="2EF2BBB5">
            <w:pPr>
              <w:widowControl/>
              <w:spacing w:line="240" w:lineRule="auto"/>
              <w:ind w:firstLine="0" w:firstLineChars="0"/>
              <w:jc w:val="center"/>
              <w:textAlignment w:val="center"/>
              <w:rPr>
                <w:bCs/>
                <w:sz w:val="21"/>
              </w:rPr>
            </w:pPr>
            <w:r>
              <w:rPr>
                <w:bCs/>
                <w:kern w:val="0"/>
                <w:sz w:val="21"/>
              </w:rPr>
              <w:t>烟气流速/(m/s)</w:t>
            </w:r>
          </w:p>
        </w:tc>
        <w:tc>
          <w:tcPr>
            <w:tcW w:w="348" w:type="pct"/>
            <w:vMerge w:val="restart"/>
            <w:noWrap w:val="0"/>
            <w:tcMar>
              <w:top w:w="15" w:type="dxa"/>
              <w:left w:w="15" w:type="dxa"/>
              <w:right w:w="15" w:type="dxa"/>
            </w:tcMar>
            <w:vAlign w:val="center"/>
          </w:tcPr>
          <w:p w14:paraId="217324B6">
            <w:pPr>
              <w:widowControl/>
              <w:spacing w:line="240" w:lineRule="auto"/>
              <w:ind w:firstLine="0" w:firstLineChars="0"/>
              <w:jc w:val="center"/>
              <w:textAlignment w:val="center"/>
              <w:rPr>
                <w:bCs/>
                <w:sz w:val="21"/>
              </w:rPr>
            </w:pPr>
            <w:r>
              <w:rPr>
                <w:bCs/>
                <w:kern w:val="0"/>
                <w:sz w:val="21"/>
              </w:rPr>
              <w:t>烟气温度/℃</w:t>
            </w:r>
          </w:p>
        </w:tc>
        <w:tc>
          <w:tcPr>
            <w:tcW w:w="365" w:type="pct"/>
            <w:vMerge w:val="restart"/>
            <w:noWrap w:val="0"/>
            <w:tcMar>
              <w:top w:w="15" w:type="dxa"/>
              <w:left w:w="15" w:type="dxa"/>
              <w:right w:w="15" w:type="dxa"/>
            </w:tcMar>
            <w:vAlign w:val="center"/>
          </w:tcPr>
          <w:p w14:paraId="263D921B">
            <w:pPr>
              <w:widowControl/>
              <w:spacing w:line="240" w:lineRule="auto"/>
              <w:ind w:firstLine="0" w:firstLineChars="0"/>
              <w:jc w:val="center"/>
              <w:textAlignment w:val="center"/>
              <w:rPr>
                <w:bCs/>
                <w:sz w:val="21"/>
              </w:rPr>
            </w:pPr>
            <w:r>
              <w:rPr>
                <w:bCs/>
                <w:kern w:val="0"/>
                <w:sz w:val="21"/>
              </w:rPr>
              <w:t>年排小时数/h</w:t>
            </w:r>
          </w:p>
        </w:tc>
        <w:tc>
          <w:tcPr>
            <w:tcW w:w="324" w:type="pct"/>
            <w:vMerge w:val="restart"/>
            <w:noWrap w:val="0"/>
            <w:tcMar>
              <w:top w:w="15" w:type="dxa"/>
              <w:left w:w="15" w:type="dxa"/>
              <w:right w:w="15" w:type="dxa"/>
            </w:tcMar>
            <w:vAlign w:val="center"/>
          </w:tcPr>
          <w:p w14:paraId="52C3600D">
            <w:pPr>
              <w:widowControl/>
              <w:spacing w:line="240" w:lineRule="auto"/>
              <w:ind w:firstLine="0" w:firstLineChars="0"/>
              <w:jc w:val="center"/>
              <w:textAlignment w:val="center"/>
              <w:rPr>
                <w:bCs/>
                <w:sz w:val="21"/>
              </w:rPr>
            </w:pPr>
            <w:r>
              <w:rPr>
                <w:bCs/>
                <w:kern w:val="0"/>
                <w:sz w:val="21"/>
              </w:rPr>
              <w:t>排放工况</w:t>
            </w:r>
          </w:p>
        </w:tc>
        <w:tc>
          <w:tcPr>
            <w:tcW w:w="624" w:type="pct"/>
            <w:gridSpan w:val="2"/>
            <w:noWrap w:val="0"/>
            <w:tcMar>
              <w:top w:w="15" w:type="dxa"/>
              <w:left w:w="15" w:type="dxa"/>
              <w:right w:w="15" w:type="dxa"/>
            </w:tcMar>
            <w:vAlign w:val="center"/>
          </w:tcPr>
          <w:p w14:paraId="3293DF66">
            <w:pPr>
              <w:widowControl/>
              <w:spacing w:line="240" w:lineRule="auto"/>
              <w:ind w:firstLine="0" w:firstLineChars="0"/>
              <w:jc w:val="center"/>
              <w:textAlignment w:val="center"/>
              <w:rPr>
                <w:bCs/>
                <w:kern w:val="0"/>
                <w:sz w:val="21"/>
              </w:rPr>
            </w:pPr>
            <w:r>
              <w:rPr>
                <w:bCs/>
                <w:kern w:val="0"/>
                <w:sz w:val="21"/>
              </w:rPr>
              <w:t>污染排放速率/(kg/ h)</w:t>
            </w:r>
          </w:p>
        </w:tc>
      </w:tr>
      <w:tr w14:paraId="102337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blHeader/>
        </w:trPr>
        <w:tc>
          <w:tcPr>
            <w:tcW w:w="828" w:type="pct"/>
            <w:vMerge w:val="continue"/>
            <w:noWrap w:val="0"/>
            <w:tcMar>
              <w:top w:w="15" w:type="dxa"/>
              <w:left w:w="15" w:type="dxa"/>
              <w:right w:w="15" w:type="dxa"/>
            </w:tcMar>
            <w:vAlign w:val="center"/>
          </w:tcPr>
          <w:p w14:paraId="6E5AB04B">
            <w:pPr>
              <w:spacing w:line="240" w:lineRule="auto"/>
              <w:ind w:firstLine="0" w:firstLineChars="0"/>
              <w:jc w:val="center"/>
              <w:rPr>
                <w:bCs/>
                <w:sz w:val="21"/>
              </w:rPr>
            </w:pPr>
          </w:p>
        </w:tc>
        <w:tc>
          <w:tcPr>
            <w:tcW w:w="452" w:type="pct"/>
            <w:vMerge w:val="continue"/>
            <w:noWrap w:val="0"/>
            <w:tcMar>
              <w:top w:w="15" w:type="dxa"/>
              <w:left w:w="15" w:type="dxa"/>
              <w:right w:w="15" w:type="dxa"/>
            </w:tcMar>
            <w:vAlign w:val="center"/>
          </w:tcPr>
          <w:p w14:paraId="1EE9B462">
            <w:pPr>
              <w:spacing w:line="240" w:lineRule="auto"/>
              <w:ind w:firstLine="0" w:firstLineChars="0"/>
              <w:jc w:val="center"/>
              <w:rPr>
                <w:bCs/>
                <w:sz w:val="21"/>
              </w:rPr>
            </w:pPr>
          </w:p>
        </w:tc>
        <w:tc>
          <w:tcPr>
            <w:tcW w:w="379" w:type="pct"/>
            <w:noWrap w:val="0"/>
            <w:tcMar>
              <w:top w:w="15" w:type="dxa"/>
              <w:left w:w="15" w:type="dxa"/>
              <w:right w:w="15" w:type="dxa"/>
            </w:tcMar>
            <w:vAlign w:val="center"/>
          </w:tcPr>
          <w:p w14:paraId="6695EA88">
            <w:pPr>
              <w:widowControl/>
              <w:spacing w:line="240" w:lineRule="auto"/>
              <w:ind w:firstLine="0" w:firstLineChars="0"/>
              <w:jc w:val="center"/>
              <w:textAlignment w:val="center"/>
              <w:rPr>
                <w:bCs/>
                <w:sz w:val="21"/>
              </w:rPr>
            </w:pPr>
            <w:r>
              <w:rPr>
                <w:bCs/>
                <w:kern w:val="0"/>
                <w:sz w:val="21"/>
              </w:rPr>
              <w:t>X</w:t>
            </w:r>
          </w:p>
        </w:tc>
        <w:tc>
          <w:tcPr>
            <w:tcW w:w="349" w:type="pct"/>
            <w:noWrap w:val="0"/>
            <w:tcMar>
              <w:top w:w="15" w:type="dxa"/>
              <w:left w:w="15" w:type="dxa"/>
              <w:right w:w="15" w:type="dxa"/>
            </w:tcMar>
            <w:vAlign w:val="center"/>
          </w:tcPr>
          <w:p w14:paraId="1A885F7F">
            <w:pPr>
              <w:widowControl/>
              <w:spacing w:line="240" w:lineRule="auto"/>
              <w:ind w:firstLine="0" w:firstLineChars="0"/>
              <w:jc w:val="center"/>
              <w:textAlignment w:val="center"/>
              <w:rPr>
                <w:bCs/>
                <w:sz w:val="21"/>
              </w:rPr>
            </w:pPr>
            <w:r>
              <w:rPr>
                <w:bCs/>
                <w:kern w:val="0"/>
                <w:sz w:val="21"/>
              </w:rPr>
              <w:t>Y</w:t>
            </w:r>
          </w:p>
        </w:tc>
        <w:tc>
          <w:tcPr>
            <w:tcW w:w="346" w:type="pct"/>
            <w:vMerge w:val="continue"/>
            <w:noWrap w:val="0"/>
            <w:tcMar>
              <w:top w:w="15" w:type="dxa"/>
              <w:left w:w="15" w:type="dxa"/>
              <w:right w:w="15" w:type="dxa"/>
            </w:tcMar>
            <w:vAlign w:val="center"/>
          </w:tcPr>
          <w:p w14:paraId="6648ACF6">
            <w:pPr>
              <w:spacing w:line="240" w:lineRule="auto"/>
              <w:ind w:firstLine="0" w:firstLineChars="0"/>
              <w:jc w:val="center"/>
              <w:rPr>
                <w:bCs/>
                <w:sz w:val="21"/>
              </w:rPr>
            </w:pPr>
          </w:p>
        </w:tc>
        <w:tc>
          <w:tcPr>
            <w:tcW w:w="310" w:type="pct"/>
            <w:vMerge w:val="continue"/>
            <w:noWrap w:val="0"/>
            <w:tcMar>
              <w:top w:w="15" w:type="dxa"/>
              <w:left w:w="15" w:type="dxa"/>
              <w:right w:w="15" w:type="dxa"/>
            </w:tcMar>
            <w:vAlign w:val="center"/>
          </w:tcPr>
          <w:p w14:paraId="4D3C9242">
            <w:pPr>
              <w:spacing w:line="240" w:lineRule="auto"/>
              <w:ind w:firstLine="0" w:firstLineChars="0"/>
              <w:jc w:val="center"/>
              <w:rPr>
                <w:bCs/>
                <w:sz w:val="21"/>
              </w:rPr>
            </w:pPr>
          </w:p>
        </w:tc>
        <w:tc>
          <w:tcPr>
            <w:tcW w:w="334" w:type="pct"/>
            <w:vMerge w:val="continue"/>
            <w:noWrap w:val="0"/>
            <w:tcMar>
              <w:top w:w="15" w:type="dxa"/>
              <w:left w:w="15" w:type="dxa"/>
              <w:right w:w="15" w:type="dxa"/>
            </w:tcMar>
            <w:vAlign w:val="center"/>
          </w:tcPr>
          <w:p w14:paraId="344F2FD7">
            <w:pPr>
              <w:spacing w:line="240" w:lineRule="auto"/>
              <w:ind w:firstLine="0" w:firstLineChars="0"/>
              <w:jc w:val="center"/>
              <w:rPr>
                <w:bCs/>
                <w:sz w:val="21"/>
              </w:rPr>
            </w:pPr>
          </w:p>
        </w:tc>
        <w:tc>
          <w:tcPr>
            <w:tcW w:w="337" w:type="pct"/>
            <w:vMerge w:val="continue"/>
            <w:noWrap w:val="0"/>
            <w:tcMar>
              <w:top w:w="15" w:type="dxa"/>
              <w:left w:w="15" w:type="dxa"/>
              <w:right w:w="15" w:type="dxa"/>
            </w:tcMar>
            <w:vAlign w:val="center"/>
          </w:tcPr>
          <w:p w14:paraId="02467C3B">
            <w:pPr>
              <w:spacing w:line="240" w:lineRule="auto"/>
              <w:ind w:firstLine="0" w:firstLineChars="0"/>
              <w:jc w:val="center"/>
              <w:rPr>
                <w:bCs/>
                <w:sz w:val="21"/>
              </w:rPr>
            </w:pPr>
          </w:p>
        </w:tc>
        <w:tc>
          <w:tcPr>
            <w:tcW w:w="348" w:type="pct"/>
            <w:vMerge w:val="continue"/>
            <w:noWrap w:val="0"/>
            <w:tcMar>
              <w:top w:w="15" w:type="dxa"/>
              <w:left w:w="15" w:type="dxa"/>
              <w:right w:w="15" w:type="dxa"/>
            </w:tcMar>
            <w:vAlign w:val="center"/>
          </w:tcPr>
          <w:p w14:paraId="667965AC">
            <w:pPr>
              <w:spacing w:line="240" w:lineRule="auto"/>
              <w:ind w:firstLine="0" w:firstLineChars="0"/>
              <w:jc w:val="center"/>
              <w:rPr>
                <w:bCs/>
                <w:sz w:val="21"/>
              </w:rPr>
            </w:pPr>
          </w:p>
        </w:tc>
        <w:tc>
          <w:tcPr>
            <w:tcW w:w="365" w:type="pct"/>
            <w:vMerge w:val="continue"/>
            <w:noWrap w:val="0"/>
            <w:tcMar>
              <w:top w:w="15" w:type="dxa"/>
              <w:left w:w="15" w:type="dxa"/>
              <w:right w:w="15" w:type="dxa"/>
            </w:tcMar>
            <w:vAlign w:val="center"/>
          </w:tcPr>
          <w:p w14:paraId="0EE11EA3">
            <w:pPr>
              <w:spacing w:line="240" w:lineRule="auto"/>
              <w:ind w:firstLine="0" w:firstLineChars="0"/>
              <w:jc w:val="center"/>
              <w:rPr>
                <w:bCs/>
                <w:sz w:val="21"/>
              </w:rPr>
            </w:pPr>
          </w:p>
        </w:tc>
        <w:tc>
          <w:tcPr>
            <w:tcW w:w="324" w:type="pct"/>
            <w:vMerge w:val="continue"/>
            <w:noWrap w:val="0"/>
            <w:tcMar>
              <w:top w:w="15" w:type="dxa"/>
              <w:left w:w="15" w:type="dxa"/>
              <w:right w:w="15" w:type="dxa"/>
            </w:tcMar>
            <w:vAlign w:val="center"/>
          </w:tcPr>
          <w:p w14:paraId="0AE7A05B">
            <w:pPr>
              <w:spacing w:line="240" w:lineRule="auto"/>
              <w:ind w:firstLine="0" w:firstLineChars="0"/>
              <w:jc w:val="center"/>
              <w:rPr>
                <w:bCs/>
                <w:sz w:val="21"/>
              </w:rPr>
            </w:pPr>
          </w:p>
        </w:tc>
        <w:tc>
          <w:tcPr>
            <w:tcW w:w="327" w:type="pct"/>
            <w:noWrap w:val="0"/>
            <w:tcMar>
              <w:top w:w="15" w:type="dxa"/>
              <w:left w:w="15" w:type="dxa"/>
              <w:right w:w="15" w:type="dxa"/>
            </w:tcMar>
            <w:vAlign w:val="center"/>
          </w:tcPr>
          <w:p w14:paraId="6FACBF38">
            <w:pPr>
              <w:widowControl/>
              <w:spacing w:line="240" w:lineRule="auto"/>
              <w:ind w:firstLine="0" w:firstLineChars="0"/>
              <w:jc w:val="center"/>
              <w:textAlignment w:val="center"/>
              <w:rPr>
                <w:bCs/>
                <w:sz w:val="21"/>
              </w:rPr>
            </w:pPr>
            <w:r>
              <w:rPr>
                <w:bCs/>
                <w:sz w:val="21"/>
              </w:rPr>
              <w:t>VOCs</w:t>
            </w:r>
          </w:p>
        </w:tc>
        <w:tc>
          <w:tcPr>
            <w:tcW w:w="297" w:type="pct"/>
            <w:noWrap w:val="0"/>
            <w:tcMar>
              <w:top w:w="15" w:type="dxa"/>
              <w:left w:w="15" w:type="dxa"/>
              <w:right w:w="15" w:type="dxa"/>
            </w:tcMar>
            <w:vAlign w:val="center"/>
          </w:tcPr>
          <w:p w14:paraId="0D0491EF">
            <w:pPr>
              <w:widowControl/>
              <w:spacing w:line="240" w:lineRule="auto"/>
              <w:ind w:firstLine="0" w:firstLineChars="0"/>
              <w:jc w:val="center"/>
              <w:textAlignment w:val="center"/>
              <w:rPr>
                <w:rFonts w:hint="default" w:eastAsia="宋体"/>
                <w:bCs/>
                <w:sz w:val="21"/>
                <w:lang w:val="en-US" w:eastAsia="zh-CN"/>
              </w:rPr>
            </w:pPr>
            <w:r>
              <w:rPr>
                <w:rFonts w:hint="eastAsia"/>
                <w:bCs/>
                <w:kern w:val="0"/>
                <w:sz w:val="21"/>
                <w:lang w:val="en-US" w:eastAsia="zh-CN"/>
              </w:rPr>
              <w:t>NMHC</w:t>
            </w:r>
          </w:p>
        </w:tc>
      </w:tr>
      <w:tr w14:paraId="31BD2E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8" w:type="pct"/>
            <w:noWrap w:val="0"/>
            <w:tcMar>
              <w:top w:w="15" w:type="dxa"/>
              <w:left w:w="15" w:type="dxa"/>
              <w:right w:w="15" w:type="dxa"/>
            </w:tcMar>
            <w:vAlign w:val="center"/>
          </w:tcPr>
          <w:p w14:paraId="08E128F9">
            <w:pPr>
              <w:pStyle w:val="59"/>
              <w:rPr>
                <w:rFonts w:hint="eastAsia"/>
                <w:lang w:val="en-US" w:eastAsia="zh-CN"/>
              </w:rPr>
            </w:pPr>
            <w:r>
              <w:rPr>
                <w:rFonts w:hint="eastAsia"/>
                <w:lang w:val="en-US" w:eastAsia="zh-CN"/>
              </w:rPr>
              <w:t>展阳纺织科技(鹤山)有限公司年产功能性运动服饰200万件、针织运动袜100万双、针织围巾、针织帽子50万件新建项目</w:t>
            </w:r>
          </w:p>
        </w:tc>
        <w:tc>
          <w:tcPr>
            <w:tcW w:w="452" w:type="pct"/>
            <w:noWrap w:val="0"/>
            <w:tcMar>
              <w:top w:w="15" w:type="dxa"/>
              <w:left w:w="15" w:type="dxa"/>
              <w:right w:w="15" w:type="dxa"/>
            </w:tcMar>
            <w:vAlign w:val="center"/>
          </w:tcPr>
          <w:p w14:paraId="06AD0D7D">
            <w:pPr>
              <w:pStyle w:val="59"/>
              <w:rPr>
                <w:rFonts w:hint="default"/>
                <w:lang w:val="en-US" w:eastAsia="zh-CN"/>
              </w:rPr>
            </w:pPr>
            <w:r>
              <w:rPr>
                <w:rFonts w:hint="eastAsia"/>
                <w:lang w:val="en-US" w:eastAsia="zh-CN"/>
              </w:rPr>
              <w:t>排气筒P1</w:t>
            </w:r>
          </w:p>
        </w:tc>
        <w:tc>
          <w:tcPr>
            <w:tcW w:w="379" w:type="pct"/>
            <w:noWrap w:val="0"/>
            <w:tcMar>
              <w:top w:w="15" w:type="dxa"/>
              <w:left w:w="15" w:type="dxa"/>
              <w:right w:w="15" w:type="dxa"/>
            </w:tcMar>
            <w:vAlign w:val="center"/>
          </w:tcPr>
          <w:p w14:paraId="2B557B2A">
            <w:pPr>
              <w:pStyle w:val="69"/>
              <w:rPr>
                <w:rFonts w:hint="default"/>
                <w:kern w:val="2"/>
                <w:szCs w:val="24"/>
                <w:lang w:val="en-US" w:eastAsia="zh-CN"/>
              </w:rPr>
            </w:pPr>
            <w:r>
              <w:rPr>
                <w:rFonts w:hint="eastAsia"/>
                <w:kern w:val="2"/>
                <w:szCs w:val="24"/>
                <w:lang w:val="en-US" w:eastAsia="zh-CN"/>
              </w:rPr>
              <w:t>-2472</w:t>
            </w:r>
          </w:p>
        </w:tc>
        <w:tc>
          <w:tcPr>
            <w:tcW w:w="349" w:type="pct"/>
            <w:noWrap w:val="0"/>
            <w:tcMar>
              <w:top w:w="15" w:type="dxa"/>
              <w:left w:w="15" w:type="dxa"/>
              <w:right w:w="15" w:type="dxa"/>
            </w:tcMar>
            <w:vAlign w:val="center"/>
          </w:tcPr>
          <w:p w14:paraId="79068DAE">
            <w:pPr>
              <w:pStyle w:val="69"/>
              <w:rPr>
                <w:rFonts w:hint="default"/>
                <w:kern w:val="2"/>
                <w:szCs w:val="24"/>
                <w:lang w:val="en-US" w:eastAsia="zh-CN"/>
              </w:rPr>
            </w:pPr>
            <w:r>
              <w:rPr>
                <w:rFonts w:hint="eastAsia"/>
                <w:kern w:val="2"/>
                <w:szCs w:val="24"/>
                <w:lang w:val="en-US" w:eastAsia="zh-CN"/>
              </w:rPr>
              <w:t>435</w:t>
            </w:r>
          </w:p>
        </w:tc>
        <w:tc>
          <w:tcPr>
            <w:tcW w:w="346" w:type="pct"/>
            <w:noWrap w:val="0"/>
            <w:tcMar>
              <w:top w:w="15" w:type="dxa"/>
              <w:left w:w="15" w:type="dxa"/>
              <w:right w:w="15" w:type="dxa"/>
            </w:tcMar>
            <w:vAlign w:val="center"/>
          </w:tcPr>
          <w:p w14:paraId="38A8C9E8">
            <w:pPr>
              <w:pStyle w:val="59"/>
              <w:rPr>
                <w:rFonts w:hint="default"/>
                <w:lang w:val="en-US" w:eastAsia="zh-CN"/>
              </w:rPr>
            </w:pPr>
            <w:r>
              <w:rPr>
                <w:rFonts w:hint="eastAsia"/>
                <w:lang w:val="en-US" w:eastAsia="zh-CN"/>
              </w:rPr>
              <w:t>25</w:t>
            </w:r>
          </w:p>
        </w:tc>
        <w:tc>
          <w:tcPr>
            <w:tcW w:w="310" w:type="pct"/>
            <w:noWrap w:val="0"/>
            <w:tcMar>
              <w:top w:w="15" w:type="dxa"/>
              <w:left w:w="15" w:type="dxa"/>
              <w:right w:w="15" w:type="dxa"/>
            </w:tcMar>
            <w:vAlign w:val="center"/>
          </w:tcPr>
          <w:p w14:paraId="69F8D8A7">
            <w:pPr>
              <w:pStyle w:val="59"/>
              <w:rPr>
                <w:rFonts w:hint="default"/>
                <w:lang w:val="en-US" w:eastAsia="zh-CN"/>
              </w:rPr>
            </w:pPr>
            <w:r>
              <w:rPr>
                <w:rFonts w:hint="eastAsia"/>
                <w:lang w:val="en-US" w:eastAsia="zh-CN"/>
              </w:rPr>
              <w:t>29.5</w:t>
            </w:r>
          </w:p>
        </w:tc>
        <w:tc>
          <w:tcPr>
            <w:tcW w:w="334" w:type="pct"/>
            <w:noWrap w:val="0"/>
            <w:tcMar>
              <w:top w:w="15" w:type="dxa"/>
              <w:left w:w="15" w:type="dxa"/>
              <w:right w:w="15" w:type="dxa"/>
            </w:tcMar>
            <w:vAlign w:val="center"/>
          </w:tcPr>
          <w:p w14:paraId="5875BA03">
            <w:pPr>
              <w:pStyle w:val="59"/>
              <w:rPr>
                <w:rFonts w:hint="default"/>
                <w:lang w:val="en-US" w:eastAsia="zh-CN"/>
              </w:rPr>
            </w:pPr>
            <w:r>
              <w:rPr>
                <w:rFonts w:hint="eastAsia"/>
                <w:lang w:val="en-US" w:eastAsia="zh-CN"/>
              </w:rPr>
              <w:t>1.2</w:t>
            </w:r>
          </w:p>
        </w:tc>
        <w:tc>
          <w:tcPr>
            <w:tcW w:w="337" w:type="pct"/>
            <w:noWrap w:val="0"/>
            <w:tcMar>
              <w:top w:w="15" w:type="dxa"/>
              <w:left w:w="15" w:type="dxa"/>
              <w:right w:w="15" w:type="dxa"/>
            </w:tcMar>
            <w:vAlign w:val="center"/>
          </w:tcPr>
          <w:p w14:paraId="1BDFB34B">
            <w:pPr>
              <w:pStyle w:val="59"/>
              <w:rPr>
                <w:rFonts w:hint="default"/>
                <w:lang w:val="en-US" w:eastAsia="zh-CN"/>
              </w:rPr>
            </w:pPr>
            <w:r>
              <w:rPr>
                <w:rFonts w:hint="eastAsia"/>
                <w:lang w:val="en-US" w:eastAsia="zh-CN"/>
              </w:rPr>
              <w:t>12.29</w:t>
            </w:r>
          </w:p>
        </w:tc>
        <w:tc>
          <w:tcPr>
            <w:tcW w:w="348" w:type="pct"/>
            <w:noWrap w:val="0"/>
            <w:tcMar>
              <w:top w:w="15" w:type="dxa"/>
              <w:left w:w="15" w:type="dxa"/>
              <w:right w:w="15" w:type="dxa"/>
            </w:tcMar>
            <w:vAlign w:val="center"/>
          </w:tcPr>
          <w:p w14:paraId="709CC64A">
            <w:pPr>
              <w:pStyle w:val="59"/>
              <w:rPr>
                <w:rFonts w:hint="default"/>
                <w:lang w:val="en-US" w:eastAsia="zh-CN"/>
              </w:rPr>
            </w:pPr>
            <w:r>
              <w:rPr>
                <w:rFonts w:hint="eastAsia"/>
                <w:lang w:val="en-US" w:eastAsia="zh-CN"/>
              </w:rPr>
              <w:t>25</w:t>
            </w:r>
          </w:p>
        </w:tc>
        <w:tc>
          <w:tcPr>
            <w:tcW w:w="365" w:type="pct"/>
            <w:noWrap w:val="0"/>
            <w:tcMar>
              <w:top w:w="15" w:type="dxa"/>
              <w:left w:w="15" w:type="dxa"/>
              <w:right w:w="15" w:type="dxa"/>
            </w:tcMar>
            <w:vAlign w:val="center"/>
          </w:tcPr>
          <w:p w14:paraId="243B0072">
            <w:pPr>
              <w:pStyle w:val="59"/>
              <w:rPr>
                <w:rFonts w:hint="default"/>
                <w:lang w:val="en-US" w:eastAsia="zh-CN"/>
              </w:rPr>
            </w:pPr>
            <w:r>
              <w:rPr>
                <w:rFonts w:hint="eastAsia"/>
                <w:lang w:val="en-US" w:eastAsia="zh-CN"/>
              </w:rPr>
              <w:t>7200</w:t>
            </w:r>
          </w:p>
        </w:tc>
        <w:tc>
          <w:tcPr>
            <w:tcW w:w="324" w:type="pct"/>
            <w:noWrap w:val="0"/>
            <w:tcMar>
              <w:top w:w="15" w:type="dxa"/>
              <w:left w:w="15" w:type="dxa"/>
              <w:right w:w="15" w:type="dxa"/>
            </w:tcMar>
            <w:vAlign w:val="center"/>
          </w:tcPr>
          <w:p w14:paraId="2D9C9FEE">
            <w:pPr>
              <w:pStyle w:val="59"/>
              <w:rPr>
                <w:rFonts w:hint="default"/>
                <w:lang w:val="en-US" w:eastAsia="zh-CN"/>
              </w:rPr>
            </w:pPr>
            <w:r>
              <w:rPr>
                <w:rFonts w:hint="eastAsia"/>
                <w:lang w:val="en-US" w:eastAsia="zh-CN"/>
              </w:rPr>
              <w:t>正常</w:t>
            </w:r>
          </w:p>
        </w:tc>
        <w:tc>
          <w:tcPr>
            <w:tcW w:w="327" w:type="pct"/>
            <w:noWrap w:val="0"/>
            <w:tcMar>
              <w:top w:w="15" w:type="dxa"/>
              <w:left w:w="15" w:type="dxa"/>
              <w:right w:w="15" w:type="dxa"/>
            </w:tcMar>
            <w:vAlign w:val="center"/>
          </w:tcPr>
          <w:p w14:paraId="5A31CD96">
            <w:pPr>
              <w:pStyle w:val="59"/>
              <w:rPr>
                <w:rFonts w:hint="default"/>
                <w:lang w:val="en-US" w:eastAsia="zh-CN"/>
              </w:rPr>
            </w:pPr>
            <w:r>
              <w:rPr>
                <w:rFonts w:hint="eastAsia"/>
                <w:lang w:val="en-US" w:eastAsia="zh-CN"/>
              </w:rPr>
              <w:t>0.048</w:t>
            </w:r>
          </w:p>
        </w:tc>
        <w:tc>
          <w:tcPr>
            <w:tcW w:w="297" w:type="pct"/>
            <w:noWrap w:val="0"/>
            <w:tcMar>
              <w:top w:w="15" w:type="dxa"/>
              <w:left w:w="15" w:type="dxa"/>
              <w:right w:w="15" w:type="dxa"/>
            </w:tcMar>
            <w:vAlign w:val="center"/>
          </w:tcPr>
          <w:p w14:paraId="20BF9FB8">
            <w:pPr>
              <w:pStyle w:val="59"/>
              <w:rPr>
                <w:lang w:val="en-US" w:eastAsia="zh-CN"/>
              </w:rPr>
            </w:pPr>
            <w:r>
              <w:rPr>
                <w:rFonts w:hint="eastAsia"/>
                <w:lang w:val="en-US" w:eastAsia="zh-CN"/>
              </w:rPr>
              <w:t>0.048</w:t>
            </w:r>
          </w:p>
        </w:tc>
      </w:tr>
    </w:tbl>
    <w:p w14:paraId="005660C6">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已批复的在建、拟建面源废气污染源参数一览表</w:t>
      </w:r>
    </w:p>
    <w:tbl>
      <w:tblPr>
        <w:tblStyle w:val="38"/>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044"/>
        <w:gridCol w:w="859"/>
        <w:gridCol w:w="1246"/>
        <w:gridCol w:w="1193"/>
        <w:gridCol w:w="963"/>
        <w:gridCol w:w="963"/>
        <w:gridCol w:w="963"/>
        <w:gridCol w:w="963"/>
        <w:gridCol w:w="963"/>
        <w:gridCol w:w="963"/>
        <w:gridCol w:w="963"/>
        <w:gridCol w:w="963"/>
        <w:gridCol w:w="966"/>
        <w:gridCol w:w="11"/>
      </w:tblGrid>
      <w:tr w14:paraId="375D1F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blHeader/>
        </w:trPr>
        <w:tc>
          <w:tcPr>
            <w:tcW w:w="728" w:type="pct"/>
            <w:vMerge w:val="restart"/>
            <w:noWrap w:val="0"/>
            <w:tcMar>
              <w:top w:w="15" w:type="dxa"/>
              <w:left w:w="15" w:type="dxa"/>
              <w:right w:w="15" w:type="dxa"/>
            </w:tcMar>
            <w:vAlign w:val="center"/>
          </w:tcPr>
          <w:p w14:paraId="2C57B58F">
            <w:pPr>
              <w:widowControl/>
              <w:spacing w:line="240" w:lineRule="auto"/>
              <w:ind w:firstLine="0" w:firstLineChars="0"/>
              <w:jc w:val="center"/>
              <w:textAlignment w:val="center"/>
              <w:rPr>
                <w:rFonts w:hint="eastAsia"/>
                <w:bCs/>
                <w:sz w:val="21"/>
              </w:rPr>
            </w:pPr>
            <w:r>
              <w:rPr>
                <w:rFonts w:hint="eastAsia"/>
                <w:bCs/>
                <w:kern w:val="0"/>
                <w:sz w:val="21"/>
              </w:rPr>
              <w:t>项目</w:t>
            </w:r>
          </w:p>
        </w:tc>
        <w:tc>
          <w:tcPr>
            <w:tcW w:w="306" w:type="pct"/>
            <w:vMerge w:val="restart"/>
            <w:noWrap w:val="0"/>
            <w:tcMar>
              <w:top w:w="15" w:type="dxa"/>
              <w:left w:w="15" w:type="dxa"/>
              <w:right w:w="15" w:type="dxa"/>
            </w:tcMar>
            <w:vAlign w:val="center"/>
          </w:tcPr>
          <w:p w14:paraId="2282008D">
            <w:pPr>
              <w:widowControl/>
              <w:spacing w:line="240" w:lineRule="auto"/>
              <w:ind w:firstLine="0" w:firstLineChars="0"/>
              <w:jc w:val="center"/>
              <w:textAlignment w:val="center"/>
              <w:rPr>
                <w:bCs/>
                <w:sz w:val="21"/>
              </w:rPr>
            </w:pPr>
            <w:r>
              <w:rPr>
                <w:bCs/>
                <w:kern w:val="0"/>
                <w:sz w:val="21"/>
              </w:rPr>
              <w:t>名称</w:t>
            </w:r>
          </w:p>
        </w:tc>
        <w:tc>
          <w:tcPr>
            <w:tcW w:w="869" w:type="pct"/>
            <w:gridSpan w:val="2"/>
            <w:noWrap w:val="0"/>
            <w:tcMar>
              <w:top w:w="15" w:type="dxa"/>
              <w:left w:w="15" w:type="dxa"/>
              <w:right w:w="15" w:type="dxa"/>
            </w:tcMar>
            <w:vAlign w:val="center"/>
          </w:tcPr>
          <w:p w14:paraId="1FD7188F">
            <w:pPr>
              <w:widowControl/>
              <w:spacing w:line="240" w:lineRule="auto"/>
              <w:ind w:firstLine="0" w:firstLineChars="0"/>
              <w:jc w:val="center"/>
              <w:textAlignment w:val="center"/>
              <w:rPr>
                <w:bCs/>
                <w:sz w:val="21"/>
              </w:rPr>
            </w:pPr>
            <w:r>
              <w:rPr>
                <w:bCs/>
                <w:kern w:val="0"/>
                <w:sz w:val="21"/>
              </w:rPr>
              <w:t>面源起点坐标/m</w:t>
            </w:r>
          </w:p>
        </w:tc>
        <w:tc>
          <w:tcPr>
            <w:tcW w:w="343" w:type="pct"/>
            <w:vMerge w:val="restart"/>
            <w:noWrap w:val="0"/>
            <w:tcMar>
              <w:top w:w="15" w:type="dxa"/>
              <w:left w:w="15" w:type="dxa"/>
              <w:right w:w="15" w:type="dxa"/>
            </w:tcMar>
            <w:vAlign w:val="center"/>
          </w:tcPr>
          <w:p w14:paraId="2D02494A">
            <w:pPr>
              <w:widowControl/>
              <w:spacing w:line="240" w:lineRule="auto"/>
              <w:ind w:firstLine="0" w:firstLineChars="0"/>
              <w:jc w:val="center"/>
              <w:textAlignment w:val="center"/>
              <w:rPr>
                <w:bCs/>
                <w:sz w:val="21"/>
              </w:rPr>
            </w:pPr>
            <w:r>
              <w:rPr>
                <w:bCs/>
                <w:kern w:val="0"/>
                <w:sz w:val="21"/>
              </w:rPr>
              <w:t>海拔高度/m</w:t>
            </w:r>
          </w:p>
        </w:tc>
        <w:tc>
          <w:tcPr>
            <w:tcW w:w="343" w:type="pct"/>
            <w:vMerge w:val="restart"/>
            <w:noWrap w:val="0"/>
            <w:tcMar>
              <w:top w:w="15" w:type="dxa"/>
              <w:left w:w="15" w:type="dxa"/>
              <w:right w:w="15" w:type="dxa"/>
            </w:tcMar>
            <w:vAlign w:val="center"/>
          </w:tcPr>
          <w:p w14:paraId="5458B6E8">
            <w:pPr>
              <w:widowControl/>
              <w:spacing w:line="240" w:lineRule="auto"/>
              <w:ind w:firstLine="0" w:firstLineChars="0"/>
              <w:jc w:val="center"/>
              <w:textAlignment w:val="center"/>
              <w:rPr>
                <w:bCs/>
                <w:sz w:val="21"/>
              </w:rPr>
            </w:pPr>
            <w:r>
              <w:rPr>
                <w:bCs/>
                <w:kern w:val="0"/>
                <w:sz w:val="21"/>
              </w:rPr>
              <w:t>面源长度/m</w:t>
            </w:r>
          </w:p>
        </w:tc>
        <w:tc>
          <w:tcPr>
            <w:tcW w:w="343" w:type="pct"/>
            <w:vMerge w:val="restart"/>
            <w:noWrap w:val="0"/>
            <w:tcMar>
              <w:top w:w="15" w:type="dxa"/>
              <w:left w:w="15" w:type="dxa"/>
              <w:right w:w="15" w:type="dxa"/>
            </w:tcMar>
            <w:vAlign w:val="center"/>
          </w:tcPr>
          <w:p w14:paraId="13E042FE">
            <w:pPr>
              <w:widowControl/>
              <w:spacing w:line="240" w:lineRule="auto"/>
              <w:ind w:firstLine="0" w:firstLineChars="0"/>
              <w:jc w:val="center"/>
              <w:textAlignment w:val="center"/>
              <w:rPr>
                <w:bCs/>
                <w:sz w:val="21"/>
              </w:rPr>
            </w:pPr>
            <w:r>
              <w:rPr>
                <w:bCs/>
                <w:kern w:val="0"/>
                <w:sz w:val="21"/>
              </w:rPr>
              <w:t>面源宽度/m</w:t>
            </w:r>
          </w:p>
        </w:tc>
        <w:tc>
          <w:tcPr>
            <w:tcW w:w="343" w:type="pct"/>
            <w:vMerge w:val="restart"/>
            <w:noWrap w:val="0"/>
            <w:tcMar>
              <w:top w:w="15" w:type="dxa"/>
              <w:left w:w="15" w:type="dxa"/>
              <w:right w:w="15" w:type="dxa"/>
            </w:tcMar>
            <w:vAlign w:val="center"/>
          </w:tcPr>
          <w:p w14:paraId="7261D7AC">
            <w:pPr>
              <w:widowControl/>
              <w:spacing w:line="240" w:lineRule="auto"/>
              <w:ind w:firstLine="0" w:firstLineChars="0"/>
              <w:jc w:val="center"/>
              <w:textAlignment w:val="center"/>
              <w:rPr>
                <w:bCs/>
                <w:sz w:val="21"/>
              </w:rPr>
            </w:pPr>
            <w:r>
              <w:rPr>
                <w:bCs/>
                <w:kern w:val="0"/>
                <w:sz w:val="21"/>
              </w:rPr>
              <w:t>与正北方向夹角/°</w:t>
            </w:r>
          </w:p>
        </w:tc>
        <w:tc>
          <w:tcPr>
            <w:tcW w:w="343" w:type="pct"/>
            <w:vMerge w:val="restart"/>
            <w:noWrap w:val="0"/>
            <w:tcMar>
              <w:top w:w="15" w:type="dxa"/>
              <w:left w:w="15" w:type="dxa"/>
              <w:right w:w="15" w:type="dxa"/>
            </w:tcMar>
            <w:vAlign w:val="center"/>
          </w:tcPr>
          <w:p w14:paraId="7530EB30">
            <w:pPr>
              <w:widowControl/>
              <w:spacing w:line="240" w:lineRule="auto"/>
              <w:ind w:firstLine="0" w:firstLineChars="0"/>
              <w:jc w:val="center"/>
              <w:textAlignment w:val="center"/>
              <w:rPr>
                <w:bCs/>
                <w:sz w:val="21"/>
              </w:rPr>
            </w:pPr>
            <w:r>
              <w:rPr>
                <w:bCs/>
                <w:kern w:val="0"/>
                <w:sz w:val="21"/>
              </w:rPr>
              <w:t>面源有效排放高度/m</w:t>
            </w:r>
          </w:p>
        </w:tc>
        <w:tc>
          <w:tcPr>
            <w:tcW w:w="343" w:type="pct"/>
            <w:vMerge w:val="restart"/>
            <w:noWrap w:val="0"/>
            <w:tcMar>
              <w:top w:w="15" w:type="dxa"/>
              <w:left w:w="15" w:type="dxa"/>
              <w:right w:w="15" w:type="dxa"/>
            </w:tcMar>
            <w:vAlign w:val="center"/>
          </w:tcPr>
          <w:p w14:paraId="44E87931">
            <w:pPr>
              <w:widowControl/>
              <w:spacing w:line="240" w:lineRule="auto"/>
              <w:ind w:firstLine="0" w:firstLineChars="0"/>
              <w:jc w:val="center"/>
              <w:textAlignment w:val="center"/>
              <w:rPr>
                <w:bCs/>
                <w:sz w:val="21"/>
              </w:rPr>
            </w:pPr>
            <w:r>
              <w:rPr>
                <w:bCs/>
                <w:kern w:val="0"/>
                <w:sz w:val="21"/>
              </w:rPr>
              <w:t>年排放小时数/h</w:t>
            </w:r>
          </w:p>
        </w:tc>
        <w:tc>
          <w:tcPr>
            <w:tcW w:w="343" w:type="pct"/>
            <w:vMerge w:val="restart"/>
            <w:noWrap w:val="0"/>
            <w:tcMar>
              <w:top w:w="15" w:type="dxa"/>
              <w:left w:w="15" w:type="dxa"/>
              <w:right w:w="15" w:type="dxa"/>
            </w:tcMar>
            <w:vAlign w:val="center"/>
          </w:tcPr>
          <w:p w14:paraId="7F639D6F">
            <w:pPr>
              <w:widowControl/>
              <w:spacing w:line="240" w:lineRule="auto"/>
              <w:ind w:firstLine="0" w:firstLineChars="0"/>
              <w:jc w:val="center"/>
              <w:textAlignment w:val="center"/>
              <w:rPr>
                <w:bCs/>
                <w:sz w:val="21"/>
              </w:rPr>
            </w:pPr>
            <w:r>
              <w:rPr>
                <w:bCs/>
                <w:kern w:val="0"/>
                <w:sz w:val="21"/>
              </w:rPr>
              <w:t>排放工况</w:t>
            </w:r>
          </w:p>
        </w:tc>
        <w:tc>
          <w:tcPr>
            <w:tcW w:w="691" w:type="pct"/>
            <w:gridSpan w:val="3"/>
            <w:noWrap w:val="0"/>
            <w:tcMar>
              <w:top w:w="15" w:type="dxa"/>
              <w:left w:w="15" w:type="dxa"/>
              <w:right w:w="15" w:type="dxa"/>
            </w:tcMar>
            <w:vAlign w:val="center"/>
          </w:tcPr>
          <w:p w14:paraId="775CF3CF">
            <w:pPr>
              <w:widowControl/>
              <w:spacing w:line="240" w:lineRule="auto"/>
              <w:ind w:firstLine="0" w:firstLineChars="0"/>
              <w:jc w:val="center"/>
              <w:textAlignment w:val="center"/>
              <w:rPr>
                <w:bCs/>
                <w:kern w:val="0"/>
                <w:sz w:val="21"/>
              </w:rPr>
            </w:pPr>
            <w:r>
              <w:rPr>
                <w:bCs/>
                <w:kern w:val="0"/>
                <w:sz w:val="21"/>
              </w:rPr>
              <w:t>污染排放速率/(kg/ h)</w:t>
            </w:r>
          </w:p>
        </w:tc>
      </w:tr>
      <w:tr w14:paraId="4A990A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3" w:type="pct"/>
          <w:trHeight w:val="397" w:hRule="atLeast"/>
          <w:tblHeader/>
        </w:trPr>
        <w:tc>
          <w:tcPr>
            <w:tcW w:w="728" w:type="pct"/>
            <w:vMerge w:val="continue"/>
            <w:noWrap w:val="0"/>
            <w:tcMar>
              <w:top w:w="15" w:type="dxa"/>
              <w:left w:w="15" w:type="dxa"/>
              <w:right w:w="15" w:type="dxa"/>
            </w:tcMar>
            <w:vAlign w:val="center"/>
          </w:tcPr>
          <w:p w14:paraId="7ACE8F37">
            <w:pPr>
              <w:spacing w:line="240" w:lineRule="auto"/>
              <w:ind w:firstLine="0" w:firstLineChars="0"/>
              <w:jc w:val="center"/>
              <w:rPr>
                <w:bCs/>
                <w:sz w:val="21"/>
              </w:rPr>
            </w:pPr>
          </w:p>
        </w:tc>
        <w:tc>
          <w:tcPr>
            <w:tcW w:w="306" w:type="pct"/>
            <w:vMerge w:val="continue"/>
            <w:noWrap w:val="0"/>
            <w:tcMar>
              <w:top w:w="15" w:type="dxa"/>
              <w:left w:w="15" w:type="dxa"/>
              <w:right w:w="15" w:type="dxa"/>
            </w:tcMar>
            <w:vAlign w:val="center"/>
          </w:tcPr>
          <w:p w14:paraId="395AD3FE">
            <w:pPr>
              <w:spacing w:line="240" w:lineRule="auto"/>
              <w:ind w:firstLine="0" w:firstLineChars="0"/>
              <w:jc w:val="center"/>
              <w:rPr>
                <w:bCs/>
                <w:sz w:val="21"/>
              </w:rPr>
            </w:pPr>
          </w:p>
        </w:tc>
        <w:tc>
          <w:tcPr>
            <w:tcW w:w="444" w:type="pct"/>
            <w:noWrap w:val="0"/>
            <w:tcMar>
              <w:top w:w="15" w:type="dxa"/>
              <w:left w:w="15" w:type="dxa"/>
              <w:right w:w="15" w:type="dxa"/>
            </w:tcMar>
            <w:vAlign w:val="center"/>
          </w:tcPr>
          <w:p w14:paraId="0578EC8D">
            <w:pPr>
              <w:widowControl/>
              <w:spacing w:line="240" w:lineRule="auto"/>
              <w:ind w:firstLine="0" w:firstLineChars="0"/>
              <w:jc w:val="center"/>
              <w:textAlignment w:val="center"/>
              <w:rPr>
                <w:bCs/>
                <w:sz w:val="21"/>
              </w:rPr>
            </w:pPr>
            <w:r>
              <w:rPr>
                <w:bCs/>
                <w:kern w:val="0"/>
                <w:sz w:val="21"/>
              </w:rPr>
              <w:t>X</w:t>
            </w:r>
          </w:p>
        </w:tc>
        <w:tc>
          <w:tcPr>
            <w:tcW w:w="425" w:type="pct"/>
            <w:noWrap w:val="0"/>
            <w:tcMar>
              <w:top w:w="15" w:type="dxa"/>
              <w:left w:w="15" w:type="dxa"/>
              <w:right w:w="15" w:type="dxa"/>
            </w:tcMar>
            <w:vAlign w:val="center"/>
          </w:tcPr>
          <w:p w14:paraId="5FD4BBC4">
            <w:pPr>
              <w:widowControl/>
              <w:spacing w:line="240" w:lineRule="auto"/>
              <w:ind w:firstLine="0" w:firstLineChars="0"/>
              <w:jc w:val="center"/>
              <w:textAlignment w:val="center"/>
              <w:rPr>
                <w:bCs/>
                <w:sz w:val="21"/>
              </w:rPr>
            </w:pPr>
            <w:r>
              <w:rPr>
                <w:bCs/>
                <w:kern w:val="0"/>
                <w:sz w:val="21"/>
              </w:rPr>
              <w:t>Y</w:t>
            </w:r>
          </w:p>
        </w:tc>
        <w:tc>
          <w:tcPr>
            <w:tcW w:w="343" w:type="pct"/>
            <w:vMerge w:val="continue"/>
            <w:noWrap w:val="0"/>
            <w:tcMar>
              <w:top w:w="15" w:type="dxa"/>
              <w:left w:w="15" w:type="dxa"/>
              <w:right w:w="15" w:type="dxa"/>
            </w:tcMar>
            <w:vAlign w:val="center"/>
          </w:tcPr>
          <w:p w14:paraId="5848379B">
            <w:pPr>
              <w:spacing w:line="240" w:lineRule="auto"/>
              <w:ind w:firstLine="0" w:firstLineChars="0"/>
              <w:jc w:val="center"/>
              <w:rPr>
                <w:bCs/>
                <w:sz w:val="21"/>
              </w:rPr>
            </w:pPr>
          </w:p>
        </w:tc>
        <w:tc>
          <w:tcPr>
            <w:tcW w:w="343" w:type="pct"/>
            <w:vMerge w:val="continue"/>
            <w:noWrap w:val="0"/>
            <w:tcMar>
              <w:top w:w="15" w:type="dxa"/>
              <w:left w:w="15" w:type="dxa"/>
              <w:right w:w="15" w:type="dxa"/>
            </w:tcMar>
            <w:vAlign w:val="center"/>
          </w:tcPr>
          <w:p w14:paraId="641C8DD5">
            <w:pPr>
              <w:spacing w:line="240" w:lineRule="auto"/>
              <w:ind w:firstLine="0" w:firstLineChars="0"/>
              <w:jc w:val="center"/>
              <w:rPr>
                <w:bCs/>
                <w:sz w:val="21"/>
              </w:rPr>
            </w:pPr>
          </w:p>
        </w:tc>
        <w:tc>
          <w:tcPr>
            <w:tcW w:w="343" w:type="pct"/>
            <w:vMerge w:val="continue"/>
            <w:noWrap w:val="0"/>
            <w:tcMar>
              <w:top w:w="15" w:type="dxa"/>
              <w:left w:w="15" w:type="dxa"/>
              <w:right w:w="15" w:type="dxa"/>
            </w:tcMar>
            <w:vAlign w:val="center"/>
          </w:tcPr>
          <w:p w14:paraId="01C52F22">
            <w:pPr>
              <w:spacing w:line="240" w:lineRule="auto"/>
              <w:ind w:firstLine="0" w:firstLineChars="0"/>
              <w:jc w:val="center"/>
              <w:rPr>
                <w:bCs/>
                <w:sz w:val="21"/>
              </w:rPr>
            </w:pPr>
          </w:p>
        </w:tc>
        <w:tc>
          <w:tcPr>
            <w:tcW w:w="343" w:type="pct"/>
            <w:vMerge w:val="continue"/>
            <w:noWrap w:val="0"/>
            <w:tcMar>
              <w:top w:w="15" w:type="dxa"/>
              <w:left w:w="15" w:type="dxa"/>
              <w:right w:w="15" w:type="dxa"/>
            </w:tcMar>
            <w:vAlign w:val="center"/>
          </w:tcPr>
          <w:p w14:paraId="3131FE10">
            <w:pPr>
              <w:spacing w:line="240" w:lineRule="auto"/>
              <w:ind w:firstLine="0" w:firstLineChars="0"/>
              <w:jc w:val="center"/>
              <w:rPr>
                <w:bCs/>
                <w:sz w:val="21"/>
              </w:rPr>
            </w:pPr>
          </w:p>
        </w:tc>
        <w:tc>
          <w:tcPr>
            <w:tcW w:w="343" w:type="pct"/>
            <w:vMerge w:val="continue"/>
            <w:noWrap w:val="0"/>
            <w:tcMar>
              <w:top w:w="15" w:type="dxa"/>
              <w:left w:w="15" w:type="dxa"/>
              <w:right w:w="15" w:type="dxa"/>
            </w:tcMar>
            <w:vAlign w:val="center"/>
          </w:tcPr>
          <w:p w14:paraId="3C3664D8">
            <w:pPr>
              <w:spacing w:line="240" w:lineRule="auto"/>
              <w:ind w:firstLine="0" w:firstLineChars="0"/>
              <w:jc w:val="center"/>
              <w:rPr>
                <w:bCs/>
                <w:sz w:val="21"/>
              </w:rPr>
            </w:pPr>
          </w:p>
        </w:tc>
        <w:tc>
          <w:tcPr>
            <w:tcW w:w="343" w:type="pct"/>
            <w:vMerge w:val="continue"/>
            <w:noWrap w:val="0"/>
            <w:tcMar>
              <w:top w:w="15" w:type="dxa"/>
              <w:left w:w="15" w:type="dxa"/>
              <w:right w:w="15" w:type="dxa"/>
            </w:tcMar>
            <w:vAlign w:val="center"/>
          </w:tcPr>
          <w:p w14:paraId="1866A2AC">
            <w:pPr>
              <w:spacing w:line="240" w:lineRule="auto"/>
              <w:ind w:firstLine="0" w:firstLineChars="0"/>
              <w:jc w:val="center"/>
              <w:rPr>
                <w:bCs/>
                <w:sz w:val="21"/>
              </w:rPr>
            </w:pPr>
          </w:p>
        </w:tc>
        <w:tc>
          <w:tcPr>
            <w:tcW w:w="343" w:type="pct"/>
            <w:vMerge w:val="continue"/>
            <w:noWrap w:val="0"/>
            <w:tcMar>
              <w:top w:w="15" w:type="dxa"/>
              <w:left w:w="15" w:type="dxa"/>
              <w:right w:w="15" w:type="dxa"/>
            </w:tcMar>
            <w:vAlign w:val="center"/>
          </w:tcPr>
          <w:p w14:paraId="69CA425F">
            <w:pPr>
              <w:spacing w:line="240" w:lineRule="auto"/>
              <w:ind w:firstLine="0" w:firstLineChars="0"/>
              <w:jc w:val="center"/>
              <w:rPr>
                <w:bCs/>
                <w:sz w:val="21"/>
              </w:rPr>
            </w:pPr>
          </w:p>
        </w:tc>
        <w:tc>
          <w:tcPr>
            <w:tcW w:w="343" w:type="pct"/>
            <w:shd w:val="clear" w:color="auto" w:fill="auto"/>
            <w:noWrap w:val="0"/>
            <w:tcMar>
              <w:top w:w="15" w:type="dxa"/>
              <w:left w:w="15" w:type="dxa"/>
              <w:right w:w="15" w:type="dxa"/>
            </w:tcMar>
            <w:vAlign w:val="center"/>
          </w:tcPr>
          <w:p w14:paraId="3F9B223D">
            <w:pPr>
              <w:widowControl/>
              <w:spacing w:line="240" w:lineRule="auto"/>
              <w:ind w:firstLine="0" w:firstLineChars="0"/>
              <w:jc w:val="center"/>
              <w:textAlignment w:val="center"/>
              <w:rPr>
                <w:rFonts w:hint="eastAsia" w:ascii="Times New Roman" w:hAnsi="Times New Roman" w:eastAsia="宋体" w:cs="Times New Roman"/>
                <w:bCs/>
                <w:kern w:val="2"/>
                <w:sz w:val="21"/>
                <w:szCs w:val="21"/>
                <w:lang w:val="en-US" w:eastAsia="zh-CN" w:bidi="ar-SA"/>
              </w:rPr>
            </w:pPr>
            <w:r>
              <w:rPr>
                <w:bCs/>
                <w:sz w:val="21"/>
              </w:rPr>
              <w:t>VOCs</w:t>
            </w:r>
          </w:p>
        </w:tc>
        <w:tc>
          <w:tcPr>
            <w:tcW w:w="344" w:type="pct"/>
            <w:shd w:val="clear" w:color="auto" w:fill="auto"/>
            <w:noWrap w:val="0"/>
            <w:tcMar>
              <w:top w:w="15" w:type="dxa"/>
              <w:left w:w="15" w:type="dxa"/>
              <w:right w:w="15" w:type="dxa"/>
            </w:tcMar>
            <w:vAlign w:val="center"/>
          </w:tcPr>
          <w:p w14:paraId="3984EEE9">
            <w:pPr>
              <w:widowControl/>
              <w:spacing w:line="240" w:lineRule="auto"/>
              <w:ind w:firstLine="0" w:firstLineChars="0"/>
              <w:jc w:val="center"/>
              <w:textAlignment w:val="center"/>
              <w:rPr>
                <w:rFonts w:hint="default" w:ascii="Times New Roman" w:hAnsi="Times New Roman" w:eastAsia="宋体" w:cs="Times New Roman"/>
                <w:bCs/>
                <w:kern w:val="2"/>
                <w:sz w:val="21"/>
                <w:szCs w:val="21"/>
                <w:lang w:val="en-US" w:eastAsia="zh-CN" w:bidi="ar-SA"/>
              </w:rPr>
            </w:pPr>
            <w:r>
              <w:rPr>
                <w:rFonts w:hint="eastAsia"/>
                <w:bCs/>
                <w:kern w:val="0"/>
                <w:sz w:val="21"/>
                <w:lang w:val="en-US" w:eastAsia="zh-CN"/>
              </w:rPr>
              <w:t>NMHC</w:t>
            </w:r>
          </w:p>
        </w:tc>
      </w:tr>
      <w:tr w14:paraId="6E73A8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3" w:type="pct"/>
          <w:trHeight w:val="397" w:hRule="atLeast"/>
        </w:trPr>
        <w:tc>
          <w:tcPr>
            <w:tcW w:w="728" w:type="pct"/>
            <w:vMerge w:val="restart"/>
            <w:noWrap w:val="0"/>
            <w:tcMar>
              <w:top w:w="15" w:type="dxa"/>
              <w:left w:w="15" w:type="dxa"/>
              <w:right w:w="15" w:type="dxa"/>
            </w:tcMar>
            <w:vAlign w:val="center"/>
          </w:tcPr>
          <w:p w14:paraId="4CDDBF90">
            <w:pPr>
              <w:pStyle w:val="59"/>
              <w:rPr>
                <w:bCs/>
                <w:lang w:val="en-US" w:eastAsia="zh-CN"/>
              </w:rPr>
            </w:pPr>
            <w:r>
              <w:rPr>
                <w:rFonts w:hint="eastAsia"/>
                <w:lang w:val="en-US" w:eastAsia="zh-CN"/>
              </w:rPr>
              <w:t>展阳纺织科技(鹤山)有限公司年产功能性运动服饰200万件、针织运动袜100万双、针织围巾、针织帽子50万件新建项目</w:t>
            </w:r>
          </w:p>
        </w:tc>
        <w:tc>
          <w:tcPr>
            <w:tcW w:w="306" w:type="pct"/>
            <w:noWrap w:val="0"/>
            <w:tcMar>
              <w:top w:w="15" w:type="dxa"/>
              <w:left w:w="15" w:type="dxa"/>
              <w:right w:w="15" w:type="dxa"/>
            </w:tcMar>
            <w:vAlign w:val="center"/>
          </w:tcPr>
          <w:p w14:paraId="131D8B06">
            <w:pPr>
              <w:pStyle w:val="59"/>
              <w:rPr>
                <w:rFonts w:hint="default" w:ascii="Times New Roman" w:hAnsi="Times New Roman"/>
                <w:lang w:val="en-US" w:eastAsia="zh-CN"/>
              </w:rPr>
            </w:pPr>
            <w:r>
              <w:rPr>
                <w:rFonts w:hint="eastAsia" w:ascii="Times New Roman" w:hAnsi="Times New Roman"/>
                <w:lang w:val="en-US" w:eastAsia="zh-CN"/>
              </w:rPr>
              <w:t>401车间</w:t>
            </w:r>
          </w:p>
        </w:tc>
        <w:tc>
          <w:tcPr>
            <w:tcW w:w="444" w:type="pct"/>
            <w:noWrap w:val="0"/>
            <w:tcMar>
              <w:top w:w="15" w:type="dxa"/>
              <w:left w:w="15" w:type="dxa"/>
              <w:right w:w="15" w:type="dxa"/>
            </w:tcMar>
            <w:vAlign w:val="center"/>
          </w:tcPr>
          <w:p w14:paraId="21A6DBB7">
            <w:pPr>
              <w:pStyle w:val="59"/>
              <w:rPr>
                <w:rFonts w:hint="default"/>
                <w:lang w:val="en-US" w:eastAsia="zh-CN"/>
              </w:rPr>
            </w:pPr>
            <w:r>
              <w:rPr>
                <w:rFonts w:hint="eastAsia"/>
                <w:lang w:val="en-US" w:eastAsia="zh-CN"/>
              </w:rPr>
              <w:t>-2488</w:t>
            </w:r>
          </w:p>
        </w:tc>
        <w:tc>
          <w:tcPr>
            <w:tcW w:w="425" w:type="pct"/>
            <w:noWrap w:val="0"/>
            <w:tcMar>
              <w:top w:w="15" w:type="dxa"/>
              <w:left w:w="15" w:type="dxa"/>
              <w:right w:w="15" w:type="dxa"/>
            </w:tcMar>
            <w:vAlign w:val="center"/>
          </w:tcPr>
          <w:p w14:paraId="7F08EC80">
            <w:pPr>
              <w:pStyle w:val="59"/>
              <w:rPr>
                <w:rFonts w:hint="default"/>
                <w:lang w:val="en-US" w:eastAsia="zh-CN"/>
              </w:rPr>
            </w:pPr>
            <w:r>
              <w:rPr>
                <w:rFonts w:hint="eastAsia"/>
                <w:lang w:val="en-US" w:eastAsia="zh-CN"/>
              </w:rPr>
              <w:t>429</w:t>
            </w:r>
          </w:p>
        </w:tc>
        <w:tc>
          <w:tcPr>
            <w:tcW w:w="343" w:type="pct"/>
            <w:noWrap w:val="0"/>
            <w:tcMar>
              <w:top w:w="15" w:type="dxa"/>
              <w:left w:w="15" w:type="dxa"/>
              <w:right w:w="15" w:type="dxa"/>
            </w:tcMar>
            <w:vAlign w:val="center"/>
          </w:tcPr>
          <w:p w14:paraId="3662DE44">
            <w:pPr>
              <w:pStyle w:val="59"/>
              <w:rPr>
                <w:rFonts w:hint="default" w:ascii="Times New Roman" w:hAnsi="Times New Roman"/>
                <w:kern w:val="2"/>
                <w:szCs w:val="24"/>
                <w:lang w:val="en-US" w:eastAsia="zh-CN"/>
              </w:rPr>
            </w:pPr>
            <w:r>
              <w:rPr>
                <w:rFonts w:hint="eastAsia" w:ascii="Times New Roman" w:hAnsi="Times New Roman"/>
                <w:kern w:val="2"/>
                <w:szCs w:val="24"/>
                <w:lang w:val="en-US" w:eastAsia="zh-CN"/>
              </w:rPr>
              <w:t>25</w:t>
            </w:r>
          </w:p>
        </w:tc>
        <w:tc>
          <w:tcPr>
            <w:tcW w:w="343" w:type="pct"/>
            <w:noWrap w:val="0"/>
            <w:tcMar>
              <w:top w:w="15" w:type="dxa"/>
              <w:left w:w="15" w:type="dxa"/>
              <w:right w:w="15" w:type="dxa"/>
            </w:tcMar>
            <w:vAlign w:val="center"/>
          </w:tcPr>
          <w:p w14:paraId="01768064">
            <w:pPr>
              <w:pStyle w:val="59"/>
              <w:rPr>
                <w:rFonts w:hint="default" w:ascii="Times New Roman" w:hAnsi="Times New Roman"/>
                <w:lang w:val="en-US" w:eastAsia="zh-CN"/>
              </w:rPr>
            </w:pPr>
            <w:r>
              <w:rPr>
                <w:rFonts w:hint="eastAsia" w:ascii="Times New Roman" w:hAnsi="Times New Roman"/>
                <w:lang w:val="en-US" w:eastAsia="zh-CN"/>
              </w:rPr>
              <w:t>24</w:t>
            </w:r>
          </w:p>
        </w:tc>
        <w:tc>
          <w:tcPr>
            <w:tcW w:w="343" w:type="pct"/>
            <w:noWrap w:val="0"/>
            <w:tcMar>
              <w:top w:w="15" w:type="dxa"/>
              <w:left w:w="15" w:type="dxa"/>
              <w:right w:w="15" w:type="dxa"/>
            </w:tcMar>
            <w:vAlign w:val="center"/>
          </w:tcPr>
          <w:p w14:paraId="0531F8DA">
            <w:pPr>
              <w:pStyle w:val="59"/>
              <w:rPr>
                <w:rFonts w:hint="default" w:ascii="Times New Roman" w:hAnsi="Times New Roman"/>
                <w:lang w:val="en-US" w:eastAsia="zh-CN"/>
              </w:rPr>
            </w:pPr>
            <w:r>
              <w:rPr>
                <w:rFonts w:hint="eastAsia" w:ascii="Times New Roman" w:hAnsi="Times New Roman"/>
                <w:lang w:val="en-US" w:eastAsia="zh-CN"/>
              </w:rPr>
              <w:t>40</w:t>
            </w:r>
          </w:p>
        </w:tc>
        <w:tc>
          <w:tcPr>
            <w:tcW w:w="343" w:type="pct"/>
            <w:noWrap w:val="0"/>
            <w:tcMar>
              <w:top w:w="15" w:type="dxa"/>
              <w:left w:w="15" w:type="dxa"/>
              <w:right w:w="15" w:type="dxa"/>
            </w:tcMar>
            <w:vAlign w:val="center"/>
          </w:tcPr>
          <w:p w14:paraId="2B27CFDD">
            <w:pPr>
              <w:pStyle w:val="59"/>
              <w:rPr>
                <w:rFonts w:hint="default" w:ascii="Times New Roman" w:hAnsi="Times New Roman"/>
                <w:lang w:val="en-US" w:eastAsia="zh-CN"/>
              </w:rPr>
            </w:pPr>
            <w:r>
              <w:rPr>
                <w:rFonts w:hint="eastAsia" w:ascii="Times New Roman" w:hAnsi="Times New Roman"/>
                <w:lang w:val="en-US" w:eastAsia="zh-CN"/>
              </w:rPr>
              <w:t>0</w:t>
            </w:r>
          </w:p>
        </w:tc>
        <w:tc>
          <w:tcPr>
            <w:tcW w:w="343" w:type="pct"/>
            <w:noWrap w:val="0"/>
            <w:tcMar>
              <w:top w:w="15" w:type="dxa"/>
              <w:left w:w="15" w:type="dxa"/>
              <w:right w:w="15" w:type="dxa"/>
            </w:tcMar>
            <w:vAlign w:val="center"/>
          </w:tcPr>
          <w:p w14:paraId="32B232C9">
            <w:pPr>
              <w:pStyle w:val="69"/>
              <w:rPr>
                <w:rFonts w:hint="default" w:ascii="Times New Roman" w:hAnsi="Times New Roman"/>
                <w:kern w:val="2"/>
                <w:szCs w:val="24"/>
                <w:lang w:val="en-US" w:eastAsia="zh-CN"/>
              </w:rPr>
            </w:pPr>
            <w:r>
              <w:rPr>
                <w:rFonts w:hint="eastAsia" w:ascii="Times New Roman" w:hAnsi="Times New Roman"/>
                <w:kern w:val="2"/>
                <w:szCs w:val="24"/>
                <w:lang w:val="en-US" w:eastAsia="zh-CN"/>
              </w:rPr>
              <w:t>17.5</w:t>
            </w:r>
          </w:p>
        </w:tc>
        <w:tc>
          <w:tcPr>
            <w:tcW w:w="343" w:type="pct"/>
            <w:noWrap w:val="0"/>
            <w:tcMar>
              <w:top w:w="15" w:type="dxa"/>
              <w:left w:w="15" w:type="dxa"/>
              <w:right w:w="15" w:type="dxa"/>
            </w:tcMar>
            <w:vAlign w:val="center"/>
          </w:tcPr>
          <w:p w14:paraId="2B67E734">
            <w:pPr>
              <w:pStyle w:val="59"/>
              <w:rPr>
                <w:rFonts w:hint="default"/>
                <w:bCs/>
                <w:lang w:val="en-US" w:eastAsia="zh-CN"/>
              </w:rPr>
            </w:pPr>
            <w:r>
              <w:rPr>
                <w:rFonts w:hint="eastAsia"/>
                <w:bCs/>
                <w:lang w:val="en-US" w:eastAsia="zh-CN"/>
              </w:rPr>
              <w:t>7200</w:t>
            </w:r>
          </w:p>
        </w:tc>
        <w:tc>
          <w:tcPr>
            <w:tcW w:w="343" w:type="pct"/>
            <w:noWrap w:val="0"/>
            <w:tcMar>
              <w:top w:w="15" w:type="dxa"/>
              <w:left w:w="15" w:type="dxa"/>
              <w:right w:w="15" w:type="dxa"/>
            </w:tcMar>
            <w:vAlign w:val="center"/>
          </w:tcPr>
          <w:p w14:paraId="006CE37E">
            <w:pPr>
              <w:pStyle w:val="69"/>
              <w:rPr>
                <w:rFonts w:hint="eastAsia"/>
                <w:kern w:val="2"/>
                <w:szCs w:val="24"/>
                <w:lang w:val="en-US" w:eastAsia="zh-CN"/>
              </w:rPr>
            </w:pPr>
            <w:r>
              <w:rPr>
                <w:rFonts w:hint="eastAsia"/>
                <w:lang w:val="en-US" w:eastAsia="zh-CN"/>
              </w:rPr>
              <w:t>正常</w:t>
            </w:r>
          </w:p>
        </w:tc>
        <w:tc>
          <w:tcPr>
            <w:tcW w:w="343" w:type="pct"/>
            <w:noWrap w:val="0"/>
            <w:tcMar>
              <w:top w:w="15" w:type="dxa"/>
              <w:left w:w="15" w:type="dxa"/>
              <w:right w:w="15" w:type="dxa"/>
            </w:tcMar>
            <w:vAlign w:val="center"/>
          </w:tcPr>
          <w:p w14:paraId="214530DA">
            <w:pPr>
              <w:pStyle w:val="59"/>
              <w:rPr>
                <w:rFonts w:hint="default"/>
                <w:lang w:val="en-US" w:eastAsia="zh-CN"/>
              </w:rPr>
            </w:pPr>
            <w:r>
              <w:rPr>
                <w:rFonts w:hint="eastAsia"/>
                <w:lang w:val="en-US" w:eastAsia="zh-CN"/>
              </w:rPr>
              <w:t>0.018</w:t>
            </w:r>
          </w:p>
        </w:tc>
        <w:tc>
          <w:tcPr>
            <w:tcW w:w="344" w:type="pct"/>
            <w:shd w:val="clear" w:color="auto" w:fill="auto"/>
            <w:noWrap w:val="0"/>
            <w:tcMar>
              <w:top w:w="15" w:type="dxa"/>
              <w:left w:w="15" w:type="dxa"/>
              <w:right w:w="15" w:type="dxa"/>
            </w:tcMar>
            <w:vAlign w:val="center"/>
          </w:tcPr>
          <w:p w14:paraId="64D39F33">
            <w:pPr>
              <w:pStyle w:val="59"/>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0.018</w:t>
            </w:r>
          </w:p>
        </w:tc>
      </w:tr>
      <w:tr w14:paraId="77BB85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1"/>
          <w:wAfter w:w="3" w:type="pct"/>
          <w:trHeight w:val="397" w:hRule="atLeast"/>
        </w:trPr>
        <w:tc>
          <w:tcPr>
            <w:tcW w:w="728" w:type="pct"/>
            <w:vMerge w:val="continue"/>
            <w:noWrap w:val="0"/>
            <w:tcMar>
              <w:top w:w="15" w:type="dxa"/>
              <w:left w:w="15" w:type="dxa"/>
              <w:right w:w="15" w:type="dxa"/>
            </w:tcMar>
            <w:vAlign w:val="center"/>
          </w:tcPr>
          <w:p w14:paraId="7E19325F">
            <w:pPr>
              <w:pStyle w:val="59"/>
              <w:rPr>
                <w:rFonts w:hint="eastAsia"/>
                <w:lang w:val="en-US" w:eastAsia="zh-CN"/>
              </w:rPr>
            </w:pPr>
          </w:p>
        </w:tc>
        <w:tc>
          <w:tcPr>
            <w:tcW w:w="306" w:type="pct"/>
            <w:noWrap w:val="0"/>
            <w:tcMar>
              <w:top w:w="15" w:type="dxa"/>
              <w:left w:w="15" w:type="dxa"/>
              <w:right w:w="15" w:type="dxa"/>
            </w:tcMar>
            <w:vAlign w:val="center"/>
          </w:tcPr>
          <w:p w14:paraId="3E62A217">
            <w:pPr>
              <w:pStyle w:val="59"/>
              <w:rPr>
                <w:rFonts w:hint="default"/>
                <w:lang w:val="en-US" w:eastAsia="zh-CN"/>
              </w:rPr>
            </w:pPr>
            <w:r>
              <w:rPr>
                <w:rFonts w:hint="eastAsia"/>
                <w:lang w:val="en-US" w:eastAsia="zh-CN"/>
              </w:rPr>
              <w:t>501车间</w:t>
            </w:r>
          </w:p>
        </w:tc>
        <w:tc>
          <w:tcPr>
            <w:tcW w:w="444" w:type="pct"/>
            <w:shd w:val="clear" w:color="auto" w:fill="auto"/>
            <w:noWrap w:val="0"/>
            <w:tcMar>
              <w:top w:w="15" w:type="dxa"/>
              <w:left w:w="15" w:type="dxa"/>
              <w:right w:w="15" w:type="dxa"/>
            </w:tcMar>
            <w:vAlign w:val="center"/>
          </w:tcPr>
          <w:p w14:paraId="4BE5F762">
            <w:pPr>
              <w:pStyle w:val="59"/>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-2488</w:t>
            </w:r>
          </w:p>
        </w:tc>
        <w:tc>
          <w:tcPr>
            <w:tcW w:w="425" w:type="pct"/>
            <w:shd w:val="clear" w:color="auto" w:fill="auto"/>
            <w:noWrap w:val="0"/>
            <w:tcMar>
              <w:top w:w="15" w:type="dxa"/>
              <w:left w:w="15" w:type="dxa"/>
              <w:right w:w="15" w:type="dxa"/>
            </w:tcMar>
            <w:vAlign w:val="center"/>
          </w:tcPr>
          <w:p w14:paraId="7619BD29">
            <w:pPr>
              <w:pStyle w:val="59"/>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429</w:t>
            </w:r>
          </w:p>
        </w:tc>
        <w:tc>
          <w:tcPr>
            <w:tcW w:w="343" w:type="pct"/>
            <w:shd w:val="clear" w:color="auto" w:fill="auto"/>
            <w:noWrap w:val="0"/>
            <w:tcMar>
              <w:top w:w="15" w:type="dxa"/>
              <w:left w:w="15" w:type="dxa"/>
              <w:right w:w="15" w:type="dxa"/>
            </w:tcMar>
            <w:vAlign w:val="center"/>
          </w:tcPr>
          <w:p w14:paraId="4D7B2BD9">
            <w:pPr>
              <w:pStyle w:val="59"/>
              <w:ind w:firstLine="0" w:firstLineChars="0"/>
              <w:rPr>
                <w:rFonts w:hint="default" w:ascii="Times New Roman" w:hAnsi="Times New Roman" w:eastAsia="宋体" w:cs="Times New Roman"/>
                <w:kern w:val="2"/>
                <w:sz w:val="21"/>
                <w:szCs w:val="24"/>
                <w:lang w:val="en-US" w:eastAsia="zh-CN" w:bidi="ar-SA"/>
              </w:rPr>
            </w:pPr>
            <w:r>
              <w:rPr>
                <w:rFonts w:hint="eastAsia" w:ascii="Times New Roman" w:hAnsi="Times New Roman"/>
                <w:kern w:val="2"/>
                <w:szCs w:val="24"/>
                <w:lang w:val="en-US" w:eastAsia="zh-CN"/>
              </w:rPr>
              <w:t>25</w:t>
            </w:r>
          </w:p>
        </w:tc>
        <w:tc>
          <w:tcPr>
            <w:tcW w:w="343" w:type="pct"/>
            <w:shd w:val="clear" w:color="auto" w:fill="auto"/>
            <w:noWrap w:val="0"/>
            <w:tcMar>
              <w:top w:w="15" w:type="dxa"/>
              <w:left w:w="15" w:type="dxa"/>
              <w:right w:w="15" w:type="dxa"/>
            </w:tcMar>
            <w:vAlign w:val="center"/>
          </w:tcPr>
          <w:p w14:paraId="24A25672">
            <w:pPr>
              <w:pStyle w:val="59"/>
              <w:ind w:firstLine="0" w:firstLineChars="0"/>
              <w:rPr>
                <w:rFonts w:hint="default" w:ascii="Times New Roman" w:hAnsi="Times New Roman" w:eastAsia="宋体" w:cs="Times New Roman"/>
                <w:kern w:val="0"/>
                <w:sz w:val="21"/>
                <w:szCs w:val="20"/>
                <w:lang w:val="en-US" w:eastAsia="zh-CN" w:bidi="ar-SA"/>
              </w:rPr>
            </w:pPr>
            <w:r>
              <w:rPr>
                <w:rFonts w:hint="eastAsia" w:ascii="Times New Roman" w:hAnsi="Times New Roman"/>
                <w:lang w:val="en-US" w:eastAsia="zh-CN"/>
              </w:rPr>
              <w:t>24</w:t>
            </w:r>
          </w:p>
        </w:tc>
        <w:tc>
          <w:tcPr>
            <w:tcW w:w="343" w:type="pct"/>
            <w:shd w:val="clear" w:color="auto" w:fill="auto"/>
            <w:noWrap w:val="0"/>
            <w:tcMar>
              <w:top w:w="15" w:type="dxa"/>
              <w:left w:w="15" w:type="dxa"/>
              <w:right w:w="15" w:type="dxa"/>
            </w:tcMar>
            <w:vAlign w:val="center"/>
          </w:tcPr>
          <w:p w14:paraId="421BA920">
            <w:pPr>
              <w:pStyle w:val="59"/>
              <w:ind w:firstLine="0" w:firstLineChars="0"/>
              <w:rPr>
                <w:rFonts w:hint="default" w:ascii="Times New Roman" w:hAnsi="Times New Roman" w:eastAsia="宋体" w:cs="Times New Roman"/>
                <w:kern w:val="0"/>
                <w:sz w:val="21"/>
                <w:szCs w:val="20"/>
                <w:lang w:val="en-US" w:eastAsia="zh-CN" w:bidi="ar-SA"/>
              </w:rPr>
            </w:pPr>
            <w:r>
              <w:rPr>
                <w:rFonts w:hint="eastAsia" w:ascii="Times New Roman" w:hAnsi="Times New Roman"/>
                <w:lang w:val="en-US" w:eastAsia="zh-CN"/>
              </w:rPr>
              <w:t>40</w:t>
            </w:r>
          </w:p>
        </w:tc>
        <w:tc>
          <w:tcPr>
            <w:tcW w:w="343" w:type="pct"/>
            <w:shd w:val="clear" w:color="auto" w:fill="auto"/>
            <w:noWrap w:val="0"/>
            <w:tcMar>
              <w:top w:w="15" w:type="dxa"/>
              <w:left w:w="15" w:type="dxa"/>
              <w:right w:w="15" w:type="dxa"/>
            </w:tcMar>
            <w:vAlign w:val="center"/>
          </w:tcPr>
          <w:p w14:paraId="45042D3A">
            <w:pPr>
              <w:pStyle w:val="59"/>
              <w:ind w:firstLine="0" w:firstLineChars="0"/>
              <w:rPr>
                <w:rFonts w:hint="default" w:ascii="Times New Roman" w:hAnsi="Times New Roman" w:eastAsia="宋体" w:cs="Times New Roman"/>
                <w:kern w:val="0"/>
                <w:sz w:val="21"/>
                <w:szCs w:val="20"/>
                <w:lang w:val="en-US" w:eastAsia="zh-CN" w:bidi="ar-SA"/>
              </w:rPr>
            </w:pPr>
            <w:r>
              <w:rPr>
                <w:rFonts w:hint="eastAsia" w:ascii="Times New Roman" w:hAnsi="Times New Roman"/>
                <w:lang w:val="en-US" w:eastAsia="zh-CN"/>
              </w:rPr>
              <w:t>0</w:t>
            </w:r>
          </w:p>
        </w:tc>
        <w:tc>
          <w:tcPr>
            <w:tcW w:w="343" w:type="pct"/>
            <w:noWrap w:val="0"/>
            <w:tcMar>
              <w:top w:w="15" w:type="dxa"/>
              <w:left w:w="15" w:type="dxa"/>
              <w:right w:w="15" w:type="dxa"/>
            </w:tcMar>
            <w:vAlign w:val="center"/>
          </w:tcPr>
          <w:p w14:paraId="72C7C541">
            <w:pPr>
              <w:pStyle w:val="69"/>
              <w:rPr>
                <w:rFonts w:hint="default"/>
                <w:kern w:val="2"/>
                <w:szCs w:val="24"/>
                <w:lang w:val="en-US" w:eastAsia="zh-CN"/>
              </w:rPr>
            </w:pPr>
            <w:r>
              <w:rPr>
                <w:rFonts w:hint="eastAsia"/>
                <w:kern w:val="2"/>
                <w:szCs w:val="24"/>
                <w:lang w:val="en-US" w:eastAsia="zh-CN"/>
              </w:rPr>
              <w:t>21.5</w:t>
            </w:r>
          </w:p>
        </w:tc>
        <w:tc>
          <w:tcPr>
            <w:tcW w:w="343" w:type="pct"/>
            <w:noWrap w:val="0"/>
            <w:tcMar>
              <w:top w:w="15" w:type="dxa"/>
              <w:left w:w="15" w:type="dxa"/>
              <w:right w:w="15" w:type="dxa"/>
            </w:tcMar>
            <w:vAlign w:val="center"/>
          </w:tcPr>
          <w:p w14:paraId="0F6DE0CA">
            <w:pPr>
              <w:pStyle w:val="59"/>
              <w:rPr>
                <w:rFonts w:hint="default"/>
                <w:lang w:val="en-US" w:eastAsia="zh-CN"/>
              </w:rPr>
            </w:pPr>
            <w:r>
              <w:rPr>
                <w:rFonts w:hint="eastAsia"/>
                <w:lang w:val="en-US" w:eastAsia="zh-CN"/>
              </w:rPr>
              <w:t>2400</w:t>
            </w:r>
          </w:p>
        </w:tc>
        <w:tc>
          <w:tcPr>
            <w:tcW w:w="343" w:type="pct"/>
            <w:noWrap w:val="0"/>
            <w:tcMar>
              <w:top w:w="15" w:type="dxa"/>
              <w:left w:w="15" w:type="dxa"/>
              <w:right w:w="15" w:type="dxa"/>
            </w:tcMar>
            <w:vAlign w:val="center"/>
          </w:tcPr>
          <w:p w14:paraId="03CCD39E">
            <w:pPr>
              <w:pStyle w:val="69"/>
              <w:rPr>
                <w:kern w:val="2"/>
                <w:szCs w:val="24"/>
                <w:lang w:val="en-US" w:eastAsia="zh-CN"/>
              </w:rPr>
            </w:pPr>
            <w:r>
              <w:rPr>
                <w:rFonts w:hint="eastAsia"/>
                <w:lang w:val="en-US" w:eastAsia="zh-CN"/>
              </w:rPr>
              <w:t>正常</w:t>
            </w:r>
          </w:p>
        </w:tc>
        <w:tc>
          <w:tcPr>
            <w:tcW w:w="343" w:type="pct"/>
            <w:noWrap w:val="0"/>
            <w:tcMar>
              <w:top w:w="15" w:type="dxa"/>
              <w:left w:w="15" w:type="dxa"/>
              <w:right w:w="15" w:type="dxa"/>
            </w:tcMar>
            <w:vAlign w:val="center"/>
          </w:tcPr>
          <w:p w14:paraId="7AE8F308">
            <w:pPr>
              <w:pStyle w:val="59"/>
              <w:rPr>
                <w:rFonts w:hint="default"/>
                <w:lang w:val="en-US" w:eastAsia="zh-CN"/>
              </w:rPr>
            </w:pPr>
            <w:r>
              <w:rPr>
                <w:rFonts w:hint="eastAsia"/>
                <w:lang w:val="en-US" w:eastAsia="zh-CN"/>
              </w:rPr>
              <w:t>0.008</w:t>
            </w:r>
          </w:p>
        </w:tc>
        <w:tc>
          <w:tcPr>
            <w:tcW w:w="344" w:type="pct"/>
            <w:shd w:val="clear" w:color="auto" w:fill="auto"/>
            <w:noWrap w:val="0"/>
            <w:tcMar>
              <w:top w:w="15" w:type="dxa"/>
              <w:left w:w="15" w:type="dxa"/>
              <w:right w:w="15" w:type="dxa"/>
            </w:tcMar>
            <w:vAlign w:val="center"/>
          </w:tcPr>
          <w:p w14:paraId="1DDC6595">
            <w:pPr>
              <w:pStyle w:val="59"/>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0.008</w:t>
            </w:r>
          </w:p>
        </w:tc>
      </w:tr>
    </w:tbl>
    <w:p w14:paraId="3B9444F4">
      <w:pPr>
        <w:bidi w:val="0"/>
        <w:rPr>
          <w:rFonts w:hint="eastAsia"/>
        </w:rPr>
        <w:sectPr>
          <w:pgSz w:w="16838" w:h="11906" w:orient="landscape"/>
          <w:pgMar w:top="1417" w:right="1417" w:bottom="1417" w:left="1417" w:header="851" w:footer="992" w:gutter="0"/>
          <w:pgNumType w:fmt="decimal"/>
          <w:cols w:space="720" w:num="1"/>
          <w:docGrid w:type="lines" w:linePitch="333" w:charSpace="0"/>
        </w:sectPr>
      </w:pPr>
    </w:p>
    <w:p w14:paraId="62B5407F">
      <w:pPr>
        <w:pStyle w:val="64"/>
        <w:numPr>
          <w:ilvl w:val="2"/>
          <w:numId w:val="8"/>
        </w:numPr>
        <w:spacing w:before="166" w:after="16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预测结果</w:t>
      </w:r>
    </w:p>
    <w:p w14:paraId="7A1D62D9">
      <w:pPr>
        <w:pStyle w:val="65"/>
        <w:numPr>
          <w:ilvl w:val="0"/>
          <w:numId w:val="41"/>
        </w:numPr>
        <w:rPr>
          <w:rFonts w:hint="eastAsia"/>
        </w:rPr>
      </w:pPr>
      <w:r>
        <w:rPr>
          <w:rFonts w:hint="eastAsia"/>
        </w:rPr>
        <w:t>新增污染源正常排放下短期浓度、长期浓度</w:t>
      </w:r>
    </w:p>
    <w:p w14:paraId="2D4F7350">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PM</w:t>
      </w:r>
      <w:r>
        <w:rPr>
          <w:rFonts w:hint="eastAsia" w:ascii="Times New Roman" w:hAnsi="Times New Roman" w:eastAsia="宋体" w:cs="Times New Roman"/>
          <w:color w:val="auto"/>
          <w:sz w:val="24"/>
          <w:szCs w:val="24"/>
          <w:vertAlign w:val="subscript"/>
          <w:lang w:val="en-US" w:eastAsia="zh-CN"/>
        </w:rPr>
        <w:t>10</w:t>
      </w:r>
      <w:r>
        <w:rPr>
          <w:rFonts w:hint="eastAsia"/>
        </w:rPr>
        <w:t>正常排放下</w:t>
      </w:r>
      <w:r>
        <w:rPr>
          <w:rFonts w:hint="eastAsia" w:ascii="Times New Roman" w:hAnsi="Times New Roman" w:eastAsia="宋体" w:cs="Times New Roman"/>
          <w:color w:val="auto"/>
          <w:sz w:val="24"/>
          <w:szCs w:val="24"/>
          <w:lang w:val="en-US" w:eastAsia="zh-CN"/>
        </w:rPr>
        <w:t>贡献值</w:t>
      </w:r>
    </w:p>
    <w:p w14:paraId="06BF93F9">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8815" cy="1787525"/>
            <wp:effectExtent l="0" t="0" r="3810" b="3175"/>
            <wp:docPr id="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pic:cNvPicPr>
                      <a:picLocks noChangeAspect="1"/>
                    </pic:cNvPicPr>
                  </pic:nvPicPr>
                  <pic:blipFill>
                    <a:blip r:embed="rId80"/>
                    <a:stretch>
                      <a:fillRect/>
                    </a:stretch>
                  </pic:blipFill>
                  <pic:spPr>
                    <a:xfrm>
                      <a:off x="0" y="0"/>
                      <a:ext cx="5758815" cy="1787525"/>
                    </a:xfrm>
                    <a:prstGeom prst="rect">
                      <a:avLst/>
                    </a:prstGeom>
                    <a:noFill/>
                    <a:ln>
                      <a:noFill/>
                    </a:ln>
                  </pic:spPr>
                </pic:pic>
              </a:graphicData>
            </a:graphic>
          </wp:inline>
        </w:drawing>
      </w:r>
    </w:p>
    <w:p w14:paraId="5BE14C1A">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8815" cy="3957955"/>
            <wp:effectExtent l="0" t="0" r="3810" b="4445"/>
            <wp:docPr id="4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1"/>
                    <pic:cNvPicPr>
                      <a:picLocks noChangeAspect="1"/>
                    </pic:cNvPicPr>
                  </pic:nvPicPr>
                  <pic:blipFill>
                    <a:blip r:embed="rId81"/>
                    <a:stretch>
                      <a:fillRect/>
                    </a:stretch>
                  </pic:blipFill>
                  <pic:spPr>
                    <a:xfrm>
                      <a:off x="0" y="0"/>
                      <a:ext cx="5758815" cy="3957955"/>
                    </a:xfrm>
                    <a:prstGeom prst="rect">
                      <a:avLst/>
                    </a:prstGeom>
                    <a:noFill/>
                    <a:ln>
                      <a:noFill/>
                    </a:ln>
                  </pic:spPr>
                </pic:pic>
              </a:graphicData>
            </a:graphic>
          </wp:inline>
        </w:drawing>
      </w:r>
    </w:p>
    <w:p w14:paraId="25CEE71A">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8180" cy="4032885"/>
            <wp:effectExtent l="0" t="0" r="4445" b="5715"/>
            <wp:docPr id="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0"/>
                    <pic:cNvPicPr>
                      <a:picLocks noChangeAspect="1"/>
                    </pic:cNvPicPr>
                  </pic:nvPicPr>
                  <pic:blipFill>
                    <a:blip r:embed="rId82"/>
                    <a:stretch>
                      <a:fillRect/>
                    </a:stretch>
                  </pic:blipFill>
                  <pic:spPr>
                    <a:xfrm>
                      <a:off x="0" y="0"/>
                      <a:ext cx="5758180" cy="4032885"/>
                    </a:xfrm>
                    <a:prstGeom prst="rect">
                      <a:avLst/>
                    </a:prstGeom>
                    <a:noFill/>
                    <a:ln>
                      <a:noFill/>
                    </a:ln>
                  </pic:spPr>
                </pic:pic>
              </a:graphicData>
            </a:graphic>
          </wp:inline>
        </w:drawing>
      </w:r>
    </w:p>
    <w:p w14:paraId="62651FBA">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二氧化硫</w:t>
      </w:r>
      <w:r>
        <w:rPr>
          <w:rFonts w:hint="eastAsia"/>
        </w:rPr>
        <w:t>正常排放下</w:t>
      </w:r>
      <w:r>
        <w:rPr>
          <w:rFonts w:hint="eastAsia" w:ascii="Times New Roman" w:hAnsi="Times New Roman" w:eastAsia="宋体" w:cs="Times New Roman"/>
          <w:color w:val="auto"/>
          <w:sz w:val="24"/>
          <w:szCs w:val="24"/>
          <w:lang w:val="en-US" w:eastAsia="zh-CN"/>
        </w:rPr>
        <w:t>贡献值</w:t>
      </w:r>
    </w:p>
    <w:p w14:paraId="2411C30E">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5640" cy="2868930"/>
            <wp:effectExtent l="0" t="0" r="6985" b="7620"/>
            <wp:docPr id="5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6"/>
                    <pic:cNvPicPr>
                      <a:picLocks noChangeAspect="1"/>
                    </pic:cNvPicPr>
                  </pic:nvPicPr>
                  <pic:blipFill>
                    <a:blip r:embed="rId83"/>
                    <a:stretch>
                      <a:fillRect/>
                    </a:stretch>
                  </pic:blipFill>
                  <pic:spPr>
                    <a:xfrm>
                      <a:off x="0" y="0"/>
                      <a:ext cx="5755640" cy="2868930"/>
                    </a:xfrm>
                    <a:prstGeom prst="rect">
                      <a:avLst/>
                    </a:prstGeom>
                    <a:noFill/>
                    <a:ln>
                      <a:noFill/>
                    </a:ln>
                  </pic:spPr>
                </pic:pic>
              </a:graphicData>
            </a:graphic>
          </wp:inline>
        </w:drawing>
      </w:r>
    </w:p>
    <w:p w14:paraId="3CB60D75">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4370" cy="3822065"/>
            <wp:effectExtent l="0" t="0" r="8255" b="6985"/>
            <wp:docPr id="5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5"/>
                    <pic:cNvPicPr>
                      <a:picLocks noChangeAspect="1"/>
                    </pic:cNvPicPr>
                  </pic:nvPicPr>
                  <pic:blipFill>
                    <a:blip r:embed="rId84"/>
                    <a:stretch>
                      <a:fillRect/>
                    </a:stretch>
                  </pic:blipFill>
                  <pic:spPr>
                    <a:xfrm>
                      <a:off x="0" y="0"/>
                      <a:ext cx="5754370" cy="3822065"/>
                    </a:xfrm>
                    <a:prstGeom prst="rect">
                      <a:avLst/>
                    </a:prstGeom>
                    <a:noFill/>
                    <a:ln>
                      <a:noFill/>
                    </a:ln>
                  </pic:spPr>
                </pic:pic>
              </a:graphicData>
            </a:graphic>
          </wp:inline>
        </w:drawing>
      </w:r>
    </w:p>
    <w:p w14:paraId="13FB91D4">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3735" cy="3823970"/>
            <wp:effectExtent l="0" t="0" r="8890" b="5080"/>
            <wp:docPr id="4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4"/>
                    <pic:cNvPicPr>
                      <a:picLocks noChangeAspect="1"/>
                    </pic:cNvPicPr>
                  </pic:nvPicPr>
                  <pic:blipFill>
                    <a:blip r:embed="rId85"/>
                    <a:stretch>
                      <a:fillRect/>
                    </a:stretch>
                  </pic:blipFill>
                  <pic:spPr>
                    <a:xfrm>
                      <a:off x="0" y="0"/>
                      <a:ext cx="5753735" cy="3823970"/>
                    </a:xfrm>
                    <a:prstGeom prst="rect">
                      <a:avLst/>
                    </a:prstGeom>
                    <a:noFill/>
                    <a:ln>
                      <a:noFill/>
                    </a:ln>
                  </pic:spPr>
                </pic:pic>
              </a:graphicData>
            </a:graphic>
          </wp:inline>
        </w:drawing>
      </w:r>
    </w:p>
    <w:p w14:paraId="5D2B1085">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3735" cy="4039870"/>
            <wp:effectExtent l="0" t="0" r="8890" b="8255"/>
            <wp:docPr id="4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3"/>
                    <pic:cNvPicPr>
                      <a:picLocks noChangeAspect="1"/>
                    </pic:cNvPicPr>
                  </pic:nvPicPr>
                  <pic:blipFill>
                    <a:blip r:embed="rId86"/>
                    <a:stretch>
                      <a:fillRect/>
                    </a:stretch>
                  </pic:blipFill>
                  <pic:spPr>
                    <a:xfrm>
                      <a:off x="0" y="0"/>
                      <a:ext cx="5753735" cy="4039870"/>
                    </a:xfrm>
                    <a:prstGeom prst="rect">
                      <a:avLst/>
                    </a:prstGeom>
                    <a:noFill/>
                    <a:ln>
                      <a:noFill/>
                    </a:ln>
                  </pic:spPr>
                </pic:pic>
              </a:graphicData>
            </a:graphic>
          </wp:inline>
        </w:drawing>
      </w:r>
    </w:p>
    <w:p w14:paraId="72454B5B">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VOCs</w:t>
      </w:r>
      <w:r>
        <w:rPr>
          <w:rFonts w:hint="eastAsia"/>
        </w:rPr>
        <w:t>正常排放下</w:t>
      </w:r>
      <w:r>
        <w:rPr>
          <w:rFonts w:hint="eastAsia" w:ascii="Times New Roman" w:hAnsi="Times New Roman" w:eastAsia="宋体" w:cs="Times New Roman"/>
          <w:color w:val="auto"/>
          <w:sz w:val="24"/>
          <w:szCs w:val="24"/>
          <w:lang w:val="en-US" w:eastAsia="zh-CN"/>
        </w:rPr>
        <w:t>贡献值</w:t>
      </w:r>
    </w:p>
    <w:p w14:paraId="03F30EEA">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4370" cy="929005"/>
            <wp:effectExtent l="0" t="0" r="8255" b="4445"/>
            <wp:docPr id="5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8"/>
                    <pic:cNvPicPr>
                      <a:picLocks noChangeAspect="1"/>
                    </pic:cNvPicPr>
                  </pic:nvPicPr>
                  <pic:blipFill>
                    <a:blip r:embed="rId87"/>
                    <a:stretch>
                      <a:fillRect/>
                    </a:stretch>
                  </pic:blipFill>
                  <pic:spPr>
                    <a:xfrm>
                      <a:off x="0" y="0"/>
                      <a:ext cx="5754370" cy="929005"/>
                    </a:xfrm>
                    <a:prstGeom prst="rect">
                      <a:avLst/>
                    </a:prstGeom>
                    <a:noFill/>
                    <a:ln>
                      <a:noFill/>
                    </a:ln>
                  </pic:spPr>
                </pic:pic>
              </a:graphicData>
            </a:graphic>
          </wp:inline>
        </w:drawing>
      </w:r>
    </w:p>
    <w:p w14:paraId="400857B2">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7545" cy="4044950"/>
            <wp:effectExtent l="0" t="0" r="5080" b="3175"/>
            <wp:docPr id="5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7"/>
                    <pic:cNvPicPr>
                      <a:picLocks noChangeAspect="1"/>
                    </pic:cNvPicPr>
                  </pic:nvPicPr>
                  <pic:blipFill>
                    <a:blip r:embed="rId88"/>
                    <a:stretch>
                      <a:fillRect/>
                    </a:stretch>
                  </pic:blipFill>
                  <pic:spPr>
                    <a:xfrm>
                      <a:off x="0" y="0"/>
                      <a:ext cx="5757545" cy="4044950"/>
                    </a:xfrm>
                    <a:prstGeom prst="rect">
                      <a:avLst/>
                    </a:prstGeom>
                    <a:noFill/>
                    <a:ln>
                      <a:noFill/>
                    </a:ln>
                  </pic:spPr>
                </pic:pic>
              </a:graphicData>
            </a:graphic>
          </wp:inline>
        </w:drawing>
      </w:r>
    </w:p>
    <w:p w14:paraId="5AA56043">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NMHC</w:t>
      </w:r>
      <w:r>
        <w:rPr>
          <w:rFonts w:hint="eastAsia"/>
        </w:rPr>
        <w:t>正常排放下</w:t>
      </w:r>
      <w:r>
        <w:rPr>
          <w:rFonts w:hint="eastAsia" w:ascii="Times New Roman" w:hAnsi="Times New Roman" w:eastAsia="宋体" w:cs="Times New Roman"/>
          <w:color w:val="auto"/>
          <w:sz w:val="24"/>
          <w:szCs w:val="24"/>
          <w:lang w:val="en-US" w:eastAsia="zh-CN"/>
        </w:rPr>
        <w:t>贡献值</w:t>
      </w:r>
    </w:p>
    <w:p w14:paraId="54D39B98">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5640" cy="945515"/>
            <wp:effectExtent l="0" t="0" r="6985" b="6985"/>
            <wp:docPr id="5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0"/>
                    <pic:cNvPicPr>
                      <a:picLocks noChangeAspect="1"/>
                    </pic:cNvPicPr>
                  </pic:nvPicPr>
                  <pic:blipFill>
                    <a:blip r:embed="rId89"/>
                    <a:stretch>
                      <a:fillRect/>
                    </a:stretch>
                  </pic:blipFill>
                  <pic:spPr>
                    <a:xfrm>
                      <a:off x="0" y="0"/>
                      <a:ext cx="5755640" cy="945515"/>
                    </a:xfrm>
                    <a:prstGeom prst="rect">
                      <a:avLst/>
                    </a:prstGeom>
                    <a:noFill/>
                    <a:ln>
                      <a:noFill/>
                    </a:ln>
                  </pic:spPr>
                </pic:pic>
              </a:graphicData>
            </a:graphic>
          </wp:inline>
        </w:drawing>
      </w:r>
    </w:p>
    <w:p w14:paraId="551111D4">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5640" cy="4032885"/>
            <wp:effectExtent l="0" t="0" r="6985" b="5715"/>
            <wp:docPr id="5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9"/>
                    <pic:cNvPicPr>
                      <a:picLocks noChangeAspect="1"/>
                    </pic:cNvPicPr>
                  </pic:nvPicPr>
                  <pic:blipFill>
                    <a:blip r:embed="rId90"/>
                    <a:stretch>
                      <a:fillRect/>
                    </a:stretch>
                  </pic:blipFill>
                  <pic:spPr>
                    <a:xfrm>
                      <a:off x="0" y="0"/>
                      <a:ext cx="5755640" cy="4032885"/>
                    </a:xfrm>
                    <a:prstGeom prst="rect">
                      <a:avLst/>
                    </a:prstGeom>
                    <a:noFill/>
                    <a:ln>
                      <a:noFill/>
                    </a:ln>
                  </pic:spPr>
                </pic:pic>
              </a:graphicData>
            </a:graphic>
          </wp:inline>
        </w:drawing>
      </w:r>
    </w:p>
    <w:p w14:paraId="24D526F2">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氯化氢</w:t>
      </w:r>
      <w:r>
        <w:rPr>
          <w:rFonts w:hint="eastAsia"/>
        </w:rPr>
        <w:t>正常排放下</w:t>
      </w:r>
      <w:r>
        <w:rPr>
          <w:rFonts w:hint="eastAsia" w:ascii="Times New Roman" w:hAnsi="Times New Roman" w:eastAsia="宋体" w:cs="Times New Roman"/>
          <w:color w:val="auto"/>
          <w:sz w:val="24"/>
          <w:szCs w:val="24"/>
          <w:lang w:val="en-US" w:eastAsia="zh-CN"/>
        </w:rPr>
        <w:t>贡献值</w:t>
      </w:r>
    </w:p>
    <w:p w14:paraId="643AFB33">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54370" cy="1782445"/>
            <wp:effectExtent l="0" t="0" r="8255" b="8255"/>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pic:cNvPicPr>
                  </pic:nvPicPr>
                  <pic:blipFill>
                    <a:blip r:embed="rId91"/>
                    <a:stretch>
                      <a:fillRect/>
                    </a:stretch>
                  </pic:blipFill>
                  <pic:spPr>
                    <a:xfrm>
                      <a:off x="0" y="0"/>
                      <a:ext cx="5754370" cy="1782445"/>
                    </a:xfrm>
                    <a:prstGeom prst="rect">
                      <a:avLst/>
                    </a:prstGeom>
                    <a:noFill/>
                    <a:ln>
                      <a:noFill/>
                    </a:ln>
                  </pic:spPr>
                </pic:pic>
              </a:graphicData>
            </a:graphic>
          </wp:inline>
        </w:drawing>
      </w:r>
    </w:p>
    <w:p w14:paraId="4C9C6F5E">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ascii="Times New Roman" w:hAnsi="Times New Roman" w:eastAsia="宋体" w:cs="Times New Roman"/>
          <w:color w:val="auto"/>
          <w:sz w:val="24"/>
          <w:szCs w:val="24"/>
          <w:lang w:val="en-US" w:eastAsia="zh-CN"/>
        </w:rPr>
      </w:pPr>
      <w:r>
        <w:drawing>
          <wp:inline distT="0" distB="0" distL="114300" distR="114300">
            <wp:extent cx="5760085" cy="3954145"/>
            <wp:effectExtent l="0" t="0" r="2540" b="8255"/>
            <wp:docPr id="5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2"/>
                    <pic:cNvPicPr>
                      <a:picLocks noChangeAspect="1"/>
                    </pic:cNvPicPr>
                  </pic:nvPicPr>
                  <pic:blipFill>
                    <a:blip r:embed="rId92"/>
                    <a:stretch>
                      <a:fillRect/>
                    </a:stretch>
                  </pic:blipFill>
                  <pic:spPr>
                    <a:xfrm>
                      <a:off x="0" y="0"/>
                      <a:ext cx="5760085" cy="3954145"/>
                    </a:xfrm>
                    <a:prstGeom prst="rect">
                      <a:avLst/>
                    </a:prstGeom>
                    <a:noFill/>
                    <a:ln>
                      <a:noFill/>
                    </a:ln>
                  </pic:spPr>
                </pic:pic>
              </a:graphicData>
            </a:graphic>
          </wp:inline>
        </w:drawing>
      </w:r>
    </w:p>
    <w:p w14:paraId="487D4FBB">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pPr>
      <w:r>
        <w:drawing>
          <wp:inline distT="0" distB="0" distL="114300" distR="114300">
            <wp:extent cx="5758180" cy="4041775"/>
            <wp:effectExtent l="0" t="0" r="4445" b="6350"/>
            <wp:docPr id="5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1"/>
                    <pic:cNvPicPr>
                      <a:picLocks noChangeAspect="1"/>
                    </pic:cNvPicPr>
                  </pic:nvPicPr>
                  <pic:blipFill>
                    <a:blip r:embed="rId93"/>
                    <a:stretch>
                      <a:fillRect/>
                    </a:stretch>
                  </pic:blipFill>
                  <pic:spPr>
                    <a:xfrm>
                      <a:off x="0" y="0"/>
                      <a:ext cx="5758180" cy="4041775"/>
                    </a:xfrm>
                    <a:prstGeom prst="rect">
                      <a:avLst/>
                    </a:prstGeom>
                    <a:noFill/>
                    <a:ln>
                      <a:noFill/>
                    </a:ln>
                  </pic:spPr>
                </pic:pic>
              </a:graphicData>
            </a:graphic>
          </wp:inline>
        </w:drawing>
      </w:r>
    </w:p>
    <w:p w14:paraId="06618D47">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苯</w:t>
      </w:r>
      <w:r>
        <w:rPr>
          <w:rFonts w:hint="eastAsia"/>
        </w:rPr>
        <w:t>正常排放下</w:t>
      </w:r>
      <w:r>
        <w:rPr>
          <w:rFonts w:hint="eastAsia" w:ascii="Times New Roman" w:hAnsi="Times New Roman" w:eastAsia="宋体" w:cs="Times New Roman"/>
          <w:color w:val="auto"/>
          <w:sz w:val="24"/>
          <w:szCs w:val="24"/>
          <w:lang w:val="en-US" w:eastAsia="zh-CN"/>
        </w:rPr>
        <w:t>贡献值</w:t>
      </w:r>
    </w:p>
    <w:p w14:paraId="5A6C6801">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pPr>
      <w:r>
        <w:drawing>
          <wp:inline distT="0" distB="0" distL="114300" distR="114300">
            <wp:extent cx="5756910" cy="958215"/>
            <wp:effectExtent l="0" t="0" r="5715" b="3810"/>
            <wp:docPr id="6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5"/>
                    <pic:cNvPicPr>
                      <a:picLocks noChangeAspect="1"/>
                    </pic:cNvPicPr>
                  </pic:nvPicPr>
                  <pic:blipFill>
                    <a:blip r:embed="rId94"/>
                    <a:stretch>
                      <a:fillRect/>
                    </a:stretch>
                  </pic:blipFill>
                  <pic:spPr>
                    <a:xfrm>
                      <a:off x="0" y="0"/>
                      <a:ext cx="5756910" cy="958215"/>
                    </a:xfrm>
                    <a:prstGeom prst="rect">
                      <a:avLst/>
                    </a:prstGeom>
                    <a:noFill/>
                    <a:ln>
                      <a:noFill/>
                    </a:ln>
                  </pic:spPr>
                </pic:pic>
              </a:graphicData>
            </a:graphic>
          </wp:inline>
        </w:drawing>
      </w:r>
    </w:p>
    <w:p w14:paraId="1776EFBC">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pPr>
      <w:r>
        <w:drawing>
          <wp:inline distT="0" distB="0" distL="114300" distR="114300">
            <wp:extent cx="5753735" cy="4029075"/>
            <wp:effectExtent l="0" t="0" r="8890" b="0"/>
            <wp:docPr id="6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4"/>
                    <pic:cNvPicPr>
                      <a:picLocks noChangeAspect="1"/>
                    </pic:cNvPicPr>
                  </pic:nvPicPr>
                  <pic:blipFill>
                    <a:blip r:embed="rId95"/>
                    <a:stretch>
                      <a:fillRect/>
                    </a:stretch>
                  </pic:blipFill>
                  <pic:spPr>
                    <a:xfrm>
                      <a:off x="0" y="0"/>
                      <a:ext cx="5753735" cy="4029075"/>
                    </a:xfrm>
                    <a:prstGeom prst="rect">
                      <a:avLst/>
                    </a:prstGeom>
                    <a:noFill/>
                    <a:ln>
                      <a:noFill/>
                    </a:ln>
                  </pic:spPr>
                </pic:pic>
              </a:graphicData>
            </a:graphic>
          </wp:inline>
        </w:drawing>
      </w:r>
    </w:p>
    <w:p w14:paraId="2A77F4CD">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甲苯</w:t>
      </w:r>
      <w:r>
        <w:rPr>
          <w:rFonts w:hint="eastAsia"/>
        </w:rPr>
        <w:t>正常排放下</w:t>
      </w:r>
      <w:r>
        <w:rPr>
          <w:rFonts w:hint="eastAsia" w:ascii="Times New Roman" w:hAnsi="Times New Roman" w:eastAsia="宋体" w:cs="Times New Roman"/>
          <w:color w:val="auto"/>
          <w:sz w:val="24"/>
          <w:szCs w:val="24"/>
          <w:lang w:val="en-US" w:eastAsia="zh-CN"/>
        </w:rPr>
        <w:t>贡献值</w:t>
      </w:r>
    </w:p>
    <w:p w14:paraId="7D786975">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rPr>
          <w:rFonts w:hint="eastAsia"/>
          <w:lang w:val="en-US" w:eastAsia="zh-CN"/>
        </w:rPr>
      </w:pPr>
      <w:r>
        <w:drawing>
          <wp:inline distT="0" distB="0" distL="114300" distR="114300">
            <wp:extent cx="5753735" cy="1076960"/>
            <wp:effectExtent l="0" t="0" r="8890" b="8890"/>
            <wp:docPr id="6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7"/>
                    <pic:cNvPicPr>
                      <a:picLocks noChangeAspect="1"/>
                    </pic:cNvPicPr>
                  </pic:nvPicPr>
                  <pic:blipFill>
                    <a:blip r:embed="rId96"/>
                    <a:stretch>
                      <a:fillRect/>
                    </a:stretch>
                  </pic:blipFill>
                  <pic:spPr>
                    <a:xfrm>
                      <a:off x="0" y="0"/>
                      <a:ext cx="5753735" cy="1076960"/>
                    </a:xfrm>
                    <a:prstGeom prst="rect">
                      <a:avLst/>
                    </a:prstGeom>
                    <a:noFill/>
                    <a:ln>
                      <a:noFill/>
                    </a:ln>
                  </pic:spPr>
                </pic:pic>
              </a:graphicData>
            </a:graphic>
          </wp:inline>
        </w:drawing>
      </w:r>
    </w:p>
    <w:p w14:paraId="105BD90D">
      <w:pPr>
        <w:pStyle w:val="85"/>
        <w:keepNext w:val="0"/>
        <w:keepLines w:val="0"/>
        <w:pageBreakBefore w:val="0"/>
        <w:widowControl/>
        <w:numPr>
          <w:ilvl w:val="0"/>
          <w:numId w:val="0"/>
        </w:numPr>
        <w:tabs>
          <w:tab w:val="left" w:pos="0"/>
        </w:tabs>
        <w:kinsoku/>
        <w:wordWrap/>
        <w:overflowPunct/>
        <w:topLinePunct w:val="0"/>
        <w:autoSpaceDE/>
        <w:autoSpaceDN/>
        <w:bidi w:val="0"/>
        <w:adjustRightInd/>
        <w:snapToGrid/>
        <w:spacing w:before="168" w:beforeLines="50"/>
        <w:ind w:leftChars="0"/>
        <w:textAlignment w:val="auto"/>
      </w:pPr>
      <w:r>
        <w:drawing>
          <wp:inline distT="0" distB="0" distL="114300" distR="114300">
            <wp:extent cx="5753735" cy="4027805"/>
            <wp:effectExtent l="0" t="0" r="8890" b="1270"/>
            <wp:docPr id="6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6"/>
                    <pic:cNvPicPr>
                      <a:picLocks noChangeAspect="1"/>
                    </pic:cNvPicPr>
                  </pic:nvPicPr>
                  <pic:blipFill>
                    <a:blip r:embed="rId97"/>
                    <a:stretch>
                      <a:fillRect/>
                    </a:stretch>
                  </pic:blipFill>
                  <pic:spPr>
                    <a:xfrm>
                      <a:off x="0" y="0"/>
                      <a:ext cx="5753735" cy="4027805"/>
                    </a:xfrm>
                    <a:prstGeom prst="rect">
                      <a:avLst/>
                    </a:prstGeom>
                    <a:noFill/>
                    <a:ln>
                      <a:noFill/>
                    </a:ln>
                  </pic:spPr>
                </pic:pic>
              </a:graphicData>
            </a:graphic>
          </wp:inline>
        </w:drawing>
      </w:r>
    </w:p>
    <w:p w14:paraId="492F29CD">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NOx</w:t>
      </w:r>
      <w:r>
        <w:rPr>
          <w:rFonts w:hint="eastAsia"/>
        </w:rPr>
        <w:t>正常排放下</w:t>
      </w:r>
      <w:r>
        <w:rPr>
          <w:rFonts w:hint="eastAsia" w:ascii="Times New Roman" w:hAnsi="Times New Roman" w:eastAsia="宋体" w:cs="Times New Roman"/>
          <w:color w:val="auto"/>
          <w:sz w:val="24"/>
          <w:szCs w:val="24"/>
          <w:lang w:val="en-US" w:eastAsia="zh-CN"/>
        </w:rPr>
        <w:t>贡献值</w:t>
      </w:r>
    </w:p>
    <w:p w14:paraId="0AA2E662">
      <w:pPr>
        <w:pStyle w:val="85"/>
        <w:bidi w:val="0"/>
      </w:pPr>
      <w:r>
        <w:drawing>
          <wp:inline distT="0" distB="0" distL="114300" distR="114300">
            <wp:extent cx="5758180" cy="2850515"/>
            <wp:effectExtent l="0" t="0" r="4445" b="6985"/>
            <wp:docPr id="6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1"/>
                    <pic:cNvPicPr>
                      <a:picLocks noChangeAspect="1"/>
                    </pic:cNvPicPr>
                  </pic:nvPicPr>
                  <pic:blipFill>
                    <a:blip r:embed="rId98"/>
                    <a:stretch>
                      <a:fillRect/>
                    </a:stretch>
                  </pic:blipFill>
                  <pic:spPr>
                    <a:xfrm>
                      <a:off x="0" y="0"/>
                      <a:ext cx="5758180" cy="2850515"/>
                    </a:xfrm>
                    <a:prstGeom prst="rect">
                      <a:avLst/>
                    </a:prstGeom>
                    <a:noFill/>
                    <a:ln>
                      <a:noFill/>
                    </a:ln>
                  </pic:spPr>
                </pic:pic>
              </a:graphicData>
            </a:graphic>
          </wp:inline>
        </w:drawing>
      </w:r>
      <w:r>
        <w:drawing>
          <wp:inline distT="0" distB="0" distL="114300" distR="114300">
            <wp:extent cx="5753735" cy="3806190"/>
            <wp:effectExtent l="0" t="0" r="8890" b="3810"/>
            <wp:docPr id="6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0"/>
                    <pic:cNvPicPr>
                      <a:picLocks noChangeAspect="1"/>
                    </pic:cNvPicPr>
                  </pic:nvPicPr>
                  <pic:blipFill>
                    <a:blip r:embed="rId99"/>
                    <a:stretch>
                      <a:fillRect/>
                    </a:stretch>
                  </pic:blipFill>
                  <pic:spPr>
                    <a:xfrm>
                      <a:off x="0" y="0"/>
                      <a:ext cx="5753735" cy="3806190"/>
                    </a:xfrm>
                    <a:prstGeom prst="rect">
                      <a:avLst/>
                    </a:prstGeom>
                    <a:noFill/>
                    <a:ln>
                      <a:noFill/>
                    </a:ln>
                  </pic:spPr>
                </pic:pic>
              </a:graphicData>
            </a:graphic>
          </wp:inline>
        </w:drawing>
      </w:r>
    </w:p>
    <w:p w14:paraId="6EB65886">
      <w:pPr>
        <w:pStyle w:val="85"/>
        <w:bidi w:val="0"/>
      </w:pPr>
      <w:r>
        <w:drawing>
          <wp:inline distT="0" distB="0" distL="114300" distR="114300">
            <wp:extent cx="5758180" cy="3841115"/>
            <wp:effectExtent l="0" t="0" r="4445" b="6985"/>
            <wp:docPr id="6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9"/>
                    <pic:cNvPicPr>
                      <a:picLocks noChangeAspect="1"/>
                    </pic:cNvPicPr>
                  </pic:nvPicPr>
                  <pic:blipFill>
                    <a:blip r:embed="rId100"/>
                    <a:stretch>
                      <a:fillRect/>
                    </a:stretch>
                  </pic:blipFill>
                  <pic:spPr>
                    <a:xfrm>
                      <a:off x="0" y="0"/>
                      <a:ext cx="5758180" cy="3841115"/>
                    </a:xfrm>
                    <a:prstGeom prst="rect">
                      <a:avLst/>
                    </a:prstGeom>
                    <a:noFill/>
                    <a:ln>
                      <a:noFill/>
                    </a:ln>
                  </pic:spPr>
                </pic:pic>
              </a:graphicData>
            </a:graphic>
          </wp:inline>
        </w:drawing>
      </w:r>
    </w:p>
    <w:p w14:paraId="1072315C">
      <w:pPr>
        <w:pStyle w:val="85"/>
        <w:bidi w:val="0"/>
        <w:rPr>
          <w:rFonts w:hint="eastAsia"/>
          <w:lang w:val="en-US" w:eastAsia="zh-CN"/>
        </w:rPr>
      </w:pPr>
      <w:r>
        <w:drawing>
          <wp:inline distT="0" distB="0" distL="114300" distR="114300">
            <wp:extent cx="5753735" cy="4030980"/>
            <wp:effectExtent l="0" t="0" r="8890" b="7620"/>
            <wp:docPr id="6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8"/>
                    <pic:cNvPicPr>
                      <a:picLocks noChangeAspect="1"/>
                    </pic:cNvPicPr>
                  </pic:nvPicPr>
                  <pic:blipFill>
                    <a:blip r:embed="rId101"/>
                    <a:stretch>
                      <a:fillRect/>
                    </a:stretch>
                  </pic:blipFill>
                  <pic:spPr>
                    <a:xfrm>
                      <a:off x="0" y="0"/>
                      <a:ext cx="5753735" cy="4030980"/>
                    </a:xfrm>
                    <a:prstGeom prst="rect">
                      <a:avLst/>
                    </a:prstGeom>
                    <a:noFill/>
                    <a:ln>
                      <a:noFill/>
                    </a:ln>
                  </pic:spPr>
                </pic:pic>
              </a:graphicData>
            </a:graphic>
          </wp:inline>
        </w:drawing>
      </w:r>
    </w:p>
    <w:p w14:paraId="075AAB40">
      <w:pPr>
        <w:pStyle w:val="65"/>
        <w:keepNext/>
        <w:keepLines/>
        <w:pageBreakBefore w:val="0"/>
        <w:widowControl w:val="0"/>
        <w:numPr>
          <w:ilvl w:val="0"/>
          <w:numId w:val="42"/>
        </w:numPr>
        <w:kinsoku/>
        <w:wordWrap/>
        <w:overflowPunct/>
        <w:topLinePunct w:val="0"/>
        <w:autoSpaceDE/>
        <w:autoSpaceDN/>
        <w:bidi w:val="0"/>
        <w:adjustRightInd/>
        <w:snapToGrid/>
        <w:ind w:left="0"/>
        <w:textAlignment w:val="auto"/>
        <w:rPr>
          <w:rFonts w:hint="eastAsia"/>
        </w:rPr>
      </w:pPr>
      <w:r>
        <w:rPr>
          <w:rFonts w:hint="eastAsia"/>
        </w:rPr>
        <w:t>新增污染源－区域削减污染源＋其他在建、拟的污染源正常排放下短期浓度、长期浓度</w:t>
      </w:r>
    </w:p>
    <w:p w14:paraId="2F781EBB">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VOCs叠加值</w:t>
      </w:r>
    </w:p>
    <w:p w14:paraId="5213CCCC">
      <w:pPr>
        <w:pStyle w:val="85"/>
        <w:bidi w:val="0"/>
        <w:rPr>
          <w:rFonts w:hint="eastAsia"/>
        </w:rPr>
      </w:pPr>
      <w:r>
        <w:drawing>
          <wp:inline distT="0" distB="0" distL="114300" distR="114300">
            <wp:extent cx="5756910" cy="1053465"/>
            <wp:effectExtent l="0" t="0" r="5715" b="3810"/>
            <wp:docPr id="7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3"/>
                    <pic:cNvPicPr>
                      <a:picLocks noChangeAspect="1"/>
                    </pic:cNvPicPr>
                  </pic:nvPicPr>
                  <pic:blipFill>
                    <a:blip r:embed="rId102"/>
                    <a:stretch>
                      <a:fillRect/>
                    </a:stretch>
                  </pic:blipFill>
                  <pic:spPr>
                    <a:xfrm>
                      <a:off x="0" y="0"/>
                      <a:ext cx="5756910" cy="1053465"/>
                    </a:xfrm>
                    <a:prstGeom prst="rect">
                      <a:avLst/>
                    </a:prstGeom>
                    <a:noFill/>
                    <a:ln>
                      <a:noFill/>
                    </a:ln>
                  </pic:spPr>
                </pic:pic>
              </a:graphicData>
            </a:graphic>
          </wp:inline>
        </w:drawing>
      </w:r>
    </w:p>
    <w:p w14:paraId="22D7390F">
      <w:pPr>
        <w:pStyle w:val="85"/>
        <w:bidi w:val="0"/>
        <w:rPr>
          <w:rFonts w:hint="eastAsia"/>
        </w:rPr>
      </w:pPr>
      <w:r>
        <w:drawing>
          <wp:inline distT="0" distB="0" distL="114300" distR="114300">
            <wp:extent cx="5753735" cy="4043680"/>
            <wp:effectExtent l="0" t="0" r="8890" b="4445"/>
            <wp:docPr id="6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2"/>
                    <pic:cNvPicPr>
                      <a:picLocks noChangeAspect="1"/>
                    </pic:cNvPicPr>
                  </pic:nvPicPr>
                  <pic:blipFill>
                    <a:blip r:embed="rId103"/>
                    <a:stretch>
                      <a:fillRect/>
                    </a:stretch>
                  </pic:blipFill>
                  <pic:spPr>
                    <a:xfrm>
                      <a:off x="0" y="0"/>
                      <a:ext cx="5753735" cy="4043680"/>
                    </a:xfrm>
                    <a:prstGeom prst="rect">
                      <a:avLst/>
                    </a:prstGeom>
                    <a:noFill/>
                    <a:ln>
                      <a:noFill/>
                    </a:ln>
                  </pic:spPr>
                </pic:pic>
              </a:graphicData>
            </a:graphic>
          </wp:inline>
        </w:drawing>
      </w:r>
    </w:p>
    <w:p w14:paraId="69FCD0E6">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ind w:left="0" w:leftChars="0" w:firstLine="0" w:firstLineChars="0"/>
        <w:textAlignment w:val="auto"/>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NMHC叠加值</w:t>
      </w:r>
    </w:p>
    <w:p w14:paraId="184D4F22">
      <w:pPr>
        <w:pStyle w:val="85"/>
        <w:bidi w:val="0"/>
        <w:rPr>
          <w:rFonts w:hint="eastAsia"/>
        </w:rPr>
      </w:pPr>
      <w:r>
        <w:drawing>
          <wp:inline distT="0" distB="0" distL="114300" distR="114300">
            <wp:extent cx="5756275" cy="1052830"/>
            <wp:effectExtent l="0" t="0" r="6350" b="4445"/>
            <wp:docPr id="7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5"/>
                    <pic:cNvPicPr>
                      <a:picLocks noChangeAspect="1"/>
                    </pic:cNvPicPr>
                  </pic:nvPicPr>
                  <pic:blipFill>
                    <a:blip r:embed="rId104"/>
                    <a:stretch>
                      <a:fillRect/>
                    </a:stretch>
                  </pic:blipFill>
                  <pic:spPr>
                    <a:xfrm>
                      <a:off x="0" y="0"/>
                      <a:ext cx="5756275" cy="1052830"/>
                    </a:xfrm>
                    <a:prstGeom prst="rect">
                      <a:avLst/>
                    </a:prstGeom>
                    <a:noFill/>
                    <a:ln>
                      <a:noFill/>
                    </a:ln>
                  </pic:spPr>
                </pic:pic>
              </a:graphicData>
            </a:graphic>
          </wp:inline>
        </w:drawing>
      </w:r>
    </w:p>
    <w:p w14:paraId="67AA93E3">
      <w:pPr>
        <w:pStyle w:val="85"/>
        <w:bidi w:val="0"/>
        <w:rPr>
          <w:rFonts w:hint="eastAsia"/>
        </w:rPr>
      </w:pPr>
      <w:r>
        <w:drawing>
          <wp:inline distT="0" distB="0" distL="114300" distR="114300">
            <wp:extent cx="5758180" cy="4030980"/>
            <wp:effectExtent l="0" t="0" r="4445" b="7620"/>
            <wp:docPr id="7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4"/>
                    <pic:cNvPicPr>
                      <a:picLocks noChangeAspect="1"/>
                    </pic:cNvPicPr>
                  </pic:nvPicPr>
                  <pic:blipFill>
                    <a:blip r:embed="rId105"/>
                    <a:stretch>
                      <a:fillRect/>
                    </a:stretch>
                  </pic:blipFill>
                  <pic:spPr>
                    <a:xfrm>
                      <a:off x="0" y="0"/>
                      <a:ext cx="5758180" cy="4030980"/>
                    </a:xfrm>
                    <a:prstGeom prst="rect">
                      <a:avLst/>
                    </a:prstGeom>
                    <a:noFill/>
                    <a:ln>
                      <a:noFill/>
                    </a:ln>
                  </pic:spPr>
                </pic:pic>
              </a:graphicData>
            </a:graphic>
          </wp:inline>
        </w:drawing>
      </w:r>
    </w:p>
    <w:p w14:paraId="197E2CD5">
      <w:pPr>
        <w:pStyle w:val="64"/>
        <w:numPr>
          <w:ilvl w:val="2"/>
          <w:numId w:val="8"/>
        </w:numPr>
        <w:spacing w:before="166" w:after="166"/>
        <w:ind w:left="709" w:leftChars="0" w:hanging="709" w:firstLineChars="0"/>
        <w:rPr>
          <w:rFonts w:hint="eastAsia"/>
          <w:color w:val="auto"/>
        </w:rPr>
      </w:pPr>
      <w:r>
        <w:rPr>
          <w:rFonts w:hint="eastAsia"/>
          <w:color w:val="auto"/>
        </w:rPr>
        <w:t>大气环境防护距离</w:t>
      </w:r>
    </w:p>
    <w:p w14:paraId="6AB8500B">
      <w:pPr>
        <w:ind w:firstLine="480"/>
        <w:rPr>
          <w:color w:val="auto"/>
        </w:rPr>
      </w:pPr>
      <w:r>
        <w:rPr>
          <w:color w:val="auto"/>
        </w:rPr>
        <w:t>根据《环境影响评价技术导则—大气环境》（HJ2.2-2018）中的推荐模式中的大气环境防护距离模式，计算项目大气防护距离如下，正常工况下，在采取有效措施处理后，本项目厂界污染物浓度未出现超标，故无需设大气防护距离。</w:t>
      </w:r>
    </w:p>
    <w:p w14:paraId="5DB545E8">
      <w:pPr>
        <w:pStyle w:val="64"/>
        <w:numPr>
          <w:ilvl w:val="2"/>
          <w:numId w:val="8"/>
        </w:numPr>
        <w:spacing w:before="166" w:after="166"/>
        <w:ind w:left="709" w:leftChars="0" w:hanging="709" w:firstLineChars="0"/>
        <w:rPr>
          <w:rFonts w:hint="eastAsia"/>
          <w:color w:val="auto"/>
        </w:rPr>
      </w:pPr>
      <w:r>
        <w:rPr>
          <w:rFonts w:hint="eastAsia"/>
          <w:color w:val="auto"/>
        </w:rPr>
        <w:t>污染物核算结果</w:t>
      </w:r>
    </w:p>
    <w:p w14:paraId="11FE2B49">
      <w:pPr>
        <w:bidi w:val="0"/>
        <w:rPr>
          <w:rFonts w:hint="eastAsia"/>
          <w:color w:val="auto"/>
        </w:rPr>
      </w:pPr>
      <w:r>
        <w:rPr>
          <w:rFonts w:hint="eastAsia"/>
          <w:color w:val="auto"/>
          <w:lang w:val="en-US" w:eastAsia="zh-CN"/>
        </w:rPr>
        <w:t>污染源排放量核算包括本项目的新增污染源及改建、扩建污染源。</w:t>
      </w:r>
      <w:r>
        <w:rPr>
          <w:rFonts w:hint="eastAsia"/>
          <w:color w:val="auto"/>
        </w:rPr>
        <w:t>大气污染源排放情况如下：</w:t>
      </w:r>
    </w:p>
    <w:p w14:paraId="19F51D07">
      <w:pPr>
        <w:pStyle w:val="85"/>
        <w:numPr>
          <w:ilvl w:val="0"/>
          <w:numId w:val="37"/>
        </w:numPr>
        <w:bidi w:val="0"/>
        <w:rPr>
          <w:rFonts w:hint="eastAsia"/>
        </w:rPr>
      </w:pPr>
      <w:r>
        <w:rPr>
          <w:rFonts w:hint="eastAsia"/>
        </w:rPr>
        <w:t>大气污染物有组织排放情况表</w:t>
      </w:r>
    </w:p>
    <w:tbl>
      <w:tblPr>
        <w:tblStyle w:val="38"/>
        <w:tblW w:w="910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15" w:type="dxa"/>
          <w:left w:w="15" w:type="dxa"/>
          <w:bottom w:w="15" w:type="dxa"/>
          <w:right w:w="15" w:type="dxa"/>
        </w:tblCellMar>
      </w:tblPr>
      <w:tblGrid>
        <w:gridCol w:w="1400"/>
        <w:gridCol w:w="1721"/>
        <w:gridCol w:w="1530"/>
        <w:gridCol w:w="1513"/>
        <w:gridCol w:w="1222"/>
        <w:gridCol w:w="1716"/>
      </w:tblGrid>
      <w:tr w14:paraId="7D2156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blHeader/>
        </w:trPr>
        <w:tc>
          <w:tcPr>
            <w:tcW w:w="1400" w:type="dxa"/>
            <w:vAlign w:val="center"/>
          </w:tcPr>
          <w:p w14:paraId="06B99623">
            <w:pPr>
              <w:pStyle w:val="59"/>
              <w:rPr>
                <w:color w:val="auto"/>
                <w:kern w:val="2"/>
                <w:szCs w:val="24"/>
              </w:rPr>
            </w:pPr>
            <w:r>
              <w:rPr>
                <w:rFonts w:hint="eastAsia"/>
                <w:color w:val="auto"/>
                <w:kern w:val="2"/>
                <w:szCs w:val="24"/>
              </w:rPr>
              <w:t>序号</w:t>
            </w:r>
          </w:p>
        </w:tc>
        <w:tc>
          <w:tcPr>
            <w:tcW w:w="1721" w:type="dxa"/>
            <w:vAlign w:val="center"/>
          </w:tcPr>
          <w:p w14:paraId="6EE3B247">
            <w:pPr>
              <w:pStyle w:val="59"/>
              <w:rPr>
                <w:color w:val="auto"/>
                <w:kern w:val="2"/>
                <w:szCs w:val="24"/>
              </w:rPr>
            </w:pPr>
            <w:r>
              <w:rPr>
                <w:rFonts w:hint="eastAsia"/>
                <w:color w:val="auto"/>
                <w:kern w:val="2"/>
                <w:szCs w:val="24"/>
              </w:rPr>
              <w:t>排放口编号</w:t>
            </w:r>
          </w:p>
        </w:tc>
        <w:tc>
          <w:tcPr>
            <w:tcW w:w="1530" w:type="dxa"/>
            <w:vAlign w:val="center"/>
          </w:tcPr>
          <w:p w14:paraId="63ADA232">
            <w:pPr>
              <w:pStyle w:val="59"/>
              <w:rPr>
                <w:color w:val="auto"/>
                <w:kern w:val="2"/>
                <w:szCs w:val="24"/>
              </w:rPr>
            </w:pPr>
            <w:r>
              <w:rPr>
                <w:rFonts w:hint="eastAsia"/>
                <w:color w:val="auto"/>
                <w:kern w:val="2"/>
                <w:szCs w:val="24"/>
              </w:rPr>
              <w:t>污染物</w:t>
            </w:r>
          </w:p>
        </w:tc>
        <w:tc>
          <w:tcPr>
            <w:tcW w:w="1513" w:type="dxa"/>
            <w:vAlign w:val="center"/>
          </w:tcPr>
          <w:p w14:paraId="4EF31C05">
            <w:pPr>
              <w:pStyle w:val="59"/>
              <w:rPr>
                <w:rFonts w:hint="eastAsia"/>
                <w:color w:val="auto"/>
                <w:kern w:val="2"/>
                <w:szCs w:val="24"/>
              </w:rPr>
            </w:pPr>
            <w:r>
              <w:rPr>
                <w:rFonts w:hint="eastAsia"/>
                <w:color w:val="auto"/>
                <w:kern w:val="2"/>
                <w:szCs w:val="24"/>
              </w:rPr>
              <w:t>排放浓度</w:t>
            </w:r>
          </w:p>
          <w:p w14:paraId="04A1A3B1">
            <w:pPr>
              <w:pStyle w:val="59"/>
              <w:rPr>
                <w:color w:val="auto"/>
                <w:kern w:val="2"/>
                <w:szCs w:val="24"/>
              </w:rPr>
            </w:pPr>
            <w:r>
              <w:rPr>
                <w:color w:val="auto"/>
                <w:kern w:val="2"/>
                <w:szCs w:val="24"/>
              </w:rPr>
              <w:t>/</w:t>
            </w:r>
            <w:r>
              <w:rPr>
                <w:rFonts w:hint="eastAsia"/>
                <w:color w:val="auto"/>
                <w:kern w:val="2"/>
                <w:szCs w:val="24"/>
              </w:rPr>
              <w:t>（</w:t>
            </w:r>
            <w:r>
              <w:rPr>
                <w:rFonts w:hint="eastAsia"/>
                <w:color w:val="auto"/>
                <w:kern w:val="2"/>
                <w:szCs w:val="24"/>
                <w:lang w:val="en-US" w:eastAsia="zh-CN"/>
              </w:rPr>
              <w:t>m</w:t>
            </w:r>
            <w:r>
              <w:rPr>
                <w:color w:val="auto"/>
                <w:kern w:val="2"/>
                <w:szCs w:val="24"/>
              </w:rPr>
              <w:t>g/m</w:t>
            </w:r>
            <w:r>
              <w:rPr>
                <w:rFonts w:hint="eastAsia"/>
                <w:color w:val="auto"/>
                <w:kern w:val="2"/>
                <w:szCs w:val="24"/>
                <w:vertAlign w:val="superscript"/>
              </w:rPr>
              <w:t>3</w:t>
            </w:r>
            <w:r>
              <w:rPr>
                <w:rFonts w:hint="eastAsia"/>
                <w:color w:val="auto"/>
                <w:kern w:val="2"/>
                <w:szCs w:val="24"/>
              </w:rPr>
              <w:t>）</w:t>
            </w:r>
          </w:p>
        </w:tc>
        <w:tc>
          <w:tcPr>
            <w:tcW w:w="1222" w:type="dxa"/>
            <w:vAlign w:val="center"/>
          </w:tcPr>
          <w:p w14:paraId="4995F4EF">
            <w:pPr>
              <w:pStyle w:val="59"/>
              <w:rPr>
                <w:color w:val="auto"/>
                <w:kern w:val="2"/>
                <w:szCs w:val="24"/>
              </w:rPr>
            </w:pPr>
            <w:r>
              <w:rPr>
                <w:rFonts w:hint="eastAsia"/>
                <w:color w:val="auto"/>
                <w:kern w:val="2"/>
                <w:szCs w:val="24"/>
              </w:rPr>
              <w:t>排放速率</w:t>
            </w:r>
            <w:r>
              <w:rPr>
                <w:color w:val="auto"/>
                <w:kern w:val="2"/>
                <w:szCs w:val="24"/>
              </w:rPr>
              <w:t>/(kg/h)</w:t>
            </w:r>
          </w:p>
        </w:tc>
        <w:tc>
          <w:tcPr>
            <w:tcW w:w="1716" w:type="dxa"/>
            <w:vAlign w:val="center"/>
          </w:tcPr>
          <w:p w14:paraId="0ABBD19C">
            <w:pPr>
              <w:pStyle w:val="59"/>
              <w:rPr>
                <w:color w:val="auto"/>
                <w:kern w:val="2"/>
                <w:szCs w:val="24"/>
              </w:rPr>
            </w:pPr>
            <w:r>
              <w:rPr>
                <w:rFonts w:hint="eastAsia"/>
                <w:color w:val="auto"/>
                <w:kern w:val="2"/>
                <w:szCs w:val="24"/>
              </w:rPr>
              <w:t>年排放量</w:t>
            </w:r>
            <w:r>
              <w:rPr>
                <w:color w:val="auto"/>
                <w:kern w:val="2"/>
                <w:szCs w:val="24"/>
              </w:rPr>
              <w:t>/</w:t>
            </w:r>
            <w:r>
              <w:rPr>
                <w:rFonts w:hint="eastAsia"/>
                <w:color w:val="auto"/>
                <w:kern w:val="2"/>
                <w:szCs w:val="24"/>
              </w:rPr>
              <w:t>（</w:t>
            </w:r>
            <w:r>
              <w:rPr>
                <w:color w:val="auto"/>
                <w:kern w:val="2"/>
                <w:szCs w:val="24"/>
              </w:rPr>
              <w:t>t/a)</w:t>
            </w:r>
          </w:p>
        </w:tc>
      </w:tr>
      <w:tr w14:paraId="13AAD7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9102" w:type="dxa"/>
            <w:gridSpan w:val="6"/>
            <w:vAlign w:val="center"/>
          </w:tcPr>
          <w:p w14:paraId="679E10B8">
            <w:pPr>
              <w:pStyle w:val="59"/>
              <w:rPr>
                <w:color w:val="auto"/>
                <w:kern w:val="2"/>
                <w:szCs w:val="24"/>
              </w:rPr>
            </w:pPr>
            <w:r>
              <w:rPr>
                <w:rFonts w:hint="eastAsia"/>
                <w:color w:val="auto"/>
                <w:kern w:val="2"/>
                <w:szCs w:val="24"/>
                <w:lang w:val="en-US" w:eastAsia="zh-CN"/>
              </w:rPr>
              <w:t>主要</w:t>
            </w:r>
            <w:r>
              <w:rPr>
                <w:rFonts w:hint="eastAsia"/>
                <w:color w:val="auto"/>
                <w:kern w:val="2"/>
                <w:szCs w:val="24"/>
              </w:rPr>
              <w:t>排放口</w:t>
            </w:r>
          </w:p>
        </w:tc>
      </w:tr>
      <w:tr w14:paraId="54393D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35F13426">
            <w:pPr>
              <w:pStyle w:val="59"/>
              <w:bidi w:val="0"/>
            </w:pPr>
            <w:r>
              <w:rPr>
                <w:rFonts w:hint="default"/>
                <w:lang w:val="en-US" w:eastAsia="zh-CN"/>
              </w:rPr>
              <w:t xml:space="preserve">1. </w:t>
            </w:r>
          </w:p>
        </w:tc>
        <w:tc>
          <w:tcPr>
            <w:tcW w:w="1721" w:type="dxa"/>
            <w:vMerge w:val="restart"/>
            <w:vAlign w:val="center"/>
          </w:tcPr>
          <w:p w14:paraId="118BD768">
            <w:pPr>
              <w:pStyle w:val="59"/>
              <w:bidi w:val="0"/>
            </w:pPr>
            <w:r>
              <w:rPr>
                <w:rFonts w:hint="default"/>
                <w:lang w:val="en-US" w:eastAsia="zh-CN"/>
              </w:rPr>
              <w:t>DA001</w:t>
            </w:r>
            <w:r>
              <w:rPr>
                <w:rFonts w:hint="eastAsia"/>
                <w:lang w:val="en-US" w:eastAsia="zh-CN"/>
              </w:rPr>
              <w:t>排气筒</w:t>
            </w:r>
          </w:p>
        </w:tc>
        <w:tc>
          <w:tcPr>
            <w:tcW w:w="1530" w:type="dxa"/>
            <w:vAlign w:val="center"/>
          </w:tcPr>
          <w:p w14:paraId="76567035">
            <w:pPr>
              <w:pStyle w:val="59"/>
              <w:bidi w:val="0"/>
            </w:pPr>
            <w:r>
              <w:rPr>
                <w:rFonts w:hint="eastAsia"/>
                <w:lang w:val="en-US" w:eastAsia="zh-CN"/>
              </w:rPr>
              <w:t>总</w:t>
            </w:r>
            <w:r>
              <w:rPr>
                <w:rFonts w:hint="default"/>
                <w:lang w:val="en-US" w:eastAsia="zh-CN"/>
              </w:rPr>
              <w:t>VOCs</w:t>
            </w:r>
          </w:p>
        </w:tc>
        <w:tc>
          <w:tcPr>
            <w:tcW w:w="1513" w:type="dxa"/>
            <w:vAlign w:val="center"/>
          </w:tcPr>
          <w:p w14:paraId="31388562">
            <w:pPr>
              <w:pStyle w:val="59"/>
              <w:bidi w:val="0"/>
            </w:pPr>
            <w:r>
              <w:rPr>
                <w:rFonts w:hint="default"/>
                <w:lang w:val="en-US" w:eastAsia="zh-CN"/>
              </w:rPr>
              <w:t xml:space="preserve">105.93 </w:t>
            </w:r>
          </w:p>
        </w:tc>
        <w:tc>
          <w:tcPr>
            <w:tcW w:w="1222" w:type="dxa"/>
            <w:vAlign w:val="center"/>
          </w:tcPr>
          <w:p w14:paraId="0ECD4F08">
            <w:pPr>
              <w:pStyle w:val="59"/>
              <w:bidi w:val="0"/>
            </w:pPr>
            <w:r>
              <w:rPr>
                <w:rFonts w:hint="default"/>
                <w:lang w:val="en-US" w:eastAsia="zh-CN"/>
              </w:rPr>
              <w:t xml:space="preserve">3.178 </w:t>
            </w:r>
          </w:p>
        </w:tc>
        <w:tc>
          <w:tcPr>
            <w:tcW w:w="1716" w:type="dxa"/>
            <w:vAlign w:val="center"/>
          </w:tcPr>
          <w:p w14:paraId="44E84443">
            <w:pPr>
              <w:pStyle w:val="59"/>
              <w:bidi w:val="0"/>
              <w:rPr>
                <w:rFonts w:hint="default"/>
                <w:lang w:val="en-US"/>
              </w:rPr>
            </w:pPr>
            <w:r>
              <w:rPr>
                <w:rFonts w:hint="default"/>
                <w:lang w:val="en-US" w:eastAsia="zh-CN"/>
              </w:rPr>
              <w:t xml:space="preserve">6.027 </w:t>
            </w:r>
          </w:p>
        </w:tc>
      </w:tr>
      <w:tr w14:paraId="644733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083C272D">
            <w:pPr>
              <w:pStyle w:val="59"/>
              <w:bidi w:val="0"/>
            </w:pPr>
            <w:r>
              <w:rPr>
                <w:rFonts w:hint="default"/>
                <w:lang w:val="en-US" w:eastAsia="zh-CN"/>
              </w:rPr>
              <w:t xml:space="preserve">2. </w:t>
            </w:r>
          </w:p>
        </w:tc>
        <w:tc>
          <w:tcPr>
            <w:tcW w:w="1721" w:type="dxa"/>
            <w:vMerge w:val="continue"/>
            <w:vAlign w:val="center"/>
          </w:tcPr>
          <w:p w14:paraId="3CE819B3">
            <w:pPr>
              <w:pStyle w:val="59"/>
              <w:bidi w:val="0"/>
            </w:pPr>
          </w:p>
        </w:tc>
        <w:tc>
          <w:tcPr>
            <w:tcW w:w="1530" w:type="dxa"/>
            <w:vAlign w:val="center"/>
          </w:tcPr>
          <w:p w14:paraId="26F64A37">
            <w:pPr>
              <w:pStyle w:val="59"/>
              <w:bidi w:val="0"/>
            </w:pPr>
            <w:r>
              <w:rPr>
                <w:rFonts w:hint="eastAsia"/>
                <w:lang w:val="en-US" w:eastAsia="zh-CN"/>
              </w:rPr>
              <w:t>氮氧化物</w:t>
            </w:r>
          </w:p>
        </w:tc>
        <w:tc>
          <w:tcPr>
            <w:tcW w:w="1513" w:type="dxa"/>
            <w:vAlign w:val="center"/>
          </w:tcPr>
          <w:p w14:paraId="272FF60E">
            <w:pPr>
              <w:pStyle w:val="59"/>
              <w:bidi w:val="0"/>
            </w:pPr>
            <w:r>
              <w:rPr>
                <w:rFonts w:hint="default"/>
                <w:lang w:val="en-US" w:eastAsia="zh-CN"/>
              </w:rPr>
              <w:t xml:space="preserve">116.53 </w:t>
            </w:r>
          </w:p>
        </w:tc>
        <w:tc>
          <w:tcPr>
            <w:tcW w:w="1222" w:type="dxa"/>
            <w:vAlign w:val="center"/>
          </w:tcPr>
          <w:p w14:paraId="080283C8">
            <w:pPr>
              <w:pStyle w:val="59"/>
              <w:bidi w:val="0"/>
            </w:pPr>
            <w:r>
              <w:rPr>
                <w:rFonts w:hint="default"/>
                <w:lang w:val="en-US" w:eastAsia="zh-CN"/>
              </w:rPr>
              <w:t xml:space="preserve">0.174 </w:t>
            </w:r>
          </w:p>
        </w:tc>
        <w:tc>
          <w:tcPr>
            <w:tcW w:w="1716" w:type="dxa"/>
            <w:vAlign w:val="center"/>
          </w:tcPr>
          <w:p w14:paraId="1F22B925">
            <w:pPr>
              <w:pStyle w:val="59"/>
              <w:bidi w:val="0"/>
            </w:pPr>
            <w:r>
              <w:rPr>
                <w:rFonts w:hint="default"/>
                <w:lang w:val="en-US" w:eastAsia="zh-CN"/>
              </w:rPr>
              <w:t xml:space="preserve">0.206 </w:t>
            </w:r>
          </w:p>
        </w:tc>
      </w:tr>
      <w:tr w14:paraId="662381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42836DBF">
            <w:pPr>
              <w:pStyle w:val="59"/>
              <w:bidi w:val="0"/>
            </w:pPr>
            <w:r>
              <w:rPr>
                <w:rFonts w:hint="default"/>
                <w:lang w:val="en-US" w:eastAsia="zh-CN"/>
              </w:rPr>
              <w:t xml:space="preserve">3. </w:t>
            </w:r>
          </w:p>
        </w:tc>
        <w:tc>
          <w:tcPr>
            <w:tcW w:w="1721" w:type="dxa"/>
            <w:vMerge w:val="continue"/>
            <w:vAlign w:val="center"/>
          </w:tcPr>
          <w:p w14:paraId="6DE04C40">
            <w:pPr>
              <w:pStyle w:val="59"/>
              <w:bidi w:val="0"/>
            </w:pPr>
          </w:p>
        </w:tc>
        <w:tc>
          <w:tcPr>
            <w:tcW w:w="1530" w:type="dxa"/>
            <w:vAlign w:val="center"/>
          </w:tcPr>
          <w:p w14:paraId="1FC7C516">
            <w:pPr>
              <w:pStyle w:val="59"/>
              <w:bidi w:val="0"/>
            </w:pPr>
            <w:r>
              <w:rPr>
                <w:rFonts w:hint="eastAsia"/>
                <w:lang w:val="en-US" w:eastAsia="zh-CN"/>
              </w:rPr>
              <w:t>二氧化硫</w:t>
            </w:r>
          </w:p>
        </w:tc>
        <w:tc>
          <w:tcPr>
            <w:tcW w:w="1513" w:type="dxa"/>
            <w:vAlign w:val="center"/>
          </w:tcPr>
          <w:p w14:paraId="301DCD20">
            <w:pPr>
              <w:pStyle w:val="59"/>
              <w:bidi w:val="0"/>
            </w:pPr>
            <w:r>
              <w:rPr>
                <w:rFonts w:hint="default"/>
                <w:lang w:val="en-US" w:eastAsia="zh-CN"/>
              </w:rPr>
              <w:t xml:space="preserve">1.25 </w:t>
            </w:r>
          </w:p>
        </w:tc>
        <w:tc>
          <w:tcPr>
            <w:tcW w:w="1222" w:type="dxa"/>
            <w:vAlign w:val="center"/>
          </w:tcPr>
          <w:p w14:paraId="7657C3A5">
            <w:pPr>
              <w:pStyle w:val="59"/>
              <w:bidi w:val="0"/>
            </w:pPr>
            <w:r>
              <w:rPr>
                <w:rFonts w:hint="default"/>
                <w:lang w:val="en-US" w:eastAsia="zh-CN"/>
              </w:rPr>
              <w:t xml:space="preserve">0.002 </w:t>
            </w:r>
          </w:p>
        </w:tc>
        <w:tc>
          <w:tcPr>
            <w:tcW w:w="1716" w:type="dxa"/>
            <w:vAlign w:val="center"/>
          </w:tcPr>
          <w:p w14:paraId="2D7F8842">
            <w:pPr>
              <w:pStyle w:val="59"/>
              <w:bidi w:val="0"/>
            </w:pPr>
            <w:r>
              <w:rPr>
                <w:rFonts w:hint="default"/>
                <w:lang w:val="en-US" w:eastAsia="zh-CN"/>
              </w:rPr>
              <w:t xml:space="preserve">0.002 </w:t>
            </w:r>
          </w:p>
        </w:tc>
      </w:tr>
      <w:tr w14:paraId="0386A7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7B4FB385">
            <w:pPr>
              <w:pStyle w:val="59"/>
              <w:bidi w:val="0"/>
            </w:pPr>
            <w:r>
              <w:rPr>
                <w:rFonts w:hint="default"/>
                <w:lang w:val="en-US" w:eastAsia="zh-CN"/>
              </w:rPr>
              <w:t xml:space="preserve">4. </w:t>
            </w:r>
          </w:p>
        </w:tc>
        <w:tc>
          <w:tcPr>
            <w:tcW w:w="1721" w:type="dxa"/>
            <w:vMerge w:val="continue"/>
            <w:vAlign w:val="center"/>
          </w:tcPr>
          <w:p w14:paraId="35E06672">
            <w:pPr>
              <w:pStyle w:val="59"/>
              <w:bidi w:val="0"/>
              <w:rPr>
                <w:lang w:val="en-US" w:eastAsia="zh-CN"/>
              </w:rPr>
            </w:pPr>
          </w:p>
        </w:tc>
        <w:tc>
          <w:tcPr>
            <w:tcW w:w="1530" w:type="dxa"/>
            <w:vAlign w:val="center"/>
          </w:tcPr>
          <w:p w14:paraId="799F5003">
            <w:pPr>
              <w:pStyle w:val="59"/>
              <w:bidi w:val="0"/>
            </w:pPr>
            <w:r>
              <w:rPr>
                <w:rFonts w:hint="eastAsia"/>
                <w:lang w:val="en-US" w:eastAsia="zh-CN"/>
              </w:rPr>
              <w:t>颗粒物</w:t>
            </w:r>
          </w:p>
        </w:tc>
        <w:tc>
          <w:tcPr>
            <w:tcW w:w="1513" w:type="dxa"/>
            <w:vAlign w:val="center"/>
          </w:tcPr>
          <w:p w14:paraId="468A98F7">
            <w:pPr>
              <w:pStyle w:val="59"/>
              <w:bidi w:val="0"/>
            </w:pPr>
            <w:r>
              <w:rPr>
                <w:rFonts w:hint="default"/>
                <w:lang w:val="en-US" w:eastAsia="zh-CN"/>
              </w:rPr>
              <w:t xml:space="preserve">17.82 </w:t>
            </w:r>
          </w:p>
        </w:tc>
        <w:tc>
          <w:tcPr>
            <w:tcW w:w="1222" w:type="dxa"/>
            <w:vAlign w:val="center"/>
          </w:tcPr>
          <w:p w14:paraId="1F149F39">
            <w:pPr>
              <w:pStyle w:val="59"/>
              <w:bidi w:val="0"/>
            </w:pPr>
            <w:r>
              <w:rPr>
                <w:rFonts w:hint="default"/>
                <w:lang w:val="en-US" w:eastAsia="zh-CN"/>
              </w:rPr>
              <w:t xml:space="preserve">0.027 </w:t>
            </w:r>
          </w:p>
        </w:tc>
        <w:tc>
          <w:tcPr>
            <w:tcW w:w="1716" w:type="dxa"/>
            <w:vAlign w:val="center"/>
          </w:tcPr>
          <w:p w14:paraId="2628AD18">
            <w:pPr>
              <w:pStyle w:val="59"/>
              <w:bidi w:val="0"/>
            </w:pPr>
            <w:r>
              <w:rPr>
                <w:rFonts w:hint="default"/>
                <w:lang w:val="en-US" w:eastAsia="zh-CN"/>
              </w:rPr>
              <w:t xml:space="preserve">0.031 </w:t>
            </w:r>
          </w:p>
        </w:tc>
      </w:tr>
      <w:tr w14:paraId="7101FC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9102" w:type="dxa"/>
            <w:gridSpan w:val="6"/>
            <w:vAlign w:val="center"/>
          </w:tcPr>
          <w:p w14:paraId="1C4906FE">
            <w:pPr>
              <w:pStyle w:val="59"/>
              <w:bidi w:val="0"/>
              <w:rPr>
                <w:rFonts w:hint="default"/>
                <w:lang w:val="en-US" w:eastAsia="zh-CN"/>
              </w:rPr>
            </w:pPr>
            <w:r>
              <w:rPr>
                <w:rFonts w:hint="eastAsia"/>
                <w:lang w:val="en-US" w:eastAsia="zh-CN"/>
              </w:rPr>
              <w:t>一般排放口</w:t>
            </w:r>
          </w:p>
        </w:tc>
      </w:tr>
      <w:tr w14:paraId="308565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0DB6A506">
            <w:pPr>
              <w:pStyle w:val="59"/>
              <w:bidi w:val="0"/>
            </w:pPr>
            <w:r>
              <w:rPr>
                <w:rFonts w:hint="default"/>
                <w:lang w:val="en-US" w:eastAsia="zh-CN"/>
              </w:rPr>
              <w:t xml:space="preserve">5. </w:t>
            </w:r>
          </w:p>
        </w:tc>
        <w:tc>
          <w:tcPr>
            <w:tcW w:w="1721" w:type="dxa"/>
            <w:vMerge w:val="restart"/>
            <w:vAlign w:val="center"/>
          </w:tcPr>
          <w:p w14:paraId="1ACE029E">
            <w:pPr>
              <w:pStyle w:val="59"/>
              <w:bidi w:val="0"/>
              <w:rPr>
                <w:rFonts w:hint="eastAsia"/>
                <w:lang w:val="en-US" w:eastAsia="zh-CN"/>
              </w:rPr>
            </w:pPr>
            <w:r>
              <w:rPr>
                <w:rFonts w:hint="default"/>
                <w:lang w:val="en-US" w:eastAsia="zh-CN"/>
              </w:rPr>
              <w:t>DA002</w:t>
            </w:r>
            <w:r>
              <w:rPr>
                <w:rFonts w:hint="eastAsia"/>
                <w:lang w:val="en-US" w:eastAsia="zh-CN"/>
              </w:rPr>
              <w:t>排气筒</w:t>
            </w:r>
          </w:p>
        </w:tc>
        <w:tc>
          <w:tcPr>
            <w:tcW w:w="1530" w:type="dxa"/>
            <w:vAlign w:val="center"/>
          </w:tcPr>
          <w:p w14:paraId="292421AC">
            <w:pPr>
              <w:pStyle w:val="59"/>
              <w:bidi w:val="0"/>
            </w:pPr>
            <w:r>
              <w:rPr>
                <w:rFonts w:hint="default"/>
                <w:lang w:val="en-US" w:eastAsia="zh-CN"/>
              </w:rPr>
              <w:t>NMHC</w:t>
            </w:r>
          </w:p>
        </w:tc>
        <w:tc>
          <w:tcPr>
            <w:tcW w:w="1513" w:type="dxa"/>
            <w:vAlign w:val="center"/>
          </w:tcPr>
          <w:p w14:paraId="2650F5EF">
            <w:pPr>
              <w:pStyle w:val="59"/>
              <w:bidi w:val="0"/>
            </w:pPr>
            <w:r>
              <w:rPr>
                <w:rFonts w:hint="default"/>
                <w:lang w:val="en-US" w:eastAsia="zh-CN"/>
              </w:rPr>
              <w:t xml:space="preserve">1.92 </w:t>
            </w:r>
          </w:p>
        </w:tc>
        <w:tc>
          <w:tcPr>
            <w:tcW w:w="1222" w:type="dxa"/>
            <w:vAlign w:val="center"/>
          </w:tcPr>
          <w:p w14:paraId="64A10D2C">
            <w:pPr>
              <w:pStyle w:val="59"/>
              <w:bidi w:val="0"/>
            </w:pPr>
            <w:r>
              <w:rPr>
                <w:rFonts w:hint="default"/>
                <w:lang w:val="en-US" w:eastAsia="zh-CN"/>
              </w:rPr>
              <w:t xml:space="preserve">0.029 </w:t>
            </w:r>
          </w:p>
        </w:tc>
        <w:tc>
          <w:tcPr>
            <w:tcW w:w="1716" w:type="dxa"/>
            <w:vAlign w:val="center"/>
          </w:tcPr>
          <w:p w14:paraId="3B19B417">
            <w:pPr>
              <w:pStyle w:val="59"/>
              <w:bidi w:val="0"/>
            </w:pPr>
            <w:r>
              <w:rPr>
                <w:rFonts w:hint="default"/>
                <w:lang w:val="en-US" w:eastAsia="zh-CN"/>
              </w:rPr>
              <w:t xml:space="preserve">0.056 </w:t>
            </w:r>
          </w:p>
        </w:tc>
      </w:tr>
      <w:tr w14:paraId="3AB35E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16234120">
            <w:pPr>
              <w:pStyle w:val="59"/>
              <w:bidi w:val="0"/>
            </w:pPr>
            <w:r>
              <w:rPr>
                <w:rFonts w:hint="default"/>
                <w:lang w:val="en-US" w:eastAsia="zh-CN"/>
              </w:rPr>
              <w:t xml:space="preserve">6. </w:t>
            </w:r>
          </w:p>
        </w:tc>
        <w:tc>
          <w:tcPr>
            <w:tcW w:w="1721" w:type="dxa"/>
            <w:vMerge w:val="continue"/>
            <w:vAlign w:val="center"/>
          </w:tcPr>
          <w:p w14:paraId="30719025">
            <w:pPr>
              <w:pStyle w:val="59"/>
              <w:bidi w:val="0"/>
              <w:rPr>
                <w:lang w:val="en-US" w:eastAsia="zh-CN"/>
              </w:rPr>
            </w:pPr>
          </w:p>
        </w:tc>
        <w:tc>
          <w:tcPr>
            <w:tcW w:w="1530" w:type="dxa"/>
            <w:vAlign w:val="center"/>
          </w:tcPr>
          <w:p w14:paraId="1BC8C99A">
            <w:pPr>
              <w:pStyle w:val="59"/>
              <w:bidi w:val="0"/>
            </w:pPr>
            <w:r>
              <w:rPr>
                <w:rFonts w:hint="eastAsia"/>
                <w:lang w:val="en-US" w:eastAsia="zh-CN"/>
              </w:rPr>
              <w:t>氯化氢</w:t>
            </w:r>
          </w:p>
        </w:tc>
        <w:tc>
          <w:tcPr>
            <w:tcW w:w="1513" w:type="dxa"/>
            <w:vAlign w:val="center"/>
          </w:tcPr>
          <w:p w14:paraId="7BCF1F34">
            <w:pPr>
              <w:pStyle w:val="59"/>
              <w:bidi w:val="0"/>
            </w:pPr>
            <w:r>
              <w:rPr>
                <w:rFonts w:hint="default"/>
                <w:lang w:val="en-US" w:eastAsia="zh-CN"/>
              </w:rPr>
              <w:t xml:space="preserve">0.000136 </w:t>
            </w:r>
          </w:p>
        </w:tc>
        <w:tc>
          <w:tcPr>
            <w:tcW w:w="1222" w:type="dxa"/>
            <w:vAlign w:val="center"/>
          </w:tcPr>
          <w:p w14:paraId="4EB4F08D">
            <w:pPr>
              <w:pStyle w:val="59"/>
              <w:bidi w:val="0"/>
            </w:pPr>
            <w:r>
              <w:rPr>
                <w:rFonts w:hint="default"/>
                <w:lang w:val="en-US" w:eastAsia="zh-CN"/>
              </w:rPr>
              <w:t xml:space="preserve">0.000002 </w:t>
            </w:r>
          </w:p>
        </w:tc>
        <w:tc>
          <w:tcPr>
            <w:tcW w:w="1716" w:type="dxa"/>
            <w:vAlign w:val="center"/>
          </w:tcPr>
          <w:p w14:paraId="10115AEE">
            <w:pPr>
              <w:pStyle w:val="59"/>
              <w:bidi w:val="0"/>
            </w:pPr>
            <w:r>
              <w:rPr>
                <w:rFonts w:hint="default"/>
                <w:lang w:val="en-US" w:eastAsia="zh-CN"/>
              </w:rPr>
              <w:t xml:space="preserve">0.000004 </w:t>
            </w:r>
          </w:p>
        </w:tc>
      </w:tr>
      <w:tr w14:paraId="56C2E6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4C772732">
            <w:pPr>
              <w:pStyle w:val="59"/>
              <w:bidi w:val="0"/>
            </w:pPr>
            <w:r>
              <w:rPr>
                <w:rFonts w:hint="default"/>
                <w:lang w:val="en-US" w:eastAsia="zh-CN"/>
              </w:rPr>
              <w:t xml:space="preserve">7. </w:t>
            </w:r>
          </w:p>
        </w:tc>
        <w:tc>
          <w:tcPr>
            <w:tcW w:w="1721" w:type="dxa"/>
            <w:vMerge w:val="continue"/>
            <w:vAlign w:val="center"/>
          </w:tcPr>
          <w:p w14:paraId="79339B71">
            <w:pPr>
              <w:pStyle w:val="59"/>
              <w:bidi w:val="0"/>
              <w:rPr>
                <w:lang w:val="en-US" w:eastAsia="zh-CN"/>
              </w:rPr>
            </w:pPr>
          </w:p>
        </w:tc>
        <w:tc>
          <w:tcPr>
            <w:tcW w:w="1530" w:type="dxa"/>
            <w:vAlign w:val="center"/>
          </w:tcPr>
          <w:p w14:paraId="1B3A8F1B">
            <w:pPr>
              <w:pStyle w:val="59"/>
              <w:bidi w:val="0"/>
            </w:pPr>
            <w:r>
              <w:rPr>
                <w:rFonts w:hint="eastAsia"/>
                <w:lang w:val="en-US" w:eastAsia="zh-CN"/>
              </w:rPr>
              <w:t>氯乙烯</w:t>
            </w:r>
          </w:p>
        </w:tc>
        <w:tc>
          <w:tcPr>
            <w:tcW w:w="1513" w:type="dxa"/>
            <w:vAlign w:val="center"/>
          </w:tcPr>
          <w:p w14:paraId="5F49D696">
            <w:pPr>
              <w:pStyle w:val="59"/>
              <w:bidi w:val="0"/>
            </w:pPr>
            <w:r>
              <w:rPr>
                <w:rFonts w:hint="default"/>
                <w:lang w:val="en-US" w:eastAsia="zh-CN"/>
              </w:rPr>
              <w:t xml:space="preserve">0.000148 </w:t>
            </w:r>
          </w:p>
        </w:tc>
        <w:tc>
          <w:tcPr>
            <w:tcW w:w="1222" w:type="dxa"/>
            <w:vAlign w:val="center"/>
          </w:tcPr>
          <w:p w14:paraId="559406A5">
            <w:pPr>
              <w:pStyle w:val="59"/>
              <w:bidi w:val="0"/>
            </w:pPr>
            <w:r>
              <w:rPr>
                <w:rFonts w:hint="default"/>
                <w:lang w:val="en-US" w:eastAsia="zh-CN"/>
              </w:rPr>
              <w:t xml:space="preserve">0.000002 </w:t>
            </w:r>
          </w:p>
        </w:tc>
        <w:tc>
          <w:tcPr>
            <w:tcW w:w="1716" w:type="dxa"/>
            <w:vAlign w:val="center"/>
          </w:tcPr>
          <w:p w14:paraId="21ADFF48">
            <w:pPr>
              <w:pStyle w:val="59"/>
              <w:bidi w:val="0"/>
            </w:pPr>
            <w:r>
              <w:rPr>
                <w:rFonts w:hint="default"/>
                <w:lang w:val="en-US" w:eastAsia="zh-CN"/>
              </w:rPr>
              <w:t xml:space="preserve">0.000004 </w:t>
            </w:r>
          </w:p>
        </w:tc>
      </w:tr>
      <w:tr w14:paraId="197A6A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6FB02580">
            <w:pPr>
              <w:pStyle w:val="59"/>
              <w:bidi w:val="0"/>
              <w:rPr>
                <w:rFonts w:hint="eastAsia"/>
                <w:lang w:val="en-US" w:eastAsia="zh-CN"/>
              </w:rPr>
            </w:pPr>
            <w:r>
              <w:rPr>
                <w:rFonts w:hint="default"/>
                <w:lang w:val="en-US" w:eastAsia="zh-CN"/>
              </w:rPr>
              <w:t xml:space="preserve">8. </w:t>
            </w:r>
          </w:p>
        </w:tc>
        <w:tc>
          <w:tcPr>
            <w:tcW w:w="1721" w:type="dxa"/>
            <w:vMerge w:val="continue"/>
            <w:vAlign w:val="center"/>
          </w:tcPr>
          <w:p w14:paraId="6F9F09A8">
            <w:pPr>
              <w:pStyle w:val="59"/>
              <w:bidi w:val="0"/>
              <w:rPr>
                <w:rFonts w:hint="eastAsia"/>
                <w:lang w:val="en-US" w:eastAsia="zh-CN"/>
              </w:rPr>
            </w:pPr>
          </w:p>
        </w:tc>
        <w:tc>
          <w:tcPr>
            <w:tcW w:w="1530" w:type="dxa"/>
            <w:vAlign w:val="center"/>
          </w:tcPr>
          <w:p w14:paraId="6173FE09">
            <w:pPr>
              <w:pStyle w:val="59"/>
              <w:bidi w:val="0"/>
              <w:rPr>
                <w:rFonts w:hint="eastAsia"/>
                <w:lang w:val="en-US" w:eastAsia="zh-CN"/>
              </w:rPr>
            </w:pPr>
            <w:r>
              <w:rPr>
                <w:rFonts w:hint="eastAsia"/>
                <w:lang w:val="en-US" w:eastAsia="zh-CN"/>
              </w:rPr>
              <w:t>苯</w:t>
            </w:r>
          </w:p>
        </w:tc>
        <w:tc>
          <w:tcPr>
            <w:tcW w:w="1513" w:type="dxa"/>
            <w:vAlign w:val="center"/>
          </w:tcPr>
          <w:p w14:paraId="45342F9C">
            <w:pPr>
              <w:pStyle w:val="59"/>
              <w:bidi w:val="0"/>
              <w:rPr>
                <w:rFonts w:hint="eastAsia"/>
                <w:lang w:val="en-US" w:eastAsia="zh-CN"/>
              </w:rPr>
            </w:pPr>
            <w:r>
              <w:rPr>
                <w:rFonts w:hint="default"/>
                <w:lang w:val="en-US" w:eastAsia="zh-CN"/>
              </w:rPr>
              <w:t xml:space="preserve">0.000008 </w:t>
            </w:r>
          </w:p>
        </w:tc>
        <w:tc>
          <w:tcPr>
            <w:tcW w:w="1222" w:type="dxa"/>
            <w:vAlign w:val="center"/>
          </w:tcPr>
          <w:p w14:paraId="07B505DD">
            <w:pPr>
              <w:pStyle w:val="59"/>
              <w:bidi w:val="0"/>
              <w:rPr>
                <w:rFonts w:hint="default"/>
                <w:lang w:val="en-US" w:eastAsia="zh-CN"/>
              </w:rPr>
            </w:pPr>
            <w:r>
              <w:rPr>
                <w:rFonts w:hint="default"/>
                <w:lang w:val="en-US" w:eastAsia="zh-CN"/>
              </w:rPr>
              <w:t xml:space="preserve">0.00000011 </w:t>
            </w:r>
          </w:p>
        </w:tc>
        <w:tc>
          <w:tcPr>
            <w:tcW w:w="1716" w:type="dxa"/>
            <w:vAlign w:val="center"/>
          </w:tcPr>
          <w:p w14:paraId="58597097">
            <w:pPr>
              <w:pStyle w:val="59"/>
              <w:bidi w:val="0"/>
              <w:rPr>
                <w:rFonts w:hint="default"/>
                <w:lang w:val="en-US" w:eastAsia="zh-CN"/>
              </w:rPr>
            </w:pPr>
            <w:r>
              <w:rPr>
                <w:rFonts w:hint="default"/>
                <w:lang w:val="en-US" w:eastAsia="zh-CN"/>
              </w:rPr>
              <w:t xml:space="preserve">0.00000022 </w:t>
            </w:r>
          </w:p>
        </w:tc>
      </w:tr>
      <w:tr w14:paraId="54EAF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715AF6FB">
            <w:pPr>
              <w:pStyle w:val="59"/>
              <w:bidi w:val="0"/>
              <w:rPr>
                <w:rFonts w:hint="default"/>
                <w:lang w:val="en-US" w:eastAsia="zh-CN"/>
              </w:rPr>
            </w:pPr>
            <w:r>
              <w:rPr>
                <w:rFonts w:hint="default"/>
                <w:lang w:val="en-US" w:eastAsia="zh-CN"/>
              </w:rPr>
              <w:t xml:space="preserve">9. </w:t>
            </w:r>
          </w:p>
        </w:tc>
        <w:tc>
          <w:tcPr>
            <w:tcW w:w="1721" w:type="dxa"/>
            <w:vMerge w:val="continue"/>
            <w:vAlign w:val="center"/>
          </w:tcPr>
          <w:p w14:paraId="35606502">
            <w:pPr>
              <w:pStyle w:val="59"/>
              <w:bidi w:val="0"/>
              <w:rPr>
                <w:rFonts w:hint="eastAsia"/>
                <w:lang w:val="en-US" w:eastAsia="zh-CN"/>
              </w:rPr>
            </w:pPr>
          </w:p>
        </w:tc>
        <w:tc>
          <w:tcPr>
            <w:tcW w:w="1530" w:type="dxa"/>
            <w:vAlign w:val="center"/>
          </w:tcPr>
          <w:p w14:paraId="5DBA8F16">
            <w:pPr>
              <w:pStyle w:val="59"/>
              <w:bidi w:val="0"/>
              <w:rPr>
                <w:rFonts w:hint="eastAsia"/>
                <w:lang w:val="en-US" w:eastAsia="zh-CN"/>
              </w:rPr>
            </w:pPr>
            <w:r>
              <w:rPr>
                <w:rFonts w:hint="eastAsia"/>
                <w:lang w:val="en-US" w:eastAsia="zh-CN"/>
              </w:rPr>
              <w:t>甲苯</w:t>
            </w:r>
          </w:p>
        </w:tc>
        <w:tc>
          <w:tcPr>
            <w:tcW w:w="1513" w:type="dxa"/>
            <w:vAlign w:val="center"/>
          </w:tcPr>
          <w:p w14:paraId="14997F45">
            <w:pPr>
              <w:pStyle w:val="59"/>
              <w:bidi w:val="0"/>
              <w:rPr>
                <w:rFonts w:hint="eastAsia"/>
                <w:lang w:val="en-US" w:eastAsia="zh-CN"/>
              </w:rPr>
            </w:pPr>
            <w:r>
              <w:rPr>
                <w:rFonts w:hint="default"/>
                <w:lang w:val="en-US" w:eastAsia="zh-CN"/>
              </w:rPr>
              <w:t xml:space="preserve">0.000003 </w:t>
            </w:r>
          </w:p>
        </w:tc>
        <w:tc>
          <w:tcPr>
            <w:tcW w:w="1222" w:type="dxa"/>
            <w:vAlign w:val="center"/>
          </w:tcPr>
          <w:p w14:paraId="3D6AE8E6">
            <w:pPr>
              <w:pStyle w:val="59"/>
              <w:bidi w:val="0"/>
              <w:rPr>
                <w:rFonts w:hint="default"/>
                <w:lang w:val="en-US" w:eastAsia="zh-CN"/>
              </w:rPr>
            </w:pPr>
            <w:r>
              <w:rPr>
                <w:rFonts w:hint="default"/>
                <w:lang w:val="en-US" w:eastAsia="zh-CN"/>
              </w:rPr>
              <w:t xml:space="preserve">0.00000005 </w:t>
            </w:r>
          </w:p>
        </w:tc>
        <w:tc>
          <w:tcPr>
            <w:tcW w:w="1716" w:type="dxa"/>
            <w:vAlign w:val="center"/>
          </w:tcPr>
          <w:p w14:paraId="26888135">
            <w:pPr>
              <w:pStyle w:val="59"/>
              <w:bidi w:val="0"/>
              <w:rPr>
                <w:rFonts w:hint="default"/>
                <w:lang w:val="en-US" w:eastAsia="zh-CN"/>
              </w:rPr>
            </w:pPr>
            <w:r>
              <w:rPr>
                <w:rFonts w:hint="default"/>
                <w:lang w:val="en-US" w:eastAsia="zh-CN"/>
              </w:rPr>
              <w:t xml:space="preserve">0.00000010 </w:t>
            </w:r>
          </w:p>
        </w:tc>
      </w:tr>
      <w:tr w14:paraId="42024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1400" w:type="dxa"/>
            <w:vAlign w:val="center"/>
          </w:tcPr>
          <w:p w14:paraId="6358D195">
            <w:pPr>
              <w:pStyle w:val="59"/>
              <w:bidi w:val="0"/>
              <w:rPr>
                <w:rFonts w:hint="eastAsia"/>
                <w:lang w:val="en-US" w:eastAsia="zh-CN"/>
              </w:rPr>
            </w:pPr>
            <w:r>
              <w:rPr>
                <w:rFonts w:hint="default"/>
                <w:lang w:val="en-US" w:eastAsia="zh-CN"/>
              </w:rPr>
              <w:t xml:space="preserve">10. </w:t>
            </w:r>
          </w:p>
        </w:tc>
        <w:tc>
          <w:tcPr>
            <w:tcW w:w="1721" w:type="dxa"/>
            <w:vMerge w:val="continue"/>
            <w:vAlign w:val="center"/>
          </w:tcPr>
          <w:p w14:paraId="56B230A1">
            <w:pPr>
              <w:pStyle w:val="59"/>
              <w:bidi w:val="0"/>
              <w:rPr>
                <w:rFonts w:hint="eastAsia"/>
                <w:lang w:val="en-US" w:eastAsia="zh-CN"/>
              </w:rPr>
            </w:pPr>
          </w:p>
        </w:tc>
        <w:tc>
          <w:tcPr>
            <w:tcW w:w="1530" w:type="dxa"/>
            <w:vAlign w:val="center"/>
          </w:tcPr>
          <w:p w14:paraId="49FB2937">
            <w:pPr>
              <w:pStyle w:val="59"/>
              <w:bidi w:val="0"/>
              <w:rPr>
                <w:rFonts w:hint="eastAsia"/>
                <w:lang w:val="en-US" w:eastAsia="zh-CN"/>
              </w:rPr>
            </w:pPr>
            <w:r>
              <w:rPr>
                <w:rFonts w:hint="eastAsia"/>
                <w:lang w:val="en-US" w:eastAsia="zh-CN"/>
              </w:rPr>
              <w:t>总</w:t>
            </w:r>
            <w:r>
              <w:rPr>
                <w:rFonts w:hint="default"/>
                <w:lang w:val="en-US" w:eastAsia="zh-CN"/>
              </w:rPr>
              <w:t>VOCs</w:t>
            </w:r>
          </w:p>
        </w:tc>
        <w:tc>
          <w:tcPr>
            <w:tcW w:w="1513" w:type="dxa"/>
            <w:vAlign w:val="center"/>
          </w:tcPr>
          <w:p w14:paraId="34235915">
            <w:pPr>
              <w:pStyle w:val="59"/>
              <w:bidi w:val="0"/>
              <w:rPr>
                <w:rFonts w:hint="default"/>
                <w:lang w:val="en-US" w:eastAsia="zh-CN"/>
              </w:rPr>
            </w:pPr>
            <w:r>
              <w:rPr>
                <w:rFonts w:hint="eastAsia"/>
                <w:lang w:val="en-US" w:eastAsia="zh-CN"/>
              </w:rPr>
              <w:t>2.40</w:t>
            </w:r>
          </w:p>
        </w:tc>
        <w:tc>
          <w:tcPr>
            <w:tcW w:w="1222" w:type="dxa"/>
            <w:vAlign w:val="center"/>
          </w:tcPr>
          <w:p w14:paraId="0573BCB5">
            <w:pPr>
              <w:pStyle w:val="59"/>
              <w:bidi w:val="0"/>
              <w:rPr>
                <w:rFonts w:hint="default"/>
                <w:lang w:val="en-US" w:eastAsia="zh-CN"/>
              </w:rPr>
            </w:pPr>
            <w:r>
              <w:rPr>
                <w:rFonts w:hint="default"/>
                <w:lang w:val="en-US" w:eastAsia="zh-CN"/>
              </w:rPr>
              <w:t>0.0</w:t>
            </w:r>
            <w:r>
              <w:rPr>
                <w:rFonts w:hint="eastAsia"/>
                <w:lang w:val="en-US" w:eastAsia="zh-CN"/>
              </w:rPr>
              <w:t>36</w:t>
            </w:r>
          </w:p>
        </w:tc>
        <w:tc>
          <w:tcPr>
            <w:tcW w:w="1716" w:type="dxa"/>
            <w:vAlign w:val="center"/>
          </w:tcPr>
          <w:p w14:paraId="0AF40166">
            <w:pPr>
              <w:pStyle w:val="59"/>
              <w:bidi w:val="0"/>
              <w:rPr>
                <w:rFonts w:hint="default"/>
                <w:lang w:val="en-US" w:eastAsia="zh-CN"/>
              </w:rPr>
            </w:pPr>
            <w:r>
              <w:rPr>
                <w:rFonts w:hint="default"/>
                <w:lang w:val="en-US" w:eastAsia="zh-CN"/>
              </w:rPr>
              <w:t>0.</w:t>
            </w:r>
            <w:r>
              <w:rPr>
                <w:rFonts w:hint="eastAsia"/>
                <w:lang w:val="en-US" w:eastAsia="zh-CN"/>
              </w:rPr>
              <w:t>087</w:t>
            </w:r>
          </w:p>
        </w:tc>
      </w:tr>
      <w:tr w14:paraId="33B496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9102" w:type="dxa"/>
            <w:gridSpan w:val="6"/>
            <w:vAlign w:val="center"/>
          </w:tcPr>
          <w:p w14:paraId="1DB9DFA7">
            <w:pPr>
              <w:pStyle w:val="59"/>
              <w:bidi w:val="0"/>
            </w:pPr>
            <w:r>
              <w:rPr>
                <w:rFonts w:hint="eastAsia"/>
                <w:lang w:val="en-US" w:eastAsia="zh-CN"/>
              </w:rPr>
              <w:t>有组织排放合计</w:t>
            </w:r>
          </w:p>
        </w:tc>
      </w:tr>
      <w:tr w14:paraId="3743F3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restart"/>
            <w:vAlign w:val="center"/>
          </w:tcPr>
          <w:p w14:paraId="6304EF5C">
            <w:pPr>
              <w:pStyle w:val="59"/>
              <w:bidi w:val="0"/>
            </w:pPr>
            <w:r>
              <w:rPr>
                <w:rFonts w:hint="eastAsia"/>
                <w:lang w:val="en-US" w:eastAsia="zh-CN"/>
              </w:rPr>
              <w:t>有组织排放合计</w:t>
            </w:r>
          </w:p>
        </w:tc>
        <w:tc>
          <w:tcPr>
            <w:tcW w:w="1530" w:type="dxa"/>
            <w:shd w:val="clear" w:color="auto" w:fill="auto"/>
            <w:vAlign w:val="center"/>
          </w:tcPr>
          <w:p w14:paraId="32B81E8E">
            <w:pPr>
              <w:pStyle w:val="59"/>
              <w:bidi w:val="0"/>
              <w:rPr>
                <w:lang w:val="en-US" w:eastAsia="zh-CN"/>
              </w:rPr>
            </w:pPr>
            <w:r>
              <w:rPr>
                <w:rFonts w:hint="default"/>
                <w:lang w:val="en-US" w:eastAsia="zh-CN"/>
              </w:rPr>
              <w:t>NMHC</w:t>
            </w:r>
          </w:p>
        </w:tc>
        <w:tc>
          <w:tcPr>
            <w:tcW w:w="1513" w:type="dxa"/>
            <w:shd w:val="clear" w:color="auto" w:fill="auto"/>
            <w:vAlign w:val="center"/>
          </w:tcPr>
          <w:p w14:paraId="2959910D">
            <w:pPr>
              <w:pStyle w:val="59"/>
              <w:bidi w:val="0"/>
              <w:rPr>
                <w:lang w:val="en-US" w:eastAsia="zh-CN"/>
              </w:rPr>
            </w:pPr>
            <w:r>
              <w:rPr>
                <w:rFonts w:hint="default"/>
                <w:lang w:val="en-US" w:eastAsia="zh-CN"/>
              </w:rPr>
              <w:t xml:space="preserve">1.534 </w:t>
            </w:r>
          </w:p>
        </w:tc>
        <w:tc>
          <w:tcPr>
            <w:tcW w:w="1222" w:type="dxa"/>
            <w:shd w:val="clear" w:color="auto" w:fill="auto"/>
            <w:vAlign w:val="center"/>
          </w:tcPr>
          <w:p w14:paraId="680C9B0D">
            <w:pPr>
              <w:pStyle w:val="59"/>
              <w:bidi w:val="0"/>
              <w:rPr>
                <w:lang w:val="en-US" w:eastAsia="zh-CN"/>
              </w:rPr>
            </w:pPr>
            <w:r>
              <w:rPr>
                <w:rFonts w:hint="default"/>
                <w:lang w:val="en-US" w:eastAsia="zh-CN"/>
              </w:rPr>
              <w:t xml:space="preserve">0.023 </w:t>
            </w:r>
          </w:p>
        </w:tc>
        <w:tc>
          <w:tcPr>
            <w:tcW w:w="1716" w:type="dxa"/>
            <w:shd w:val="clear" w:color="auto" w:fill="auto"/>
            <w:vAlign w:val="center"/>
          </w:tcPr>
          <w:p w14:paraId="6E3B9EDF">
            <w:pPr>
              <w:pStyle w:val="59"/>
              <w:bidi w:val="0"/>
              <w:rPr>
                <w:lang w:val="en-US" w:eastAsia="zh-CN"/>
              </w:rPr>
            </w:pPr>
            <w:r>
              <w:rPr>
                <w:rFonts w:hint="default"/>
                <w:lang w:val="en-US" w:eastAsia="zh-CN"/>
              </w:rPr>
              <w:t xml:space="preserve">0.056 </w:t>
            </w:r>
          </w:p>
        </w:tc>
      </w:tr>
      <w:tr w14:paraId="159795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14DDA5F7">
            <w:pPr>
              <w:pStyle w:val="59"/>
              <w:bidi w:val="0"/>
            </w:pPr>
          </w:p>
        </w:tc>
        <w:tc>
          <w:tcPr>
            <w:tcW w:w="1530" w:type="dxa"/>
            <w:shd w:val="clear" w:color="auto" w:fill="auto"/>
            <w:vAlign w:val="center"/>
          </w:tcPr>
          <w:p w14:paraId="1A3BCB01">
            <w:pPr>
              <w:pStyle w:val="59"/>
              <w:bidi w:val="0"/>
              <w:rPr>
                <w:lang w:val="en-US" w:eastAsia="zh-CN"/>
              </w:rPr>
            </w:pPr>
            <w:r>
              <w:rPr>
                <w:rFonts w:hint="eastAsia"/>
                <w:lang w:val="en-US" w:eastAsia="zh-CN"/>
              </w:rPr>
              <w:t>氯化氢</w:t>
            </w:r>
          </w:p>
        </w:tc>
        <w:tc>
          <w:tcPr>
            <w:tcW w:w="1513" w:type="dxa"/>
            <w:shd w:val="clear" w:color="auto" w:fill="auto"/>
            <w:vAlign w:val="center"/>
          </w:tcPr>
          <w:p w14:paraId="63F150F1">
            <w:pPr>
              <w:pStyle w:val="59"/>
              <w:bidi w:val="0"/>
              <w:rPr>
                <w:lang w:val="en-US" w:eastAsia="zh-CN"/>
              </w:rPr>
            </w:pPr>
            <w:r>
              <w:rPr>
                <w:rFonts w:hint="default"/>
                <w:lang w:val="en-US" w:eastAsia="zh-CN"/>
              </w:rPr>
              <w:t xml:space="preserve">0.000109 </w:t>
            </w:r>
          </w:p>
        </w:tc>
        <w:tc>
          <w:tcPr>
            <w:tcW w:w="1222" w:type="dxa"/>
            <w:shd w:val="clear" w:color="auto" w:fill="auto"/>
            <w:vAlign w:val="center"/>
          </w:tcPr>
          <w:p w14:paraId="720B7084">
            <w:pPr>
              <w:pStyle w:val="59"/>
              <w:bidi w:val="0"/>
              <w:rPr>
                <w:lang w:val="en-US" w:eastAsia="zh-CN"/>
              </w:rPr>
            </w:pPr>
            <w:r>
              <w:rPr>
                <w:rFonts w:hint="default"/>
                <w:lang w:val="en-US" w:eastAsia="zh-CN"/>
              </w:rPr>
              <w:t xml:space="preserve">0.000002 </w:t>
            </w:r>
          </w:p>
        </w:tc>
        <w:tc>
          <w:tcPr>
            <w:tcW w:w="1716" w:type="dxa"/>
            <w:shd w:val="clear" w:color="auto" w:fill="auto"/>
            <w:vAlign w:val="center"/>
          </w:tcPr>
          <w:p w14:paraId="74B2FD01">
            <w:pPr>
              <w:pStyle w:val="59"/>
              <w:bidi w:val="0"/>
              <w:rPr>
                <w:lang w:val="en-US" w:eastAsia="zh-CN"/>
              </w:rPr>
            </w:pPr>
            <w:r>
              <w:rPr>
                <w:rFonts w:hint="default"/>
                <w:lang w:val="en-US" w:eastAsia="zh-CN"/>
              </w:rPr>
              <w:t xml:space="preserve">0.000004 </w:t>
            </w:r>
          </w:p>
        </w:tc>
      </w:tr>
      <w:tr w14:paraId="0F1DCA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5EBB8834">
            <w:pPr>
              <w:pStyle w:val="59"/>
              <w:bidi w:val="0"/>
            </w:pPr>
          </w:p>
        </w:tc>
        <w:tc>
          <w:tcPr>
            <w:tcW w:w="1530" w:type="dxa"/>
            <w:shd w:val="clear" w:color="auto" w:fill="auto"/>
            <w:vAlign w:val="center"/>
          </w:tcPr>
          <w:p w14:paraId="294B75E8">
            <w:pPr>
              <w:pStyle w:val="59"/>
              <w:bidi w:val="0"/>
              <w:rPr>
                <w:lang w:val="en-US" w:eastAsia="zh-CN"/>
              </w:rPr>
            </w:pPr>
            <w:r>
              <w:rPr>
                <w:rFonts w:hint="eastAsia"/>
                <w:lang w:val="en-US" w:eastAsia="zh-CN"/>
              </w:rPr>
              <w:t>氯乙烯</w:t>
            </w:r>
          </w:p>
        </w:tc>
        <w:tc>
          <w:tcPr>
            <w:tcW w:w="1513" w:type="dxa"/>
            <w:shd w:val="clear" w:color="auto" w:fill="auto"/>
            <w:vAlign w:val="center"/>
          </w:tcPr>
          <w:p w14:paraId="20F4402B">
            <w:pPr>
              <w:pStyle w:val="59"/>
              <w:bidi w:val="0"/>
              <w:rPr>
                <w:lang w:val="en-US" w:eastAsia="zh-CN"/>
              </w:rPr>
            </w:pPr>
            <w:r>
              <w:rPr>
                <w:rFonts w:hint="default"/>
                <w:lang w:val="en-US" w:eastAsia="zh-CN"/>
              </w:rPr>
              <w:t xml:space="preserve">0.000118 </w:t>
            </w:r>
          </w:p>
        </w:tc>
        <w:tc>
          <w:tcPr>
            <w:tcW w:w="1222" w:type="dxa"/>
            <w:shd w:val="clear" w:color="auto" w:fill="auto"/>
            <w:vAlign w:val="center"/>
          </w:tcPr>
          <w:p w14:paraId="4218E13A">
            <w:pPr>
              <w:pStyle w:val="59"/>
              <w:bidi w:val="0"/>
              <w:rPr>
                <w:lang w:val="en-US" w:eastAsia="zh-CN"/>
              </w:rPr>
            </w:pPr>
            <w:r>
              <w:rPr>
                <w:rFonts w:hint="default"/>
                <w:lang w:val="en-US" w:eastAsia="zh-CN"/>
              </w:rPr>
              <w:t xml:space="preserve">0.000002 </w:t>
            </w:r>
          </w:p>
        </w:tc>
        <w:tc>
          <w:tcPr>
            <w:tcW w:w="1716" w:type="dxa"/>
            <w:shd w:val="clear" w:color="auto" w:fill="auto"/>
            <w:vAlign w:val="center"/>
          </w:tcPr>
          <w:p w14:paraId="09925C91">
            <w:pPr>
              <w:pStyle w:val="59"/>
              <w:bidi w:val="0"/>
              <w:rPr>
                <w:lang w:val="en-US" w:eastAsia="zh-CN"/>
              </w:rPr>
            </w:pPr>
            <w:r>
              <w:rPr>
                <w:rFonts w:hint="default"/>
                <w:lang w:val="en-US" w:eastAsia="zh-CN"/>
              </w:rPr>
              <w:t xml:space="preserve">0.000004 </w:t>
            </w:r>
          </w:p>
        </w:tc>
      </w:tr>
      <w:tr w14:paraId="4EE201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2BFE808C">
            <w:pPr>
              <w:pStyle w:val="59"/>
              <w:bidi w:val="0"/>
            </w:pPr>
          </w:p>
        </w:tc>
        <w:tc>
          <w:tcPr>
            <w:tcW w:w="1530" w:type="dxa"/>
            <w:shd w:val="clear" w:color="auto" w:fill="auto"/>
            <w:vAlign w:val="center"/>
          </w:tcPr>
          <w:p w14:paraId="75A1948F">
            <w:pPr>
              <w:pStyle w:val="59"/>
              <w:bidi w:val="0"/>
              <w:rPr>
                <w:rFonts w:hint="eastAsia"/>
                <w:lang w:val="en-US" w:eastAsia="zh-CN"/>
              </w:rPr>
            </w:pPr>
            <w:r>
              <w:rPr>
                <w:rFonts w:hint="eastAsia"/>
                <w:lang w:val="en-US" w:eastAsia="zh-CN"/>
              </w:rPr>
              <w:t>苯</w:t>
            </w:r>
          </w:p>
        </w:tc>
        <w:tc>
          <w:tcPr>
            <w:tcW w:w="1513" w:type="dxa"/>
            <w:shd w:val="clear" w:color="auto" w:fill="auto"/>
            <w:vAlign w:val="center"/>
          </w:tcPr>
          <w:p w14:paraId="07077975">
            <w:pPr>
              <w:pStyle w:val="59"/>
              <w:bidi w:val="0"/>
              <w:rPr>
                <w:rFonts w:hint="eastAsia"/>
                <w:lang w:val="en-US" w:eastAsia="zh-CN"/>
              </w:rPr>
            </w:pPr>
            <w:r>
              <w:rPr>
                <w:rFonts w:hint="default"/>
                <w:lang w:val="en-US" w:eastAsia="zh-CN"/>
              </w:rPr>
              <w:t xml:space="preserve">0.000006 </w:t>
            </w:r>
          </w:p>
        </w:tc>
        <w:tc>
          <w:tcPr>
            <w:tcW w:w="1222" w:type="dxa"/>
            <w:shd w:val="clear" w:color="auto" w:fill="auto"/>
            <w:vAlign w:val="center"/>
          </w:tcPr>
          <w:p w14:paraId="3F297EE6">
            <w:pPr>
              <w:pStyle w:val="59"/>
              <w:bidi w:val="0"/>
              <w:rPr>
                <w:rFonts w:hint="default"/>
                <w:lang w:val="en-US" w:eastAsia="zh-CN"/>
              </w:rPr>
            </w:pPr>
            <w:r>
              <w:rPr>
                <w:rFonts w:hint="default"/>
                <w:lang w:val="en-US" w:eastAsia="zh-CN"/>
              </w:rPr>
              <w:t xml:space="preserve">0.000000 </w:t>
            </w:r>
          </w:p>
        </w:tc>
        <w:tc>
          <w:tcPr>
            <w:tcW w:w="1716" w:type="dxa"/>
            <w:shd w:val="clear" w:color="auto" w:fill="auto"/>
            <w:vAlign w:val="center"/>
          </w:tcPr>
          <w:p w14:paraId="375B2896">
            <w:pPr>
              <w:pStyle w:val="59"/>
              <w:bidi w:val="0"/>
              <w:rPr>
                <w:rFonts w:hint="default"/>
                <w:lang w:val="en-US" w:eastAsia="zh-CN"/>
              </w:rPr>
            </w:pPr>
            <w:r>
              <w:rPr>
                <w:rFonts w:hint="default"/>
                <w:lang w:val="en-US" w:eastAsia="zh-CN"/>
              </w:rPr>
              <w:t xml:space="preserve">0.000000 </w:t>
            </w:r>
          </w:p>
        </w:tc>
      </w:tr>
      <w:tr w14:paraId="0F5662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2EB4CD26">
            <w:pPr>
              <w:pStyle w:val="59"/>
              <w:bidi w:val="0"/>
            </w:pPr>
          </w:p>
        </w:tc>
        <w:tc>
          <w:tcPr>
            <w:tcW w:w="1530" w:type="dxa"/>
            <w:shd w:val="clear" w:color="auto" w:fill="auto"/>
            <w:vAlign w:val="center"/>
          </w:tcPr>
          <w:p w14:paraId="6FC7C76C">
            <w:pPr>
              <w:pStyle w:val="59"/>
              <w:bidi w:val="0"/>
              <w:rPr>
                <w:rFonts w:hint="eastAsia"/>
                <w:lang w:val="en-US" w:eastAsia="zh-CN"/>
              </w:rPr>
            </w:pPr>
            <w:r>
              <w:rPr>
                <w:rFonts w:hint="eastAsia"/>
                <w:lang w:val="en-US" w:eastAsia="zh-CN"/>
              </w:rPr>
              <w:t>甲苯</w:t>
            </w:r>
          </w:p>
        </w:tc>
        <w:tc>
          <w:tcPr>
            <w:tcW w:w="1513" w:type="dxa"/>
            <w:shd w:val="clear" w:color="auto" w:fill="auto"/>
            <w:vAlign w:val="center"/>
          </w:tcPr>
          <w:p w14:paraId="7A7E96A7">
            <w:pPr>
              <w:pStyle w:val="59"/>
              <w:bidi w:val="0"/>
              <w:rPr>
                <w:rFonts w:hint="eastAsia"/>
                <w:lang w:val="en-US" w:eastAsia="zh-CN"/>
              </w:rPr>
            </w:pPr>
            <w:r>
              <w:rPr>
                <w:rFonts w:hint="default"/>
                <w:lang w:val="en-US" w:eastAsia="zh-CN"/>
              </w:rPr>
              <w:t xml:space="preserve">0.000003 </w:t>
            </w:r>
          </w:p>
        </w:tc>
        <w:tc>
          <w:tcPr>
            <w:tcW w:w="1222" w:type="dxa"/>
            <w:shd w:val="clear" w:color="auto" w:fill="auto"/>
            <w:vAlign w:val="center"/>
          </w:tcPr>
          <w:p w14:paraId="0481E99B">
            <w:pPr>
              <w:pStyle w:val="59"/>
              <w:bidi w:val="0"/>
              <w:rPr>
                <w:rFonts w:hint="default"/>
                <w:lang w:val="en-US" w:eastAsia="zh-CN"/>
              </w:rPr>
            </w:pPr>
            <w:r>
              <w:rPr>
                <w:rFonts w:hint="default"/>
                <w:lang w:val="en-US" w:eastAsia="zh-CN"/>
              </w:rPr>
              <w:t xml:space="preserve">0.000000 </w:t>
            </w:r>
          </w:p>
        </w:tc>
        <w:tc>
          <w:tcPr>
            <w:tcW w:w="1716" w:type="dxa"/>
            <w:shd w:val="clear" w:color="auto" w:fill="auto"/>
            <w:vAlign w:val="center"/>
          </w:tcPr>
          <w:p w14:paraId="75D5C4BA">
            <w:pPr>
              <w:pStyle w:val="59"/>
              <w:bidi w:val="0"/>
              <w:rPr>
                <w:rFonts w:hint="default"/>
                <w:lang w:val="en-US" w:eastAsia="zh-CN"/>
              </w:rPr>
            </w:pPr>
            <w:r>
              <w:rPr>
                <w:rFonts w:hint="default"/>
                <w:lang w:val="en-US" w:eastAsia="zh-CN"/>
              </w:rPr>
              <w:t xml:space="preserve">0.000000 </w:t>
            </w:r>
          </w:p>
        </w:tc>
      </w:tr>
      <w:tr w14:paraId="1CACD6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1ADB1AD4">
            <w:pPr>
              <w:pStyle w:val="59"/>
              <w:bidi w:val="0"/>
            </w:pPr>
          </w:p>
        </w:tc>
        <w:tc>
          <w:tcPr>
            <w:tcW w:w="1530" w:type="dxa"/>
            <w:shd w:val="clear" w:color="auto" w:fill="auto"/>
            <w:vAlign w:val="center"/>
          </w:tcPr>
          <w:p w14:paraId="4F261577">
            <w:pPr>
              <w:pStyle w:val="59"/>
              <w:bidi w:val="0"/>
              <w:rPr>
                <w:rFonts w:hint="eastAsia"/>
                <w:lang w:val="en-US" w:eastAsia="zh-CN"/>
              </w:rPr>
            </w:pPr>
            <w:r>
              <w:rPr>
                <w:rFonts w:hint="eastAsia"/>
                <w:lang w:val="en-US" w:eastAsia="zh-CN"/>
              </w:rPr>
              <w:t>总</w:t>
            </w:r>
            <w:r>
              <w:rPr>
                <w:rFonts w:hint="default"/>
                <w:lang w:val="en-US" w:eastAsia="zh-CN"/>
              </w:rPr>
              <w:t>VOCs</w:t>
            </w:r>
          </w:p>
        </w:tc>
        <w:tc>
          <w:tcPr>
            <w:tcW w:w="1513" w:type="dxa"/>
            <w:shd w:val="clear" w:color="auto" w:fill="auto"/>
            <w:vAlign w:val="center"/>
          </w:tcPr>
          <w:p w14:paraId="524DA4E8">
            <w:pPr>
              <w:pStyle w:val="59"/>
              <w:bidi w:val="0"/>
              <w:rPr>
                <w:rFonts w:hint="eastAsia"/>
                <w:lang w:val="en-US" w:eastAsia="zh-CN"/>
              </w:rPr>
            </w:pPr>
            <w:r>
              <w:rPr>
                <w:rFonts w:hint="default"/>
                <w:lang w:val="en-US" w:eastAsia="zh-CN"/>
              </w:rPr>
              <w:t xml:space="preserve">93.86 </w:t>
            </w:r>
          </w:p>
        </w:tc>
        <w:tc>
          <w:tcPr>
            <w:tcW w:w="1222" w:type="dxa"/>
            <w:shd w:val="clear" w:color="auto" w:fill="auto"/>
            <w:vAlign w:val="center"/>
          </w:tcPr>
          <w:p w14:paraId="00187D61">
            <w:pPr>
              <w:pStyle w:val="59"/>
              <w:bidi w:val="0"/>
              <w:rPr>
                <w:rFonts w:hint="eastAsia"/>
                <w:lang w:val="en-US" w:eastAsia="zh-CN"/>
              </w:rPr>
            </w:pPr>
            <w:r>
              <w:rPr>
                <w:rFonts w:hint="default"/>
                <w:lang w:val="en-US" w:eastAsia="zh-CN"/>
              </w:rPr>
              <w:t xml:space="preserve">2.78 </w:t>
            </w:r>
          </w:p>
        </w:tc>
        <w:tc>
          <w:tcPr>
            <w:tcW w:w="1716" w:type="dxa"/>
            <w:shd w:val="clear" w:color="auto" w:fill="auto"/>
            <w:vAlign w:val="center"/>
          </w:tcPr>
          <w:p w14:paraId="5360B4CC">
            <w:pPr>
              <w:pStyle w:val="59"/>
              <w:bidi w:val="0"/>
              <w:rPr>
                <w:rFonts w:hint="eastAsia"/>
                <w:lang w:val="en-US" w:eastAsia="zh-CN"/>
              </w:rPr>
            </w:pPr>
            <w:r>
              <w:rPr>
                <w:rFonts w:hint="default"/>
                <w:lang w:val="en-US" w:eastAsia="zh-CN"/>
              </w:rPr>
              <w:t xml:space="preserve">6.11 </w:t>
            </w:r>
          </w:p>
        </w:tc>
      </w:tr>
      <w:tr w14:paraId="482D4C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10372FEB">
            <w:pPr>
              <w:pStyle w:val="59"/>
              <w:bidi w:val="0"/>
            </w:pPr>
          </w:p>
        </w:tc>
        <w:tc>
          <w:tcPr>
            <w:tcW w:w="1530" w:type="dxa"/>
            <w:shd w:val="clear" w:color="auto" w:fill="auto"/>
            <w:vAlign w:val="center"/>
          </w:tcPr>
          <w:p w14:paraId="60D0AE0E">
            <w:pPr>
              <w:pStyle w:val="59"/>
              <w:bidi w:val="0"/>
              <w:rPr>
                <w:rFonts w:hint="eastAsia"/>
                <w:lang w:val="en-US" w:eastAsia="zh-CN"/>
              </w:rPr>
            </w:pPr>
            <w:r>
              <w:rPr>
                <w:rFonts w:hint="eastAsia"/>
                <w:lang w:val="en-US" w:eastAsia="zh-CN"/>
              </w:rPr>
              <w:t>氮氧化物</w:t>
            </w:r>
          </w:p>
        </w:tc>
        <w:tc>
          <w:tcPr>
            <w:tcW w:w="1513" w:type="dxa"/>
            <w:shd w:val="clear" w:color="auto" w:fill="auto"/>
            <w:vAlign w:val="center"/>
          </w:tcPr>
          <w:p w14:paraId="5D74EEA8">
            <w:pPr>
              <w:pStyle w:val="59"/>
              <w:bidi w:val="0"/>
              <w:rPr>
                <w:rFonts w:hint="eastAsia"/>
                <w:lang w:val="en-US" w:eastAsia="zh-CN"/>
              </w:rPr>
            </w:pPr>
            <w:r>
              <w:rPr>
                <w:rFonts w:hint="default"/>
                <w:lang w:val="en-US" w:eastAsia="zh-CN"/>
              </w:rPr>
              <w:t xml:space="preserve">116.53 </w:t>
            </w:r>
          </w:p>
        </w:tc>
        <w:tc>
          <w:tcPr>
            <w:tcW w:w="1222" w:type="dxa"/>
            <w:shd w:val="clear" w:color="auto" w:fill="auto"/>
            <w:vAlign w:val="center"/>
          </w:tcPr>
          <w:p w14:paraId="3761AFF2">
            <w:pPr>
              <w:pStyle w:val="59"/>
              <w:bidi w:val="0"/>
              <w:rPr>
                <w:rFonts w:hint="eastAsia"/>
                <w:lang w:val="en-US" w:eastAsia="zh-CN"/>
              </w:rPr>
            </w:pPr>
            <w:r>
              <w:rPr>
                <w:rFonts w:hint="default"/>
                <w:lang w:val="en-US" w:eastAsia="zh-CN"/>
              </w:rPr>
              <w:t xml:space="preserve">0.17 </w:t>
            </w:r>
          </w:p>
        </w:tc>
        <w:tc>
          <w:tcPr>
            <w:tcW w:w="1716" w:type="dxa"/>
            <w:shd w:val="clear" w:color="auto" w:fill="auto"/>
            <w:vAlign w:val="center"/>
          </w:tcPr>
          <w:p w14:paraId="3E9FDCD4">
            <w:pPr>
              <w:pStyle w:val="59"/>
              <w:bidi w:val="0"/>
              <w:rPr>
                <w:rFonts w:hint="eastAsia"/>
                <w:lang w:val="en-US" w:eastAsia="zh-CN"/>
              </w:rPr>
            </w:pPr>
            <w:r>
              <w:rPr>
                <w:rFonts w:hint="default"/>
                <w:lang w:val="en-US" w:eastAsia="zh-CN"/>
              </w:rPr>
              <w:t xml:space="preserve">0.21 </w:t>
            </w:r>
          </w:p>
        </w:tc>
      </w:tr>
      <w:tr w14:paraId="1ADFA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67BC586C">
            <w:pPr>
              <w:pStyle w:val="59"/>
              <w:bidi w:val="0"/>
            </w:pPr>
          </w:p>
        </w:tc>
        <w:tc>
          <w:tcPr>
            <w:tcW w:w="1530" w:type="dxa"/>
            <w:shd w:val="clear" w:color="auto" w:fill="auto"/>
            <w:vAlign w:val="center"/>
          </w:tcPr>
          <w:p w14:paraId="2879125D">
            <w:pPr>
              <w:pStyle w:val="59"/>
              <w:bidi w:val="0"/>
              <w:rPr>
                <w:rFonts w:hint="eastAsia"/>
                <w:lang w:val="en-US" w:eastAsia="zh-CN"/>
              </w:rPr>
            </w:pPr>
            <w:r>
              <w:rPr>
                <w:rFonts w:hint="eastAsia"/>
                <w:lang w:val="en-US" w:eastAsia="zh-CN"/>
              </w:rPr>
              <w:t>二氧化硫</w:t>
            </w:r>
          </w:p>
        </w:tc>
        <w:tc>
          <w:tcPr>
            <w:tcW w:w="1513" w:type="dxa"/>
            <w:shd w:val="clear" w:color="auto" w:fill="auto"/>
            <w:vAlign w:val="center"/>
          </w:tcPr>
          <w:p w14:paraId="4E96423F">
            <w:pPr>
              <w:pStyle w:val="59"/>
              <w:bidi w:val="0"/>
              <w:rPr>
                <w:rFonts w:hint="eastAsia"/>
                <w:lang w:val="en-US" w:eastAsia="zh-CN"/>
              </w:rPr>
            </w:pPr>
            <w:r>
              <w:rPr>
                <w:rFonts w:hint="default"/>
                <w:lang w:val="en-US" w:eastAsia="zh-CN"/>
              </w:rPr>
              <w:t xml:space="preserve">1.25 </w:t>
            </w:r>
          </w:p>
        </w:tc>
        <w:tc>
          <w:tcPr>
            <w:tcW w:w="1222" w:type="dxa"/>
            <w:shd w:val="clear" w:color="auto" w:fill="auto"/>
            <w:vAlign w:val="center"/>
          </w:tcPr>
          <w:p w14:paraId="40666B0A">
            <w:pPr>
              <w:pStyle w:val="59"/>
              <w:bidi w:val="0"/>
              <w:rPr>
                <w:rFonts w:hint="eastAsia"/>
                <w:lang w:val="en-US" w:eastAsia="zh-CN"/>
              </w:rPr>
            </w:pPr>
            <w:r>
              <w:rPr>
                <w:rFonts w:hint="default"/>
                <w:lang w:val="en-US" w:eastAsia="zh-CN"/>
              </w:rPr>
              <w:t xml:space="preserve">0.00 </w:t>
            </w:r>
          </w:p>
        </w:tc>
        <w:tc>
          <w:tcPr>
            <w:tcW w:w="1716" w:type="dxa"/>
            <w:shd w:val="clear" w:color="auto" w:fill="auto"/>
            <w:vAlign w:val="center"/>
          </w:tcPr>
          <w:p w14:paraId="6D956987">
            <w:pPr>
              <w:pStyle w:val="59"/>
              <w:bidi w:val="0"/>
              <w:rPr>
                <w:rFonts w:hint="eastAsia"/>
                <w:lang w:val="en-US" w:eastAsia="zh-CN"/>
              </w:rPr>
            </w:pPr>
            <w:r>
              <w:rPr>
                <w:rFonts w:hint="default"/>
                <w:lang w:val="en-US" w:eastAsia="zh-CN"/>
              </w:rPr>
              <w:t xml:space="preserve">0.00 </w:t>
            </w:r>
          </w:p>
        </w:tc>
      </w:tr>
      <w:tr w14:paraId="6500E6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3121" w:type="dxa"/>
            <w:gridSpan w:val="2"/>
            <w:vMerge w:val="continue"/>
            <w:vAlign w:val="center"/>
          </w:tcPr>
          <w:p w14:paraId="55618317">
            <w:pPr>
              <w:pStyle w:val="59"/>
              <w:bidi w:val="0"/>
            </w:pPr>
          </w:p>
        </w:tc>
        <w:tc>
          <w:tcPr>
            <w:tcW w:w="1530" w:type="dxa"/>
            <w:shd w:val="clear" w:color="auto" w:fill="auto"/>
            <w:vAlign w:val="center"/>
          </w:tcPr>
          <w:p w14:paraId="22BFEA24">
            <w:pPr>
              <w:pStyle w:val="59"/>
              <w:bidi w:val="0"/>
              <w:rPr>
                <w:rFonts w:hint="eastAsia"/>
                <w:lang w:val="en-US" w:eastAsia="zh-CN"/>
              </w:rPr>
            </w:pPr>
            <w:r>
              <w:rPr>
                <w:rFonts w:hint="eastAsia"/>
                <w:lang w:val="en-US" w:eastAsia="zh-CN"/>
              </w:rPr>
              <w:t>颗粒物</w:t>
            </w:r>
          </w:p>
        </w:tc>
        <w:tc>
          <w:tcPr>
            <w:tcW w:w="1513" w:type="dxa"/>
            <w:shd w:val="clear" w:color="auto" w:fill="auto"/>
            <w:vAlign w:val="center"/>
          </w:tcPr>
          <w:p w14:paraId="7FBDF6B1">
            <w:pPr>
              <w:pStyle w:val="59"/>
              <w:bidi w:val="0"/>
              <w:rPr>
                <w:rFonts w:hint="eastAsia"/>
                <w:lang w:val="en-US" w:eastAsia="zh-CN"/>
              </w:rPr>
            </w:pPr>
            <w:r>
              <w:rPr>
                <w:rFonts w:hint="default"/>
                <w:lang w:val="en-US" w:eastAsia="zh-CN"/>
              </w:rPr>
              <w:t xml:space="preserve">17.82 </w:t>
            </w:r>
          </w:p>
        </w:tc>
        <w:tc>
          <w:tcPr>
            <w:tcW w:w="1222" w:type="dxa"/>
            <w:shd w:val="clear" w:color="auto" w:fill="auto"/>
            <w:vAlign w:val="center"/>
          </w:tcPr>
          <w:p w14:paraId="415525D1">
            <w:pPr>
              <w:pStyle w:val="59"/>
              <w:bidi w:val="0"/>
              <w:rPr>
                <w:rFonts w:hint="eastAsia"/>
                <w:lang w:val="en-US" w:eastAsia="zh-CN"/>
              </w:rPr>
            </w:pPr>
            <w:r>
              <w:rPr>
                <w:rFonts w:hint="default"/>
                <w:lang w:val="en-US" w:eastAsia="zh-CN"/>
              </w:rPr>
              <w:t xml:space="preserve">0.027 </w:t>
            </w:r>
          </w:p>
        </w:tc>
        <w:tc>
          <w:tcPr>
            <w:tcW w:w="1716" w:type="dxa"/>
            <w:shd w:val="clear" w:color="auto" w:fill="auto"/>
            <w:vAlign w:val="center"/>
          </w:tcPr>
          <w:p w14:paraId="01F2CC92">
            <w:pPr>
              <w:pStyle w:val="59"/>
              <w:bidi w:val="0"/>
              <w:rPr>
                <w:rFonts w:hint="eastAsia"/>
                <w:lang w:val="en-US" w:eastAsia="zh-CN"/>
              </w:rPr>
            </w:pPr>
            <w:r>
              <w:rPr>
                <w:rFonts w:hint="default"/>
                <w:lang w:val="en-US" w:eastAsia="zh-CN"/>
              </w:rPr>
              <w:t xml:space="preserve">0.031 </w:t>
            </w:r>
          </w:p>
        </w:tc>
      </w:tr>
    </w:tbl>
    <w:p w14:paraId="1BDDFA01">
      <w:pPr>
        <w:pStyle w:val="85"/>
        <w:keepNext w:val="0"/>
        <w:keepLines w:val="0"/>
        <w:pageBreakBefore w:val="0"/>
        <w:widowControl/>
        <w:numPr>
          <w:ilvl w:val="0"/>
          <w:numId w:val="37"/>
        </w:numPr>
        <w:kinsoku/>
        <w:wordWrap/>
        <w:overflowPunct/>
        <w:topLinePunct w:val="0"/>
        <w:autoSpaceDE/>
        <w:autoSpaceDN/>
        <w:bidi w:val="0"/>
        <w:adjustRightInd/>
        <w:snapToGrid/>
        <w:spacing w:before="168" w:beforeLines="50"/>
        <w:textAlignment w:val="auto"/>
        <w:rPr>
          <w:rFonts w:hint="eastAsia" w:ascii="Times New Roman" w:hAnsi="Times New Roman" w:eastAsia="宋体" w:cs="Times New Roman"/>
        </w:rPr>
      </w:pPr>
      <w:r>
        <w:rPr>
          <w:rFonts w:hint="eastAsia" w:ascii="Times New Roman" w:hAnsi="Times New Roman" w:eastAsia="宋体" w:cs="Times New Roman"/>
        </w:rPr>
        <w:t>大气污染物无组织排放量核算表</w:t>
      </w:r>
    </w:p>
    <w:tbl>
      <w:tblPr>
        <w:tblStyle w:val="38"/>
        <w:tblW w:w="910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15" w:type="dxa"/>
          <w:left w:w="15" w:type="dxa"/>
          <w:bottom w:w="15" w:type="dxa"/>
          <w:right w:w="15" w:type="dxa"/>
        </w:tblCellMar>
      </w:tblPr>
      <w:tblGrid>
        <w:gridCol w:w="767"/>
        <w:gridCol w:w="1080"/>
        <w:gridCol w:w="1079"/>
        <w:gridCol w:w="1055"/>
        <w:gridCol w:w="1141"/>
        <w:gridCol w:w="1647"/>
        <w:gridCol w:w="1043"/>
        <w:gridCol w:w="1290"/>
      </w:tblGrid>
      <w:tr w14:paraId="5C5B5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blHeader/>
        </w:trPr>
        <w:tc>
          <w:tcPr>
            <w:tcW w:w="767" w:type="dxa"/>
            <w:vAlign w:val="center"/>
          </w:tcPr>
          <w:p w14:paraId="4321B991">
            <w:pPr>
              <w:pStyle w:val="59"/>
              <w:rPr>
                <w:color w:val="auto"/>
                <w:kern w:val="2"/>
                <w:szCs w:val="24"/>
              </w:rPr>
            </w:pPr>
            <w:r>
              <w:rPr>
                <w:rFonts w:hint="eastAsia"/>
                <w:color w:val="auto"/>
                <w:kern w:val="2"/>
                <w:szCs w:val="24"/>
              </w:rPr>
              <w:t>序号</w:t>
            </w:r>
          </w:p>
        </w:tc>
        <w:tc>
          <w:tcPr>
            <w:tcW w:w="1080" w:type="dxa"/>
            <w:vAlign w:val="center"/>
          </w:tcPr>
          <w:p w14:paraId="47F8FF02">
            <w:pPr>
              <w:pStyle w:val="59"/>
              <w:rPr>
                <w:color w:val="auto"/>
                <w:kern w:val="2"/>
                <w:szCs w:val="24"/>
              </w:rPr>
            </w:pPr>
            <w:r>
              <w:rPr>
                <w:rFonts w:hint="eastAsia"/>
                <w:color w:val="auto"/>
                <w:kern w:val="2"/>
                <w:szCs w:val="24"/>
              </w:rPr>
              <w:t>排放口编号</w:t>
            </w:r>
          </w:p>
        </w:tc>
        <w:tc>
          <w:tcPr>
            <w:tcW w:w="1079" w:type="dxa"/>
            <w:vAlign w:val="center"/>
          </w:tcPr>
          <w:p w14:paraId="7781BCEC">
            <w:pPr>
              <w:pStyle w:val="59"/>
              <w:rPr>
                <w:color w:val="auto"/>
                <w:kern w:val="2"/>
                <w:szCs w:val="24"/>
              </w:rPr>
            </w:pPr>
            <w:r>
              <w:rPr>
                <w:rFonts w:hint="eastAsia"/>
                <w:color w:val="auto"/>
                <w:kern w:val="2"/>
                <w:szCs w:val="24"/>
              </w:rPr>
              <w:t>产污环节</w:t>
            </w:r>
          </w:p>
        </w:tc>
        <w:tc>
          <w:tcPr>
            <w:tcW w:w="1055" w:type="dxa"/>
            <w:vAlign w:val="center"/>
          </w:tcPr>
          <w:p w14:paraId="4D17E6D5">
            <w:pPr>
              <w:pStyle w:val="59"/>
              <w:rPr>
                <w:color w:val="auto"/>
                <w:kern w:val="2"/>
                <w:szCs w:val="24"/>
              </w:rPr>
            </w:pPr>
            <w:r>
              <w:rPr>
                <w:rFonts w:hint="eastAsia"/>
                <w:color w:val="auto"/>
                <w:kern w:val="2"/>
                <w:szCs w:val="24"/>
              </w:rPr>
              <w:t>污染物</w:t>
            </w:r>
          </w:p>
        </w:tc>
        <w:tc>
          <w:tcPr>
            <w:tcW w:w="1141" w:type="dxa"/>
            <w:vAlign w:val="center"/>
          </w:tcPr>
          <w:p w14:paraId="090CC7E2">
            <w:pPr>
              <w:pStyle w:val="59"/>
              <w:rPr>
                <w:color w:val="auto"/>
                <w:kern w:val="2"/>
                <w:szCs w:val="24"/>
              </w:rPr>
            </w:pPr>
            <w:r>
              <w:rPr>
                <w:rFonts w:hint="eastAsia"/>
                <w:color w:val="auto"/>
                <w:kern w:val="2"/>
                <w:szCs w:val="24"/>
              </w:rPr>
              <w:t>主要污染防治措施</w:t>
            </w:r>
          </w:p>
        </w:tc>
        <w:tc>
          <w:tcPr>
            <w:tcW w:w="1647" w:type="dxa"/>
            <w:vAlign w:val="center"/>
          </w:tcPr>
          <w:p w14:paraId="40D62E20">
            <w:pPr>
              <w:pStyle w:val="59"/>
              <w:rPr>
                <w:color w:val="auto"/>
                <w:kern w:val="2"/>
                <w:szCs w:val="24"/>
              </w:rPr>
            </w:pPr>
            <w:r>
              <w:rPr>
                <w:rFonts w:hint="eastAsia"/>
                <w:color w:val="auto"/>
                <w:kern w:val="2"/>
                <w:szCs w:val="24"/>
              </w:rPr>
              <w:t>标准名称</w:t>
            </w:r>
          </w:p>
        </w:tc>
        <w:tc>
          <w:tcPr>
            <w:tcW w:w="1043" w:type="dxa"/>
            <w:vAlign w:val="center"/>
          </w:tcPr>
          <w:p w14:paraId="644388CB">
            <w:pPr>
              <w:pStyle w:val="59"/>
              <w:rPr>
                <w:color w:val="auto"/>
                <w:kern w:val="2"/>
                <w:szCs w:val="24"/>
              </w:rPr>
            </w:pPr>
            <w:r>
              <w:rPr>
                <w:rFonts w:hint="eastAsia"/>
                <w:color w:val="auto"/>
                <w:kern w:val="2"/>
                <w:szCs w:val="24"/>
              </w:rPr>
              <w:t>浓度限值</w:t>
            </w:r>
            <w:r>
              <w:rPr>
                <w:color w:val="auto"/>
                <w:kern w:val="2"/>
                <w:szCs w:val="24"/>
              </w:rPr>
              <w:t>/（</w:t>
            </w:r>
            <w:r>
              <w:rPr>
                <w:rFonts w:hint="eastAsia"/>
                <w:color w:val="auto"/>
                <w:kern w:val="2"/>
                <w:szCs w:val="24"/>
                <w:lang w:val="en-US" w:eastAsia="zh-CN"/>
              </w:rPr>
              <w:t>m</w:t>
            </w:r>
            <w:r>
              <w:rPr>
                <w:color w:val="auto"/>
                <w:kern w:val="2"/>
                <w:szCs w:val="24"/>
              </w:rPr>
              <w:t>g/m</w:t>
            </w:r>
            <w:r>
              <w:rPr>
                <w:rFonts w:hint="eastAsia"/>
                <w:color w:val="auto"/>
                <w:kern w:val="2"/>
                <w:szCs w:val="24"/>
                <w:vertAlign w:val="superscript"/>
              </w:rPr>
              <w:t>3</w:t>
            </w:r>
            <w:r>
              <w:rPr>
                <w:color w:val="auto"/>
                <w:kern w:val="2"/>
                <w:szCs w:val="24"/>
              </w:rPr>
              <w:t>）</w:t>
            </w:r>
          </w:p>
        </w:tc>
        <w:tc>
          <w:tcPr>
            <w:tcW w:w="1290" w:type="dxa"/>
            <w:vAlign w:val="center"/>
          </w:tcPr>
          <w:p w14:paraId="7450DAE8">
            <w:pPr>
              <w:pStyle w:val="59"/>
              <w:rPr>
                <w:color w:val="auto"/>
                <w:kern w:val="2"/>
                <w:szCs w:val="24"/>
              </w:rPr>
            </w:pPr>
            <w:r>
              <w:rPr>
                <w:rFonts w:hint="eastAsia"/>
                <w:color w:val="auto"/>
                <w:kern w:val="2"/>
                <w:szCs w:val="24"/>
              </w:rPr>
              <w:t>年排放量</w:t>
            </w:r>
            <w:r>
              <w:rPr>
                <w:color w:val="auto"/>
                <w:kern w:val="2"/>
                <w:szCs w:val="24"/>
              </w:rPr>
              <w:t>/（t/a)</w:t>
            </w:r>
          </w:p>
        </w:tc>
      </w:tr>
      <w:tr w14:paraId="29D2F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767" w:type="dxa"/>
            <w:vAlign w:val="center"/>
          </w:tcPr>
          <w:p w14:paraId="2740BB7E">
            <w:pPr>
              <w:pStyle w:val="59"/>
              <w:bidi w:val="0"/>
            </w:pPr>
            <w:r>
              <w:rPr>
                <w:rFonts w:hint="default"/>
                <w:lang w:val="en-US" w:eastAsia="zh-CN"/>
              </w:rPr>
              <w:t xml:space="preserve">1. </w:t>
            </w:r>
          </w:p>
        </w:tc>
        <w:tc>
          <w:tcPr>
            <w:tcW w:w="1080" w:type="dxa"/>
            <w:vAlign w:val="center"/>
          </w:tcPr>
          <w:p w14:paraId="652CFF3C">
            <w:pPr>
              <w:pStyle w:val="59"/>
              <w:bidi w:val="0"/>
            </w:pPr>
            <w:r>
              <w:rPr>
                <w:rFonts w:hint="default"/>
                <w:lang w:val="en-US" w:eastAsia="zh-CN"/>
              </w:rPr>
              <w:t>DA001</w:t>
            </w:r>
            <w:r>
              <w:rPr>
                <w:rFonts w:hint="eastAsia"/>
                <w:lang w:val="en-US" w:eastAsia="zh-CN"/>
              </w:rPr>
              <w:t>排气筒</w:t>
            </w:r>
          </w:p>
        </w:tc>
        <w:tc>
          <w:tcPr>
            <w:tcW w:w="1079" w:type="dxa"/>
            <w:vAlign w:val="center"/>
          </w:tcPr>
          <w:p w14:paraId="433925C3">
            <w:pPr>
              <w:pStyle w:val="59"/>
              <w:bidi w:val="0"/>
            </w:pPr>
            <w:r>
              <w:rPr>
                <w:rFonts w:hint="eastAsia"/>
                <w:lang w:val="en-US" w:eastAsia="zh-CN"/>
              </w:rPr>
              <w:t>印刷、烘干、调墨、洗机、危废贮存</w:t>
            </w:r>
          </w:p>
        </w:tc>
        <w:tc>
          <w:tcPr>
            <w:tcW w:w="1055" w:type="dxa"/>
            <w:shd w:val="clear" w:color="auto" w:fill="auto"/>
            <w:vAlign w:val="center"/>
          </w:tcPr>
          <w:p w14:paraId="5E19C1B3">
            <w:pPr>
              <w:pStyle w:val="59"/>
              <w:bidi w:val="0"/>
              <w:rPr>
                <w:lang w:val="en-US" w:eastAsia="zh-CN"/>
              </w:rPr>
            </w:pPr>
            <w:r>
              <w:rPr>
                <w:rFonts w:hint="eastAsia"/>
                <w:lang w:val="en-US" w:eastAsia="zh-CN"/>
              </w:rPr>
              <w:t>总</w:t>
            </w:r>
            <w:r>
              <w:rPr>
                <w:rFonts w:hint="default"/>
                <w:lang w:val="en-US" w:eastAsia="zh-CN"/>
              </w:rPr>
              <w:t>VOCs</w:t>
            </w:r>
          </w:p>
        </w:tc>
        <w:tc>
          <w:tcPr>
            <w:tcW w:w="1141" w:type="dxa"/>
            <w:vAlign w:val="center"/>
          </w:tcPr>
          <w:p w14:paraId="256D8943">
            <w:pPr>
              <w:pStyle w:val="59"/>
              <w:bidi w:val="0"/>
              <w:rPr>
                <w:rFonts w:hint="default"/>
                <w:lang w:val="en-US"/>
              </w:rPr>
            </w:pPr>
            <w:r>
              <w:rPr>
                <w:rFonts w:hint="eastAsia"/>
                <w:lang w:val="en-US" w:eastAsia="zh-CN"/>
              </w:rPr>
              <w:t>密闭车间，加强抽风</w:t>
            </w:r>
          </w:p>
        </w:tc>
        <w:tc>
          <w:tcPr>
            <w:tcW w:w="1647" w:type="dxa"/>
            <w:vAlign w:val="center"/>
          </w:tcPr>
          <w:p w14:paraId="38FCA450">
            <w:pPr>
              <w:pStyle w:val="59"/>
              <w:bidi w:val="0"/>
            </w:pPr>
            <w:r>
              <w:rPr>
                <w:rFonts w:hint="default"/>
                <w:lang w:val="en-US" w:eastAsia="zh-CN"/>
              </w:rPr>
              <w:t>DB44/815-2010</w:t>
            </w:r>
          </w:p>
        </w:tc>
        <w:tc>
          <w:tcPr>
            <w:tcW w:w="1043" w:type="dxa"/>
            <w:vAlign w:val="center"/>
          </w:tcPr>
          <w:p w14:paraId="668E31CF">
            <w:pPr>
              <w:pStyle w:val="59"/>
              <w:bidi w:val="0"/>
              <w:rPr>
                <w:rFonts w:hint="eastAsia"/>
                <w:lang w:val="en-US" w:eastAsia="zh-CN"/>
              </w:rPr>
            </w:pPr>
            <w:r>
              <w:rPr>
                <w:rFonts w:hint="default"/>
                <w:lang w:val="en-US" w:eastAsia="zh-CN"/>
              </w:rPr>
              <w:t>2</w:t>
            </w:r>
          </w:p>
        </w:tc>
        <w:tc>
          <w:tcPr>
            <w:tcW w:w="1290" w:type="dxa"/>
            <w:vAlign w:val="center"/>
          </w:tcPr>
          <w:p w14:paraId="5758CC8C">
            <w:pPr>
              <w:pStyle w:val="59"/>
              <w:bidi w:val="0"/>
            </w:pPr>
            <w:r>
              <w:rPr>
                <w:rFonts w:hint="default"/>
                <w:lang w:val="en-US" w:eastAsia="zh-CN"/>
              </w:rPr>
              <w:t xml:space="preserve">5.573 </w:t>
            </w:r>
          </w:p>
        </w:tc>
      </w:tr>
      <w:tr w14:paraId="46A1BB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767" w:type="dxa"/>
            <w:vAlign w:val="center"/>
          </w:tcPr>
          <w:p w14:paraId="7AE049AF">
            <w:pPr>
              <w:pStyle w:val="59"/>
              <w:bidi w:val="0"/>
            </w:pPr>
            <w:r>
              <w:rPr>
                <w:rFonts w:hint="default"/>
                <w:lang w:val="en-US" w:eastAsia="zh-CN"/>
              </w:rPr>
              <w:t xml:space="preserve">2. </w:t>
            </w:r>
          </w:p>
        </w:tc>
        <w:tc>
          <w:tcPr>
            <w:tcW w:w="1080" w:type="dxa"/>
            <w:vMerge w:val="restart"/>
            <w:vAlign w:val="center"/>
          </w:tcPr>
          <w:p w14:paraId="4F32F8A2">
            <w:pPr>
              <w:pStyle w:val="59"/>
              <w:bidi w:val="0"/>
            </w:pPr>
            <w:r>
              <w:rPr>
                <w:rFonts w:hint="default"/>
                <w:lang w:val="en-US" w:eastAsia="zh-CN"/>
              </w:rPr>
              <w:t>DA002</w:t>
            </w:r>
            <w:r>
              <w:rPr>
                <w:rFonts w:hint="eastAsia"/>
                <w:lang w:val="en-US" w:eastAsia="zh-CN"/>
              </w:rPr>
              <w:t>排气筒</w:t>
            </w:r>
          </w:p>
        </w:tc>
        <w:tc>
          <w:tcPr>
            <w:tcW w:w="1079" w:type="dxa"/>
            <w:vMerge w:val="restart"/>
            <w:vAlign w:val="center"/>
          </w:tcPr>
          <w:p w14:paraId="43C36681">
            <w:pPr>
              <w:pStyle w:val="59"/>
              <w:bidi w:val="0"/>
            </w:pPr>
            <w:r>
              <w:rPr>
                <w:rFonts w:hint="eastAsia"/>
                <w:lang w:val="en-US" w:eastAsia="zh-CN"/>
              </w:rPr>
              <w:t>合掌、定型</w:t>
            </w:r>
          </w:p>
        </w:tc>
        <w:tc>
          <w:tcPr>
            <w:tcW w:w="1055" w:type="dxa"/>
            <w:shd w:val="clear" w:color="auto" w:fill="auto"/>
            <w:vAlign w:val="center"/>
          </w:tcPr>
          <w:p w14:paraId="5E274991">
            <w:pPr>
              <w:pStyle w:val="59"/>
              <w:bidi w:val="0"/>
              <w:rPr>
                <w:lang w:val="en-US" w:eastAsia="zh-CN"/>
              </w:rPr>
            </w:pPr>
            <w:r>
              <w:rPr>
                <w:rFonts w:hint="default"/>
                <w:lang w:val="en-US" w:eastAsia="zh-CN"/>
              </w:rPr>
              <w:t>NMHC</w:t>
            </w:r>
          </w:p>
        </w:tc>
        <w:tc>
          <w:tcPr>
            <w:tcW w:w="1141" w:type="dxa"/>
            <w:vAlign w:val="center"/>
          </w:tcPr>
          <w:p w14:paraId="0D3FAE2F">
            <w:pPr>
              <w:pStyle w:val="59"/>
              <w:bidi w:val="0"/>
            </w:pPr>
            <w:r>
              <w:rPr>
                <w:rFonts w:hint="eastAsia"/>
                <w:lang w:val="en-US" w:eastAsia="zh-CN"/>
              </w:rPr>
              <w:t>密闭车间，加强抽风</w:t>
            </w:r>
          </w:p>
        </w:tc>
        <w:tc>
          <w:tcPr>
            <w:tcW w:w="1647" w:type="dxa"/>
            <w:vAlign w:val="center"/>
          </w:tcPr>
          <w:p w14:paraId="4B929D66">
            <w:pPr>
              <w:pStyle w:val="59"/>
              <w:bidi w:val="0"/>
            </w:pPr>
            <w:r>
              <w:rPr>
                <w:rFonts w:hint="default"/>
                <w:lang w:val="en-US" w:eastAsia="zh-CN"/>
              </w:rPr>
              <w:t>DB44/2367-2022</w:t>
            </w:r>
          </w:p>
        </w:tc>
        <w:tc>
          <w:tcPr>
            <w:tcW w:w="1043" w:type="dxa"/>
            <w:vAlign w:val="center"/>
          </w:tcPr>
          <w:p w14:paraId="1E707E9B">
            <w:pPr>
              <w:pStyle w:val="59"/>
              <w:bidi w:val="0"/>
              <w:rPr>
                <w:rFonts w:hint="eastAsia"/>
                <w:lang w:val="en-US" w:eastAsia="zh-CN"/>
              </w:rPr>
            </w:pPr>
            <w:r>
              <w:rPr>
                <w:rFonts w:hint="default"/>
                <w:lang w:val="en-US" w:eastAsia="zh-CN"/>
              </w:rPr>
              <w:t>6</w:t>
            </w:r>
          </w:p>
        </w:tc>
        <w:tc>
          <w:tcPr>
            <w:tcW w:w="1290" w:type="dxa"/>
            <w:vAlign w:val="center"/>
          </w:tcPr>
          <w:p w14:paraId="41EF9F4C">
            <w:pPr>
              <w:pStyle w:val="59"/>
              <w:bidi w:val="0"/>
            </w:pPr>
            <w:r>
              <w:rPr>
                <w:rFonts w:hint="default"/>
                <w:lang w:val="en-US" w:eastAsia="zh-CN"/>
              </w:rPr>
              <w:t xml:space="preserve">0.278 </w:t>
            </w:r>
          </w:p>
        </w:tc>
      </w:tr>
      <w:tr w14:paraId="673E32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410" w:hRule="atLeast"/>
        </w:trPr>
        <w:tc>
          <w:tcPr>
            <w:tcW w:w="767" w:type="dxa"/>
            <w:vAlign w:val="center"/>
          </w:tcPr>
          <w:p w14:paraId="79AD843D">
            <w:pPr>
              <w:pStyle w:val="59"/>
              <w:bidi w:val="0"/>
              <w:rPr>
                <w:rFonts w:hint="eastAsia"/>
                <w:lang w:val="en-US" w:eastAsia="zh-CN"/>
              </w:rPr>
            </w:pPr>
            <w:r>
              <w:rPr>
                <w:rFonts w:hint="default"/>
                <w:lang w:val="en-US" w:eastAsia="zh-CN"/>
              </w:rPr>
              <w:t xml:space="preserve">3. </w:t>
            </w:r>
          </w:p>
        </w:tc>
        <w:tc>
          <w:tcPr>
            <w:tcW w:w="1080" w:type="dxa"/>
            <w:vMerge w:val="continue"/>
            <w:vAlign w:val="center"/>
          </w:tcPr>
          <w:p w14:paraId="35D9F31B">
            <w:pPr>
              <w:pStyle w:val="59"/>
              <w:bidi w:val="0"/>
              <w:rPr>
                <w:rFonts w:hint="default"/>
                <w:lang w:val="en-US" w:eastAsia="zh-CN"/>
              </w:rPr>
            </w:pPr>
          </w:p>
        </w:tc>
        <w:tc>
          <w:tcPr>
            <w:tcW w:w="1079" w:type="dxa"/>
            <w:vMerge w:val="continue"/>
            <w:vAlign w:val="center"/>
          </w:tcPr>
          <w:p w14:paraId="5200F7D3">
            <w:pPr>
              <w:pStyle w:val="59"/>
              <w:bidi w:val="0"/>
              <w:rPr>
                <w:rFonts w:hint="eastAsia"/>
              </w:rPr>
            </w:pPr>
          </w:p>
        </w:tc>
        <w:tc>
          <w:tcPr>
            <w:tcW w:w="1055" w:type="dxa"/>
            <w:shd w:val="clear" w:color="auto" w:fill="auto"/>
            <w:vAlign w:val="center"/>
          </w:tcPr>
          <w:p w14:paraId="1F9F79E1">
            <w:pPr>
              <w:pStyle w:val="59"/>
              <w:bidi w:val="0"/>
              <w:rPr>
                <w:rFonts w:hint="eastAsia"/>
                <w:lang w:val="en-US" w:eastAsia="zh-CN"/>
              </w:rPr>
            </w:pPr>
            <w:r>
              <w:rPr>
                <w:rFonts w:hint="eastAsia"/>
                <w:lang w:val="en-US" w:eastAsia="zh-CN"/>
              </w:rPr>
              <w:t>氯化氢</w:t>
            </w:r>
          </w:p>
        </w:tc>
        <w:tc>
          <w:tcPr>
            <w:tcW w:w="1141" w:type="dxa"/>
            <w:vAlign w:val="center"/>
          </w:tcPr>
          <w:p w14:paraId="2E241822">
            <w:pPr>
              <w:pStyle w:val="59"/>
              <w:bidi w:val="0"/>
              <w:rPr>
                <w:rFonts w:hint="eastAsia"/>
              </w:rPr>
            </w:pPr>
            <w:r>
              <w:rPr>
                <w:rFonts w:hint="eastAsia"/>
                <w:lang w:val="en-US" w:eastAsia="zh-CN"/>
              </w:rPr>
              <w:t>密闭车间，加强抽风</w:t>
            </w:r>
          </w:p>
        </w:tc>
        <w:tc>
          <w:tcPr>
            <w:tcW w:w="1647" w:type="dxa"/>
            <w:vAlign w:val="center"/>
          </w:tcPr>
          <w:p w14:paraId="1BCB482A">
            <w:pPr>
              <w:pStyle w:val="59"/>
              <w:bidi w:val="0"/>
            </w:pPr>
            <w:r>
              <w:rPr>
                <w:rFonts w:hint="default"/>
                <w:lang w:val="en-US" w:eastAsia="zh-CN"/>
              </w:rPr>
              <w:t>DB44/27-2001</w:t>
            </w:r>
          </w:p>
        </w:tc>
        <w:tc>
          <w:tcPr>
            <w:tcW w:w="1043" w:type="dxa"/>
            <w:shd w:val="clear" w:color="auto" w:fill="FFFFFF"/>
            <w:vAlign w:val="center"/>
          </w:tcPr>
          <w:p w14:paraId="5579FC55">
            <w:pPr>
              <w:pStyle w:val="59"/>
              <w:bidi w:val="0"/>
              <w:rPr>
                <w:rFonts w:hint="eastAsia"/>
                <w:lang w:val="en-US" w:eastAsia="zh-CN"/>
              </w:rPr>
            </w:pPr>
            <w:r>
              <w:rPr>
                <w:rFonts w:hint="default"/>
                <w:lang w:val="en-US" w:eastAsia="zh-CN"/>
              </w:rPr>
              <w:t>0.2</w:t>
            </w:r>
          </w:p>
        </w:tc>
        <w:tc>
          <w:tcPr>
            <w:tcW w:w="1290" w:type="dxa"/>
            <w:vAlign w:val="center"/>
          </w:tcPr>
          <w:p w14:paraId="481BB282">
            <w:pPr>
              <w:pStyle w:val="59"/>
              <w:bidi w:val="0"/>
              <w:rPr>
                <w:rFonts w:hint="eastAsia"/>
              </w:rPr>
            </w:pPr>
            <w:r>
              <w:rPr>
                <w:rFonts w:hint="default"/>
                <w:lang w:val="en-US" w:eastAsia="zh-CN"/>
              </w:rPr>
              <w:t xml:space="preserve">0.00002 </w:t>
            </w:r>
          </w:p>
        </w:tc>
      </w:tr>
      <w:tr w14:paraId="7342D0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767" w:type="dxa"/>
            <w:vAlign w:val="center"/>
          </w:tcPr>
          <w:p w14:paraId="29A596F3">
            <w:pPr>
              <w:pStyle w:val="59"/>
              <w:bidi w:val="0"/>
              <w:rPr>
                <w:lang w:val="en-US" w:eastAsia="zh-CN"/>
              </w:rPr>
            </w:pPr>
            <w:r>
              <w:rPr>
                <w:rFonts w:hint="default"/>
                <w:lang w:val="en-US" w:eastAsia="zh-CN"/>
              </w:rPr>
              <w:t xml:space="preserve">4. </w:t>
            </w:r>
          </w:p>
        </w:tc>
        <w:tc>
          <w:tcPr>
            <w:tcW w:w="1080" w:type="dxa"/>
            <w:vMerge w:val="continue"/>
            <w:vAlign w:val="center"/>
          </w:tcPr>
          <w:p w14:paraId="5D747A14">
            <w:pPr>
              <w:pStyle w:val="59"/>
              <w:bidi w:val="0"/>
              <w:rPr>
                <w:rFonts w:hint="eastAsia"/>
                <w:lang w:eastAsia="zh-CN"/>
              </w:rPr>
            </w:pPr>
          </w:p>
        </w:tc>
        <w:tc>
          <w:tcPr>
            <w:tcW w:w="1079" w:type="dxa"/>
            <w:vMerge w:val="continue"/>
            <w:vAlign w:val="center"/>
          </w:tcPr>
          <w:p w14:paraId="2C005221">
            <w:pPr>
              <w:pStyle w:val="59"/>
              <w:bidi w:val="0"/>
            </w:pPr>
          </w:p>
        </w:tc>
        <w:tc>
          <w:tcPr>
            <w:tcW w:w="1055" w:type="dxa"/>
            <w:shd w:val="clear" w:color="auto" w:fill="auto"/>
            <w:vAlign w:val="center"/>
          </w:tcPr>
          <w:p w14:paraId="3198D0C9">
            <w:pPr>
              <w:pStyle w:val="59"/>
              <w:bidi w:val="0"/>
              <w:rPr>
                <w:lang w:val="en-US" w:eastAsia="zh-CN"/>
              </w:rPr>
            </w:pPr>
            <w:r>
              <w:rPr>
                <w:rFonts w:hint="eastAsia"/>
                <w:lang w:val="en-US" w:eastAsia="zh-CN"/>
              </w:rPr>
              <w:t>氯乙烯</w:t>
            </w:r>
          </w:p>
        </w:tc>
        <w:tc>
          <w:tcPr>
            <w:tcW w:w="1141" w:type="dxa"/>
            <w:vAlign w:val="center"/>
          </w:tcPr>
          <w:p w14:paraId="5751AC0E">
            <w:pPr>
              <w:pStyle w:val="59"/>
              <w:bidi w:val="0"/>
            </w:pPr>
            <w:r>
              <w:rPr>
                <w:rFonts w:hint="eastAsia"/>
                <w:lang w:val="en-US" w:eastAsia="zh-CN"/>
              </w:rPr>
              <w:t>密闭车间，加强抽风</w:t>
            </w:r>
          </w:p>
        </w:tc>
        <w:tc>
          <w:tcPr>
            <w:tcW w:w="1647" w:type="dxa"/>
            <w:vAlign w:val="center"/>
          </w:tcPr>
          <w:p w14:paraId="1ABBBFD8">
            <w:pPr>
              <w:pStyle w:val="59"/>
              <w:bidi w:val="0"/>
            </w:pPr>
            <w:r>
              <w:rPr>
                <w:rFonts w:hint="default"/>
                <w:lang w:val="en-US" w:eastAsia="zh-CN"/>
              </w:rPr>
              <w:t>DB44/27-2001</w:t>
            </w:r>
          </w:p>
        </w:tc>
        <w:tc>
          <w:tcPr>
            <w:tcW w:w="1043" w:type="dxa"/>
            <w:shd w:val="clear" w:color="auto" w:fill="FFFFFF"/>
            <w:vAlign w:val="center"/>
          </w:tcPr>
          <w:p w14:paraId="2D4742FB">
            <w:pPr>
              <w:pStyle w:val="59"/>
              <w:bidi w:val="0"/>
              <w:rPr>
                <w:rFonts w:hint="default"/>
                <w:lang w:val="en-US" w:eastAsia="zh-CN"/>
              </w:rPr>
            </w:pPr>
            <w:r>
              <w:rPr>
                <w:rFonts w:hint="default"/>
                <w:lang w:val="en-US" w:eastAsia="zh-CN"/>
              </w:rPr>
              <w:t>0.6</w:t>
            </w:r>
          </w:p>
        </w:tc>
        <w:tc>
          <w:tcPr>
            <w:tcW w:w="1290" w:type="dxa"/>
            <w:vAlign w:val="center"/>
          </w:tcPr>
          <w:p w14:paraId="25F5C79D">
            <w:pPr>
              <w:pStyle w:val="59"/>
              <w:bidi w:val="0"/>
            </w:pPr>
            <w:r>
              <w:rPr>
                <w:rFonts w:hint="default"/>
                <w:lang w:val="en-US" w:eastAsia="zh-CN"/>
              </w:rPr>
              <w:t xml:space="preserve">0.00002 </w:t>
            </w:r>
          </w:p>
        </w:tc>
      </w:tr>
      <w:tr w14:paraId="74A580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767" w:type="dxa"/>
            <w:vAlign w:val="center"/>
          </w:tcPr>
          <w:p w14:paraId="7E00F5DB">
            <w:pPr>
              <w:pStyle w:val="59"/>
              <w:bidi w:val="0"/>
              <w:rPr>
                <w:lang w:val="en-US" w:eastAsia="zh-CN"/>
              </w:rPr>
            </w:pPr>
            <w:r>
              <w:rPr>
                <w:rFonts w:hint="default"/>
                <w:lang w:val="en-US" w:eastAsia="zh-CN"/>
              </w:rPr>
              <w:t xml:space="preserve">5. </w:t>
            </w:r>
          </w:p>
        </w:tc>
        <w:tc>
          <w:tcPr>
            <w:tcW w:w="1080" w:type="dxa"/>
            <w:vMerge w:val="continue"/>
            <w:vAlign w:val="center"/>
          </w:tcPr>
          <w:p w14:paraId="3318F4C9">
            <w:pPr>
              <w:pStyle w:val="59"/>
              <w:bidi w:val="0"/>
            </w:pPr>
          </w:p>
        </w:tc>
        <w:tc>
          <w:tcPr>
            <w:tcW w:w="1079" w:type="dxa"/>
            <w:vMerge w:val="continue"/>
            <w:vAlign w:val="center"/>
          </w:tcPr>
          <w:p w14:paraId="07FDF988">
            <w:pPr>
              <w:pStyle w:val="59"/>
              <w:bidi w:val="0"/>
            </w:pPr>
          </w:p>
        </w:tc>
        <w:tc>
          <w:tcPr>
            <w:tcW w:w="1055" w:type="dxa"/>
            <w:shd w:val="clear" w:color="auto" w:fill="auto"/>
            <w:vAlign w:val="center"/>
          </w:tcPr>
          <w:p w14:paraId="6A7FA099">
            <w:pPr>
              <w:pStyle w:val="59"/>
              <w:bidi w:val="0"/>
              <w:rPr>
                <w:rFonts w:hint="eastAsia"/>
                <w:lang w:val="en-US" w:eastAsia="zh-CN"/>
              </w:rPr>
            </w:pPr>
            <w:r>
              <w:rPr>
                <w:rFonts w:hint="eastAsia"/>
                <w:lang w:val="en-US" w:eastAsia="zh-CN"/>
              </w:rPr>
              <w:t>苯</w:t>
            </w:r>
          </w:p>
        </w:tc>
        <w:tc>
          <w:tcPr>
            <w:tcW w:w="1141" w:type="dxa"/>
            <w:vAlign w:val="center"/>
          </w:tcPr>
          <w:p w14:paraId="79E8B834">
            <w:pPr>
              <w:pStyle w:val="59"/>
              <w:bidi w:val="0"/>
            </w:pPr>
            <w:r>
              <w:rPr>
                <w:rFonts w:hint="eastAsia"/>
                <w:lang w:val="en-US" w:eastAsia="zh-CN"/>
              </w:rPr>
              <w:t>密闭车间，加强抽风</w:t>
            </w:r>
          </w:p>
        </w:tc>
        <w:tc>
          <w:tcPr>
            <w:tcW w:w="1647" w:type="dxa"/>
            <w:vAlign w:val="center"/>
          </w:tcPr>
          <w:p w14:paraId="1072D393">
            <w:pPr>
              <w:pStyle w:val="59"/>
              <w:bidi w:val="0"/>
            </w:pPr>
            <w:r>
              <w:rPr>
                <w:rFonts w:hint="default"/>
                <w:lang w:val="en-US" w:eastAsia="zh-CN"/>
              </w:rPr>
              <w:t>DB44/27-2001</w:t>
            </w:r>
          </w:p>
        </w:tc>
        <w:tc>
          <w:tcPr>
            <w:tcW w:w="1043" w:type="dxa"/>
            <w:shd w:val="clear" w:color="auto" w:fill="FFFFFF"/>
            <w:vAlign w:val="center"/>
          </w:tcPr>
          <w:p w14:paraId="7FD96E58">
            <w:pPr>
              <w:pStyle w:val="59"/>
              <w:bidi w:val="0"/>
              <w:rPr>
                <w:rFonts w:hint="default"/>
                <w:lang w:val="en-US" w:eastAsia="zh-CN"/>
              </w:rPr>
            </w:pPr>
            <w:r>
              <w:rPr>
                <w:rFonts w:hint="default"/>
                <w:lang w:val="en-US" w:eastAsia="zh-CN"/>
              </w:rPr>
              <w:t>0.4</w:t>
            </w:r>
          </w:p>
        </w:tc>
        <w:tc>
          <w:tcPr>
            <w:tcW w:w="1290" w:type="dxa"/>
            <w:vAlign w:val="center"/>
          </w:tcPr>
          <w:p w14:paraId="03495A50">
            <w:pPr>
              <w:pStyle w:val="59"/>
              <w:bidi w:val="0"/>
            </w:pPr>
            <w:r>
              <w:rPr>
                <w:rFonts w:hint="default"/>
                <w:lang w:val="en-US" w:eastAsia="zh-CN"/>
              </w:rPr>
              <w:t xml:space="preserve">0.0000011 </w:t>
            </w:r>
          </w:p>
        </w:tc>
      </w:tr>
      <w:tr w14:paraId="537853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767" w:type="dxa"/>
            <w:vAlign w:val="center"/>
          </w:tcPr>
          <w:p w14:paraId="73904D04">
            <w:pPr>
              <w:pStyle w:val="59"/>
              <w:bidi w:val="0"/>
              <w:rPr>
                <w:lang w:val="en-US" w:eastAsia="zh-CN"/>
              </w:rPr>
            </w:pPr>
            <w:r>
              <w:rPr>
                <w:rFonts w:hint="default"/>
                <w:lang w:val="en-US" w:eastAsia="zh-CN"/>
              </w:rPr>
              <w:t xml:space="preserve">6. </w:t>
            </w:r>
          </w:p>
        </w:tc>
        <w:tc>
          <w:tcPr>
            <w:tcW w:w="1080" w:type="dxa"/>
            <w:vMerge w:val="continue"/>
            <w:vAlign w:val="center"/>
          </w:tcPr>
          <w:p w14:paraId="12A85AFE">
            <w:pPr>
              <w:pStyle w:val="59"/>
              <w:bidi w:val="0"/>
              <w:rPr>
                <w:rFonts w:hint="eastAsia"/>
                <w:lang w:eastAsia="zh-CN"/>
              </w:rPr>
            </w:pPr>
          </w:p>
        </w:tc>
        <w:tc>
          <w:tcPr>
            <w:tcW w:w="1079" w:type="dxa"/>
            <w:vMerge w:val="continue"/>
            <w:vAlign w:val="center"/>
          </w:tcPr>
          <w:p w14:paraId="6B3E5131">
            <w:pPr>
              <w:pStyle w:val="59"/>
              <w:bidi w:val="0"/>
            </w:pPr>
          </w:p>
        </w:tc>
        <w:tc>
          <w:tcPr>
            <w:tcW w:w="1055" w:type="dxa"/>
            <w:shd w:val="clear" w:color="auto" w:fill="auto"/>
            <w:vAlign w:val="center"/>
          </w:tcPr>
          <w:p w14:paraId="4385B2B6">
            <w:pPr>
              <w:pStyle w:val="59"/>
              <w:bidi w:val="0"/>
              <w:rPr>
                <w:rFonts w:hint="eastAsia"/>
                <w:lang w:val="en-US" w:eastAsia="zh-CN"/>
              </w:rPr>
            </w:pPr>
            <w:r>
              <w:rPr>
                <w:rFonts w:hint="eastAsia"/>
                <w:lang w:val="en-US" w:eastAsia="zh-CN"/>
              </w:rPr>
              <w:t>甲苯</w:t>
            </w:r>
          </w:p>
        </w:tc>
        <w:tc>
          <w:tcPr>
            <w:tcW w:w="1141" w:type="dxa"/>
            <w:vAlign w:val="center"/>
          </w:tcPr>
          <w:p w14:paraId="51676790">
            <w:pPr>
              <w:pStyle w:val="59"/>
              <w:bidi w:val="0"/>
            </w:pPr>
            <w:r>
              <w:rPr>
                <w:rFonts w:hint="eastAsia"/>
                <w:lang w:val="en-US" w:eastAsia="zh-CN"/>
              </w:rPr>
              <w:t>密闭车间，加强抽风</w:t>
            </w:r>
          </w:p>
        </w:tc>
        <w:tc>
          <w:tcPr>
            <w:tcW w:w="1647" w:type="dxa"/>
            <w:vAlign w:val="center"/>
          </w:tcPr>
          <w:p w14:paraId="23874AE3">
            <w:pPr>
              <w:pStyle w:val="59"/>
              <w:bidi w:val="0"/>
            </w:pPr>
            <w:r>
              <w:rPr>
                <w:rFonts w:hint="default"/>
                <w:lang w:val="en-US" w:eastAsia="zh-CN"/>
              </w:rPr>
              <w:t>DB44/27-2001</w:t>
            </w:r>
          </w:p>
        </w:tc>
        <w:tc>
          <w:tcPr>
            <w:tcW w:w="1043" w:type="dxa"/>
            <w:shd w:val="clear" w:color="auto" w:fill="FFFFFF"/>
            <w:vAlign w:val="center"/>
          </w:tcPr>
          <w:p w14:paraId="73017AE6">
            <w:pPr>
              <w:pStyle w:val="59"/>
              <w:bidi w:val="0"/>
              <w:rPr>
                <w:rFonts w:hint="default"/>
                <w:lang w:val="en-US" w:eastAsia="zh-CN"/>
              </w:rPr>
            </w:pPr>
            <w:r>
              <w:rPr>
                <w:rFonts w:hint="default"/>
                <w:lang w:val="en-US" w:eastAsia="zh-CN"/>
              </w:rPr>
              <w:t>2.4</w:t>
            </w:r>
          </w:p>
        </w:tc>
        <w:tc>
          <w:tcPr>
            <w:tcW w:w="1290" w:type="dxa"/>
            <w:vAlign w:val="center"/>
          </w:tcPr>
          <w:p w14:paraId="56909279">
            <w:pPr>
              <w:pStyle w:val="59"/>
              <w:bidi w:val="0"/>
            </w:pPr>
            <w:r>
              <w:rPr>
                <w:rFonts w:hint="default"/>
                <w:lang w:val="en-US" w:eastAsia="zh-CN"/>
              </w:rPr>
              <w:t xml:space="preserve">0.0000005 </w:t>
            </w:r>
          </w:p>
        </w:tc>
      </w:tr>
      <w:tr w14:paraId="6B2CDF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767" w:type="dxa"/>
            <w:vAlign w:val="center"/>
          </w:tcPr>
          <w:p w14:paraId="75D14C0A">
            <w:pPr>
              <w:pStyle w:val="59"/>
              <w:bidi w:val="0"/>
              <w:rPr>
                <w:lang w:val="en-US" w:eastAsia="zh-CN"/>
              </w:rPr>
            </w:pPr>
            <w:r>
              <w:rPr>
                <w:rFonts w:hint="default"/>
                <w:lang w:val="en-US" w:eastAsia="zh-CN"/>
              </w:rPr>
              <w:t xml:space="preserve">7. </w:t>
            </w:r>
          </w:p>
        </w:tc>
        <w:tc>
          <w:tcPr>
            <w:tcW w:w="1080" w:type="dxa"/>
            <w:vMerge w:val="continue"/>
            <w:vAlign w:val="center"/>
          </w:tcPr>
          <w:p w14:paraId="36EC58EC">
            <w:pPr>
              <w:pStyle w:val="59"/>
              <w:bidi w:val="0"/>
            </w:pPr>
          </w:p>
        </w:tc>
        <w:tc>
          <w:tcPr>
            <w:tcW w:w="1079" w:type="dxa"/>
            <w:vMerge w:val="continue"/>
            <w:vAlign w:val="center"/>
          </w:tcPr>
          <w:p w14:paraId="45392EEA">
            <w:pPr>
              <w:pStyle w:val="59"/>
              <w:bidi w:val="0"/>
            </w:pPr>
          </w:p>
        </w:tc>
        <w:tc>
          <w:tcPr>
            <w:tcW w:w="1055" w:type="dxa"/>
            <w:shd w:val="clear" w:color="auto" w:fill="auto"/>
            <w:vAlign w:val="center"/>
          </w:tcPr>
          <w:p w14:paraId="2ECBB941">
            <w:pPr>
              <w:pStyle w:val="59"/>
              <w:bidi w:val="0"/>
              <w:rPr>
                <w:rFonts w:hint="eastAsia"/>
                <w:lang w:val="en-US" w:eastAsia="zh-CN"/>
              </w:rPr>
            </w:pPr>
            <w:r>
              <w:rPr>
                <w:rFonts w:hint="eastAsia"/>
                <w:lang w:val="en-US" w:eastAsia="zh-CN"/>
              </w:rPr>
              <w:t>总</w:t>
            </w:r>
            <w:r>
              <w:rPr>
                <w:rFonts w:hint="default"/>
                <w:lang w:val="en-US" w:eastAsia="zh-CN"/>
              </w:rPr>
              <w:t>VOCs</w:t>
            </w:r>
          </w:p>
        </w:tc>
        <w:tc>
          <w:tcPr>
            <w:tcW w:w="1141" w:type="dxa"/>
            <w:vAlign w:val="center"/>
          </w:tcPr>
          <w:p w14:paraId="4CCB3CC0">
            <w:pPr>
              <w:pStyle w:val="59"/>
              <w:bidi w:val="0"/>
            </w:pPr>
            <w:r>
              <w:rPr>
                <w:rFonts w:hint="eastAsia"/>
                <w:lang w:val="en-US" w:eastAsia="zh-CN"/>
              </w:rPr>
              <w:t>密闭车间，加强抽风</w:t>
            </w:r>
          </w:p>
        </w:tc>
        <w:tc>
          <w:tcPr>
            <w:tcW w:w="1647" w:type="dxa"/>
            <w:vAlign w:val="center"/>
          </w:tcPr>
          <w:p w14:paraId="048863C4">
            <w:pPr>
              <w:pStyle w:val="59"/>
              <w:bidi w:val="0"/>
            </w:pPr>
            <w:r>
              <w:rPr>
                <w:rFonts w:hint="default"/>
                <w:lang w:val="en-US" w:eastAsia="zh-CN"/>
              </w:rPr>
              <w:t>DB44/815-2010</w:t>
            </w:r>
          </w:p>
        </w:tc>
        <w:tc>
          <w:tcPr>
            <w:tcW w:w="1043" w:type="dxa"/>
            <w:vAlign w:val="center"/>
          </w:tcPr>
          <w:p w14:paraId="6644476B">
            <w:pPr>
              <w:pStyle w:val="59"/>
              <w:bidi w:val="0"/>
              <w:rPr>
                <w:rFonts w:hint="eastAsia"/>
                <w:lang w:val="en-US" w:eastAsia="zh-CN"/>
              </w:rPr>
            </w:pPr>
            <w:r>
              <w:rPr>
                <w:rFonts w:hint="default"/>
                <w:lang w:val="en-US" w:eastAsia="zh-CN"/>
              </w:rPr>
              <w:t>2</w:t>
            </w:r>
          </w:p>
        </w:tc>
        <w:tc>
          <w:tcPr>
            <w:tcW w:w="1290" w:type="dxa"/>
            <w:vAlign w:val="center"/>
          </w:tcPr>
          <w:p w14:paraId="5C3840F0">
            <w:pPr>
              <w:pStyle w:val="59"/>
              <w:bidi w:val="0"/>
              <w:rPr>
                <w:rFonts w:hint="default"/>
                <w:lang w:val="en-US"/>
              </w:rPr>
            </w:pPr>
            <w:r>
              <w:rPr>
                <w:rFonts w:hint="default"/>
                <w:lang w:val="en-US" w:eastAsia="zh-CN"/>
              </w:rPr>
              <w:t>0.</w:t>
            </w:r>
            <w:r>
              <w:rPr>
                <w:rFonts w:hint="eastAsia"/>
                <w:lang w:val="en-US" w:eastAsia="zh-CN"/>
              </w:rPr>
              <w:t>435</w:t>
            </w:r>
          </w:p>
        </w:tc>
      </w:tr>
      <w:tr w14:paraId="4D295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767" w:type="dxa"/>
            <w:vAlign w:val="center"/>
          </w:tcPr>
          <w:p w14:paraId="11FD7C45">
            <w:pPr>
              <w:pStyle w:val="59"/>
              <w:bidi w:val="0"/>
              <w:rPr>
                <w:lang w:val="en-US" w:eastAsia="zh-CN"/>
              </w:rPr>
            </w:pPr>
            <w:r>
              <w:rPr>
                <w:rFonts w:hint="default"/>
                <w:lang w:val="en-US" w:eastAsia="zh-CN"/>
              </w:rPr>
              <w:t>8</w:t>
            </w:r>
          </w:p>
        </w:tc>
        <w:tc>
          <w:tcPr>
            <w:tcW w:w="1080" w:type="dxa"/>
            <w:vAlign w:val="center"/>
          </w:tcPr>
          <w:p w14:paraId="7651BBE2">
            <w:pPr>
              <w:pStyle w:val="59"/>
              <w:bidi w:val="0"/>
            </w:pPr>
            <w:r>
              <w:rPr>
                <w:rFonts w:hint="default"/>
                <w:lang w:val="en-US" w:eastAsia="zh-CN"/>
              </w:rPr>
              <w:t>/</w:t>
            </w:r>
          </w:p>
        </w:tc>
        <w:tc>
          <w:tcPr>
            <w:tcW w:w="1079" w:type="dxa"/>
            <w:vAlign w:val="center"/>
          </w:tcPr>
          <w:p w14:paraId="4B010A16">
            <w:pPr>
              <w:pStyle w:val="59"/>
              <w:bidi w:val="0"/>
            </w:pPr>
            <w:r>
              <w:rPr>
                <w:rFonts w:hint="eastAsia"/>
                <w:lang w:val="en-US" w:eastAsia="zh-CN"/>
              </w:rPr>
              <w:t>复合</w:t>
            </w:r>
          </w:p>
        </w:tc>
        <w:tc>
          <w:tcPr>
            <w:tcW w:w="1055" w:type="dxa"/>
            <w:shd w:val="clear" w:color="auto" w:fill="auto"/>
            <w:vAlign w:val="center"/>
          </w:tcPr>
          <w:p w14:paraId="001493AB">
            <w:pPr>
              <w:pStyle w:val="59"/>
              <w:bidi w:val="0"/>
              <w:rPr>
                <w:rFonts w:hint="eastAsia"/>
                <w:lang w:val="en-US" w:eastAsia="zh-CN"/>
              </w:rPr>
            </w:pPr>
            <w:r>
              <w:rPr>
                <w:rFonts w:hint="default"/>
                <w:lang w:val="en-US" w:eastAsia="zh-CN"/>
              </w:rPr>
              <w:t>NMHC</w:t>
            </w:r>
          </w:p>
        </w:tc>
        <w:tc>
          <w:tcPr>
            <w:tcW w:w="1141" w:type="dxa"/>
            <w:vAlign w:val="center"/>
          </w:tcPr>
          <w:p w14:paraId="506EE201">
            <w:pPr>
              <w:pStyle w:val="59"/>
              <w:bidi w:val="0"/>
              <w:rPr>
                <w:rFonts w:hint="eastAsia"/>
                <w:lang w:val="en-US" w:eastAsia="zh-CN"/>
              </w:rPr>
            </w:pPr>
            <w:r>
              <w:rPr>
                <w:rFonts w:hint="eastAsia"/>
                <w:lang w:val="en-US" w:eastAsia="zh-CN"/>
              </w:rPr>
              <w:t>密闭车间，加强抽风</w:t>
            </w:r>
          </w:p>
        </w:tc>
        <w:tc>
          <w:tcPr>
            <w:tcW w:w="1647" w:type="dxa"/>
            <w:vAlign w:val="center"/>
          </w:tcPr>
          <w:p w14:paraId="36173CB7">
            <w:pPr>
              <w:pStyle w:val="59"/>
              <w:bidi w:val="0"/>
              <w:rPr>
                <w:rFonts w:hint="eastAsia"/>
                <w:lang w:eastAsia="zh-CN"/>
              </w:rPr>
            </w:pPr>
            <w:r>
              <w:rPr>
                <w:rFonts w:hint="default"/>
                <w:lang w:val="en-US" w:eastAsia="zh-CN"/>
              </w:rPr>
              <w:t>DB44/2367-2022</w:t>
            </w:r>
          </w:p>
        </w:tc>
        <w:tc>
          <w:tcPr>
            <w:tcW w:w="1043" w:type="dxa"/>
            <w:vAlign w:val="center"/>
          </w:tcPr>
          <w:p w14:paraId="48A8E6AD">
            <w:pPr>
              <w:pStyle w:val="59"/>
              <w:bidi w:val="0"/>
              <w:rPr>
                <w:rFonts w:hint="eastAsia"/>
                <w:lang w:val="en-US" w:eastAsia="zh-CN"/>
              </w:rPr>
            </w:pPr>
            <w:r>
              <w:rPr>
                <w:rFonts w:hint="default"/>
                <w:lang w:val="en-US" w:eastAsia="zh-CN"/>
              </w:rPr>
              <w:t>6</w:t>
            </w:r>
          </w:p>
        </w:tc>
        <w:tc>
          <w:tcPr>
            <w:tcW w:w="1290" w:type="dxa"/>
            <w:vAlign w:val="center"/>
          </w:tcPr>
          <w:p w14:paraId="12CDFCA9">
            <w:pPr>
              <w:pStyle w:val="59"/>
              <w:bidi w:val="0"/>
            </w:pPr>
            <w:r>
              <w:rPr>
                <w:rFonts w:hint="default"/>
                <w:lang w:val="en-US" w:eastAsia="zh-CN"/>
              </w:rPr>
              <w:t xml:space="preserve">0.032 </w:t>
            </w:r>
          </w:p>
        </w:tc>
      </w:tr>
      <w:tr w14:paraId="0F3B85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926" w:type="dxa"/>
            <w:gridSpan w:val="3"/>
            <w:vMerge w:val="restart"/>
            <w:vAlign w:val="center"/>
          </w:tcPr>
          <w:p w14:paraId="63F17BE6">
            <w:pPr>
              <w:pStyle w:val="59"/>
              <w:bidi w:val="0"/>
            </w:pPr>
            <w:r>
              <w:rPr>
                <w:rFonts w:hint="eastAsia"/>
                <w:lang w:val="en-US" w:eastAsia="zh-CN"/>
              </w:rPr>
              <w:t>无组织排放总计</w:t>
            </w:r>
          </w:p>
        </w:tc>
        <w:tc>
          <w:tcPr>
            <w:tcW w:w="4886" w:type="dxa"/>
            <w:gridSpan w:val="4"/>
            <w:shd w:val="clear" w:color="auto" w:fill="auto"/>
            <w:vAlign w:val="center"/>
          </w:tcPr>
          <w:p w14:paraId="5E2A07E9">
            <w:pPr>
              <w:pStyle w:val="59"/>
              <w:bidi w:val="0"/>
              <w:rPr>
                <w:lang w:val="en-US" w:eastAsia="zh-CN"/>
              </w:rPr>
            </w:pPr>
            <w:r>
              <w:rPr>
                <w:rFonts w:hint="default"/>
                <w:lang w:val="en-US" w:eastAsia="zh-CN"/>
              </w:rPr>
              <w:t>NMHC</w:t>
            </w:r>
          </w:p>
        </w:tc>
        <w:tc>
          <w:tcPr>
            <w:tcW w:w="1290" w:type="dxa"/>
            <w:vAlign w:val="center"/>
          </w:tcPr>
          <w:p w14:paraId="7FB0D3AE">
            <w:pPr>
              <w:pStyle w:val="59"/>
              <w:bidi w:val="0"/>
            </w:pPr>
            <w:r>
              <w:rPr>
                <w:rFonts w:hint="default"/>
                <w:lang w:val="en-US" w:eastAsia="zh-CN"/>
              </w:rPr>
              <w:t xml:space="preserve">0.311 </w:t>
            </w:r>
          </w:p>
        </w:tc>
      </w:tr>
      <w:tr w14:paraId="46A363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926" w:type="dxa"/>
            <w:gridSpan w:val="3"/>
            <w:vMerge w:val="continue"/>
            <w:vAlign w:val="center"/>
          </w:tcPr>
          <w:p w14:paraId="0266C3C3">
            <w:pPr>
              <w:pStyle w:val="59"/>
              <w:bidi w:val="0"/>
            </w:pPr>
          </w:p>
        </w:tc>
        <w:tc>
          <w:tcPr>
            <w:tcW w:w="4886" w:type="dxa"/>
            <w:gridSpan w:val="4"/>
            <w:shd w:val="clear" w:color="auto" w:fill="auto"/>
            <w:vAlign w:val="center"/>
          </w:tcPr>
          <w:p w14:paraId="5F4F7B28">
            <w:pPr>
              <w:pStyle w:val="59"/>
              <w:bidi w:val="0"/>
              <w:rPr>
                <w:rFonts w:hint="eastAsia"/>
                <w:lang w:val="en-US" w:eastAsia="zh-CN"/>
              </w:rPr>
            </w:pPr>
            <w:r>
              <w:rPr>
                <w:rFonts w:hint="eastAsia"/>
                <w:lang w:val="en-US" w:eastAsia="zh-CN"/>
              </w:rPr>
              <w:t>氯化氢</w:t>
            </w:r>
          </w:p>
        </w:tc>
        <w:tc>
          <w:tcPr>
            <w:tcW w:w="1290" w:type="dxa"/>
            <w:vAlign w:val="center"/>
          </w:tcPr>
          <w:p w14:paraId="00439B1B">
            <w:pPr>
              <w:pStyle w:val="59"/>
              <w:bidi w:val="0"/>
            </w:pPr>
            <w:r>
              <w:rPr>
                <w:rFonts w:hint="default"/>
                <w:lang w:val="en-US" w:eastAsia="zh-CN"/>
              </w:rPr>
              <w:t xml:space="preserve">0.00002 </w:t>
            </w:r>
          </w:p>
        </w:tc>
      </w:tr>
      <w:tr w14:paraId="139403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926" w:type="dxa"/>
            <w:gridSpan w:val="3"/>
            <w:vMerge w:val="continue"/>
            <w:vAlign w:val="center"/>
          </w:tcPr>
          <w:p w14:paraId="32A41D61">
            <w:pPr>
              <w:pStyle w:val="59"/>
              <w:bidi w:val="0"/>
            </w:pPr>
          </w:p>
        </w:tc>
        <w:tc>
          <w:tcPr>
            <w:tcW w:w="4886" w:type="dxa"/>
            <w:gridSpan w:val="4"/>
            <w:shd w:val="clear" w:color="auto" w:fill="auto"/>
            <w:vAlign w:val="center"/>
          </w:tcPr>
          <w:p w14:paraId="40CD8683">
            <w:pPr>
              <w:pStyle w:val="59"/>
              <w:bidi w:val="0"/>
              <w:rPr>
                <w:lang w:val="en-US" w:eastAsia="zh-CN"/>
              </w:rPr>
            </w:pPr>
            <w:r>
              <w:rPr>
                <w:rFonts w:hint="eastAsia"/>
                <w:lang w:val="en-US" w:eastAsia="zh-CN"/>
              </w:rPr>
              <w:t>氯乙烯</w:t>
            </w:r>
          </w:p>
        </w:tc>
        <w:tc>
          <w:tcPr>
            <w:tcW w:w="1290" w:type="dxa"/>
            <w:vAlign w:val="center"/>
          </w:tcPr>
          <w:p w14:paraId="6D336090">
            <w:pPr>
              <w:pStyle w:val="59"/>
              <w:bidi w:val="0"/>
            </w:pPr>
            <w:r>
              <w:rPr>
                <w:rFonts w:hint="default"/>
                <w:lang w:val="en-US" w:eastAsia="zh-CN"/>
              </w:rPr>
              <w:t xml:space="preserve">0.00002 </w:t>
            </w:r>
          </w:p>
        </w:tc>
      </w:tr>
      <w:tr w14:paraId="358992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926" w:type="dxa"/>
            <w:gridSpan w:val="3"/>
            <w:vMerge w:val="continue"/>
            <w:vAlign w:val="center"/>
          </w:tcPr>
          <w:p w14:paraId="24826974">
            <w:pPr>
              <w:pStyle w:val="59"/>
              <w:bidi w:val="0"/>
            </w:pPr>
          </w:p>
        </w:tc>
        <w:tc>
          <w:tcPr>
            <w:tcW w:w="4886" w:type="dxa"/>
            <w:gridSpan w:val="4"/>
            <w:shd w:val="clear" w:color="auto" w:fill="auto"/>
            <w:vAlign w:val="center"/>
          </w:tcPr>
          <w:p w14:paraId="78B6D2CF">
            <w:pPr>
              <w:pStyle w:val="59"/>
              <w:bidi w:val="0"/>
              <w:rPr>
                <w:rFonts w:hint="eastAsia"/>
                <w:lang w:val="en-US" w:eastAsia="zh-CN"/>
              </w:rPr>
            </w:pPr>
            <w:r>
              <w:rPr>
                <w:rFonts w:hint="eastAsia"/>
                <w:lang w:val="en-US" w:eastAsia="zh-CN"/>
              </w:rPr>
              <w:t>苯</w:t>
            </w:r>
          </w:p>
        </w:tc>
        <w:tc>
          <w:tcPr>
            <w:tcW w:w="1290" w:type="dxa"/>
            <w:vAlign w:val="center"/>
          </w:tcPr>
          <w:p w14:paraId="37079DDC">
            <w:pPr>
              <w:pStyle w:val="59"/>
              <w:bidi w:val="0"/>
            </w:pPr>
            <w:r>
              <w:rPr>
                <w:rFonts w:hint="default"/>
                <w:lang w:val="en-US" w:eastAsia="zh-CN"/>
              </w:rPr>
              <w:t xml:space="preserve">0.0000011 </w:t>
            </w:r>
          </w:p>
        </w:tc>
      </w:tr>
      <w:tr w14:paraId="3C7219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926" w:type="dxa"/>
            <w:gridSpan w:val="3"/>
            <w:vMerge w:val="continue"/>
            <w:vAlign w:val="center"/>
          </w:tcPr>
          <w:p w14:paraId="75CE37D2">
            <w:pPr>
              <w:pStyle w:val="59"/>
              <w:bidi w:val="0"/>
            </w:pPr>
          </w:p>
        </w:tc>
        <w:tc>
          <w:tcPr>
            <w:tcW w:w="4886" w:type="dxa"/>
            <w:gridSpan w:val="4"/>
            <w:shd w:val="clear" w:color="auto" w:fill="auto"/>
            <w:vAlign w:val="center"/>
          </w:tcPr>
          <w:p w14:paraId="0F553FDF">
            <w:pPr>
              <w:pStyle w:val="59"/>
              <w:bidi w:val="0"/>
              <w:rPr>
                <w:rFonts w:hint="eastAsia"/>
                <w:lang w:val="en-US" w:eastAsia="zh-CN"/>
              </w:rPr>
            </w:pPr>
            <w:r>
              <w:rPr>
                <w:rFonts w:hint="eastAsia"/>
                <w:lang w:val="en-US" w:eastAsia="zh-CN"/>
              </w:rPr>
              <w:t>甲苯</w:t>
            </w:r>
          </w:p>
        </w:tc>
        <w:tc>
          <w:tcPr>
            <w:tcW w:w="1290" w:type="dxa"/>
            <w:vAlign w:val="center"/>
          </w:tcPr>
          <w:p w14:paraId="3996DA04">
            <w:pPr>
              <w:pStyle w:val="59"/>
              <w:bidi w:val="0"/>
              <w:rPr>
                <w:lang w:val="en-US" w:eastAsia="zh-CN"/>
              </w:rPr>
            </w:pPr>
            <w:r>
              <w:rPr>
                <w:rFonts w:hint="default"/>
                <w:lang w:val="en-US" w:eastAsia="zh-CN"/>
              </w:rPr>
              <w:t xml:space="preserve">0.0000005 </w:t>
            </w:r>
          </w:p>
        </w:tc>
      </w:tr>
      <w:tr w14:paraId="349B66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926" w:type="dxa"/>
            <w:gridSpan w:val="3"/>
            <w:vMerge w:val="continue"/>
            <w:vAlign w:val="center"/>
          </w:tcPr>
          <w:p w14:paraId="1B186964">
            <w:pPr>
              <w:pStyle w:val="59"/>
              <w:bidi w:val="0"/>
            </w:pPr>
          </w:p>
        </w:tc>
        <w:tc>
          <w:tcPr>
            <w:tcW w:w="4886" w:type="dxa"/>
            <w:gridSpan w:val="4"/>
            <w:shd w:val="clear" w:color="auto" w:fill="auto"/>
            <w:vAlign w:val="center"/>
          </w:tcPr>
          <w:p w14:paraId="14C23ACA">
            <w:pPr>
              <w:pStyle w:val="59"/>
              <w:bidi w:val="0"/>
              <w:rPr>
                <w:rFonts w:hint="eastAsia"/>
                <w:lang w:val="en-US" w:eastAsia="zh-CN"/>
              </w:rPr>
            </w:pPr>
            <w:r>
              <w:rPr>
                <w:rFonts w:hint="eastAsia"/>
                <w:lang w:val="en-US" w:eastAsia="zh-CN"/>
              </w:rPr>
              <w:t>总</w:t>
            </w:r>
            <w:r>
              <w:rPr>
                <w:rFonts w:hint="default"/>
                <w:lang w:val="en-US" w:eastAsia="zh-CN"/>
              </w:rPr>
              <w:t>VOCs</w:t>
            </w:r>
          </w:p>
        </w:tc>
        <w:tc>
          <w:tcPr>
            <w:tcW w:w="1290" w:type="dxa"/>
            <w:vAlign w:val="center"/>
          </w:tcPr>
          <w:p w14:paraId="45128746">
            <w:pPr>
              <w:pStyle w:val="59"/>
              <w:bidi w:val="0"/>
              <w:rPr>
                <w:rFonts w:hint="default"/>
                <w:lang w:val="en-US" w:eastAsia="zh-CN"/>
              </w:rPr>
            </w:pPr>
            <w:r>
              <w:rPr>
                <w:rFonts w:hint="eastAsia"/>
                <w:lang w:val="en-US" w:eastAsia="zh-CN"/>
              </w:rPr>
              <w:t>6.008</w:t>
            </w:r>
          </w:p>
        </w:tc>
      </w:tr>
    </w:tbl>
    <w:p w14:paraId="04A5CFB8">
      <w:pPr>
        <w:pStyle w:val="62"/>
        <w:spacing w:before="166" w:beforeLines="50"/>
        <w:rPr>
          <w:rFonts w:cs="宋体"/>
          <w:color w:val="auto"/>
          <w:kern w:val="2"/>
        </w:rPr>
      </w:pPr>
      <w:r>
        <w:rPr>
          <w:rFonts w:hint="eastAsia" w:cs="宋体"/>
          <w:color w:val="auto"/>
          <w:kern w:val="2"/>
          <w:lang w:eastAsia="zh-CN"/>
        </w:rPr>
        <w:t>表5</w:t>
      </w:r>
      <w:r>
        <w:rPr>
          <w:rFonts w:hint="eastAsia" w:cs="宋体"/>
          <w:color w:val="auto"/>
          <w:kern w:val="2"/>
        </w:rPr>
        <w:t>.2-</w:t>
      </w:r>
      <w:r>
        <w:rPr>
          <w:rFonts w:hint="eastAsia" w:cs="宋体"/>
          <w:color w:val="auto"/>
          <w:kern w:val="2"/>
          <w:lang w:val="en-US" w:eastAsia="zh-CN"/>
        </w:rPr>
        <w:t>16</w:t>
      </w:r>
      <w:r>
        <w:rPr>
          <w:rFonts w:hint="eastAsia" w:cs="宋体"/>
          <w:color w:val="auto"/>
          <w:kern w:val="2"/>
        </w:rPr>
        <w:t xml:space="preserve">  大气污染物排放量核算表</w:t>
      </w:r>
    </w:p>
    <w:tbl>
      <w:tblPr>
        <w:tblStyle w:val="38"/>
        <w:tblW w:w="928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06"/>
        <w:gridCol w:w="3491"/>
        <w:gridCol w:w="3491"/>
      </w:tblGrid>
      <w:tr w14:paraId="57AE3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306" w:type="dxa"/>
            <w:vAlign w:val="center"/>
          </w:tcPr>
          <w:p w14:paraId="1DE9FC88">
            <w:pPr>
              <w:pStyle w:val="59"/>
              <w:bidi w:val="0"/>
            </w:pPr>
            <w:r>
              <w:rPr>
                <w:rFonts w:hint="eastAsia"/>
              </w:rPr>
              <w:t>序号</w:t>
            </w:r>
          </w:p>
        </w:tc>
        <w:tc>
          <w:tcPr>
            <w:tcW w:w="3491" w:type="dxa"/>
            <w:vAlign w:val="center"/>
          </w:tcPr>
          <w:p w14:paraId="757CF1BC">
            <w:pPr>
              <w:pStyle w:val="59"/>
              <w:bidi w:val="0"/>
            </w:pPr>
            <w:r>
              <w:rPr>
                <w:rFonts w:hint="eastAsia"/>
              </w:rPr>
              <w:t>污染物</w:t>
            </w:r>
          </w:p>
        </w:tc>
        <w:tc>
          <w:tcPr>
            <w:tcW w:w="3491" w:type="dxa"/>
            <w:vAlign w:val="center"/>
          </w:tcPr>
          <w:p w14:paraId="5F5570E8">
            <w:pPr>
              <w:pStyle w:val="59"/>
              <w:bidi w:val="0"/>
            </w:pPr>
            <w:r>
              <w:rPr>
                <w:rFonts w:hint="eastAsia"/>
              </w:rPr>
              <w:t>排放量</w:t>
            </w:r>
            <w:r>
              <w:t>（t/a)</w:t>
            </w:r>
          </w:p>
        </w:tc>
      </w:tr>
      <w:tr w14:paraId="09765A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1ED678FC">
            <w:pPr>
              <w:pStyle w:val="59"/>
              <w:numPr>
                <w:ilvl w:val="0"/>
                <w:numId w:val="43"/>
              </w:numPr>
              <w:bidi w:val="0"/>
              <w:ind w:left="425" w:leftChars="0" w:hanging="425" w:firstLineChars="0"/>
              <w:rPr>
                <w:lang w:val="en-US" w:eastAsia="zh-CN"/>
              </w:rPr>
            </w:pPr>
          </w:p>
        </w:tc>
        <w:tc>
          <w:tcPr>
            <w:tcW w:w="3491" w:type="dxa"/>
            <w:vAlign w:val="center"/>
          </w:tcPr>
          <w:p w14:paraId="77FCD624">
            <w:pPr>
              <w:pStyle w:val="59"/>
              <w:bidi w:val="0"/>
            </w:pPr>
            <w:r>
              <w:rPr>
                <w:rFonts w:hint="eastAsia"/>
                <w:lang w:val="en-US" w:eastAsia="zh-CN"/>
              </w:rPr>
              <w:t>挥发性有机物</w:t>
            </w:r>
          </w:p>
        </w:tc>
        <w:tc>
          <w:tcPr>
            <w:tcW w:w="3491" w:type="dxa"/>
            <w:vAlign w:val="center"/>
          </w:tcPr>
          <w:p w14:paraId="75D4C957">
            <w:pPr>
              <w:pStyle w:val="59"/>
              <w:bidi w:val="0"/>
              <w:rPr>
                <w:rFonts w:hint="default"/>
                <w:lang w:val="en-US"/>
              </w:rPr>
            </w:pPr>
            <w:r>
              <w:rPr>
                <w:rFonts w:hint="eastAsia"/>
                <w:lang w:val="en-US" w:eastAsia="zh-CN"/>
              </w:rPr>
              <w:t>12.488</w:t>
            </w:r>
            <w:r>
              <w:rPr>
                <w:rFonts w:hint="default"/>
                <w:lang w:val="en-US" w:eastAsia="zh-CN"/>
              </w:rPr>
              <w:t xml:space="preserve"> </w:t>
            </w:r>
          </w:p>
        </w:tc>
      </w:tr>
      <w:tr w14:paraId="4E7256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07F39BF5">
            <w:pPr>
              <w:pStyle w:val="59"/>
              <w:numPr>
                <w:ilvl w:val="0"/>
                <w:numId w:val="43"/>
              </w:numPr>
              <w:bidi w:val="0"/>
              <w:ind w:left="425" w:leftChars="0" w:hanging="425" w:firstLineChars="0"/>
              <w:rPr>
                <w:lang w:val="en-US" w:eastAsia="zh-CN"/>
              </w:rPr>
            </w:pPr>
          </w:p>
        </w:tc>
        <w:tc>
          <w:tcPr>
            <w:tcW w:w="3491" w:type="dxa"/>
            <w:vAlign w:val="center"/>
          </w:tcPr>
          <w:p w14:paraId="61C42859">
            <w:pPr>
              <w:pStyle w:val="59"/>
              <w:bidi w:val="0"/>
              <w:rPr>
                <w:lang w:val="en-US" w:eastAsia="zh-CN"/>
              </w:rPr>
            </w:pPr>
            <w:r>
              <w:rPr>
                <w:rFonts w:hint="default"/>
                <w:lang w:val="en-US" w:eastAsia="zh-CN"/>
              </w:rPr>
              <w:t>氮氧化物</w:t>
            </w:r>
          </w:p>
        </w:tc>
        <w:tc>
          <w:tcPr>
            <w:tcW w:w="3491" w:type="dxa"/>
            <w:vAlign w:val="center"/>
          </w:tcPr>
          <w:p w14:paraId="0E3EE96F">
            <w:pPr>
              <w:pStyle w:val="59"/>
              <w:bidi w:val="0"/>
            </w:pPr>
            <w:r>
              <w:rPr>
                <w:rFonts w:hint="default"/>
                <w:lang w:val="en-US" w:eastAsia="zh-CN"/>
              </w:rPr>
              <w:t xml:space="preserve">0.206 </w:t>
            </w:r>
          </w:p>
        </w:tc>
      </w:tr>
      <w:tr w14:paraId="136EE2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7E40DFD1">
            <w:pPr>
              <w:pStyle w:val="59"/>
              <w:numPr>
                <w:ilvl w:val="0"/>
                <w:numId w:val="43"/>
              </w:numPr>
              <w:bidi w:val="0"/>
              <w:ind w:left="425" w:leftChars="0" w:hanging="425" w:firstLineChars="0"/>
              <w:rPr>
                <w:lang w:val="en-US" w:eastAsia="zh-CN"/>
              </w:rPr>
            </w:pPr>
          </w:p>
        </w:tc>
        <w:tc>
          <w:tcPr>
            <w:tcW w:w="3491" w:type="dxa"/>
            <w:vAlign w:val="center"/>
          </w:tcPr>
          <w:p w14:paraId="54E9C222">
            <w:pPr>
              <w:pStyle w:val="59"/>
              <w:bidi w:val="0"/>
              <w:rPr>
                <w:lang w:val="en-US" w:eastAsia="zh-CN"/>
              </w:rPr>
            </w:pPr>
            <w:r>
              <w:rPr>
                <w:rFonts w:hint="default"/>
                <w:lang w:val="en-US" w:eastAsia="zh-CN"/>
              </w:rPr>
              <w:t>二氧化硫</w:t>
            </w:r>
          </w:p>
        </w:tc>
        <w:tc>
          <w:tcPr>
            <w:tcW w:w="3491" w:type="dxa"/>
            <w:vAlign w:val="center"/>
          </w:tcPr>
          <w:p w14:paraId="3AE2EC7F">
            <w:pPr>
              <w:pStyle w:val="59"/>
              <w:bidi w:val="0"/>
            </w:pPr>
            <w:r>
              <w:rPr>
                <w:rFonts w:hint="default"/>
                <w:lang w:val="en-US" w:eastAsia="zh-CN"/>
              </w:rPr>
              <w:t xml:space="preserve">0.002 </w:t>
            </w:r>
          </w:p>
        </w:tc>
      </w:tr>
      <w:tr w14:paraId="72AEF3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0F402A84">
            <w:pPr>
              <w:pStyle w:val="59"/>
              <w:numPr>
                <w:ilvl w:val="0"/>
                <w:numId w:val="43"/>
              </w:numPr>
              <w:bidi w:val="0"/>
              <w:ind w:left="425" w:leftChars="0" w:hanging="425" w:firstLineChars="0"/>
              <w:rPr>
                <w:lang w:val="en-US" w:eastAsia="zh-CN"/>
              </w:rPr>
            </w:pPr>
          </w:p>
        </w:tc>
        <w:tc>
          <w:tcPr>
            <w:tcW w:w="3491" w:type="dxa"/>
            <w:vAlign w:val="center"/>
          </w:tcPr>
          <w:p w14:paraId="4B0C277C">
            <w:pPr>
              <w:pStyle w:val="59"/>
              <w:bidi w:val="0"/>
              <w:rPr>
                <w:lang w:val="en-US" w:eastAsia="zh-CN"/>
              </w:rPr>
            </w:pPr>
            <w:r>
              <w:rPr>
                <w:rFonts w:hint="default"/>
                <w:lang w:val="en-US" w:eastAsia="zh-CN"/>
              </w:rPr>
              <w:t>颗粒物</w:t>
            </w:r>
          </w:p>
        </w:tc>
        <w:tc>
          <w:tcPr>
            <w:tcW w:w="3491" w:type="dxa"/>
            <w:vAlign w:val="center"/>
          </w:tcPr>
          <w:p w14:paraId="1D4ED2E8">
            <w:pPr>
              <w:pStyle w:val="59"/>
              <w:bidi w:val="0"/>
            </w:pPr>
            <w:r>
              <w:rPr>
                <w:rFonts w:hint="default"/>
                <w:lang w:val="en-US" w:eastAsia="zh-CN"/>
              </w:rPr>
              <w:t xml:space="preserve">0.031 </w:t>
            </w:r>
          </w:p>
        </w:tc>
      </w:tr>
      <w:tr w14:paraId="4501EF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6876C801">
            <w:pPr>
              <w:pStyle w:val="59"/>
              <w:numPr>
                <w:ilvl w:val="0"/>
                <w:numId w:val="43"/>
              </w:numPr>
              <w:bidi w:val="0"/>
              <w:ind w:left="425" w:leftChars="0" w:hanging="425" w:firstLineChars="0"/>
              <w:rPr>
                <w:rFonts w:hint="eastAsia"/>
              </w:rPr>
            </w:pPr>
          </w:p>
        </w:tc>
        <w:tc>
          <w:tcPr>
            <w:tcW w:w="3491" w:type="dxa"/>
            <w:vAlign w:val="center"/>
          </w:tcPr>
          <w:p w14:paraId="54B24C72">
            <w:pPr>
              <w:pStyle w:val="59"/>
              <w:bidi w:val="0"/>
              <w:rPr>
                <w:rFonts w:hint="default"/>
                <w:lang w:val="en-US" w:eastAsia="zh-CN"/>
              </w:rPr>
            </w:pPr>
            <w:r>
              <w:rPr>
                <w:rFonts w:hint="default"/>
                <w:lang w:val="en-US" w:eastAsia="zh-CN"/>
              </w:rPr>
              <w:t>氯化氢</w:t>
            </w:r>
          </w:p>
        </w:tc>
        <w:tc>
          <w:tcPr>
            <w:tcW w:w="3491" w:type="dxa"/>
            <w:vAlign w:val="center"/>
          </w:tcPr>
          <w:p w14:paraId="40CD96A6">
            <w:pPr>
              <w:pStyle w:val="59"/>
              <w:bidi w:val="0"/>
              <w:rPr>
                <w:rFonts w:hint="default"/>
                <w:lang w:val="en-US" w:eastAsia="zh-CN"/>
              </w:rPr>
            </w:pPr>
            <w:r>
              <w:rPr>
                <w:rFonts w:hint="default"/>
                <w:lang w:val="en-US" w:eastAsia="zh-CN"/>
              </w:rPr>
              <w:t xml:space="preserve">0.000024 </w:t>
            </w:r>
          </w:p>
        </w:tc>
      </w:tr>
      <w:tr w14:paraId="32812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72846323">
            <w:pPr>
              <w:pStyle w:val="59"/>
              <w:numPr>
                <w:ilvl w:val="0"/>
                <w:numId w:val="43"/>
              </w:numPr>
              <w:bidi w:val="0"/>
              <w:ind w:left="425" w:leftChars="0" w:hanging="425" w:firstLineChars="0"/>
              <w:rPr>
                <w:rFonts w:hint="eastAsia"/>
              </w:rPr>
            </w:pPr>
          </w:p>
        </w:tc>
        <w:tc>
          <w:tcPr>
            <w:tcW w:w="3491" w:type="dxa"/>
            <w:vAlign w:val="center"/>
          </w:tcPr>
          <w:p w14:paraId="55116271">
            <w:pPr>
              <w:pStyle w:val="59"/>
              <w:bidi w:val="0"/>
              <w:rPr>
                <w:rFonts w:hint="default"/>
                <w:lang w:val="en-US" w:eastAsia="zh-CN"/>
              </w:rPr>
            </w:pPr>
            <w:r>
              <w:rPr>
                <w:rFonts w:hint="default"/>
                <w:lang w:val="en-US" w:eastAsia="zh-CN"/>
              </w:rPr>
              <w:t>氯乙烯</w:t>
            </w:r>
          </w:p>
        </w:tc>
        <w:tc>
          <w:tcPr>
            <w:tcW w:w="3491" w:type="dxa"/>
            <w:vAlign w:val="center"/>
          </w:tcPr>
          <w:p w14:paraId="3326D5AF">
            <w:pPr>
              <w:pStyle w:val="59"/>
              <w:bidi w:val="0"/>
              <w:rPr>
                <w:rFonts w:hint="default"/>
                <w:lang w:val="en-US" w:eastAsia="zh-CN"/>
              </w:rPr>
            </w:pPr>
            <w:r>
              <w:rPr>
                <w:rFonts w:hint="default"/>
                <w:lang w:val="en-US" w:eastAsia="zh-CN"/>
              </w:rPr>
              <w:t xml:space="preserve">0.000026 </w:t>
            </w:r>
          </w:p>
        </w:tc>
      </w:tr>
      <w:tr w14:paraId="7267CC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62EDE48C">
            <w:pPr>
              <w:pStyle w:val="59"/>
              <w:numPr>
                <w:ilvl w:val="0"/>
                <w:numId w:val="43"/>
              </w:numPr>
              <w:bidi w:val="0"/>
              <w:ind w:left="425" w:leftChars="0" w:hanging="425" w:firstLineChars="0"/>
              <w:rPr>
                <w:rFonts w:hint="eastAsia"/>
              </w:rPr>
            </w:pPr>
          </w:p>
        </w:tc>
        <w:tc>
          <w:tcPr>
            <w:tcW w:w="3491" w:type="dxa"/>
            <w:vAlign w:val="center"/>
          </w:tcPr>
          <w:p w14:paraId="53C6EC79">
            <w:pPr>
              <w:pStyle w:val="59"/>
              <w:bidi w:val="0"/>
              <w:rPr>
                <w:rFonts w:hint="default"/>
                <w:lang w:val="en-US" w:eastAsia="zh-CN"/>
              </w:rPr>
            </w:pPr>
            <w:r>
              <w:rPr>
                <w:rFonts w:hint="default"/>
                <w:lang w:val="en-US" w:eastAsia="zh-CN"/>
              </w:rPr>
              <w:t>苯</w:t>
            </w:r>
          </w:p>
        </w:tc>
        <w:tc>
          <w:tcPr>
            <w:tcW w:w="3491" w:type="dxa"/>
            <w:vAlign w:val="center"/>
          </w:tcPr>
          <w:p w14:paraId="69959786">
            <w:pPr>
              <w:pStyle w:val="59"/>
              <w:bidi w:val="0"/>
              <w:rPr>
                <w:rFonts w:hint="default"/>
                <w:lang w:val="en-US" w:eastAsia="zh-CN"/>
              </w:rPr>
            </w:pPr>
            <w:r>
              <w:rPr>
                <w:rFonts w:hint="default"/>
                <w:lang w:val="en-US" w:eastAsia="zh-CN"/>
              </w:rPr>
              <w:t xml:space="preserve">0.000001 </w:t>
            </w:r>
          </w:p>
        </w:tc>
      </w:tr>
      <w:tr w14:paraId="0ED23C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06" w:type="dxa"/>
            <w:vAlign w:val="center"/>
          </w:tcPr>
          <w:p w14:paraId="05812EED">
            <w:pPr>
              <w:pStyle w:val="59"/>
              <w:numPr>
                <w:ilvl w:val="0"/>
                <w:numId w:val="43"/>
              </w:numPr>
              <w:bidi w:val="0"/>
              <w:ind w:left="425" w:leftChars="0" w:hanging="425" w:firstLineChars="0"/>
              <w:rPr>
                <w:rFonts w:hint="eastAsia"/>
              </w:rPr>
            </w:pPr>
          </w:p>
        </w:tc>
        <w:tc>
          <w:tcPr>
            <w:tcW w:w="3491" w:type="dxa"/>
            <w:vAlign w:val="center"/>
          </w:tcPr>
          <w:p w14:paraId="571E5E25">
            <w:pPr>
              <w:pStyle w:val="59"/>
              <w:bidi w:val="0"/>
              <w:rPr>
                <w:rFonts w:hint="default"/>
                <w:lang w:val="en-US" w:eastAsia="zh-CN"/>
              </w:rPr>
            </w:pPr>
            <w:r>
              <w:rPr>
                <w:rFonts w:hint="default"/>
                <w:lang w:val="en-US" w:eastAsia="zh-CN"/>
              </w:rPr>
              <w:t>甲苯</w:t>
            </w:r>
          </w:p>
        </w:tc>
        <w:tc>
          <w:tcPr>
            <w:tcW w:w="3491" w:type="dxa"/>
            <w:vAlign w:val="center"/>
          </w:tcPr>
          <w:p w14:paraId="32E809E0">
            <w:pPr>
              <w:pStyle w:val="59"/>
              <w:bidi w:val="0"/>
              <w:rPr>
                <w:rFonts w:hint="default"/>
                <w:lang w:val="en-US" w:eastAsia="zh-CN"/>
              </w:rPr>
            </w:pPr>
            <w:r>
              <w:rPr>
                <w:rFonts w:hint="default"/>
                <w:lang w:val="en-US" w:eastAsia="zh-CN"/>
              </w:rPr>
              <w:t xml:space="preserve">0.000001 </w:t>
            </w:r>
          </w:p>
        </w:tc>
      </w:tr>
    </w:tbl>
    <w:p w14:paraId="1213014F">
      <w:pPr>
        <w:pStyle w:val="64"/>
        <w:numPr>
          <w:ilvl w:val="2"/>
          <w:numId w:val="8"/>
        </w:numPr>
        <w:spacing w:before="166" w:after="166"/>
        <w:ind w:left="709" w:leftChars="0" w:hanging="709" w:firstLineChars="0"/>
        <w:rPr>
          <w:rFonts w:hint="eastAsia"/>
          <w:color w:val="auto"/>
        </w:rPr>
      </w:pPr>
      <w:r>
        <w:rPr>
          <w:rFonts w:hint="eastAsia"/>
          <w:color w:val="auto"/>
        </w:rPr>
        <w:t>小结</w:t>
      </w:r>
    </w:p>
    <w:p w14:paraId="5786D516">
      <w:pPr>
        <w:ind w:firstLine="480"/>
        <w:jc w:val="left"/>
        <w:rPr>
          <w:rFonts w:hint="default" w:eastAsia="宋体"/>
          <w:sz w:val="21"/>
          <w:lang w:val="en-US" w:eastAsia="zh-CN"/>
        </w:rPr>
      </w:pPr>
      <w:r>
        <w:rPr>
          <w:rFonts w:hint="eastAsia"/>
        </w:rPr>
        <w:t>根据</w:t>
      </w:r>
      <w:r>
        <w:rPr>
          <w:rFonts w:hint="eastAsia"/>
          <w:color w:val="auto"/>
        </w:rPr>
        <w:t>气象观测站</w:t>
      </w:r>
      <w:r>
        <w:rPr>
          <w:rFonts w:hint="eastAsia"/>
          <w:lang w:val="en-US" w:eastAsia="zh-CN"/>
        </w:rPr>
        <w:t>（站点编码</w:t>
      </w:r>
      <w:r>
        <w:rPr>
          <w:rFonts w:hint="eastAsia"/>
          <w:color w:val="auto"/>
        </w:rPr>
        <w:t>59473</w:t>
      </w:r>
      <w:r>
        <w:rPr>
          <w:rFonts w:hint="eastAsia"/>
          <w:lang w:val="en-US" w:eastAsia="zh-CN"/>
        </w:rPr>
        <w:t>）上2024年的</w:t>
      </w:r>
      <w:r>
        <w:rPr>
          <w:rFonts w:hint="eastAsia"/>
        </w:rPr>
        <w:t>空气质量监测数据，</w:t>
      </w:r>
      <w:r>
        <w:rPr>
          <w:rFonts w:hint="eastAsia"/>
          <w:lang w:val="en-US" w:eastAsia="zh-CN"/>
        </w:rPr>
        <w:t>项目所在区域</w:t>
      </w:r>
      <w:r>
        <w:rPr>
          <w:rFonts w:hint="eastAsia"/>
        </w:rPr>
        <w:t>202</w:t>
      </w:r>
      <w:r>
        <w:rPr>
          <w:rFonts w:hint="eastAsia"/>
          <w:lang w:val="en-US" w:eastAsia="zh-CN"/>
        </w:rPr>
        <w:t>4</w:t>
      </w:r>
      <w:r>
        <w:rPr>
          <w:rFonts w:hint="eastAsia"/>
        </w:rPr>
        <w:t>年属环境空气质量</w:t>
      </w:r>
      <w:r>
        <w:rPr>
          <w:rFonts w:hint="eastAsia"/>
          <w:lang w:val="en-US" w:eastAsia="zh-CN"/>
        </w:rPr>
        <w:t>不</w:t>
      </w:r>
      <w:r>
        <w:rPr>
          <w:rFonts w:hint="eastAsia"/>
        </w:rPr>
        <w:t>达标区</w:t>
      </w:r>
      <w:r>
        <w:rPr>
          <w:rFonts w:hint="eastAsia"/>
          <w:lang w:eastAsia="zh-CN"/>
        </w:rPr>
        <w:t>，</w:t>
      </w:r>
      <w:r>
        <w:rPr>
          <w:rFonts w:hint="eastAsia"/>
          <w:lang w:val="en-US" w:eastAsia="zh-CN"/>
        </w:rPr>
        <w:t>不达标因子为臭氧。</w:t>
      </w:r>
    </w:p>
    <w:p w14:paraId="29FC0836">
      <w:pPr>
        <w:keepNext w:val="0"/>
        <w:keepLines w:val="0"/>
        <w:pageBreakBefore w:val="0"/>
        <w:widowControl w:val="0"/>
        <w:numPr>
          <w:ilvl w:val="0"/>
          <w:numId w:val="44"/>
        </w:numPr>
        <w:kinsoku/>
        <w:wordWrap/>
        <w:overflowPunct/>
        <w:topLinePunct w:val="0"/>
        <w:autoSpaceDE/>
        <w:autoSpaceDN/>
        <w:bidi w:val="0"/>
        <w:adjustRightInd/>
        <w:snapToGrid/>
        <w:ind w:left="0"/>
        <w:textAlignment w:val="auto"/>
      </w:pPr>
      <w:r>
        <w:rPr>
          <w:rFonts w:hint="eastAsia"/>
          <w:lang w:val="en-US" w:eastAsia="zh-CN"/>
        </w:rPr>
        <w:t>本项目建设未新增臭氧污染物排放；</w:t>
      </w:r>
    </w:p>
    <w:p w14:paraId="2543B056">
      <w:pPr>
        <w:keepNext w:val="0"/>
        <w:keepLines w:val="0"/>
        <w:pageBreakBefore w:val="0"/>
        <w:widowControl w:val="0"/>
        <w:numPr>
          <w:ilvl w:val="0"/>
          <w:numId w:val="44"/>
        </w:numPr>
        <w:kinsoku/>
        <w:wordWrap/>
        <w:overflowPunct/>
        <w:topLinePunct w:val="0"/>
        <w:autoSpaceDE/>
        <w:autoSpaceDN/>
        <w:bidi w:val="0"/>
        <w:adjustRightInd/>
        <w:snapToGrid/>
        <w:ind w:left="0"/>
        <w:textAlignment w:val="auto"/>
      </w:pPr>
      <w:r>
        <w:t>新增污染源</w:t>
      </w:r>
      <w:r>
        <w:rPr>
          <w:rFonts w:hint="eastAsia"/>
        </w:rPr>
        <w:t>（</w:t>
      </w:r>
      <w:r>
        <w:t>PM</w:t>
      </w:r>
      <w:r>
        <w:rPr>
          <w:vertAlign w:val="subscript"/>
        </w:rPr>
        <w:t>10</w:t>
      </w:r>
      <w:r>
        <w:t>、</w:t>
      </w:r>
      <w:r>
        <w:rPr>
          <w:rFonts w:hint="eastAsia"/>
        </w:rPr>
        <w:t>TVOC、</w:t>
      </w:r>
      <w:r>
        <w:rPr>
          <w:rFonts w:hint="eastAsia"/>
          <w:lang w:val="en-US" w:eastAsia="zh-CN"/>
        </w:rPr>
        <w:t>NMHC、二氧化硫、氮氧化物、苯</w:t>
      </w:r>
      <w:r>
        <w:rPr>
          <w:rFonts w:hint="eastAsia"/>
          <w:lang w:eastAsia="zh-CN"/>
        </w:rPr>
        <w:t>、</w:t>
      </w:r>
      <w:r>
        <w:rPr>
          <w:rFonts w:hint="eastAsia"/>
          <w:lang w:val="en-US" w:eastAsia="zh-CN"/>
        </w:rPr>
        <w:t>甲苯、氯化氢</w:t>
      </w:r>
      <w:r>
        <w:rPr>
          <w:rFonts w:hint="eastAsia"/>
        </w:rPr>
        <w:t>）</w:t>
      </w:r>
      <w:r>
        <w:t>正常排放下污染物短期浓度贡献值的最大浓度占标率≤</w:t>
      </w:r>
      <w:r>
        <w:rPr>
          <w:rFonts w:hint="eastAsia"/>
        </w:rPr>
        <w:t>100%</w:t>
      </w:r>
      <w:r>
        <w:t>；</w:t>
      </w:r>
    </w:p>
    <w:p w14:paraId="5F1D8699">
      <w:pPr>
        <w:keepNext w:val="0"/>
        <w:keepLines w:val="0"/>
        <w:pageBreakBefore w:val="0"/>
        <w:widowControl w:val="0"/>
        <w:numPr>
          <w:ilvl w:val="0"/>
          <w:numId w:val="44"/>
        </w:numPr>
        <w:kinsoku/>
        <w:wordWrap/>
        <w:overflowPunct/>
        <w:topLinePunct w:val="0"/>
        <w:autoSpaceDE/>
        <w:autoSpaceDN/>
        <w:bidi w:val="0"/>
        <w:adjustRightInd/>
        <w:snapToGrid/>
        <w:ind w:left="0"/>
        <w:textAlignment w:val="auto"/>
      </w:pPr>
      <w:r>
        <w:t>新增污染源正常排放下污染物</w:t>
      </w:r>
      <w:r>
        <w:rPr>
          <w:rFonts w:hint="eastAsia"/>
        </w:rPr>
        <w:t>（</w:t>
      </w:r>
      <w:r>
        <w:t>PM</w:t>
      </w:r>
      <w:r>
        <w:rPr>
          <w:vertAlign w:val="subscript"/>
        </w:rPr>
        <w:t>10</w:t>
      </w:r>
      <w:r>
        <w:rPr>
          <w:rFonts w:hint="eastAsia"/>
          <w:lang w:eastAsia="zh-CN"/>
        </w:rPr>
        <w:t>、</w:t>
      </w:r>
      <w:r>
        <w:rPr>
          <w:rFonts w:hint="eastAsia"/>
          <w:lang w:val="en-US" w:eastAsia="zh-CN"/>
        </w:rPr>
        <w:t>二氧化硫、二氧化氮</w:t>
      </w:r>
      <w:r>
        <w:rPr>
          <w:rFonts w:hint="eastAsia"/>
        </w:rPr>
        <w:t>）</w:t>
      </w:r>
      <w:r>
        <w:t>年均浓度贡献值的最大浓度占标率≤</w:t>
      </w:r>
      <w:r>
        <w:rPr>
          <w:rFonts w:hint="eastAsia"/>
        </w:rPr>
        <w:t>30%</w:t>
      </w:r>
      <w:r>
        <w:t>（其中一类区≤</w:t>
      </w:r>
      <w:r>
        <w:rPr>
          <w:rFonts w:hint="eastAsia"/>
        </w:rPr>
        <w:t>10%</w:t>
      </w:r>
      <w:r>
        <w:t>）；</w:t>
      </w:r>
    </w:p>
    <w:p w14:paraId="5D90F959">
      <w:pPr>
        <w:keepNext w:val="0"/>
        <w:keepLines w:val="0"/>
        <w:pageBreakBefore w:val="0"/>
        <w:widowControl w:val="0"/>
        <w:numPr>
          <w:ilvl w:val="0"/>
          <w:numId w:val="44"/>
        </w:numPr>
        <w:kinsoku/>
        <w:wordWrap/>
        <w:overflowPunct/>
        <w:topLinePunct w:val="0"/>
        <w:autoSpaceDE/>
        <w:autoSpaceDN/>
        <w:bidi w:val="0"/>
        <w:adjustRightInd/>
        <w:snapToGrid/>
        <w:ind w:left="0"/>
        <w:textAlignment w:val="auto"/>
        <w:rPr>
          <w:rFonts w:hint="eastAsia"/>
        </w:rPr>
      </w:pPr>
      <w:r>
        <w:t>现状达标的污染物</w:t>
      </w:r>
      <w:r>
        <w:rPr>
          <w:rFonts w:hint="eastAsia"/>
        </w:rPr>
        <w:t>（</w:t>
      </w:r>
      <w:r>
        <w:t>PM</w:t>
      </w:r>
      <w:r>
        <w:rPr>
          <w:vertAlign w:val="subscript"/>
        </w:rPr>
        <w:t>10</w:t>
      </w:r>
      <w:r>
        <w:t>、</w:t>
      </w:r>
      <w:r>
        <w:rPr>
          <w:rFonts w:hint="eastAsia"/>
        </w:rPr>
        <w:t>TVOC、</w:t>
      </w:r>
      <w:r>
        <w:rPr>
          <w:rFonts w:hint="eastAsia"/>
          <w:lang w:val="en-US" w:eastAsia="zh-CN"/>
        </w:rPr>
        <w:t>NMHC、二氧化硫、氮氧化物、苯</w:t>
      </w:r>
      <w:r>
        <w:rPr>
          <w:rFonts w:hint="eastAsia"/>
          <w:lang w:eastAsia="zh-CN"/>
        </w:rPr>
        <w:t>、</w:t>
      </w:r>
      <w:r>
        <w:rPr>
          <w:rFonts w:hint="eastAsia"/>
          <w:lang w:val="en-US" w:eastAsia="zh-CN"/>
        </w:rPr>
        <w:t>甲苯、氯化氢</w:t>
      </w:r>
      <w:r>
        <w:rPr>
          <w:rFonts w:hint="eastAsia"/>
        </w:rPr>
        <w:t>）</w:t>
      </w:r>
      <w:r>
        <w:t>叠加后污染物浓度符合环境质量标准；项目排放的主要污染物</w:t>
      </w:r>
      <w:r>
        <w:rPr>
          <w:rFonts w:hint="eastAsia"/>
        </w:rPr>
        <w:t>（TVOC、</w:t>
      </w:r>
      <w:r>
        <w:rPr>
          <w:rFonts w:hint="eastAsia"/>
          <w:lang w:val="en-US" w:eastAsia="zh-CN"/>
        </w:rPr>
        <w:t>NMHC、苯</w:t>
      </w:r>
      <w:r>
        <w:rPr>
          <w:rFonts w:hint="eastAsia"/>
          <w:lang w:eastAsia="zh-CN"/>
        </w:rPr>
        <w:t>、</w:t>
      </w:r>
      <w:r>
        <w:rPr>
          <w:rFonts w:hint="eastAsia"/>
          <w:lang w:val="en-US" w:eastAsia="zh-CN"/>
        </w:rPr>
        <w:t>甲苯、氯化氢</w:t>
      </w:r>
      <w:r>
        <w:rPr>
          <w:rFonts w:hint="eastAsia"/>
        </w:rPr>
        <w:t>）</w:t>
      </w:r>
      <w:r>
        <w:t>仅有短期浓度限值的，叠加后的短期浓度符合环境质量标准。TVOC</w:t>
      </w:r>
      <w:r>
        <w:rPr>
          <w:rFonts w:hint="eastAsia"/>
          <w:lang w:val="en-US" w:eastAsia="zh-CN"/>
        </w:rPr>
        <w:t>污染因子实行倍量替代，满足区域环境质量改善目标。</w:t>
      </w:r>
    </w:p>
    <w:p w14:paraId="06169C08">
      <w:pPr>
        <w:ind w:firstLine="480"/>
        <w:rPr>
          <w:rFonts w:hint="default" w:eastAsia="宋体"/>
          <w:color w:val="auto"/>
          <w:lang w:val="en-US" w:eastAsia="zh-CN"/>
        </w:rPr>
      </w:pPr>
      <w:r>
        <w:rPr>
          <w:rFonts w:hint="eastAsia"/>
        </w:rPr>
        <w:t>综上，根据项目采取的污染治理措施及污染物排放强度、排放方式分析可知，项目可实现达标排放，对大气环境的影响是可以接受的。</w:t>
      </w:r>
    </w:p>
    <w:p w14:paraId="31064754">
      <w:pPr>
        <w:pStyle w:val="64"/>
        <w:numPr>
          <w:ilvl w:val="2"/>
          <w:numId w:val="8"/>
        </w:numPr>
        <w:spacing w:before="166" w:after="166"/>
        <w:ind w:left="709" w:leftChars="0" w:hanging="709" w:firstLineChars="0"/>
        <w:rPr>
          <w:rFonts w:hint="eastAsia"/>
          <w:color w:val="auto"/>
        </w:rPr>
      </w:pPr>
      <w:r>
        <w:rPr>
          <w:rFonts w:hint="eastAsia"/>
          <w:color w:val="auto"/>
        </w:rPr>
        <w:t>建设项目大气环境影响评价自查表</w:t>
      </w:r>
    </w:p>
    <w:tbl>
      <w:tblPr>
        <w:tblStyle w:val="38"/>
        <w:tblW w:w="92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5"/>
        <w:gridCol w:w="1723"/>
        <w:gridCol w:w="975"/>
        <w:gridCol w:w="596"/>
        <w:gridCol w:w="16"/>
        <w:gridCol w:w="108"/>
        <w:gridCol w:w="453"/>
        <w:gridCol w:w="250"/>
        <w:gridCol w:w="223"/>
        <w:gridCol w:w="318"/>
        <w:gridCol w:w="266"/>
        <w:gridCol w:w="162"/>
        <w:gridCol w:w="90"/>
        <w:gridCol w:w="372"/>
        <w:gridCol w:w="267"/>
        <w:gridCol w:w="62"/>
        <w:gridCol w:w="653"/>
        <w:gridCol w:w="117"/>
        <w:gridCol w:w="214"/>
        <w:gridCol w:w="118"/>
        <w:gridCol w:w="706"/>
        <w:gridCol w:w="814"/>
      </w:tblGrid>
      <w:tr w14:paraId="099B1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08" w:type="dxa"/>
            <w:gridSpan w:val="2"/>
            <w:vAlign w:val="center"/>
          </w:tcPr>
          <w:p w14:paraId="082117E7">
            <w:pPr>
              <w:spacing w:line="240" w:lineRule="auto"/>
              <w:ind w:firstLine="0" w:firstLineChars="0"/>
              <w:jc w:val="center"/>
              <w:rPr>
                <w:color w:val="auto"/>
                <w:sz w:val="18"/>
                <w:szCs w:val="18"/>
              </w:rPr>
            </w:pPr>
            <w:r>
              <w:rPr>
                <w:rFonts w:hint="eastAsia"/>
                <w:color w:val="auto"/>
                <w:sz w:val="18"/>
                <w:szCs w:val="18"/>
              </w:rPr>
              <w:t>工作内容</w:t>
            </w:r>
          </w:p>
        </w:tc>
        <w:tc>
          <w:tcPr>
            <w:tcW w:w="6780" w:type="dxa"/>
            <w:gridSpan w:val="20"/>
            <w:vAlign w:val="center"/>
          </w:tcPr>
          <w:p w14:paraId="222C1C90">
            <w:pPr>
              <w:spacing w:line="240" w:lineRule="auto"/>
              <w:ind w:firstLine="0" w:firstLineChars="0"/>
              <w:jc w:val="center"/>
              <w:rPr>
                <w:color w:val="auto"/>
                <w:sz w:val="18"/>
                <w:szCs w:val="18"/>
              </w:rPr>
            </w:pPr>
            <w:r>
              <w:rPr>
                <w:rFonts w:hint="eastAsia"/>
                <w:color w:val="auto"/>
                <w:sz w:val="18"/>
                <w:szCs w:val="18"/>
              </w:rPr>
              <w:t>自查项目</w:t>
            </w:r>
          </w:p>
        </w:tc>
      </w:tr>
      <w:tr w14:paraId="32737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3EADA240">
            <w:pPr>
              <w:spacing w:line="240" w:lineRule="auto"/>
              <w:ind w:firstLine="0" w:firstLineChars="0"/>
              <w:jc w:val="center"/>
              <w:rPr>
                <w:color w:val="auto"/>
                <w:sz w:val="18"/>
                <w:szCs w:val="18"/>
              </w:rPr>
            </w:pPr>
            <w:r>
              <w:rPr>
                <w:rFonts w:hint="eastAsia"/>
                <w:color w:val="auto"/>
                <w:sz w:val="18"/>
                <w:szCs w:val="18"/>
              </w:rPr>
              <w:t>评价等级与范围</w:t>
            </w:r>
          </w:p>
        </w:tc>
        <w:tc>
          <w:tcPr>
            <w:tcW w:w="1723" w:type="dxa"/>
            <w:vAlign w:val="center"/>
          </w:tcPr>
          <w:p w14:paraId="4B00F112">
            <w:pPr>
              <w:spacing w:line="240" w:lineRule="auto"/>
              <w:ind w:firstLine="0" w:firstLineChars="0"/>
              <w:jc w:val="center"/>
              <w:rPr>
                <w:color w:val="auto"/>
                <w:sz w:val="18"/>
                <w:szCs w:val="18"/>
              </w:rPr>
            </w:pPr>
            <w:r>
              <w:rPr>
                <w:rFonts w:hint="eastAsia"/>
                <w:color w:val="auto"/>
                <w:sz w:val="18"/>
                <w:szCs w:val="18"/>
              </w:rPr>
              <w:t>评价等级</w:t>
            </w:r>
          </w:p>
        </w:tc>
        <w:tc>
          <w:tcPr>
            <w:tcW w:w="2398" w:type="dxa"/>
            <w:gridSpan w:val="6"/>
            <w:vAlign w:val="center"/>
          </w:tcPr>
          <w:p w14:paraId="2CAC1EA6">
            <w:pPr>
              <w:spacing w:line="240" w:lineRule="auto"/>
              <w:ind w:firstLine="0" w:firstLineChars="0"/>
              <w:jc w:val="center"/>
              <w:rPr>
                <w:color w:val="auto"/>
                <w:sz w:val="18"/>
                <w:szCs w:val="18"/>
              </w:rPr>
            </w:pPr>
            <w:r>
              <w:rPr>
                <w:rFonts w:hint="eastAsia"/>
                <w:color w:val="auto"/>
                <w:sz w:val="18"/>
                <w:szCs w:val="18"/>
              </w:rPr>
              <w:t>一级</w:t>
            </w:r>
            <w:r>
              <w:rPr>
                <w:rFonts w:hint="eastAsia"/>
                <w:color w:val="auto"/>
                <w:sz w:val="18"/>
                <w:szCs w:val="18"/>
              </w:rPr>
              <w:sym w:font="Wingdings 2" w:char="00A3"/>
            </w:r>
          </w:p>
        </w:tc>
        <w:tc>
          <w:tcPr>
            <w:tcW w:w="2744" w:type="dxa"/>
            <w:gridSpan w:val="11"/>
            <w:vAlign w:val="center"/>
          </w:tcPr>
          <w:p w14:paraId="674432EC">
            <w:pPr>
              <w:spacing w:line="240" w:lineRule="auto"/>
              <w:ind w:firstLine="0" w:firstLineChars="0"/>
              <w:jc w:val="center"/>
              <w:rPr>
                <w:color w:val="auto"/>
                <w:sz w:val="18"/>
                <w:szCs w:val="18"/>
              </w:rPr>
            </w:pPr>
            <w:r>
              <w:rPr>
                <w:rFonts w:hint="eastAsia"/>
                <w:color w:val="auto"/>
                <w:sz w:val="18"/>
                <w:szCs w:val="18"/>
              </w:rPr>
              <w:t>二级</w:t>
            </w:r>
            <w:r>
              <w:rPr>
                <w:rFonts w:hint="eastAsia"/>
                <w:color w:val="auto"/>
                <w:sz w:val="18"/>
                <w:szCs w:val="18"/>
              </w:rPr>
              <w:sym w:font="Wingdings 2" w:char="0052"/>
            </w:r>
          </w:p>
        </w:tc>
        <w:tc>
          <w:tcPr>
            <w:tcW w:w="1638" w:type="dxa"/>
            <w:gridSpan w:val="3"/>
            <w:vAlign w:val="center"/>
          </w:tcPr>
          <w:p w14:paraId="1FA6A57D">
            <w:pPr>
              <w:spacing w:line="240" w:lineRule="auto"/>
              <w:ind w:firstLine="0" w:firstLineChars="0"/>
              <w:jc w:val="center"/>
              <w:rPr>
                <w:color w:val="auto"/>
                <w:sz w:val="18"/>
                <w:szCs w:val="18"/>
              </w:rPr>
            </w:pPr>
            <w:r>
              <w:rPr>
                <w:rFonts w:hint="eastAsia"/>
                <w:color w:val="auto"/>
                <w:sz w:val="18"/>
                <w:szCs w:val="18"/>
              </w:rPr>
              <w:t>三级</w:t>
            </w:r>
            <w:r>
              <w:rPr>
                <w:rFonts w:hint="eastAsia" w:ascii="MS Mincho" w:hAnsi="MS Mincho" w:cs="MS Mincho"/>
                <w:color w:val="auto"/>
                <w:sz w:val="18"/>
                <w:szCs w:val="18"/>
              </w:rPr>
              <w:t>□</w:t>
            </w:r>
          </w:p>
        </w:tc>
      </w:tr>
      <w:tr w14:paraId="434D1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406423C7">
            <w:pPr>
              <w:spacing w:line="240" w:lineRule="auto"/>
              <w:ind w:firstLine="0" w:firstLineChars="0"/>
              <w:jc w:val="center"/>
              <w:rPr>
                <w:color w:val="auto"/>
                <w:sz w:val="18"/>
                <w:szCs w:val="18"/>
              </w:rPr>
            </w:pPr>
          </w:p>
        </w:tc>
        <w:tc>
          <w:tcPr>
            <w:tcW w:w="1723" w:type="dxa"/>
            <w:vAlign w:val="center"/>
          </w:tcPr>
          <w:p w14:paraId="08A628EA">
            <w:pPr>
              <w:spacing w:line="240" w:lineRule="auto"/>
              <w:ind w:firstLine="0" w:firstLineChars="0"/>
              <w:jc w:val="center"/>
              <w:rPr>
                <w:color w:val="auto"/>
                <w:sz w:val="18"/>
                <w:szCs w:val="18"/>
              </w:rPr>
            </w:pPr>
            <w:r>
              <w:rPr>
                <w:rFonts w:hint="eastAsia"/>
                <w:color w:val="auto"/>
                <w:sz w:val="18"/>
                <w:szCs w:val="18"/>
              </w:rPr>
              <w:t>评价范围</w:t>
            </w:r>
          </w:p>
        </w:tc>
        <w:tc>
          <w:tcPr>
            <w:tcW w:w="2398" w:type="dxa"/>
            <w:gridSpan w:val="6"/>
            <w:vAlign w:val="center"/>
          </w:tcPr>
          <w:p w14:paraId="03DADA6C">
            <w:pPr>
              <w:spacing w:line="240" w:lineRule="auto"/>
              <w:ind w:firstLine="0" w:firstLineChars="0"/>
              <w:jc w:val="center"/>
              <w:rPr>
                <w:color w:val="auto"/>
                <w:sz w:val="18"/>
                <w:szCs w:val="18"/>
              </w:rPr>
            </w:pPr>
            <w:r>
              <w:rPr>
                <w:rFonts w:hint="eastAsia"/>
                <w:color w:val="auto"/>
                <w:sz w:val="18"/>
                <w:szCs w:val="18"/>
              </w:rPr>
              <w:t>边长=50km</w:t>
            </w:r>
          </w:p>
        </w:tc>
        <w:tc>
          <w:tcPr>
            <w:tcW w:w="2744" w:type="dxa"/>
            <w:gridSpan w:val="11"/>
            <w:vAlign w:val="center"/>
          </w:tcPr>
          <w:p w14:paraId="7D0FF62A">
            <w:pPr>
              <w:spacing w:line="240" w:lineRule="auto"/>
              <w:ind w:firstLine="0" w:firstLineChars="0"/>
              <w:jc w:val="center"/>
              <w:rPr>
                <w:color w:val="auto"/>
                <w:sz w:val="18"/>
                <w:szCs w:val="18"/>
              </w:rPr>
            </w:pPr>
            <w:r>
              <w:rPr>
                <w:rFonts w:hint="eastAsia"/>
                <w:color w:val="auto"/>
                <w:sz w:val="18"/>
                <w:szCs w:val="18"/>
              </w:rPr>
              <w:t>边长5~50km</w:t>
            </w:r>
            <w:r>
              <w:rPr>
                <w:rFonts w:hint="eastAsia" w:ascii="MS Mincho" w:hAnsi="MS Mincho" w:cs="MS Mincho"/>
                <w:color w:val="auto"/>
                <w:sz w:val="18"/>
                <w:szCs w:val="18"/>
              </w:rPr>
              <w:sym w:font="Wingdings 2" w:char="00A3"/>
            </w:r>
          </w:p>
        </w:tc>
        <w:tc>
          <w:tcPr>
            <w:tcW w:w="1638" w:type="dxa"/>
            <w:gridSpan w:val="3"/>
            <w:vAlign w:val="center"/>
          </w:tcPr>
          <w:p w14:paraId="22FF8AE4">
            <w:pPr>
              <w:spacing w:line="240" w:lineRule="auto"/>
              <w:ind w:firstLine="0" w:firstLineChars="0"/>
              <w:jc w:val="center"/>
              <w:rPr>
                <w:color w:val="auto"/>
                <w:sz w:val="18"/>
                <w:szCs w:val="18"/>
              </w:rPr>
            </w:pPr>
            <w:r>
              <w:rPr>
                <w:rFonts w:hint="eastAsia"/>
                <w:color w:val="auto"/>
                <w:sz w:val="18"/>
                <w:szCs w:val="18"/>
              </w:rPr>
              <w:t>边长=5km</w:t>
            </w:r>
            <w:r>
              <w:rPr>
                <w:rFonts w:hint="eastAsia"/>
                <w:color w:val="auto"/>
                <w:sz w:val="18"/>
                <w:szCs w:val="18"/>
              </w:rPr>
              <w:fldChar w:fldCharType="begin"/>
            </w:r>
            <w:r>
              <w:rPr>
                <w:rFonts w:hint="eastAsia"/>
                <w:color w:val="auto"/>
                <w:sz w:val="18"/>
                <w:szCs w:val="18"/>
              </w:rPr>
              <w:instrText xml:space="preserve"> eq \o\ac(□,</w:instrText>
            </w:r>
            <w:r>
              <w:rPr>
                <w:rFonts w:hint="eastAsia"/>
                <w:color w:val="auto"/>
                <w:position w:val="2"/>
                <w:sz w:val="12"/>
                <w:szCs w:val="18"/>
              </w:rPr>
              <w:instrText xml:space="preserve">√</w:instrText>
            </w:r>
            <w:r>
              <w:rPr>
                <w:rFonts w:hint="eastAsia"/>
                <w:color w:val="auto"/>
                <w:sz w:val="18"/>
                <w:szCs w:val="18"/>
              </w:rPr>
              <w:instrText xml:space="preserve">)</w:instrText>
            </w:r>
            <w:r>
              <w:rPr>
                <w:rFonts w:hint="eastAsia"/>
                <w:color w:val="auto"/>
                <w:sz w:val="18"/>
                <w:szCs w:val="18"/>
              </w:rPr>
              <w:fldChar w:fldCharType="end"/>
            </w:r>
          </w:p>
        </w:tc>
      </w:tr>
      <w:tr w14:paraId="26EDF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Align w:val="center"/>
          </w:tcPr>
          <w:p w14:paraId="47203C2C">
            <w:pPr>
              <w:spacing w:line="240" w:lineRule="auto"/>
              <w:ind w:firstLine="0" w:firstLineChars="0"/>
              <w:jc w:val="center"/>
              <w:rPr>
                <w:color w:val="auto"/>
                <w:sz w:val="18"/>
                <w:szCs w:val="18"/>
              </w:rPr>
            </w:pPr>
            <w:r>
              <w:rPr>
                <w:rFonts w:hint="eastAsia"/>
                <w:color w:val="auto"/>
                <w:sz w:val="18"/>
                <w:szCs w:val="18"/>
              </w:rPr>
              <w:t>评价因子</w:t>
            </w:r>
          </w:p>
        </w:tc>
        <w:tc>
          <w:tcPr>
            <w:tcW w:w="1723" w:type="dxa"/>
            <w:vAlign w:val="center"/>
          </w:tcPr>
          <w:p w14:paraId="400BAECB">
            <w:pPr>
              <w:spacing w:line="240" w:lineRule="auto"/>
              <w:ind w:firstLine="0" w:firstLineChars="0"/>
              <w:jc w:val="center"/>
              <w:rPr>
                <w:color w:val="auto"/>
                <w:sz w:val="18"/>
                <w:szCs w:val="18"/>
              </w:rPr>
            </w:pPr>
            <w:r>
              <w:rPr>
                <w:rFonts w:hint="eastAsia"/>
                <w:color w:val="auto"/>
                <w:sz w:val="18"/>
                <w:szCs w:val="18"/>
              </w:rPr>
              <w:t>SO</w:t>
            </w:r>
            <w:r>
              <w:rPr>
                <w:rFonts w:hint="eastAsia"/>
                <w:color w:val="auto"/>
                <w:sz w:val="18"/>
                <w:szCs w:val="18"/>
                <w:vertAlign w:val="subscript"/>
              </w:rPr>
              <w:t>2</w:t>
            </w:r>
            <w:r>
              <w:rPr>
                <w:rFonts w:hint="eastAsia"/>
                <w:color w:val="auto"/>
                <w:sz w:val="18"/>
                <w:szCs w:val="18"/>
              </w:rPr>
              <w:t>+NO</w:t>
            </w:r>
            <w:r>
              <w:rPr>
                <w:rFonts w:hint="eastAsia"/>
                <w:color w:val="auto"/>
                <w:sz w:val="18"/>
                <w:szCs w:val="18"/>
                <w:vertAlign w:val="subscript"/>
              </w:rPr>
              <w:t>X</w:t>
            </w:r>
            <w:r>
              <w:rPr>
                <w:rFonts w:hint="eastAsia"/>
                <w:color w:val="auto"/>
                <w:sz w:val="18"/>
                <w:szCs w:val="18"/>
              </w:rPr>
              <w:t>排放量</w:t>
            </w:r>
          </w:p>
        </w:tc>
        <w:tc>
          <w:tcPr>
            <w:tcW w:w="1695" w:type="dxa"/>
            <w:gridSpan w:val="4"/>
            <w:vAlign w:val="center"/>
          </w:tcPr>
          <w:p w14:paraId="2B0DBAF0">
            <w:pPr>
              <w:spacing w:line="240" w:lineRule="auto"/>
              <w:ind w:firstLine="0" w:firstLineChars="0"/>
              <w:jc w:val="center"/>
              <w:rPr>
                <w:color w:val="auto"/>
                <w:sz w:val="18"/>
                <w:szCs w:val="18"/>
              </w:rPr>
            </w:pPr>
            <w:r>
              <w:rPr>
                <w:rFonts w:hint="eastAsia"/>
                <w:color w:val="auto"/>
                <w:sz w:val="18"/>
                <w:szCs w:val="18"/>
              </w:rPr>
              <w:t>≥20000t/a□</w:t>
            </w:r>
          </w:p>
        </w:tc>
        <w:tc>
          <w:tcPr>
            <w:tcW w:w="1762" w:type="dxa"/>
            <w:gridSpan w:val="7"/>
            <w:vAlign w:val="center"/>
          </w:tcPr>
          <w:p w14:paraId="0542734E">
            <w:pPr>
              <w:spacing w:line="240" w:lineRule="auto"/>
              <w:ind w:firstLine="0" w:firstLineChars="0"/>
              <w:jc w:val="center"/>
              <w:rPr>
                <w:color w:val="auto"/>
                <w:sz w:val="18"/>
                <w:szCs w:val="18"/>
              </w:rPr>
            </w:pPr>
            <w:r>
              <w:rPr>
                <w:rFonts w:hint="eastAsia"/>
                <w:color w:val="auto"/>
                <w:sz w:val="18"/>
                <w:szCs w:val="18"/>
              </w:rPr>
              <w:t>500~2000t/a□</w:t>
            </w:r>
          </w:p>
        </w:tc>
        <w:tc>
          <w:tcPr>
            <w:tcW w:w="3323" w:type="dxa"/>
            <w:gridSpan w:val="9"/>
            <w:vAlign w:val="center"/>
          </w:tcPr>
          <w:p w14:paraId="67CE8B5F">
            <w:pPr>
              <w:spacing w:line="240" w:lineRule="auto"/>
              <w:ind w:firstLine="0" w:firstLineChars="0"/>
              <w:jc w:val="center"/>
              <w:rPr>
                <w:rFonts w:hint="eastAsia" w:eastAsia="宋体"/>
                <w:color w:val="auto"/>
                <w:sz w:val="18"/>
                <w:szCs w:val="18"/>
                <w:lang w:eastAsia="zh-CN"/>
              </w:rPr>
            </w:pPr>
            <w:r>
              <w:rPr>
                <w:rFonts w:hint="eastAsia"/>
                <w:color w:val="auto"/>
                <w:sz w:val="18"/>
                <w:szCs w:val="18"/>
              </w:rPr>
              <w:t>小于500t/a</w:t>
            </w:r>
            <w:r>
              <w:rPr>
                <w:rFonts w:hint="eastAsia" w:ascii="MS Mincho" w:hAnsi="MS Mincho" w:eastAsia="宋体" w:cs="MS Mincho"/>
                <w:color w:val="auto"/>
                <w:sz w:val="18"/>
                <w:szCs w:val="18"/>
                <w:lang w:eastAsia="zh-CN"/>
              </w:rPr>
              <w:t>□</w:t>
            </w:r>
          </w:p>
        </w:tc>
      </w:tr>
      <w:tr w14:paraId="2E965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Align w:val="center"/>
          </w:tcPr>
          <w:p w14:paraId="6D8EDB94">
            <w:pPr>
              <w:spacing w:line="240" w:lineRule="auto"/>
              <w:ind w:firstLine="0" w:firstLineChars="0"/>
              <w:jc w:val="center"/>
              <w:rPr>
                <w:color w:val="auto"/>
                <w:sz w:val="18"/>
                <w:szCs w:val="18"/>
              </w:rPr>
            </w:pPr>
            <w:r>
              <w:rPr>
                <w:rFonts w:hint="eastAsia"/>
                <w:color w:val="auto"/>
                <w:sz w:val="18"/>
                <w:szCs w:val="18"/>
              </w:rPr>
              <w:t>评价标准</w:t>
            </w:r>
          </w:p>
        </w:tc>
        <w:tc>
          <w:tcPr>
            <w:tcW w:w="1723" w:type="dxa"/>
            <w:vAlign w:val="center"/>
          </w:tcPr>
          <w:p w14:paraId="4B1AB5B3">
            <w:pPr>
              <w:spacing w:line="240" w:lineRule="auto"/>
              <w:ind w:firstLine="0" w:firstLineChars="0"/>
              <w:jc w:val="center"/>
              <w:rPr>
                <w:color w:val="auto"/>
                <w:sz w:val="18"/>
                <w:szCs w:val="18"/>
              </w:rPr>
            </w:pPr>
            <w:r>
              <w:rPr>
                <w:rFonts w:hint="eastAsia"/>
                <w:color w:val="auto"/>
                <w:sz w:val="18"/>
                <w:szCs w:val="18"/>
              </w:rPr>
              <w:t>评价标准</w:t>
            </w:r>
          </w:p>
        </w:tc>
        <w:tc>
          <w:tcPr>
            <w:tcW w:w="1695" w:type="dxa"/>
            <w:gridSpan w:val="4"/>
            <w:vAlign w:val="center"/>
          </w:tcPr>
          <w:p w14:paraId="7B9D7700">
            <w:pPr>
              <w:spacing w:line="240" w:lineRule="auto"/>
              <w:ind w:firstLine="0" w:firstLineChars="0"/>
              <w:jc w:val="center"/>
              <w:rPr>
                <w:color w:val="auto"/>
                <w:sz w:val="18"/>
                <w:szCs w:val="18"/>
              </w:rPr>
            </w:pPr>
            <w:r>
              <w:rPr>
                <w:rFonts w:hint="eastAsia"/>
                <w:color w:val="auto"/>
                <w:sz w:val="18"/>
                <w:szCs w:val="18"/>
              </w:rPr>
              <w:t>国家标准</w:t>
            </w:r>
            <w:r>
              <w:rPr>
                <w:rFonts w:hint="eastAsia" w:ascii="MS Mincho" w:hAnsi="MS Mincho" w:eastAsia="MS Mincho" w:cs="MS Mincho"/>
                <w:color w:val="auto"/>
                <w:sz w:val="18"/>
                <w:szCs w:val="18"/>
              </w:rPr>
              <w:t>☑</w:t>
            </w:r>
          </w:p>
        </w:tc>
        <w:tc>
          <w:tcPr>
            <w:tcW w:w="1762" w:type="dxa"/>
            <w:gridSpan w:val="7"/>
            <w:vAlign w:val="center"/>
          </w:tcPr>
          <w:p w14:paraId="108BB552">
            <w:pPr>
              <w:spacing w:line="240" w:lineRule="auto"/>
              <w:ind w:firstLine="0" w:firstLineChars="0"/>
              <w:jc w:val="center"/>
              <w:rPr>
                <w:color w:val="auto"/>
                <w:sz w:val="18"/>
                <w:szCs w:val="18"/>
              </w:rPr>
            </w:pPr>
            <w:r>
              <w:rPr>
                <w:rFonts w:hint="eastAsia"/>
                <w:color w:val="auto"/>
                <w:sz w:val="18"/>
                <w:szCs w:val="18"/>
              </w:rPr>
              <w:t>地方标准□</w:t>
            </w:r>
          </w:p>
        </w:tc>
        <w:tc>
          <w:tcPr>
            <w:tcW w:w="1354" w:type="dxa"/>
            <w:gridSpan w:val="4"/>
            <w:vAlign w:val="center"/>
          </w:tcPr>
          <w:p w14:paraId="13AE14AC">
            <w:pPr>
              <w:spacing w:line="240" w:lineRule="auto"/>
              <w:ind w:firstLine="0" w:firstLineChars="0"/>
              <w:jc w:val="center"/>
              <w:rPr>
                <w:color w:val="auto"/>
                <w:sz w:val="18"/>
                <w:szCs w:val="18"/>
              </w:rPr>
            </w:pPr>
            <w:r>
              <w:rPr>
                <w:rFonts w:hint="eastAsia"/>
                <w:color w:val="auto"/>
                <w:sz w:val="18"/>
                <w:szCs w:val="18"/>
              </w:rPr>
              <w:t>附录D</w:t>
            </w:r>
            <w:r>
              <w:rPr>
                <w:rFonts w:hint="eastAsia" w:ascii="MS Mincho" w:hAnsi="MS Mincho" w:eastAsia="MS Mincho" w:cs="MS Mincho"/>
                <w:color w:val="auto"/>
                <w:sz w:val="18"/>
                <w:szCs w:val="18"/>
              </w:rPr>
              <w:t>☑</w:t>
            </w:r>
          </w:p>
        </w:tc>
        <w:tc>
          <w:tcPr>
            <w:tcW w:w="1969" w:type="dxa"/>
            <w:gridSpan w:val="5"/>
            <w:vAlign w:val="center"/>
          </w:tcPr>
          <w:p w14:paraId="1EAA2BF2">
            <w:pPr>
              <w:spacing w:line="240" w:lineRule="auto"/>
              <w:ind w:firstLine="0" w:firstLineChars="0"/>
              <w:jc w:val="center"/>
              <w:rPr>
                <w:color w:val="auto"/>
                <w:sz w:val="18"/>
                <w:szCs w:val="18"/>
              </w:rPr>
            </w:pPr>
            <w:r>
              <w:rPr>
                <w:rFonts w:hint="eastAsia"/>
                <w:color w:val="auto"/>
                <w:sz w:val="18"/>
                <w:szCs w:val="18"/>
              </w:rPr>
              <w:t>其他标准</w:t>
            </w:r>
            <w:r>
              <w:rPr>
                <w:rFonts w:hint="eastAsia"/>
                <w:color w:val="auto"/>
                <w:sz w:val="18"/>
                <w:szCs w:val="18"/>
              </w:rPr>
              <w:sym w:font="Wingdings 2" w:char="0052"/>
            </w:r>
          </w:p>
        </w:tc>
      </w:tr>
      <w:tr w14:paraId="0A3D8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0BF02684">
            <w:pPr>
              <w:spacing w:line="240" w:lineRule="auto"/>
              <w:ind w:firstLine="0" w:firstLineChars="0"/>
              <w:jc w:val="center"/>
              <w:rPr>
                <w:color w:val="auto"/>
                <w:sz w:val="18"/>
                <w:szCs w:val="18"/>
              </w:rPr>
            </w:pPr>
            <w:r>
              <w:rPr>
                <w:rFonts w:hint="eastAsia"/>
                <w:color w:val="auto"/>
                <w:sz w:val="18"/>
                <w:szCs w:val="18"/>
              </w:rPr>
              <w:t>现状评价</w:t>
            </w:r>
          </w:p>
        </w:tc>
        <w:tc>
          <w:tcPr>
            <w:tcW w:w="1723" w:type="dxa"/>
            <w:vAlign w:val="center"/>
          </w:tcPr>
          <w:p w14:paraId="2776BF5B">
            <w:pPr>
              <w:spacing w:line="240" w:lineRule="auto"/>
              <w:ind w:firstLine="0" w:firstLineChars="0"/>
              <w:jc w:val="center"/>
              <w:rPr>
                <w:color w:val="auto"/>
                <w:sz w:val="18"/>
                <w:szCs w:val="18"/>
              </w:rPr>
            </w:pPr>
            <w:r>
              <w:rPr>
                <w:rFonts w:hint="eastAsia"/>
                <w:color w:val="auto"/>
                <w:sz w:val="18"/>
                <w:szCs w:val="18"/>
              </w:rPr>
              <w:t>环境功能区</w:t>
            </w:r>
          </w:p>
        </w:tc>
        <w:tc>
          <w:tcPr>
            <w:tcW w:w="1695" w:type="dxa"/>
            <w:gridSpan w:val="4"/>
            <w:vAlign w:val="center"/>
          </w:tcPr>
          <w:p w14:paraId="7FDE56CD">
            <w:pPr>
              <w:spacing w:line="240" w:lineRule="auto"/>
              <w:ind w:firstLine="0" w:firstLineChars="0"/>
              <w:jc w:val="center"/>
              <w:rPr>
                <w:color w:val="auto"/>
                <w:sz w:val="18"/>
                <w:szCs w:val="18"/>
              </w:rPr>
            </w:pPr>
            <w:r>
              <w:rPr>
                <w:rFonts w:hint="eastAsia"/>
                <w:color w:val="auto"/>
                <w:sz w:val="18"/>
                <w:szCs w:val="18"/>
              </w:rPr>
              <w:t>一类区□</w:t>
            </w:r>
          </w:p>
        </w:tc>
        <w:tc>
          <w:tcPr>
            <w:tcW w:w="1762" w:type="dxa"/>
            <w:gridSpan w:val="7"/>
            <w:vAlign w:val="center"/>
          </w:tcPr>
          <w:p w14:paraId="56299FF4">
            <w:pPr>
              <w:spacing w:line="240" w:lineRule="auto"/>
              <w:ind w:firstLine="0" w:firstLineChars="0"/>
              <w:jc w:val="center"/>
              <w:rPr>
                <w:color w:val="auto"/>
                <w:sz w:val="18"/>
                <w:szCs w:val="18"/>
              </w:rPr>
            </w:pPr>
            <w:r>
              <w:rPr>
                <w:rFonts w:hint="eastAsia"/>
                <w:color w:val="auto"/>
                <w:sz w:val="18"/>
                <w:szCs w:val="18"/>
              </w:rPr>
              <w:t>二类区</w:t>
            </w:r>
            <w:r>
              <w:rPr>
                <w:rFonts w:hint="eastAsia" w:ascii="MS Mincho" w:hAnsi="MS Mincho" w:eastAsia="MS Mincho" w:cs="MS Mincho"/>
                <w:color w:val="auto"/>
                <w:sz w:val="18"/>
                <w:szCs w:val="18"/>
              </w:rPr>
              <w:t>☑</w:t>
            </w:r>
          </w:p>
        </w:tc>
        <w:tc>
          <w:tcPr>
            <w:tcW w:w="3323" w:type="dxa"/>
            <w:gridSpan w:val="9"/>
            <w:vAlign w:val="center"/>
          </w:tcPr>
          <w:p w14:paraId="2A280CE2">
            <w:pPr>
              <w:spacing w:line="240" w:lineRule="auto"/>
              <w:ind w:firstLine="0" w:firstLineChars="0"/>
              <w:jc w:val="center"/>
              <w:rPr>
                <w:color w:val="auto"/>
                <w:sz w:val="18"/>
                <w:szCs w:val="18"/>
              </w:rPr>
            </w:pPr>
            <w:r>
              <w:rPr>
                <w:rFonts w:hint="eastAsia"/>
                <w:color w:val="auto"/>
                <w:sz w:val="18"/>
                <w:szCs w:val="18"/>
              </w:rPr>
              <w:t>一类区和二类区□</w:t>
            </w:r>
          </w:p>
        </w:tc>
      </w:tr>
      <w:tr w14:paraId="77188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6B620C84">
            <w:pPr>
              <w:spacing w:line="240" w:lineRule="auto"/>
              <w:ind w:firstLine="0" w:firstLineChars="0"/>
              <w:jc w:val="center"/>
              <w:rPr>
                <w:color w:val="auto"/>
                <w:sz w:val="18"/>
                <w:szCs w:val="18"/>
              </w:rPr>
            </w:pPr>
          </w:p>
        </w:tc>
        <w:tc>
          <w:tcPr>
            <w:tcW w:w="1723" w:type="dxa"/>
            <w:vAlign w:val="center"/>
          </w:tcPr>
          <w:p w14:paraId="1B7FD216">
            <w:pPr>
              <w:spacing w:line="240" w:lineRule="auto"/>
              <w:ind w:firstLine="0" w:firstLineChars="0"/>
              <w:jc w:val="center"/>
              <w:rPr>
                <w:color w:val="auto"/>
                <w:sz w:val="18"/>
                <w:szCs w:val="18"/>
              </w:rPr>
            </w:pPr>
            <w:r>
              <w:rPr>
                <w:rFonts w:hint="eastAsia"/>
                <w:color w:val="auto"/>
                <w:sz w:val="18"/>
                <w:szCs w:val="18"/>
              </w:rPr>
              <w:t>评价基准年</w:t>
            </w:r>
          </w:p>
        </w:tc>
        <w:tc>
          <w:tcPr>
            <w:tcW w:w="6780" w:type="dxa"/>
            <w:gridSpan w:val="20"/>
            <w:vAlign w:val="center"/>
          </w:tcPr>
          <w:p w14:paraId="140701D2">
            <w:pPr>
              <w:spacing w:line="240" w:lineRule="auto"/>
              <w:ind w:firstLine="0" w:firstLineChars="0"/>
              <w:jc w:val="center"/>
              <w:rPr>
                <w:color w:val="auto"/>
                <w:sz w:val="18"/>
                <w:szCs w:val="18"/>
              </w:rPr>
            </w:pPr>
            <w:r>
              <w:rPr>
                <w:rFonts w:hint="eastAsia"/>
                <w:color w:val="auto"/>
                <w:sz w:val="18"/>
                <w:szCs w:val="18"/>
              </w:rPr>
              <w:t>（</w:t>
            </w:r>
            <w:r>
              <w:rPr>
                <w:rFonts w:hint="eastAsia"/>
                <w:color w:val="auto"/>
                <w:sz w:val="18"/>
                <w:szCs w:val="18"/>
                <w:lang w:eastAsia="zh-CN"/>
              </w:rPr>
              <w:t>202</w:t>
            </w:r>
            <w:r>
              <w:rPr>
                <w:rFonts w:hint="eastAsia"/>
                <w:color w:val="auto"/>
                <w:sz w:val="18"/>
                <w:szCs w:val="18"/>
                <w:lang w:val="en-US" w:eastAsia="zh-CN"/>
              </w:rPr>
              <w:t>4</w:t>
            </w:r>
            <w:r>
              <w:rPr>
                <w:rFonts w:hint="eastAsia"/>
                <w:color w:val="auto"/>
                <w:sz w:val="18"/>
                <w:szCs w:val="18"/>
              </w:rPr>
              <w:t>）年</w:t>
            </w:r>
          </w:p>
        </w:tc>
      </w:tr>
      <w:tr w14:paraId="0FDFB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3BE61EE">
            <w:pPr>
              <w:spacing w:line="240" w:lineRule="auto"/>
              <w:ind w:firstLine="0" w:firstLineChars="0"/>
              <w:jc w:val="center"/>
              <w:rPr>
                <w:color w:val="auto"/>
                <w:sz w:val="18"/>
                <w:szCs w:val="18"/>
              </w:rPr>
            </w:pPr>
          </w:p>
        </w:tc>
        <w:tc>
          <w:tcPr>
            <w:tcW w:w="1723" w:type="dxa"/>
            <w:vAlign w:val="center"/>
          </w:tcPr>
          <w:p w14:paraId="5DAE8595">
            <w:pPr>
              <w:spacing w:line="240" w:lineRule="auto"/>
              <w:ind w:firstLine="0" w:firstLineChars="0"/>
              <w:jc w:val="center"/>
              <w:rPr>
                <w:color w:val="auto"/>
                <w:sz w:val="18"/>
                <w:szCs w:val="18"/>
              </w:rPr>
            </w:pPr>
            <w:r>
              <w:rPr>
                <w:rFonts w:hint="eastAsia"/>
                <w:color w:val="auto"/>
                <w:sz w:val="18"/>
                <w:szCs w:val="18"/>
              </w:rPr>
              <w:t>环境空气质量现状调查数据来源</w:t>
            </w:r>
          </w:p>
        </w:tc>
        <w:tc>
          <w:tcPr>
            <w:tcW w:w="3205" w:type="dxa"/>
            <w:gridSpan w:val="9"/>
            <w:vAlign w:val="center"/>
          </w:tcPr>
          <w:p w14:paraId="78D228A6">
            <w:pPr>
              <w:spacing w:line="240" w:lineRule="auto"/>
              <w:ind w:firstLine="0" w:firstLineChars="0"/>
              <w:jc w:val="center"/>
              <w:rPr>
                <w:color w:val="auto"/>
                <w:sz w:val="18"/>
                <w:szCs w:val="18"/>
              </w:rPr>
            </w:pPr>
            <w:r>
              <w:rPr>
                <w:rFonts w:hint="eastAsia"/>
                <w:color w:val="auto"/>
                <w:sz w:val="18"/>
                <w:szCs w:val="18"/>
              </w:rPr>
              <w:t>长期例行监测数据□</w:t>
            </w:r>
          </w:p>
        </w:tc>
        <w:tc>
          <w:tcPr>
            <w:tcW w:w="1937" w:type="dxa"/>
            <w:gridSpan w:val="8"/>
            <w:vAlign w:val="center"/>
          </w:tcPr>
          <w:p w14:paraId="1C6A5469">
            <w:pPr>
              <w:spacing w:line="240" w:lineRule="auto"/>
              <w:ind w:firstLine="0" w:firstLineChars="0"/>
              <w:jc w:val="center"/>
              <w:rPr>
                <w:color w:val="auto"/>
                <w:sz w:val="18"/>
                <w:szCs w:val="18"/>
              </w:rPr>
            </w:pPr>
            <w:r>
              <w:rPr>
                <w:rFonts w:hint="eastAsia"/>
                <w:color w:val="auto"/>
                <w:sz w:val="18"/>
                <w:szCs w:val="18"/>
              </w:rPr>
              <w:t>主管部门发布的数据</w:t>
            </w:r>
            <w:r>
              <w:rPr>
                <w:rFonts w:hint="eastAsia" w:ascii="MS Mincho" w:hAnsi="MS Mincho" w:eastAsia="MS Mincho" w:cs="MS Mincho"/>
                <w:color w:val="auto"/>
                <w:sz w:val="18"/>
                <w:szCs w:val="18"/>
              </w:rPr>
              <w:t>☑</w:t>
            </w:r>
          </w:p>
        </w:tc>
        <w:tc>
          <w:tcPr>
            <w:tcW w:w="1638" w:type="dxa"/>
            <w:gridSpan w:val="3"/>
            <w:vAlign w:val="center"/>
          </w:tcPr>
          <w:p w14:paraId="43CC0724">
            <w:pPr>
              <w:spacing w:line="240" w:lineRule="auto"/>
              <w:ind w:firstLine="0" w:firstLineChars="0"/>
              <w:jc w:val="center"/>
              <w:rPr>
                <w:color w:val="auto"/>
                <w:sz w:val="18"/>
                <w:szCs w:val="18"/>
              </w:rPr>
            </w:pPr>
            <w:r>
              <w:rPr>
                <w:rFonts w:hint="eastAsia"/>
                <w:color w:val="auto"/>
                <w:sz w:val="18"/>
                <w:szCs w:val="18"/>
              </w:rPr>
              <w:t>现状补充监测</w:t>
            </w:r>
            <w:r>
              <w:rPr>
                <w:rFonts w:hint="eastAsia"/>
                <w:color w:val="auto"/>
                <w:sz w:val="18"/>
                <w:szCs w:val="18"/>
              </w:rPr>
              <w:sym w:font="Wingdings 2" w:char="0052"/>
            </w:r>
          </w:p>
        </w:tc>
      </w:tr>
      <w:tr w14:paraId="35BAB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50625F85">
            <w:pPr>
              <w:spacing w:line="240" w:lineRule="auto"/>
              <w:ind w:firstLine="0" w:firstLineChars="0"/>
              <w:jc w:val="center"/>
              <w:rPr>
                <w:color w:val="auto"/>
                <w:sz w:val="18"/>
                <w:szCs w:val="18"/>
              </w:rPr>
            </w:pPr>
          </w:p>
        </w:tc>
        <w:tc>
          <w:tcPr>
            <w:tcW w:w="1723" w:type="dxa"/>
            <w:vAlign w:val="center"/>
          </w:tcPr>
          <w:p w14:paraId="552EADB1">
            <w:pPr>
              <w:spacing w:line="240" w:lineRule="auto"/>
              <w:ind w:firstLine="0" w:firstLineChars="0"/>
              <w:jc w:val="center"/>
              <w:rPr>
                <w:color w:val="auto"/>
                <w:sz w:val="18"/>
                <w:szCs w:val="18"/>
              </w:rPr>
            </w:pPr>
            <w:r>
              <w:rPr>
                <w:rFonts w:hint="eastAsia"/>
                <w:color w:val="auto"/>
                <w:sz w:val="18"/>
                <w:szCs w:val="18"/>
              </w:rPr>
              <w:t>现状评价</w:t>
            </w:r>
          </w:p>
        </w:tc>
        <w:tc>
          <w:tcPr>
            <w:tcW w:w="3205" w:type="dxa"/>
            <w:gridSpan w:val="9"/>
            <w:vAlign w:val="center"/>
          </w:tcPr>
          <w:p w14:paraId="5BBF610F">
            <w:pPr>
              <w:spacing w:line="240" w:lineRule="auto"/>
              <w:ind w:firstLine="0" w:firstLineChars="0"/>
              <w:jc w:val="center"/>
              <w:rPr>
                <w:color w:val="auto"/>
                <w:sz w:val="18"/>
                <w:szCs w:val="18"/>
              </w:rPr>
            </w:pPr>
            <w:r>
              <w:rPr>
                <w:rFonts w:hint="eastAsia"/>
                <w:color w:val="auto"/>
                <w:sz w:val="18"/>
                <w:szCs w:val="18"/>
              </w:rPr>
              <w:t>达标区</w:t>
            </w:r>
            <w:r>
              <w:rPr>
                <w:rFonts w:hint="eastAsia" w:ascii="MS Mincho" w:hAnsi="MS Mincho" w:cs="MS Mincho"/>
                <w:color w:val="auto"/>
                <w:sz w:val="18"/>
                <w:szCs w:val="18"/>
              </w:rPr>
              <w:t>□</w:t>
            </w:r>
          </w:p>
        </w:tc>
        <w:tc>
          <w:tcPr>
            <w:tcW w:w="3575" w:type="dxa"/>
            <w:gridSpan w:val="11"/>
            <w:vAlign w:val="center"/>
          </w:tcPr>
          <w:p w14:paraId="6727F2F9">
            <w:pPr>
              <w:spacing w:line="240" w:lineRule="auto"/>
              <w:ind w:firstLine="0" w:firstLineChars="0"/>
              <w:jc w:val="center"/>
              <w:rPr>
                <w:color w:val="auto"/>
                <w:sz w:val="18"/>
                <w:szCs w:val="18"/>
              </w:rPr>
            </w:pPr>
            <w:r>
              <w:rPr>
                <w:rFonts w:hint="eastAsia"/>
                <w:color w:val="auto"/>
                <w:sz w:val="18"/>
                <w:szCs w:val="18"/>
              </w:rPr>
              <w:t>不达标区</w:t>
            </w:r>
            <w:r>
              <w:rPr>
                <w:rFonts w:hint="eastAsia"/>
                <w:color w:val="auto"/>
                <w:sz w:val="18"/>
                <w:szCs w:val="18"/>
              </w:rPr>
              <w:sym w:font="Wingdings 2" w:char="0052"/>
            </w:r>
          </w:p>
        </w:tc>
      </w:tr>
      <w:tr w14:paraId="2060B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Align w:val="center"/>
          </w:tcPr>
          <w:p w14:paraId="085C6F37">
            <w:pPr>
              <w:spacing w:line="240" w:lineRule="auto"/>
              <w:ind w:firstLine="0" w:firstLineChars="0"/>
              <w:jc w:val="center"/>
              <w:rPr>
                <w:color w:val="auto"/>
                <w:sz w:val="18"/>
                <w:szCs w:val="18"/>
              </w:rPr>
            </w:pPr>
            <w:r>
              <w:rPr>
                <w:rFonts w:hint="eastAsia"/>
                <w:color w:val="auto"/>
                <w:sz w:val="18"/>
                <w:szCs w:val="18"/>
              </w:rPr>
              <w:t>污染源调查</w:t>
            </w:r>
          </w:p>
        </w:tc>
        <w:tc>
          <w:tcPr>
            <w:tcW w:w="1723" w:type="dxa"/>
            <w:vAlign w:val="center"/>
          </w:tcPr>
          <w:p w14:paraId="3E0AEF20">
            <w:pPr>
              <w:spacing w:line="240" w:lineRule="auto"/>
              <w:ind w:firstLine="0" w:firstLineChars="0"/>
              <w:jc w:val="center"/>
              <w:rPr>
                <w:color w:val="auto"/>
                <w:sz w:val="18"/>
                <w:szCs w:val="18"/>
              </w:rPr>
            </w:pPr>
            <w:r>
              <w:rPr>
                <w:rFonts w:hint="eastAsia"/>
                <w:color w:val="auto"/>
                <w:sz w:val="18"/>
                <w:szCs w:val="18"/>
              </w:rPr>
              <w:t>调查内容</w:t>
            </w:r>
          </w:p>
        </w:tc>
        <w:tc>
          <w:tcPr>
            <w:tcW w:w="2148" w:type="dxa"/>
            <w:gridSpan w:val="5"/>
            <w:vAlign w:val="center"/>
          </w:tcPr>
          <w:p w14:paraId="47BA1E31">
            <w:pPr>
              <w:spacing w:line="240" w:lineRule="auto"/>
              <w:ind w:firstLine="0" w:firstLineChars="0"/>
              <w:jc w:val="center"/>
              <w:rPr>
                <w:rFonts w:hint="eastAsia" w:eastAsia="宋体"/>
                <w:color w:val="auto"/>
                <w:sz w:val="18"/>
                <w:szCs w:val="18"/>
                <w:lang w:eastAsia="zh-CN"/>
              </w:rPr>
            </w:pPr>
            <w:r>
              <w:rPr>
                <w:rFonts w:hint="eastAsia"/>
                <w:color w:val="auto"/>
                <w:sz w:val="18"/>
                <w:szCs w:val="18"/>
              </w:rPr>
              <w:t>本项目正常排放源</w:t>
            </w:r>
            <w:r>
              <w:rPr>
                <w:rFonts w:hint="eastAsia" w:ascii="MS Mincho" w:hAnsi="MS Mincho" w:cs="MS Mincho"/>
                <w:color w:val="auto"/>
                <w:sz w:val="18"/>
                <w:szCs w:val="18"/>
                <w:lang w:eastAsia="zh-CN"/>
              </w:rPr>
              <w:t>☑</w:t>
            </w:r>
          </w:p>
          <w:p w14:paraId="3997D654">
            <w:pPr>
              <w:spacing w:line="240" w:lineRule="auto"/>
              <w:ind w:firstLine="0" w:firstLineChars="0"/>
              <w:jc w:val="center"/>
              <w:rPr>
                <w:color w:val="auto"/>
                <w:sz w:val="18"/>
                <w:szCs w:val="18"/>
              </w:rPr>
            </w:pPr>
            <w:r>
              <w:rPr>
                <w:rFonts w:hint="eastAsia"/>
                <w:color w:val="auto"/>
                <w:sz w:val="18"/>
                <w:szCs w:val="18"/>
              </w:rPr>
              <w:t>本项目非正常排放源</w:t>
            </w:r>
            <w:r>
              <w:rPr>
                <w:rFonts w:hint="eastAsia"/>
                <w:color w:val="auto"/>
                <w:sz w:val="18"/>
                <w:szCs w:val="18"/>
              </w:rPr>
              <w:sym w:font="Wingdings 2" w:char="0052"/>
            </w:r>
          </w:p>
          <w:p w14:paraId="1C7586B2">
            <w:pPr>
              <w:spacing w:line="240" w:lineRule="auto"/>
              <w:ind w:firstLine="0" w:firstLineChars="0"/>
              <w:jc w:val="center"/>
              <w:rPr>
                <w:color w:val="auto"/>
                <w:sz w:val="18"/>
                <w:szCs w:val="18"/>
              </w:rPr>
            </w:pPr>
            <w:r>
              <w:rPr>
                <w:rFonts w:hint="eastAsia"/>
                <w:color w:val="auto"/>
                <w:sz w:val="18"/>
                <w:szCs w:val="18"/>
              </w:rPr>
              <w:t>现有污染源□</w:t>
            </w:r>
          </w:p>
        </w:tc>
        <w:tc>
          <w:tcPr>
            <w:tcW w:w="1681" w:type="dxa"/>
            <w:gridSpan w:val="7"/>
            <w:vAlign w:val="center"/>
          </w:tcPr>
          <w:p w14:paraId="6BF6FCEF">
            <w:pPr>
              <w:spacing w:line="240" w:lineRule="auto"/>
              <w:ind w:firstLine="0" w:firstLineChars="0"/>
              <w:jc w:val="center"/>
              <w:rPr>
                <w:color w:val="auto"/>
                <w:sz w:val="18"/>
                <w:szCs w:val="18"/>
              </w:rPr>
            </w:pPr>
            <w:r>
              <w:rPr>
                <w:rFonts w:hint="eastAsia"/>
                <w:color w:val="auto"/>
                <w:sz w:val="18"/>
                <w:szCs w:val="18"/>
              </w:rPr>
              <w:t>拟替代的污染源</w:t>
            </w:r>
            <w:r>
              <w:rPr>
                <w:rFonts w:hint="eastAsia"/>
                <w:color w:val="auto"/>
                <w:sz w:val="18"/>
                <w:szCs w:val="18"/>
              </w:rPr>
              <w:sym w:font="Wingdings 2" w:char="00A3"/>
            </w:r>
          </w:p>
        </w:tc>
        <w:tc>
          <w:tcPr>
            <w:tcW w:w="1431" w:type="dxa"/>
            <w:gridSpan w:val="6"/>
            <w:vAlign w:val="center"/>
          </w:tcPr>
          <w:p w14:paraId="2BF25399">
            <w:pPr>
              <w:spacing w:line="240" w:lineRule="auto"/>
              <w:ind w:firstLine="0" w:firstLineChars="0"/>
              <w:jc w:val="center"/>
              <w:rPr>
                <w:color w:val="auto"/>
                <w:sz w:val="18"/>
                <w:szCs w:val="18"/>
              </w:rPr>
            </w:pPr>
            <w:r>
              <w:rPr>
                <w:rFonts w:hint="eastAsia"/>
                <w:color w:val="auto"/>
                <w:sz w:val="18"/>
                <w:szCs w:val="18"/>
              </w:rPr>
              <w:t>其他在建、建设项目污染源</w:t>
            </w:r>
            <w:r>
              <w:rPr>
                <w:rFonts w:hint="eastAsia"/>
                <w:color w:val="auto"/>
                <w:sz w:val="18"/>
                <w:szCs w:val="18"/>
              </w:rPr>
              <w:sym w:font="Wingdings 2" w:char="0052"/>
            </w:r>
          </w:p>
        </w:tc>
        <w:tc>
          <w:tcPr>
            <w:tcW w:w="1520" w:type="dxa"/>
            <w:gridSpan w:val="2"/>
            <w:vAlign w:val="center"/>
          </w:tcPr>
          <w:p w14:paraId="5C2539A0">
            <w:pPr>
              <w:spacing w:line="240" w:lineRule="auto"/>
              <w:ind w:firstLine="0" w:firstLineChars="0"/>
              <w:jc w:val="center"/>
              <w:rPr>
                <w:color w:val="auto"/>
                <w:sz w:val="18"/>
                <w:szCs w:val="18"/>
              </w:rPr>
            </w:pPr>
            <w:r>
              <w:rPr>
                <w:rFonts w:hint="eastAsia"/>
                <w:color w:val="auto"/>
                <w:sz w:val="18"/>
                <w:szCs w:val="18"/>
              </w:rPr>
              <w:t>区域污染源□</w:t>
            </w:r>
          </w:p>
        </w:tc>
      </w:tr>
      <w:tr w14:paraId="3B57F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1013486D">
            <w:pPr>
              <w:spacing w:line="240" w:lineRule="auto"/>
              <w:ind w:firstLine="0" w:firstLineChars="0"/>
              <w:jc w:val="center"/>
              <w:rPr>
                <w:color w:val="auto"/>
                <w:sz w:val="18"/>
                <w:szCs w:val="18"/>
              </w:rPr>
            </w:pPr>
            <w:r>
              <w:rPr>
                <w:rFonts w:hint="eastAsia"/>
                <w:color w:val="auto"/>
                <w:sz w:val="18"/>
                <w:szCs w:val="18"/>
              </w:rPr>
              <w:t>大气环境影响预测与评价</w:t>
            </w:r>
          </w:p>
        </w:tc>
        <w:tc>
          <w:tcPr>
            <w:tcW w:w="1723" w:type="dxa"/>
            <w:vAlign w:val="center"/>
          </w:tcPr>
          <w:p w14:paraId="48612FFA">
            <w:pPr>
              <w:spacing w:line="240" w:lineRule="auto"/>
              <w:ind w:firstLine="0" w:firstLineChars="0"/>
              <w:jc w:val="center"/>
              <w:rPr>
                <w:color w:val="auto"/>
                <w:sz w:val="18"/>
                <w:szCs w:val="18"/>
              </w:rPr>
            </w:pPr>
            <w:r>
              <w:rPr>
                <w:rFonts w:hint="eastAsia"/>
                <w:color w:val="auto"/>
                <w:sz w:val="18"/>
                <w:szCs w:val="18"/>
              </w:rPr>
              <w:t>预测模型</w:t>
            </w:r>
          </w:p>
        </w:tc>
        <w:tc>
          <w:tcPr>
            <w:tcW w:w="975" w:type="dxa"/>
            <w:vAlign w:val="center"/>
          </w:tcPr>
          <w:p w14:paraId="1ED0D3AE">
            <w:pPr>
              <w:spacing w:line="240" w:lineRule="auto"/>
              <w:ind w:firstLine="0" w:firstLineChars="0"/>
              <w:jc w:val="center"/>
              <w:rPr>
                <w:color w:val="auto"/>
                <w:sz w:val="18"/>
                <w:szCs w:val="18"/>
              </w:rPr>
            </w:pPr>
            <w:r>
              <w:rPr>
                <w:rFonts w:hint="eastAsia"/>
                <w:color w:val="auto"/>
                <w:sz w:val="18"/>
                <w:szCs w:val="18"/>
              </w:rPr>
              <w:t>AERMOD</w:t>
            </w:r>
          </w:p>
          <w:p w14:paraId="34C9F42B">
            <w:pPr>
              <w:spacing w:line="240" w:lineRule="auto"/>
              <w:ind w:firstLine="0" w:firstLineChars="0"/>
              <w:jc w:val="center"/>
              <w:rPr>
                <w:color w:val="auto"/>
                <w:sz w:val="18"/>
                <w:szCs w:val="18"/>
              </w:rPr>
            </w:pPr>
            <w:r>
              <w:rPr>
                <w:rFonts w:hint="eastAsia"/>
                <w:color w:val="auto"/>
                <w:sz w:val="18"/>
                <w:szCs w:val="18"/>
              </w:rPr>
              <w:sym w:font="Wingdings 2" w:char="00A3"/>
            </w:r>
          </w:p>
        </w:tc>
        <w:tc>
          <w:tcPr>
            <w:tcW w:w="720" w:type="dxa"/>
            <w:gridSpan w:val="3"/>
            <w:vAlign w:val="center"/>
          </w:tcPr>
          <w:p w14:paraId="4637F2D8">
            <w:pPr>
              <w:spacing w:line="240" w:lineRule="auto"/>
              <w:ind w:firstLine="0" w:firstLineChars="0"/>
              <w:jc w:val="center"/>
              <w:rPr>
                <w:color w:val="auto"/>
                <w:sz w:val="18"/>
                <w:szCs w:val="18"/>
              </w:rPr>
            </w:pPr>
            <w:r>
              <w:rPr>
                <w:rFonts w:hint="eastAsia"/>
                <w:color w:val="auto"/>
                <w:sz w:val="18"/>
                <w:szCs w:val="18"/>
              </w:rPr>
              <w:t>ADMS</w:t>
            </w:r>
          </w:p>
          <w:p w14:paraId="37368B5D">
            <w:pPr>
              <w:spacing w:line="240" w:lineRule="auto"/>
              <w:ind w:firstLine="0" w:firstLineChars="0"/>
              <w:jc w:val="center"/>
              <w:rPr>
                <w:color w:val="auto"/>
                <w:sz w:val="18"/>
                <w:szCs w:val="18"/>
              </w:rPr>
            </w:pPr>
            <w:r>
              <w:rPr>
                <w:rFonts w:hint="eastAsia"/>
                <w:color w:val="auto"/>
                <w:sz w:val="18"/>
                <w:szCs w:val="18"/>
              </w:rPr>
              <w:t>□</w:t>
            </w:r>
          </w:p>
        </w:tc>
        <w:tc>
          <w:tcPr>
            <w:tcW w:w="1244" w:type="dxa"/>
            <w:gridSpan w:val="4"/>
            <w:vAlign w:val="center"/>
          </w:tcPr>
          <w:p w14:paraId="29B9711C">
            <w:pPr>
              <w:spacing w:line="240" w:lineRule="auto"/>
              <w:ind w:firstLine="0" w:firstLineChars="0"/>
              <w:jc w:val="center"/>
              <w:rPr>
                <w:color w:val="auto"/>
                <w:sz w:val="18"/>
                <w:szCs w:val="18"/>
              </w:rPr>
            </w:pPr>
            <w:r>
              <w:rPr>
                <w:rFonts w:hint="eastAsia"/>
                <w:color w:val="auto"/>
                <w:sz w:val="18"/>
                <w:szCs w:val="18"/>
              </w:rPr>
              <w:t>AUSTAL2000</w:t>
            </w:r>
          </w:p>
          <w:p w14:paraId="2F5BF83D">
            <w:pPr>
              <w:spacing w:line="240" w:lineRule="auto"/>
              <w:ind w:firstLine="0" w:firstLineChars="0"/>
              <w:jc w:val="center"/>
              <w:rPr>
                <w:color w:val="auto"/>
                <w:sz w:val="18"/>
                <w:szCs w:val="18"/>
              </w:rPr>
            </w:pPr>
            <w:r>
              <w:rPr>
                <w:rFonts w:hint="eastAsia"/>
                <w:color w:val="auto"/>
                <w:sz w:val="18"/>
                <w:szCs w:val="18"/>
              </w:rPr>
              <w:t>□</w:t>
            </w:r>
          </w:p>
        </w:tc>
        <w:tc>
          <w:tcPr>
            <w:tcW w:w="1219" w:type="dxa"/>
            <w:gridSpan w:val="6"/>
            <w:vAlign w:val="center"/>
          </w:tcPr>
          <w:p w14:paraId="09B0B01D">
            <w:pPr>
              <w:spacing w:line="240" w:lineRule="auto"/>
              <w:ind w:firstLine="0" w:firstLineChars="0"/>
              <w:jc w:val="center"/>
              <w:rPr>
                <w:color w:val="auto"/>
                <w:sz w:val="18"/>
                <w:szCs w:val="18"/>
              </w:rPr>
            </w:pPr>
            <w:r>
              <w:rPr>
                <w:rFonts w:hint="eastAsia"/>
                <w:color w:val="auto"/>
                <w:sz w:val="18"/>
                <w:szCs w:val="18"/>
              </w:rPr>
              <w:t>EDMS/AEDT</w:t>
            </w:r>
          </w:p>
          <w:p w14:paraId="2722A8DC">
            <w:pPr>
              <w:spacing w:line="240" w:lineRule="auto"/>
              <w:ind w:firstLine="0" w:firstLineChars="0"/>
              <w:jc w:val="center"/>
              <w:rPr>
                <w:color w:val="auto"/>
                <w:sz w:val="18"/>
                <w:szCs w:val="18"/>
              </w:rPr>
            </w:pPr>
            <w:r>
              <w:rPr>
                <w:rFonts w:hint="eastAsia"/>
                <w:color w:val="auto"/>
                <w:sz w:val="18"/>
                <w:szCs w:val="18"/>
              </w:rPr>
              <w:t>□</w:t>
            </w:r>
          </w:p>
        </w:tc>
        <w:tc>
          <w:tcPr>
            <w:tcW w:w="984" w:type="dxa"/>
            <w:gridSpan w:val="3"/>
            <w:vAlign w:val="center"/>
          </w:tcPr>
          <w:p w14:paraId="5D5FF73B">
            <w:pPr>
              <w:spacing w:line="240" w:lineRule="auto"/>
              <w:ind w:firstLine="0" w:firstLineChars="0"/>
              <w:jc w:val="center"/>
              <w:rPr>
                <w:color w:val="auto"/>
                <w:sz w:val="18"/>
                <w:szCs w:val="18"/>
              </w:rPr>
            </w:pPr>
            <w:r>
              <w:rPr>
                <w:rFonts w:hint="eastAsia"/>
                <w:color w:val="auto"/>
                <w:sz w:val="18"/>
                <w:szCs w:val="18"/>
              </w:rPr>
              <w:t>CALPUFF</w:t>
            </w:r>
          </w:p>
          <w:p w14:paraId="5BB4ED17">
            <w:pPr>
              <w:spacing w:line="240" w:lineRule="auto"/>
              <w:ind w:firstLine="0" w:firstLineChars="0"/>
              <w:jc w:val="center"/>
              <w:rPr>
                <w:color w:val="auto"/>
                <w:sz w:val="18"/>
                <w:szCs w:val="18"/>
              </w:rPr>
            </w:pPr>
            <w:r>
              <w:rPr>
                <w:rFonts w:hint="eastAsia"/>
                <w:color w:val="auto"/>
                <w:sz w:val="18"/>
                <w:szCs w:val="18"/>
              </w:rPr>
              <w:t>□</w:t>
            </w:r>
          </w:p>
        </w:tc>
        <w:tc>
          <w:tcPr>
            <w:tcW w:w="824" w:type="dxa"/>
            <w:gridSpan w:val="2"/>
            <w:vAlign w:val="center"/>
          </w:tcPr>
          <w:p w14:paraId="5F1D35C3">
            <w:pPr>
              <w:spacing w:line="240" w:lineRule="auto"/>
              <w:ind w:firstLine="0" w:firstLineChars="0"/>
              <w:jc w:val="center"/>
              <w:rPr>
                <w:color w:val="auto"/>
                <w:sz w:val="18"/>
                <w:szCs w:val="18"/>
              </w:rPr>
            </w:pPr>
            <w:r>
              <w:rPr>
                <w:rFonts w:hint="eastAsia"/>
                <w:color w:val="auto"/>
                <w:sz w:val="18"/>
                <w:szCs w:val="18"/>
              </w:rPr>
              <w:t>网格模型</w:t>
            </w:r>
          </w:p>
          <w:p w14:paraId="35D544F6">
            <w:pPr>
              <w:spacing w:line="240" w:lineRule="auto"/>
              <w:ind w:firstLine="0" w:firstLineChars="0"/>
              <w:jc w:val="center"/>
              <w:rPr>
                <w:color w:val="auto"/>
                <w:sz w:val="18"/>
                <w:szCs w:val="18"/>
              </w:rPr>
            </w:pPr>
            <w:r>
              <w:rPr>
                <w:rFonts w:hint="eastAsia"/>
                <w:color w:val="auto"/>
                <w:sz w:val="18"/>
                <w:szCs w:val="18"/>
              </w:rPr>
              <w:t>□</w:t>
            </w:r>
          </w:p>
        </w:tc>
        <w:tc>
          <w:tcPr>
            <w:tcW w:w="814" w:type="dxa"/>
            <w:vAlign w:val="center"/>
          </w:tcPr>
          <w:p w14:paraId="61F6BCE0">
            <w:pPr>
              <w:spacing w:line="240" w:lineRule="auto"/>
              <w:ind w:firstLine="0" w:firstLineChars="0"/>
              <w:jc w:val="center"/>
              <w:rPr>
                <w:color w:val="auto"/>
                <w:sz w:val="18"/>
                <w:szCs w:val="18"/>
              </w:rPr>
            </w:pPr>
            <w:r>
              <w:rPr>
                <w:rFonts w:hint="eastAsia"/>
                <w:color w:val="auto"/>
                <w:sz w:val="18"/>
                <w:szCs w:val="18"/>
              </w:rPr>
              <w:t>其他</w:t>
            </w:r>
          </w:p>
          <w:p w14:paraId="11B20027">
            <w:pPr>
              <w:spacing w:line="240" w:lineRule="auto"/>
              <w:ind w:firstLine="0" w:firstLineChars="0"/>
              <w:jc w:val="center"/>
              <w:rPr>
                <w:color w:val="auto"/>
                <w:sz w:val="18"/>
                <w:szCs w:val="18"/>
              </w:rPr>
            </w:pPr>
            <w:r>
              <w:rPr>
                <w:rFonts w:hint="eastAsia" w:ascii="MS Mincho" w:hAnsi="MS Mincho" w:cs="MS Mincho"/>
                <w:color w:val="auto"/>
                <w:sz w:val="18"/>
                <w:szCs w:val="18"/>
              </w:rPr>
              <w:t>□</w:t>
            </w:r>
          </w:p>
        </w:tc>
      </w:tr>
      <w:tr w14:paraId="4020D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2A7B19F8">
            <w:pPr>
              <w:spacing w:line="240" w:lineRule="auto"/>
              <w:ind w:firstLine="0" w:firstLineChars="0"/>
              <w:jc w:val="center"/>
              <w:rPr>
                <w:color w:val="auto"/>
                <w:sz w:val="18"/>
                <w:szCs w:val="18"/>
              </w:rPr>
            </w:pPr>
          </w:p>
        </w:tc>
        <w:tc>
          <w:tcPr>
            <w:tcW w:w="1723" w:type="dxa"/>
            <w:vAlign w:val="center"/>
          </w:tcPr>
          <w:p w14:paraId="00F7A905">
            <w:pPr>
              <w:spacing w:line="240" w:lineRule="auto"/>
              <w:ind w:firstLine="0" w:firstLineChars="0"/>
              <w:jc w:val="center"/>
              <w:rPr>
                <w:color w:val="auto"/>
                <w:sz w:val="18"/>
                <w:szCs w:val="18"/>
              </w:rPr>
            </w:pPr>
            <w:r>
              <w:rPr>
                <w:rFonts w:hint="eastAsia"/>
                <w:color w:val="auto"/>
                <w:sz w:val="18"/>
                <w:szCs w:val="18"/>
              </w:rPr>
              <w:t>预测范围</w:t>
            </w:r>
          </w:p>
        </w:tc>
        <w:tc>
          <w:tcPr>
            <w:tcW w:w="1695" w:type="dxa"/>
            <w:gridSpan w:val="4"/>
            <w:vAlign w:val="center"/>
          </w:tcPr>
          <w:p w14:paraId="033BA693">
            <w:pPr>
              <w:spacing w:line="240" w:lineRule="auto"/>
              <w:ind w:firstLine="0" w:firstLineChars="0"/>
              <w:jc w:val="center"/>
              <w:rPr>
                <w:color w:val="auto"/>
                <w:sz w:val="18"/>
                <w:szCs w:val="18"/>
              </w:rPr>
            </w:pPr>
            <w:r>
              <w:rPr>
                <w:rFonts w:hint="eastAsia"/>
                <w:color w:val="auto"/>
                <w:sz w:val="18"/>
                <w:szCs w:val="18"/>
              </w:rPr>
              <w:t>边长≥50km□</w:t>
            </w:r>
          </w:p>
        </w:tc>
        <w:tc>
          <w:tcPr>
            <w:tcW w:w="3447" w:type="dxa"/>
            <w:gridSpan w:val="13"/>
            <w:vAlign w:val="center"/>
          </w:tcPr>
          <w:p w14:paraId="7BFAC95B">
            <w:pPr>
              <w:spacing w:line="240" w:lineRule="auto"/>
              <w:ind w:firstLine="0" w:firstLineChars="0"/>
              <w:jc w:val="center"/>
              <w:rPr>
                <w:color w:val="auto"/>
                <w:sz w:val="18"/>
                <w:szCs w:val="18"/>
              </w:rPr>
            </w:pPr>
            <w:r>
              <w:rPr>
                <w:rFonts w:hint="eastAsia"/>
                <w:color w:val="auto"/>
                <w:sz w:val="18"/>
                <w:szCs w:val="18"/>
              </w:rPr>
              <w:t>边长5~50km□</w:t>
            </w:r>
          </w:p>
        </w:tc>
        <w:tc>
          <w:tcPr>
            <w:tcW w:w="1638" w:type="dxa"/>
            <w:gridSpan w:val="3"/>
            <w:vAlign w:val="center"/>
          </w:tcPr>
          <w:p w14:paraId="70B4C7CE">
            <w:pPr>
              <w:spacing w:line="240" w:lineRule="auto"/>
              <w:ind w:firstLine="0" w:firstLineChars="0"/>
              <w:jc w:val="center"/>
              <w:rPr>
                <w:color w:val="auto"/>
                <w:sz w:val="18"/>
                <w:szCs w:val="18"/>
              </w:rPr>
            </w:pPr>
            <w:r>
              <w:rPr>
                <w:rFonts w:hint="eastAsia"/>
                <w:color w:val="auto"/>
                <w:sz w:val="18"/>
                <w:szCs w:val="18"/>
              </w:rPr>
              <w:t>边长=5km</w:t>
            </w:r>
            <w:r>
              <w:rPr>
                <w:rFonts w:hint="eastAsia"/>
                <w:color w:val="auto"/>
                <w:sz w:val="18"/>
                <w:szCs w:val="18"/>
              </w:rPr>
              <w:sym w:font="Wingdings 2" w:char="0052"/>
            </w:r>
          </w:p>
        </w:tc>
      </w:tr>
      <w:tr w14:paraId="387ED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2E54CC60">
            <w:pPr>
              <w:spacing w:line="240" w:lineRule="auto"/>
              <w:ind w:firstLine="0" w:firstLineChars="0"/>
              <w:jc w:val="center"/>
              <w:rPr>
                <w:color w:val="auto"/>
                <w:sz w:val="18"/>
                <w:szCs w:val="18"/>
              </w:rPr>
            </w:pPr>
          </w:p>
        </w:tc>
        <w:tc>
          <w:tcPr>
            <w:tcW w:w="1723" w:type="dxa"/>
            <w:vAlign w:val="center"/>
          </w:tcPr>
          <w:p w14:paraId="6F43CA58">
            <w:pPr>
              <w:spacing w:line="240" w:lineRule="auto"/>
              <w:ind w:firstLine="0" w:firstLineChars="0"/>
              <w:jc w:val="center"/>
              <w:rPr>
                <w:color w:val="auto"/>
                <w:sz w:val="18"/>
                <w:szCs w:val="18"/>
              </w:rPr>
            </w:pPr>
            <w:r>
              <w:rPr>
                <w:rFonts w:hint="eastAsia"/>
                <w:color w:val="auto"/>
                <w:sz w:val="18"/>
                <w:szCs w:val="18"/>
              </w:rPr>
              <w:t>预测因子</w:t>
            </w:r>
          </w:p>
        </w:tc>
        <w:tc>
          <w:tcPr>
            <w:tcW w:w="4096" w:type="dxa"/>
            <w:gridSpan w:val="13"/>
            <w:vAlign w:val="center"/>
          </w:tcPr>
          <w:p w14:paraId="614ECC7E">
            <w:pPr>
              <w:spacing w:line="240" w:lineRule="auto"/>
              <w:ind w:firstLine="0" w:firstLineChars="0"/>
              <w:jc w:val="center"/>
              <w:rPr>
                <w:color w:val="auto"/>
                <w:sz w:val="18"/>
                <w:szCs w:val="18"/>
              </w:rPr>
            </w:pPr>
            <w:r>
              <w:rPr>
                <w:rFonts w:hint="eastAsia"/>
                <w:color w:val="auto"/>
                <w:sz w:val="18"/>
                <w:szCs w:val="18"/>
              </w:rPr>
              <w:t>预测因子（</w:t>
            </w:r>
            <w:r>
              <w:rPr>
                <w:rFonts w:hint="eastAsia"/>
                <w:color w:val="auto"/>
              </w:rPr>
              <w:t>NMHC、VOCs、NO</w:t>
            </w:r>
            <w:r>
              <w:rPr>
                <w:rFonts w:hint="eastAsia"/>
                <w:color w:val="auto"/>
                <w:vertAlign w:val="subscript"/>
                <w:lang w:val="en-US" w:eastAsia="zh-CN"/>
              </w:rPr>
              <w:t>x</w:t>
            </w:r>
            <w:r>
              <w:rPr>
                <w:rFonts w:hint="eastAsia"/>
                <w:color w:val="auto"/>
              </w:rPr>
              <w:t>、</w:t>
            </w:r>
            <w:r>
              <w:rPr>
                <w:rFonts w:hint="eastAsia"/>
                <w:color w:val="auto"/>
                <w:lang w:val="en-US" w:eastAsia="zh-CN"/>
              </w:rPr>
              <w:t>二氧化硫、颗粒物、HCl、苯、甲苯</w:t>
            </w:r>
            <w:r>
              <w:rPr>
                <w:rFonts w:hint="eastAsia"/>
                <w:color w:val="auto"/>
                <w:sz w:val="18"/>
                <w:szCs w:val="18"/>
              </w:rPr>
              <w:t>）</w:t>
            </w:r>
          </w:p>
        </w:tc>
        <w:tc>
          <w:tcPr>
            <w:tcW w:w="2684" w:type="dxa"/>
            <w:gridSpan w:val="7"/>
            <w:vAlign w:val="center"/>
          </w:tcPr>
          <w:p w14:paraId="42EA9DEF">
            <w:pPr>
              <w:spacing w:line="240" w:lineRule="auto"/>
              <w:ind w:firstLine="0" w:firstLineChars="0"/>
              <w:jc w:val="center"/>
              <w:rPr>
                <w:color w:val="auto"/>
                <w:sz w:val="18"/>
                <w:szCs w:val="18"/>
              </w:rPr>
            </w:pPr>
            <w:r>
              <w:rPr>
                <w:rFonts w:hint="eastAsia"/>
                <w:color w:val="auto"/>
                <w:sz w:val="18"/>
                <w:szCs w:val="18"/>
              </w:rPr>
              <w:t>包括二次PM2.5□</w:t>
            </w:r>
          </w:p>
          <w:p w14:paraId="61D730A7">
            <w:pPr>
              <w:spacing w:line="240" w:lineRule="auto"/>
              <w:ind w:firstLine="0" w:firstLineChars="0"/>
              <w:jc w:val="center"/>
              <w:rPr>
                <w:color w:val="auto"/>
                <w:sz w:val="18"/>
                <w:szCs w:val="18"/>
              </w:rPr>
            </w:pPr>
            <w:r>
              <w:rPr>
                <w:rFonts w:hint="eastAsia"/>
                <w:color w:val="auto"/>
                <w:sz w:val="18"/>
                <w:szCs w:val="18"/>
              </w:rPr>
              <w:t>不包括二次PM2.5</w:t>
            </w:r>
            <w:r>
              <w:rPr>
                <w:rFonts w:hint="eastAsia"/>
                <w:color w:val="auto"/>
                <w:sz w:val="18"/>
                <w:szCs w:val="18"/>
              </w:rPr>
              <w:sym w:font="Wingdings 2" w:char="0052"/>
            </w:r>
          </w:p>
        </w:tc>
      </w:tr>
      <w:tr w14:paraId="543E5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BB8B8C9">
            <w:pPr>
              <w:spacing w:line="240" w:lineRule="auto"/>
              <w:ind w:firstLine="0" w:firstLineChars="0"/>
              <w:jc w:val="center"/>
              <w:rPr>
                <w:color w:val="auto"/>
                <w:sz w:val="18"/>
                <w:szCs w:val="18"/>
              </w:rPr>
            </w:pPr>
          </w:p>
        </w:tc>
        <w:tc>
          <w:tcPr>
            <w:tcW w:w="1723" w:type="dxa"/>
            <w:vAlign w:val="center"/>
          </w:tcPr>
          <w:p w14:paraId="0B25D61B">
            <w:pPr>
              <w:spacing w:line="240" w:lineRule="auto"/>
              <w:ind w:firstLine="0" w:firstLineChars="0"/>
              <w:jc w:val="center"/>
              <w:rPr>
                <w:color w:val="auto"/>
                <w:sz w:val="18"/>
                <w:szCs w:val="18"/>
              </w:rPr>
            </w:pPr>
            <w:r>
              <w:rPr>
                <w:rFonts w:hint="eastAsia"/>
                <w:color w:val="auto"/>
                <w:sz w:val="18"/>
                <w:szCs w:val="18"/>
              </w:rPr>
              <w:t>正常排放短期浓度贡献值</w:t>
            </w:r>
          </w:p>
        </w:tc>
        <w:tc>
          <w:tcPr>
            <w:tcW w:w="4096" w:type="dxa"/>
            <w:gridSpan w:val="13"/>
            <w:vAlign w:val="center"/>
          </w:tcPr>
          <w:p w14:paraId="59F404AB">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本项目</w:t>
            </w:r>
            <w:r>
              <w:rPr>
                <w:rFonts w:hint="eastAsia"/>
                <w:color w:val="auto"/>
                <w:sz w:val="18"/>
                <w:szCs w:val="18"/>
              </w:rPr>
              <w:t>最大占标率≤100%</w:t>
            </w:r>
            <w:r>
              <w:rPr>
                <w:rFonts w:hint="eastAsia"/>
                <w:color w:val="auto"/>
                <w:sz w:val="18"/>
                <w:szCs w:val="18"/>
              </w:rPr>
              <w:sym w:font="Wingdings 2" w:char="0052"/>
            </w:r>
          </w:p>
        </w:tc>
        <w:tc>
          <w:tcPr>
            <w:tcW w:w="2684" w:type="dxa"/>
            <w:gridSpan w:val="7"/>
            <w:vAlign w:val="center"/>
          </w:tcPr>
          <w:p w14:paraId="18DAB161">
            <w:pPr>
              <w:spacing w:line="240" w:lineRule="auto"/>
              <w:ind w:firstLine="0" w:firstLineChars="0"/>
              <w:jc w:val="center"/>
              <w:rPr>
                <w:rFonts w:hint="eastAsia" w:eastAsia="宋体"/>
                <w:color w:val="auto"/>
                <w:sz w:val="18"/>
                <w:szCs w:val="18"/>
                <w:lang w:eastAsia="zh-CN"/>
              </w:rPr>
            </w:pPr>
            <w:r>
              <w:rPr>
                <w:rFonts w:hint="eastAsia"/>
                <w:color w:val="auto"/>
                <w:sz w:val="18"/>
                <w:szCs w:val="18"/>
              </w:rPr>
              <w:t>C</w:t>
            </w:r>
            <w:r>
              <w:rPr>
                <w:rFonts w:hint="eastAsia"/>
                <w:color w:val="auto"/>
                <w:sz w:val="18"/>
                <w:szCs w:val="18"/>
                <w:vertAlign w:val="subscript"/>
              </w:rPr>
              <w:t>本项目</w:t>
            </w:r>
            <w:r>
              <w:rPr>
                <w:rFonts w:hint="eastAsia"/>
                <w:color w:val="auto"/>
                <w:sz w:val="18"/>
                <w:szCs w:val="18"/>
              </w:rPr>
              <w:t>最大占标率＞100%</w:t>
            </w:r>
            <w:r>
              <w:rPr>
                <w:rFonts w:hint="eastAsia"/>
                <w:color w:val="auto"/>
                <w:sz w:val="18"/>
                <w:szCs w:val="18"/>
                <w:lang w:eastAsia="zh-CN"/>
              </w:rPr>
              <w:t>□</w:t>
            </w:r>
          </w:p>
        </w:tc>
      </w:tr>
      <w:tr w14:paraId="032B9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EB5E6EA">
            <w:pPr>
              <w:spacing w:line="240" w:lineRule="auto"/>
              <w:ind w:firstLine="0" w:firstLineChars="0"/>
              <w:jc w:val="center"/>
              <w:rPr>
                <w:color w:val="auto"/>
                <w:sz w:val="18"/>
                <w:szCs w:val="18"/>
              </w:rPr>
            </w:pPr>
          </w:p>
        </w:tc>
        <w:tc>
          <w:tcPr>
            <w:tcW w:w="1723" w:type="dxa"/>
            <w:vMerge w:val="restart"/>
            <w:vAlign w:val="center"/>
          </w:tcPr>
          <w:p w14:paraId="1D837320">
            <w:pPr>
              <w:spacing w:line="240" w:lineRule="auto"/>
              <w:ind w:firstLine="0" w:firstLineChars="0"/>
              <w:jc w:val="center"/>
              <w:rPr>
                <w:color w:val="auto"/>
                <w:sz w:val="18"/>
                <w:szCs w:val="18"/>
              </w:rPr>
            </w:pPr>
            <w:r>
              <w:rPr>
                <w:rFonts w:hint="eastAsia"/>
                <w:color w:val="auto"/>
                <w:sz w:val="18"/>
                <w:szCs w:val="18"/>
              </w:rPr>
              <w:t>正常排放年均浓度贡献值</w:t>
            </w:r>
          </w:p>
        </w:tc>
        <w:tc>
          <w:tcPr>
            <w:tcW w:w="1571" w:type="dxa"/>
            <w:gridSpan w:val="2"/>
            <w:tcBorders>
              <w:bottom w:val="single" w:color="auto" w:sz="4" w:space="0"/>
            </w:tcBorders>
            <w:vAlign w:val="center"/>
          </w:tcPr>
          <w:p w14:paraId="5C91BF62">
            <w:pPr>
              <w:spacing w:line="240" w:lineRule="auto"/>
              <w:ind w:firstLine="0" w:firstLineChars="0"/>
              <w:jc w:val="center"/>
              <w:rPr>
                <w:color w:val="auto"/>
                <w:sz w:val="18"/>
                <w:szCs w:val="18"/>
              </w:rPr>
            </w:pPr>
            <w:r>
              <w:rPr>
                <w:rFonts w:hint="eastAsia"/>
                <w:color w:val="auto"/>
                <w:sz w:val="18"/>
                <w:szCs w:val="18"/>
              </w:rPr>
              <w:t>一类区</w:t>
            </w:r>
          </w:p>
        </w:tc>
        <w:tc>
          <w:tcPr>
            <w:tcW w:w="2525" w:type="dxa"/>
            <w:gridSpan w:val="11"/>
            <w:tcBorders>
              <w:bottom w:val="single" w:color="auto" w:sz="4" w:space="0"/>
            </w:tcBorders>
            <w:vAlign w:val="center"/>
          </w:tcPr>
          <w:p w14:paraId="7F14F7E4">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本项目</w:t>
            </w:r>
            <w:r>
              <w:rPr>
                <w:rFonts w:hint="eastAsia"/>
                <w:color w:val="auto"/>
                <w:sz w:val="18"/>
                <w:szCs w:val="18"/>
              </w:rPr>
              <w:t>最大占标率≤10%□</w:t>
            </w:r>
          </w:p>
        </w:tc>
        <w:tc>
          <w:tcPr>
            <w:tcW w:w="2684" w:type="dxa"/>
            <w:gridSpan w:val="7"/>
            <w:tcBorders>
              <w:bottom w:val="single" w:color="auto" w:sz="4" w:space="0"/>
            </w:tcBorders>
            <w:vAlign w:val="center"/>
          </w:tcPr>
          <w:p w14:paraId="2C6AC883">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本项目</w:t>
            </w:r>
            <w:r>
              <w:rPr>
                <w:rFonts w:hint="eastAsia"/>
                <w:color w:val="auto"/>
                <w:sz w:val="18"/>
                <w:szCs w:val="18"/>
              </w:rPr>
              <w:t>最大占标率＞10%□</w:t>
            </w:r>
          </w:p>
        </w:tc>
      </w:tr>
      <w:tr w14:paraId="6AC30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0BFEE5A">
            <w:pPr>
              <w:spacing w:line="240" w:lineRule="auto"/>
              <w:ind w:firstLine="0" w:firstLineChars="0"/>
              <w:jc w:val="center"/>
              <w:rPr>
                <w:color w:val="auto"/>
                <w:sz w:val="18"/>
                <w:szCs w:val="18"/>
              </w:rPr>
            </w:pPr>
          </w:p>
        </w:tc>
        <w:tc>
          <w:tcPr>
            <w:tcW w:w="1723" w:type="dxa"/>
            <w:vMerge w:val="continue"/>
            <w:vAlign w:val="center"/>
          </w:tcPr>
          <w:p w14:paraId="52D91B40">
            <w:pPr>
              <w:spacing w:line="240" w:lineRule="auto"/>
              <w:ind w:firstLine="0" w:firstLineChars="0"/>
              <w:jc w:val="center"/>
              <w:rPr>
                <w:color w:val="auto"/>
                <w:sz w:val="18"/>
                <w:szCs w:val="18"/>
              </w:rPr>
            </w:pPr>
          </w:p>
        </w:tc>
        <w:tc>
          <w:tcPr>
            <w:tcW w:w="1571" w:type="dxa"/>
            <w:gridSpan w:val="2"/>
            <w:tcBorders>
              <w:top w:val="single" w:color="auto" w:sz="4" w:space="0"/>
            </w:tcBorders>
            <w:vAlign w:val="center"/>
          </w:tcPr>
          <w:p w14:paraId="52D4F7B5">
            <w:pPr>
              <w:spacing w:line="240" w:lineRule="auto"/>
              <w:ind w:firstLine="0" w:firstLineChars="0"/>
              <w:jc w:val="center"/>
              <w:rPr>
                <w:color w:val="auto"/>
                <w:sz w:val="18"/>
                <w:szCs w:val="18"/>
              </w:rPr>
            </w:pPr>
            <w:r>
              <w:rPr>
                <w:rFonts w:hint="eastAsia"/>
                <w:color w:val="auto"/>
                <w:sz w:val="18"/>
                <w:szCs w:val="18"/>
              </w:rPr>
              <w:t>二类区</w:t>
            </w:r>
          </w:p>
        </w:tc>
        <w:tc>
          <w:tcPr>
            <w:tcW w:w="2525" w:type="dxa"/>
            <w:gridSpan w:val="11"/>
            <w:tcBorders>
              <w:top w:val="single" w:color="auto" w:sz="4" w:space="0"/>
            </w:tcBorders>
            <w:vAlign w:val="center"/>
          </w:tcPr>
          <w:p w14:paraId="5B8090CE">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本项目</w:t>
            </w:r>
            <w:r>
              <w:rPr>
                <w:rFonts w:hint="eastAsia"/>
                <w:color w:val="auto"/>
                <w:sz w:val="18"/>
                <w:szCs w:val="18"/>
              </w:rPr>
              <w:t>最大占标率≤30%</w:t>
            </w:r>
            <w:r>
              <w:rPr>
                <w:rFonts w:hint="eastAsia"/>
                <w:color w:val="auto"/>
                <w:sz w:val="18"/>
                <w:szCs w:val="18"/>
              </w:rPr>
              <w:sym w:font="Wingdings 2" w:char="0052"/>
            </w:r>
          </w:p>
        </w:tc>
        <w:tc>
          <w:tcPr>
            <w:tcW w:w="2684" w:type="dxa"/>
            <w:gridSpan w:val="7"/>
            <w:tcBorders>
              <w:top w:val="single" w:color="auto" w:sz="4" w:space="0"/>
            </w:tcBorders>
            <w:vAlign w:val="center"/>
          </w:tcPr>
          <w:p w14:paraId="136E7B76">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本项目</w:t>
            </w:r>
            <w:r>
              <w:rPr>
                <w:rFonts w:hint="eastAsia"/>
                <w:color w:val="auto"/>
                <w:sz w:val="18"/>
                <w:szCs w:val="18"/>
              </w:rPr>
              <w:t>最大占标率＞30%□</w:t>
            </w:r>
          </w:p>
        </w:tc>
      </w:tr>
      <w:tr w14:paraId="53BF5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1EB98A88">
            <w:pPr>
              <w:spacing w:line="240" w:lineRule="auto"/>
              <w:ind w:firstLine="0" w:firstLineChars="0"/>
              <w:jc w:val="center"/>
              <w:rPr>
                <w:color w:val="auto"/>
                <w:sz w:val="18"/>
                <w:szCs w:val="18"/>
              </w:rPr>
            </w:pPr>
          </w:p>
        </w:tc>
        <w:tc>
          <w:tcPr>
            <w:tcW w:w="1723" w:type="dxa"/>
            <w:vAlign w:val="center"/>
          </w:tcPr>
          <w:p w14:paraId="7F7E354B">
            <w:pPr>
              <w:spacing w:line="240" w:lineRule="auto"/>
              <w:ind w:firstLine="0" w:firstLineChars="0"/>
              <w:jc w:val="center"/>
              <w:rPr>
                <w:color w:val="auto"/>
                <w:sz w:val="18"/>
                <w:szCs w:val="18"/>
              </w:rPr>
            </w:pPr>
            <w:r>
              <w:rPr>
                <w:rFonts w:hint="eastAsia"/>
                <w:color w:val="auto"/>
                <w:sz w:val="18"/>
                <w:szCs w:val="18"/>
              </w:rPr>
              <w:t>非正常排放1h浓度贡献值</w:t>
            </w:r>
          </w:p>
        </w:tc>
        <w:tc>
          <w:tcPr>
            <w:tcW w:w="1571" w:type="dxa"/>
            <w:gridSpan w:val="2"/>
            <w:vAlign w:val="center"/>
          </w:tcPr>
          <w:p w14:paraId="6BE7E0F0">
            <w:pPr>
              <w:spacing w:line="240" w:lineRule="auto"/>
              <w:ind w:firstLine="0" w:firstLineChars="0"/>
              <w:jc w:val="center"/>
              <w:rPr>
                <w:color w:val="auto"/>
                <w:sz w:val="18"/>
                <w:szCs w:val="18"/>
              </w:rPr>
            </w:pPr>
            <w:r>
              <w:rPr>
                <w:rFonts w:hint="eastAsia"/>
                <w:color w:val="auto"/>
                <w:sz w:val="18"/>
                <w:szCs w:val="18"/>
              </w:rPr>
              <w:t>非正常持续时长（</w:t>
            </w:r>
            <w:r>
              <w:rPr>
                <w:rFonts w:hint="eastAsia"/>
                <w:color w:val="auto"/>
                <w:sz w:val="18"/>
                <w:szCs w:val="18"/>
                <w:lang w:val="en-US" w:eastAsia="zh-CN"/>
              </w:rPr>
              <w:t xml:space="preserve"> </w:t>
            </w:r>
            <w:r>
              <w:rPr>
                <w:rFonts w:hint="eastAsia"/>
                <w:color w:val="auto"/>
                <w:sz w:val="18"/>
                <w:szCs w:val="18"/>
              </w:rPr>
              <w:t>）h</w:t>
            </w:r>
          </w:p>
        </w:tc>
        <w:tc>
          <w:tcPr>
            <w:tcW w:w="2525" w:type="dxa"/>
            <w:gridSpan w:val="11"/>
            <w:vAlign w:val="center"/>
          </w:tcPr>
          <w:p w14:paraId="3C2CC7DC">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非正常</w:t>
            </w:r>
            <w:r>
              <w:rPr>
                <w:rFonts w:hint="eastAsia"/>
                <w:color w:val="auto"/>
                <w:sz w:val="18"/>
                <w:szCs w:val="18"/>
              </w:rPr>
              <w:t>占标率≤100%</w:t>
            </w:r>
            <w:r>
              <w:rPr>
                <w:rFonts w:hint="eastAsia"/>
                <w:color w:val="auto"/>
                <w:sz w:val="18"/>
                <w:szCs w:val="18"/>
              </w:rPr>
              <w:sym w:font="Wingdings 2" w:char="0052"/>
            </w:r>
          </w:p>
        </w:tc>
        <w:tc>
          <w:tcPr>
            <w:tcW w:w="2684" w:type="dxa"/>
            <w:gridSpan w:val="7"/>
            <w:vAlign w:val="center"/>
          </w:tcPr>
          <w:p w14:paraId="6BFF6A71">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非正常</w:t>
            </w:r>
            <w:r>
              <w:rPr>
                <w:rFonts w:hint="eastAsia"/>
                <w:color w:val="auto"/>
                <w:sz w:val="18"/>
                <w:szCs w:val="18"/>
              </w:rPr>
              <w:t>占标率＞100%□</w:t>
            </w:r>
          </w:p>
        </w:tc>
      </w:tr>
      <w:tr w14:paraId="2B123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5779E062">
            <w:pPr>
              <w:spacing w:line="240" w:lineRule="auto"/>
              <w:ind w:firstLine="0" w:firstLineChars="0"/>
              <w:jc w:val="center"/>
              <w:rPr>
                <w:color w:val="auto"/>
                <w:sz w:val="18"/>
                <w:szCs w:val="18"/>
              </w:rPr>
            </w:pPr>
          </w:p>
        </w:tc>
        <w:tc>
          <w:tcPr>
            <w:tcW w:w="1723" w:type="dxa"/>
            <w:vAlign w:val="center"/>
          </w:tcPr>
          <w:p w14:paraId="6262ECEC">
            <w:pPr>
              <w:spacing w:line="240" w:lineRule="auto"/>
              <w:ind w:firstLine="0" w:firstLineChars="0"/>
              <w:jc w:val="center"/>
              <w:rPr>
                <w:color w:val="auto"/>
                <w:sz w:val="18"/>
                <w:szCs w:val="18"/>
              </w:rPr>
            </w:pPr>
            <w:r>
              <w:rPr>
                <w:rFonts w:hint="eastAsia"/>
                <w:color w:val="auto"/>
                <w:sz w:val="18"/>
                <w:szCs w:val="18"/>
              </w:rPr>
              <w:t>保证率日平均浓度和年平均浓度叠加值</w:t>
            </w:r>
          </w:p>
        </w:tc>
        <w:tc>
          <w:tcPr>
            <w:tcW w:w="3457" w:type="dxa"/>
            <w:gridSpan w:val="11"/>
            <w:vAlign w:val="center"/>
          </w:tcPr>
          <w:p w14:paraId="7E1794BD">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叠加</w:t>
            </w:r>
            <w:r>
              <w:rPr>
                <w:rFonts w:hint="eastAsia"/>
                <w:color w:val="auto"/>
                <w:sz w:val="18"/>
                <w:szCs w:val="18"/>
              </w:rPr>
              <w:t>达标</w:t>
            </w:r>
            <w:r>
              <w:rPr>
                <w:rFonts w:hint="eastAsia" w:ascii="MS Mincho" w:hAnsi="MS Mincho" w:cs="MS Mincho"/>
                <w:color w:val="auto"/>
                <w:sz w:val="18"/>
                <w:szCs w:val="18"/>
              </w:rPr>
              <w:sym w:font="Wingdings 2" w:char="00A3"/>
            </w:r>
          </w:p>
        </w:tc>
        <w:tc>
          <w:tcPr>
            <w:tcW w:w="3323" w:type="dxa"/>
            <w:gridSpan w:val="9"/>
            <w:vAlign w:val="center"/>
          </w:tcPr>
          <w:p w14:paraId="4AA29FCF">
            <w:pPr>
              <w:spacing w:line="240" w:lineRule="auto"/>
              <w:ind w:firstLine="0" w:firstLineChars="0"/>
              <w:jc w:val="center"/>
              <w:rPr>
                <w:color w:val="auto"/>
                <w:sz w:val="18"/>
                <w:szCs w:val="18"/>
              </w:rPr>
            </w:pPr>
            <w:r>
              <w:rPr>
                <w:rFonts w:hint="eastAsia"/>
                <w:color w:val="auto"/>
                <w:sz w:val="18"/>
                <w:szCs w:val="18"/>
              </w:rPr>
              <w:t>C</w:t>
            </w:r>
            <w:r>
              <w:rPr>
                <w:rFonts w:hint="eastAsia"/>
                <w:color w:val="auto"/>
                <w:sz w:val="18"/>
                <w:szCs w:val="18"/>
                <w:vertAlign w:val="subscript"/>
              </w:rPr>
              <w:t>叠加</w:t>
            </w:r>
            <w:r>
              <w:rPr>
                <w:rFonts w:hint="eastAsia"/>
                <w:color w:val="auto"/>
                <w:sz w:val="18"/>
                <w:szCs w:val="18"/>
              </w:rPr>
              <w:t>不达标□</w:t>
            </w:r>
          </w:p>
        </w:tc>
      </w:tr>
      <w:tr w14:paraId="26A5C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48CECFD">
            <w:pPr>
              <w:spacing w:line="240" w:lineRule="auto"/>
              <w:ind w:firstLine="0" w:firstLineChars="0"/>
              <w:jc w:val="center"/>
              <w:rPr>
                <w:color w:val="auto"/>
                <w:sz w:val="18"/>
                <w:szCs w:val="18"/>
              </w:rPr>
            </w:pPr>
          </w:p>
        </w:tc>
        <w:tc>
          <w:tcPr>
            <w:tcW w:w="1723" w:type="dxa"/>
            <w:vAlign w:val="center"/>
          </w:tcPr>
          <w:p w14:paraId="54FCA824">
            <w:pPr>
              <w:spacing w:line="240" w:lineRule="auto"/>
              <w:ind w:firstLine="0" w:firstLineChars="0"/>
              <w:jc w:val="center"/>
              <w:rPr>
                <w:color w:val="auto"/>
                <w:sz w:val="18"/>
                <w:szCs w:val="18"/>
              </w:rPr>
            </w:pPr>
            <w:r>
              <w:rPr>
                <w:rFonts w:hint="eastAsia"/>
                <w:color w:val="auto"/>
                <w:sz w:val="18"/>
                <w:szCs w:val="18"/>
              </w:rPr>
              <w:t>区域环境质量的整体变化情况</w:t>
            </w:r>
          </w:p>
        </w:tc>
        <w:tc>
          <w:tcPr>
            <w:tcW w:w="3457" w:type="dxa"/>
            <w:gridSpan w:val="11"/>
            <w:vAlign w:val="center"/>
          </w:tcPr>
          <w:p w14:paraId="055FEE2F">
            <w:pPr>
              <w:spacing w:line="240" w:lineRule="auto"/>
              <w:ind w:firstLine="0" w:firstLineChars="0"/>
              <w:jc w:val="center"/>
              <w:rPr>
                <w:color w:val="auto"/>
                <w:sz w:val="18"/>
                <w:szCs w:val="18"/>
              </w:rPr>
            </w:pPr>
            <w:r>
              <w:rPr>
                <w:rFonts w:hint="eastAsia"/>
                <w:color w:val="auto"/>
                <w:sz w:val="18"/>
                <w:szCs w:val="18"/>
              </w:rPr>
              <w:t>k≤-20%</w:t>
            </w:r>
            <w:r>
              <w:rPr>
                <w:rFonts w:hint="eastAsia" w:ascii="MS Mincho" w:hAnsi="MS Mincho" w:cs="MS Mincho"/>
                <w:color w:val="auto"/>
                <w:sz w:val="18"/>
                <w:szCs w:val="18"/>
              </w:rPr>
              <w:sym w:font="Wingdings 2" w:char="00A3"/>
            </w:r>
          </w:p>
        </w:tc>
        <w:tc>
          <w:tcPr>
            <w:tcW w:w="3323" w:type="dxa"/>
            <w:gridSpan w:val="9"/>
            <w:vAlign w:val="center"/>
          </w:tcPr>
          <w:p w14:paraId="49603442">
            <w:pPr>
              <w:spacing w:line="240" w:lineRule="auto"/>
              <w:ind w:firstLine="0" w:firstLineChars="0"/>
              <w:jc w:val="center"/>
              <w:rPr>
                <w:color w:val="auto"/>
                <w:sz w:val="18"/>
                <w:szCs w:val="18"/>
              </w:rPr>
            </w:pPr>
            <w:r>
              <w:rPr>
                <w:rFonts w:hint="eastAsia"/>
                <w:color w:val="auto"/>
                <w:sz w:val="18"/>
                <w:szCs w:val="18"/>
              </w:rPr>
              <w:t>k＞-20%□</w:t>
            </w:r>
          </w:p>
        </w:tc>
      </w:tr>
      <w:tr w14:paraId="19DA0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42D2F89C">
            <w:pPr>
              <w:spacing w:line="240" w:lineRule="auto"/>
              <w:ind w:firstLine="0" w:firstLineChars="0"/>
              <w:jc w:val="center"/>
              <w:rPr>
                <w:color w:val="auto"/>
                <w:sz w:val="18"/>
                <w:szCs w:val="18"/>
              </w:rPr>
            </w:pPr>
            <w:r>
              <w:rPr>
                <w:rFonts w:hint="eastAsia"/>
                <w:color w:val="auto"/>
                <w:sz w:val="18"/>
                <w:szCs w:val="18"/>
              </w:rPr>
              <w:t>环境监测计划</w:t>
            </w:r>
          </w:p>
        </w:tc>
        <w:tc>
          <w:tcPr>
            <w:tcW w:w="1723" w:type="dxa"/>
            <w:vAlign w:val="center"/>
          </w:tcPr>
          <w:p w14:paraId="7D910AA3">
            <w:pPr>
              <w:spacing w:line="240" w:lineRule="auto"/>
              <w:ind w:firstLine="0" w:firstLineChars="0"/>
              <w:jc w:val="center"/>
              <w:rPr>
                <w:color w:val="auto"/>
                <w:sz w:val="18"/>
                <w:szCs w:val="18"/>
              </w:rPr>
            </w:pPr>
            <w:r>
              <w:rPr>
                <w:rFonts w:hint="eastAsia"/>
                <w:color w:val="auto"/>
                <w:sz w:val="18"/>
                <w:szCs w:val="18"/>
              </w:rPr>
              <w:t>污染源监测</w:t>
            </w:r>
          </w:p>
        </w:tc>
        <w:tc>
          <w:tcPr>
            <w:tcW w:w="2621" w:type="dxa"/>
            <w:gridSpan w:val="7"/>
            <w:vAlign w:val="center"/>
          </w:tcPr>
          <w:p w14:paraId="185159BF">
            <w:pPr>
              <w:spacing w:line="240" w:lineRule="auto"/>
              <w:ind w:firstLine="0" w:firstLineChars="0"/>
              <w:jc w:val="center"/>
              <w:rPr>
                <w:color w:val="auto"/>
                <w:sz w:val="18"/>
                <w:szCs w:val="18"/>
              </w:rPr>
            </w:pPr>
            <w:r>
              <w:rPr>
                <w:rFonts w:hint="eastAsia"/>
                <w:color w:val="auto"/>
                <w:sz w:val="18"/>
                <w:szCs w:val="18"/>
              </w:rPr>
              <w:t>监测因子：（</w:t>
            </w:r>
            <w:r>
              <w:rPr>
                <w:rFonts w:hint="eastAsia"/>
                <w:color w:val="auto"/>
              </w:rPr>
              <w:t>NMHC、VOCs、NO</w:t>
            </w:r>
            <w:r>
              <w:rPr>
                <w:rFonts w:hint="eastAsia"/>
                <w:color w:val="auto"/>
                <w:vertAlign w:val="subscript"/>
                <w:lang w:val="en-US" w:eastAsia="zh-CN"/>
              </w:rPr>
              <w:t>x</w:t>
            </w:r>
            <w:r>
              <w:rPr>
                <w:rFonts w:hint="eastAsia"/>
                <w:color w:val="auto"/>
              </w:rPr>
              <w:t>、</w:t>
            </w:r>
            <w:r>
              <w:rPr>
                <w:rFonts w:hint="eastAsia"/>
                <w:color w:val="auto"/>
                <w:lang w:val="en-US" w:eastAsia="zh-CN"/>
              </w:rPr>
              <w:t>二氧化硫、颗粒物、HCl、苯、甲苯</w:t>
            </w:r>
            <w:r>
              <w:rPr>
                <w:rFonts w:hint="eastAsia"/>
                <w:color w:val="auto"/>
                <w:sz w:val="18"/>
                <w:szCs w:val="18"/>
              </w:rPr>
              <w:t>）</w:t>
            </w:r>
          </w:p>
        </w:tc>
        <w:tc>
          <w:tcPr>
            <w:tcW w:w="2307" w:type="dxa"/>
            <w:gridSpan w:val="9"/>
            <w:vAlign w:val="center"/>
          </w:tcPr>
          <w:p w14:paraId="29590813">
            <w:pPr>
              <w:spacing w:line="240" w:lineRule="auto"/>
              <w:ind w:firstLine="0" w:firstLineChars="0"/>
              <w:jc w:val="center"/>
              <w:rPr>
                <w:rFonts w:hint="eastAsia" w:eastAsia="宋体"/>
                <w:color w:val="auto"/>
                <w:sz w:val="18"/>
                <w:szCs w:val="18"/>
                <w:lang w:eastAsia="zh-CN"/>
              </w:rPr>
            </w:pPr>
            <w:r>
              <w:rPr>
                <w:rFonts w:hint="eastAsia"/>
                <w:color w:val="auto"/>
                <w:sz w:val="18"/>
                <w:szCs w:val="18"/>
              </w:rPr>
              <w:t>有组织废气监测</w:t>
            </w:r>
            <w:r>
              <w:rPr>
                <w:rFonts w:hint="eastAsia" w:ascii="MS Mincho" w:hAnsi="MS Mincho" w:cs="MS Mincho"/>
                <w:color w:val="auto"/>
                <w:sz w:val="18"/>
                <w:szCs w:val="18"/>
                <w:lang w:eastAsia="zh-CN"/>
              </w:rPr>
              <w:t>☑</w:t>
            </w:r>
          </w:p>
          <w:p w14:paraId="4EB26510">
            <w:pPr>
              <w:spacing w:line="240" w:lineRule="auto"/>
              <w:ind w:firstLine="0" w:firstLineChars="0"/>
              <w:jc w:val="center"/>
              <w:rPr>
                <w:color w:val="auto"/>
                <w:sz w:val="18"/>
                <w:szCs w:val="18"/>
              </w:rPr>
            </w:pPr>
            <w:r>
              <w:rPr>
                <w:rFonts w:hint="eastAsia"/>
                <w:color w:val="auto"/>
                <w:sz w:val="18"/>
                <w:szCs w:val="18"/>
              </w:rPr>
              <w:t>无组织废气监测</w:t>
            </w:r>
            <w:r>
              <w:rPr>
                <w:rFonts w:hint="eastAsia" w:ascii="MS Mincho" w:hAnsi="MS Mincho" w:eastAsia="MS Mincho" w:cs="MS Mincho"/>
                <w:color w:val="auto"/>
                <w:sz w:val="18"/>
                <w:szCs w:val="18"/>
              </w:rPr>
              <w:t>☑</w:t>
            </w:r>
          </w:p>
        </w:tc>
        <w:tc>
          <w:tcPr>
            <w:tcW w:w="1852" w:type="dxa"/>
            <w:gridSpan w:val="4"/>
            <w:vAlign w:val="center"/>
          </w:tcPr>
          <w:p w14:paraId="4FB17D4E">
            <w:pPr>
              <w:spacing w:line="240" w:lineRule="auto"/>
              <w:ind w:firstLine="0" w:firstLineChars="0"/>
              <w:jc w:val="center"/>
              <w:rPr>
                <w:color w:val="auto"/>
                <w:sz w:val="18"/>
                <w:szCs w:val="18"/>
              </w:rPr>
            </w:pPr>
            <w:r>
              <w:rPr>
                <w:rFonts w:hint="eastAsia"/>
                <w:color w:val="auto"/>
                <w:sz w:val="18"/>
                <w:szCs w:val="18"/>
              </w:rPr>
              <w:t>无监测□</w:t>
            </w:r>
          </w:p>
        </w:tc>
      </w:tr>
      <w:tr w14:paraId="77F17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406F24DE">
            <w:pPr>
              <w:spacing w:line="240" w:lineRule="auto"/>
              <w:ind w:firstLine="0" w:firstLineChars="0"/>
              <w:jc w:val="center"/>
              <w:rPr>
                <w:color w:val="auto"/>
                <w:sz w:val="18"/>
                <w:szCs w:val="18"/>
              </w:rPr>
            </w:pPr>
          </w:p>
        </w:tc>
        <w:tc>
          <w:tcPr>
            <w:tcW w:w="1723" w:type="dxa"/>
            <w:vAlign w:val="center"/>
          </w:tcPr>
          <w:p w14:paraId="60452EF5">
            <w:pPr>
              <w:spacing w:line="240" w:lineRule="auto"/>
              <w:ind w:firstLine="0" w:firstLineChars="0"/>
              <w:jc w:val="center"/>
              <w:rPr>
                <w:color w:val="auto"/>
                <w:sz w:val="18"/>
                <w:szCs w:val="18"/>
              </w:rPr>
            </w:pPr>
            <w:r>
              <w:rPr>
                <w:rFonts w:hint="eastAsia"/>
                <w:color w:val="auto"/>
                <w:sz w:val="18"/>
                <w:szCs w:val="18"/>
              </w:rPr>
              <w:t>环境质量检测</w:t>
            </w:r>
          </w:p>
        </w:tc>
        <w:tc>
          <w:tcPr>
            <w:tcW w:w="2621" w:type="dxa"/>
            <w:gridSpan w:val="7"/>
            <w:vAlign w:val="center"/>
          </w:tcPr>
          <w:p w14:paraId="7E04024D">
            <w:pPr>
              <w:spacing w:line="240" w:lineRule="auto"/>
              <w:ind w:firstLine="0" w:firstLineChars="0"/>
              <w:jc w:val="center"/>
              <w:rPr>
                <w:color w:val="auto"/>
                <w:sz w:val="18"/>
                <w:szCs w:val="18"/>
              </w:rPr>
            </w:pPr>
            <w:r>
              <w:rPr>
                <w:rFonts w:hint="eastAsia"/>
                <w:color w:val="auto"/>
                <w:sz w:val="18"/>
                <w:szCs w:val="18"/>
              </w:rPr>
              <w:t>监测因子：（无）</w:t>
            </w:r>
          </w:p>
        </w:tc>
        <w:tc>
          <w:tcPr>
            <w:tcW w:w="2307" w:type="dxa"/>
            <w:gridSpan w:val="9"/>
            <w:vAlign w:val="center"/>
          </w:tcPr>
          <w:p w14:paraId="0DE9087D">
            <w:pPr>
              <w:spacing w:line="240" w:lineRule="auto"/>
              <w:ind w:firstLine="0" w:firstLineChars="0"/>
              <w:jc w:val="center"/>
              <w:rPr>
                <w:color w:val="auto"/>
                <w:sz w:val="18"/>
                <w:szCs w:val="18"/>
              </w:rPr>
            </w:pPr>
            <w:r>
              <w:rPr>
                <w:rFonts w:hint="eastAsia"/>
                <w:color w:val="auto"/>
                <w:sz w:val="18"/>
                <w:szCs w:val="18"/>
              </w:rPr>
              <w:t>监测点位数（0）</w:t>
            </w:r>
          </w:p>
        </w:tc>
        <w:tc>
          <w:tcPr>
            <w:tcW w:w="1852" w:type="dxa"/>
            <w:gridSpan w:val="4"/>
            <w:vAlign w:val="center"/>
          </w:tcPr>
          <w:p w14:paraId="083D854E">
            <w:pPr>
              <w:spacing w:line="240" w:lineRule="auto"/>
              <w:ind w:firstLine="0" w:firstLineChars="0"/>
              <w:jc w:val="center"/>
              <w:rPr>
                <w:color w:val="auto"/>
                <w:sz w:val="18"/>
                <w:szCs w:val="18"/>
              </w:rPr>
            </w:pPr>
            <w:r>
              <w:rPr>
                <w:rFonts w:hint="eastAsia"/>
                <w:color w:val="auto"/>
                <w:sz w:val="18"/>
                <w:szCs w:val="18"/>
              </w:rPr>
              <w:t>无监测</w:t>
            </w:r>
            <w:r>
              <w:rPr>
                <w:rFonts w:hint="eastAsia" w:ascii="MS Mincho" w:hAnsi="MS Mincho" w:eastAsia="MS Mincho" w:cs="MS Mincho"/>
                <w:color w:val="auto"/>
                <w:sz w:val="18"/>
                <w:szCs w:val="18"/>
              </w:rPr>
              <w:t>☑</w:t>
            </w:r>
          </w:p>
        </w:tc>
      </w:tr>
      <w:tr w14:paraId="11DE9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7A8C4ED6">
            <w:pPr>
              <w:spacing w:line="240" w:lineRule="auto"/>
              <w:ind w:firstLine="0" w:firstLineChars="0"/>
              <w:jc w:val="center"/>
              <w:rPr>
                <w:color w:val="auto"/>
                <w:sz w:val="18"/>
                <w:szCs w:val="18"/>
              </w:rPr>
            </w:pPr>
            <w:r>
              <w:rPr>
                <w:rFonts w:hint="eastAsia"/>
                <w:color w:val="auto"/>
                <w:sz w:val="18"/>
                <w:szCs w:val="18"/>
              </w:rPr>
              <w:t>评价</w:t>
            </w:r>
          </w:p>
          <w:p w14:paraId="2C928CC7">
            <w:pPr>
              <w:spacing w:line="240" w:lineRule="auto"/>
              <w:ind w:firstLine="0" w:firstLineChars="0"/>
              <w:jc w:val="center"/>
              <w:rPr>
                <w:color w:val="auto"/>
                <w:sz w:val="18"/>
                <w:szCs w:val="18"/>
              </w:rPr>
            </w:pPr>
            <w:r>
              <w:rPr>
                <w:rFonts w:hint="eastAsia"/>
                <w:color w:val="auto"/>
                <w:sz w:val="18"/>
                <w:szCs w:val="18"/>
              </w:rPr>
              <w:t>结论</w:t>
            </w:r>
          </w:p>
        </w:tc>
        <w:tc>
          <w:tcPr>
            <w:tcW w:w="1723" w:type="dxa"/>
            <w:vAlign w:val="center"/>
          </w:tcPr>
          <w:p w14:paraId="0E972913">
            <w:pPr>
              <w:spacing w:line="240" w:lineRule="auto"/>
              <w:ind w:firstLine="0" w:firstLineChars="0"/>
              <w:jc w:val="center"/>
              <w:rPr>
                <w:color w:val="auto"/>
                <w:sz w:val="18"/>
                <w:szCs w:val="18"/>
              </w:rPr>
            </w:pPr>
            <w:r>
              <w:rPr>
                <w:rFonts w:hint="eastAsia"/>
                <w:color w:val="auto"/>
                <w:sz w:val="18"/>
                <w:szCs w:val="18"/>
              </w:rPr>
              <w:t>环境影响</w:t>
            </w:r>
          </w:p>
        </w:tc>
        <w:tc>
          <w:tcPr>
            <w:tcW w:w="6780" w:type="dxa"/>
            <w:gridSpan w:val="20"/>
            <w:vAlign w:val="center"/>
          </w:tcPr>
          <w:p w14:paraId="27100F72">
            <w:pPr>
              <w:spacing w:line="240" w:lineRule="auto"/>
              <w:ind w:firstLine="0" w:firstLineChars="0"/>
              <w:jc w:val="center"/>
              <w:rPr>
                <w:color w:val="auto"/>
                <w:sz w:val="18"/>
                <w:szCs w:val="18"/>
              </w:rPr>
            </w:pPr>
            <w:r>
              <w:rPr>
                <w:rFonts w:hint="eastAsia"/>
                <w:color w:val="auto"/>
                <w:sz w:val="18"/>
                <w:szCs w:val="18"/>
              </w:rPr>
              <w:t>可以接受</w:t>
            </w:r>
            <w:r>
              <w:rPr>
                <w:rFonts w:hint="eastAsia" w:ascii="MS Mincho" w:hAnsi="MS Mincho" w:cs="MS Mincho"/>
                <w:color w:val="auto"/>
                <w:sz w:val="18"/>
                <w:szCs w:val="18"/>
              </w:rPr>
              <w:sym w:font="Wingdings 2" w:char="0052"/>
            </w:r>
            <w:r>
              <w:rPr>
                <w:rFonts w:hint="eastAsia"/>
                <w:color w:val="auto"/>
                <w:sz w:val="18"/>
                <w:szCs w:val="18"/>
              </w:rPr>
              <w:t xml:space="preserve">             不可接受□</w:t>
            </w:r>
          </w:p>
        </w:tc>
      </w:tr>
      <w:tr w14:paraId="2463D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4A8E08EA">
            <w:pPr>
              <w:spacing w:line="240" w:lineRule="auto"/>
              <w:ind w:firstLine="0" w:firstLineChars="0"/>
              <w:jc w:val="center"/>
              <w:rPr>
                <w:color w:val="auto"/>
                <w:sz w:val="18"/>
                <w:szCs w:val="18"/>
              </w:rPr>
            </w:pPr>
          </w:p>
        </w:tc>
        <w:tc>
          <w:tcPr>
            <w:tcW w:w="1723" w:type="dxa"/>
            <w:vAlign w:val="center"/>
          </w:tcPr>
          <w:p w14:paraId="5EBE5197">
            <w:pPr>
              <w:spacing w:line="240" w:lineRule="auto"/>
              <w:ind w:firstLine="0" w:firstLineChars="0"/>
              <w:jc w:val="center"/>
              <w:rPr>
                <w:color w:val="auto"/>
                <w:sz w:val="18"/>
                <w:szCs w:val="18"/>
              </w:rPr>
            </w:pPr>
            <w:r>
              <w:rPr>
                <w:rFonts w:hint="eastAsia"/>
                <w:color w:val="auto"/>
                <w:sz w:val="18"/>
                <w:szCs w:val="18"/>
              </w:rPr>
              <w:t>大气环境防护距离</w:t>
            </w:r>
          </w:p>
        </w:tc>
        <w:tc>
          <w:tcPr>
            <w:tcW w:w="6780" w:type="dxa"/>
            <w:gridSpan w:val="20"/>
            <w:vAlign w:val="center"/>
          </w:tcPr>
          <w:p w14:paraId="4340437C">
            <w:pPr>
              <w:spacing w:line="240" w:lineRule="auto"/>
              <w:ind w:firstLine="0" w:firstLineChars="0"/>
              <w:jc w:val="center"/>
              <w:rPr>
                <w:color w:val="auto"/>
                <w:sz w:val="18"/>
                <w:szCs w:val="18"/>
              </w:rPr>
            </w:pPr>
            <w:r>
              <w:rPr>
                <w:rFonts w:hint="eastAsia"/>
                <w:color w:val="auto"/>
                <w:sz w:val="18"/>
                <w:szCs w:val="18"/>
              </w:rPr>
              <w:t>距（  / ）厂界最远（  / ）m</w:t>
            </w:r>
          </w:p>
        </w:tc>
      </w:tr>
      <w:tr w14:paraId="7E19E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08C7DFB8">
            <w:pPr>
              <w:spacing w:line="240" w:lineRule="auto"/>
              <w:ind w:firstLine="0" w:firstLineChars="0"/>
              <w:jc w:val="center"/>
              <w:rPr>
                <w:color w:val="auto"/>
                <w:sz w:val="18"/>
                <w:szCs w:val="18"/>
              </w:rPr>
            </w:pPr>
          </w:p>
        </w:tc>
        <w:tc>
          <w:tcPr>
            <w:tcW w:w="1723" w:type="dxa"/>
            <w:vAlign w:val="center"/>
          </w:tcPr>
          <w:p w14:paraId="5E9D2404">
            <w:pPr>
              <w:spacing w:line="240" w:lineRule="auto"/>
              <w:ind w:firstLine="0" w:firstLineChars="0"/>
              <w:jc w:val="center"/>
              <w:rPr>
                <w:color w:val="auto"/>
                <w:sz w:val="18"/>
                <w:szCs w:val="18"/>
              </w:rPr>
            </w:pPr>
            <w:r>
              <w:rPr>
                <w:rFonts w:hint="eastAsia"/>
                <w:color w:val="auto"/>
                <w:sz w:val="18"/>
                <w:szCs w:val="18"/>
              </w:rPr>
              <w:t>污染源年排放量</w:t>
            </w:r>
          </w:p>
        </w:tc>
        <w:tc>
          <w:tcPr>
            <w:tcW w:w="1587" w:type="dxa"/>
            <w:gridSpan w:val="3"/>
            <w:vAlign w:val="center"/>
          </w:tcPr>
          <w:p w14:paraId="41221E7A">
            <w:pPr>
              <w:spacing w:line="240" w:lineRule="auto"/>
              <w:ind w:firstLine="0" w:firstLineChars="0"/>
              <w:jc w:val="center"/>
              <w:rPr>
                <w:color w:val="auto"/>
                <w:sz w:val="18"/>
                <w:szCs w:val="18"/>
              </w:rPr>
            </w:pPr>
            <w:r>
              <w:rPr>
                <w:rFonts w:hint="eastAsia"/>
                <w:color w:val="auto"/>
                <w:sz w:val="18"/>
                <w:szCs w:val="18"/>
              </w:rPr>
              <w:t>SO</w:t>
            </w:r>
            <w:r>
              <w:rPr>
                <w:rFonts w:hint="eastAsia"/>
                <w:color w:val="auto"/>
                <w:sz w:val="18"/>
                <w:szCs w:val="18"/>
                <w:vertAlign w:val="subscript"/>
              </w:rPr>
              <w:t>2</w:t>
            </w:r>
            <w:r>
              <w:rPr>
                <w:rFonts w:hint="eastAsia"/>
                <w:color w:val="auto"/>
                <w:sz w:val="18"/>
                <w:szCs w:val="18"/>
              </w:rPr>
              <w:t>：（</w:t>
            </w:r>
            <w:r>
              <w:rPr>
                <w:rFonts w:hint="eastAsia"/>
                <w:color w:val="auto"/>
                <w:sz w:val="18"/>
                <w:szCs w:val="18"/>
                <w:lang w:val="en-US" w:eastAsia="zh-CN"/>
              </w:rPr>
              <w:t>0.002</w:t>
            </w:r>
            <w:r>
              <w:rPr>
                <w:rFonts w:hint="eastAsia"/>
                <w:color w:val="auto"/>
                <w:sz w:val="18"/>
                <w:szCs w:val="18"/>
              </w:rPr>
              <w:t>）t/a</w:t>
            </w:r>
          </w:p>
        </w:tc>
        <w:tc>
          <w:tcPr>
            <w:tcW w:w="1780" w:type="dxa"/>
            <w:gridSpan w:val="7"/>
            <w:vAlign w:val="center"/>
          </w:tcPr>
          <w:p w14:paraId="752AD770">
            <w:pPr>
              <w:spacing w:line="240" w:lineRule="auto"/>
              <w:ind w:firstLine="0" w:firstLineChars="0"/>
              <w:jc w:val="center"/>
              <w:rPr>
                <w:color w:val="auto"/>
                <w:sz w:val="18"/>
                <w:szCs w:val="18"/>
              </w:rPr>
            </w:pPr>
            <w:r>
              <w:rPr>
                <w:rFonts w:hint="eastAsia"/>
                <w:color w:val="auto"/>
                <w:sz w:val="18"/>
                <w:szCs w:val="18"/>
              </w:rPr>
              <w:t>NO</w:t>
            </w:r>
            <w:r>
              <w:rPr>
                <w:rFonts w:hint="eastAsia"/>
                <w:color w:val="auto"/>
                <w:sz w:val="18"/>
                <w:szCs w:val="18"/>
                <w:vertAlign w:val="subscript"/>
              </w:rPr>
              <w:t>X</w:t>
            </w:r>
            <w:r>
              <w:rPr>
                <w:rFonts w:hint="eastAsia"/>
                <w:color w:val="auto"/>
                <w:sz w:val="18"/>
                <w:szCs w:val="18"/>
              </w:rPr>
              <w:t>：（0.</w:t>
            </w:r>
            <w:r>
              <w:rPr>
                <w:rFonts w:hint="eastAsia"/>
                <w:color w:val="auto"/>
                <w:sz w:val="18"/>
                <w:szCs w:val="18"/>
                <w:lang w:val="en-US" w:eastAsia="zh-CN"/>
              </w:rPr>
              <w:t>206</w:t>
            </w:r>
            <w:r>
              <w:rPr>
                <w:rFonts w:hint="eastAsia"/>
                <w:color w:val="auto"/>
                <w:sz w:val="18"/>
                <w:szCs w:val="18"/>
              </w:rPr>
              <w:t>）t/a</w:t>
            </w:r>
          </w:p>
        </w:tc>
        <w:tc>
          <w:tcPr>
            <w:tcW w:w="1775" w:type="dxa"/>
            <w:gridSpan w:val="7"/>
            <w:vAlign w:val="center"/>
          </w:tcPr>
          <w:p w14:paraId="28EC113B">
            <w:pPr>
              <w:spacing w:line="240" w:lineRule="auto"/>
              <w:ind w:firstLine="0" w:firstLineChars="0"/>
              <w:jc w:val="center"/>
              <w:rPr>
                <w:color w:val="auto"/>
                <w:sz w:val="18"/>
                <w:szCs w:val="18"/>
              </w:rPr>
            </w:pPr>
            <w:r>
              <w:rPr>
                <w:rFonts w:hint="eastAsia"/>
                <w:color w:val="auto"/>
                <w:sz w:val="18"/>
                <w:szCs w:val="18"/>
              </w:rPr>
              <w:t>颗粒物：（</w:t>
            </w:r>
            <w:r>
              <w:rPr>
                <w:rFonts w:hint="eastAsia"/>
                <w:color w:val="auto"/>
                <w:sz w:val="18"/>
                <w:szCs w:val="18"/>
                <w:lang w:val="en-US" w:eastAsia="zh-CN"/>
              </w:rPr>
              <w:t>0.031）</w:t>
            </w:r>
            <w:r>
              <w:rPr>
                <w:rFonts w:hint="eastAsia"/>
                <w:color w:val="auto"/>
                <w:sz w:val="18"/>
                <w:szCs w:val="18"/>
              </w:rPr>
              <w:t>t/a</w:t>
            </w:r>
          </w:p>
        </w:tc>
        <w:tc>
          <w:tcPr>
            <w:tcW w:w="1638" w:type="dxa"/>
            <w:gridSpan w:val="3"/>
            <w:vAlign w:val="center"/>
          </w:tcPr>
          <w:p w14:paraId="2150BF07">
            <w:pPr>
              <w:spacing w:line="240" w:lineRule="auto"/>
              <w:ind w:firstLine="0" w:firstLineChars="0"/>
              <w:jc w:val="center"/>
              <w:rPr>
                <w:color w:val="auto"/>
                <w:sz w:val="18"/>
                <w:szCs w:val="18"/>
              </w:rPr>
            </w:pPr>
            <w:r>
              <w:rPr>
                <w:rFonts w:hint="eastAsia"/>
                <w:color w:val="auto"/>
                <w:sz w:val="18"/>
                <w:szCs w:val="18"/>
              </w:rPr>
              <w:t>VOCs：（</w:t>
            </w:r>
            <w:r>
              <w:rPr>
                <w:rFonts w:hint="eastAsia"/>
                <w:color w:val="auto"/>
                <w:sz w:val="18"/>
                <w:szCs w:val="18"/>
                <w:lang w:val="en-US" w:eastAsia="zh-CN"/>
              </w:rPr>
              <w:t>12.488</w:t>
            </w:r>
            <w:r>
              <w:rPr>
                <w:rFonts w:hint="eastAsia"/>
                <w:color w:val="auto"/>
                <w:sz w:val="18"/>
                <w:szCs w:val="18"/>
              </w:rPr>
              <w:t>）t/a</w:t>
            </w:r>
          </w:p>
        </w:tc>
      </w:tr>
      <w:tr w14:paraId="3B8BF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9288" w:type="dxa"/>
            <w:gridSpan w:val="22"/>
            <w:vAlign w:val="center"/>
          </w:tcPr>
          <w:p w14:paraId="7EE460D9">
            <w:pPr>
              <w:spacing w:line="240" w:lineRule="auto"/>
              <w:ind w:firstLine="0" w:firstLineChars="0"/>
              <w:rPr>
                <w:color w:val="auto"/>
                <w:sz w:val="18"/>
                <w:szCs w:val="18"/>
              </w:rPr>
            </w:pPr>
            <w:r>
              <w:rPr>
                <w:rFonts w:hint="eastAsia"/>
                <w:color w:val="auto"/>
                <w:sz w:val="18"/>
                <w:szCs w:val="18"/>
              </w:rPr>
              <w:t>注：“□”为勾选项，填“√”；“（    ）”为内容填写项</w:t>
            </w:r>
          </w:p>
        </w:tc>
      </w:tr>
    </w:tbl>
    <w:p w14:paraId="007365AA">
      <w:pPr>
        <w:pStyle w:val="67"/>
        <w:numPr>
          <w:ilvl w:val="1"/>
          <w:numId w:val="8"/>
        </w:numPr>
        <w:bidi w:val="0"/>
        <w:ind w:left="567" w:leftChars="0" w:hanging="567" w:firstLineChars="0"/>
        <w:rPr>
          <w:rFonts w:hint="eastAsia" w:ascii="Times New Roman" w:hAnsi="Times New Roman" w:eastAsia="宋体" w:cs="Times New Roman"/>
          <w:color w:val="auto"/>
        </w:rPr>
      </w:pPr>
      <w:bookmarkStart w:id="145" w:name="_Toc13845"/>
      <w:r>
        <w:rPr>
          <w:rFonts w:hint="eastAsia" w:ascii="Times New Roman" w:hAnsi="Times New Roman" w:eastAsia="宋体" w:cs="Times New Roman"/>
          <w:color w:val="auto"/>
        </w:rPr>
        <w:t>营运期水环境影响分析</w:t>
      </w:r>
      <w:bookmarkEnd w:id="145"/>
    </w:p>
    <w:p w14:paraId="0DB3B596">
      <w:pPr>
        <w:ind w:firstLine="480"/>
        <w:rPr>
          <w:color w:val="auto"/>
        </w:rPr>
      </w:pPr>
      <w:r>
        <w:rPr>
          <w:rFonts w:hint="eastAsia"/>
          <w:color w:val="auto"/>
        </w:rPr>
        <w:t>根据《环境影响评价技术导则 地表水环境》（HJ2.3-2018），一级、二级、水污染影响型三级A应定量预测建设项目水环境影响，水污染影响型三级B评价可不进行水环境影响预测，三级B评价内容主要包括：</w:t>
      </w:r>
    </w:p>
    <w:p w14:paraId="326388C7">
      <w:pPr>
        <w:numPr>
          <w:ilvl w:val="0"/>
          <w:numId w:val="45"/>
        </w:numPr>
        <w:ind w:firstLine="480"/>
        <w:rPr>
          <w:color w:val="auto"/>
        </w:rPr>
      </w:pPr>
      <w:r>
        <w:rPr>
          <w:rFonts w:hint="eastAsia"/>
          <w:color w:val="auto"/>
        </w:rPr>
        <w:t>水污染控制和水环境影响减缓措施有效性评价；</w:t>
      </w:r>
    </w:p>
    <w:p w14:paraId="27CD156A">
      <w:pPr>
        <w:numPr>
          <w:ilvl w:val="0"/>
          <w:numId w:val="45"/>
        </w:numPr>
        <w:ind w:firstLine="480"/>
        <w:rPr>
          <w:color w:val="auto"/>
        </w:rPr>
      </w:pPr>
      <w:r>
        <w:rPr>
          <w:rFonts w:hint="eastAsia"/>
          <w:color w:val="auto"/>
        </w:rPr>
        <w:t>依托污水处理设施的环境可行性分析。</w:t>
      </w:r>
    </w:p>
    <w:p w14:paraId="03D59536">
      <w:pPr>
        <w:pStyle w:val="64"/>
        <w:bidi w:val="0"/>
      </w:pPr>
      <w:r>
        <w:rPr>
          <w:rFonts w:hint="eastAsia"/>
          <w:lang w:val="en-US" w:eastAsia="zh-CN"/>
        </w:rPr>
        <w:t>4</w:t>
      </w:r>
      <w:r>
        <w:rPr>
          <w:rFonts w:hint="eastAsia"/>
          <w:lang w:eastAsia="zh-CN"/>
        </w:rPr>
        <w:t>.</w:t>
      </w:r>
      <w:r>
        <w:rPr>
          <w:rFonts w:hint="eastAsia"/>
        </w:rPr>
        <w:t>3.1水污染控制和水环境影响减缓措施有效性评价</w:t>
      </w:r>
    </w:p>
    <w:p w14:paraId="43664A9F">
      <w:pPr>
        <w:ind w:firstLine="480"/>
        <w:rPr>
          <w:color w:val="auto"/>
        </w:rPr>
      </w:pPr>
      <w:r>
        <w:rPr>
          <w:rFonts w:hint="eastAsia" w:ascii="Times New Roman" w:hAnsi="Times New Roman" w:cs="Times New Roman"/>
        </w:rPr>
        <w:t>项目劳动定员</w:t>
      </w:r>
      <w:r>
        <w:rPr>
          <w:rFonts w:hint="eastAsia" w:ascii="Times New Roman" w:hAnsi="Times New Roman" w:cs="Times New Roman"/>
          <w:lang w:val="en-US" w:eastAsia="zh-CN"/>
        </w:rPr>
        <w:t>30</w:t>
      </w:r>
      <w:r>
        <w:rPr>
          <w:rFonts w:hint="eastAsia" w:ascii="Times New Roman" w:hAnsi="Times New Roman" w:cs="Times New Roman"/>
        </w:rPr>
        <w:t>人，生活用水量为</w:t>
      </w:r>
      <w:r>
        <w:rPr>
          <w:rFonts w:hint="eastAsia" w:ascii="Times New Roman" w:hAnsi="Times New Roman" w:cs="Times New Roman"/>
          <w:lang w:val="en-US" w:eastAsia="zh-CN"/>
        </w:rPr>
        <w:t>30</w:t>
      </w:r>
      <w:r>
        <w:rPr>
          <w:rFonts w:hint="eastAsia" w:ascii="Times New Roman" w:hAnsi="Times New Roman" w:cs="Times New Roman"/>
        </w:rPr>
        <w:t>0t/a，排放系数按0.9计算，则生活污水排放量为</w:t>
      </w:r>
      <w:r>
        <w:rPr>
          <w:rFonts w:hint="eastAsia" w:ascii="Times New Roman" w:hAnsi="Times New Roman" w:cs="Times New Roman"/>
          <w:lang w:val="en-US" w:eastAsia="zh-CN"/>
        </w:rPr>
        <w:t>270</w:t>
      </w:r>
      <w:r>
        <w:rPr>
          <w:rFonts w:hint="eastAsia" w:ascii="Times New Roman" w:hAnsi="Times New Roman" w:cs="Times New Roman"/>
        </w:rPr>
        <w:t>t/a。</w:t>
      </w:r>
      <w:r>
        <w:rPr>
          <w:rFonts w:hint="eastAsia" w:ascii="Times New Roman" w:hAnsi="Times New Roman" w:cs="Times New Roman"/>
          <w:lang w:eastAsia="zh-CN"/>
        </w:rPr>
        <w:t>生活污水依托东达公司设置的三级化粪池处理后经市政污水</w:t>
      </w:r>
      <w:r>
        <w:rPr>
          <w:rFonts w:hint="eastAsia" w:ascii="Times New Roman" w:hAnsi="Times New Roman" w:cs="Times New Roman"/>
        </w:rPr>
        <w:t>管网排放至鹤山市龙口三连预处理站预处理后，再通过泵站提升至鹤山市第二污水处理厂深度处理。</w:t>
      </w:r>
    </w:p>
    <w:p w14:paraId="45E3385F">
      <w:pPr>
        <w:pStyle w:val="64"/>
        <w:spacing w:before="166" w:after="166"/>
        <w:rPr>
          <w:color w:val="auto"/>
        </w:rPr>
      </w:pPr>
      <w:r>
        <w:rPr>
          <w:rFonts w:hint="eastAsia"/>
          <w:color w:val="auto"/>
          <w:lang w:val="en-US" w:eastAsia="zh-CN"/>
        </w:rPr>
        <w:t>4</w:t>
      </w:r>
      <w:r>
        <w:rPr>
          <w:rFonts w:hint="eastAsia"/>
          <w:color w:val="auto"/>
          <w:lang w:eastAsia="zh-CN"/>
        </w:rPr>
        <w:t>.</w:t>
      </w:r>
      <w:r>
        <w:rPr>
          <w:rFonts w:hint="eastAsia"/>
          <w:color w:val="auto"/>
        </w:rPr>
        <w:t>3.2依托</w:t>
      </w:r>
      <w:r>
        <w:rPr>
          <w:rFonts w:hint="eastAsia" w:ascii="Times New Roman" w:hAnsi="Times New Roman" w:cs="Times New Roman"/>
        </w:rPr>
        <w:t>鹤山市龙口三连预处理站</w:t>
      </w:r>
      <w:r>
        <w:rPr>
          <w:rFonts w:hint="eastAsia"/>
          <w:color w:val="auto"/>
        </w:rPr>
        <w:t>的环境可行性分析</w:t>
      </w:r>
    </w:p>
    <w:p w14:paraId="0EE2B6FD">
      <w:pPr>
        <w:ind w:firstLine="480"/>
        <w:rPr>
          <w:rFonts w:ascii="Times New Roman" w:hAnsi="Times New Roman" w:cs="Times New Roman"/>
        </w:rPr>
      </w:pPr>
      <w:r>
        <w:rPr>
          <w:rFonts w:hint="eastAsia" w:ascii="Times New Roman" w:hAnsi="Times New Roman" w:cs="Times New Roman"/>
        </w:rPr>
        <w:t>鹤山市龙口三连预处理站位于鹤山市古劳镇三连工业区蚬江村南部，服务范围为三连工业区、凤沙工业区、兴龙工业区、龙胜工业区、玉桥工业区产生的生活污水和生产废水以及沿线镇区居民区生活污水；处理规模为1.0万m</w:t>
      </w:r>
      <w:r>
        <w:rPr>
          <w:rFonts w:hint="eastAsia" w:ascii="Times New Roman" w:hAnsi="Times New Roman" w:cs="Times New Roman"/>
          <w:vertAlign w:val="superscript"/>
        </w:rPr>
        <w:t>3</w:t>
      </w:r>
      <w:r>
        <w:rPr>
          <w:rFonts w:hint="eastAsia" w:ascii="Times New Roman" w:hAnsi="Times New Roman" w:cs="Times New Roman"/>
        </w:rPr>
        <w:t>/d。采用“调节池+混凝沉淀+水解酸化+A</w:t>
      </w:r>
      <w:r>
        <w:rPr>
          <w:rFonts w:hint="eastAsia" w:ascii="Times New Roman" w:hAnsi="Times New Roman" w:cs="Times New Roman"/>
          <w:vertAlign w:val="superscript"/>
        </w:rPr>
        <w:t>2</w:t>
      </w:r>
      <w:r>
        <w:rPr>
          <w:rFonts w:hint="eastAsia" w:ascii="Times New Roman" w:hAnsi="Times New Roman" w:cs="Times New Roman"/>
        </w:rPr>
        <w:t>O+二沉池”的处理工艺，尾水提升至鹤山市第二污水处理厂。根据附件可知，本项目位于其纳污范围，污水可以排入鹤山市龙口三连预处理站。</w:t>
      </w:r>
    </w:p>
    <w:p w14:paraId="557E86FB">
      <w:pPr>
        <w:ind w:firstLine="480"/>
        <w:rPr>
          <w:rFonts w:hint="eastAsia" w:ascii="Times New Roman" w:hAnsi="Times New Roman" w:cs="Times New Roman"/>
        </w:rPr>
      </w:pPr>
      <w:r>
        <w:rPr>
          <w:rFonts w:hint="eastAsia" w:ascii="Times New Roman" w:hAnsi="Times New Roman" w:cs="Times New Roman"/>
        </w:rPr>
        <w:t>鹤山市龙口三连预处理站于2020年1月17日获得江门市生态环境局的环评批复，批复文号为江鹤环审〔2020〕3号，目前污水处理厂以及配套管网已建设完毕，本项目产生的废水可经管网排污鹤山市龙口三连预处理站。</w:t>
      </w:r>
    </w:p>
    <w:p w14:paraId="0184B084">
      <w:pPr>
        <w:ind w:firstLine="0" w:firstLineChars="0"/>
        <w:rPr>
          <w:rFonts w:ascii="Times New Roman" w:hAnsi="Times New Roman" w:cs="Times New Roman"/>
        </w:rPr>
      </w:pPr>
      <w:r>
        <w:rPr>
          <w:rFonts w:ascii="Times New Roman" w:hAnsi="Times New Roman" w:cs="Times New Roman"/>
        </w:rPr>
        <w:drawing>
          <wp:inline distT="0" distB="0" distL="114300" distR="114300">
            <wp:extent cx="5750560" cy="1343025"/>
            <wp:effectExtent l="0" t="0" r="2540" b="0"/>
            <wp:docPr id="18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45"/>
                    <pic:cNvPicPr>
                      <a:picLocks noChangeAspect="1"/>
                    </pic:cNvPicPr>
                  </pic:nvPicPr>
                  <pic:blipFill>
                    <a:blip r:embed="rId106"/>
                    <a:stretch>
                      <a:fillRect/>
                    </a:stretch>
                  </pic:blipFill>
                  <pic:spPr>
                    <a:xfrm>
                      <a:off x="0" y="0"/>
                      <a:ext cx="5750560" cy="1343025"/>
                    </a:xfrm>
                    <a:prstGeom prst="rect">
                      <a:avLst/>
                    </a:prstGeom>
                    <a:noFill/>
                    <a:ln>
                      <a:noFill/>
                    </a:ln>
                  </pic:spPr>
                </pic:pic>
              </a:graphicData>
            </a:graphic>
          </wp:inline>
        </w:drawing>
      </w:r>
    </w:p>
    <w:p w14:paraId="5BC05752">
      <w:pPr>
        <w:pStyle w:val="62"/>
        <w:rPr>
          <w:rFonts w:hint="eastAsia" w:ascii="Times New Roman" w:hAnsi="Times New Roman" w:cs="Times New Roman"/>
        </w:rPr>
      </w:pPr>
      <w:r>
        <w:rPr>
          <w:rFonts w:ascii="Times New Roman" w:hAnsi="Times New Roman" w:cs="Times New Roman"/>
        </w:rPr>
        <w:t>图</w:t>
      </w:r>
      <w:r>
        <w:rPr>
          <w:rFonts w:hint="eastAsia" w:ascii="Times New Roman" w:hAnsi="Times New Roman" w:cs="Times New Roman"/>
        </w:rPr>
        <w:t>4-1</w:t>
      </w:r>
      <w:r>
        <w:rPr>
          <w:rFonts w:ascii="Times New Roman" w:hAnsi="Times New Roman" w:cs="Times New Roman"/>
        </w:rPr>
        <w:t xml:space="preserve">  </w:t>
      </w:r>
      <w:r>
        <w:rPr>
          <w:rFonts w:hint="eastAsia" w:ascii="Times New Roman" w:hAnsi="Times New Roman" w:cs="Times New Roman"/>
        </w:rPr>
        <w:t>鹤山市龙口三连预处理站工艺流程图</w:t>
      </w:r>
    </w:p>
    <w:p w14:paraId="4806E185">
      <w:pPr>
        <w:ind w:firstLine="480"/>
        <w:rPr>
          <w:rFonts w:hint="eastAsia" w:ascii="Times New Roman" w:hAnsi="Times New Roman" w:cs="Times New Roman"/>
        </w:rPr>
      </w:pPr>
      <w:r>
        <w:rPr>
          <w:rFonts w:hint="eastAsia" w:ascii="Times New Roman" w:hAnsi="Times New Roman" w:cs="Times New Roman"/>
        </w:rPr>
        <w:t>工艺流程说明：</w:t>
      </w:r>
    </w:p>
    <w:p w14:paraId="4937F35D">
      <w:pPr>
        <w:ind w:firstLine="480"/>
        <w:rPr>
          <w:rFonts w:hint="eastAsia" w:ascii="Times New Roman" w:hAnsi="Times New Roman" w:cs="Times New Roman"/>
        </w:rPr>
      </w:pPr>
      <w:r>
        <w:rPr>
          <w:rFonts w:hint="eastAsia" w:ascii="Times New Roman" w:hAnsi="Times New Roman" w:cs="Times New Roman"/>
        </w:rPr>
        <w:t>①预处理包括细格栅及沉砂池、综合调节池和初沉池。</w:t>
      </w:r>
    </w:p>
    <w:p w14:paraId="11624A27">
      <w:pPr>
        <w:ind w:firstLine="480"/>
        <w:rPr>
          <w:rFonts w:ascii="Times New Roman" w:hAnsi="Times New Roman" w:cs="Times New Roman"/>
        </w:rPr>
      </w:pPr>
      <w:r>
        <w:rPr>
          <w:rFonts w:hint="eastAsia" w:ascii="Times New Roman" w:hAnsi="Times New Roman" w:cs="Times New Roman"/>
        </w:rPr>
        <w:t>②二级生物处理包括：水解酸化池、AAO生化池、二次沉淀池。</w:t>
      </w:r>
    </w:p>
    <w:p w14:paraId="619396FD">
      <w:pPr>
        <w:ind w:firstLine="480"/>
        <w:rPr>
          <w:rFonts w:ascii="Times New Roman" w:hAnsi="Times New Roman" w:cs="Times New Roman"/>
        </w:rPr>
      </w:pPr>
      <w:r>
        <w:rPr>
          <w:rFonts w:hint="eastAsia" w:ascii="Times New Roman" w:hAnsi="Times New Roman" w:cs="Times New Roman"/>
        </w:rPr>
        <w:t>③除臭工艺：包括接触消毒渠，采用洗涤-生物滤床除臭工艺。</w:t>
      </w:r>
    </w:p>
    <w:p w14:paraId="7F3EB354">
      <w:pPr>
        <w:bidi w:val="0"/>
        <w:rPr>
          <w:rFonts w:hint="eastAsia"/>
        </w:rPr>
      </w:pPr>
      <w:r>
        <w:rPr>
          <w:rFonts w:hint="eastAsia"/>
        </w:rPr>
        <w:t>④污泥处理：各沉淀池的污泥储存由污泥泵转送到污泥储存池，再经过浓缩脱水机对污泥进行脱水处理。</w:t>
      </w:r>
    </w:p>
    <w:p w14:paraId="6C75E87B">
      <w:pPr>
        <w:pStyle w:val="62"/>
        <w:rPr>
          <w:color w:val="auto"/>
        </w:rPr>
      </w:pPr>
      <w:r>
        <w:rPr>
          <w:rFonts w:hint="eastAsia"/>
          <w:color w:val="auto"/>
          <w:lang w:eastAsia="zh-CN"/>
        </w:rPr>
        <w:t>5.</w:t>
      </w:r>
      <w:r>
        <w:rPr>
          <w:rFonts w:hint="eastAsia"/>
          <w:color w:val="auto"/>
        </w:rPr>
        <w:t>3.3地表水环境影响评价自查表</w:t>
      </w:r>
    </w:p>
    <w:tbl>
      <w:tblPr>
        <w:tblStyle w:val="38"/>
        <w:tblW w:w="928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50"/>
        <w:gridCol w:w="1531"/>
        <w:gridCol w:w="1361"/>
        <w:gridCol w:w="341"/>
        <w:gridCol w:w="57"/>
        <w:gridCol w:w="509"/>
        <w:gridCol w:w="455"/>
        <w:gridCol w:w="680"/>
        <w:gridCol w:w="682"/>
        <w:gridCol w:w="198"/>
        <w:gridCol w:w="253"/>
        <w:gridCol w:w="856"/>
        <w:gridCol w:w="54"/>
        <w:gridCol w:w="1361"/>
      </w:tblGrid>
      <w:tr w14:paraId="4D11BD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481" w:type="dxa"/>
            <w:gridSpan w:val="2"/>
            <w:vAlign w:val="center"/>
          </w:tcPr>
          <w:p w14:paraId="0E8B553E">
            <w:pPr>
              <w:adjustRightInd w:val="0"/>
              <w:snapToGrid w:val="0"/>
              <w:spacing w:line="240" w:lineRule="auto"/>
              <w:ind w:firstLine="0" w:firstLineChars="0"/>
              <w:jc w:val="center"/>
              <w:rPr>
                <w:color w:val="auto"/>
                <w:sz w:val="18"/>
                <w:szCs w:val="18"/>
              </w:rPr>
            </w:pPr>
            <w:r>
              <w:rPr>
                <w:color w:val="auto"/>
                <w:sz w:val="18"/>
                <w:szCs w:val="18"/>
              </w:rPr>
              <w:t>工作内容</w:t>
            </w:r>
          </w:p>
        </w:tc>
        <w:tc>
          <w:tcPr>
            <w:tcW w:w="6807" w:type="dxa"/>
            <w:gridSpan w:val="12"/>
            <w:vAlign w:val="center"/>
          </w:tcPr>
          <w:p w14:paraId="0F82AD81">
            <w:pPr>
              <w:adjustRightInd w:val="0"/>
              <w:snapToGrid w:val="0"/>
              <w:spacing w:line="240" w:lineRule="auto"/>
              <w:ind w:firstLine="0" w:firstLineChars="0"/>
              <w:jc w:val="center"/>
              <w:rPr>
                <w:color w:val="auto"/>
                <w:sz w:val="18"/>
                <w:szCs w:val="18"/>
              </w:rPr>
            </w:pPr>
            <w:r>
              <w:rPr>
                <w:color w:val="auto"/>
                <w:sz w:val="18"/>
                <w:szCs w:val="18"/>
              </w:rPr>
              <w:t>自查项目</w:t>
            </w:r>
          </w:p>
        </w:tc>
      </w:tr>
      <w:tr w14:paraId="4735D9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restart"/>
            <w:vAlign w:val="center"/>
          </w:tcPr>
          <w:p w14:paraId="57E154A0">
            <w:pPr>
              <w:spacing w:line="240" w:lineRule="auto"/>
              <w:ind w:firstLine="0" w:firstLineChars="0"/>
              <w:jc w:val="center"/>
              <w:rPr>
                <w:color w:val="auto"/>
                <w:sz w:val="18"/>
                <w:szCs w:val="18"/>
              </w:rPr>
            </w:pPr>
            <w:r>
              <w:rPr>
                <w:rFonts w:hint="eastAsia"/>
                <w:color w:val="auto"/>
                <w:sz w:val="18"/>
                <w:szCs w:val="18"/>
              </w:rPr>
              <w:t>影</w:t>
            </w:r>
          </w:p>
          <w:p w14:paraId="00CD93C8">
            <w:pPr>
              <w:spacing w:line="240" w:lineRule="auto"/>
              <w:ind w:firstLine="0" w:firstLineChars="0"/>
              <w:jc w:val="center"/>
              <w:rPr>
                <w:color w:val="auto"/>
                <w:sz w:val="18"/>
                <w:szCs w:val="18"/>
              </w:rPr>
            </w:pPr>
            <w:r>
              <w:rPr>
                <w:rFonts w:hint="eastAsia"/>
                <w:color w:val="auto"/>
                <w:sz w:val="18"/>
                <w:szCs w:val="18"/>
              </w:rPr>
              <w:t>响</w:t>
            </w:r>
          </w:p>
          <w:p w14:paraId="79BA3600">
            <w:pPr>
              <w:spacing w:line="240" w:lineRule="auto"/>
              <w:ind w:firstLine="0" w:firstLineChars="0"/>
              <w:jc w:val="center"/>
              <w:rPr>
                <w:color w:val="auto"/>
                <w:sz w:val="18"/>
                <w:szCs w:val="18"/>
              </w:rPr>
            </w:pPr>
            <w:r>
              <w:rPr>
                <w:rFonts w:hint="eastAsia"/>
                <w:color w:val="auto"/>
                <w:sz w:val="18"/>
                <w:szCs w:val="18"/>
              </w:rPr>
              <w:t>识</w:t>
            </w:r>
          </w:p>
          <w:p w14:paraId="2B4D81A0">
            <w:pPr>
              <w:spacing w:line="240" w:lineRule="auto"/>
              <w:ind w:firstLine="0" w:firstLineChars="0"/>
              <w:jc w:val="center"/>
              <w:rPr>
                <w:color w:val="auto"/>
                <w:sz w:val="18"/>
                <w:szCs w:val="18"/>
              </w:rPr>
            </w:pPr>
            <w:r>
              <w:rPr>
                <w:rFonts w:hint="eastAsia"/>
                <w:color w:val="auto"/>
                <w:sz w:val="18"/>
                <w:szCs w:val="18"/>
              </w:rPr>
              <w:t>别</w:t>
            </w:r>
          </w:p>
        </w:tc>
        <w:tc>
          <w:tcPr>
            <w:tcW w:w="1531" w:type="dxa"/>
            <w:vAlign w:val="center"/>
          </w:tcPr>
          <w:p w14:paraId="7B034924">
            <w:pPr>
              <w:spacing w:line="240" w:lineRule="auto"/>
              <w:ind w:firstLine="0" w:firstLineChars="0"/>
              <w:jc w:val="center"/>
              <w:rPr>
                <w:color w:val="auto"/>
                <w:sz w:val="18"/>
                <w:szCs w:val="18"/>
              </w:rPr>
            </w:pPr>
            <w:r>
              <w:rPr>
                <w:rFonts w:hint="eastAsia"/>
                <w:color w:val="auto"/>
                <w:sz w:val="18"/>
                <w:szCs w:val="18"/>
              </w:rPr>
              <w:t>影响类型</w:t>
            </w:r>
          </w:p>
        </w:tc>
        <w:tc>
          <w:tcPr>
            <w:tcW w:w="6807" w:type="dxa"/>
            <w:gridSpan w:val="12"/>
            <w:vAlign w:val="center"/>
          </w:tcPr>
          <w:p w14:paraId="277D155D">
            <w:pPr>
              <w:spacing w:line="240" w:lineRule="auto"/>
              <w:ind w:firstLine="0" w:firstLineChars="0"/>
              <w:jc w:val="left"/>
              <w:rPr>
                <w:color w:val="auto"/>
                <w:sz w:val="18"/>
                <w:szCs w:val="18"/>
              </w:rPr>
            </w:pPr>
            <w:r>
              <w:rPr>
                <w:rFonts w:hint="eastAsia"/>
                <w:color w:val="auto"/>
                <w:sz w:val="18"/>
                <w:szCs w:val="18"/>
              </w:rPr>
              <w:t xml:space="preserve">水污染影响型 </w:t>
            </w:r>
            <w:r>
              <w:rPr>
                <w:color w:val="auto"/>
                <w:sz w:val="18"/>
                <w:szCs w:val="18"/>
              </w:rPr>
              <w:sym w:font="Wingdings 2" w:char="0052"/>
            </w:r>
            <w:r>
              <w:rPr>
                <w:rFonts w:hint="eastAsia"/>
                <w:color w:val="auto"/>
                <w:sz w:val="18"/>
                <w:szCs w:val="18"/>
              </w:rPr>
              <w:t>；水文要素影响型 □</w:t>
            </w:r>
          </w:p>
        </w:tc>
      </w:tr>
      <w:tr w14:paraId="3435F5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6213344">
            <w:pPr>
              <w:spacing w:line="240" w:lineRule="auto"/>
              <w:ind w:firstLine="0" w:firstLineChars="0"/>
              <w:jc w:val="center"/>
              <w:rPr>
                <w:color w:val="auto"/>
                <w:sz w:val="18"/>
                <w:szCs w:val="18"/>
              </w:rPr>
            </w:pPr>
          </w:p>
        </w:tc>
        <w:tc>
          <w:tcPr>
            <w:tcW w:w="1531" w:type="dxa"/>
            <w:vAlign w:val="center"/>
          </w:tcPr>
          <w:p w14:paraId="63CD5174">
            <w:pPr>
              <w:spacing w:line="240" w:lineRule="auto"/>
              <w:ind w:firstLine="0" w:firstLineChars="0"/>
              <w:jc w:val="center"/>
              <w:rPr>
                <w:color w:val="auto"/>
                <w:sz w:val="18"/>
                <w:szCs w:val="18"/>
              </w:rPr>
            </w:pPr>
            <w:r>
              <w:rPr>
                <w:rFonts w:hint="eastAsia"/>
                <w:color w:val="auto"/>
                <w:sz w:val="18"/>
                <w:szCs w:val="18"/>
              </w:rPr>
              <w:t>水环境保护目标</w:t>
            </w:r>
          </w:p>
        </w:tc>
        <w:tc>
          <w:tcPr>
            <w:tcW w:w="6807" w:type="dxa"/>
            <w:gridSpan w:val="12"/>
            <w:vAlign w:val="center"/>
          </w:tcPr>
          <w:p w14:paraId="313EC2B7">
            <w:pPr>
              <w:spacing w:line="240" w:lineRule="auto"/>
              <w:ind w:firstLine="0" w:firstLineChars="0"/>
              <w:jc w:val="left"/>
              <w:rPr>
                <w:color w:val="auto"/>
                <w:sz w:val="18"/>
                <w:szCs w:val="18"/>
              </w:rPr>
            </w:pPr>
            <w:r>
              <w:rPr>
                <w:rFonts w:hint="eastAsia"/>
                <w:color w:val="auto"/>
                <w:sz w:val="18"/>
                <w:szCs w:val="18"/>
              </w:rPr>
              <w:t xml:space="preserve">饮用水水源保护区 □；饮用水取水口 ；涉水的自然保护区 □；重要湿地 □； </w:t>
            </w:r>
          </w:p>
          <w:p w14:paraId="6839A5C6">
            <w:pPr>
              <w:spacing w:line="240" w:lineRule="auto"/>
              <w:ind w:firstLine="0" w:firstLineChars="0"/>
              <w:jc w:val="left"/>
              <w:rPr>
                <w:color w:val="auto"/>
                <w:sz w:val="18"/>
                <w:szCs w:val="18"/>
              </w:rPr>
            </w:pPr>
            <w:r>
              <w:rPr>
                <w:rFonts w:hint="eastAsia"/>
                <w:color w:val="auto"/>
                <w:sz w:val="18"/>
                <w:szCs w:val="18"/>
              </w:rPr>
              <w:t xml:space="preserve">重点保护与珍稀水生生物的栖息地 </w:t>
            </w:r>
            <w:r>
              <w:rPr>
                <w:rFonts w:hint="eastAsia"/>
                <w:color w:val="auto"/>
                <w:sz w:val="18"/>
                <w:szCs w:val="18"/>
              </w:rPr>
              <w:sym w:font="Wingdings 2" w:char="00A3"/>
            </w:r>
            <w:r>
              <w:rPr>
                <w:rFonts w:hint="eastAsia"/>
                <w:color w:val="auto"/>
                <w:sz w:val="18"/>
                <w:szCs w:val="18"/>
              </w:rPr>
              <w:t>；重要水生生物的自然产卵场及索饵场、越冬场和洄游通道、天然渔场等渔业水体 □；涉水的风景名胜区 □；其他 □</w:t>
            </w:r>
          </w:p>
        </w:tc>
      </w:tr>
      <w:tr w14:paraId="50A81E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59D98D0E">
            <w:pPr>
              <w:spacing w:line="240" w:lineRule="auto"/>
              <w:ind w:firstLine="0" w:firstLineChars="0"/>
              <w:jc w:val="center"/>
              <w:rPr>
                <w:color w:val="auto"/>
                <w:sz w:val="18"/>
                <w:szCs w:val="18"/>
              </w:rPr>
            </w:pPr>
          </w:p>
        </w:tc>
        <w:tc>
          <w:tcPr>
            <w:tcW w:w="1531" w:type="dxa"/>
            <w:vMerge w:val="restart"/>
            <w:vAlign w:val="center"/>
          </w:tcPr>
          <w:p w14:paraId="4682F415">
            <w:pPr>
              <w:spacing w:line="240" w:lineRule="auto"/>
              <w:ind w:firstLine="0" w:firstLineChars="0"/>
              <w:jc w:val="center"/>
              <w:rPr>
                <w:color w:val="auto"/>
                <w:sz w:val="18"/>
                <w:szCs w:val="18"/>
              </w:rPr>
            </w:pPr>
            <w:r>
              <w:rPr>
                <w:rFonts w:hint="eastAsia"/>
                <w:color w:val="auto"/>
                <w:sz w:val="18"/>
                <w:szCs w:val="18"/>
              </w:rPr>
              <w:t>影响途径</w:t>
            </w:r>
          </w:p>
        </w:tc>
        <w:tc>
          <w:tcPr>
            <w:tcW w:w="3403" w:type="dxa"/>
            <w:gridSpan w:val="6"/>
            <w:vAlign w:val="center"/>
          </w:tcPr>
          <w:p w14:paraId="79C51115">
            <w:pPr>
              <w:spacing w:line="240" w:lineRule="auto"/>
              <w:ind w:firstLine="0" w:firstLineChars="0"/>
              <w:jc w:val="center"/>
              <w:rPr>
                <w:color w:val="auto"/>
                <w:sz w:val="18"/>
                <w:szCs w:val="18"/>
              </w:rPr>
            </w:pPr>
            <w:r>
              <w:rPr>
                <w:color w:val="auto"/>
                <w:sz w:val="18"/>
                <w:szCs w:val="18"/>
              </w:rPr>
              <w:t>水污染影响型</w:t>
            </w:r>
          </w:p>
        </w:tc>
        <w:tc>
          <w:tcPr>
            <w:tcW w:w="3404" w:type="dxa"/>
            <w:gridSpan w:val="6"/>
            <w:vAlign w:val="center"/>
          </w:tcPr>
          <w:p w14:paraId="05B5ACAC">
            <w:pPr>
              <w:spacing w:line="240" w:lineRule="auto"/>
              <w:ind w:firstLine="0" w:firstLineChars="0"/>
              <w:jc w:val="center"/>
              <w:rPr>
                <w:color w:val="auto"/>
                <w:sz w:val="18"/>
                <w:szCs w:val="18"/>
              </w:rPr>
            </w:pPr>
            <w:r>
              <w:rPr>
                <w:rFonts w:hint="eastAsia"/>
                <w:color w:val="auto"/>
                <w:sz w:val="18"/>
                <w:szCs w:val="18"/>
              </w:rPr>
              <w:t>水文要素影响型</w:t>
            </w:r>
          </w:p>
        </w:tc>
      </w:tr>
      <w:tr w14:paraId="495ADB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6E6CB3C">
            <w:pPr>
              <w:spacing w:line="240" w:lineRule="auto"/>
              <w:ind w:firstLine="0" w:firstLineChars="0"/>
              <w:jc w:val="center"/>
              <w:rPr>
                <w:color w:val="auto"/>
                <w:sz w:val="18"/>
                <w:szCs w:val="18"/>
              </w:rPr>
            </w:pPr>
          </w:p>
        </w:tc>
        <w:tc>
          <w:tcPr>
            <w:tcW w:w="1531" w:type="dxa"/>
            <w:vMerge w:val="continue"/>
            <w:vAlign w:val="center"/>
          </w:tcPr>
          <w:p w14:paraId="3F648AF4">
            <w:pPr>
              <w:spacing w:line="240" w:lineRule="auto"/>
              <w:ind w:firstLine="0" w:firstLineChars="0"/>
              <w:jc w:val="center"/>
              <w:rPr>
                <w:color w:val="auto"/>
                <w:sz w:val="18"/>
                <w:szCs w:val="18"/>
              </w:rPr>
            </w:pPr>
          </w:p>
        </w:tc>
        <w:tc>
          <w:tcPr>
            <w:tcW w:w="3403" w:type="dxa"/>
            <w:gridSpan w:val="6"/>
            <w:vAlign w:val="center"/>
          </w:tcPr>
          <w:p w14:paraId="7BBD0DA1">
            <w:pPr>
              <w:spacing w:line="240" w:lineRule="auto"/>
              <w:ind w:firstLine="0" w:firstLineChars="0"/>
              <w:jc w:val="left"/>
              <w:rPr>
                <w:color w:val="auto"/>
                <w:sz w:val="18"/>
                <w:szCs w:val="18"/>
              </w:rPr>
            </w:pPr>
            <w:r>
              <w:rPr>
                <w:rFonts w:hint="eastAsia"/>
                <w:color w:val="auto"/>
                <w:sz w:val="18"/>
                <w:szCs w:val="18"/>
              </w:rPr>
              <w:t xml:space="preserve">直接排放 □；间接排放 </w:t>
            </w:r>
            <w:r>
              <w:rPr>
                <w:rFonts w:hint="eastAsia"/>
                <w:color w:val="auto"/>
                <w:sz w:val="18"/>
                <w:szCs w:val="18"/>
              </w:rPr>
              <w:sym w:font="Wingdings 2" w:char="0052"/>
            </w:r>
            <w:r>
              <w:rPr>
                <w:rFonts w:hint="eastAsia"/>
                <w:color w:val="auto"/>
                <w:sz w:val="18"/>
                <w:szCs w:val="18"/>
              </w:rPr>
              <w:t xml:space="preserve">；其他 </w:t>
            </w:r>
            <w:r>
              <w:rPr>
                <w:color w:val="auto"/>
                <w:sz w:val="18"/>
                <w:szCs w:val="18"/>
              </w:rPr>
              <w:sym w:font="Wingdings 2" w:char="00A3"/>
            </w:r>
          </w:p>
        </w:tc>
        <w:tc>
          <w:tcPr>
            <w:tcW w:w="3404" w:type="dxa"/>
            <w:gridSpan w:val="6"/>
            <w:vAlign w:val="center"/>
          </w:tcPr>
          <w:p w14:paraId="6C1FD321">
            <w:pPr>
              <w:spacing w:line="240" w:lineRule="auto"/>
              <w:ind w:firstLine="0" w:firstLineChars="0"/>
              <w:jc w:val="left"/>
              <w:rPr>
                <w:color w:val="auto"/>
                <w:sz w:val="18"/>
                <w:szCs w:val="18"/>
              </w:rPr>
            </w:pPr>
            <w:r>
              <w:rPr>
                <w:rFonts w:hint="eastAsia"/>
                <w:color w:val="auto"/>
                <w:sz w:val="18"/>
                <w:szCs w:val="18"/>
              </w:rPr>
              <w:t>水温 □；径流 □；水域面积 □</w:t>
            </w:r>
          </w:p>
        </w:tc>
      </w:tr>
      <w:tr w14:paraId="482577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5590FC81">
            <w:pPr>
              <w:spacing w:line="240" w:lineRule="auto"/>
              <w:ind w:firstLine="0" w:firstLineChars="0"/>
              <w:jc w:val="center"/>
              <w:rPr>
                <w:color w:val="auto"/>
                <w:sz w:val="18"/>
                <w:szCs w:val="18"/>
              </w:rPr>
            </w:pPr>
          </w:p>
        </w:tc>
        <w:tc>
          <w:tcPr>
            <w:tcW w:w="1531" w:type="dxa"/>
            <w:vAlign w:val="center"/>
          </w:tcPr>
          <w:p w14:paraId="142E9A0E">
            <w:pPr>
              <w:spacing w:line="240" w:lineRule="auto"/>
              <w:ind w:firstLine="0" w:firstLineChars="0"/>
              <w:jc w:val="center"/>
              <w:rPr>
                <w:color w:val="auto"/>
                <w:sz w:val="18"/>
                <w:szCs w:val="18"/>
              </w:rPr>
            </w:pPr>
            <w:r>
              <w:rPr>
                <w:rFonts w:hint="eastAsia"/>
                <w:color w:val="auto"/>
                <w:sz w:val="18"/>
                <w:szCs w:val="18"/>
              </w:rPr>
              <w:t>影响因子</w:t>
            </w:r>
          </w:p>
        </w:tc>
        <w:tc>
          <w:tcPr>
            <w:tcW w:w="3403" w:type="dxa"/>
            <w:gridSpan w:val="6"/>
            <w:vAlign w:val="center"/>
          </w:tcPr>
          <w:p w14:paraId="11183D3B">
            <w:pPr>
              <w:spacing w:line="240" w:lineRule="auto"/>
              <w:ind w:firstLine="0" w:firstLineChars="0"/>
              <w:jc w:val="left"/>
              <w:rPr>
                <w:color w:val="auto"/>
                <w:sz w:val="18"/>
                <w:szCs w:val="18"/>
              </w:rPr>
            </w:pPr>
            <w:r>
              <w:rPr>
                <w:rFonts w:hint="eastAsia"/>
                <w:color w:val="auto"/>
                <w:sz w:val="18"/>
                <w:szCs w:val="18"/>
              </w:rPr>
              <w:t xml:space="preserve">持久性污染物 </w:t>
            </w:r>
            <w:r>
              <w:rPr>
                <w:rFonts w:hint="eastAsia"/>
                <w:color w:val="auto"/>
                <w:sz w:val="18"/>
                <w:szCs w:val="18"/>
              </w:rPr>
              <w:sym w:font="Wingdings 2" w:char="00A3"/>
            </w:r>
            <w:r>
              <w:rPr>
                <w:rFonts w:hint="eastAsia"/>
                <w:color w:val="auto"/>
                <w:sz w:val="18"/>
                <w:szCs w:val="18"/>
              </w:rPr>
              <w:t xml:space="preserve">；有毒有害污染物 □；非持久性污染物 </w:t>
            </w:r>
            <w:r>
              <w:rPr>
                <w:rFonts w:hint="eastAsia"/>
                <w:color w:val="auto"/>
                <w:sz w:val="18"/>
                <w:szCs w:val="18"/>
              </w:rPr>
              <w:sym w:font="Wingdings 2" w:char="0052"/>
            </w:r>
            <w:r>
              <w:rPr>
                <w:rFonts w:hint="eastAsia"/>
                <w:color w:val="auto"/>
                <w:sz w:val="18"/>
                <w:szCs w:val="18"/>
              </w:rPr>
              <w:t>；</w:t>
            </w:r>
          </w:p>
          <w:p w14:paraId="2314FAC9">
            <w:pPr>
              <w:spacing w:line="240" w:lineRule="auto"/>
              <w:ind w:firstLine="0" w:firstLineChars="0"/>
              <w:jc w:val="left"/>
              <w:rPr>
                <w:color w:val="auto"/>
                <w:sz w:val="18"/>
                <w:szCs w:val="18"/>
              </w:rPr>
            </w:pPr>
            <w:r>
              <w:rPr>
                <w:rFonts w:hint="eastAsia"/>
                <w:color w:val="auto"/>
                <w:sz w:val="18"/>
                <w:szCs w:val="18"/>
              </w:rPr>
              <w:t xml:space="preserve">pH值 </w:t>
            </w:r>
            <w:r>
              <w:rPr>
                <w:rFonts w:hint="eastAsia"/>
                <w:color w:val="auto"/>
                <w:sz w:val="18"/>
                <w:szCs w:val="18"/>
              </w:rPr>
              <w:sym w:font="Wingdings 2" w:char="0052"/>
            </w:r>
            <w:r>
              <w:rPr>
                <w:rFonts w:hint="eastAsia"/>
                <w:color w:val="auto"/>
                <w:sz w:val="18"/>
                <w:szCs w:val="18"/>
              </w:rPr>
              <w:t xml:space="preserve">；热污染 □；富营养化 □；其他 </w:t>
            </w:r>
            <w:r>
              <w:rPr>
                <w:color w:val="auto"/>
                <w:sz w:val="18"/>
                <w:szCs w:val="18"/>
              </w:rPr>
              <w:sym w:font="Wingdings 2" w:char="00A3"/>
            </w:r>
          </w:p>
        </w:tc>
        <w:tc>
          <w:tcPr>
            <w:tcW w:w="3404" w:type="dxa"/>
            <w:gridSpan w:val="6"/>
            <w:vAlign w:val="center"/>
          </w:tcPr>
          <w:p w14:paraId="2EA4605F">
            <w:pPr>
              <w:spacing w:line="240" w:lineRule="auto"/>
              <w:ind w:firstLine="0" w:firstLineChars="0"/>
              <w:jc w:val="left"/>
              <w:rPr>
                <w:color w:val="auto"/>
                <w:sz w:val="18"/>
                <w:szCs w:val="18"/>
              </w:rPr>
            </w:pPr>
            <w:r>
              <w:rPr>
                <w:rFonts w:hint="eastAsia"/>
                <w:color w:val="auto"/>
                <w:sz w:val="18"/>
                <w:szCs w:val="18"/>
              </w:rPr>
              <w:t>水温 □；水位（水深） □；流速 □；流量 □；其他 □</w:t>
            </w:r>
          </w:p>
        </w:tc>
      </w:tr>
      <w:tr w14:paraId="2AAF62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481" w:type="dxa"/>
            <w:gridSpan w:val="2"/>
            <w:vMerge w:val="restart"/>
            <w:vAlign w:val="center"/>
          </w:tcPr>
          <w:p w14:paraId="1663EA1E">
            <w:pPr>
              <w:spacing w:line="240" w:lineRule="auto"/>
              <w:ind w:firstLine="0" w:firstLineChars="0"/>
              <w:jc w:val="center"/>
              <w:rPr>
                <w:color w:val="auto"/>
                <w:sz w:val="18"/>
                <w:szCs w:val="18"/>
              </w:rPr>
            </w:pPr>
            <w:r>
              <w:rPr>
                <w:color w:val="auto"/>
                <w:sz w:val="18"/>
                <w:szCs w:val="18"/>
              </w:rPr>
              <w:t>评价等级</w:t>
            </w:r>
          </w:p>
        </w:tc>
        <w:tc>
          <w:tcPr>
            <w:tcW w:w="3403" w:type="dxa"/>
            <w:gridSpan w:val="6"/>
            <w:vAlign w:val="center"/>
          </w:tcPr>
          <w:p w14:paraId="14BFF14F">
            <w:pPr>
              <w:spacing w:line="240" w:lineRule="auto"/>
              <w:ind w:firstLine="0" w:firstLineChars="0"/>
              <w:jc w:val="center"/>
              <w:rPr>
                <w:color w:val="auto"/>
                <w:sz w:val="18"/>
                <w:szCs w:val="18"/>
              </w:rPr>
            </w:pPr>
            <w:r>
              <w:rPr>
                <w:color w:val="auto"/>
                <w:sz w:val="18"/>
                <w:szCs w:val="18"/>
              </w:rPr>
              <w:t>水污染影响型</w:t>
            </w:r>
          </w:p>
        </w:tc>
        <w:tc>
          <w:tcPr>
            <w:tcW w:w="3404" w:type="dxa"/>
            <w:gridSpan w:val="6"/>
            <w:vAlign w:val="center"/>
          </w:tcPr>
          <w:p w14:paraId="71F445A2">
            <w:pPr>
              <w:spacing w:line="240" w:lineRule="auto"/>
              <w:ind w:firstLine="0" w:firstLineChars="0"/>
              <w:jc w:val="center"/>
              <w:rPr>
                <w:color w:val="auto"/>
                <w:sz w:val="18"/>
                <w:szCs w:val="18"/>
              </w:rPr>
            </w:pPr>
            <w:r>
              <w:rPr>
                <w:rFonts w:hint="eastAsia"/>
                <w:color w:val="auto"/>
                <w:sz w:val="18"/>
                <w:szCs w:val="18"/>
              </w:rPr>
              <w:t>水文要素影响型</w:t>
            </w:r>
          </w:p>
        </w:tc>
      </w:tr>
      <w:tr w14:paraId="7A8D2D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481" w:type="dxa"/>
            <w:gridSpan w:val="2"/>
            <w:vMerge w:val="continue"/>
            <w:vAlign w:val="center"/>
          </w:tcPr>
          <w:p w14:paraId="63FD1CF0">
            <w:pPr>
              <w:spacing w:line="240" w:lineRule="auto"/>
              <w:ind w:firstLine="0" w:firstLineChars="0"/>
              <w:jc w:val="center"/>
              <w:rPr>
                <w:color w:val="auto"/>
                <w:sz w:val="18"/>
                <w:szCs w:val="18"/>
              </w:rPr>
            </w:pPr>
          </w:p>
        </w:tc>
        <w:tc>
          <w:tcPr>
            <w:tcW w:w="3403" w:type="dxa"/>
            <w:gridSpan w:val="6"/>
            <w:vAlign w:val="center"/>
          </w:tcPr>
          <w:p w14:paraId="37282854">
            <w:pPr>
              <w:spacing w:line="240" w:lineRule="auto"/>
              <w:ind w:firstLine="0" w:firstLineChars="0"/>
              <w:jc w:val="left"/>
              <w:rPr>
                <w:color w:val="auto"/>
                <w:sz w:val="18"/>
                <w:szCs w:val="18"/>
              </w:rPr>
            </w:pPr>
            <w:r>
              <w:rPr>
                <w:rFonts w:hint="eastAsia"/>
                <w:color w:val="auto"/>
                <w:sz w:val="18"/>
                <w:szCs w:val="18"/>
              </w:rPr>
              <w:t xml:space="preserve">一级 □；二级 □；三级A </w:t>
            </w:r>
            <w:r>
              <w:rPr>
                <w:rFonts w:hint="eastAsia"/>
                <w:color w:val="auto"/>
                <w:sz w:val="18"/>
                <w:szCs w:val="18"/>
              </w:rPr>
              <w:sym w:font="Wingdings 2" w:char="00A3"/>
            </w:r>
            <w:r>
              <w:rPr>
                <w:rFonts w:hint="eastAsia"/>
                <w:color w:val="auto"/>
                <w:sz w:val="18"/>
                <w:szCs w:val="18"/>
              </w:rPr>
              <w:t xml:space="preserve">；三级B </w:t>
            </w:r>
            <w:r>
              <w:rPr>
                <w:color w:val="auto"/>
                <w:sz w:val="18"/>
                <w:szCs w:val="18"/>
              </w:rPr>
              <w:sym w:font="Wingdings 2" w:char="0052"/>
            </w:r>
          </w:p>
        </w:tc>
        <w:tc>
          <w:tcPr>
            <w:tcW w:w="3404" w:type="dxa"/>
            <w:gridSpan w:val="6"/>
            <w:vAlign w:val="center"/>
          </w:tcPr>
          <w:p w14:paraId="3991E27C">
            <w:pPr>
              <w:spacing w:line="240" w:lineRule="auto"/>
              <w:ind w:firstLine="0" w:firstLineChars="0"/>
              <w:jc w:val="left"/>
              <w:rPr>
                <w:color w:val="auto"/>
                <w:sz w:val="18"/>
                <w:szCs w:val="18"/>
              </w:rPr>
            </w:pPr>
            <w:r>
              <w:rPr>
                <w:rFonts w:hint="eastAsia"/>
                <w:color w:val="auto"/>
                <w:sz w:val="18"/>
                <w:szCs w:val="18"/>
              </w:rPr>
              <w:t>一级 □；二级 □；三级 □</w:t>
            </w:r>
          </w:p>
        </w:tc>
      </w:tr>
      <w:tr w14:paraId="2FD2E8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restart"/>
            <w:vAlign w:val="center"/>
          </w:tcPr>
          <w:p w14:paraId="37AD1904">
            <w:pPr>
              <w:spacing w:line="240" w:lineRule="auto"/>
              <w:ind w:firstLine="0" w:firstLineChars="0"/>
              <w:jc w:val="center"/>
              <w:rPr>
                <w:color w:val="auto"/>
                <w:sz w:val="18"/>
                <w:szCs w:val="18"/>
              </w:rPr>
            </w:pPr>
            <w:r>
              <w:rPr>
                <w:rFonts w:hint="eastAsia"/>
                <w:color w:val="auto"/>
                <w:sz w:val="18"/>
                <w:szCs w:val="18"/>
              </w:rPr>
              <w:t>现</w:t>
            </w:r>
          </w:p>
          <w:p w14:paraId="1C736276">
            <w:pPr>
              <w:spacing w:line="240" w:lineRule="auto"/>
              <w:ind w:firstLine="0" w:firstLineChars="0"/>
              <w:jc w:val="center"/>
              <w:rPr>
                <w:color w:val="auto"/>
                <w:sz w:val="18"/>
                <w:szCs w:val="18"/>
              </w:rPr>
            </w:pPr>
            <w:r>
              <w:rPr>
                <w:rFonts w:hint="eastAsia"/>
                <w:color w:val="auto"/>
                <w:sz w:val="18"/>
                <w:szCs w:val="18"/>
              </w:rPr>
              <w:t>状</w:t>
            </w:r>
          </w:p>
          <w:p w14:paraId="7090B622">
            <w:pPr>
              <w:spacing w:line="240" w:lineRule="auto"/>
              <w:ind w:firstLine="0" w:firstLineChars="0"/>
              <w:jc w:val="center"/>
              <w:rPr>
                <w:color w:val="auto"/>
                <w:sz w:val="18"/>
                <w:szCs w:val="18"/>
              </w:rPr>
            </w:pPr>
            <w:r>
              <w:rPr>
                <w:rFonts w:hint="eastAsia"/>
                <w:color w:val="auto"/>
                <w:sz w:val="18"/>
                <w:szCs w:val="18"/>
              </w:rPr>
              <w:t>调</w:t>
            </w:r>
          </w:p>
          <w:p w14:paraId="4A734614">
            <w:pPr>
              <w:spacing w:line="240" w:lineRule="auto"/>
              <w:ind w:firstLine="0" w:firstLineChars="0"/>
              <w:jc w:val="center"/>
              <w:rPr>
                <w:color w:val="auto"/>
                <w:sz w:val="18"/>
                <w:szCs w:val="18"/>
              </w:rPr>
            </w:pPr>
            <w:r>
              <w:rPr>
                <w:rFonts w:hint="eastAsia"/>
                <w:color w:val="auto"/>
                <w:sz w:val="18"/>
                <w:szCs w:val="18"/>
              </w:rPr>
              <w:t>查</w:t>
            </w:r>
          </w:p>
        </w:tc>
        <w:tc>
          <w:tcPr>
            <w:tcW w:w="1531" w:type="dxa"/>
            <w:vMerge w:val="restart"/>
            <w:vAlign w:val="center"/>
          </w:tcPr>
          <w:p w14:paraId="58C2E4FE">
            <w:pPr>
              <w:spacing w:line="240" w:lineRule="auto"/>
              <w:ind w:firstLine="0" w:firstLineChars="0"/>
              <w:jc w:val="center"/>
              <w:rPr>
                <w:color w:val="auto"/>
                <w:sz w:val="18"/>
                <w:szCs w:val="18"/>
              </w:rPr>
            </w:pPr>
            <w:r>
              <w:rPr>
                <w:rFonts w:hint="eastAsia"/>
                <w:color w:val="auto"/>
                <w:sz w:val="18"/>
                <w:szCs w:val="18"/>
              </w:rPr>
              <w:t>区域污染源</w:t>
            </w:r>
          </w:p>
        </w:tc>
        <w:tc>
          <w:tcPr>
            <w:tcW w:w="3403" w:type="dxa"/>
            <w:gridSpan w:val="6"/>
            <w:vAlign w:val="center"/>
          </w:tcPr>
          <w:p w14:paraId="502577FE">
            <w:pPr>
              <w:spacing w:line="240" w:lineRule="auto"/>
              <w:ind w:firstLine="0" w:firstLineChars="0"/>
              <w:jc w:val="center"/>
              <w:rPr>
                <w:color w:val="auto"/>
                <w:sz w:val="18"/>
                <w:szCs w:val="18"/>
              </w:rPr>
            </w:pPr>
            <w:r>
              <w:rPr>
                <w:rFonts w:hint="eastAsia"/>
                <w:color w:val="auto"/>
                <w:sz w:val="18"/>
                <w:szCs w:val="18"/>
              </w:rPr>
              <w:t>调查项目</w:t>
            </w:r>
          </w:p>
        </w:tc>
        <w:tc>
          <w:tcPr>
            <w:tcW w:w="3404" w:type="dxa"/>
            <w:gridSpan w:val="6"/>
            <w:vAlign w:val="center"/>
          </w:tcPr>
          <w:p w14:paraId="0986264E">
            <w:pPr>
              <w:spacing w:line="240" w:lineRule="auto"/>
              <w:ind w:firstLine="0" w:firstLineChars="0"/>
              <w:jc w:val="center"/>
              <w:rPr>
                <w:color w:val="auto"/>
                <w:sz w:val="18"/>
                <w:szCs w:val="18"/>
              </w:rPr>
            </w:pPr>
            <w:r>
              <w:rPr>
                <w:rFonts w:hint="eastAsia"/>
                <w:color w:val="auto"/>
                <w:sz w:val="18"/>
                <w:szCs w:val="18"/>
              </w:rPr>
              <w:t>数据来源</w:t>
            </w:r>
          </w:p>
        </w:tc>
      </w:tr>
      <w:tr w14:paraId="79D44E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118C0A62">
            <w:pPr>
              <w:spacing w:line="240" w:lineRule="auto"/>
              <w:ind w:firstLine="0" w:firstLineChars="0"/>
              <w:jc w:val="center"/>
              <w:rPr>
                <w:color w:val="auto"/>
                <w:sz w:val="18"/>
                <w:szCs w:val="18"/>
              </w:rPr>
            </w:pPr>
          </w:p>
        </w:tc>
        <w:tc>
          <w:tcPr>
            <w:tcW w:w="1531" w:type="dxa"/>
            <w:vMerge w:val="continue"/>
            <w:vAlign w:val="center"/>
          </w:tcPr>
          <w:p w14:paraId="0E7B6581">
            <w:pPr>
              <w:spacing w:line="240" w:lineRule="auto"/>
              <w:ind w:firstLine="0" w:firstLineChars="0"/>
              <w:jc w:val="center"/>
              <w:rPr>
                <w:color w:val="auto"/>
                <w:sz w:val="18"/>
                <w:szCs w:val="18"/>
              </w:rPr>
            </w:pPr>
          </w:p>
        </w:tc>
        <w:tc>
          <w:tcPr>
            <w:tcW w:w="1702" w:type="dxa"/>
            <w:gridSpan w:val="2"/>
            <w:vAlign w:val="center"/>
          </w:tcPr>
          <w:p w14:paraId="2BA3A1D5">
            <w:pPr>
              <w:spacing w:line="240" w:lineRule="auto"/>
              <w:ind w:firstLine="0" w:firstLineChars="0"/>
              <w:jc w:val="left"/>
              <w:rPr>
                <w:color w:val="auto"/>
                <w:sz w:val="18"/>
                <w:szCs w:val="18"/>
              </w:rPr>
            </w:pPr>
            <w:r>
              <w:rPr>
                <w:rFonts w:hint="eastAsia"/>
                <w:color w:val="auto"/>
                <w:sz w:val="18"/>
                <w:szCs w:val="18"/>
              </w:rPr>
              <w:t xml:space="preserve">已建 </w:t>
            </w:r>
            <w:r>
              <w:rPr>
                <w:rFonts w:hint="eastAsia"/>
                <w:color w:val="auto"/>
                <w:sz w:val="18"/>
                <w:szCs w:val="18"/>
              </w:rPr>
              <w:sym w:font="Wingdings 2" w:char="00A3"/>
            </w:r>
            <w:r>
              <w:rPr>
                <w:rFonts w:hint="eastAsia"/>
                <w:color w:val="auto"/>
                <w:sz w:val="18"/>
                <w:szCs w:val="18"/>
              </w:rPr>
              <w:t>；在建 □；拟建 □；其他 □</w:t>
            </w:r>
          </w:p>
        </w:tc>
        <w:tc>
          <w:tcPr>
            <w:tcW w:w="1701" w:type="dxa"/>
            <w:gridSpan w:val="4"/>
            <w:vAlign w:val="center"/>
          </w:tcPr>
          <w:p w14:paraId="489B5AEC">
            <w:pPr>
              <w:spacing w:line="240" w:lineRule="auto"/>
              <w:ind w:firstLine="0" w:firstLineChars="0"/>
              <w:jc w:val="left"/>
              <w:rPr>
                <w:color w:val="auto"/>
                <w:sz w:val="18"/>
                <w:szCs w:val="18"/>
              </w:rPr>
            </w:pPr>
            <w:r>
              <w:rPr>
                <w:rFonts w:hint="eastAsia"/>
                <w:color w:val="auto"/>
                <w:sz w:val="18"/>
                <w:szCs w:val="18"/>
              </w:rPr>
              <w:t>拟替代的污染源□</w:t>
            </w:r>
          </w:p>
        </w:tc>
        <w:tc>
          <w:tcPr>
            <w:tcW w:w="3404" w:type="dxa"/>
            <w:gridSpan w:val="6"/>
            <w:vAlign w:val="center"/>
          </w:tcPr>
          <w:p w14:paraId="5996A169">
            <w:pPr>
              <w:spacing w:line="240" w:lineRule="auto"/>
              <w:ind w:firstLine="0" w:firstLineChars="0"/>
              <w:jc w:val="center"/>
              <w:rPr>
                <w:color w:val="auto"/>
                <w:sz w:val="18"/>
                <w:szCs w:val="18"/>
              </w:rPr>
            </w:pPr>
            <w:r>
              <w:rPr>
                <w:rFonts w:hint="eastAsia"/>
                <w:color w:val="auto"/>
                <w:sz w:val="18"/>
                <w:szCs w:val="18"/>
              </w:rPr>
              <w:t>排污许可证 □；环评 □；环保验收 □；既有实测 □；现场监测 □；入河排放口数据 □；其他 □</w:t>
            </w:r>
          </w:p>
        </w:tc>
      </w:tr>
      <w:tr w14:paraId="3F7546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5DB72D47">
            <w:pPr>
              <w:spacing w:line="240" w:lineRule="auto"/>
              <w:ind w:firstLine="0" w:firstLineChars="0"/>
              <w:jc w:val="center"/>
              <w:rPr>
                <w:color w:val="auto"/>
                <w:sz w:val="18"/>
                <w:szCs w:val="18"/>
              </w:rPr>
            </w:pPr>
          </w:p>
        </w:tc>
        <w:tc>
          <w:tcPr>
            <w:tcW w:w="1531" w:type="dxa"/>
            <w:vMerge w:val="restart"/>
            <w:vAlign w:val="center"/>
          </w:tcPr>
          <w:p w14:paraId="18CC060F">
            <w:pPr>
              <w:spacing w:line="240" w:lineRule="auto"/>
              <w:ind w:firstLine="0" w:firstLineChars="0"/>
              <w:jc w:val="center"/>
              <w:rPr>
                <w:color w:val="auto"/>
                <w:sz w:val="18"/>
                <w:szCs w:val="18"/>
              </w:rPr>
            </w:pPr>
            <w:r>
              <w:rPr>
                <w:rFonts w:hint="eastAsia"/>
                <w:color w:val="auto"/>
                <w:sz w:val="18"/>
                <w:szCs w:val="18"/>
              </w:rPr>
              <w:t>受影响水体水环境质量</w:t>
            </w:r>
          </w:p>
        </w:tc>
        <w:tc>
          <w:tcPr>
            <w:tcW w:w="3403" w:type="dxa"/>
            <w:gridSpan w:val="6"/>
            <w:vAlign w:val="center"/>
          </w:tcPr>
          <w:p w14:paraId="3D655B06">
            <w:pPr>
              <w:spacing w:line="240" w:lineRule="auto"/>
              <w:ind w:firstLine="0" w:firstLineChars="0"/>
              <w:jc w:val="center"/>
              <w:rPr>
                <w:color w:val="auto"/>
                <w:sz w:val="18"/>
                <w:szCs w:val="18"/>
              </w:rPr>
            </w:pPr>
            <w:r>
              <w:rPr>
                <w:rFonts w:hint="eastAsia"/>
                <w:color w:val="auto"/>
                <w:sz w:val="18"/>
                <w:szCs w:val="18"/>
              </w:rPr>
              <w:t>调查时期</w:t>
            </w:r>
          </w:p>
        </w:tc>
        <w:tc>
          <w:tcPr>
            <w:tcW w:w="3404" w:type="dxa"/>
            <w:gridSpan w:val="6"/>
            <w:vAlign w:val="center"/>
          </w:tcPr>
          <w:p w14:paraId="4A7E3BEA">
            <w:pPr>
              <w:spacing w:line="240" w:lineRule="auto"/>
              <w:ind w:firstLine="0" w:firstLineChars="0"/>
              <w:jc w:val="center"/>
              <w:rPr>
                <w:color w:val="auto"/>
                <w:sz w:val="18"/>
                <w:szCs w:val="18"/>
              </w:rPr>
            </w:pPr>
            <w:r>
              <w:rPr>
                <w:rFonts w:hint="eastAsia"/>
                <w:color w:val="auto"/>
                <w:sz w:val="18"/>
                <w:szCs w:val="18"/>
              </w:rPr>
              <w:t>数据来源</w:t>
            </w:r>
          </w:p>
        </w:tc>
      </w:tr>
      <w:tr w14:paraId="6CD136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3627A3AF">
            <w:pPr>
              <w:spacing w:line="240" w:lineRule="auto"/>
              <w:ind w:firstLine="0" w:firstLineChars="0"/>
              <w:jc w:val="center"/>
              <w:rPr>
                <w:color w:val="auto"/>
                <w:sz w:val="18"/>
                <w:szCs w:val="18"/>
              </w:rPr>
            </w:pPr>
          </w:p>
        </w:tc>
        <w:tc>
          <w:tcPr>
            <w:tcW w:w="1531" w:type="dxa"/>
            <w:vMerge w:val="continue"/>
            <w:vAlign w:val="center"/>
          </w:tcPr>
          <w:p w14:paraId="5AF30A56">
            <w:pPr>
              <w:spacing w:line="240" w:lineRule="auto"/>
              <w:ind w:firstLine="0" w:firstLineChars="0"/>
              <w:jc w:val="center"/>
              <w:rPr>
                <w:color w:val="auto"/>
                <w:sz w:val="18"/>
                <w:szCs w:val="18"/>
              </w:rPr>
            </w:pPr>
          </w:p>
        </w:tc>
        <w:tc>
          <w:tcPr>
            <w:tcW w:w="3403" w:type="dxa"/>
            <w:gridSpan w:val="6"/>
            <w:vAlign w:val="center"/>
          </w:tcPr>
          <w:p w14:paraId="16ED27CA">
            <w:pPr>
              <w:spacing w:line="240" w:lineRule="auto"/>
              <w:ind w:firstLine="0" w:firstLineChars="0"/>
              <w:jc w:val="left"/>
              <w:rPr>
                <w:color w:val="auto"/>
                <w:sz w:val="18"/>
                <w:szCs w:val="18"/>
              </w:rPr>
            </w:pPr>
            <w:r>
              <w:rPr>
                <w:rFonts w:hint="eastAsia"/>
                <w:color w:val="auto"/>
                <w:sz w:val="18"/>
                <w:szCs w:val="18"/>
              </w:rPr>
              <w:t xml:space="preserve">丰水期 □；平水期 □；枯水期 </w:t>
            </w:r>
            <w:r>
              <w:rPr>
                <w:rFonts w:hint="eastAsia"/>
                <w:color w:val="auto"/>
                <w:sz w:val="18"/>
                <w:szCs w:val="18"/>
              </w:rPr>
              <w:sym w:font="Wingdings 2" w:char="0052"/>
            </w:r>
            <w:r>
              <w:rPr>
                <w:rFonts w:hint="eastAsia"/>
                <w:color w:val="auto"/>
                <w:sz w:val="18"/>
                <w:szCs w:val="18"/>
              </w:rPr>
              <w:t>；冰封期 □</w:t>
            </w:r>
          </w:p>
          <w:p w14:paraId="7FB76860">
            <w:pPr>
              <w:spacing w:line="240" w:lineRule="auto"/>
              <w:ind w:firstLine="0" w:firstLineChars="0"/>
              <w:jc w:val="left"/>
              <w:rPr>
                <w:color w:val="auto"/>
                <w:sz w:val="18"/>
                <w:szCs w:val="18"/>
              </w:rPr>
            </w:pPr>
            <w:r>
              <w:rPr>
                <w:rFonts w:hint="eastAsia"/>
                <w:color w:val="auto"/>
                <w:sz w:val="18"/>
                <w:szCs w:val="18"/>
              </w:rPr>
              <w:t xml:space="preserve">春季 □；夏季 □；秋季 </w:t>
            </w:r>
            <w:r>
              <w:rPr>
                <w:rFonts w:hint="eastAsia"/>
                <w:color w:val="auto"/>
                <w:sz w:val="18"/>
                <w:szCs w:val="18"/>
              </w:rPr>
              <w:sym w:font="Wingdings 2" w:char="00A3"/>
            </w:r>
            <w:r>
              <w:rPr>
                <w:rFonts w:hint="eastAsia"/>
                <w:color w:val="auto"/>
                <w:sz w:val="18"/>
                <w:szCs w:val="18"/>
              </w:rPr>
              <w:t xml:space="preserve">；冬季 </w:t>
            </w:r>
            <w:r>
              <w:rPr>
                <w:rFonts w:hint="eastAsia"/>
                <w:color w:val="auto"/>
                <w:sz w:val="18"/>
                <w:szCs w:val="18"/>
              </w:rPr>
              <w:sym w:font="Wingdings 2" w:char="00A3"/>
            </w:r>
            <w:r>
              <w:rPr>
                <w:rFonts w:hint="eastAsia"/>
                <w:color w:val="auto"/>
                <w:sz w:val="18"/>
                <w:szCs w:val="18"/>
              </w:rPr>
              <w:t xml:space="preserve"> </w:t>
            </w:r>
          </w:p>
        </w:tc>
        <w:tc>
          <w:tcPr>
            <w:tcW w:w="3404" w:type="dxa"/>
            <w:gridSpan w:val="6"/>
            <w:vAlign w:val="center"/>
          </w:tcPr>
          <w:p w14:paraId="60452144">
            <w:pPr>
              <w:spacing w:line="240" w:lineRule="auto"/>
              <w:ind w:firstLine="0" w:firstLineChars="0"/>
              <w:rPr>
                <w:color w:val="auto"/>
                <w:sz w:val="18"/>
                <w:szCs w:val="18"/>
              </w:rPr>
            </w:pPr>
            <w:r>
              <w:rPr>
                <w:rFonts w:hint="eastAsia"/>
                <w:color w:val="auto"/>
                <w:sz w:val="18"/>
                <w:szCs w:val="18"/>
              </w:rPr>
              <w:t xml:space="preserve">生态环境保护主管部门 □；补充监测 </w:t>
            </w:r>
            <w:r>
              <w:rPr>
                <w:rFonts w:hint="eastAsia"/>
                <w:color w:val="auto"/>
                <w:sz w:val="18"/>
                <w:szCs w:val="18"/>
              </w:rPr>
              <w:sym w:font="Wingdings 2" w:char="0052"/>
            </w:r>
            <w:r>
              <w:rPr>
                <w:rFonts w:hint="eastAsia"/>
                <w:color w:val="auto"/>
                <w:sz w:val="18"/>
                <w:szCs w:val="18"/>
              </w:rPr>
              <w:t>；其他 □</w:t>
            </w:r>
          </w:p>
        </w:tc>
      </w:tr>
      <w:tr w14:paraId="465FDF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3AEC0CB7">
            <w:pPr>
              <w:spacing w:line="240" w:lineRule="auto"/>
              <w:ind w:firstLine="0" w:firstLineChars="0"/>
              <w:jc w:val="center"/>
              <w:rPr>
                <w:color w:val="auto"/>
                <w:sz w:val="18"/>
                <w:szCs w:val="18"/>
              </w:rPr>
            </w:pPr>
          </w:p>
        </w:tc>
        <w:tc>
          <w:tcPr>
            <w:tcW w:w="1531" w:type="dxa"/>
            <w:vAlign w:val="center"/>
          </w:tcPr>
          <w:p w14:paraId="65823D1C">
            <w:pPr>
              <w:spacing w:line="240" w:lineRule="auto"/>
              <w:ind w:firstLine="0" w:firstLineChars="0"/>
              <w:jc w:val="center"/>
              <w:rPr>
                <w:color w:val="auto"/>
                <w:sz w:val="18"/>
                <w:szCs w:val="18"/>
              </w:rPr>
            </w:pPr>
            <w:r>
              <w:rPr>
                <w:rFonts w:hint="eastAsia"/>
                <w:color w:val="auto"/>
                <w:sz w:val="18"/>
                <w:szCs w:val="18"/>
              </w:rPr>
              <w:t>区域水资源开发利用状况</w:t>
            </w:r>
          </w:p>
        </w:tc>
        <w:tc>
          <w:tcPr>
            <w:tcW w:w="6807" w:type="dxa"/>
            <w:gridSpan w:val="12"/>
            <w:vAlign w:val="center"/>
          </w:tcPr>
          <w:p w14:paraId="63FD559C">
            <w:pPr>
              <w:spacing w:line="240" w:lineRule="auto"/>
              <w:ind w:firstLine="0" w:firstLineChars="0"/>
              <w:jc w:val="left"/>
              <w:rPr>
                <w:color w:val="auto"/>
                <w:sz w:val="18"/>
                <w:szCs w:val="18"/>
              </w:rPr>
            </w:pPr>
            <w:r>
              <w:rPr>
                <w:rFonts w:hint="eastAsia"/>
                <w:color w:val="auto"/>
                <w:sz w:val="18"/>
                <w:szCs w:val="18"/>
              </w:rPr>
              <w:t>未开发 □；开发量 40%以下 □；开发量 40%以上 □</w:t>
            </w:r>
          </w:p>
        </w:tc>
      </w:tr>
      <w:tr w14:paraId="37FAED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71A27615">
            <w:pPr>
              <w:spacing w:line="240" w:lineRule="auto"/>
              <w:ind w:firstLine="0" w:firstLineChars="0"/>
              <w:jc w:val="center"/>
              <w:rPr>
                <w:color w:val="auto"/>
                <w:sz w:val="18"/>
                <w:szCs w:val="18"/>
              </w:rPr>
            </w:pPr>
          </w:p>
        </w:tc>
        <w:tc>
          <w:tcPr>
            <w:tcW w:w="1531" w:type="dxa"/>
            <w:vMerge w:val="restart"/>
            <w:vAlign w:val="center"/>
          </w:tcPr>
          <w:p w14:paraId="05794305">
            <w:pPr>
              <w:spacing w:line="240" w:lineRule="auto"/>
              <w:ind w:firstLine="0" w:firstLineChars="0"/>
              <w:jc w:val="center"/>
              <w:rPr>
                <w:color w:val="auto"/>
                <w:sz w:val="18"/>
                <w:szCs w:val="18"/>
              </w:rPr>
            </w:pPr>
            <w:r>
              <w:rPr>
                <w:rFonts w:hint="eastAsia"/>
                <w:color w:val="auto"/>
                <w:sz w:val="18"/>
                <w:szCs w:val="18"/>
              </w:rPr>
              <w:t>水文情势调查</w:t>
            </w:r>
          </w:p>
        </w:tc>
        <w:tc>
          <w:tcPr>
            <w:tcW w:w="3403" w:type="dxa"/>
            <w:gridSpan w:val="6"/>
            <w:vAlign w:val="center"/>
          </w:tcPr>
          <w:p w14:paraId="29DFB382">
            <w:pPr>
              <w:spacing w:line="240" w:lineRule="auto"/>
              <w:ind w:firstLine="0" w:firstLineChars="0"/>
              <w:jc w:val="center"/>
              <w:rPr>
                <w:color w:val="auto"/>
                <w:sz w:val="18"/>
                <w:szCs w:val="18"/>
              </w:rPr>
            </w:pPr>
            <w:r>
              <w:rPr>
                <w:rFonts w:hint="eastAsia"/>
                <w:color w:val="auto"/>
                <w:sz w:val="18"/>
                <w:szCs w:val="18"/>
              </w:rPr>
              <w:t>调查时期</w:t>
            </w:r>
          </w:p>
        </w:tc>
        <w:tc>
          <w:tcPr>
            <w:tcW w:w="3404" w:type="dxa"/>
            <w:gridSpan w:val="6"/>
            <w:vAlign w:val="center"/>
          </w:tcPr>
          <w:p w14:paraId="391BD022">
            <w:pPr>
              <w:spacing w:line="240" w:lineRule="auto"/>
              <w:ind w:firstLine="0" w:firstLineChars="0"/>
              <w:jc w:val="center"/>
              <w:rPr>
                <w:color w:val="auto"/>
                <w:sz w:val="18"/>
                <w:szCs w:val="18"/>
              </w:rPr>
            </w:pPr>
            <w:r>
              <w:rPr>
                <w:rFonts w:hint="eastAsia"/>
                <w:color w:val="auto"/>
                <w:sz w:val="18"/>
                <w:szCs w:val="18"/>
              </w:rPr>
              <w:t>数据来源</w:t>
            </w:r>
          </w:p>
        </w:tc>
      </w:tr>
      <w:tr w14:paraId="379DC9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61CDE1BB">
            <w:pPr>
              <w:spacing w:line="240" w:lineRule="auto"/>
              <w:ind w:firstLine="0" w:firstLineChars="0"/>
              <w:jc w:val="center"/>
              <w:rPr>
                <w:color w:val="auto"/>
                <w:sz w:val="18"/>
                <w:szCs w:val="18"/>
              </w:rPr>
            </w:pPr>
          </w:p>
        </w:tc>
        <w:tc>
          <w:tcPr>
            <w:tcW w:w="1531" w:type="dxa"/>
            <w:vMerge w:val="continue"/>
            <w:vAlign w:val="center"/>
          </w:tcPr>
          <w:p w14:paraId="25C02AF4">
            <w:pPr>
              <w:spacing w:line="240" w:lineRule="auto"/>
              <w:ind w:firstLine="0" w:firstLineChars="0"/>
              <w:jc w:val="center"/>
              <w:rPr>
                <w:color w:val="auto"/>
                <w:sz w:val="18"/>
                <w:szCs w:val="18"/>
              </w:rPr>
            </w:pPr>
          </w:p>
        </w:tc>
        <w:tc>
          <w:tcPr>
            <w:tcW w:w="3403" w:type="dxa"/>
            <w:gridSpan w:val="6"/>
            <w:vAlign w:val="center"/>
          </w:tcPr>
          <w:p w14:paraId="046D5342">
            <w:pPr>
              <w:spacing w:line="240" w:lineRule="auto"/>
              <w:ind w:firstLine="0" w:firstLineChars="0"/>
              <w:jc w:val="left"/>
              <w:rPr>
                <w:color w:val="auto"/>
                <w:sz w:val="18"/>
                <w:szCs w:val="18"/>
              </w:rPr>
            </w:pPr>
            <w:r>
              <w:rPr>
                <w:rFonts w:hint="eastAsia"/>
                <w:color w:val="auto"/>
                <w:sz w:val="18"/>
                <w:szCs w:val="18"/>
              </w:rPr>
              <w:t xml:space="preserve">丰水期 □；平水期 □；枯水期 </w:t>
            </w:r>
            <w:r>
              <w:rPr>
                <w:rFonts w:hint="eastAsia"/>
                <w:color w:val="auto"/>
                <w:sz w:val="18"/>
                <w:szCs w:val="18"/>
              </w:rPr>
              <w:sym w:font="Wingdings 2" w:char="0052"/>
            </w:r>
            <w:r>
              <w:rPr>
                <w:rFonts w:hint="eastAsia"/>
                <w:color w:val="auto"/>
                <w:sz w:val="18"/>
                <w:szCs w:val="18"/>
              </w:rPr>
              <w:t>；冰封期</w:t>
            </w:r>
          </w:p>
          <w:p w14:paraId="36945DD1">
            <w:pPr>
              <w:spacing w:line="240" w:lineRule="auto"/>
              <w:ind w:firstLine="0" w:firstLineChars="0"/>
              <w:jc w:val="left"/>
              <w:rPr>
                <w:color w:val="auto"/>
                <w:sz w:val="18"/>
                <w:szCs w:val="18"/>
              </w:rPr>
            </w:pPr>
            <w:r>
              <w:rPr>
                <w:rFonts w:hint="eastAsia"/>
                <w:color w:val="auto"/>
                <w:sz w:val="18"/>
                <w:szCs w:val="18"/>
              </w:rPr>
              <w:t xml:space="preserve">春季 </w:t>
            </w:r>
            <w:r>
              <w:rPr>
                <w:color w:val="auto"/>
                <w:sz w:val="18"/>
                <w:szCs w:val="18"/>
              </w:rPr>
              <w:sym w:font="Wingdings 2" w:char="00A3"/>
            </w:r>
            <w:r>
              <w:rPr>
                <w:rFonts w:hint="eastAsia"/>
                <w:color w:val="auto"/>
                <w:sz w:val="18"/>
                <w:szCs w:val="18"/>
              </w:rPr>
              <w:t xml:space="preserve">；夏季 □；秋季 □；冬季 </w:t>
            </w:r>
            <w:r>
              <w:rPr>
                <w:rFonts w:hint="eastAsia"/>
                <w:color w:val="auto"/>
                <w:sz w:val="18"/>
                <w:szCs w:val="18"/>
              </w:rPr>
              <w:sym w:font="Wingdings 2" w:char="00A3"/>
            </w:r>
          </w:p>
        </w:tc>
        <w:tc>
          <w:tcPr>
            <w:tcW w:w="3404" w:type="dxa"/>
            <w:gridSpan w:val="6"/>
            <w:vAlign w:val="center"/>
          </w:tcPr>
          <w:p w14:paraId="4E88CE8F">
            <w:pPr>
              <w:spacing w:line="240" w:lineRule="auto"/>
              <w:ind w:firstLine="0" w:firstLineChars="0"/>
              <w:jc w:val="left"/>
              <w:rPr>
                <w:color w:val="auto"/>
                <w:sz w:val="18"/>
                <w:szCs w:val="18"/>
              </w:rPr>
            </w:pPr>
            <w:r>
              <w:rPr>
                <w:rFonts w:hint="eastAsia"/>
                <w:color w:val="auto"/>
                <w:sz w:val="18"/>
                <w:szCs w:val="18"/>
              </w:rPr>
              <w:t xml:space="preserve">水行政主管部门 </w:t>
            </w:r>
            <w:r>
              <w:rPr>
                <w:rFonts w:hint="eastAsia"/>
                <w:color w:val="auto"/>
                <w:sz w:val="18"/>
                <w:szCs w:val="18"/>
              </w:rPr>
              <w:sym w:font="Wingdings 2" w:char="0052"/>
            </w:r>
            <w:r>
              <w:rPr>
                <w:rFonts w:hint="eastAsia"/>
                <w:color w:val="auto"/>
                <w:sz w:val="18"/>
                <w:szCs w:val="18"/>
              </w:rPr>
              <w:t xml:space="preserve">；补充监测 </w:t>
            </w:r>
            <w:r>
              <w:rPr>
                <w:color w:val="auto"/>
                <w:sz w:val="18"/>
                <w:szCs w:val="18"/>
              </w:rPr>
              <w:sym w:font="Wingdings 2" w:char="00A3"/>
            </w:r>
            <w:r>
              <w:rPr>
                <w:rFonts w:hint="eastAsia"/>
                <w:color w:val="auto"/>
                <w:sz w:val="18"/>
                <w:szCs w:val="18"/>
              </w:rPr>
              <w:t>；其他 □</w:t>
            </w:r>
          </w:p>
        </w:tc>
      </w:tr>
      <w:tr w14:paraId="111740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59C9A8C5">
            <w:pPr>
              <w:spacing w:line="240" w:lineRule="auto"/>
              <w:ind w:firstLine="0" w:firstLineChars="0"/>
              <w:jc w:val="center"/>
              <w:rPr>
                <w:color w:val="auto"/>
                <w:sz w:val="18"/>
                <w:szCs w:val="18"/>
              </w:rPr>
            </w:pPr>
          </w:p>
        </w:tc>
        <w:tc>
          <w:tcPr>
            <w:tcW w:w="1531" w:type="dxa"/>
            <w:vMerge w:val="restart"/>
            <w:vAlign w:val="center"/>
          </w:tcPr>
          <w:p w14:paraId="1BB16987">
            <w:pPr>
              <w:spacing w:line="240" w:lineRule="auto"/>
              <w:ind w:firstLine="0" w:firstLineChars="0"/>
              <w:jc w:val="center"/>
              <w:rPr>
                <w:color w:val="auto"/>
                <w:sz w:val="18"/>
                <w:szCs w:val="18"/>
              </w:rPr>
            </w:pPr>
            <w:r>
              <w:rPr>
                <w:rFonts w:hint="eastAsia"/>
                <w:color w:val="auto"/>
                <w:sz w:val="18"/>
                <w:szCs w:val="18"/>
              </w:rPr>
              <w:t>补充监测</w:t>
            </w:r>
          </w:p>
        </w:tc>
        <w:tc>
          <w:tcPr>
            <w:tcW w:w="2268" w:type="dxa"/>
            <w:gridSpan w:val="4"/>
            <w:vAlign w:val="center"/>
          </w:tcPr>
          <w:p w14:paraId="328C9FA0">
            <w:pPr>
              <w:spacing w:line="240" w:lineRule="auto"/>
              <w:ind w:firstLine="0" w:firstLineChars="0"/>
              <w:jc w:val="center"/>
              <w:rPr>
                <w:color w:val="auto"/>
                <w:sz w:val="18"/>
                <w:szCs w:val="18"/>
              </w:rPr>
            </w:pPr>
            <w:r>
              <w:rPr>
                <w:rFonts w:hint="eastAsia"/>
                <w:color w:val="auto"/>
                <w:sz w:val="18"/>
                <w:szCs w:val="18"/>
              </w:rPr>
              <w:t>监测时期</w:t>
            </w:r>
          </w:p>
        </w:tc>
        <w:tc>
          <w:tcPr>
            <w:tcW w:w="2268" w:type="dxa"/>
            <w:gridSpan w:val="5"/>
            <w:vAlign w:val="center"/>
          </w:tcPr>
          <w:p w14:paraId="0E3D92A2">
            <w:pPr>
              <w:spacing w:line="240" w:lineRule="auto"/>
              <w:ind w:firstLine="0" w:firstLineChars="0"/>
              <w:jc w:val="center"/>
              <w:rPr>
                <w:color w:val="auto"/>
                <w:sz w:val="18"/>
                <w:szCs w:val="18"/>
              </w:rPr>
            </w:pPr>
            <w:r>
              <w:rPr>
                <w:rFonts w:hint="eastAsia"/>
                <w:color w:val="auto"/>
                <w:sz w:val="18"/>
                <w:szCs w:val="18"/>
              </w:rPr>
              <w:t>监测因子</w:t>
            </w:r>
          </w:p>
        </w:tc>
        <w:tc>
          <w:tcPr>
            <w:tcW w:w="2271" w:type="dxa"/>
            <w:gridSpan w:val="3"/>
            <w:vAlign w:val="center"/>
          </w:tcPr>
          <w:p w14:paraId="60D0C252">
            <w:pPr>
              <w:spacing w:line="240" w:lineRule="auto"/>
              <w:ind w:firstLine="0" w:firstLineChars="0"/>
              <w:jc w:val="center"/>
              <w:rPr>
                <w:color w:val="auto"/>
                <w:sz w:val="18"/>
                <w:szCs w:val="18"/>
              </w:rPr>
            </w:pPr>
            <w:r>
              <w:rPr>
                <w:rFonts w:hint="eastAsia"/>
                <w:color w:val="auto"/>
                <w:sz w:val="18"/>
                <w:szCs w:val="18"/>
              </w:rPr>
              <w:t>监测断面或点位</w:t>
            </w:r>
          </w:p>
        </w:tc>
      </w:tr>
      <w:tr w14:paraId="288BBE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1EDB706">
            <w:pPr>
              <w:spacing w:line="240" w:lineRule="auto"/>
              <w:ind w:firstLine="0" w:firstLineChars="0"/>
              <w:jc w:val="center"/>
              <w:rPr>
                <w:color w:val="auto"/>
                <w:sz w:val="18"/>
                <w:szCs w:val="18"/>
              </w:rPr>
            </w:pPr>
          </w:p>
        </w:tc>
        <w:tc>
          <w:tcPr>
            <w:tcW w:w="1531" w:type="dxa"/>
            <w:vMerge w:val="continue"/>
            <w:vAlign w:val="center"/>
          </w:tcPr>
          <w:p w14:paraId="36530190">
            <w:pPr>
              <w:spacing w:line="240" w:lineRule="auto"/>
              <w:ind w:firstLine="0" w:firstLineChars="0"/>
              <w:jc w:val="center"/>
              <w:rPr>
                <w:color w:val="auto"/>
                <w:sz w:val="18"/>
                <w:szCs w:val="18"/>
              </w:rPr>
            </w:pPr>
          </w:p>
        </w:tc>
        <w:tc>
          <w:tcPr>
            <w:tcW w:w="2268" w:type="dxa"/>
            <w:gridSpan w:val="4"/>
            <w:vAlign w:val="center"/>
          </w:tcPr>
          <w:p w14:paraId="1AA604C3">
            <w:pPr>
              <w:spacing w:line="240" w:lineRule="auto"/>
              <w:ind w:firstLine="0" w:firstLineChars="0"/>
              <w:jc w:val="left"/>
              <w:rPr>
                <w:color w:val="auto"/>
                <w:sz w:val="18"/>
                <w:szCs w:val="18"/>
              </w:rPr>
            </w:pPr>
            <w:r>
              <w:rPr>
                <w:rFonts w:hint="eastAsia"/>
                <w:color w:val="auto"/>
                <w:sz w:val="18"/>
                <w:szCs w:val="18"/>
              </w:rPr>
              <w:t xml:space="preserve">丰水期 □；平水期 □；枯水期 </w:t>
            </w:r>
            <w:r>
              <w:rPr>
                <w:rFonts w:hint="eastAsia"/>
                <w:color w:val="auto"/>
                <w:sz w:val="18"/>
                <w:szCs w:val="18"/>
              </w:rPr>
              <w:sym w:font="Wingdings 2" w:char="00A3"/>
            </w:r>
            <w:r>
              <w:rPr>
                <w:rFonts w:hint="eastAsia"/>
                <w:color w:val="auto"/>
                <w:sz w:val="18"/>
                <w:szCs w:val="18"/>
              </w:rPr>
              <w:t xml:space="preserve">；冰封期 □ </w:t>
            </w:r>
          </w:p>
          <w:p w14:paraId="33E65C38">
            <w:pPr>
              <w:spacing w:line="240" w:lineRule="auto"/>
              <w:ind w:firstLine="0" w:firstLineChars="0"/>
              <w:jc w:val="left"/>
              <w:rPr>
                <w:color w:val="auto"/>
                <w:sz w:val="18"/>
                <w:szCs w:val="18"/>
              </w:rPr>
            </w:pPr>
            <w:r>
              <w:rPr>
                <w:rFonts w:hint="eastAsia"/>
                <w:color w:val="auto"/>
                <w:sz w:val="18"/>
                <w:szCs w:val="18"/>
              </w:rPr>
              <w:t xml:space="preserve">春季 </w:t>
            </w:r>
            <w:r>
              <w:rPr>
                <w:color w:val="auto"/>
                <w:sz w:val="18"/>
                <w:szCs w:val="18"/>
              </w:rPr>
              <w:sym w:font="Wingdings 2" w:char="00A3"/>
            </w:r>
            <w:r>
              <w:rPr>
                <w:rFonts w:hint="eastAsia"/>
                <w:color w:val="auto"/>
                <w:sz w:val="18"/>
                <w:szCs w:val="18"/>
              </w:rPr>
              <w:t xml:space="preserve">；夏季 □；秋季 </w:t>
            </w:r>
            <w:r>
              <w:rPr>
                <w:rFonts w:hint="eastAsia"/>
                <w:color w:val="auto"/>
                <w:sz w:val="18"/>
                <w:szCs w:val="18"/>
              </w:rPr>
              <w:sym w:font="Wingdings 2" w:char="00A3"/>
            </w:r>
            <w:r>
              <w:rPr>
                <w:rFonts w:hint="eastAsia"/>
                <w:color w:val="auto"/>
                <w:sz w:val="18"/>
                <w:szCs w:val="18"/>
              </w:rPr>
              <w:t xml:space="preserve">；冬季 </w:t>
            </w:r>
            <w:r>
              <w:rPr>
                <w:rFonts w:hint="eastAsia"/>
                <w:color w:val="auto"/>
                <w:sz w:val="18"/>
                <w:szCs w:val="18"/>
              </w:rPr>
              <w:sym w:font="Wingdings 2" w:char="00A3"/>
            </w:r>
          </w:p>
        </w:tc>
        <w:tc>
          <w:tcPr>
            <w:tcW w:w="2268" w:type="dxa"/>
            <w:gridSpan w:val="5"/>
            <w:vAlign w:val="center"/>
          </w:tcPr>
          <w:p w14:paraId="61A1B376">
            <w:pPr>
              <w:spacing w:line="240" w:lineRule="auto"/>
              <w:ind w:firstLine="0" w:firstLineChars="0"/>
              <w:jc w:val="center"/>
              <w:rPr>
                <w:color w:val="auto"/>
                <w:sz w:val="18"/>
                <w:szCs w:val="18"/>
              </w:rPr>
            </w:pPr>
            <w:r>
              <w:rPr>
                <w:rFonts w:hint="eastAsia"/>
                <w:color w:val="auto"/>
                <w:sz w:val="18"/>
                <w:szCs w:val="18"/>
              </w:rPr>
              <w:t>（</w:t>
            </w:r>
            <w:r>
              <w:rPr>
                <w:rFonts w:hint="eastAsia" w:ascii="宋体" w:hAnsi="宋体" w:cs="宋体"/>
                <w:color w:val="auto"/>
                <w:kern w:val="0"/>
                <w:sz w:val="21"/>
                <w:lang w:val="en-US" w:eastAsia="zh-CN"/>
              </w:rPr>
              <w:t>/</w:t>
            </w:r>
            <w:r>
              <w:rPr>
                <w:rFonts w:hint="eastAsia"/>
                <w:color w:val="auto"/>
                <w:sz w:val="18"/>
                <w:szCs w:val="18"/>
              </w:rPr>
              <w:t>）</w:t>
            </w:r>
          </w:p>
        </w:tc>
        <w:tc>
          <w:tcPr>
            <w:tcW w:w="2271" w:type="dxa"/>
            <w:gridSpan w:val="3"/>
            <w:vAlign w:val="center"/>
          </w:tcPr>
          <w:p w14:paraId="7C5926CB">
            <w:pPr>
              <w:spacing w:line="240" w:lineRule="auto"/>
              <w:ind w:firstLine="0" w:firstLineChars="0"/>
              <w:jc w:val="center"/>
              <w:rPr>
                <w:color w:val="auto"/>
                <w:sz w:val="18"/>
                <w:szCs w:val="18"/>
              </w:rPr>
            </w:pPr>
            <w:r>
              <w:rPr>
                <w:rFonts w:hint="eastAsia"/>
                <w:color w:val="auto"/>
                <w:sz w:val="18"/>
                <w:szCs w:val="18"/>
              </w:rPr>
              <w:t>监测断面或点位个数</w:t>
            </w:r>
          </w:p>
          <w:p w14:paraId="659031FE">
            <w:pPr>
              <w:spacing w:line="240" w:lineRule="auto"/>
              <w:ind w:firstLine="0" w:firstLineChars="0"/>
              <w:jc w:val="center"/>
              <w:rPr>
                <w:color w:val="auto"/>
                <w:sz w:val="18"/>
                <w:szCs w:val="18"/>
              </w:rPr>
            </w:pPr>
            <w:r>
              <w:rPr>
                <w:rFonts w:hint="eastAsia"/>
                <w:color w:val="auto"/>
                <w:sz w:val="18"/>
                <w:szCs w:val="18"/>
              </w:rPr>
              <w:t>（</w:t>
            </w:r>
            <w:r>
              <w:rPr>
                <w:rFonts w:hint="eastAsia"/>
                <w:color w:val="auto"/>
                <w:sz w:val="18"/>
                <w:szCs w:val="18"/>
                <w:lang w:val="en-US" w:eastAsia="zh-CN"/>
              </w:rPr>
              <w:t xml:space="preserve"> </w:t>
            </w:r>
            <w:r>
              <w:rPr>
                <w:rFonts w:hint="eastAsia"/>
                <w:color w:val="auto"/>
                <w:sz w:val="18"/>
                <w:szCs w:val="18"/>
              </w:rPr>
              <w:t xml:space="preserve">）个 </w:t>
            </w:r>
          </w:p>
        </w:tc>
      </w:tr>
      <w:tr w14:paraId="51F031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restart"/>
            <w:vAlign w:val="center"/>
          </w:tcPr>
          <w:p w14:paraId="66BD07B8">
            <w:pPr>
              <w:spacing w:line="240" w:lineRule="auto"/>
              <w:ind w:firstLine="0" w:firstLineChars="0"/>
              <w:jc w:val="center"/>
              <w:rPr>
                <w:color w:val="auto"/>
                <w:sz w:val="18"/>
                <w:szCs w:val="18"/>
              </w:rPr>
            </w:pPr>
            <w:r>
              <w:rPr>
                <w:rFonts w:hint="eastAsia"/>
                <w:color w:val="auto"/>
                <w:sz w:val="18"/>
                <w:szCs w:val="18"/>
              </w:rPr>
              <w:t>现</w:t>
            </w:r>
          </w:p>
          <w:p w14:paraId="3FA54E49">
            <w:pPr>
              <w:spacing w:line="240" w:lineRule="auto"/>
              <w:ind w:firstLine="0" w:firstLineChars="0"/>
              <w:jc w:val="center"/>
              <w:rPr>
                <w:color w:val="auto"/>
                <w:sz w:val="18"/>
                <w:szCs w:val="18"/>
              </w:rPr>
            </w:pPr>
            <w:r>
              <w:rPr>
                <w:rFonts w:hint="eastAsia"/>
                <w:color w:val="auto"/>
                <w:sz w:val="18"/>
                <w:szCs w:val="18"/>
              </w:rPr>
              <w:t>状</w:t>
            </w:r>
          </w:p>
          <w:p w14:paraId="5F086351">
            <w:pPr>
              <w:spacing w:line="240" w:lineRule="auto"/>
              <w:ind w:firstLine="0" w:firstLineChars="0"/>
              <w:jc w:val="center"/>
              <w:rPr>
                <w:color w:val="auto"/>
                <w:sz w:val="18"/>
                <w:szCs w:val="18"/>
              </w:rPr>
            </w:pPr>
            <w:r>
              <w:rPr>
                <w:rFonts w:hint="eastAsia"/>
                <w:color w:val="auto"/>
                <w:sz w:val="18"/>
                <w:szCs w:val="18"/>
              </w:rPr>
              <w:t>评</w:t>
            </w:r>
          </w:p>
          <w:p w14:paraId="3A5F9D2C">
            <w:pPr>
              <w:spacing w:line="240" w:lineRule="auto"/>
              <w:ind w:firstLine="0" w:firstLineChars="0"/>
              <w:jc w:val="center"/>
              <w:rPr>
                <w:color w:val="auto"/>
                <w:sz w:val="18"/>
                <w:szCs w:val="18"/>
              </w:rPr>
            </w:pPr>
            <w:r>
              <w:rPr>
                <w:rFonts w:hint="eastAsia"/>
                <w:color w:val="auto"/>
                <w:sz w:val="18"/>
                <w:szCs w:val="18"/>
              </w:rPr>
              <w:t>价</w:t>
            </w:r>
          </w:p>
        </w:tc>
        <w:tc>
          <w:tcPr>
            <w:tcW w:w="1531" w:type="dxa"/>
            <w:vAlign w:val="center"/>
          </w:tcPr>
          <w:p w14:paraId="4922580C">
            <w:pPr>
              <w:spacing w:line="240" w:lineRule="auto"/>
              <w:ind w:firstLine="0" w:firstLineChars="0"/>
              <w:jc w:val="center"/>
              <w:rPr>
                <w:color w:val="auto"/>
                <w:sz w:val="18"/>
                <w:szCs w:val="18"/>
              </w:rPr>
            </w:pPr>
            <w:r>
              <w:rPr>
                <w:rFonts w:hint="eastAsia"/>
                <w:color w:val="auto"/>
                <w:sz w:val="18"/>
                <w:szCs w:val="18"/>
              </w:rPr>
              <w:t>评价范围</w:t>
            </w:r>
          </w:p>
        </w:tc>
        <w:tc>
          <w:tcPr>
            <w:tcW w:w="6807" w:type="dxa"/>
            <w:gridSpan w:val="12"/>
            <w:vAlign w:val="center"/>
          </w:tcPr>
          <w:p w14:paraId="197BCC3A">
            <w:pPr>
              <w:spacing w:line="240" w:lineRule="auto"/>
              <w:ind w:firstLine="0" w:firstLineChars="0"/>
              <w:jc w:val="left"/>
              <w:rPr>
                <w:color w:val="auto"/>
                <w:sz w:val="18"/>
                <w:szCs w:val="18"/>
              </w:rPr>
            </w:pPr>
            <w:r>
              <w:rPr>
                <w:rFonts w:hint="eastAsia"/>
                <w:color w:val="auto"/>
                <w:sz w:val="18"/>
                <w:szCs w:val="18"/>
              </w:rPr>
              <w:t>河流：长度（2.5）km；湖库、河口及近岸海域：面积（/）km</w:t>
            </w:r>
            <w:r>
              <w:rPr>
                <w:rFonts w:hint="eastAsia"/>
                <w:color w:val="auto"/>
                <w:sz w:val="18"/>
                <w:szCs w:val="18"/>
                <w:vertAlign w:val="superscript"/>
              </w:rPr>
              <w:t>2</w:t>
            </w:r>
            <w:r>
              <w:rPr>
                <w:rFonts w:hint="eastAsia"/>
                <w:color w:val="auto"/>
                <w:sz w:val="18"/>
                <w:szCs w:val="18"/>
              </w:rPr>
              <w:t xml:space="preserve"> </w:t>
            </w:r>
          </w:p>
        </w:tc>
      </w:tr>
      <w:tr w14:paraId="3753FD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3B62DA6C">
            <w:pPr>
              <w:spacing w:line="240" w:lineRule="auto"/>
              <w:ind w:firstLine="0" w:firstLineChars="0"/>
              <w:jc w:val="center"/>
              <w:rPr>
                <w:color w:val="auto"/>
                <w:sz w:val="18"/>
                <w:szCs w:val="18"/>
              </w:rPr>
            </w:pPr>
          </w:p>
        </w:tc>
        <w:tc>
          <w:tcPr>
            <w:tcW w:w="1531" w:type="dxa"/>
            <w:vAlign w:val="center"/>
          </w:tcPr>
          <w:p w14:paraId="4C5BF3EF">
            <w:pPr>
              <w:spacing w:line="240" w:lineRule="auto"/>
              <w:ind w:firstLine="0" w:firstLineChars="0"/>
              <w:jc w:val="center"/>
              <w:rPr>
                <w:color w:val="auto"/>
                <w:sz w:val="18"/>
                <w:szCs w:val="18"/>
              </w:rPr>
            </w:pPr>
            <w:r>
              <w:rPr>
                <w:rFonts w:hint="eastAsia"/>
                <w:color w:val="auto"/>
                <w:sz w:val="18"/>
                <w:szCs w:val="18"/>
              </w:rPr>
              <w:t>评价因子</w:t>
            </w:r>
          </w:p>
        </w:tc>
        <w:tc>
          <w:tcPr>
            <w:tcW w:w="6807" w:type="dxa"/>
            <w:gridSpan w:val="12"/>
            <w:vAlign w:val="center"/>
          </w:tcPr>
          <w:p w14:paraId="1CAE50E7">
            <w:pPr>
              <w:spacing w:line="240" w:lineRule="auto"/>
              <w:ind w:firstLine="0" w:firstLineChars="0"/>
              <w:jc w:val="center"/>
              <w:rPr>
                <w:color w:val="auto"/>
                <w:sz w:val="18"/>
                <w:szCs w:val="18"/>
              </w:rPr>
            </w:pPr>
            <w:r>
              <w:rPr>
                <w:rFonts w:hint="eastAsia"/>
                <w:color w:val="auto"/>
                <w:sz w:val="18"/>
                <w:szCs w:val="18"/>
              </w:rPr>
              <w:t>（/）</w:t>
            </w:r>
          </w:p>
        </w:tc>
      </w:tr>
      <w:tr w14:paraId="21A4D3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5D3A749A">
            <w:pPr>
              <w:spacing w:line="240" w:lineRule="auto"/>
              <w:ind w:firstLine="0" w:firstLineChars="0"/>
              <w:jc w:val="center"/>
              <w:rPr>
                <w:color w:val="auto"/>
                <w:sz w:val="18"/>
                <w:szCs w:val="18"/>
              </w:rPr>
            </w:pPr>
          </w:p>
        </w:tc>
        <w:tc>
          <w:tcPr>
            <w:tcW w:w="1531" w:type="dxa"/>
            <w:vAlign w:val="center"/>
          </w:tcPr>
          <w:p w14:paraId="341D5707">
            <w:pPr>
              <w:spacing w:line="240" w:lineRule="auto"/>
              <w:ind w:firstLine="0" w:firstLineChars="0"/>
              <w:jc w:val="center"/>
              <w:rPr>
                <w:color w:val="auto"/>
                <w:sz w:val="18"/>
                <w:szCs w:val="18"/>
              </w:rPr>
            </w:pPr>
            <w:r>
              <w:rPr>
                <w:rFonts w:hint="eastAsia"/>
                <w:color w:val="auto"/>
                <w:sz w:val="18"/>
                <w:szCs w:val="18"/>
              </w:rPr>
              <w:t>评价标准</w:t>
            </w:r>
          </w:p>
        </w:tc>
        <w:tc>
          <w:tcPr>
            <w:tcW w:w="6807" w:type="dxa"/>
            <w:gridSpan w:val="12"/>
            <w:vAlign w:val="center"/>
          </w:tcPr>
          <w:p w14:paraId="1372E42F">
            <w:pPr>
              <w:spacing w:line="240" w:lineRule="auto"/>
              <w:ind w:firstLine="0" w:firstLineChars="0"/>
              <w:jc w:val="left"/>
              <w:rPr>
                <w:color w:val="auto"/>
                <w:sz w:val="18"/>
                <w:szCs w:val="18"/>
              </w:rPr>
            </w:pPr>
            <w:r>
              <w:rPr>
                <w:rFonts w:hint="eastAsia"/>
                <w:color w:val="auto"/>
                <w:sz w:val="18"/>
                <w:szCs w:val="18"/>
              </w:rPr>
              <w:t xml:space="preserve">河流、湖库、河口：Ⅰ类 □；Ⅱ类 </w:t>
            </w:r>
            <w:r>
              <w:rPr>
                <w:color w:val="auto"/>
                <w:sz w:val="18"/>
                <w:szCs w:val="18"/>
              </w:rPr>
              <w:sym w:font="Wingdings 2" w:char="00A3"/>
            </w:r>
            <w:r>
              <w:rPr>
                <w:rFonts w:hint="eastAsia"/>
                <w:color w:val="auto"/>
                <w:sz w:val="18"/>
                <w:szCs w:val="18"/>
              </w:rPr>
              <w:t xml:space="preserve">；Ⅲ类 </w:t>
            </w:r>
            <w:r>
              <w:rPr>
                <w:rFonts w:hint="eastAsia"/>
                <w:color w:val="auto"/>
                <w:sz w:val="18"/>
                <w:szCs w:val="18"/>
              </w:rPr>
              <w:sym w:font="Wingdings 2" w:char="0052"/>
            </w:r>
            <w:r>
              <w:rPr>
                <w:rFonts w:hint="eastAsia"/>
                <w:color w:val="auto"/>
                <w:sz w:val="18"/>
                <w:szCs w:val="18"/>
              </w:rPr>
              <w:t xml:space="preserve">；Ⅳ类 </w:t>
            </w:r>
            <w:r>
              <w:rPr>
                <w:rFonts w:hint="eastAsia"/>
                <w:color w:val="auto"/>
                <w:sz w:val="18"/>
                <w:szCs w:val="18"/>
              </w:rPr>
              <w:sym w:font="Wingdings 2" w:char="00A3"/>
            </w:r>
            <w:r>
              <w:rPr>
                <w:rFonts w:hint="eastAsia"/>
                <w:color w:val="auto"/>
                <w:sz w:val="18"/>
                <w:szCs w:val="18"/>
              </w:rPr>
              <w:t xml:space="preserve">；Ⅴ类 □ </w:t>
            </w:r>
          </w:p>
          <w:p w14:paraId="6D1E5B17">
            <w:pPr>
              <w:spacing w:line="240" w:lineRule="auto"/>
              <w:ind w:firstLine="0" w:firstLineChars="0"/>
              <w:jc w:val="left"/>
              <w:rPr>
                <w:color w:val="auto"/>
                <w:sz w:val="18"/>
                <w:szCs w:val="18"/>
              </w:rPr>
            </w:pPr>
            <w:r>
              <w:rPr>
                <w:rFonts w:hint="eastAsia"/>
                <w:color w:val="auto"/>
                <w:sz w:val="18"/>
                <w:szCs w:val="18"/>
              </w:rPr>
              <w:t xml:space="preserve">近岸海域：第一类 □；第二类 □；第三类 □；第四类 □ </w:t>
            </w:r>
          </w:p>
          <w:p w14:paraId="460BAFB5">
            <w:pPr>
              <w:spacing w:line="240" w:lineRule="auto"/>
              <w:ind w:firstLine="0" w:firstLineChars="0"/>
              <w:jc w:val="left"/>
              <w:rPr>
                <w:color w:val="auto"/>
                <w:sz w:val="18"/>
                <w:szCs w:val="18"/>
              </w:rPr>
            </w:pPr>
            <w:r>
              <w:rPr>
                <w:rFonts w:hint="eastAsia"/>
                <w:color w:val="auto"/>
                <w:sz w:val="18"/>
                <w:szCs w:val="18"/>
              </w:rPr>
              <w:t xml:space="preserve">规划年评价标准（/） </w:t>
            </w:r>
          </w:p>
        </w:tc>
      </w:tr>
      <w:tr w14:paraId="7DDE1D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68A201AF">
            <w:pPr>
              <w:spacing w:line="240" w:lineRule="auto"/>
              <w:ind w:firstLine="0" w:firstLineChars="0"/>
              <w:jc w:val="center"/>
              <w:rPr>
                <w:color w:val="auto"/>
                <w:sz w:val="18"/>
                <w:szCs w:val="18"/>
              </w:rPr>
            </w:pPr>
          </w:p>
        </w:tc>
        <w:tc>
          <w:tcPr>
            <w:tcW w:w="1531" w:type="dxa"/>
            <w:vAlign w:val="center"/>
          </w:tcPr>
          <w:p w14:paraId="54AC514C">
            <w:pPr>
              <w:spacing w:line="240" w:lineRule="auto"/>
              <w:ind w:firstLine="0" w:firstLineChars="0"/>
              <w:jc w:val="center"/>
              <w:rPr>
                <w:color w:val="auto"/>
                <w:sz w:val="18"/>
                <w:szCs w:val="18"/>
              </w:rPr>
            </w:pPr>
            <w:r>
              <w:rPr>
                <w:rFonts w:hint="eastAsia"/>
                <w:color w:val="auto"/>
                <w:sz w:val="18"/>
                <w:szCs w:val="18"/>
              </w:rPr>
              <w:t>评价时期</w:t>
            </w:r>
          </w:p>
        </w:tc>
        <w:tc>
          <w:tcPr>
            <w:tcW w:w="6807" w:type="dxa"/>
            <w:gridSpan w:val="12"/>
            <w:vAlign w:val="center"/>
          </w:tcPr>
          <w:p w14:paraId="71CB6EC2">
            <w:pPr>
              <w:spacing w:line="240" w:lineRule="auto"/>
              <w:ind w:firstLine="0" w:firstLineChars="0"/>
              <w:jc w:val="left"/>
              <w:rPr>
                <w:color w:val="auto"/>
                <w:sz w:val="18"/>
                <w:szCs w:val="18"/>
              </w:rPr>
            </w:pPr>
            <w:r>
              <w:rPr>
                <w:rFonts w:hint="eastAsia"/>
                <w:color w:val="auto"/>
                <w:sz w:val="18"/>
                <w:szCs w:val="18"/>
              </w:rPr>
              <w:t xml:space="preserve">丰水期 □；平水期 □；枯水期 </w:t>
            </w:r>
            <w:r>
              <w:rPr>
                <w:rFonts w:hint="eastAsia"/>
                <w:color w:val="auto"/>
                <w:sz w:val="18"/>
                <w:szCs w:val="18"/>
              </w:rPr>
              <w:sym w:font="Wingdings 2" w:char="00A3"/>
            </w:r>
            <w:r>
              <w:rPr>
                <w:rFonts w:hint="eastAsia"/>
                <w:color w:val="auto"/>
                <w:sz w:val="18"/>
                <w:szCs w:val="18"/>
              </w:rPr>
              <w:t xml:space="preserve">；冰封期 □ </w:t>
            </w:r>
          </w:p>
          <w:p w14:paraId="111106E3">
            <w:pPr>
              <w:spacing w:line="240" w:lineRule="auto"/>
              <w:ind w:firstLine="0" w:firstLineChars="0"/>
              <w:jc w:val="left"/>
              <w:rPr>
                <w:color w:val="auto"/>
                <w:sz w:val="18"/>
                <w:szCs w:val="18"/>
              </w:rPr>
            </w:pPr>
            <w:r>
              <w:rPr>
                <w:rFonts w:hint="eastAsia"/>
                <w:color w:val="auto"/>
                <w:sz w:val="18"/>
                <w:szCs w:val="18"/>
              </w:rPr>
              <w:t xml:space="preserve">春季 </w:t>
            </w:r>
            <w:r>
              <w:rPr>
                <w:color w:val="auto"/>
                <w:sz w:val="18"/>
                <w:szCs w:val="18"/>
              </w:rPr>
              <w:sym w:font="Wingdings 2" w:char="00A3"/>
            </w:r>
            <w:r>
              <w:rPr>
                <w:rFonts w:hint="eastAsia"/>
                <w:color w:val="auto"/>
                <w:sz w:val="18"/>
                <w:szCs w:val="18"/>
              </w:rPr>
              <w:t xml:space="preserve">；夏季 □；秋季 </w:t>
            </w:r>
            <w:r>
              <w:rPr>
                <w:rFonts w:hint="eastAsia"/>
                <w:color w:val="auto"/>
                <w:sz w:val="18"/>
                <w:szCs w:val="18"/>
              </w:rPr>
              <w:sym w:font="Wingdings 2" w:char="00A3"/>
            </w:r>
            <w:r>
              <w:rPr>
                <w:rFonts w:hint="eastAsia"/>
                <w:color w:val="auto"/>
                <w:sz w:val="18"/>
                <w:szCs w:val="18"/>
              </w:rPr>
              <w:t xml:space="preserve">；冬季 </w:t>
            </w:r>
            <w:r>
              <w:rPr>
                <w:rFonts w:hint="eastAsia"/>
                <w:color w:val="auto"/>
                <w:sz w:val="18"/>
                <w:szCs w:val="18"/>
              </w:rPr>
              <w:sym w:font="Wingdings 2" w:char="00A3"/>
            </w:r>
            <w:r>
              <w:rPr>
                <w:rFonts w:hint="eastAsia"/>
                <w:color w:val="auto"/>
                <w:sz w:val="18"/>
                <w:szCs w:val="18"/>
              </w:rPr>
              <w:t xml:space="preserve"> </w:t>
            </w:r>
          </w:p>
        </w:tc>
      </w:tr>
      <w:tr w14:paraId="259FB4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9A11938">
            <w:pPr>
              <w:spacing w:line="240" w:lineRule="auto"/>
              <w:ind w:firstLine="0" w:firstLineChars="0"/>
              <w:jc w:val="center"/>
              <w:rPr>
                <w:color w:val="auto"/>
                <w:sz w:val="18"/>
                <w:szCs w:val="18"/>
              </w:rPr>
            </w:pPr>
          </w:p>
        </w:tc>
        <w:tc>
          <w:tcPr>
            <w:tcW w:w="1531" w:type="dxa"/>
            <w:vAlign w:val="center"/>
          </w:tcPr>
          <w:p w14:paraId="05654546">
            <w:pPr>
              <w:spacing w:line="240" w:lineRule="auto"/>
              <w:ind w:firstLine="0" w:firstLineChars="0"/>
              <w:jc w:val="center"/>
              <w:rPr>
                <w:color w:val="auto"/>
                <w:sz w:val="18"/>
                <w:szCs w:val="18"/>
              </w:rPr>
            </w:pPr>
            <w:r>
              <w:rPr>
                <w:rFonts w:hint="eastAsia"/>
                <w:color w:val="auto"/>
                <w:sz w:val="18"/>
                <w:szCs w:val="18"/>
              </w:rPr>
              <w:t>评价结论</w:t>
            </w:r>
          </w:p>
        </w:tc>
        <w:tc>
          <w:tcPr>
            <w:tcW w:w="5392" w:type="dxa"/>
            <w:gridSpan w:val="10"/>
            <w:vAlign w:val="center"/>
          </w:tcPr>
          <w:p w14:paraId="3CB157A7">
            <w:pPr>
              <w:spacing w:line="240" w:lineRule="auto"/>
              <w:ind w:firstLine="0" w:firstLineChars="0"/>
              <w:jc w:val="left"/>
              <w:rPr>
                <w:color w:val="auto"/>
                <w:sz w:val="18"/>
                <w:szCs w:val="18"/>
              </w:rPr>
            </w:pPr>
            <w:r>
              <w:rPr>
                <w:rFonts w:hint="eastAsia"/>
                <w:color w:val="auto"/>
                <w:sz w:val="18"/>
                <w:szCs w:val="18"/>
              </w:rPr>
              <w:t xml:space="preserve">水环境功能区或水功能区、近岸海域环境功能区水质达标状况 □：达标 </w:t>
            </w:r>
            <w:r>
              <w:rPr>
                <w:rFonts w:hint="eastAsia"/>
                <w:color w:val="auto"/>
                <w:sz w:val="18"/>
                <w:szCs w:val="18"/>
              </w:rPr>
              <w:sym w:font="Wingdings 2" w:char="00A3"/>
            </w:r>
            <w:r>
              <w:rPr>
                <w:rFonts w:hint="eastAsia"/>
                <w:color w:val="auto"/>
                <w:sz w:val="18"/>
                <w:szCs w:val="18"/>
              </w:rPr>
              <w:t xml:space="preserve">；不达标 </w:t>
            </w:r>
            <w:r>
              <w:rPr>
                <w:color w:val="auto"/>
                <w:sz w:val="18"/>
                <w:szCs w:val="18"/>
              </w:rPr>
              <w:sym w:font="Wingdings 2" w:char="00A3"/>
            </w:r>
            <w:r>
              <w:rPr>
                <w:rFonts w:hint="eastAsia"/>
                <w:color w:val="auto"/>
                <w:sz w:val="18"/>
                <w:szCs w:val="18"/>
              </w:rPr>
              <w:t xml:space="preserve"> </w:t>
            </w:r>
          </w:p>
          <w:p w14:paraId="3E1D1067">
            <w:pPr>
              <w:spacing w:line="240" w:lineRule="auto"/>
              <w:ind w:firstLine="0" w:firstLineChars="0"/>
              <w:jc w:val="left"/>
              <w:rPr>
                <w:color w:val="auto"/>
                <w:sz w:val="18"/>
                <w:szCs w:val="18"/>
              </w:rPr>
            </w:pPr>
            <w:r>
              <w:rPr>
                <w:rFonts w:hint="eastAsia"/>
                <w:color w:val="auto"/>
                <w:sz w:val="18"/>
                <w:szCs w:val="18"/>
              </w:rPr>
              <w:t xml:space="preserve">水环境控制单元或断面水质达标状况 □：达标 </w:t>
            </w:r>
            <w:r>
              <w:rPr>
                <w:rFonts w:hint="eastAsia"/>
                <w:color w:val="auto"/>
                <w:sz w:val="18"/>
                <w:szCs w:val="18"/>
              </w:rPr>
              <w:sym w:font="Wingdings 2" w:char="00A3"/>
            </w:r>
            <w:r>
              <w:rPr>
                <w:rFonts w:hint="eastAsia"/>
                <w:color w:val="auto"/>
                <w:sz w:val="18"/>
                <w:szCs w:val="18"/>
              </w:rPr>
              <w:t xml:space="preserve">；不达标 </w:t>
            </w:r>
            <w:r>
              <w:rPr>
                <w:color w:val="auto"/>
                <w:sz w:val="18"/>
                <w:szCs w:val="18"/>
              </w:rPr>
              <w:sym w:font="Wingdings 2" w:char="00A3"/>
            </w:r>
          </w:p>
          <w:p w14:paraId="4A9CC696">
            <w:pPr>
              <w:spacing w:line="240" w:lineRule="auto"/>
              <w:ind w:firstLine="0" w:firstLineChars="0"/>
              <w:jc w:val="left"/>
              <w:rPr>
                <w:color w:val="auto"/>
                <w:sz w:val="18"/>
                <w:szCs w:val="18"/>
              </w:rPr>
            </w:pPr>
            <w:r>
              <w:rPr>
                <w:rFonts w:hint="eastAsia"/>
                <w:color w:val="auto"/>
                <w:sz w:val="18"/>
                <w:szCs w:val="18"/>
              </w:rPr>
              <w:t xml:space="preserve">水环境保护目标质量状况 □：达标 □；不达标 </w:t>
            </w:r>
            <w:r>
              <w:rPr>
                <w:rFonts w:hint="eastAsia"/>
                <w:color w:val="auto"/>
                <w:sz w:val="18"/>
                <w:szCs w:val="18"/>
              </w:rPr>
              <w:sym w:font="Wingdings 2" w:char="00A3"/>
            </w:r>
            <w:r>
              <w:rPr>
                <w:rFonts w:hint="eastAsia"/>
                <w:color w:val="auto"/>
                <w:sz w:val="18"/>
                <w:szCs w:val="18"/>
              </w:rPr>
              <w:t xml:space="preserve"> </w:t>
            </w:r>
          </w:p>
          <w:p w14:paraId="628C2A0B">
            <w:pPr>
              <w:spacing w:line="240" w:lineRule="auto"/>
              <w:ind w:firstLine="0" w:firstLineChars="0"/>
              <w:jc w:val="left"/>
              <w:rPr>
                <w:color w:val="auto"/>
                <w:sz w:val="18"/>
                <w:szCs w:val="18"/>
              </w:rPr>
            </w:pPr>
            <w:r>
              <w:rPr>
                <w:rFonts w:hint="eastAsia"/>
                <w:color w:val="auto"/>
                <w:sz w:val="18"/>
                <w:szCs w:val="18"/>
              </w:rPr>
              <w:t xml:space="preserve">对照断面、控制断面等代表性断面的水质状况 □：达标 </w:t>
            </w:r>
            <w:r>
              <w:rPr>
                <w:rFonts w:hint="eastAsia"/>
                <w:color w:val="auto"/>
                <w:sz w:val="18"/>
                <w:szCs w:val="18"/>
              </w:rPr>
              <w:sym w:font="Wingdings 2" w:char="0052"/>
            </w:r>
            <w:r>
              <w:rPr>
                <w:rFonts w:hint="eastAsia"/>
                <w:color w:val="auto"/>
                <w:sz w:val="18"/>
                <w:szCs w:val="18"/>
              </w:rPr>
              <w:t xml:space="preserve">；不达标 </w:t>
            </w:r>
            <w:r>
              <w:rPr>
                <w:color w:val="auto"/>
                <w:sz w:val="18"/>
                <w:szCs w:val="18"/>
              </w:rPr>
              <w:sym w:font="Wingdings 2" w:char="00A3"/>
            </w:r>
          </w:p>
          <w:p w14:paraId="442EEF21">
            <w:pPr>
              <w:spacing w:line="240" w:lineRule="auto"/>
              <w:ind w:firstLine="0" w:firstLineChars="0"/>
              <w:jc w:val="left"/>
              <w:rPr>
                <w:color w:val="auto"/>
                <w:sz w:val="18"/>
                <w:szCs w:val="18"/>
              </w:rPr>
            </w:pPr>
            <w:r>
              <w:rPr>
                <w:rFonts w:hint="eastAsia"/>
                <w:color w:val="auto"/>
                <w:sz w:val="18"/>
                <w:szCs w:val="18"/>
              </w:rPr>
              <w:t xml:space="preserve">底泥污染评价 □ </w:t>
            </w:r>
          </w:p>
          <w:p w14:paraId="4FC82199">
            <w:pPr>
              <w:spacing w:line="240" w:lineRule="auto"/>
              <w:ind w:firstLine="0" w:firstLineChars="0"/>
              <w:jc w:val="left"/>
              <w:rPr>
                <w:color w:val="auto"/>
                <w:sz w:val="18"/>
                <w:szCs w:val="18"/>
              </w:rPr>
            </w:pPr>
            <w:r>
              <w:rPr>
                <w:rFonts w:hint="eastAsia"/>
                <w:color w:val="auto"/>
                <w:sz w:val="18"/>
                <w:szCs w:val="18"/>
              </w:rPr>
              <w:t xml:space="preserve">水资源与开发利用程度及其水文情势评价 □ </w:t>
            </w:r>
          </w:p>
          <w:p w14:paraId="65641FC2">
            <w:pPr>
              <w:spacing w:line="240" w:lineRule="auto"/>
              <w:ind w:firstLine="0" w:firstLineChars="0"/>
              <w:jc w:val="left"/>
              <w:rPr>
                <w:color w:val="auto"/>
                <w:sz w:val="18"/>
                <w:szCs w:val="18"/>
              </w:rPr>
            </w:pPr>
            <w:r>
              <w:rPr>
                <w:rFonts w:hint="eastAsia"/>
                <w:color w:val="auto"/>
                <w:sz w:val="18"/>
                <w:szCs w:val="18"/>
              </w:rPr>
              <w:t xml:space="preserve">水环境质量回顾评价 □ </w:t>
            </w:r>
          </w:p>
          <w:p w14:paraId="3702DB17">
            <w:pPr>
              <w:spacing w:line="240" w:lineRule="auto"/>
              <w:ind w:firstLine="0" w:firstLineChars="0"/>
              <w:jc w:val="left"/>
              <w:rPr>
                <w:color w:val="auto"/>
                <w:sz w:val="18"/>
                <w:szCs w:val="18"/>
              </w:rPr>
            </w:pPr>
            <w:r>
              <w:rPr>
                <w:rFonts w:hint="eastAsia"/>
                <w:color w:val="auto"/>
                <w:sz w:val="18"/>
                <w:szCs w:val="18"/>
              </w:rPr>
              <w:t>流域（区域）水资源（包括水能资源）与开发利用总体状况、生态流量管理要求与现状满足程度、建设项目占用水域空间的水流状况与河湖演变状况 □</w:t>
            </w:r>
          </w:p>
        </w:tc>
        <w:tc>
          <w:tcPr>
            <w:tcW w:w="1415" w:type="dxa"/>
            <w:gridSpan w:val="2"/>
            <w:vAlign w:val="center"/>
          </w:tcPr>
          <w:p w14:paraId="18BA933F">
            <w:pPr>
              <w:spacing w:line="240" w:lineRule="auto"/>
              <w:ind w:firstLine="0" w:firstLineChars="0"/>
              <w:jc w:val="center"/>
              <w:rPr>
                <w:color w:val="auto"/>
                <w:sz w:val="18"/>
                <w:szCs w:val="18"/>
              </w:rPr>
            </w:pPr>
            <w:r>
              <w:rPr>
                <w:rFonts w:hint="eastAsia"/>
                <w:color w:val="auto"/>
                <w:sz w:val="18"/>
                <w:szCs w:val="18"/>
              </w:rPr>
              <w:t xml:space="preserve">达标区 </w:t>
            </w:r>
            <w:r>
              <w:rPr>
                <w:rFonts w:hint="eastAsia"/>
                <w:color w:val="auto"/>
                <w:sz w:val="18"/>
                <w:szCs w:val="18"/>
              </w:rPr>
              <w:sym w:font="Wingdings 2" w:char="00A3"/>
            </w:r>
            <w:r>
              <w:rPr>
                <w:rFonts w:hint="eastAsia"/>
                <w:color w:val="auto"/>
                <w:sz w:val="18"/>
                <w:szCs w:val="18"/>
              </w:rPr>
              <w:t xml:space="preserve"> </w:t>
            </w:r>
          </w:p>
          <w:p w14:paraId="055674C9">
            <w:pPr>
              <w:spacing w:line="240" w:lineRule="auto"/>
              <w:ind w:firstLine="0" w:firstLineChars="0"/>
              <w:jc w:val="center"/>
              <w:rPr>
                <w:color w:val="auto"/>
                <w:sz w:val="18"/>
                <w:szCs w:val="18"/>
              </w:rPr>
            </w:pPr>
            <w:r>
              <w:rPr>
                <w:rFonts w:hint="eastAsia"/>
                <w:color w:val="auto"/>
                <w:sz w:val="18"/>
                <w:szCs w:val="18"/>
              </w:rPr>
              <w:t xml:space="preserve">不达标区 </w:t>
            </w:r>
            <w:r>
              <w:rPr>
                <w:color w:val="auto"/>
                <w:sz w:val="18"/>
                <w:szCs w:val="18"/>
              </w:rPr>
              <w:sym w:font="Wingdings 2" w:char="00A3"/>
            </w:r>
          </w:p>
        </w:tc>
      </w:tr>
      <w:tr w14:paraId="6E16C8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restart"/>
            <w:vAlign w:val="center"/>
          </w:tcPr>
          <w:p w14:paraId="7412C970">
            <w:pPr>
              <w:spacing w:line="240" w:lineRule="auto"/>
              <w:ind w:firstLine="0" w:firstLineChars="0"/>
              <w:jc w:val="center"/>
              <w:rPr>
                <w:color w:val="auto"/>
                <w:sz w:val="18"/>
                <w:szCs w:val="18"/>
              </w:rPr>
            </w:pPr>
            <w:r>
              <w:rPr>
                <w:rFonts w:hint="eastAsia"/>
                <w:color w:val="auto"/>
                <w:sz w:val="18"/>
                <w:szCs w:val="18"/>
              </w:rPr>
              <w:t>影</w:t>
            </w:r>
          </w:p>
          <w:p w14:paraId="1817EFF1">
            <w:pPr>
              <w:spacing w:line="240" w:lineRule="auto"/>
              <w:ind w:firstLine="0" w:firstLineChars="0"/>
              <w:jc w:val="center"/>
              <w:rPr>
                <w:color w:val="auto"/>
                <w:sz w:val="18"/>
                <w:szCs w:val="18"/>
              </w:rPr>
            </w:pPr>
            <w:r>
              <w:rPr>
                <w:rFonts w:hint="eastAsia"/>
                <w:color w:val="auto"/>
                <w:sz w:val="18"/>
                <w:szCs w:val="18"/>
              </w:rPr>
              <w:t>响</w:t>
            </w:r>
          </w:p>
          <w:p w14:paraId="5BCA4E79">
            <w:pPr>
              <w:spacing w:line="240" w:lineRule="auto"/>
              <w:ind w:firstLine="0" w:firstLineChars="0"/>
              <w:jc w:val="center"/>
              <w:rPr>
                <w:color w:val="auto"/>
                <w:sz w:val="18"/>
                <w:szCs w:val="18"/>
              </w:rPr>
            </w:pPr>
            <w:r>
              <w:rPr>
                <w:rFonts w:hint="eastAsia"/>
                <w:color w:val="auto"/>
                <w:sz w:val="18"/>
                <w:szCs w:val="18"/>
              </w:rPr>
              <w:t>预</w:t>
            </w:r>
          </w:p>
          <w:p w14:paraId="37D79B5A">
            <w:pPr>
              <w:spacing w:line="240" w:lineRule="auto"/>
              <w:ind w:firstLine="0" w:firstLineChars="0"/>
              <w:jc w:val="center"/>
              <w:rPr>
                <w:color w:val="auto"/>
                <w:sz w:val="18"/>
                <w:szCs w:val="18"/>
              </w:rPr>
            </w:pPr>
            <w:r>
              <w:rPr>
                <w:rFonts w:hint="eastAsia"/>
                <w:color w:val="auto"/>
                <w:sz w:val="18"/>
                <w:szCs w:val="18"/>
              </w:rPr>
              <w:t>测</w:t>
            </w:r>
          </w:p>
        </w:tc>
        <w:tc>
          <w:tcPr>
            <w:tcW w:w="1531" w:type="dxa"/>
            <w:vAlign w:val="center"/>
          </w:tcPr>
          <w:p w14:paraId="21EC4BD7">
            <w:pPr>
              <w:spacing w:line="240" w:lineRule="auto"/>
              <w:ind w:firstLine="0" w:firstLineChars="0"/>
              <w:jc w:val="center"/>
              <w:rPr>
                <w:color w:val="auto"/>
                <w:sz w:val="18"/>
                <w:szCs w:val="18"/>
              </w:rPr>
            </w:pPr>
            <w:r>
              <w:rPr>
                <w:rFonts w:hint="eastAsia"/>
                <w:color w:val="auto"/>
                <w:sz w:val="18"/>
                <w:szCs w:val="18"/>
              </w:rPr>
              <w:t>预测范围</w:t>
            </w:r>
          </w:p>
        </w:tc>
        <w:tc>
          <w:tcPr>
            <w:tcW w:w="6807" w:type="dxa"/>
            <w:gridSpan w:val="12"/>
            <w:vAlign w:val="center"/>
          </w:tcPr>
          <w:p w14:paraId="5E14B101">
            <w:pPr>
              <w:spacing w:line="240" w:lineRule="auto"/>
              <w:ind w:firstLine="0" w:firstLineChars="0"/>
              <w:jc w:val="left"/>
              <w:rPr>
                <w:color w:val="auto"/>
                <w:sz w:val="18"/>
                <w:szCs w:val="18"/>
              </w:rPr>
            </w:pPr>
            <w:r>
              <w:rPr>
                <w:rFonts w:hint="eastAsia"/>
                <w:color w:val="auto"/>
                <w:sz w:val="18"/>
                <w:szCs w:val="18"/>
              </w:rPr>
              <w:t>河流：长度（ ）km；湖库、河口及近岸海域：面积（/）km</w:t>
            </w:r>
            <w:r>
              <w:rPr>
                <w:rFonts w:hint="eastAsia"/>
                <w:color w:val="auto"/>
                <w:sz w:val="18"/>
                <w:szCs w:val="18"/>
                <w:vertAlign w:val="superscript"/>
              </w:rPr>
              <w:t>2</w:t>
            </w:r>
          </w:p>
        </w:tc>
      </w:tr>
      <w:tr w14:paraId="2876D4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684E9313">
            <w:pPr>
              <w:spacing w:line="240" w:lineRule="auto"/>
              <w:ind w:firstLine="0" w:firstLineChars="0"/>
              <w:jc w:val="center"/>
              <w:rPr>
                <w:color w:val="auto"/>
                <w:sz w:val="18"/>
                <w:szCs w:val="18"/>
              </w:rPr>
            </w:pPr>
          </w:p>
        </w:tc>
        <w:tc>
          <w:tcPr>
            <w:tcW w:w="1531" w:type="dxa"/>
            <w:vAlign w:val="center"/>
          </w:tcPr>
          <w:p w14:paraId="362268C7">
            <w:pPr>
              <w:spacing w:line="240" w:lineRule="auto"/>
              <w:ind w:firstLine="0" w:firstLineChars="0"/>
              <w:jc w:val="center"/>
              <w:rPr>
                <w:color w:val="auto"/>
                <w:sz w:val="18"/>
                <w:szCs w:val="18"/>
              </w:rPr>
            </w:pPr>
            <w:r>
              <w:rPr>
                <w:rFonts w:hint="eastAsia"/>
                <w:color w:val="auto"/>
                <w:sz w:val="18"/>
                <w:szCs w:val="18"/>
              </w:rPr>
              <w:t>预测因子</w:t>
            </w:r>
          </w:p>
        </w:tc>
        <w:tc>
          <w:tcPr>
            <w:tcW w:w="6807" w:type="dxa"/>
            <w:gridSpan w:val="12"/>
            <w:vAlign w:val="center"/>
          </w:tcPr>
          <w:p w14:paraId="5254DE6C">
            <w:pPr>
              <w:spacing w:line="240" w:lineRule="auto"/>
              <w:ind w:firstLine="0" w:firstLineChars="0"/>
              <w:jc w:val="left"/>
              <w:rPr>
                <w:color w:val="auto"/>
                <w:sz w:val="18"/>
                <w:szCs w:val="18"/>
              </w:rPr>
            </w:pPr>
            <w:r>
              <w:rPr>
                <w:rFonts w:hint="eastAsia"/>
                <w:color w:val="auto"/>
                <w:sz w:val="18"/>
                <w:szCs w:val="18"/>
              </w:rPr>
              <w:t>（ ）</w:t>
            </w:r>
          </w:p>
        </w:tc>
      </w:tr>
      <w:tr w14:paraId="1C7F47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0C82CF8">
            <w:pPr>
              <w:spacing w:line="240" w:lineRule="auto"/>
              <w:ind w:firstLine="0" w:firstLineChars="0"/>
              <w:jc w:val="center"/>
              <w:rPr>
                <w:color w:val="auto"/>
                <w:sz w:val="18"/>
                <w:szCs w:val="18"/>
              </w:rPr>
            </w:pPr>
          </w:p>
        </w:tc>
        <w:tc>
          <w:tcPr>
            <w:tcW w:w="1531" w:type="dxa"/>
            <w:vAlign w:val="center"/>
          </w:tcPr>
          <w:p w14:paraId="3587CE25">
            <w:pPr>
              <w:spacing w:line="240" w:lineRule="auto"/>
              <w:ind w:firstLine="0" w:firstLineChars="0"/>
              <w:jc w:val="center"/>
              <w:rPr>
                <w:color w:val="auto"/>
                <w:sz w:val="18"/>
                <w:szCs w:val="18"/>
              </w:rPr>
            </w:pPr>
            <w:r>
              <w:rPr>
                <w:rFonts w:hint="eastAsia"/>
                <w:color w:val="auto"/>
                <w:sz w:val="18"/>
                <w:szCs w:val="18"/>
              </w:rPr>
              <w:t>预测时期</w:t>
            </w:r>
          </w:p>
        </w:tc>
        <w:tc>
          <w:tcPr>
            <w:tcW w:w="6807" w:type="dxa"/>
            <w:gridSpan w:val="12"/>
            <w:vAlign w:val="center"/>
          </w:tcPr>
          <w:p w14:paraId="4A223C94">
            <w:pPr>
              <w:spacing w:line="240" w:lineRule="auto"/>
              <w:ind w:firstLine="0" w:firstLineChars="0"/>
              <w:jc w:val="left"/>
              <w:rPr>
                <w:color w:val="auto"/>
                <w:sz w:val="18"/>
                <w:szCs w:val="18"/>
              </w:rPr>
            </w:pPr>
            <w:r>
              <w:rPr>
                <w:rFonts w:hint="eastAsia"/>
                <w:color w:val="auto"/>
                <w:sz w:val="18"/>
                <w:szCs w:val="18"/>
              </w:rPr>
              <w:t xml:space="preserve">丰水期 □；平水期 □；枯水期 </w:t>
            </w:r>
            <w:r>
              <w:rPr>
                <w:rFonts w:hint="eastAsia"/>
                <w:color w:val="auto"/>
                <w:sz w:val="18"/>
                <w:szCs w:val="18"/>
              </w:rPr>
              <w:sym w:font="Wingdings 2" w:char="00A3"/>
            </w:r>
            <w:r>
              <w:rPr>
                <w:rFonts w:hint="eastAsia"/>
                <w:color w:val="auto"/>
                <w:sz w:val="18"/>
                <w:szCs w:val="18"/>
              </w:rPr>
              <w:t>；冰封期 □</w:t>
            </w:r>
          </w:p>
          <w:p w14:paraId="1D9C4F2F">
            <w:pPr>
              <w:spacing w:line="240" w:lineRule="auto"/>
              <w:ind w:firstLine="0" w:firstLineChars="0"/>
              <w:jc w:val="left"/>
              <w:rPr>
                <w:color w:val="auto"/>
                <w:sz w:val="18"/>
                <w:szCs w:val="18"/>
              </w:rPr>
            </w:pPr>
            <w:r>
              <w:rPr>
                <w:rFonts w:hint="eastAsia"/>
                <w:color w:val="auto"/>
                <w:sz w:val="18"/>
                <w:szCs w:val="18"/>
              </w:rPr>
              <w:t xml:space="preserve">春季 □；夏季 □；秋季 □；冬季 □ </w:t>
            </w:r>
          </w:p>
          <w:p w14:paraId="0C0A760A">
            <w:pPr>
              <w:spacing w:line="240" w:lineRule="auto"/>
              <w:ind w:firstLine="0" w:firstLineChars="0"/>
              <w:jc w:val="left"/>
              <w:rPr>
                <w:color w:val="auto"/>
                <w:sz w:val="18"/>
                <w:szCs w:val="18"/>
              </w:rPr>
            </w:pPr>
            <w:r>
              <w:rPr>
                <w:rFonts w:hint="eastAsia"/>
                <w:color w:val="auto"/>
                <w:sz w:val="18"/>
                <w:szCs w:val="18"/>
              </w:rPr>
              <w:t>设计水文条件 □</w:t>
            </w:r>
          </w:p>
        </w:tc>
      </w:tr>
      <w:tr w14:paraId="45E889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1F43F01">
            <w:pPr>
              <w:spacing w:line="240" w:lineRule="auto"/>
              <w:ind w:firstLine="0" w:firstLineChars="0"/>
              <w:jc w:val="center"/>
              <w:rPr>
                <w:color w:val="auto"/>
                <w:sz w:val="18"/>
                <w:szCs w:val="18"/>
              </w:rPr>
            </w:pPr>
          </w:p>
        </w:tc>
        <w:tc>
          <w:tcPr>
            <w:tcW w:w="1531" w:type="dxa"/>
            <w:vAlign w:val="center"/>
          </w:tcPr>
          <w:p w14:paraId="0FE09BF0">
            <w:pPr>
              <w:spacing w:line="240" w:lineRule="auto"/>
              <w:ind w:firstLine="0" w:firstLineChars="0"/>
              <w:jc w:val="center"/>
              <w:rPr>
                <w:color w:val="auto"/>
                <w:sz w:val="18"/>
                <w:szCs w:val="18"/>
              </w:rPr>
            </w:pPr>
            <w:r>
              <w:rPr>
                <w:rFonts w:hint="eastAsia"/>
                <w:color w:val="auto"/>
                <w:sz w:val="18"/>
                <w:szCs w:val="18"/>
              </w:rPr>
              <w:t>预测情景</w:t>
            </w:r>
          </w:p>
        </w:tc>
        <w:tc>
          <w:tcPr>
            <w:tcW w:w="6807" w:type="dxa"/>
            <w:gridSpan w:val="12"/>
            <w:vAlign w:val="center"/>
          </w:tcPr>
          <w:p w14:paraId="558DFB6A">
            <w:pPr>
              <w:spacing w:line="240" w:lineRule="auto"/>
              <w:ind w:firstLine="0" w:firstLineChars="0"/>
              <w:jc w:val="left"/>
              <w:rPr>
                <w:color w:val="auto"/>
                <w:sz w:val="18"/>
                <w:szCs w:val="18"/>
              </w:rPr>
            </w:pPr>
            <w:r>
              <w:rPr>
                <w:rFonts w:hint="eastAsia"/>
                <w:color w:val="auto"/>
                <w:sz w:val="18"/>
                <w:szCs w:val="18"/>
              </w:rPr>
              <w:t xml:space="preserve">建设期 □；生产运行期 </w:t>
            </w:r>
            <w:r>
              <w:rPr>
                <w:rFonts w:hint="eastAsia"/>
                <w:color w:val="auto"/>
                <w:sz w:val="18"/>
                <w:szCs w:val="18"/>
              </w:rPr>
              <w:sym w:font="Wingdings 2" w:char="00A3"/>
            </w:r>
            <w:r>
              <w:rPr>
                <w:rFonts w:hint="eastAsia"/>
                <w:color w:val="auto"/>
                <w:sz w:val="18"/>
                <w:szCs w:val="18"/>
              </w:rPr>
              <w:t xml:space="preserve">；服务期满后 □ </w:t>
            </w:r>
          </w:p>
          <w:p w14:paraId="2B70FDE9">
            <w:pPr>
              <w:spacing w:line="240" w:lineRule="auto"/>
              <w:ind w:firstLine="0" w:firstLineChars="0"/>
              <w:jc w:val="left"/>
              <w:rPr>
                <w:color w:val="auto"/>
                <w:sz w:val="18"/>
                <w:szCs w:val="18"/>
              </w:rPr>
            </w:pPr>
            <w:r>
              <w:rPr>
                <w:rFonts w:hint="eastAsia"/>
                <w:color w:val="auto"/>
                <w:sz w:val="18"/>
                <w:szCs w:val="18"/>
              </w:rPr>
              <w:t xml:space="preserve">正常工况 </w:t>
            </w:r>
            <w:r>
              <w:rPr>
                <w:rFonts w:hint="eastAsia"/>
                <w:color w:val="auto"/>
                <w:sz w:val="18"/>
                <w:szCs w:val="18"/>
              </w:rPr>
              <w:sym w:font="Wingdings 2" w:char="00A3"/>
            </w:r>
            <w:r>
              <w:rPr>
                <w:rFonts w:hint="eastAsia"/>
                <w:color w:val="auto"/>
                <w:sz w:val="18"/>
                <w:szCs w:val="18"/>
              </w:rPr>
              <w:t xml:space="preserve">；非正常工况 </w:t>
            </w:r>
            <w:r>
              <w:rPr>
                <w:rFonts w:hint="eastAsia"/>
                <w:color w:val="auto"/>
                <w:sz w:val="18"/>
                <w:szCs w:val="18"/>
              </w:rPr>
              <w:sym w:font="Wingdings 2" w:char="00A3"/>
            </w:r>
            <w:r>
              <w:rPr>
                <w:rFonts w:hint="eastAsia"/>
                <w:color w:val="auto"/>
                <w:sz w:val="18"/>
                <w:szCs w:val="18"/>
              </w:rPr>
              <w:t xml:space="preserve"> </w:t>
            </w:r>
          </w:p>
          <w:p w14:paraId="59D260FB">
            <w:pPr>
              <w:spacing w:line="240" w:lineRule="auto"/>
              <w:ind w:firstLine="0" w:firstLineChars="0"/>
              <w:jc w:val="left"/>
              <w:rPr>
                <w:color w:val="auto"/>
                <w:sz w:val="18"/>
                <w:szCs w:val="18"/>
              </w:rPr>
            </w:pPr>
            <w:r>
              <w:rPr>
                <w:rFonts w:hint="eastAsia"/>
                <w:color w:val="auto"/>
                <w:sz w:val="18"/>
                <w:szCs w:val="18"/>
              </w:rPr>
              <w:t xml:space="preserve">污染控制和减缓措施方案 □ </w:t>
            </w:r>
          </w:p>
          <w:p w14:paraId="13A00924">
            <w:pPr>
              <w:spacing w:line="240" w:lineRule="auto"/>
              <w:ind w:firstLine="0" w:firstLineChars="0"/>
              <w:jc w:val="left"/>
              <w:rPr>
                <w:color w:val="auto"/>
                <w:sz w:val="18"/>
                <w:szCs w:val="18"/>
              </w:rPr>
            </w:pPr>
            <w:r>
              <w:rPr>
                <w:rFonts w:hint="eastAsia"/>
                <w:color w:val="auto"/>
                <w:sz w:val="18"/>
                <w:szCs w:val="18"/>
              </w:rPr>
              <w:t>区（流）域环境质量改善目标要求情景 □</w:t>
            </w:r>
          </w:p>
        </w:tc>
      </w:tr>
      <w:tr w14:paraId="5A9B2B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5F371C37">
            <w:pPr>
              <w:spacing w:line="240" w:lineRule="auto"/>
              <w:ind w:firstLine="0" w:firstLineChars="0"/>
              <w:jc w:val="center"/>
              <w:rPr>
                <w:color w:val="auto"/>
                <w:sz w:val="18"/>
                <w:szCs w:val="18"/>
              </w:rPr>
            </w:pPr>
          </w:p>
        </w:tc>
        <w:tc>
          <w:tcPr>
            <w:tcW w:w="1531" w:type="dxa"/>
            <w:vAlign w:val="center"/>
          </w:tcPr>
          <w:p w14:paraId="01C456A5">
            <w:pPr>
              <w:spacing w:line="240" w:lineRule="auto"/>
              <w:ind w:firstLine="0" w:firstLineChars="0"/>
              <w:jc w:val="center"/>
              <w:rPr>
                <w:color w:val="auto"/>
                <w:sz w:val="18"/>
                <w:szCs w:val="18"/>
              </w:rPr>
            </w:pPr>
            <w:r>
              <w:rPr>
                <w:rFonts w:hint="eastAsia"/>
                <w:color w:val="auto"/>
                <w:sz w:val="18"/>
                <w:szCs w:val="18"/>
              </w:rPr>
              <w:t>预测方法</w:t>
            </w:r>
          </w:p>
        </w:tc>
        <w:tc>
          <w:tcPr>
            <w:tcW w:w="6807" w:type="dxa"/>
            <w:gridSpan w:val="12"/>
            <w:vAlign w:val="center"/>
          </w:tcPr>
          <w:p w14:paraId="6C2E4859">
            <w:pPr>
              <w:spacing w:line="240" w:lineRule="auto"/>
              <w:ind w:firstLine="0" w:firstLineChars="0"/>
              <w:jc w:val="left"/>
              <w:rPr>
                <w:color w:val="auto"/>
                <w:sz w:val="18"/>
                <w:szCs w:val="18"/>
              </w:rPr>
            </w:pPr>
            <w:r>
              <w:rPr>
                <w:rFonts w:hint="eastAsia"/>
                <w:color w:val="auto"/>
                <w:sz w:val="18"/>
                <w:szCs w:val="18"/>
              </w:rPr>
              <w:t xml:space="preserve">数值解 □：解析解 </w:t>
            </w:r>
            <w:r>
              <w:rPr>
                <w:rFonts w:hint="eastAsia"/>
                <w:color w:val="auto"/>
                <w:sz w:val="18"/>
                <w:szCs w:val="18"/>
              </w:rPr>
              <w:sym w:font="Wingdings 2" w:char="00A3"/>
            </w:r>
            <w:r>
              <w:rPr>
                <w:rFonts w:hint="eastAsia"/>
                <w:color w:val="auto"/>
                <w:sz w:val="18"/>
                <w:szCs w:val="18"/>
              </w:rPr>
              <w:t xml:space="preserve">；其他 □ </w:t>
            </w:r>
          </w:p>
          <w:p w14:paraId="17233517">
            <w:pPr>
              <w:spacing w:line="240" w:lineRule="auto"/>
              <w:ind w:firstLine="0" w:firstLineChars="0"/>
              <w:jc w:val="left"/>
              <w:rPr>
                <w:color w:val="auto"/>
                <w:sz w:val="18"/>
                <w:szCs w:val="18"/>
              </w:rPr>
            </w:pPr>
            <w:r>
              <w:rPr>
                <w:rFonts w:hint="eastAsia"/>
                <w:color w:val="auto"/>
                <w:sz w:val="18"/>
                <w:szCs w:val="18"/>
              </w:rPr>
              <w:t xml:space="preserve">导则推荐模式 </w:t>
            </w:r>
            <w:r>
              <w:rPr>
                <w:rFonts w:hint="eastAsia"/>
                <w:color w:val="auto"/>
                <w:sz w:val="18"/>
                <w:szCs w:val="18"/>
              </w:rPr>
              <w:sym w:font="Wingdings 2" w:char="00A3"/>
            </w:r>
            <w:r>
              <w:rPr>
                <w:rFonts w:hint="eastAsia"/>
                <w:color w:val="auto"/>
                <w:sz w:val="18"/>
                <w:szCs w:val="18"/>
              </w:rPr>
              <w:t>：其他 □</w:t>
            </w:r>
          </w:p>
        </w:tc>
      </w:tr>
      <w:tr w14:paraId="0EA7A2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restart"/>
            <w:vAlign w:val="center"/>
          </w:tcPr>
          <w:p w14:paraId="275C0040">
            <w:pPr>
              <w:spacing w:line="240" w:lineRule="auto"/>
              <w:ind w:firstLine="0" w:firstLineChars="0"/>
              <w:jc w:val="center"/>
              <w:rPr>
                <w:color w:val="auto"/>
                <w:sz w:val="18"/>
                <w:szCs w:val="18"/>
              </w:rPr>
            </w:pPr>
            <w:r>
              <w:rPr>
                <w:rFonts w:hint="eastAsia"/>
                <w:color w:val="auto"/>
                <w:sz w:val="18"/>
                <w:szCs w:val="18"/>
              </w:rPr>
              <w:t>影</w:t>
            </w:r>
          </w:p>
          <w:p w14:paraId="7EB3D814">
            <w:pPr>
              <w:spacing w:line="240" w:lineRule="auto"/>
              <w:ind w:firstLine="0" w:firstLineChars="0"/>
              <w:jc w:val="center"/>
              <w:rPr>
                <w:color w:val="auto"/>
                <w:sz w:val="18"/>
                <w:szCs w:val="18"/>
              </w:rPr>
            </w:pPr>
            <w:r>
              <w:rPr>
                <w:rFonts w:hint="eastAsia"/>
                <w:color w:val="auto"/>
                <w:sz w:val="18"/>
                <w:szCs w:val="18"/>
              </w:rPr>
              <w:t>响</w:t>
            </w:r>
          </w:p>
          <w:p w14:paraId="6796D718">
            <w:pPr>
              <w:spacing w:line="240" w:lineRule="auto"/>
              <w:ind w:firstLine="0" w:firstLineChars="0"/>
              <w:jc w:val="center"/>
              <w:rPr>
                <w:color w:val="auto"/>
                <w:sz w:val="18"/>
                <w:szCs w:val="18"/>
              </w:rPr>
            </w:pPr>
            <w:r>
              <w:rPr>
                <w:rFonts w:hint="eastAsia"/>
                <w:color w:val="auto"/>
                <w:sz w:val="18"/>
                <w:szCs w:val="18"/>
              </w:rPr>
              <w:t>评</w:t>
            </w:r>
          </w:p>
          <w:p w14:paraId="2569F6E3">
            <w:pPr>
              <w:spacing w:line="240" w:lineRule="auto"/>
              <w:ind w:firstLine="0" w:firstLineChars="0"/>
              <w:jc w:val="center"/>
              <w:rPr>
                <w:color w:val="auto"/>
                <w:sz w:val="18"/>
                <w:szCs w:val="18"/>
              </w:rPr>
            </w:pPr>
            <w:r>
              <w:rPr>
                <w:rFonts w:hint="eastAsia"/>
                <w:color w:val="auto"/>
                <w:sz w:val="18"/>
                <w:szCs w:val="18"/>
              </w:rPr>
              <w:t>价</w:t>
            </w:r>
          </w:p>
        </w:tc>
        <w:tc>
          <w:tcPr>
            <w:tcW w:w="1531" w:type="dxa"/>
            <w:vAlign w:val="center"/>
          </w:tcPr>
          <w:p w14:paraId="0250C70E">
            <w:pPr>
              <w:spacing w:line="240" w:lineRule="auto"/>
              <w:ind w:firstLine="0" w:firstLineChars="0"/>
              <w:jc w:val="center"/>
              <w:rPr>
                <w:color w:val="auto"/>
                <w:sz w:val="18"/>
                <w:szCs w:val="18"/>
              </w:rPr>
            </w:pPr>
            <w:r>
              <w:rPr>
                <w:rFonts w:hint="eastAsia"/>
                <w:color w:val="auto"/>
                <w:sz w:val="18"/>
                <w:szCs w:val="18"/>
              </w:rPr>
              <w:t>水污染控制和水环境影响减缓措</w:t>
            </w:r>
          </w:p>
          <w:p w14:paraId="7C6F3689">
            <w:pPr>
              <w:spacing w:line="240" w:lineRule="auto"/>
              <w:ind w:firstLine="0" w:firstLineChars="0"/>
              <w:jc w:val="center"/>
              <w:rPr>
                <w:color w:val="auto"/>
                <w:sz w:val="18"/>
                <w:szCs w:val="18"/>
              </w:rPr>
            </w:pPr>
            <w:r>
              <w:rPr>
                <w:rFonts w:hint="eastAsia"/>
                <w:color w:val="auto"/>
                <w:sz w:val="18"/>
                <w:szCs w:val="18"/>
              </w:rPr>
              <w:t>施有效性评价</w:t>
            </w:r>
          </w:p>
        </w:tc>
        <w:tc>
          <w:tcPr>
            <w:tcW w:w="6807" w:type="dxa"/>
            <w:gridSpan w:val="12"/>
            <w:vAlign w:val="center"/>
          </w:tcPr>
          <w:p w14:paraId="2E291852">
            <w:pPr>
              <w:spacing w:line="240" w:lineRule="auto"/>
              <w:ind w:firstLine="0" w:firstLineChars="0"/>
              <w:jc w:val="left"/>
              <w:rPr>
                <w:color w:val="auto"/>
                <w:sz w:val="18"/>
                <w:szCs w:val="18"/>
              </w:rPr>
            </w:pPr>
            <w:r>
              <w:rPr>
                <w:rFonts w:hint="eastAsia"/>
                <w:color w:val="auto"/>
                <w:sz w:val="18"/>
                <w:szCs w:val="18"/>
              </w:rPr>
              <w:t xml:space="preserve">区（流）域水环境质量改善目标 □；替代削减源 □ </w:t>
            </w:r>
          </w:p>
        </w:tc>
      </w:tr>
      <w:tr w14:paraId="4165B6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5D225D42">
            <w:pPr>
              <w:spacing w:line="240" w:lineRule="auto"/>
              <w:ind w:firstLine="0" w:firstLineChars="0"/>
              <w:jc w:val="center"/>
              <w:rPr>
                <w:color w:val="auto"/>
                <w:sz w:val="18"/>
                <w:szCs w:val="18"/>
              </w:rPr>
            </w:pPr>
          </w:p>
        </w:tc>
        <w:tc>
          <w:tcPr>
            <w:tcW w:w="1531" w:type="dxa"/>
            <w:vAlign w:val="center"/>
          </w:tcPr>
          <w:p w14:paraId="0D3D903E">
            <w:pPr>
              <w:spacing w:line="240" w:lineRule="auto"/>
              <w:ind w:firstLine="0" w:firstLineChars="0"/>
              <w:jc w:val="center"/>
              <w:rPr>
                <w:color w:val="auto"/>
                <w:sz w:val="18"/>
                <w:szCs w:val="18"/>
              </w:rPr>
            </w:pPr>
            <w:r>
              <w:rPr>
                <w:rFonts w:hint="eastAsia"/>
                <w:color w:val="auto"/>
                <w:sz w:val="18"/>
                <w:szCs w:val="18"/>
              </w:rPr>
              <w:t>水环境影响评价</w:t>
            </w:r>
          </w:p>
        </w:tc>
        <w:tc>
          <w:tcPr>
            <w:tcW w:w="6807" w:type="dxa"/>
            <w:gridSpan w:val="12"/>
            <w:vAlign w:val="center"/>
          </w:tcPr>
          <w:p w14:paraId="48C53AAF">
            <w:pPr>
              <w:spacing w:line="240" w:lineRule="auto"/>
              <w:ind w:firstLine="0" w:firstLineChars="0"/>
              <w:jc w:val="left"/>
              <w:rPr>
                <w:color w:val="auto"/>
                <w:sz w:val="18"/>
                <w:szCs w:val="18"/>
              </w:rPr>
            </w:pPr>
            <w:r>
              <w:rPr>
                <w:rFonts w:hint="eastAsia"/>
                <w:color w:val="auto"/>
                <w:sz w:val="18"/>
                <w:szCs w:val="18"/>
              </w:rPr>
              <w:t xml:space="preserve">排放口混合区外满足水环境管理要求 □ </w:t>
            </w:r>
          </w:p>
          <w:p w14:paraId="0A32942A">
            <w:pPr>
              <w:spacing w:line="240" w:lineRule="auto"/>
              <w:ind w:firstLine="0" w:firstLineChars="0"/>
              <w:jc w:val="left"/>
              <w:rPr>
                <w:color w:val="auto"/>
                <w:sz w:val="18"/>
                <w:szCs w:val="18"/>
              </w:rPr>
            </w:pPr>
            <w:r>
              <w:rPr>
                <w:rFonts w:hint="eastAsia"/>
                <w:color w:val="auto"/>
                <w:sz w:val="18"/>
                <w:szCs w:val="18"/>
              </w:rPr>
              <w:t xml:space="preserve">水环境功能区或水功能区、近岸海域环境功能区水质达标 </w:t>
            </w:r>
            <w:r>
              <w:rPr>
                <w:rFonts w:hint="eastAsia"/>
                <w:color w:val="auto"/>
                <w:sz w:val="18"/>
                <w:szCs w:val="18"/>
              </w:rPr>
              <w:sym w:font="Wingdings 2" w:char="00A3"/>
            </w:r>
            <w:r>
              <w:rPr>
                <w:rFonts w:hint="eastAsia"/>
                <w:color w:val="auto"/>
                <w:sz w:val="18"/>
                <w:szCs w:val="18"/>
              </w:rPr>
              <w:t xml:space="preserve"> </w:t>
            </w:r>
          </w:p>
          <w:p w14:paraId="2A4A5C1D">
            <w:pPr>
              <w:spacing w:line="240" w:lineRule="auto"/>
              <w:ind w:firstLine="0" w:firstLineChars="0"/>
              <w:jc w:val="left"/>
              <w:rPr>
                <w:color w:val="auto"/>
                <w:sz w:val="18"/>
                <w:szCs w:val="18"/>
              </w:rPr>
            </w:pPr>
            <w:r>
              <w:rPr>
                <w:rFonts w:hint="eastAsia"/>
                <w:color w:val="auto"/>
                <w:sz w:val="18"/>
                <w:szCs w:val="18"/>
              </w:rPr>
              <w:t xml:space="preserve">满足水环境保护目标水域水环境质量要求 </w:t>
            </w:r>
            <w:r>
              <w:rPr>
                <w:rFonts w:hint="eastAsia"/>
                <w:color w:val="auto"/>
                <w:sz w:val="18"/>
                <w:szCs w:val="18"/>
              </w:rPr>
              <w:sym w:font="Wingdings 2" w:char="00A3"/>
            </w:r>
            <w:r>
              <w:rPr>
                <w:rFonts w:hint="eastAsia"/>
                <w:color w:val="auto"/>
                <w:sz w:val="18"/>
                <w:szCs w:val="18"/>
              </w:rPr>
              <w:t xml:space="preserve"> </w:t>
            </w:r>
          </w:p>
          <w:p w14:paraId="0B655A28">
            <w:pPr>
              <w:spacing w:line="240" w:lineRule="auto"/>
              <w:ind w:firstLine="0" w:firstLineChars="0"/>
              <w:jc w:val="left"/>
              <w:rPr>
                <w:color w:val="auto"/>
                <w:sz w:val="18"/>
                <w:szCs w:val="18"/>
              </w:rPr>
            </w:pPr>
            <w:r>
              <w:rPr>
                <w:rFonts w:hint="eastAsia"/>
                <w:color w:val="auto"/>
                <w:sz w:val="18"/>
                <w:szCs w:val="18"/>
              </w:rPr>
              <w:t xml:space="preserve">水环境控制单元或断面水质达标 </w:t>
            </w:r>
            <w:r>
              <w:rPr>
                <w:rFonts w:hint="eastAsia"/>
                <w:color w:val="auto"/>
                <w:sz w:val="18"/>
                <w:szCs w:val="18"/>
              </w:rPr>
              <w:sym w:font="Wingdings 2" w:char="00A3"/>
            </w:r>
            <w:r>
              <w:rPr>
                <w:rFonts w:hint="eastAsia"/>
                <w:color w:val="auto"/>
                <w:sz w:val="18"/>
                <w:szCs w:val="18"/>
              </w:rPr>
              <w:t xml:space="preserve"> </w:t>
            </w:r>
          </w:p>
          <w:p w14:paraId="28D6E9E0">
            <w:pPr>
              <w:spacing w:line="240" w:lineRule="auto"/>
              <w:ind w:firstLine="0" w:firstLineChars="0"/>
              <w:jc w:val="left"/>
              <w:rPr>
                <w:color w:val="auto"/>
                <w:sz w:val="18"/>
                <w:szCs w:val="18"/>
              </w:rPr>
            </w:pPr>
            <w:r>
              <w:rPr>
                <w:rFonts w:hint="eastAsia"/>
                <w:color w:val="auto"/>
                <w:sz w:val="18"/>
                <w:szCs w:val="18"/>
              </w:rPr>
              <w:t xml:space="preserve">满足重点水污染物排放总量控制指标要求，重点行业建设项目， 主要污染物排放满足等量或减量替代要求 □ </w:t>
            </w:r>
          </w:p>
          <w:p w14:paraId="00930A4F">
            <w:pPr>
              <w:spacing w:line="240" w:lineRule="auto"/>
              <w:ind w:firstLine="0" w:firstLineChars="0"/>
              <w:jc w:val="left"/>
              <w:rPr>
                <w:color w:val="auto"/>
                <w:sz w:val="18"/>
                <w:szCs w:val="18"/>
              </w:rPr>
            </w:pPr>
            <w:r>
              <w:rPr>
                <w:rFonts w:hint="eastAsia"/>
                <w:color w:val="auto"/>
                <w:sz w:val="18"/>
                <w:szCs w:val="18"/>
              </w:rPr>
              <w:t xml:space="preserve">满足区（流）域水环境质量改善目标要求 □ </w:t>
            </w:r>
          </w:p>
          <w:p w14:paraId="2F622B6B">
            <w:pPr>
              <w:spacing w:line="240" w:lineRule="auto"/>
              <w:ind w:firstLine="0" w:firstLineChars="0"/>
              <w:jc w:val="left"/>
              <w:rPr>
                <w:color w:val="auto"/>
                <w:sz w:val="18"/>
                <w:szCs w:val="18"/>
              </w:rPr>
            </w:pPr>
            <w:r>
              <w:rPr>
                <w:rFonts w:hint="eastAsia"/>
                <w:color w:val="auto"/>
                <w:sz w:val="18"/>
                <w:szCs w:val="18"/>
              </w:rPr>
              <w:t xml:space="preserve">水文要素影响型建设项目同时应包括水文情势变化评价、主要水文特征值影响评价、生态流量符合性评价 □ </w:t>
            </w:r>
          </w:p>
          <w:p w14:paraId="18D192B8">
            <w:pPr>
              <w:spacing w:line="240" w:lineRule="auto"/>
              <w:ind w:firstLine="0" w:firstLineChars="0"/>
              <w:jc w:val="left"/>
              <w:rPr>
                <w:color w:val="auto"/>
                <w:sz w:val="18"/>
                <w:szCs w:val="18"/>
              </w:rPr>
            </w:pPr>
            <w:r>
              <w:rPr>
                <w:rFonts w:hint="eastAsia"/>
                <w:color w:val="auto"/>
                <w:sz w:val="18"/>
                <w:szCs w:val="18"/>
              </w:rPr>
              <w:t xml:space="preserve">对于新设或调整入河（湖库、近岸海域）排放口的建设项目，应包括排放口设置的环境合理性评价 □ </w:t>
            </w:r>
          </w:p>
          <w:p w14:paraId="766FE6E8">
            <w:pPr>
              <w:spacing w:line="240" w:lineRule="auto"/>
              <w:ind w:firstLine="0" w:firstLineChars="0"/>
              <w:jc w:val="left"/>
              <w:rPr>
                <w:color w:val="auto"/>
                <w:sz w:val="18"/>
                <w:szCs w:val="18"/>
              </w:rPr>
            </w:pPr>
            <w:r>
              <w:rPr>
                <w:rFonts w:hint="eastAsia"/>
                <w:color w:val="auto"/>
                <w:sz w:val="18"/>
                <w:szCs w:val="18"/>
              </w:rPr>
              <w:t xml:space="preserve">满足生态保护红线、水环境质量底线、资源利用上线和环境准入清单管理要求 </w:t>
            </w:r>
            <w:r>
              <w:rPr>
                <w:rFonts w:hint="eastAsia"/>
                <w:color w:val="auto"/>
                <w:sz w:val="18"/>
                <w:szCs w:val="18"/>
              </w:rPr>
              <w:sym w:font="Wingdings 2" w:char="0052"/>
            </w:r>
          </w:p>
        </w:tc>
      </w:tr>
      <w:tr w14:paraId="651B2D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17F03021">
            <w:pPr>
              <w:spacing w:line="240" w:lineRule="auto"/>
              <w:ind w:firstLine="0" w:firstLineChars="0"/>
              <w:jc w:val="center"/>
              <w:rPr>
                <w:color w:val="auto"/>
                <w:sz w:val="18"/>
                <w:szCs w:val="18"/>
              </w:rPr>
            </w:pPr>
          </w:p>
        </w:tc>
        <w:tc>
          <w:tcPr>
            <w:tcW w:w="1531" w:type="dxa"/>
            <w:vMerge w:val="restart"/>
            <w:vAlign w:val="center"/>
          </w:tcPr>
          <w:p w14:paraId="7A6CECB2">
            <w:pPr>
              <w:spacing w:line="240" w:lineRule="auto"/>
              <w:ind w:firstLine="0" w:firstLineChars="0"/>
              <w:jc w:val="center"/>
              <w:rPr>
                <w:color w:val="auto"/>
                <w:sz w:val="18"/>
                <w:szCs w:val="18"/>
              </w:rPr>
            </w:pPr>
            <w:r>
              <w:rPr>
                <w:rFonts w:hint="eastAsia"/>
                <w:color w:val="auto"/>
                <w:sz w:val="18"/>
                <w:szCs w:val="18"/>
              </w:rPr>
              <w:t>污染源排放量核算</w:t>
            </w:r>
          </w:p>
        </w:tc>
        <w:tc>
          <w:tcPr>
            <w:tcW w:w="2268" w:type="dxa"/>
            <w:gridSpan w:val="4"/>
            <w:vAlign w:val="center"/>
          </w:tcPr>
          <w:p w14:paraId="5C982522">
            <w:pPr>
              <w:spacing w:line="240" w:lineRule="auto"/>
              <w:ind w:firstLine="0" w:firstLineChars="0"/>
              <w:jc w:val="center"/>
              <w:rPr>
                <w:color w:val="auto"/>
                <w:sz w:val="18"/>
                <w:szCs w:val="18"/>
              </w:rPr>
            </w:pPr>
            <w:r>
              <w:rPr>
                <w:rFonts w:hint="eastAsia"/>
                <w:color w:val="auto"/>
                <w:sz w:val="18"/>
                <w:szCs w:val="18"/>
              </w:rPr>
              <w:t>污染物名称</w:t>
            </w:r>
          </w:p>
        </w:tc>
        <w:tc>
          <w:tcPr>
            <w:tcW w:w="2268" w:type="dxa"/>
            <w:gridSpan w:val="5"/>
            <w:vAlign w:val="center"/>
          </w:tcPr>
          <w:p w14:paraId="1EA64426">
            <w:pPr>
              <w:spacing w:line="240" w:lineRule="auto"/>
              <w:ind w:firstLine="0" w:firstLineChars="0"/>
              <w:jc w:val="center"/>
              <w:rPr>
                <w:color w:val="auto"/>
                <w:sz w:val="18"/>
                <w:szCs w:val="18"/>
              </w:rPr>
            </w:pPr>
            <w:r>
              <w:rPr>
                <w:rFonts w:hint="eastAsia"/>
                <w:color w:val="auto"/>
                <w:sz w:val="18"/>
                <w:szCs w:val="18"/>
              </w:rPr>
              <w:t>排放量/（t/a）</w:t>
            </w:r>
          </w:p>
        </w:tc>
        <w:tc>
          <w:tcPr>
            <w:tcW w:w="2271" w:type="dxa"/>
            <w:gridSpan w:val="3"/>
            <w:vAlign w:val="center"/>
          </w:tcPr>
          <w:p w14:paraId="5ED31E55">
            <w:pPr>
              <w:spacing w:line="240" w:lineRule="auto"/>
              <w:ind w:firstLine="0" w:firstLineChars="0"/>
              <w:jc w:val="center"/>
              <w:rPr>
                <w:color w:val="auto"/>
                <w:sz w:val="18"/>
                <w:szCs w:val="18"/>
              </w:rPr>
            </w:pPr>
            <w:r>
              <w:rPr>
                <w:rFonts w:hint="eastAsia"/>
                <w:color w:val="auto"/>
                <w:sz w:val="18"/>
                <w:szCs w:val="18"/>
              </w:rPr>
              <w:t>排放浓度/（mg/L）</w:t>
            </w:r>
          </w:p>
        </w:tc>
      </w:tr>
      <w:tr w14:paraId="3C5210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E48562E">
            <w:pPr>
              <w:spacing w:line="240" w:lineRule="auto"/>
              <w:ind w:firstLine="0" w:firstLineChars="0"/>
              <w:jc w:val="center"/>
              <w:rPr>
                <w:color w:val="auto"/>
                <w:sz w:val="18"/>
                <w:szCs w:val="18"/>
              </w:rPr>
            </w:pPr>
          </w:p>
        </w:tc>
        <w:tc>
          <w:tcPr>
            <w:tcW w:w="1531" w:type="dxa"/>
            <w:vMerge w:val="continue"/>
            <w:vAlign w:val="center"/>
          </w:tcPr>
          <w:p w14:paraId="5E0C46FC">
            <w:pPr>
              <w:spacing w:line="240" w:lineRule="auto"/>
              <w:ind w:firstLine="0" w:firstLineChars="0"/>
              <w:jc w:val="center"/>
              <w:rPr>
                <w:color w:val="auto"/>
                <w:sz w:val="18"/>
                <w:szCs w:val="18"/>
              </w:rPr>
            </w:pPr>
          </w:p>
        </w:tc>
        <w:tc>
          <w:tcPr>
            <w:tcW w:w="2268" w:type="dxa"/>
            <w:gridSpan w:val="4"/>
            <w:vAlign w:val="center"/>
          </w:tcPr>
          <w:p w14:paraId="0C0284E0">
            <w:pPr>
              <w:spacing w:line="240" w:lineRule="auto"/>
              <w:ind w:firstLine="0" w:firstLineChars="0"/>
              <w:jc w:val="center"/>
              <w:rPr>
                <w:color w:val="auto"/>
                <w:sz w:val="18"/>
                <w:szCs w:val="18"/>
              </w:rPr>
            </w:pPr>
            <w:r>
              <w:rPr>
                <w:color w:val="auto"/>
                <w:sz w:val="18"/>
                <w:szCs w:val="18"/>
              </w:rPr>
              <w:t>COD</w:t>
            </w:r>
          </w:p>
        </w:tc>
        <w:tc>
          <w:tcPr>
            <w:tcW w:w="2268" w:type="dxa"/>
            <w:gridSpan w:val="5"/>
            <w:vAlign w:val="center"/>
          </w:tcPr>
          <w:p w14:paraId="4E3E2B14">
            <w:pPr>
              <w:pStyle w:val="59"/>
              <w:bidi w:val="0"/>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1.214</w:t>
            </w:r>
          </w:p>
        </w:tc>
        <w:tc>
          <w:tcPr>
            <w:tcW w:w="2271" w:type="dxa"/>
            <w:gridSpan w:val="3"/>
            <w:vAlign w:val="center"/>
          </w:tcPr>
          <w:p w14:paraId="2895D996">
            <w:pPr>
              <w:spacing w:line="240" w:lineRule="auto"/>
              <w:ind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100</w:t>
            </w:r>
          </w:p>
        </w:tc>
      </w:tr>
      <w:tr w14:paraId="116FA1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08548ECA">
            <w:pPr>
              <w:spacing w:line="240" w:lineRule="auto"/>
              <w:ind w:firstLine="0" w:firstLineChars="0"/>
              <w:jc w:val="center"/>
              <w:rPr>
                <w:color w:val="auto"/>
                <w:sz w:val="18"/>
                <w:szCs w:val="18"/>
              </w:rPr>
            </w:pPr>
          </w:p>
        </w:tc>
        <w:tc>
          <w:tcPr>
            <w:tcW w:w="1531" w:type="dxa"/>
            <w:vMerge w:val="continue"/>
            <w:vAlign w:val="center"/>
          </w:tcPr>
          <w:p w14:paraId="23836ED0">
            <w:pPr>
              <w:spacing w:line="240" w:lineRule="auto"/>
              <w:ind w:firstLine="0" w:firstLineChars="0"/>
              <w:jc w:val="center"/>
              <w:rPr>
                <w:color w:val="auto"/>
                <w:sz w:val="18"/>
                <w:szCs w:val="18"/>
              </w:rPr>
            </w:pPr>
          </w:p>
        </w:tc>
        <w:tc>
          <w:tcPr>
            <w:tcW w:w="2268" w:type="dxa"/>
            <w:gridSpan w:val="4"/>
            <w:vAlign w:val="center"/>
          </w:tcPr>
          <w:p w14:paraId="5086FDC0">
            <w:pPr>
              <w:spacing w:line="240" w:lineRule="auto"/>
              <w:ind w:firstLine="0" w:firstLineChars="0"/>
              <w:jc w:val="center"/>
              <w:rPr>
                <w:color w:val="auto"/>
                <w:sz w:val="18"/>
                <w:szCs w:val="18"/>
              </w:rPr>
            </w:pPr>
            <w:r>
              <w:rPr>
                <w:rFonts w:hint="eastAsia"/>
                <w:color w:val="auto"/>
                <w:sz w:val="18"/>
                <w:szCs w:val="18"/>
              </w:rPr>
              <w:t>氨氮</w:t>
            </w:r>
          </w:p>
        </w:tc>
        <w:tc>
          <w:tcPr>
            <w:tcW w:w="2268" w:type="dxa"/>
            <w:gridSpan w:val="5"/>
            <w:vAlign w:val="center"/>
          </w:tcPr>
          <w:p w14:paraId="59FABB08">
            <w:pPr>
              <w:pStyle w:val="59"/>
              <w:bidi w:val="0"/>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0.150</w:t>
            </w:r>
          </w:p>
        </w:tc>
        <w:tc>
          <w:tcPr>
            <w:tcW w:w="2271" w:type="dxa"/>
            <w:gridSpan w:val="3"/>
            <w:vAlign w:val="center"/>
          </w:tcPr>
          <w:p w14:paraId="1AA46737">
            <w:pPr>
              <w:spacing w:line="240" w:lineRule="auto"/>
              <w:ind w:firstLine="0" w:firstLineChars="0"/>
              <w:jc w:val="center"/>
              <w:rPr>
                <w:rFonts w:hint="default" w:ascii="Times New Roman" w:hAnsi="Times New Roman" w:eastAsia="宋体" w:cs="Times New Roman"/>
                <w:color w:val="auto"/>
                <w:kern w:val="2"/>
                <w:sz w:val="18"/>
                <w:szCs w:val="18"/>
                <w:lang w:val="en-US" w:eastAsia="zh-CN" w:bidi="ar-SA"/>
              </w:rPr>
            </w:pPr>
            <w:r>
              <w:rPr>
                <w:rFonts w:hint="eastAsia" w:cs="Times New Roman"/>
                <w:color w:val="auto"/>
                <w:kern w:val="2"/>
                <w:sz w:val="18"/>
                <w:szCs w:val="18"/>
                <w:lang w:val="en-US" w:eastAsia="zh-CN" w:bidi="ar-SA"/>
              </w:rPr>
              <w:t>16</w:t>
            </w:r>
          </w:p>
        </w:tc>
      </w:tr>
      <w:tr w14:paraId="4E454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7E2C9DC9">
            <w:pPr>
              <w:spacing w:line="240" w:lineRule="auto"/>
              <w:ind w:firstLine="0" w:firstLineChars="0"/>
              <w:jc w:val="center"/>
              <w:rPr>
                <w:color w:val="auto"/>
                <w:sz w:val="18"/>
                <w:szCs w:val="18"/>
              </w:rPr>
            </w:pPr>
          </w:p>
        </w:tc>
        <w:tc>
          <w:tcPr>
            <w:tcW w:w="1531" w:type="dxa"/>
            <w:vMerge w:val="continue"/>
            <w:vAlign w:val="center"/>
          </w:tcPr>
          <w:p w14:paraId="54A8EBB5">
            <w:pPr>
              <w:spacing w:line="240" w:lineRule="auto"/>
              <w:ind w:firstLine="0" w:firstLineChars="0"/>
              <w:jc w:val="center"/>
              <w:rPr>
                <w:color w:val="auto"/>
                <w:sz w:val="18"/>
                <w:szCs w:val="18"/>
              </w:rPr>
            </w:pPr>
          </w:p>
        </w:tc>
        <w:tc>
          <w:tcPr>
            <w:tcW w:w="2268" w:type="dxa"/>
            <w:gridSpan w:val="4"/>
            <w:vAlign w:val="center"/>
          </w:tcPr>
          <w:p w14:paraId="47E9EFD1">
            <w:pPr>
              <w:spacing w:line="240" w:lineRule="auto"/>
              <w:ind w:firstLine="0" w:firstLineChars="0"/>
              <w:jc w:val="center"/>
              <w:rPr>
                <w:color w:val="auto"/>
                <w:sz w:val="18"/>
                <w:szCs w:val="18"/>
              </w:rPr>
            </w:pPr>
          </w:p>
        </w:tc>
        <w:tc>
          <w:tcPr>
            <w:tcW w:w="2268" w:type="dxa"/>
            <w:gridSpan w:val="5"/>
            <w:vAlign w:val="center"/>
          </w:tcPr>
          <w:p w14:paraId="1045472E">
            <w:pPr>
              <w:spacing w:line="240" w:lineRule="auto"/>
              <w:ind w:firstLine="0" w:firstLineChars="0"/>
              <w:jc w:val="center"/>
              <w:rPr>
                <w:color w:val="auto"/>
                <w:sz w:val="18"/>
                <w:szCs w:val="18"/>
              </w:rPr>
            </w:pPr>
          </w:p>
        </w:tc>
        <w:tc>
          <w:tcPr>
            <w:tcW w:w="2271" w:type="dxa"/>
            <w:gridSpan w:val="3"/>
            <w:vAlign w:val="center"/>
          </w:tcPr>
          <w:p w14:paraId="0CBD898F">
            <w:pPr>
              <w:spacing w:line="240" w:lineRule="auto"/>
              <w:ind w:firstLine="0" w:firstLineChars="0"/>
              <w:jc w:val="center"/>
              <w:rPr>
                <w:color w:val="auto"/>
                <w:sz w:val="18"/>
                <w:szCs w:val="18"/>
              </w:rPr>
            </w:pPr>
          </w:p>
        </w:tc>
      </w:tr>
      <w:tr w14:paraId="7B521F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41CCBCE2">
            <w:pPr>
              <w:spacing w:line="240" w:lineRule="auto"/>
              <w:ind w:firstLine="0" w:firstLineChars="0"/>
              <w:jc w:val="center"/>
              <w:rPr>
                <w:color w:val="auto"/>
                <w:sz w:val="18"/>
                <w:szCs w:val="18"/>
              </w:rPr>
            </w:pPr>
          </w:p>
        </w:tc>
        <w:tc>
          <w:tcPr>
            <w:tcW w:w="1531" w:type="dxa"/>
            <w:vMerge w:val="continue"/>
            <w:vAlign w:val="center"/>
          </w:tcPr>
          <w:p w14:paraId="1A9A8203">
            <w:pPr>
              <w:spacing w:line="240" w:lineRule="auto"/>
              <w:ind w:firstLine="0" w:firstLineChars="0"/>
              <w:jc w:val="center"/>
              <w:rPr>
                <w:color w:val="auto"/>
                <w:sz w:val="18"/>
                <w:szCs w:val="18"/>
              </w:rPr>
            </w:pPr>
          </w:p>
        </w:tc>
        <w:tc>
          <w:tcPr>
            <w:tcW w:w="2268" w:type="dxa"/>
            <w:gridSpan w:val="4"/>
            <w:vAlign w:val="center"/>
          </w:tcPr>
          <w:p w14:paraId="0174468F">
            <w:pPr>
              <w:spacing w:line="240" w:lineRule="auto"/>
              <w:ind w:firstLine="0" w:firstLineChars="0"/>
              <w:jc w:val="center"/>
              <w:rPr>
                <w:color w:val="auto"/>
                <w:sz w:val="18"/>
                <w:szCs w:val="18"/>
              </w:rPr>
            </w:pPr>
          </w:p>
        </w:tc>
        <w:tc>
          <w:tcPr>
            <w:tcW w:w="2268" w:type="dxa"/>
            <w:gridSpan w:val="5"/>
            <w:vAlign w:val="center"/>
          </w:tcPr>
          <w:p w14:paraId="01459FAA">
            <w:pPr>
              <w:spacing w:line="240" w:lineRule="auto"/>
              <w:ind w:firstLine="0" w:firstLineChars="0"/>
              <w:jc w:val="center"/>
              <w:rPr>
                <w:color w:val="auto"/>
                <w:sz w:val="18"/>
                <w:szCs w:val="18"/>
              </w:rPr>
            </w:pPr>
          </w:p>
        </w:tc>
        <w:tc>
          <w:tcPr>
            <w:tcW w:w="2271" w:type="dxa"/>
            <w:gridSpan w:val="3"/>
            <w:vAlign w:val="center"/>
          </w:tcPr>
          <w:p w14:paraId="1689BC5B">
            <w:pPr>
              <w:spacing w:line="240" w:lineRule="auto"/>
              <w:ind w:firstLine="0" w:firstLineChars="0"/>
              <w:jc w:val="center"/>
              <w:rPr>
                <w:color w:val="auto"/>
                <w:sz w:val="18"/>
                <w:szCs w:val="18"/>
              </w:rPr>
            </w:pPr>
          </w:p>
        </w:tc>
      </w:tr>
      <w:tr w14:paraId="12E2C2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2F5CFDF6">
            <w:pPr>
              <w:spacing w:line="240" w:lineRule="auto"/>
              <w:ind w:firstLine="0" w:firstLineChars="0"/>
              <w:jc w:val="center"/>
              <w:rPr>
                <w:color w:val="auto"/>
                <w:sz w:val="18"/>
                <w:szCs w:val="18"/>
              </w:rPr>
            </w:pPr>
          </w:p>
        </w:tc>
        <w:tc>
          <w:tcPr>
            <w:tcW w:w="1531" w:type="dxa"/>
            <w:vMerge w:val="restart"/>
            <w:vAlign w:val="center"/>
          </w:tcPr>
          <w:p w14:paraId="7977D91D">
            <w:pPr>
              <w:spacing w:line="240" w:lineRule="auto"/>
              <w:ind w:firstLine="0" w:firstLineChars="0"/>
              <w:jc w:val="center"/>
              <w:rPr>
                <w:color w:val="auto"/>
                <w:sz w:val="18"/>
                <w:szCs w:val="18"/>
              </w:rPr>
            </w:pPr>
            <w:r>
              <w:rPr>
                <w:rFonts w:hint="eastAsia"/>
                <w:color w:val="auto"/>
                <w:sz w:val="18"/>
                <w:szCs w:val="18"/>
              </w:rPr>
              <w:t>替代源排放情况</w:t>
            </w:r>
          </w:p>
        </w:tc>
        <w:tc>
          <w:tcPr>
            <w:tcW w:w="1361" w:type="dxa"/>
            <w:vAlign w:val="center"/>
          </w:tcPr>
          <w:p w14:paraId="57BB7ABB">
            <w:pPr>
              <w:spacing w:line="240" w:lineRule="auto"/>
              <w:ind w:firstLine="0" w:firstLineChars="0"/>
              <w:jc w:val="center"/>
              <w:rPr>
                <w:color w:val="auto"/>
                <w:sz w:val="18"/>
                <w:szCs w:val="18"/>
              </w:rPr>
            </w:pPr>
            <w:r>
              <w:rPr>
                <w:rFonts w:hint="eastAsia"/>
                <w:color w:val="auto"/>
                <w:sz w:val="18"/>
                <w:szCs w:val="18"/>
              </w:rPr>
              <w:t>污染源名称</w:t>
            </w:r>
          </w:p>
        </w:tc>
        <w:tc>
          <w:tcPr>
            <w:tcW w:w="1362" w:type="dxa"/>
            <w:gridSpan w:val="4"/>
            <w:vAlign w:val="center"/>
          </w:tcPr>
          <w:p w14:paraId="6DB9B274">
            <w:pPr>
              <w:spacing w:line="240" w:lineRule="auto"/>
              <w:ind w:firstLine="0" w:firstLineChars="0"/>
              <w:jc w:val="center"/>
              <w:rPr>
                <w:color w:val="auto"/>
                <w:spacing w:val="-10"/>
                <w:sz w:val="18"/>
                <w:szCs w:val="18"/>
              </w:rPr>
            </w:pPr>
            <w:r>
              <w:rPr>
                <w:rFonts w:hint="eastAsia"/>
                <w:color w:val="auto"/>
                <w:spacing w:val="-10"/>
                <w:sz w:val="18"/>
                <w:szCs w:val="18"/>
              </w:rPr>
              <w:t>排污许可证编号</w:t>
            </w:r>
          </w:p>
        </w:tc>
        <w:tc>
          <w:tcPr>
            <w:tcW w:w="1362" w:type="dxa"/>
            <w:gridSpan w:val="2"/>
            <w:vAlign w:val="center"/>
          </w:tcPr>
          <w:p w14:paraId="66C54D52">
            <w:pPr>
              <w:spacing w:line="240" w:lineRule="auto"/>
              <w:ind w:firstLine="0" w:firstLineChars="0"/>
              <w:jc w:val="center"/>
              <w:rPr>
                <w:color w:val="auto"/>
                <w:sz w:val="18"/>
                <w:szCs w:val="18"/>
              </w:rPr>
            </w:pPr>
            <w:r>
              <w:rPr>
                <w:rFonts w:hint="eastAsia"/>
                <w:color w:val="auto"/>
                <w:sz w:val="18"/>
                <w:szCs w:val="18"/>
              </w:rPr>
              <w:t>污染物名称</w:t>
            </w:r>
          </w:p>
        </w:tc>
        <w:tc>
          <w:tcPr>
            <w:tcW w:w="1361" w:type="dxa"/>
            <w:gridSpan w:val="4"/>
            <w:vAlign w:val="center"/>
          </w:tcPr>
          <w:p w14:paraId="1D155D84">
            <w:pPr>
              <w:spacing w:line="240" w:lineRule="auto"/>
              <w:ind w:firstLine="0" w:firstLineChars="0"/>
              <w:jc w:val="center"/>
              <w:rPr>
                <w:color w:val="auto"/>
                <w:sz w:val="18"/>
                <w:szCs w:val="18"/>
              </w:rPr>
            </w:pPr>
            <w:r>
              <w:rPr>
                <w:rFonts w:hint="eastAsia"/>
                <w:color w:val="auto"/>
                <w:sz w:val="18"/>
                <w:szCs w:val="18"/>
              </w:rPr>
              <w:t>排放量/（t/a）</w:t>
            </w:r>
          </w:p>
        </w:tc>
        <w:tc>
          <w:tcPr>
            <w:tcW w:w="1361" w:type="dxa"/>
            <w:vAlign w:val="center"/>
          </w:tcPr>
          <w:p w14:paraId="519C617E">
            <w:pPr>
              <w:spacing w:line="240" w:lineRule="auto"/>
              <w:ind w:firstLine="0" w:firstLineChars="0"/>
              <w:jc w:val="center"/>
              <w:rPr>
                <w:color w:val="auto"/>
                <w:sz w:val="18"/>
                <w:szCs w:val="18"/>
              </w:rPr>
            </w:pPr>
            <w:r>
              <w:rPr>
                <w:rFonts w:hint="eastAsia"/>
                <w:color w:val="auto"/>
                <w:sz w:val="18"/>
                <w:szCs w:val="18"/>
              </w:rPr>
              <w:t>排放浓度/（mg/L）</w:t>
            </w:r>
          </w:p>
        </w:tc>
      </w:tr>
      <w:tr w14:paraId="5D7E04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7499F9EB">
            <w:pPr>
              <w:spacing w:line="240" w:lineRule="auto"/>
              <w:ind w:firstLine="0" w:firstLineChars="0"/>
              <w:jc w:val="center"/>
              <w:rPr>
                <w:color w:val="auto"/>
                <w:sz w:val="18"/>
                <w:szCs w:val="18"/>
              </w:rPr>
            </w:pPr>
          </w:p>
        </w:tc>
        <w:tc>
          <w:tcPr>
            <w:tcW w:w="1531" w:type="dxa"/>
            <w:vMerge w:val="continue"/>
            <w:vAlign w:val="center"/>
          </w:tcPr>
          <w:p w14:paraId="5056F0A1">
            <w:pPr>
              <w:spacing w:line="240" w:lineRule="auto"/>
              <w:ind w:firstLine="0" w:firstLineChars="0"/>
              <w:jc w:val="center"/>
              <w:rPr>
                <w:color w:val="auto"/>
                <w:sz w:val="18"/>
                <w:szCs w:val="18"/>
              </w:rPr>
            </w:pPr>
          </w:p>
        </w:tc>
        <w:tc>
          <w:tcPr>
            <w:tcW w:w="1361" w:type="dxa"/>
          </w:tcPr>
          <w:p w14:paraId="2FE27058">
            <w:pPr>
              <w:spacing w:line="240" w:lineRule="auto"/>
              <w:ind w:firstLine="0" w:firstLineChars="0"/>
              <w:jc w:val="center"/>
              <w:rPr>
                <w:color w:val="auto"/>
              </w:rPr>
            </w:pPr>
            <w:r>
              <w:rPr>
                <w:rFonts w:hint="eastAsia"/>
                <w:color w:val="auto"/>
                <w:sz w:val="18"/>
                <w:szCs w:val="18"/>
              </w:rPr>
              <w:t>（/）</w:t>
            </w:r>
          </w:p>
        </w:tc>
        <w:tc>
          <w:tcPr>
            <w:tcW w:w="1362" w:type="dxa"/>
            <w:gridSpan w:val="4"/>
          </w:tcPr>
          <w:p w14:paraId="4B738E3D">
            <w:pPr>
              <w:spacing w:line="240" w:lineRule="auto"/>
              <w:ind w:firstLine="0" w:firstLineChars="0"/>
              <w:jc w:val="center"/>
              <w:rPr>
                <w:color w:val="auto"/>
              </w:rPr>
            </w:pPr>
            <w:r>
              <w:rPr>
                <w:rFonts w:hint="eastAsia"/>
                <w:color w:val="auto"/>
                <w:sz w:val="18"/>
                <w:szCs w:val="18"/>
              </w:rPr>
              <w:t>（/）</w:t>
            </w:r>
          </w:p>
        </w:tc>
        <w:tc>
          <w:tcPr>
            <w:tcW w:w="1362" w:type="dxa"/>
            <w:gridSpan w:val="2"/>
          </w:tcPr>
          <w:p w14:paraId="464DCE33">
            <w:pPr>
              <w:spacing w:line="240" w:lineRule="auto"/>
              <w:ind w:firstLine="0" w:firstLineChars="0"/>
              <w:jc w:val="center"/>
              <w:rPr>
                <w:color w:val="auto"/>
              </w:rPr>
            </w:pPr>
            <w:r>
              <w:rPr>
                <w:rFonts w:hint="eastAsia"/>
                <w:color w:val="auto"/>
                <w:sz w:val="18"/>
                <w:szCs w:val="18"/>
              </w:rPr>
              <w:t>（/）</w:t>
            </w:r>
          </w:p>
        </w:tc>
        <w:tc>
          <w:tcPr>
            <w:tcW w:w="1361" w:type="dxa"/>
            <w:gridSpan w:val="4"/>
          </w:tcPr>
          <w:p w14:paraId="38E1CE9C">
            <w:pPr>
              <w:spacing w:line="240" w:lineRule="auto"/>
              <w:ind w:firstLine="0" w:firstLineChars="0"/>
              <w:jc w:val="center"/>
              <w:rPr>
                <w:color w:val="auto"/>
              </w:rPr>
            </w:pPr>
            <w:r>
              <w:rPr>
                <w:rFonts w:hint="eastAsia"/>
                <w:color w:val="auto"/>
                <w:sz w:val="18"/>
                <w:szCs w:val="18"/>
              </w:rPr>
              <w:t>（/）</w:t>
            </w:r>
          </w:p>
        </w:tc>
        <w:tc>
          <w:tcPr>
            <w:tcW w:w="1361" w:type="dxa"/>
          </w:tcPr>
          <w:p w14:paraId="1B8DD865">
            <w:pPr>
              <w:spacing w:line="240" w:lineRule="auto"/>
              <w:ind w:firstLine="0" w:firstLineChars="0"/>
              <w:jc w:val="center"/>
              <w:rPr>
                <w:color w:val="auto"/>
              </w:rPr>
            </w:pPr>
            <w:r>
              <w:rPr>
                <w:rFonts w:hint="eastAsia"/>
                <w:color w:val="auto"/>
                <w:sz w:val="18"/>
                <w:szCs w:val="18"/>
              </w:rPr>
              <w:t>（/）</w:t>
            </w:r>
          </w:p>
        </w:tc>
      </w:tr>
      <w:tr w14:paraId="3BF7C1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1DD25FB9">
            <w:pPr>
              <w:spacing w:line="240" w:lineRule="auto"/>
              <w:ind w:firstLine="0" w:firstLineChars="0"/>
              <w:jc w:val="center"/>
              <w:rPr>
                <w:color w:val="auto"/>
                <w:sz w:val="18"/>
                <w:szCs w:val="18"/>
              </w:rPr>
            </w:pPr>
          </w:p>
        </w:tc>
        <w:tc>
          <w:tcPr>
            <w:tcW w:w="1531" w:type="dxa"/>
            <w:vAlign w:val="center"/>
          </w:tcPr>
          <w:p w14:paraId="443C1893">
            <w:pPr>
              <w:spacing w:line="240" w:lineRule="auto"/>
              <w:ind w:firstLine="0" w:firstLineChars="0"/>
              <w:jc w:val="center"/>
              <w:rPr>
                <w:color w:val="auto"/>
                <w:sz w:val="18"/>
                <w:szCs w:val="18"/>
              </w:rPr>
            </w:pPr>
            <w:r>
              <w:rPr>
                <w:rFonts w:hint="eastAsia"/>
                <w:color w:val="auto"/>
                <w:sz w:val="18"/>
                <w:szCs w:val="18"/>
              </w:rPr>
              <w:t>生态流量确定</w:t>
            </w:r>
          </w:p>
        </w:tc>
        <w:tc>
          <w:tcPr>
            <w:tcW w:w="6807" w:type="dxa"/>
            <w:gridSpan w:val="12"/>
            <w:vAlign w:val="center"/>
          </w:tcPr>
          <w:p w14:paraId="4A8022B4">
            <w:pPr>
              <w:spacing w:line="240" w:lineRule="auto"/>
              <w:ind w:firstLine="0" w:firstLineChars="0"/>
              <w:jc w:val="left"/>
              <w:rPr>
                <w:color w:val="auto"/>
                <w:sz w:val="18"/>
                <w:szCs w:val="18"/>
              </w:rPr>
            </w:pPr>
            <w:r>
              <w:rPr>
                <w:rFonts w:hint="eastAsia"/>
                <w:color w:val="auto"/>
                <w:sz w:val="18"/>
                <w:szCs w:val="18"/>
              </w:rPr>
              <w:t>生态流量：一般水期（ ）m</w:t>
            </w:r>
            <w:r>
              <w:rPr>
                <w:rFonts w:hint="eastAsia"/>
                <w:color w:val="auto"/>
                <w:sz w:val="18"/>
                <w:szCs w:val="18"/>
                <w:vertAlign w:val="superscript"/>
              </w:rPr>
              <w:t>3</w:t>
            </w:r>
            <w:r>
              <w:rPr>
                <w:rFonts w:hint="eastAsia"/>
                <w:color w:val="auto"/>
                <w:sz w:val="18"/>
                <w:szCs w:val="18"/>
              </w:rPr>
              <w:t>/s；鱼类繁殖期（ ）m</w:t>
            </w:r>
            <w:r>
              <w:rPr>
                <w:rFonts w:hint="eastAsia"/>
                <w:color w:val="auto"/>
                <w:sz w:val="18"/>
                <w:szCs w:val="18"/>
                <w:vertAlign w:val="superscript"/>
              </w:rPr>
              <w:t>3</w:t>
            </w:r>
            <w:r>
              <w:rPr>
                <w:rFonts w:hint="eastAsia"/>
                <w:color w:val="auto"/>
                <w:sz w:val="18"/>
                <w:szCs w:val="18"/>
              </w:rPr>
              <w:t>/s；其他（ ）m</w:t>
            </w:r>
            <w:r>
              <w:rPr>
                <w:rFonts w:hint="eastAsia"/>
                <w:color w:val="auto"/>
                <w:sz w:val="18"/>
                <w:szCs w:val="18"/>
                <w:vertAlign w:val="superscript"/>
              </w:rPr>
              <w:t>3</w:t>
            </w:r>
            <w:r>
              <w:rPr>
                <w:rFonts w:hint="eastAsia"/>
                <w:color w:val="auto"/>
                <w:sz w:val="18"/>
                <w:szCs w:val="18"/>
              </w:rPr>
              <w:t xml:space="preserve">/s </w:t>
            </w:r>
          </w:p>
          <w:p w14:paraId="4CCEFE57">
            <w:pPr>
              <w:spacing w:line="240" w:lineRule="auto"/>
              <w:ind w:firstLine="0" w:firstLineChars="0"/>
              <w:jc w:val="left"/>
              <w:rPr>
                <w:color w:val="auto"/>
                <w:sz w:val="18"/>
                <w:szCs w:val="18"/>
              </w:rPr>
            </w:pPr>
            <w:r>
              <w:rPr>
                <w:rFonts w:hint="eastAsia"/>
                <w:color w:val="auto"/>
                <w:sz w:val="18"/>
                <w:szCs w:val="18"/>
              </w:rPr>
              <w:t>生态水位：一般水期（ ）m；鱼类繁殖期（ ）m；其他（ ）m</w:t>
            </w:r>
          </w:p>
        </w:tc>
      </w:tr>
      <w:tr w14:paraId="47BA85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restart"/>
            <w:vAlign w:val="center"/>
          </w:tcPr>
          <w:p w14:paraId="49601CB5">
            <w:pPr>
              <w:spacing w:line="240" w:lineRule="auto"/>
              <w:ind w:firstLine="0" w:firstLineChars="0"/>
              <w:jc w:val="center"/>
              <w:rPr>
                <w:color w:val="auto"/>
                <w:sz w:val="18"/>
                <w:szCs w:val="18"/>
              </w:rPr>
            </w:pPr>
            <w:r>
              <w:rPr>
                <w:rFonts w:hint="eastAsia"/>
                <w:color w:val="auto"/>
                <w:sz w:val="18"/>
                <w:szCs w:val="18"/>
              </w:rPr>
              <w:t>防</w:t>
            </w:r>
          </w:p>
          <w:p w14:paraId="438A9733">
            <w:pPr>
              <w:spacing w:line="240" w:lineRule="auto"/>
              <w:ind w:firstLine="0" w:firstLineChars="0"/>
              <w:jc w:val="center"/>
              <w:rPr>
                <w:color w:val="auto"/>
                <w:sz w:val="18"/>
                <w:szCs w:val="18"/>
              </w:rPr>
            </w:pPr>
            <w:r>
              <w:rPr>
                <w:rFonts w:hint="eastAsia"/>
                <w:color w:val="auto"/>
                <w:sz w:val="18"/>
                <w:szCs w:val="18"/>
              </w:rPr>
              <w:t>治</w:t>
            </w:r>
          </w:p>
          <w:p w14:paraId="4E4031DD">
            <w:pPr>
              <w:spacing w:line="240" w:lineRule="auto"/>
              <w:ind w:firstLine="0" w:firstLineChars="0"/>
              <w:jc w:val="center"/>
              <w:rPr>
                <w:color w:val="auto"/>
                <w:sz w:val="18"/>
                <w:szCs w:val="18"/>
              </w:rPr>
            </w:pPr>
            <w:r>
              <w:rPr>
                <w:rFonts w:hint="eastAsia"/>
                <w:color w:val="auto"/>
                <w:sz w:val="18"/>
                <w:szCs w:val="18"/>
              </w:rPr>
              <w:t>措</w:t>
            </w:r>
          </w:p>
          <w:p w14:paraId="3DEAFA44">
            <w:pPr>
              <w:spacing w:line="240" w:lineRule="auto"/>
              <w:ind w:firstLine="0" w:firstLineChars="0"/>
              <w:jc w:val="center"/>
              <w:rPr>
                <w:color w:val="auto"/>
                <w:sz w:val="18"/>
                <w:szCs w:val="18"/>
              </w:rPr>
            </w:pPr>
            <w:r>
              <w:rPr>
                <w:rFonts w:hint="eastAsia"/>
                <w:color w:val="auto"/>
                <w:sz w:val="18"/>
                <w:szCs w:val="18"/>
              </w:rPr>
              <w:t>施</w:t>
            </w:r>
          </w:p>
        </w:tc>
        <w:tc>
          <w:tcPr>
            <w:tcW w:w="1531" w:type="dxa"/>
            <w:vAlign w:val="center"/>
          </w:tcPr>
          <w:p w14:paraId="736A8552">
            <w:pPr>
              <w:spacing w:line="240" w:lineRule="auto"/>
              <w:ind w:firstLine="0" w:firstLineChars="0"/>
              <w:jc w:val="center"/>
              <w:rPr>
                <w:color w:val="auto"/>
                <w:sz w:val="18"/>
                <w:szCs w:val="18"/>
              </w:rPr>
            </w:pPr>
            <w:r>
              <w:rPr>
                <w:rFonts w:hint="eastAsia"/>
                <w:color w:val="auto"/>
                <w:sz w:val="18"/>
                <w:szCs w:val="18"/>
              </w:rPr>
              <w:t>环保措施</w:t>
            </w:r>
          </w:p>
        </w:tc>
        <w:tc>
          <w:tcPr>
            <w:tcW w:w="6807" w:type="dxa"/>
            <w:gridSpan w:val="12"/>
            <w:vAlign w:val="center"/>
          </w:tcPr>
          <w:p w14:paraId="23FF76B7">
            <w:pPr>
              <w:spacing w:line="240" w:lineRule="auto"/>
              <w:ind w:firstLine="0" w:firstLineChars="0"/>
              <w:jc w:val="center"/>
              <w:rPr>
                <w:color w:val="auto"/>
                <w:sz w:val="18"/>
                <w:szCs w:val="18"/>
              </w:rPr>
            </w:pPr>
            <w:r>
              <w:rPr>
                <w:rFonts w:hint="eastAsia"/>
                <w:color w:val="auto"/>
                <w:sz w:val="18"/>
                <w:szCs w:val="18"/>
              </w:rPr>
              <w:t xml:space="preserve">污水处理设施 □；水文减缓设施 □；生态流量保障设施 □；区域削减 □；依托其他工程措施 □；其他 □ </w:t>
            </w:r>
          </w:p>
        </w:tc>
      </w:tr>
      <w:tr w14:paraId="3822AD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6B4D1742">
            <w:pPr>
              <w:spacing w:line="240" w:lineRule="auto"/>
              <w:ind w:firstLine="0" w:firstLineChars="0"/>
              <w:jc w:val="center"/>
              <w:rPr>
                <w:color w:val="auto"/>
                <w:sz w:val="18"/>
                <w:szCs w:val="18"/>
              </w:rPr>
            </w:pPr>
          </w:p>
        </w:tc>
        <w:tc>
          <w:tcPr>
            <w:tcW w:w="1531" w:type="dxa"/>
            <w:vMerge w:val="restart"/>
            <w:vAlign w:val="center"/>
          </w:tcPr>
          <w:p w14:paraId="2DF8EB7D">
            <w:pPr>
              <w:spacing w:line="240" w:lineRule="auto"/>
              <w:ind w:firstLine="0" w:firstLineChars="0"/>
              <w:jc w:val="center"/>
              <w:rPr>
                <w:color w:val="auto"/>
                <w:sz w:val="18"/>
                <w:szCs w:val="18"/>
              </w:rPr>
            </w:pPr>
            <w:r>
              <w:rPr>
                <w:rFonts w:hint="eastAsia"/>
                <w:color w:val="auto"/>
                <w:sz w:val="18"/>
                <w:szCs w:val="18"/>
              </w:rPr>
              <w:t>监测计划</w:t>
            </w:r>
          </w:p>
        </w:tc>
        <w:tc>
          <w:tcPr>
            <w:tcW w:w="1759" w:type="dxa"/>
            <w:gridSpan w:val="3"/>
            <w:vAlign w:val="center"/>
          </w:tcPr>
          <w:p w14:paraId="54008129">
            <w:pPr>
              <w:spacing w:line="240" w:lineRule="auto"/>
              <w:ind w:firstLine="0" w:firstLineChars="0"/>
              <w:jc w:val="left"/>
              <w:rPr>
                <w:color w:val="auto"/>
                <w:sz w:val="18"/>
                <w:szCs w:val="18"/>
              </w:rPr>
            </w:pPr>
          </w:p>
        </w:tc>
        <w:tc>
          <w:tcPr>
            <w:tcW w:w="2524" w:type="dxa"/>
            <w:gridSpan w:val="5"/>
            <w:vAlign w:val="center"/>
          </w:tcPr>
          <w:p w14:paraId="0ED25837">
            <w:pPr>
              <w:spacing w:line="240" w:lineRule="auto"/>
              <w:ind w:firstLine="0" w:firstLineChars="0"/>
              <w:jc w:val="center"/>
              <w:rPr>
                <w:color w:val="auto"/>
                <w:sz w:val="18"/>
                <w:szCs w:val="18"/>
              </w:rPr>
            </w:pPr>
            <w:r>
              <w:rPr>
                <w:rFonts w:hint="eastAsia"/>
                <w:color w:val="auto"/>
                <w:sz w:val="18"/>
                <w:szCs w:val="18"/>
              </w:rPr>
              <w:t>环境质量</w:t>
            </w:r>
          </w:p>
        </w:tc>
        <w:tc>
          <w:tcPr>
            <w:tcW w:w="2524" w:type="dxa"/>
            <w:gridSpan w:val="4"/>
            <w:vAlign w:val="center"/>
          </w:tcPr>
          <w:p w14:paraId="3D544619">
            <w:pPr>
              <w:spacing w:line="240" w:lineRule="auto"/>
              <w:ind w:firstLine="0" w:firstLineChars="0"/>
              <w:jc w:val="center"/>
              <w:rPr>
                <w:color w:val="auto"/>
                <w:sz w:val="18"/>
                <w:szCs w:val="18"/>
              </w:rPr>
            </w:pPr>
            <w:r>
              <w:rPr>
                <w:rFonts w:hint="eastAsia"/>
                <w:color w:val="auto"/>
                <w:sz w:val="18"/>
                <w:szCs w:val="18"/>
              </w:rPr>
              <w:t>污染源</w:t>
            </w:r>
          </w:p>
        </w:tc>
      </w:tr>
      <w:tr w14:paraId="4444C3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639F0718">
            <w:pPr>
              <w:spacing w:line="240" w:lineRule="auto"/>
              <w:ind w:firstLine="0" w:firstLineChars="0"/>
              <w:jc w:val="center"/>
              <w:rPr>
                <w:color w:val="auto"/>
                <w:sz w:val="18"/>
                <w:szCs w:val="18"/>
              </w:rPr>
            </w:pPr>
          </w:p>
        </w:tc>
        <w:tc>
          <w:tcPr>
            <w:tcW w:w="1531" w:type="dxa"/>
            <w:vMerge w:val="continue"/>
            <w:vAlign w:val="center"/>
          </w:tcPr>
          <w:p w14:paraId="34D60873">
            <w:pPr>
              <w:spacing w:line="240" w:lineRule="auto"/>
              <w:ind w:firstLine="0" w:firstLineChars="0"/>
              <w:jc w:val="center"/>
              <w:rPr>
                <w:color w:val="auto"/>
                <w:sz w:val="18"/>
                <w:szCs w:val="18"/>
              </w:rPr>
            </w:pPr>
          </w:p>
        </w:tc>
        <w:tc>
          <w:tcPr>
            <w:tcW w:w="1759" w:type="dxa"/>
            <w:gridSpan w:val="3"/>
            <w:vAlign w:val="center"/>
          </w:tcPr>
          <w:p w14:paraId="459F397B">
            <w:pPr>
              <w:spacing w:line="240" w:lineRule="auto"/>
              <w:ind w:firstLine="0" w:firstLineChars="0"/>
              <w:jc w:val="center"/>
              <w:rPr>
                <w:color w:val="auto"/>
                <w:sz w:val="18"/>
                <w:szCs w:val="18"/>
              </w:rPr>
            </w:pPr>
            <w:r>
              <w:rPr>
                <w:rFonts w:hint="eastAsia"/>
                <w:color w:val="auto"/>
                <w:sz w:val="18"/>
                <w:szCs w:val="18"/>
              </w:rPr>
              <w:t>监测方式</w:t>
            </w:r>
          </w:p>
        </w:tc>
        <w:tc>
          <w:tcPr>
            <w:tcW w:w="2524" w:type="dxa"/>
            <w:gridSpan w:val="5"/>
            <w:vAlign w:val="center"/>
          </w:tcPr>
          <w:p w14:paraId="182666E1">
            <w:pPr>
              <w:spacing w:line="240" w:lineRule="auto"/>
              <w:ind w:firstLine="0" w:firstLineChars="0"/>
              <w:jc w:val="center"/>
              <w:rPr>
                <w:color w:val="auto"/>
                <w:sz w:val="18"/>
                <w:szCs w:val="18"/>
              </w:rPr>
            </w:pPr>
            <w:r>
              <w:rPr>
                <w:rFonts w:hint="eastAsia"/>
                <w:color w:val="auto"/>
                <w:sz w:val="18"/>
                <w:szCs w:val="18"/>
              </w:rPr>
              <w:t xml:space="preserve">手动 </w:t>
            </w:r>
            <w:r>
              <w:rPr>
                <w:rFonts w:hint="eastAsia"/>
                <w:color w:val="auto"/>
                <w:sz w:val="18"/>
                <w:szCs w:val="18"/>
              </w:rPr>
              <w:sym w:font="Wingdings 2" w:char="00A3"/>
            </w:r>
            <w:r>
              <w:rPr>
                <w:rFonts w:hint="eastAsia"/>
                <w:color w:val="auto"/>
                <w:sz w:val="18"/>
                <w:szCs w:val="18"/>
              </w:rPr>
              <w:t>；自动 □；无监测 □</w:t>
            </w:r>
          </w:p>
        </w:tc>
        <w:tc>
          <w:tcPr>
            <w:tcW w:w="2524" w:type="dxa"/>
            <w:gridSpan w:val="4"/>
            <w:vAlign w:val="center"/>
          </w:tcPr>
          <w:p w14:paraId="29761C5A">
            <w:pPr>
              <w:spacing w:line="240" w:lineRule="auto"/>
              <w:ind w:firstLine="0" w:firstLineChars="0"/>
              <w:jc w:val="center"/>
              <w:rPr>
                <w:color w:val="auto"/>
                <w:sz w:val="18"/>
                <w:szCs w:val="18"/>
              </w:rPr>
            </w:pPr>
            <w:r>
              <w:rPr>
                <w:rFonts w:hint="eastAsia"/>
                <w:color w:val="auto"/>
                <w:sz w:val="18"/>
                <w:szCs w:val="18"/>
              </w:rPr>
              <w:t xml:space="preserve">手动 </w:t>
            </w:r>
            <w:r>
              <w:rPr>
                <w:rFonts w:hint="eastAsia"/>
                <w:color w:val="auto"/>
                <w:sz w:val="18"/>
                <w:szCs w:val="18"/>
              </w:rPr>
              <w:sym w:font="Wingdings 2" w:char="00A3"/>
            </w:r>
            <w:r>
              <w:rPr>
                <w:rFonts w:hint="eastAsia"/>
                <w:color w:val="auto"/>
                <w:sz w:val="18"/>
                <w:szCs w:val="18"/>
              </w:rPr>
              <w:t xml:space="preserve">；自动 </w:t>
            </w:r>
            <w:r>
              <w:rPr>
                <w:rFonts w:hint="eastAsia"/>
                <w:color w:val="auto"/>
                <w:sz w:val="18"/>
                <w:szCs w:val="18"/>
              </w:rPr>
              <w:sym w:font="Wingdings 2" w:char="00A3"/>
            </w:r>
            <w:r>
              <w:rPr>
                <w:rFonts w:hint="eastAsia"/>
                <w:color w:val="auto"/>
                <w:sz w:val="18"/>
                <w:szCs w:val="18"/>
              </w:rPr>
              <w:t>；无监测 □</w:t>
            </w:r>
          </w:p>
        </w:tc>
      </w:tr>
      <w:tr w14:paraId="1B0030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193E896A">
            <w:pPr>
              <w:spacing w:line="240" w:lineRule="auto"/>
              <w:ind w:firstLine="0" w:firstLineChars="0"/>
              <w:jc w:val="center"/>
              <w:rPr>
                <w:color w:val="auto"/>
                <w:sz w:val="18"/>
                <w:szCs w:val="18"/>
              </w:rPr>
            </w:pPr>
          </w:p>
        </w:tc>
        <w:tc>
          <w:tcPr>
            <w:tcW w:w="1531" w:type="dxa"/>
            <w:vMerge w:val="continue"/>
            <w:vAlign w:val="center"/>
          </w:tcPr>
          <w:p w14:paraId="7C99D112">
            <w:pPr>
              <w:spacing w:line="240" w:lineRule="auto"/>
              <w:ind w:firstLine="0" w:firstLineChars="0"/>
              <w:jc w:val="center"/>
              <w:rPr>
                <w:color w:val="auto"/>
                <w:sz w:val="18"/>
                <w:szCs w:val="18"/>
              </w:rPr>
            </w:pPr>
          </w:p>
        </w:tc>
        <w:tc>
          <w:tcPr>
            <w:tcW w:w="1759" w:type="dxa"/>
            <w:gridSpan w:val="3"/>
            <w:vAlign w:val="center"/>
          </w:tcPr>
          <w:p w14:paraId="3A3B7846">
            <w:pPr>
              <w:spacing w:line="240" w:lineRule="auto"/>
              <w:ind w:firstLine="0" w:firstLineChars="0"/>
              <w:jc w:val="center"/>
              <w:rPr>
                <w:color w:val="auto"/>
                <w:sz w:val="18"/>
                <w:szCs w:val="18"/>
              </w:rPr>
            </w:pPr>
            <w:r>
              <w:rPr>
                <w:rFonts w:hint="eastAsia"/>
                <w:color w:val="auto"/>
                <w:sz w:val="18"/>
                <w:szCs w:val="18"/>
              </w:rPr>
              <w:t>监测点位</w:t>
            </w:r>
          </w:p>
        </w:tc>
        <w:tc>
          <w:tcPr>
            <w:tcW w:w="2524" w:type="dxa"/>
            <w:gridSpan w:val="5"/>
            <w:vAlign w:val="center"/>
          </w:tcPr>
          <w:p w14:paraId="36A339BF">
            <w:pPr>
              <w:spacing w:line="240" w:lineRule="auto"/>
              <w:ind w:firstLine="0" w:firstLineChars="0"/>
              <w:jc w:val="center"/>
              <w:rPr>
                <w:color w:val="auto"/>
                <w:sz w:val="18"/>
                <w:szCs w:val="18"/>
              </w:rPr>
            </w:pPr>
            <w:r>
              <w:rPr>
                <w:rFonts w:hint="eastAsia"/>
                <w:color w:val="auto"/>
                <w:sz w:val="18"/>
                <w:szCs w:val="18"/>
              </w:rPr>
              <w:t>（/）</w:t>
            </w:r>
          </w:p>
        </w:tc>
        <w:tc>
          <w:tcPr>
            <w:tcW w:w="2524" w:type="dxa"/>
            <w:gridSpan w:val="4"/>
            <w:vAlign w:val="center"/>
          </w:tcPr>
          <w:p w14:paraId="29E1686A">
            <w:pPr>
              <w:spacing w:line="240" w:lineRule="auto"/>
              <w:ind w:firstLine="0" w:firstLineChars="0"/>
              <w:jc w:val="center"/>
              <w:rPr>
                <w:color w:val="auto"/>
                <w:sz w:val="18"/>
                <w:szCs w:val="18"/>
              </w:rPr>
            </w:pPr>
            <w:r>
              <w:rPr>
                <w:rFonts w:hint="eastAsia"/>
                <w:color w:val="auto"/>
                <w:sz w:val="18"/>
                <w:szCs w:val="18"/>
              </w:rPr>
              <w:t>（总排放口）</w:t>
            </w:r>
          </w:p>
        </w:tc>
      </w:tr>
      <w:tr w14:paraId="0FD71A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240FFA59">
            <w:pPr>
              <w:spacing w:line="240" w:lineRule="auto"/>
              <w:ind w:firstLine="0" w:firstLineChars="0"/>
              <w:jc w:val="center"/>
              <w:rPr>
                <w:color w:val="auto"/>
                <w:sz w:val="18"/>
                <w:szCs w:val="18"/>
              </w:rPr>
            </w:pPr>
          </w:p>
        </w:tc>
        <w:tc>
          <w:tcPr>
            <w:tcW w:w="1531" w:type="dxa"/>
            <w:vMerge w:val="continue"/>
            <w:vAlign w:val="center"/>
          </w:tcPr>
          <w:p w14:paraId="70592355">
            <w:pPr>
              <w:spacing w:line="240" w:lineRule="auto"/>
              <w:ind w:firstLine="0" w:firstLineChars="0"/>
              <w:jc w:val="center"/>
              <w:rPr>
                <w:color w:val="auto"/>
                <w:sz w:val="18"/>
                <w:szCs w:val="18"/>
              </w:rPr>
            </w:pPr>
          </w:p>
        </w:tc>
        <w:tc>
          <w:tcPr>
            <w:tcW w:w="1759" w:type="dxa"/>
            <w:gridSpan w:val="3"/>
            <w:vAlign w:val="center"/>
          </w:tcPr>
          <w:p w14:paraId="63E7DD10">
            <w:pPr>
              <w:spacing w:line="240" w:lineRule="auto"/>
              <w:ind w:firstLine="0" w:firstLineChars="0"/>
              <w:jc w:val="center"/>
              <w:rPr>
                <w:color w:val="auto"/>
                <w:sz w:val="18"/>
                <w:szCs w:val="18"/>
              </w:rPr>
            </w:pPr>
            <w:r>
              <w:rPr>
                <w:rFonts w:hint="eastAsia"/>
                <w:color w:val="auto"/>
                <w:sz w:val="18"/>
                <w:szCs w:val="18"/>
              </w:rPr>
              <w:t>监测因子</w:t>
            </w:r>
          </w:p>
        </w:tc>
        <w:tc>
          <w:tcPr>
            <w:tcW w:w="2524" w:type="dxa"/>
            <w:gridSpan w:val="5"/>
            <w:vAlign w:val="center"/>
          </w:tcPr>
          <w:p w14:paraId="65354AE4">
            <w:pPr>
              <w:pStyle w:val="59"/>
              <w:bidi w:val="0"/>
              <w:rPr>
                <w:color w:val="auto"/>
                <w:sz w:val="18"/>
                <w:szCs w:val="18"/>
              </w:rPr>
            </w:pPr>
            <w:r>
              <w:rPr>
                <w:rFonts w:hint="eastAsia"/>
                <w:color w:val="auto"/>
                <w:sz w:val="18"/>
                <w:szCs w:val="18"/>
              </w:rPr>
              <w:t>（/）</w:t>
            </w:r>
          </w:p>
        </w:tc>
        <w:tc>
          <w:tcPr>
            <w:tcW w:w="2524" w:type="dxa"/>
            <w:gridSpan w:val="4"/>
            <w:vAlign w:val="center"/>
          </w:tcPr>
          <w:p w14:paraId="310CEEC9">
            <w:pPr>
              <w:pStyle w:val="59"/>
              <w:bidi w:val="0"/>
              <w:rPr>
                <w:color w:val="auto"/>
                <w:sz w:val="18"/>
                <w:szCs w:val="18"/>
              </w:rPr>
            </w:pPr>
            <w:r>
              <w:rPr>
                <w:rFonts w:hint="eastAsia"/>
                <w:color w:val="auto"/>
                <w:sz w:val="18"/>
                <w:szCs w:val="18"/>
              </w:rPr>
              <w:t>（</w:t>
            </w:r>
            <w:r>
              <w:rPr>
                <w:rFonts w:hint="eastAsia"/>
                <w:color w:val="auto"/>
                <w:sz w:val="18"/>
                <w:szCs w:val="18"/>
                <w:lang w:val="en-US" w:eastAsia="zh-CN"/>
              </w:rPr>
              <w:t>间接排放不需进行监测</w:t>
            </w:r>
            <w:r>
              <w:rPr>
                <w:rFonts w:hint="eastAsia"/>
                <w:color w:val="auto"/>
                <w:sz w:val="18"/>
                <w:szCs w:val="18"/>
              </w:rPr>
              <w:t>）</w:t>
            </w:r>
          </w:p>
        </w:tc>
      </w:tr>
      <w:tr w14:paraId="06ACBA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50" w:type="dxa"/>
            <w:vMerge w:val="continue"/>
            <w:vAlign w:val="center"/>
          </w:tcPr>
          <w:p w14:paraId="3022B6F4">
            <w:pPr>
              <w:spacing w:line="240" w:lineRule="auto"/>
              <w:ind w:firstLine="0" w:firstLineChars="0"/>
              <w:jc w:val="center"/>
              <w:rPr>
                <w:color w:val="auto"/>
                <w:sz w:val="18"/>
                <w:szCs w:val="18"/>
              </w:rPr>
            </w:pPr>
          </w:p>
        </w:tc>
        <w:tc>
          <w:tcPr>
            <w:tcW w:w="1531" w:type="dxa"/>
            <w:vAlign w:val="center"/>
          </w:tcPr>
          <w:p w14:paraId="3E72E60B">
            <w:pPr>
              <w:spacing w:line="240" w:lineRule="auto"/>
              <w:ind w:firstLine="0" w:firstLineChars="0"/>
              <w:jc w:val="center"/>
              <w:rPr>
                <w:color w:val="auto"/>
                <w:sz w:val="18"/>
                <w:szCs w:val="18"/>
              </w:rPr>
            </w:pPr>
            <w:r>
              <w:rPr>
                <w:rFonts w:hint="eastAsia"/>
                <w:color w:val="auto"/>
                <w:sz w:val="18"/>
                <w:szCs w:val="18"/>
              </w:rPr>
              <w:t>污染物排放清单</w:t>
            </w:r>
          </w:p>
        </w:tc>
        <w:tc>
          <w:tcPr>
            <w:tcW w:w="6807" w:type="dxa"/>
            <w:gridSpan w:val="12"/>
            <w:vAlign w:val="center"/>
          </w:tcPr>
          <w:p w14:paraId="76E5577E">
            <w:pPr>
              <w:spacing w:line="240" w:lineRule="auto"/>
              <w:ind w:firstLine="0" w:firstLineChars="0"/>
              <w:jc w:val="left"/>
              <w:rPr>
                <w:color w:val="auto"/>
                <w:sz w:val="18"/>
                <w:szCs w:val="18"/>
              </w:rPr>
            </w:pPr>
            <w:r>
              <w:rPr>
                <w:color w:val="auto"/>
                <w:sz w:val="18"/>
                <w:szCs w:val="18"/>
              </w:rPr>
              <w:sym w:font="Wingdings 2" w:char="0052"/>
            </w:r>
          </w:p>
        </w:tc>
      </w:tr>
      <w:tr w14:paraId="24CBFB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481" w:type="dxa"/>
            <w:gridSpan w:val="2"/>
            <w:vAlign w:val="center"/>
          </w:tcPr>
          <w:p w14:paraId="3FAA4E40">
            <w:pPr>
              <w:spacing w:line="240" w:lineRule="auto"/>
              <w:ind w:firstLine="0" w:firstLineChars="0"/>
              <w:jc w:val="center"/>
              <w:rPr>
                <w:color w:val="auto"/>
                <w:sz w:val="18"/>
                <w:szCs w:val="18"/>
              </w:rPr>
            </w:pPr>
            <w:r>
              <w:rPr>
                <w:rFonts w:hint="eastAsia"/>
                <w:color w:val="auto"/>
                <w:sz w:val="18"/>
                <w:szCs w:val="18"/>
              </w:rPr>
              <w:t>评价结论</w:t>
            </w:r>
          </w:p>
        </w:tc>
        <w:tc>
          <w:tcPr>
            <w:tcW w:w="6807" w:type="dxa"/>
            <w:gridSpan w:val="12"/>
            <w:vAlign w:val="center"/>
          </w:tcPr>
          <w:p w14:paraId="6DF95003">
            <w:pPr>
              <w:spacing w:line="240" w:lineRule="auto"/>
              <w:ind w:firstLine="0" w:firstLineChars="0"/>
              <w:jc w:val="center"/>
              <w:rPr>
                <w:color w:val="auto"/>
                <w:sz w:val="18"/>
                <w:szCs w:val="18"/>
              </w:rPr>
            </w:pPr>
            <w:r>
              <w:rPr>
                <w:rFonts w:hint="eastAsia"/>
                <w:color w:val="auto"/>
                <w:sz w:val="18"/>
                <w:szCs w:val="18"/>
              </w:rPr>
              <w:t xml:space="preserve">可以接受 </w:t>
            </w:r>
            <w:r>
              <w:rPr>
                <w:color w:val="auto"/>
                <w:sz w:val="18"/>
                <w:szCs w:val="18"/>
              </w:rPr>
              <w:sym w:font="Wingdings 2" w:char="0052"/>
            </w:r>
            <w:r>
              <w:rPr>
                <w:rFonts w:hint="eastAsia"/>
                <w:color w:val="auto"/>
                <w:sz w:val="18"/>
                <w:szCs w:val="18"/>
              </w:rPr>
              <w:t>；不可以接受 □</w:t>
            </w:r>
          </w:p>
        </w:tc>
      </w:tr>
      <w:tr w14:paraId="474C7A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288" w:type="dxa"/>
            <w:gridSpan w:val="14"/>
            <w:vAlign w:val="center"/>
          </w:tcPr>
          <w:p w14:paraId="303833C6">
            <w:pPr>
              <w:spacing w:line="240" w:lineRule="auto"/>
              <w:ind w:firstLine="0" w:firstLineChars="0"/>
              <w:rPr>
                <w:color w:val="auto"/>
                <w:sz w:val="18"/>
                <w:szCs w:val="18"/>
              </w:rPr>
            </w:pPr>
            <w:r>
              <w:rPr>
                <w:rFonts w:hint="eastAsia"/>
                <w:color w:val="auto"/>
                <w:sz w:val="18"/>
                <w:szCs w:val="18"/>
              </w:rPr>
              <w:t xml:space="preserve">注：“□”为勾选项，可√；“（ ）”为内容填写项；“备注”为其他补充内容。 </w:t>
            </w:r>
          </w:p>
        </w:tc>
      </w:tr>
    </w:tbl>
    <w:p w14:paraId="26514638">
      <w:pPr>
        <w:pStyle w:val="64"/>
        <w:spacing w:before="166" w:after="166"/>
        <w:rPr>
          <w:color w:val="auto"/>
        </w:rPr>
      </w:pPr>
      <w:r>
        <w:rPr>
          <w:rFonts w:hint="eastAsia"/>
          <w:color w:val="auto"/>
          <w:lang w:val="en-US" w:eastAsia="zh-CN"/>
        </w:rPr>
        <w:t>4</w:t>
      </w:r>
      <w:r>
        <w:rPr>
          <w:rFonts w:hint="eastAsia"/>
          <w:color w:val="auto"/>
          <w:lang w:eastAsia="zh-CN"/>
        </w:rPr>
        <w:t>.</w:t>
      </w:r>
      <w:r>
        <w:rPr>
          <w:rFonts w:hint="eastAsia"/>
          <w:color w:val="auto"/>
        </w:rPr>
        <w:t>3.4</w:t>
      </w:r>
      <w:r>
        <w:rPr>
          <w:color w:val="auto"/>
        </w:rPr>
        <w:t>小结</w:t>
      </w:r>
    </w:p>
    <w:p w14:paraId="6FD2532D">
      <w:pPr>
        <w:ind w:firstLine="480"/>
        <w:rPr>
          <w:color w:val="auto"/>
        </w:rPr>
      </w:pPr>
      <w:r>
        <w:rPr>
          <w:rFonts w:hint="eastAsia"/>
          <w:color w:val="auto"/>
        </w:rPr>
        <w:t>本项目依托</w:t>
      </w:r>
      <w:r>
        <w:rPr>
          <w:rFonts w:hint="eastAsia"/>
          <w:color w:val="auto"/>
          <w:lang w:eastAsia="zh-CN"/>
        </w:rPr>
        <w:t>鹤山市第二污水处理厂</w:t>
      </w:r>
      <w:r>
        <w:rPr>
          <w:rFonts w:hint="eastAsia"/>
          <w:color w:val="auto"/>
        </w:rPr>
        <w:t>处理后废水可达标排放，因此本项目地表水环境影响可接受。</w:t>
      </w:r>
    </w:p>
    <w:p w14:paraId="56CC2E04">
      <w:pPr>
        <w:pStyle w:val="67"/>
        <w:numPr>
          <w:ilvl w:val="1"/>
          <w:numId w:val="8"/>
        </w:numPr>
        <w:bidi w:val="0"/>
        <w:ind w:left="567" w:leftChars="0" w:hanging="567" w:firstLineChars="0"/>
        <w:rPr>
          <w:rFonts w:hint="eastAsia" w:ascii="Times New Roman" w:hAnsi="Times New Roman" w:eastAsia="宋体" w:cs="Times New Roman"/>
          <w:color w:val="auto"/>
        </w:rPr>
      </w:pPr>
      <w:bookmarkStart w:id="146" w:name="_Toc25047"/>
      <w:r>
        <w:rPr>
          <w:rFonts w:hint="eastAsia" w:ascii="Times New Roman" w:hAnsi="Times New Roman" w:eastAsia="宋体" w:cs="Times New Roman"/>
          <w:color w:val="auto"/>
        </w:rPr>
        <w:t>营运期噪声环境影响分析</w:t>
      </w:r>
      <w:bookmarkEnd w:id="146"/>
    </w:p>
    <w:p w14:paraId="262A2266">
      <w:pPr>
        <w:ind w:firstLine="480"/>
        <w:rPr>
          <w:color w:val="auto"/>
        </w:rPr>
      </w:pPr>
      <w:r>
        <w:rPr>
          <w:rFonts w:hint="eastAsia"/>
          <w:color w:val="auto"/>
        </w:rPr>
        <w:t>根据</w:t>
      </w:r>
      <w:r>
        <w:rPr>
          <w:rFonts w:hint="eastAsia"/>
          <w:color w:val="auto"/>
          <w:lang w:eastAsia="zh-CN"/>
        </w:rPr>
        <w:t>《环境影响评价技术导则 声环境》（HJ2.4-2021）</w:t>
      </w:r>
      <w:r>
        <w:rPr>
          <w:rFonts w:hint="eastAsia"/>
          <w:color w:val="auto"/>
        </w:rPr>
        <w:t>，本项目噪声评价工作等级定为三级，三级为简要评价，基本要求如下：</w:t>
      </w:r>
    </w:p>
    <w:p w14:paraId="621C2DE4">
      <w:pPr>
        <w:numPr>
          <w:ilvl w:val="0"/>
          <w:numId w:val="46"/>
        </w:numPr>
        <w:ind w:left="0" w:firstLine="480"/>
        <w:rPr>
          <w:color w:val="auto"/>
        </w:rPr>
      </w:pPr>
      <w:r>
        <w:rPr>
          <w:color w:val="auto"/>
        </w:rPr>
        <w:t>在工程分析中</w:t>
      </w:r>
      <w:r>
        <w:rPr>
          <w:rFonts w:hint="eastAsia"/>
          <w:color w:val="auto"/>
        </w:rPr>
        <w:t>，</w:t>
      </w:r>
      <w:r>
        <w:rPr>
          <w:color w:val="auto"/>
        </w:rPr>
        <w:t>给出建设项目对环境有影响的主要声源的数量、位置和声源源强</w:t>
      </w:r>
      <w:r>
        <w:rPr>
          <w:rFonts w:hint="eastAsia"/>
          <w:color w:val="auto"/>
        </w:rPr>
        <w:t>，</w:t>
      </w:r>
      <w:r>
        <w:rPr>
          <w:color w:val="auto"/>
        </w:rPr>
        <w:t>并在标有比例尺的图中标识固定声源的具体位置或流动声源的路线、跑道等位置。在缺少声源源强的相关资料时</w:t>
      </w:r>
      <w:r>
        <w:rPr>
          <w:rFonts w:hint="eastAsia"/>
          <w:color w:val="auto"/>
        </w:rPr>
        <w:t>，</w:t>
      </w:r>
      <w:r>
        <w:rPr>
          <w:color w:val="auto"/>
        </w:rPr>
        <w:t>应通过类比测量取得</w:t>
      </w:r>
      <w:r>
        <w:rPr>
          <w:rFonts w:hint="eastAsia"/>
          <w:color w:val="auto"/>
        </w:rPr>
        <w:t>，</w:t>
      </w:r>
      <w:r>
        <w:rPr>
          <w:color w:val="auto"/>
        </w:rPr>
        <w:t>并给出类比测量的条件。</w:t>
      </w:r>
    </w:p>
    <w:p w14:paraId="62F4707E">
      <w:pPr>
        <w:numPr>
          <w:ilvl w:val="0"/>
          <w:numId w:val="46"/>
        </w:numPr>
        <w:ind w:left="0" w:firstLine="480"/>
        <w:rPr>
          <w:color w:val="auto"/>
        </w:rPr>
      </w:pPr>
      <w:r>
        <w:rPr>
          <w:color w:val="auto"/>
        </w:rPr>
        <w:t>重点调查评价范围内主要敏感目标的声环境质量现状</w:t>
      </w:r>
      <w:r>
        <w:rPr>
          <w:rFonts w:hint="eastAsia"/>
          <w:color w:val="auto"/>
        </w:rPr>
        <w:t>，</w:t>
      </w:r>
      <w:r>
        <w:rPr>
          <w:color w:val="auto"/>
        </w:rPr>
        <w:t>可利用评价范围内已有的声环境质量监测资料</w:t>
      </w:r>
      <w:r>
        <w:rPr>
          <w:rFonts w:hint="eastAsia"/>
          <w:color w:val="auto"/>
        </w:rPr>
        <w:t>，</w:t>
      </w:r>
      <w:r>
        <w:rPr>
          <w:color w:val="auto"/>
        </w:rPr>
        <w:t>若无现状监测资料时应进行实测并对声环境质量现状进行评价。</w:t>
      </w:r>
    </w:p>
    <w:p w14:paraId="73DD5314">
      <w:pPr>
        <w:numPr>
          <w:ilvl w:val="0"/>
          <w:numId w:val="46"/>
        </w:numPr>
        <w:ind w:left="0" w:firstLine="480"/>
        <w:rPr>
          <w:color w:val="auto"/>
        </w:rPr>
      </w:pPr>
      <w:r>
        <w:rPr>
          <w:color w:val="auto"/>
        </w:rPr>
        <w:t>噪声预测应给出建设项目建成后各敏感目标的预测值及厂界(或场界、边界)噪声值</w:t>
      </w:r>
      <w:r>
        <w:rPr>
          <w:rFonts w:hint="eastAsia"/>
          <w:color w:val="auto"/>
        </w:rPr>
        <w:t>，</w:t>
      </w:r>
      <w:r>
        <w:rPr>
          <w:color w:val="auto"/>
        </w:rPr>
        <w:t>分析敏感目标受影响的范围和程度。</w:t>
      </w:r>
    </w:p>
    <w:p w14:paraId="1476974D">
      <w:pPr>
        <w:numPr>
          <w:ilvl w:val="0"/>
          <w:numId w:val="46"/>
        </w:numPr>
        <w:ind w:left="0" w:firstLine="480"/>
        <w:rPr>
          <w:color w:val="auto"/>
        </w:rPr>
      </w:pPr>
      <w:r>
        <w:rPr>
          <w:color w:val="auto"/>
        </w:rPr>
        <w:t>针对建设项目的工程特点和所在区域的环境特征提出噪声防治措施</w:t>
      </w:r>
      <w:r>
        <w:rPr>
          <w:rFonts w:hint="eastAsia"/>
          <w:color w:val="auto"/>
        </w:rPr>
        <w:t>，</w:t>
      </w:r>
      <w:r>
        <w:rPr>
          <w:color w:val="auto"/>
        </w:rPr>
        <w:t>并进行达标分析。</w:t>
      </w:r>
    </w:p>
    <w:p w14:paraId="475F90C9">
      <w:pPr>
        <w:pStyle w:val="64"/>
        <w:numPr>
          <w:ilvl w:val="2"/>
          <w:numId w:val="8"/>
        </w:numPr>
        <w:spacing w:before="166" w:after="166"/>
        <w:ind w:left="709" w:leftChars="0" w:hanging="709" w:firstLineChars="0"/>
        <w:rPr>
          <w:rFonts w:hint="eastAsia" w:ascii="Times New Roman" w:hAnsi="Times New Roman" w:eastAsia="宋体" w:cs="Times New Roman"/>
          <w:color w:val="auto"/>
        </w:rPr>
      </w:pPr>
      <w:bookmarkStart w:id="147" w:name="_Toc238196952"/>
      <w:r>
        <w:rPr>
          <w:rFonts w:hint="eastAsia" w:ascii="Times New Roman" w:hAnsi="Times New Roman" w:eastAsia="宋体" w:cs="Times New Roman"/>
          <w:color w:val="auto"/>
        </w:rPr>
        <w:t>预测方法</w:t>
      </w:r>
      <w:bookmarkEnd w:id="147"/>
    </w:p>
    <w:p w14:paraId="472C19DE">
      <w:pPr>
        <w:ind w:firstLine="480"/>
        <w:rPr>
          <w:rFonts w:hint="default" w:eastAsia="宋体"/>
          <w:color w:val="auto"/>
          <w:lang w:val="en-US" w:eastAsia="zh-CN"/>
        </w:rPr>
      </w:pPr>
      <w:r>
        <w:rPr>
          <w:rFonts w:hint="eastAsia"/>
          <w:color w:val="auto"/>
        </w:rPr>
        <w:t>对噪声源进行类比调查，</w:t>
      </w:r>
      <w:r>
        <w:rPr>
          <w:rFonts w:hint="eastAsia"/>
          <w:color w:val="auto"/>
          <w:lang w:val="en-US" w:eastAsia="zh-CN"/>
        </w:rPr>
        <w:t>用全厂</w:t>
      </w:r>
      <w:r>
        <w:rPr>
          <w:rFonts w:hint="eastAsia"/>
          <w:color w:val="auto"/>
        </w:rPr>
        <w:t>噪声源</w:t>
      </w:r>
      <w:r>
        <w:rPr>
          <w:rFonts w:hint="eastAsia"/>
          <w:color w:val="auto"/>
          <w:lang w:val="en-US" w:eastAsia="zh-CN"/>
        </w:rPr>
        <w:t>预测的贡献值</w:t>
      </w:r>
      <w:r>
        <w:rPr>
          <w:rFonts w:hint="eastAsia"/>
          <w:color w:val="auto"/>
        </w:rPr>
        <w:t>评价项目建成后对周围环境的影响</w:t>
      </w:r>
      <w:r>
        <w:rPr>
          <w:rFonts w:hint="eastAsia"/>
          <w:color w:val="auto"/>
          <w:lang w:eastAsia="zh-CN"/>
        </w:rPr>
        <w:t>，</w:t>
      </w:r>
      <w:r>
        <w:rPr>
          <w:color w:val="auto"/>
        </w:rPr>
        <w:t>预测时段分为白天和夜间两个时段。</w:t>
      </w:r>
      <w:r>
        <w:rPr>
          <w:rFonts w:hint="eastAsia"/>
          <w:color w:val="auto"/>
          <w:lang w:val="en-US" w:eastAsia="zh-CN"/>
        </w:rPr>
        <w:t>本项目无声环境</w:t>
      </w:r>
      <w:r>
        <w:rPr>
          <w:color w:val="auto"/>
        </w:rPr>
        <w:t>敏感目标</w:t>
      </w:r>
      <w:r>
        <w:rPr>
          <w:rFonts w:hint="eastAsia"/>
          <w:color w:val="auto"/>
          <w:lang w:eastAsia="zh-CN"/>
        </w:rPr>
        <w:t>，</w:t>
      </w:r>
      <w:r>
        <w:rPr>
          <w:rFonts w:hint="eastAsia"/>
          <w:color w:val="auto"/>
          <w:lang w:val="en-US" w:eastAsia="zh-CN"/>
        </w:rPr>
        <w:t>不预需分析</w:t>
      </w:r>
      <w:r>
        <w:rPr>
          <w:color w:val="auto"/>
        </w:rPr>
        <w:t>各敏感目标的预测值</w:t>
      </w:r>
      <w:r>
        <w:rPr>
          <w:rFonts w:hint="eastAsia"/>
          <w:color w:val="auto"/>
          <w:lang w:eastAsia="zh-CN"/>
        </w:rPr>
        <w:t>。</w:t>
      </w:r>
      <w:r>
        <w:rPr>
          <w:color w:val="auto"/>
        </w:rPr>
        <w:t>主要声源的位置</w:t>
      </w:r>
      <w:r>
        <w:rPr>
          <w:rFonts w:hint="eastAsia"/>
          <w:color w:val="auto"/>
          <w:lang w:val="en-US" w:eastAsia="zh-CN"/>
        </w:rPr>
        <w:t>详见上文项目总平面图。</w:t>
      </w:r>
    </w:p>
    <w:p w14:paraId="14724D1F">
      <w:pPr>
        <w:pStyle w:val="64"/>
        <w:numPr>
          <w:ilvl w:val="2"/>
          <w:numId w:val="8"/>
        </w:numPr>
        <w:spacing w:before="166" w:after="166"/>
        <w:ind w:left="709" w:leftChars="0" w:hanging="709" w:firstLineChars="0"/>
        <w:rPr>
          <w:rFonts w:hint="eastAsia" w:ascii="Times New Roman" w:hAnsi="Times New Roman" w:eastAsia="宋体" w:cs="Times New Roman"/>
          <w:color w:val="auto"/>
        </w:rPr>
      </w:pPr>
      <w:bookmarkStart w:id="148" w:name="_Toc238196953"/>
      <w:r>
        <w:rPr>
          <w:rFonts w:hint="eastAsia" w:ascii="Times New Roman" w:hAnsi="Times New Roman" w:eastAsia="宋体" w:cs="Times New Roman"/>
          <w:color w:val="auto"/>
        </w:rPr>
        <w:t>预测模式</w:t>
      </w:r>
      <w:bookmarkEnd w:id="148"/>
    </w:p>
    <w:p w14:paraId="6F6EF7E9">
      <w:pPr>
        <w:snapToGrid w:val="0"/>
        <w:ind w:firstLine="480"/>
        <w:rPr>
          <w:color w:val="auto"/>
        </w:rPr>
      </w:pPr>
      <w:r>
        <w:rPr>
          <w:color w:val="auto"/>
        </w:rPr>
        <w:t>根据建设项目的</w:t>
      </w:r>
      <w:r>
        <w:rPr>
          <w:rFonts w:hint="eastAsia"/>
          <w:color w:val="auto"/>
        </w:rPr>
        <w:t>噪声排放特点，并结合《环境影响评价技术导则</w:t>
      </w:r>
      <w:r>
        <w:rPr>
          <w:rFonts w:hint="eastAsia"/>
          <w:color w:val="auto"/>
          <w:lang w:val="en-US" w:eastAsia="zh-CN"/>
        </w:rPr>
        <w:t xml:space="preserve"> </w:t>
      </w:r>
      <w:r>
        <w:rPr>
          <w:rFonts w:hint="eastAsia"/>
          <w:color w:val="auto"/>
        </w:rPr>
        <w:t>声环境》（</w:t>
      </w:r>
      <w:r>
        <w:rPr>
          <w:rFonts w:hint="eastAsia"/>
          <w:color w:val="auto"/>
          <w:lang w:eastAsia="zh-CN"/>
        </w:rPr>
        <w:t>HJ2.4-2021</w:t>
      </w:r>
      <w:r>
        <w:rPr>
          <w:rFonts w:hint="eastAsia"/>
          <w:color w:val="auto"/>
        </w:rPr>
        <w:t>）的要求，可选择点声源预测模式模拟预测噪声源排放噪声随距离的衰减变化规律。</w:t>
      </w:r>
    </w:p>
    <w:p w14:paraId="08C07491">
      <w:pPr>
        <w:snapToGrid w:val="0"/>
        <w:ind w:firstLine="480"/>
        <w:rPr>
          <w:color w:val="auto"/>
        </w:rPr>
      </w:pPr>
      <w:r>
        <w:rPr>
          <w:rFonts w:hint="eastAsia"/>
          <w:color w:val="auto"/>
        </w:rPr>
        <w:t>（1）对室外噪声源主要考虑噪声的几何发散衰减及环境因素衰减：</w:t>
      </w:r>
    </w:p>
    <w:p w14:paraId="5FC97D81">
      <w:pPr>
        <w:snapToGrid w:val="0"/>
        <w:ind w:firstLine="480"/>
        <w:jc w:val="center"/>
        <w:rPr>
          <w:color w:val="auto"/>
        </w:rPr>
      </w:pPr>
      <w:r>
        <w:rPr>
          <w:color w:val="auto"/>
        </w:rPr>
        <w:object>
          <v:shape id="_x0000_i1030" o:spt="75" type="#_x0000_t75" style="height:19pt;width:116pt;" o:ole="t" filled="f" o:preferrelative="t" stroked="f" coordsize="21600,21600">
            <v:path/>
            <v:fill on="f" focussize="0,0"/>
            <v:stroke on="f" joinstyle="miter"/>
            <v:imagedata r:id="rId108" o:title=""/>
            <o:lock v:ext="edit" aspectratio="t"/>
            <w10:wrap type="none"/>
            <w10:anchorlock/>
          </v:shape>
          <o:OLEObject Type="Embed" ProgID="Equation.DSMT4" ShapeID="_x0000_i1030" DrawAspect="Content" ObjectID="_1468075730" r:id="rId107">
            <o:LockedField>false</o:LockedField>
          </o:OLEObject>
        </w:object>
      </w:r>
    </w:p>
    <w:p w14:paraId="4087E066">
      <w:pPr>
        <w:snapToGrid w:val="0"/>
        <w:ind w:firstLine="480"/>
        <w:jc w:val="center"/>
        <w:rPr>
          <w:color w:val="auto"/>
        </w:rPr>
      </w:pPr>
      <w:r>
        <w:rPr>
          <w:color w:val="auto"/>
        </w:rPr>
        <w:object>
          <v:shape id="_x0000_i1031" o:spt="75" type="#_x0000_t75" style="height:18pt;width:66pt;" o:ole="t" filled="f" o:preferrelative="t" stroked="f" coordsize="21600,21600">
            <v:path/>
            <v:fill on="f" focussize="0,0"/>
            <v:stroke on="f" joinstyle="miter"/>
            <v:imagedata r:id="rId110" o:title=""/>
            <o:lock v:ext="edit" aspectratio="t"/>
            <w10:wrap type="none"/>
            <w10:anchorlock/>
          </v:shape>
          <o:OLEObject Type="Embed" ProgID="Equation.DSMT4" ShapeID="_x0000_i1031" DrawAspect="Content" ObjectID="_1468075731" r:id="rId109">
            <o:LockedField>false</o:LockedField>
          </o:OLEObject>
        </w:object>
      </w:r>
    </w:p>
    <w:p w14:paraId="7991FDF8">
      <w:pPr>
        <w:snapToGrid w:val="0"/>
        <w:ind w:firstLine="480"/>
        <w:rPr>
          <w:color w:val="auto"/>
        </w:rPr>
      </w:pPr>
      <w:r>
        <w:rPr>
          <w:rFonts w:hint="eastAsia"/>
          <w:color w:val="auto"/>
        </w:rPr>
        <w:t>式中：L</w:t>
      </w:r>
      <w:r>
        <w:rPr>
          <w:rFonts w:hint="eastAsia"/>
          <w:color w:val="auto"/>
          <w:vertAlign w:val="subscript"/>
        </w:rPr>
        <w:t>P</w:t>
      </w:r>
      <w:r>
        <w:rPr>
          <w:rFonts w:hint="eastAsia"/>
          <w:color w:val="auto"/>
        </w:rPr>
        <w:t>—距离声源r米处的声压级；</w:t>
      </w:r>
    </w:p>
    <w:p w14:paraId="7CA900A5">
      <w:pPr>
        <w:snapToGrid w:val="0"/>
        <w:ind w:firstLine="1200" w:firstLineChars="500"/>
        <w:rPr>
          <w:color w:val="auto"/>
        </w:rPr>
      </w:pPr>
      <w:r>
        <w:rPr>
          <w:rFonts w:hint="eastAsia"/>
          <w:color w:val="auto"/>
        </w:rPr>
        <w:t>r — 预测点与声源的距离；</w:t>
      </w:r>
    </w:p>
    <w:p w14:paraId="374F4DF1">
      <w:pPr>
        <w:snapToGrid w:val="0"/>
        <w:ind w:firstLine="1200" w:firstLineChars="500"/>
        <w:rPr>
          <w:color w:val="auto"/>
        </w:rPr>
      </w:pPr>
      <w:r>
        <w:rPr>
          <w:rFonts w:hint="eastAsia"/>
          <w:color w:val="auto"/>
        </w:rPr>
        <w:t>r</w:t>
      </w:r>
      <w:r>
        <w:rPr>
          <w:rFonts w:hint="eastAsia"/>
          <w:color w:val="auto"/>
          <w:vertAlign w:val="subscript"/>
        </w:rPr>
        <w:t>0</w:t>
      </w:r>
      <w:r>
        <w:rPr>
          <w:rFonts w:hint="eastAsia"/>
          <w:color w:val="auto"/>
        </w:rPr>
        <w:t>—距离声源r</w:t>
      </w:r>
      <w:r>
        <w:rPr>
          <w:rFonts w:hint="eastAsia"/>
          <w:color w:val="auto"/>
          <w:vertAlign w:val="subscript"/>
        </w:rPr>
        <w:t>0</w:t>
      </w:r>
      <w:r>
        <w:rPr>
          <w:rFonts w:hint="eastAsia"/>
          <w:color w:val="auto"/>
        </w:rPr>
        <w:t>米处的距离；</w:t>
      </w:r>
    </w:p>
    <w:p w14:paraId="5E486C3A">
      <w:pPr>
        <w:snapToGrid w:val="0"/>
        <w:ind w:firstLine="1200" w:firstLineChars="500"/>
        <w:rPr>
          <w:color w:val="auto"/>
        </w:rPr>
      </w:pPr>
      <w:r>
        <w:rPr>
          <w:rFonts w:hint="eastAsia"/>
          <w:color w:val="auto"/>
        </w:rPr>
        <w:t>a—空气衰减系数；</w:t>
      </w:r>
    </w:p>
    <w:p w14:paraId="29DB5819">
      <w:pPr>
        <w:snapToGrid w:val="0"/>
        <w:ind w:left="480" w:leftChars="200" w:firstLine="720" w:firstLineChars="300"/>
        <w:rPr>
          <w:rFonts w:hint="default" w:eastAsia="宋体"/>
          <w:color w:val="auto"/>
          <w:lang w:val="en-US" w:eastAsia="zh-CN"/>
        </w:rPr>
      </w:pPr>
      <w:r>
        <w:rPr>
          <w:rFonts w:hint="eastAsia"/>
          <w:color w:val="auto"/>
        </w:rPr>
        <w:t>△L—各种因素引起的衰减量（包括声屏障、空气吸收等引起的衰减量），dB(A)。一般为8-25dB(A)。</w:t>
      </w:r>
      <w:r>
        <w:rPr>
          <w:rFonts w:hint="eastAsia"/>
          <w:color w:val="auto"/>
          <w:lang w:val="en-US" w:eastAsia="zh-CN"/>
        </w:rPr>
        <w:t>本项目取20dB（A）。</w:t>
      </w:r>
    </w:p>
    <w:p w14:paraId="2918555D">
      <w:pPr>
        <w:ind w:firstLine="480"/>
        <w:rPr>
          <w:color w:val="auto"/>
        </w:rPr>
      </w:pPr>
      <w:r>
        <w:rPr>
          <w:rFonts w:hint="eastAsia"/>
          <w:color w:val="auto"/>
        </w:rPr>
        <w:t>设靠近开口处（或窗户）室内、室外某倍频带的声压级分别为</w:t>
      </w:r>
      <w:r>
        <w:rPr>
          <w:rFonts w:hint="eastAsia"/>
          <w:snapToGrid w:val="0"/>
          <w:color w:val="auto"/>
          <w:kern w:val="0"/>
          <w:position w:val="-14"/>
        </w:rPr>
        <w:object>
          <v:shape id="_x0000_i1032" o:spt="75" type="#_x0000_t75" style="height:19.5pt;width:16.5pt;" o:ole="t" filled="f" o:preferrelative="t" stroked="f" coordsize="21600,21600">
            <v:path/>
            <v:fill on="f" focussize="0,0"/>
            <v:stroke on="f"/>
            <v:imagedata r:id="rId112" o:title=""/>
            <o:lock v:ext="edit" aspectratio="t"/>
            <w10:wrap type="none"/>
            <w10:anchorlock/>
          </v:shape>
          <o:OLEObject Type="Embed" ProgID="Equation.3" ShapeID="_x0000_i1032" DrawAspect="Content" ObjectID="_1468075732" r:id="rId111">
            <o:LockedField>false</o:LockedField>
          </o:OLEObject>
        </w:object>
      </w:r>
      <w:r>
        <w:rPr>
          <w:rFonts w:hint="eastAsia"/>
          <w:color w:val="auto"/>
        </w:rPr>
        <w:t>和</w:t>
      </w:r>
      <w:r>
        <w:rPr>
          <w:rFonts w:hint="eastAsia"/>
          <w:snapToGrid w:val="0"/>
          <w:color w:val="auto"/>
          <w:kern w:val="0"/>
          <w:position w:val="-14"/>
        </w:rPr>
        <w:object>
          <v:shape id="_x0000_i1033" o:spt="75" type="#_x0000_t75" style="height:19.5pt;width:18pt;" o:ole="t" filled="f" o:preferrelative="t" stroked="f" coordsize="21600,21600">
            <v:path/>
            <v:fill on="f" focussize="0,0"/>
            <v:stroke on="f"/>
            <v:imagedata r:id="rId114" o:title=""/>
            <o:lock v:ext="edit" aspectratio="t"/>
            <w10:wrap type="none"/>
            <w10:anchorlock/>
          </v:shape>
          <o:OLEObject Type="Embed" ProgID="Equation.3" ShapeID="_x0000_i1033" DrawAspect="Content" ObjectID="_1468075733" r:id="rId113">
            <o:LockedField>false</o:LockedField>
          </o:OLEObject>
        </w:object>
      </w:r>
      <w:r>
        <w:rPr>
          <w:rFonts w:hint="eastAsia"/>
          <w:color w:val="auto"/>
        </w:rPr>
        <w:t>。若声源所在室内声场为近似扩散声场，则室外的倍频带声压级可按公式近似求出：</w:t>
      </w:r>
    </w:p>
    <w:p w14:paraId="25F991C2">
      <w:pPr>
        <w:ind w:firstLine="480"/>
        <w:jc w:val="center"/>
        <w:rPr>
          <w:color w:val="auto"/>
        </w:rPr>
      </w:pPr>
      <w:r>
        <w:rPr>
          <w:rFonts w:hint="eastAsia"/>
          <w:snapToGrid w:val="0"/>
          <w:color w:val="auto"/>
          <w:kern w:val="0"/>
          <w:position w:val="-10"/>
        </w:rPr>
        <w:object>
          <v:shape id="_x0000_i1034" o:spt="75" type="#_x0000_t75" style="height:16.5pt;width:98.5pt;" o:ole="t" filled="f" o:preferrelative="t" stroked="f" coordsize="21600,21600">
            <v:path/>
            <v:fill on="f" focussize="0,0"/>
            <v:stroke on="f"/>
            <v:imagedata r:id="rId116" o:title=""/>
            <o:lock v:ext="edit" aspectratio="t"/>
            <w10:wrap type="none"/>
            <w10:anchorlock/>
          </v:shape>
          <o:OLEObject Type="Embed" ProgID="Equation.3" ShapeID="_x0000_i1034" DrawAspect="Content" ObjectID="_1468075734" r:id="rId115">
            <o:LockedField>false</o:LockedField>
          </o:OLEObject>
        </w:object>
      </w:r>
    </w:p>
    <w:p w14:paraId="1C3D8C4B">
      <w:pPr>
        <w:ind w:firstLine="480"/>
        <w:rPr>
          <w:color w:val="auto"/>
        </w:rPr>
      </w:pPr>
      <w:r>
        <w:rPr>
          <w:rFonts w:hint="eastAsia"/>
          <w:color w:val="auto"/>
        </w:rPr>
        <w:t>式中：</w:t>
      </w:r>
    </w:p>
    <w:p w14:paraId="5CAC55AB">
      <w:pPr>
        <w:ind w:firstLine="480"/>
        <w:rPr>
          <w:color w:val="auto"/>
        </w:rPr>
      </w:pPr>
      <w:r>
        <w:rPr>
          <w:rFonts w:hint="eastAsia"/>
          <w:snapToGrid w:val="0"/>
          <w:color w:val="auto"/>
          <w:kern w:val="0"/>
          <w:position w:val="-10"/>
        </w:rPr>
        <w:object>
          <v:shape id="_x0000_i1035" o:spt="75" type="#_x0000_t75" style="height:16.5pt;width:19.5pt;" o:ole="t" filled="f" o:preferrelative="t" stroked="f" coordsize="21600,21600">
            <v:path/>
            <v:fill on="f" focussize="0,0"/>
            <v:stroke on="f"/>
            <v:imagedata r:id="rId118" o:title=""/>
            <o:lock v:ext="edit" aspectratio="t"/>
            <w10:wrap type="none"/>
            <w10:anchorlock/>
          </v:shape>
          <o:OLEObject Type="Embed" ProgID="Equation.3" ShapeID="_x0000_i1035" DrawAspect="Content" ObjectID="_1468075735" r:id="rId117">
            <o:LockedField>false</o:LockedField>
          </o:OLEObject>
        </w:object>
      </w:r>
      <w:r>
        <w:rPr>
          <w:rFonts w:hint="eastAsia"/>
          <w:color w:val="auto"/>
        </w:rPr>
        <w:t>：室外靠近开口处的声压级；</w:t>
      </w:r>
    </w:p>
    <w:p w14:paraId="0A1157A4">
      <w:pPr>
        <w:ind w:firstLine="480"/>
        <w:rPr>
          <w:color w:val="auto"/>
        </w:rPr>
      </w:pPr>
      <w:r>
        <w:rPr>
          <w:rFonts w:hint="eastAsia"/>
          <w:snapToGrid w:val="0"/>
          <w:color w:val="auto"/>
          <w:kern w:val="0"/>
          <w:position w:val="-10"/>
        </w:rPr>
        <w:object>
          <v:shape id="_x0000_i1036" o:spt="75" type="#_x0000_t75" style="height:16.5pt;width:18pt;" o:ole="t" filled="f" o:preferrelative="t" stroked="f" coordsize="21600,21600">
            <v:path/>
            <v:fill on="f" focussize="0,0"/>
            <v:stroke on="f"/>
            <v:imagedata r:id="rId120" o:title=""/>
            <o:lock v:ext="edit" aspectratio="t"/>
            <w10:wrap type="none"/>
            <w10:anchorlock/>
          </v:shape>
          <o:OLEObject Type="Embed" ProgID="Equation.3" ShapeID="_x0000_i1036" DrawAspect="Content" ObjectID="_1468075736" r:id="rId119">
            <o:LockedField>false</o:LockedField>
          </o:OLEObject>
        </w:object>
      </w:r>
      <w:r>
        <w:rPr>
          <w:rFonts w:hint="eastAsia"/>
          <w:color w:val="auto"/>
        </w:rPr>
        <w:t>：室内靠近开口处的声压级；</w:t>
      </w:r>
    </w:p>
    <w:p w14:paraId="4E4127C1">
      <w:pPr>
        <w:ind w:firstLine="480"/>
        <w:rPr>
          <w:snapToGrid w:val="0"/>
          <w:color w:val="auto"/>
          <w:kern w:val="0"/>
        </w:rPr>
      </w:pPr>
      <w:r>
        <w:rPr>
          <w:rFonts w:hint="eastAsia"/>
          <w:snapToGrid w:val="0"/>
          <w:color w:val="auto"/>
          <w:kern w:val="0"/>
          <w:position w:val="-4"/>
        </w:rPr>
        <w:object>
          <v:shape id="_x0000_i1037" o:spt="75" type="#_x0000_t75" style="height:13.5pt;width:16.5pt;" o:ole="t" filled="f" o:preferrelative="t" stroked="f" coordsize="21600,21600">
            <v:path/>
            <v:fill on="f" focussize="0,0"/>
            <v:stroke on="f"/>
            <v:imagedata r:id="rId122" o:title=""/>
            <o:lock v:ext="edit" aspectratio="t"/>
            <w10:wrap type="none"/>
            <w10:anchorlock/>
          </v:shape>
          <o:OLEObject Type="Embed" ProgID="Equation.3" ShapeID="_x0000_i1037" DrawAspect="Content" ObjectID="_1468075737" r:id="rId121">
            <o:LockedField>false</o:LockedField>
          </o:OLEObject>
        </w:object>
      </w:r>
      <w:r>
        <w:rPr>
          <w:rFonts w:hint="eastAsia"/>
          <w:color w:val="auto"/>
        </w:rPr>
        <w:t>：隔墙（或窗户）倍频带的隔声量，</w:t>
      </w:r>
      <w:r>
        <w:rPr>
          <w:color w:val="auto"/>
        </w:rPr>
        <w:t>dB</w:t>
      </w:r>
      <w:r>
        <w:rPr>
          <w:rFonts w:hint="eastAsia"/>
          <w:color w:val="auto"/>
        </w:rPr>
        <w:t>；有门窗设</w:t>
      </w:r>
      <w:r>
        <w:rPr>
          <w:rFonts w:hint="eastAsia" w:ascii="宋体" w:cs="宋体"/>
          <w:snapToGrid w:val="0"/>
          <w:color w:val="auto"/>
          <w:kern w:val="0"/>
        </w:rPr>
        <w:t>置的构筑物其隔声量一般为</w:t>
      </w:r>
      <w:r>
        <w:rPr>
          <w:snapToGrid w:val="0"/>
          <w:color w:val="auto"/>
          <w:kern w:val="0"/>
        </w:rPr>
        <w:t>10~25dB</w:t>
      </w:r>
      <w:r>
        <w:rPr>
          <w:rFonts w:hint="eastAsia" w:ascii="宋体" w:cs="宋体"/>
          <w:snapToGrid w:val="0"/>
          <w:color w:val="auto"/>
          <w:kern w:val="0"/>
        </w:rPr>
        <w:t>，</w:t>
      </w:r>
      <w:r>
        <w:rPr>
          <w:rFonts w:hint="eastAsia"/>
          <w:snapToGrid w:val="0"/>
          <w:color w:val="auto"/>
          <w:kern w:val="0"/>
        </w:rPr>
        <w:t>本次</w:t>
      </w:r>
      <w:r>
        <w:rPr>
          <w:rFonts w:hint="eastAsia" w:ascii="宋体" w:cs="宋体"/>
          <w:snapToGrid w:val="0"/>
          <w:color w:val="auto"/>
          <w:kern w:val="0"/>
        </w:rPr>
        <w:t>预测</w:t>
      </w:r>
      <w:r>
        <w:rPr>
          <w:rFonts w:hint="eastAsia"/>
          <w:snapToGrid w:val="0"/>
          <w:color w:val="auto"/>
          <w:kern w:val="0"/>
        </w:rPr>
        <w:t>取20</w:t>
      </w:r>
      <w:r>
        <w:rPr>
          <w:snapToGrid w:val="0"/>
          <w:color w:val="auto"/>
          <w:kern w:val="0"/>
        </w:rPr>
        <w:t>dB</w:t>
      </w:r>
      <w:r>
        <w:rPr>
          <w:rFonts w:hint="eastAsia"/>
          <w:snapToGrid w:val="0"/>
          <w:color w:val="auto"/>
          <w:kern w:val="0"/>
        </w:rPr>
        <w:t>（</w:t>
      </w:r>
      <w:r>
        <w:rPr>
          <w:snapToGrid w:val="0"/>
          <w:color w:val="auto"/>
          <w:kern w:val="0"/>
        </w:rPr>
        <w:t>A</w:t>
      </w:r>
      <w:r>
        <w:rPr>
          <w:rFonts w:hint="eastAsia"/>
          <w:snapToGrid w:val="0"/>
          <w:color w:val="auto"/>
          <w:kern w:val="0"/>
        </w:rPr>
        <w:t>）；</w:t>
      </w:r>
    </w:p>
    <w:p w14:paraId="2E492711">
      <w:pPr>
        <w:pStyle w:val="62"/>
        <w:bidi w:val="0"/>
        <w:rPr>
          <w:color w:val="auto"/>
        </w:rPr>
      </w:pPr>
      <w:r>
        <w:rPr>
          <w:color w:val="auto"/>
        </w:rPr>
        <w:drawing>
          <wp:inline distT="0" distB="0" distL="114300" distR="114300">
            <wp:extent cx="2311400" cy="1041400"/>
            <wp:effectExtent l="0" t="0" r="3175" b="6350"/>
            <wp:docPr id="5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5"/>
                    <pic:cNvPicPr>
                      <a:picLocks noChangeAspect="1"/>
                    </pic:cNvPicPr>
                  </pic:nvPicPr>
                  <pic:blipFill>
                    <a:blip r:embed="rId123"/>
                    <a:stretch>
                      <a:fillRect/>
                    </a:stretch>
                  </pic:blipFill>
                  <pic:spPr>
                    <a:xfrm>
                      <a:off x="0" y="0"/>
                      <a:ext cx="2311400" cy="1041400"/>
                    </a:xfrm>
                    <a:prstGeom prst="rect">
                      <a:avLst/>
                    </a:prstGeom>
                    <a:noFill/>
                    <a:ln>
                      <a:noFill/>
                    </a:ln>
                  </pic:spPr>
                </pic:pic>
              </a:graphicData>
            </a:graphic>
          </wp:inline>
        </w:drawing>
      </w:r>
    </w:p>
    <w:p w14:paraId="5F516110">
      <w:pPr>
        <w:pStyle w:val="62"/>
        <w:bidi w:val="0"/>
        <w:rPr>
          <w:rFonts w:hint="eastAsia"/>
          <w:color w:val="auto"/>
        </w:rPr>
      </w:pPr>
      <w:r>
        <w:rPr>
          <w:rFonts w:hint="eastAsia"/>
          <w:color w:val="auto"/>
          <w:lang w:eastAsia="zh-CN"/>
        </w:rPr>
        <w:t>图5</w:t>
      </w:r>
      <w:r>
        <w:rPr>
          <w:rFonts w:hint="eastAsia"/>
          <w:color w:val="auto"/>
          <w:lang w:val="en-US" w:eastAsia="zh-CN"/>
        </w:rPr>
        <w:t xml:space="preserve">.4-1  </w:t>
      </w:r>
      <w:r>
        <w:rPr>
          <w:rFonts w:hint="eastAsia"/>
          <w:color w:val="auto"/>
        </w:rPr>
        <w:t>室内声源等效为室外声源例图</w:t>
      </w:r>
    </w:p>
    <w:p w14:paraId="41E857F1">
      <w:pPr>
        <w:snapToGrid w:val="0"/>
        <w:ind w:firstLine="480"/>
        <w:rPr>
          <w:color w:val="auto"/>
        </w:rPr>
      </w:pPr>
      <w:r>
        <w:rPr>
          <w:rFonts w:hint="eastAsia"/>
          <w:color w:val="auto"/>
        </w:rPr>
        <w:t>（2）对两个以上多个声源同时存在时，多点源叠加计算总源强，采用如下公式：</w:t>
      </w:r>
    </w:p>
    <w:p w14:paraId="25E9EFD5">
      <w:pPr>
        <w:snapToGrid w:val="0"/>
        <w:ind w:firstLine="480"/>
        <w:jc w:val="center"/>
        <w:rPr>
          <w:color w:val="auto"/>
        </w:rPr>
      </w:pPr>
      <w:r>
        <w:rPr>
          <w:color w:val="auto"/>
        </w:rPr>
        <w:object>
          <v:shape id="_x0000_i1038" o:spt="75" type="#_x0000_t75" style="height:20pt;width:98pt;" o:ole="t" filled="f" o:preferrelative="t" stroked="f" coordsize="21600,21600">
            <v:path/>
            <v:fill on="f" focussize="0,0"/>
            <v:stroke on="f" joinstyle="miter"/>
            <v:imagedata r:id="rId125" o:title=""/>
            <o:lock v:ext="edit" aspectratio="t"/>
            <w10:wrap type="none"/>
            <w10:anchorlock/>
          </v:shape>
          <o:OLEObject Type="Embed" ProgID="Equation.DSMT4" ShapeID="_x0000_i1038" DrawAspect="Content" ObjectID="_1468075738" r:id="rId124">
            <o:LockedField>false</o:LockedField>
          </o:OLEObject>
        </w:object>
      </w:r>
    </w:p>
    <w:p w14:paraId="3D283E4D">
      <w:pPr>
        <w:snapToGrid w:val="0"/>
        <w:ind w:firstLine="960" w:firstLineChars="400"/>
        <w:rPr>
          <w:color w:val="auto"/>
        </w:rPr>
      </w:pPr>
      <w:r>
        <w:rPr>
          <w:rFonts w:hint="eastAsia"/>
          <w:color w:val="auto"/>
        </w:rPr>
        <w:t>式中：Leq—预测点的总等效声级，dB(A)；</w:t>
      </w:r>
    </w:p>
    <w:p w14:paraId="4450CB4C">
      <w:pPr>
        <w:ind w:firstLine="1680" w:firstLineChars="700"/>
        <w:rPr>
          <w:color w:val="auto"/>
        </w:rPr>
      </w:pPr>
      <w:r>
        <w:rPr>
          <w:rFonts w:hint="eastAsia"/>
          <w:color w:val="auto"/>
        </w:rPr>
        <w:t>L</w:t>
      </w:r>
      <w:r>
        <w:rPr>
          <w:rFonts w:hint="eastAsia"/>
          <w:color w:val="auto"/>
          <w:vertAlign w:val="subscript"/>
        </w:rPr>
        <w:t>i</w:t>
      </w:r>
      <w:r>
        <w:rPr>
          <w:rFonts w:hint="eastAsia"/>
          <w:color w:val="auto"/>
        </w:rPr>
        <w:t>—第i个声源对预测点的声级影响，dB(A)。</w:t>
      </w:r>
    </w:p>
    <w:p w14:paraId="0335A8D7">
      <w:pPr>
        <w:snapToGrid w:val="0"/>
        <w:spacing w:before="166" w:beforeLines="50" w:after="166" w:afterLines="50"/>
        <w:ind w:firstLine="480"/>
        <w:rPr>
          <w:color w:val="auto"/>
          <w:szCs w:val="24"/>
        </w:rPr>
      </w:pPr>
      <w:r>
        <w:rPr>
          <w:color w:val="auto"/>
          <w:szCs w:val="24"/>
        </w:rPr>
        <w:t>（</w:t>
      </w:r>
      <w:r>
        <w:rPr>
          <w:rFonts w:hint="eastAsia"/>
          <w:color w:val="auto"/>
          <w:szCs w:val="24"/>
        </w:rPr>
        <w:t>3</w:t>
      </w:r>
      <w:r>
        <w:rPr>
          <w:color w:val="auto"/>
          <w:szCs w:val="24"/>
        </w:rPr>
        <w:t>）为预测项目噪声源对周围声环境的影响情况，首先预测噪声源随距离的衰减，然后将噪声源产生的噪声值与区域噪声背景值叠加，即可以预测不同距离的噪声值。叠加公式为：</w:t>
      </w:r>
    </w:p>
    <w:p w14:paraId="2AAD5969">
      <w:pPr>
        <w:spacing w:before="166" w:beforeLines="50" w:after="166" w:afterLines="50"/>
        <w:ind w:firstLine="528"/>
        <w:jc w:val="center"/>
        <w:rPr>
          <w:color w:val="auto"/>
          <w:spacing w:val="12"/>
        </w:rPr>
      </w:pPr>
      <w:r>
        <w:rPr>
          <w:color w:val="auto"/>
          <w:spacing w:val="12"/>
        </w:rPr>
        <w:t>Leq=10Lg[10</w:t>
      </w:r>
      <w:r>
        <w:rPr>
          <w:color w:val="auto"/>
          <w:spacing w:val="12"/>
          <w:vertAlign w:val="superscript"/>
        </w:rPr>
        <w:t>L</w:t>
      </w:r>
      <w:r>
        <w:rPr>
          <w:color w:val="auto"/>
          <w:spacing w:val="12"/>
          <w:vertAlign w:val="subscript"/>
        </w:rPr>
        <w:t>3</w:t>
      </w:r>
      <w:r>
        <w:rPr>
          <w:color w:val="auto"/>
          <w:spacing w:val="12"/>
          <w:vertAlign w:val="superscript"/>
        </w:rPr>
        <w:t>/10</w:t>
      </w:r>
      <w:r>
        <w:rPr>
          <w:color w:val="auto"/>
          <w:spacing w:val="12"/>
        </w:rPr>
        <w:t>+10</w:t>
      </w:r>
      <w:r>
        <w:rPr>
          <w:color w:val="auto"/>
          <w:spacing w:val="12"/>
          <w:vertAlign w:val="superscript"/>
        </w:rPr>
        <w:t>L</w:t>
      </w:r>
      <w:r>
        <w:rPr>
          <w:color w:val="auto"/>
          <w:spacing w:val="12"/>
          <w:vertAlign w:val="subscript"/>
        </w:rPr>
        <w:t>4</w:t>
      </w:r>
      <w:r>
        <w:rPr>
          <w:color w:val="auto"/>
          <w:spacing w:val="12"/>
          <w:vertAlign w:val="superscript"/>
        </w:rPr>
        <w:t>/10</w:t>
      </w:r>
      <w:r>
        <w:rPr>
          <w:color w:val="auto"/>
          <w:spacing w:val="12"/>
        </w:rPr>
        <w:t>]</w:t>
      </w:r>
    </w:p>
    <w:p w14:paraId="37252BF5">
      <w:pPr>
        <w:snapToGrid w:val="0"/>
        <w:ind w:firstLine="960" w:firstLineChars="400"/>
        <w:rPr>
          <w:color w:val="auto"/>
        </w:rPr>
      </w:pPr>
      <w:r>
        <w:rPr>
          <w:rFonts w:hint="eastAsia"/>
          <w:color w:val="auto"/>
        </w:rPr>
        <w:t>式中：Leq-----噪声源噪声与背景噪声叠加值；</w:t>
      </w:r>
    </w:p>
    <w:p w14:paraId="6F378CB2">
      <w:pPr>
        <w:snapToGrid w:val="0"/>
        <w:ind w:firstLine="960" w:firstLineChars="400"/>
        <w:rPr>
          <w:color w:val="auto"/>
        </w:rPr>
      </w:pPr>
      <w:r>
        <w:rPr>
          <w:rFonts w:hint="eastAsia"/>
          <w:color w:val="auto"/>
        </w:rPr>
        <w:t>L</w:t>
      </w:r>
      <w:r>
        <w:rPr>
          <w:rFonts w:hint="eastAsia"/>
          <w:color w:val="auto"/>
          <w:vertAlign w:val="subscript"/>
        </w:rPr>
        <w:t>3</w:t>
      </w:r>
      <w:r>
        <w:rPr>
          <w:rFonts w:hint="eastAsia"/>
          <w:color w:val="auto"/>
        </w:rPr>
        <w:t>-----背景噪声，</w:t>
      </w:r>
    </w:p>
    <w:p w14:paraId="73DD18AE">
      <w:pPr>
        <w:snapToGrid w:val="0"/>
        <w:ind w:firstLine="960" w:firstLineChars="400"/>
        <w:rPr>
          <w:color w:val="auto"/>
        </w:rPr>
      </w:pPr>
      <w:r>
        <w:rPr>
          <w:rFonts w:hint="eastAsia"/>
          <w:color w:val="auto"/>
        </w:rPr>
        <w:t>L</w:t>
      </w:r>
      <w:r>
        <w:rPr>
          <w:rFonts w:hint="eastAsia"/>
          <w:color w:val="auto"/>
          <w:vertAlign w:val="subscript"/>
        </w:rPr>
        <w:t>4</w:t>
      </w:r>
      <w:r>
        <w:rPr>
          <w:rFonts w:hint="eastAsia"/>
          <w:color w:val="auto"/>
        </w:rPr>
        <w:t>为噪声源影响值。</w:t>
      </w:r>
    </w:p>
    <w:p w14:paraId="26BC0BE5">
      <w:pPr>
        <w:pStyle w:val="64"/>
        <w:numPr>
          <w:ilvl w:val="2"/>
          <w:numId w:val="8"/>
        </w:numPr>
        <w:spacing w:before="166" w:after="166"/>
        <w:ind w:left="709" w:leftChars="0" w:hanging="709" w:firstLineChars="0"/>
        <w:rPr>
          <w:rFonts w:hint="eastAsia" w:ascii="Times New Roman" w:hAnsi="Times New Roman" w:eastAsia="宋体" w:cs="Times New Roman"/>
          <w:color w:val="auto"/>
        </w:rPr>
      </w:pPr>
      <w:bookmarkStart w:id="149" w:name="_Toc103765440"/>
      <w:bookmarkStart w:id="150" w:name="_Toc245789816"/>
      <w:r>
        <w:rPr>
          <w:rFonts w:hint="eastAsia" w:ascii="Times New Roman" w:hAnsi="Times New Roman" w:eastAsia="宋体" w:cs="Times New Roman"/>
          <w:color w:val="auto"/>
        </w:rPr>
        <w:t>预测结果及分析</w:t>
      </w:r>
      <w:bookmarkEnd w:id="149"/>
      <w:bookmarkEnd w:id="150"/>
    </w:p>
    <w:p w14:paraId="109E3497">
      <w:pPr>
        <w:ind w:firstLine="480"/>
        <w:rPr>
          <w:color w:val="auto"/>
        </w:rPr>
      </w:pPr>
      <w:r>
        <w:rPr>
          <w:color w:val="auto"/>
          <w:lang w:val="zh-CN"/>
        </w:rPr>
        <w:t>声源距各厂界距离情况见</w:t>
      </w:r>
      <w:r>
        <w:rPr>
          <w:rFonts w:hint="eastAsia"/>
          <w:color w:val="auto"/>
          <w:lang w:val="zh-CN"/>
        </w:rPr>
        <w:t>表</w:t>
      </w:r>
      <w:r>
        <w:rPr>
          <w:rFonts w:hint="eastAsia"/>
          <w:color w:val="auto"/>
          <w:lang w:val="en-US" w:eastAsia="zh-CN"/>
        </w:rPr>
        <w:t>4</w:t>
      </w:r>
      <w:r>
        <w:rPr>
          <w:rFonts w:hint="eastAsia"/>
          <w:color w:val="auto"/>
        </w:rPr>
        <w:t>.4-1</w:t>
      </w:r>
      <w:r>
        <w:rPr>
          <w:color w:val="auto"/>
        </w:rPr>
        <w:t>，</w:t>
      </w:r>
      <w:r>
        <w:rPr>
          <w:rFonts w:hint="eastAsia"/>
          <w:color w:val="auto"/>
          <w:lang w:val="en-US" w:eastAsia="zh-CN"/>
        </w:rPr>
        <w:t>本表仅统计70</w:t>
      </w:r>
      <w:r>
        <w:rPr>
          <w:color w:val="auto"/>
          <w:kern w:val="2"/>
          <w:szCs w:val="21"/>
        </w:rPr>
        <w:t>dB(A)</w:t>
      </w:r>
      <w:r>
        <w:rPr>
          <w:rFonts w:hint="eastAsia"/>
          <w:color w:val="auto"/>
          <w:kern w:val="2"/>
          <w:szCs w:val="21"/>
          <w:lang w:val="en-US" w:eastAsia="zh-CN"/>
        </w:rPr>
        <w:t>及以上噪声值的 设备。</w:t>
      </w:r>
      <w:r>
        <w:rPr>
          <w:rFonts w:hint="eastAsia"/>
          <w:color w:val="auto"/>
        </w:rPr>
        <w:t>如声源与场界距离较远，其对场界噪声的影响可忽略。声源经</w:t>
      </w:r>
      <w:r>
        <w:rPr>
          <w:color w:val="auto"/>
        </w:rPr>
        <w:t>车间墙壁、场界围墙、距离</w:t>
      </w:r>
      <w:r>
        <w:rPr>
          <w:rFonts w:hint="eastAsia"/>
          <w:color w:val="auto"/>
        </w:rPr>
        <w:t>、治理措施</w:t>
      </w:r>
      <w:r>
        <w:rPr>
          <w:color w:val="auto"/>
        </w:rPr>
        <w:t>等引起的衰减后，厂界噪声预测结果见</w:t>
      </w:r>
      <w:r>
        <w:rPr>
          <w:rFonts w:hint="eastAsia"/>
          <w:color w:val="auto"/>
          <w:lang w:eastAsia="zh-CN"/>
        </w:rPr>
        <w:t>表</w:t>
      </w:r>
      <w:r>
        <w:rPr>
          <w:rFonts w:hint="eastAsia"/>
          <w:color w:val="auto"/>
          <w:lang w:val="en-US" w:eastAsia="zh-CN"/>
        </w:rPr>
        <w:t>4</w:t>
      </w:r>
      <w:r>
        <w:rPr>
          <w:rFonts w:hint="eastAsia"/>
          <w:color w:val="auto"/>
        </w:rPr>
        <w:t>.4-2</w:t>
      </w:r>
      <w:r>
        <w:rPr>
          <w:color w:val="auto"/>
        </w:rPr>
        <w:t>。</w:t>
      </w:r>
    </w:p>
    <w:p w14:paraId="5CC5F2C7">
      <w:pPr>
        <w:pStyle w:val="62"/>
        <w:rPr>
          <w:color w:val="auto"/>
        </w:rPr>
      </w:pPr>
      <w:r>
        <w:rPr>
          <w:rFonts w:hint="eastAsia"/>
          <w:color w:val="auto"/>
          <w:lang w:eastAsia="zh-CN"/>
        </w:rPr>
        <w:t>表</w:t>
      </w:r>
      <w:r>
        <w:rPr>
          <w:rFonts w:hint="eastAsia"/>
          <w:color w:val="auto"/>
          <w:lang w:val="en-US" w:eastAsia="zh-CN"/>
        </w:rPr>
        <w:t>4</w:t>
      </w:r>
      <w:r>
        <w:rPr>
          <w:rFonts w:hint="eastAsia"/>
          <w:color w:val="auto"/>
        </w:rPr>
        <w:t>.4-1</w:t>
      </w:r>
      <w:r>
        <w:rPr>
          <w:color w:val="auto"/>
        </w:rPr>
        <w:t xml:space="preserve">  </w:t>
      </w:r>
      <w:r>
        <w:rPr>
          <w:rFonts w:ascii="宋体" w:hAnsi="宋体" w:eastAsia="宋体" w:cs="宋体"/>
          <w:b/>
          <w:bCs/>
          <w:spacing w:val="-3"/>
          <w:sz w:val="24"/>
          <w:szCs w:val="24"/>
        </w:rPr>
        <w:t>室外噪声源强及措施一览表</w:t>
      </w:r>
    </w:p>
    <w:tbl>
      <w:tblPr>
        <w:tblStyle w:val="105"/>
        <w:tblW w:w="9083"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6"/>
        <w:gridCol w:w="1543"/>
        <w:gridCol w:w="893"/>
        <w:gridCol w:w="706"/>
        <w:gridCol w:w="665"/>
        <w:gridCol w:w="668"/>
        <w:gridCol w:w="1238"/>
        <w:gridCol w:w="624"/>
        <w:gridCol w:w="754"/>
        <w:gridCol w:w="1486"/>
      </w:tblGrid>
      <w:tr w14:paraId="0DDF8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506" w:type="dxa"/>
            <w:vMerge w:val="restart"/>
            <w:tcBorders>
              <w:top w:val="single" w:color="000000" w:sz="16" w:space="0"/>
              <w:left w:val="nil"/>
              <w:bottom w:val="nil"/>
            </w:tcBorders>
            <w:vAlign w:val="center"/>
          </w:tcPr>
          <w:p w14:paraId="29FB1127">
            <w:pPr>
              <w:pStyle w:val="59"/>
              <w:bidi w:val="0"/>
              <w:jc w:val="center"/>
            </w:pPr>
            <w:r>
              <w:t>序号</w:t>
            </w:r>
          </w:p>
        </w:tc>
        <w:tc>
          <w:tcPr>
            <w:tcW w:w="1543" w:type="dxa"/>
            <w:vMerge w:val="restart"/>
            <w:tcBorders>
              <w:top w:val="single" w:color="000000" w:sz="16" w:space="0"/>
              <w:bottom w:val="nil"/>
            </w:tcBorders>
            <w:vAlign w:val="center"/>
          </w:tcPr>
          <w:p w14:paraId="266E9F9E">
            <w:pPr>
              <w:pStyle w:val="59"/>
              <w:bidi w:val="0"/>
              <w:jc w:val="center"/>
            </w:pPr>
            <w:r>
              <w:t>名称</w:t>
            </w:r>
          </w:p>
        </w:tc>
        <w:tc>
          <w:tcPr>
            <w:tcW w:w="893" w:type="dxa"/>
            <w:vMerge w:val="restart"/>
            <w:tcBorders>
              <w:top w:val="single" w:color="000000" w:sz="16" w:space="0"/>
              <w:bottom w:val="nil"/>
            </w:tcBorders>
            <w:vAlign w:val="center"/>
          </w:tcPr>
          <w:p w14:paraId="745025C3">
            <w:pPr>
              <w:pStyle w:val="59"/>
              <w:bidi w:val="0"/>
              <w:jc w:val="center"/>
            </w:pPr>
            <w:r>
              <w:t>型号</w:t>
            </w:r>
          </w:p>
        </w:tc>
        <w:tc>
          <w:tcPr>
            <w:tcW w:w="2039" w:type="dxa"/>
            <w:gridSpan w:val="3"/>
            <w:tcBorders>
              <w:top w:val="single" w:color="000000" w:sz="16" w:space="0"/>
            </w:tcBorders>
            <w:vAlign w:val="center"/>
          </w:tcPr>
          <w:p w14:paraId="690F883A">
            <w:pPr>
              <w:pStyle w:val="59"/>
              <w:bidi w:val="0"/>
              <w:jc w:val="center"/>
            </w:pPr>
            <w:r>
              <w:t>空间相对位置/m</w:t>
            </w:r>
          </w:p>
        </w:tc>
        <w:tc>
          <w:tcPr>
            <w:tcW w:w="1862" w:type="dxa"/>
            <w:gridSpan w:val="2"/>
            <w:tcBorders>
              <w:top w:val="single" w:color="000000" w:sz="16" w:space="0"/>
            </w:tcBorders>
            <w:vAlign w:val="center"/>
          </w:tcPr>
          <w:p w14:paraId="59522835">
            <w:pPr>
              <w:pStyle w:val="59"/>
              <w:bidi w:val="0"/>
              <w:jc w:val="center"/>
            </w:pPr>
            <w:r>
              <w:t>声源源强</w:t>
            </w:r>
          </w:p>
        </w:tc>
        <w:tc>
          <w:tcPr>
            <w:tcW w:w="754" w:type="dxa"/>
            <w:vMerge w:val="restart"/>
            <w:tcBorders>
              <w:top w:val="single" w:color="000000" w:sz="16" w:space="0"/>
              <w:bottom w:val="nil"/>
            </w:tcBorders>
            <w:vAlign w:val="center"/>
          </w:tcPr>
          <w:p w14:paraId="3840B4EA">
            <w:pPr>
              <w:pStyle w:val="59"/>
              <w:bidi w:val="0"/>
              <w:jc w:val="center"/>
            </w:pPr>
            <w:r>
              <w:t>声源控制措施</w:t>
            </w:r>
          </w:p>
        </w:tc>
        <w:tc>
          <w:tcPr>
            <w:tcW w:w="1486" w:type="dxa"/>
            <w:vMerge w:val="restart"/>
            <w:tcBorders>
              <w:top w:val="single" w:color="000000" w:sz="16" w:space="0"/>
              <w:bottom w:val="nil"/>
              <w:right w:val="nil"/>
            </w:tcBorders>
            <w:vAlign w:val="center"/>
          </w:tcPr>
          <w:p w14:paraId="00C9D822">
            <w:pPr>
              <w:pStyle w:val="59"/>
              <w:bidi w:val="0"/>
              <w:jc w:val="center"/>
            </w:pPr>
            <w:r>
              <w:t>运行时段</w:t>
            </w:r>
          </w:p>
        </w:tc>
      </w:tr>
      <w:tr w14:paraId="54F23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506" w:type="dxa"/>
            <w:vMerge w:val="continue"/>
            <w:tcBorders>
              <w:top w:val="nil"/>
              <w:left w:val="nil"/>
            </w:tcBorders>
            <w:vAlign w:val="center"/>
          </w:tcPr>
          <w:p w14:paraId="09A0ACC8">
            <w:pPr>
              <w:pStyle w:val="59"/>
              <w:bidi w:val="0"/>
              <w:jc w:val="center"/>
            </w:pPr>
          </w:p>
        </w:tc>
        <w:tc>
          <w:tcPr>
            <w:tcW w:w="1543" w:type="dxa"/>
            <w:vMerge w:val="continue"/>
            <w:tcBorders>
              <w:top w:val="nil"/>
            </w:tcBorders>
            <w:vAlign w:val="center"/>
          </w:tcPr>
          <w:p w14:paraId="45253AC6">
            <w:pPr>
              <w:pStyle w:val="59"/>
              <w:bidi w:val="0"/>
              <w:jc w:val="center"/>
            </w:pPr>
          </w:p>
        </w:tc>
        <w:tc>
          <w:tcPr>
            <w:tcW w:w="893" w:type="dxa"/>
            <w:vMerge w:val="continue"/>
            <w:tcBorders>
              <w:top w:val="nil"/>
            </w:tcBorders>
            <w:vAlign w:val="center"/>
          </w:tcPr>
          <w:p w14:paraId="0B026B5F">
            <w:pPr>
              <w:pStyle w:val="59"/>
              <w:bidi w:val="0"/>
              <w:jc w:val="center"/>
            </w:pPr>
          </w:p>
        </w:tc>
        <w:tc>
          <w:tcPr>
            <w:tcW w:w="706" w:type="dxa"/>
            <w:vAlign w:val="center"/>
          </w:tcPr>
          <w:p w14:paraId="7981EBC5">
            <w:pPr>
              <w:pStyle w:val="59"/>
              <w:bidi w:val="0"/>
              <w:jc w:val="center"/>
            </w:pPr>
            <w:r>
              <w:t>x</w:t>
            </w:r>
          </w:p>
        </w:tc>
        <w:tc>
          <w:tcPr>
            <w:tcW w:w="665" w:type="dxa"/>
            <w:vAlign w:val="center"/>
          </w:tcPr>
          <w:p w14:paraId="0B20C0D6">
            <w:pPr>
              <w:pStyle w:val="59"/>
              <w:bidi w:val="0"/>
              <w:jc w:val="center"/>
            </w:pPr>
            <w:r>
              <w:t>y</w:t>
            </w:r>
          </w:p>
        </w:tc>
        <w:tc>
          <w:tcPr>
            <w:tcW w:w="668" w:type="dxa"/>
            <w:vAlign w:val="center"/>
          </w:tcPr>
          <w:p w14:paraId="4C283CFE">
            <w:pPr>
              <w:pStyle w:val="59"/>
              <w:bidi w:val="0"/>
              <w:jc w:val="center"/>
            </w:pPr>
            <w:r>
              <w:t>z</w:t>
            </w:r>
          </w:p>
        </w:tc>
        <w:tc>
          <w:tcPr>
            <w:tcW w:w="1238" w:type="dxa"/>
            <w:vAlign w:val="center"/>
          </w:tcPr>
          <w:p w14:paraId="4DFC7A3E">
            <w:pPr>
              <w:pStyle w:val="59"/>
              <w:bidi w:val="0"/>
              <w:jc w:val="center"/>
            </w:pPr>
            <w:r>
              <w:t>声压级dB(A)</w:t>
            </w:r>
          </w:p>
        </w:tc>
        <w:tc>
          <w:tcPr>
            <w:tcW w:w="624" w:type="dxa"/>
            <w:vAlign w:val="center"/>
          </w:tcPr>
          <w:p w14:paraId="3BFAA19C">
            <w:pPr>
              <w:pStyle w:val="59"/>
              <w:bidi w:val="0"/>
              <w:jc w:val="center"/>
            </w:pPr>
            <w:r>
              <w:t>距声</w:t>
            </w:r>
          </w:p>
          <w:p w14:paraId="0635E542">
            <w:pPr>
              <w:pStyle w:val="59"/>
              <w:bidi w:val="0"/>
              <w:jc w:val="center"/>
            </w:pPr>
            <w:r>
              <w:t>源距离（m）</w:t>
            </w:r>
          </w:p>
        </w:tc>
        <w:tc>
          <w:tcPr>
            <w:tcW w:w="754" w:type="dxa"/>
            <w:vMerge w:val="continue"/>
            <w:tcBorders>
              <w:top w:val="nil"/>
            </w:tcBorders>
            <w:vAlign w:val="center"/>
          </w:tcPr>
          <w:p w14:paraId="124D9127">
            <w:pPr>
              <w:pStyle w:val="59"/>
              <w:bidi w:val="0"/>
              <w:jc w:val="center"/>
            </w:pPr>
          </w:p>
        </w:tc>
        <w:tc>
          <w:tcPr>
            <w:tcW w:w="1486" w:type="dxa"/>
            <w:vMerge w:val="continue"/>
            <w:tcBorders>
              <w:top w:val="nil"/>
              <w:right w:val="nil"/>
            </w:tcBorders>
            <w:vAlign w:val="center"/>
          </w:tcPr>
          <w:p w14:paraId="4DFEEB5D">
            <w:pPr>
              <w:pStyle w:val="59"/>
              <w:bidi w:val="0"/>
              <w:jc w:val="center"/>
            </w:pPr>
          </w:p>
        </w:tc>
      </w:tr>
      <w:tr w14:paraId="0DE20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506" w:type="dxa"/>
            <w:tcBorders>
              <w:left w:val="nil"/>
              <w:bottom w:val="single" w:color="000000" w:sz="16" w:space="0"/>
            </w:tcBorders>
            <w:vAlign w:val="center"/>
          </w:tcPr>
          <w:p w14:paraId="5F39BC80">
            <w:pPr>
              <w:pStyle w:val="59"/>
              <w:bidi w:val="0"/>
              <w:jc w:val="center"/>
            </w:pPr>
          </w:p>
          <w:p w14:paraId="54CA10B8">
            <w:pPr>
              <w:pStyle w:val="59"/>
              <w:bidi w:val="0"/>
              <w:jc w:val="center"/>
            </w:pPr>
            <w:r>
              <w:t>1</w:t>
            </w:r>
          </w:p>
        </w:tc>
        <w:tc>
          <w:tcPr>
            <w:tcW w:w="1543" w:type="dxa"/>
            <w:tcBorders>
              <w:bottom w:val="single" w:color="000000" w:sz="16" w:space="0"/>
            </w:tcBorders>
            <w:vAlign w:val="center"/>
          </w:tcPr>
          <w:p w14:paraId="2C7899A3">
            <w:pPr>
              <w:pStyle w:val="59"/>
              <w:bidi w:val="0"/>
              <w:jc w:val="center"/>
            </w:pPr>
            <w:r>
              <w:t>RTO 变频风机</w:t>
            </w:r>
          </w:p>
        </w:tc>
        <w:tc>
          <w:tcPr>
            <w:tcW w:w="893" w:type="dxa"/>
            <w:tcBorders>
              <w:bottom w:val="single" w:color="000000" w:sz="16" w:space="0"/>
            </w:tcBorders>
            <w:vAlign w:val="center"/>
          </w:tcPr>
          <w:p w14:paraId="501C6442">
            <w:pPr>
              <w:pStyle w:val="59"/>
              <w:bidi w:val="0"/>
              <w:jc w:val="center"/>
            </w:pPr>
            <w:r>
              <w:t>流量 3</w:t>
            </w:r>
            <w:r>
              <w:rPr>
                <w:rFonts w:hint="eastAsia"/>
                <w:lang w:val="en-US" w:eastAsia="zh-CN"/>
              </w:rPr>
              <w:t>0</w:t>
            </w:r>
            <w:r>
              <w:t>000m</w:t>
            </w:r>
            <w:r>
              <w:rPr>
                <w:vertAlign w:val="superscript"/>
              </w:rPr>
              <w:t>3</w:t>
            </w:r>
            <w:r>
              <w:t>/h</w:t>
            </w:r>
          </w:p>
        </w:tc>
        <w:tc>
          <w:tcPr>
            <w:tcW w:w="706" w:type="dxa"/>
            <w:tcBorders>
              <w:bottom w:val="single" w:color="000000" w:sz="16" w:space="0"/>
            </w:tcBorders>
            <w:vAlign w:val="center"/>
          </w:tcPr>
          <w:p w14:paraId="6D5457AB">
            <w:pPr>
              <w:pStyle w:val="59"/>
              <w:bidi w:val="0"/>
              <w:jc w:val="center"/>
            </w:pPr>
          </w:p>
          <w:p w14:paraId="399144F3">
            <w:pPr>
              <w:pStyle w:val="59"/>
              <w:bidi w:val="0"/>
              <w:jc w:val="center"/>
            </w:pPr>
            <w:r>
              <w:t>-15</w:t>
            </w:r>
          </w:p>
        </w:tc>
        <w:tc>
          <w:tcPr>
            <w:tcW w:w="665" w:type="dxa"/>
            <w:tcBorders>
              <w:bottom w:val="single" w:color="000000" w:sz="16" w:space="0"/>
            </w:tcBorders>
            <w:vAlign w:val="center"/>
          </w:tcPr>
          <w:p w14:paraId="7DE06174">
            <w:pPr>
              <w:pStyle w:val="59"/>
              <w:bidi w:val="0"/>
              <w:jc w:val="center"/>
            </w:pPr>
          </w:p>
          <w:p w14:paraId="7459D5ED">
            <w:pPr>
              <w:pStyle w:val="59"/>
              <w:bidi w:val="0"/>
              <w:jc w:val="center"/>
            </w:pPr>
            <w:r>
              <w:t>37</w:t>
            </w:r>
          </w:p>
        </w:tc>
        <w:tc>
          <w:tcPr>
            <w:tcW w:w="668" w:type="dxa"/>
            <w:tcBorders>
              <w:bottom w:val="single" w:color="000000" w:sz="16" w:space="0"/>
            </w:tcBorders>
            <w:vAlign w:val="center"/>
          </w:tcPr>
          <w:p w14:paraId="32FAD6FD">
            <w:pPr>
              <w:pStyle w:val="59"/>
              <w:bidi w:val="0"/>
              <w:jc w:val="center"/>
            </w:pPr>
          </w:p>
          <w:p w14:paraId="12475599">
            <w:pPr>
              <w:pStyle w:val="59"/>
              <w:bidi w:val="0"/>
              <w:jc w:val="center"/>
            </w:pPr>
            <w:r>
              <w:t>1</w:t>
            </w:r>
          </w:p>
        </w:tc>
        <w:tc>
          <w:tcPr>
            <w:tcW w:w="1238" w:type="dxa"/>
            <w:tcBorders>
              <w:bottom w:val="single" w:color="000000" w:sz="16" w:space="0"/>
            </w:tcBorders>
            <w:vAlign w:val="center"/>
          </w:tcPr>
          <w:p w14:paraId="5D9040D0">
            <w:pPr>
              <w:pStyle w:val="59"/>
              <w:bidi w:val="0"/>
              <w:jc w:val="center"/>
            </w:pPr>
          </w:p>
          <w:p w14:paraId="4E515E5A">
            <w:pPr>
              <w:pStyle w:val="59"/>
              <w:bidi w:val="0"/>
              <w:jc w:val="center"/>
            </w:pPr>
            <w:r>
              <w:t>80~85</w:t>
            </w:r>
          </w:p>
        </w:tc>
        <w:tc>
          <w:tcPr>
            <w:tcW w:w="624" w:type="dxa"/>
            <w:tcBorders>
              <w:bottom w:val="single" w:color="000000" w:sz="16" w:space="0"/>
            </w:tcBorders>
            <w:vAlign w:val="center"/>
          </w:tcPr>
          <w:p w14:paraId="440517AA">
            <w:pPr>
              <w:pStyle w:val="59"/>
              <w:bidi w:val="0"/>
              <w:jc w:val="center"/>
            </w:pPr>
          </w:p>
          <w:p w14:paraId="2898307B">
            <w:pPr>
              <w:pStyle w:val="59"/>
              <w:bidi w:val="0"/>
              <w:jc w:val="center"/>
            </w:pPr>
            <w:r>
              <w:t>1</w:t>
            </w:r>
          </w:p>
        </w:tc>
        <w:tc>
          <w:tcPr>
            <w:tcW w:w="754" w:type="dxa"/>
            <w:tcBorders>
              <w:bottom w:val="single" w:color="000000" w:sz="16" w:space="0"/>
            </w:tcBorders>
            <w:vAlign w:val="center"/>
          </w:tcPr>
          <w:p w14:paraId="6D4A9162">
            <w:pPr>
              <w:pStyle w:val="59"/>
              <w:bidi w:val="0"/>
              <w:jc w:val="center"/>
            </w:pPr>
            <w:r>
              <w:t>隔声、</w:t>
            </w:r>
          </w:p>
          <w:p w14:paraId="32A4DB82">
            <w:pPr>
              <w:pStyle w:val="59"/>
              <w:bidi w:val="0"/>
              <w:jc w:val="center"/>
            </w:pPr>
            <w:r>
              <w:t>吸声、减振</w:t>
            </w:r>
          </w:p>
        </w:tc>
        <w:tc>
          <w:tcPr>
            <w:tcW w:w="1486" w:type="dxa"/>
            <w:tcBorders>
              <w:bottom w:val="single" w:color="000000" w:sz="16" w:space="0"/>
              <w:right w:val="nil"/>
            </w:tcBorders>
            <w:vAlign w:val="center"/>
          </w:tcPr>
          <w:p w14:paraId="201D8E83">
            <w:pPr>
              <w:pStyle w:val="59"/>
              <w:bidi w:val="0"/>
              <w:jc w:val="center"/>
            </w:pPr>
            <w:r>
              <w:t>8:</w:t>
            </w:r>
            <w:r>
              <w:rPr>
                <w:rFonts w:hint="eastAsia"/>
                <w:lang w:val="en-US" w:eastAsia="zh-CN"/>
              </w:rPr>
              <w:t>3</w:t>
            </w:r>
            <w:r>
              <w:t>0~</w:t>
            </w:r>
            <w:r>
              <w:rPr>
                <w:rFonts w:hint="eastAsia"/>
                <w:lang w:val="en-US" w:eastAsia="zh-CN"/>
              </w:rPr>
              <w:t>12</w:t>
            </w:r>
            <w:r>
              <w:t>:00</w:t>
            </w:r>
          </w:p>
          <w:p w14:paraId="52F1D9A4">
            <w:pPr>
              <w:pStyle w:val="59"/>
              <w:bidi w:val="0"/>
              <w:jc w:val="center"/>
              <w:rPr>
                <w:rFonts w:hint="default"/>
                <w:lang w:val="en-US" w:eastAsia="zh-CN"/>
              </w:rPr>
            </w:pPr>
            <w:r>
              <w:rPr>
                <w:rFonts w:hint="eastAsia"/>
                <w:lang w:val="en-US" w:eastAsia="zh-CN"/>
              </w:rPr>
              <w:t>13：30~17：00</w:t>
            </w:r>
          </w:p>
        </w:tc>
      </w:tr>
    </w:tbl>
    <w:p w14:paraId="166BB7E5">
      <w:pPr>
        <w:snapToGrid w:val="0"/>
        <w:spacing w:before="166" w:beforeLines="50" w:after="166" w:afterLines="50"/>
        <w:ind w:firstLine="480"/>
        <w:rPr>
          <w:rFonts w:hint="eastAsia"/>
          <w:color w:val="auto"/>
          <w:highlight w:val="none"/>
        </w:rPr>
      </w:pPr>
    </w:p>
    <w:p w14:paraId="72A93B1D">
      <w:pPr>
        <w:snapToGrid w:val="0"/>
        <w:spacing w:before="166" w:beforeLines="50" w:after="166" w:afterLines="50"/>
        <w:ind w:firstLine="480"/>
        <w:rPr>
          <w:rFonts w:hint="eastAsia"/>
          <w:color w:val="auto"/>
          <w:highlight w:val="none"/>
        </w:rPr>
        <w:sectPr>
          <w:pgSz w:w="11906" w:h="16838"/>
          <w:pgMar w:top="1417" w:right="1417" w:bottom="1417" w:left="1417" w:header="851" w:footer="992" w:gutter="0"/>
          <w:pgNumType w:fmt="decimal"/>
          <w:cols w:space="720" w:num="1"/>
          <w:docGrid w:type="lines" w:linePitch="333" w:charSpace="0"/>
        </w:sectPr>
      </w:pPr>
    </w:p>
    <w:p w14:paraId="4526E9BF">
      <w:pPr>
        <w:pStyle w:val="62"/>
        <w:bidi w:val="0"/>
      </w:pPr>
      <w:r>
        <w:rPr>
          <w:rFonts w:hint="eastAsia"/>
          <w:lang w:val="en-US" w:eastAsia="zh-CN"/>
        </w:rPr>
        <w:t xml:space="preserve">表4.4-2  </w:t>
      </w:r>
      <w:r>
        <w:t>项目室内噪声源强及措施一览表</w:t>
      </w:r>
    </w:p>
    <w:tbl>
      <w:tblPr>
        <w:tblStyle w:val="38"/>
        <w:tblW w:w="14369" w:type="dxa"/>
        <w:tblInd w:w="102"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1"/>
        <w:gridCol w:w="1573"/>
        <w:gridCol w:w="575"/>
        <w:gridCol w:w="929"/>
        <w:gridCol w:w="650"/>
        <w:gridCol w:w="492"/>
        <w:gridCol w:w="479"/>
        <w:gridCol w:w="436"/>
        <w:gridCol w:w="521"/>
        <w:gridCol w:w="645"/>
        <w:gridCol w:w="426"/>
        <w:gridCol w:w="465"/>
        <w:gridCol w:w="715"/>
        <w:gridCol w:w="660"/>
        <w:gridCol w:w="496"/>
        <w:gridCol w:w="522"/>
        <w:gridCol w:w="589"/>
        <w:gridCol w:w="900"/>
        <w:gridCol w:w="604"/>
        <w:gridCol w:w="550"/>
        <w:gridCol w:w="509"/>
        <w:gridCol w:w="509"/>
        <w:gridCol w:w="673"/>
      </w:tblGrid>
      <w:tr w14:paraId="093DAF3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51" w:type="dxa"/>
            <w:vMerge w:val="restart"/>
            <w:tcBorders>
              <w:top w:val="single" w:color="000000" w:sz="12" w:space="0"/>
              <w:left w:val="nil"/>
              <w:tl2br w:val="nil"/>
            </w:tcBorders>
            <w:shd w:val="clear" w:color="auto" w:fill="FFFFFF"/>
            <w:vAlign w:val="center"/>
          </w:tcPr>
          <w:p w14:paraId="06451928">
            <w:pPr>
              <w:pStyle w:val="59"/>
              <w:bidi w:val="0"/>
              <w:rPr>
                <w:rFonts w:hint="eastAsia"/>
                <w:b w:val="0"/>
                <w:color w:val="000000"/>
              </w:rPr>
            </w:pPr>
            <w:r>
              <w:rPr>
                <w:rFonts w:hint="eastAsia"/>
                <w:b w:val="0"/>
                <w:color w:val="000000"/>
                <w:lang w:val="en-US" w:eastAsia="zh-CN"/>
              </w:rPr>
              <w:t>序号</w:t>
            </w:r>
          </w:p>
        </w:tc>
        <w:tc>
          <w:tcPr>
            <w:tcW w:w="1573" w:type="dxa"/>
            <w:vMerge w:val="restart"/>
            <w:tcBorders>
              <w:top w:val="single" w:color="000000" w:sz="12" w:space="0"/>
            </w:tcBorders>
            <w:shd w:val="clear" w:color="auto" w:fill="FFFFFF"/>
            <w:vAlign w:val="center"/>
          </w:tcPr>
          <w:p w14:paraId="370E9B74">
            <w:pPr>
              <w:pStyle w:val="59"/>
              <w:bidi w:val="0"/>
              <w:rPr>
                <w:rFonts w:hint="eastAsia"/>
                <w:b w:val="0"/>
                <w:color w:val="000000"/>
              </w:rPr>
            </w:pPr>
            <w:r>
              <w:rPr>
                <w:rFonts w:hint="eastAsia"/>
                <w:b w:val="0"/>
                <w:color w:val="000000"/>
                <w:lang w:val="en-US" w:eastAsia="zh-CN"/>
              </w:rPr>
              <w:t>声源名称</w:t>
            </w:r>
          </w:p>
        </w:tc>
        <w:tc>
          <w:tcPr>
            <w:tcW w:w="575" w:type="dxa"/>
            <w:vMerge w:val="restart"/>
            <w:tcBorders>
              <w:top w:val="single" w:color="000000" w:sz="12" w:space="0"/>
            </w:tcBorders>
            <w:shd w:val="clear" w:color="auto" w:fill="FFFFFF"/>
            <w:vAlign w:val="center"/>
          </w:tcPr>
          <w:p w14:paraId="11CF4F30">
            <w:pPr>
              <w:pStyle w:val="59"/>
              <w:bidi w:val="0"/>
              <w:rPr>
                <w:rFonts w:hint="eastAsia"/>
                <w:b w:val="0"/>
                <w:color w:val="000000"/>
              </w:rPr>
            </w:pPr>
            <w:r>
              <w:rPr>
                <w:rFonts w:hint="eastAsia"/>
                <w:b w:val="0"/>
                <w:color w:val="000000"/>
                <w:lang w:val="en-US" w:eastAsia="zh-CN"/>
              </w:rPr>
              <w:t>设备型号</w:t>
            </w:r>
          </w:p>
        </w:tc>
        <w:tc>
          <w:tcPr>
            <w:tcW w:w="929" w:type="dxa"/>
            <w:vMerge w:val="restart"/>
            <w:tcBorders>
              <w:top w:val="single" w:color="000000" w:sz="12" w:space="0"/>
            </w:tcBorders>
            <w:shd w:val="clear" w:color="auto" w:fill="FFFFFF"/>
            <w:vAlign w:val="center"/>
          </w:tcPr>
          <w:p w14:paraId="3988D2E9">
            <w:pPr>
              <w:pStyle w:val="59"/>
              <w:bidi w:val="0"/>
              <w:rPr>
                <w:rFonts w:hint="eastAsia"/>
                <w:b w:val="0"/>
                <w:color w:val="000000"/>
              </w:rPr>
            </w:pPr>
            <w:r>
              <w:rPr>
                <w:rFonts w:hint="eastAsia"/>
                <w:b w:val="0"/>
                <w:color w:val="000000"/>
                <w:lang w:val="en-US" w:eastAsia="zh-CN"/>
              </w:rPr>
              <w:t>功率级/dB(A)</w:t>
            </w:r>
          </w:p>
        </w:tc>
        <w:tc>
          <w:tcPr>
            <w:tcW w:w="650" w:type="dxa"/>
            <w:vMerge w:val="restart"/>
            <w:tcBorders>
              <w:top w:val="single" w:color="000000" w:sz="12" w:space="0"/>
            </w:tcBorders>
            <w:shd w:val="clear" w:color="auto" w:fill="FFFFFF"/>
            <w:vAlign w:val="center"/>
          </w:tcPr>
          <w:p w14:paraId="1B741D23">
            <w:pPr>
              <w:pStyle w:val="59"/>
              <w:bidi w:val="0"/>
              <w:rPr>
                <w:rFonts w:hint="eastAsia"/>
                <w:b w:val="0"/>
                <w:color w:val="000000"/>
              </w:rPr>
            </w:pPr>
            <w:r>
              <w:rPr>
                <w:rFonts w:hint="eastAsia"/>
                <w:b w:val="0"/>
                <w:color w:val="000000"/>
                <w:lang w:val="en-US" w:eastAsia="zh-CN"/>
              </w:rPr>
              <w:t>控制措施</w:t>
            </w:r>
          </w:p>
        </w:tc>
        <w:tc>
          <w:tcPr>
            <w:tcW w:w="1407" w:type="dxa"/>
            <w:gridSpan w:val="3"/>
            <w:tcBorders>
              <w:top w:val="single" w:color="000000" w:sz="12" w:space="0"/>
            </w:tcBorders>
            <w:shd w:val="clear" w:color="auto" w:fill="FFFFFF"/>
            <w:vAlign w:val="center"/>
          </w:tcPr>
          <w:p w14:paraId="6CC18814">
            <w:pPr>
              <w:pStyle w:val="59"/>
              <w:bidi w:val="0"/>
              <w:rPr>
                <w:rFonts w:hint="eastAsia"/>
                <w:b w:val="0"/>
                <w:color w:val="000000"/>
              </w:rPr>
            </w:pPr>
            <w:r>
              <w:rPr>
                <w:rFonts w:hint="eastAsia"/>
                <w:b w:val="0"/>
                <w:color w:val="000000"/>
                <w:lang w:val="en-US" w:eastAsia="zh-CN"/>
              </w:rPr>
              <w:t>空间相对位置</w:t>
            </w:r>
            <w:r>
              <w:rPr>
                <w:rFonts w:hint="default"/>
                <w:b w:val="0"/>
                <w:color w:val="000000"/>
                <w:lang w:val="en-US" w:eastAsia="zh-CN"/>
              </w:rPr>
              <w:t>/m</w:t>
            </w:r>
          </w:p>
        </w:tc>
        <w:tc>
          <w:tcPr>
            <w:tcW w:w="2057" w:type="dxa"/>
            <w:gridSpan w:val="4"/>
            <w:tcBorders>
              <w:top w:val="single" w:color="000000" w:sz="12" w:space="0"/>
            </w:tcBorders>
            <w:shd w:val="clear" w:color="auto" w:fill="FFFFFF"/>
            <w:vAlign w:val="center"/>
          </w:tcPr>
          <w:p w14:paraId="758F30B8">
            <w:pPr>
              <w:pStyle w:val="59"/>
              <w:bidi w:val="0"/>
              <w:rPr>
                <w:rFonts w:hint="eastAsia"/>
                <w:b w:val="0"/>
                <w:color w:val="000000"/>
              </w:rPr>
            </w:pPr>
            <w:r>
              <w:rPr>
                <w:rFonts w:hint="eastAsia"/>
                <w:b w:val="0"/>
                <w:color w:val="000000"/>
                <w:lang w:val="en-US" w:eastAsia="zh-CN"/>
              </w:rPr>
              <w:t>距室内边界距离</w:t>
            </w:r>
            <w:r>
              <w:rPr>
                <w:rFonts w:hint="default"/>
                <w:b w:val="0"/>
                <w:color w:val="000000"/>
                <w:lang w:val="en-US" w:eastAsia="zh-CN"/>
              </w:rPr>
              <w:t>/m</w:t>
            </w:r>
          </w:p>
        </w:tc>
        <w:tc>
          <w:tcPr>
            <w:tcW w:w="2393" w:type="dxa"/>
            <w:gridSpan w:val="4"/>
            <w:tcBorders>
              <w:top w:val="single" w:color="000000" w:sz="12" w:space="0"/>
            </w:tcBorders>
            <w:shd w:val="clear" w:color="auto" w:fill="FFFFFF"/>
            <w:vAlign w:val="center"/>
          </w:tcPr>
          <w:p w14:paraId="68F56FD6">
            <w:pPr>
              <w:pStyle w:val="59"/>
              <w:bidi w:val="0"/>
              <w:rPr>
                <w:rFonts w:hint="eastAsia"/>
                <w:b w:val="0"/>
                <w:color w:val="000000"/>
              </w:rPr>
            </w:pPr>
            <w:r>
              <w:rPr>
                <w:rFonts w:hint="eastAsia"/>
                <w:b w:val="0"/>
                <w:color w:val="000000"/>
                <w:lang w:val="en-US" w:eastAsia="zh-CN"/>
              </w:rPr>
              <w:t>室内边界声级</w:t>
            </w:r>
            <w:r>
              <w:rPr>
                <w:rFonts w:hint="default"/>
                <w:b w:val="0"/>
                <w:color w:val="000000"/>
                <w:lang w:val="en-US" w:eastAsia="zh-CN"/>
              </w:rPr>
              <w:t>/dB(A)</w:t>
            </w:r>
          </w:p>
        </w:tc>
        <w:tc>
          <w:tcPr>
            <w:tcW w:w="589" w:type="dxa"/>
            <w:vMerge w:val="restart"/>
            <w:tcBorders>
              <w:top w:val="single" w:color="000000" w:sz="12" w:space="0"/>
            </w:tcBorders>
            <w:shd w:val="clear" w:color="auto" w:fill="FFFFFF"/>
            <w:vAlign w:val="center"/>
          </w:tcPr>
          <w:p w14:paraId="6C160F22">
            <w:pPr>
              <w:pStyle w:val="59"/>
              <w:bidi w:val="0"/>
              <w:rPr>
                <w:rFonts w:hint="eastAsia"/>
                <w:b w:val="0"/>
                <w:color w:val="000000"/>
              </w:rPr>
            </w:pPr>
            <w:r>
              <w:rPr>
                <w:rFonts w:hint="eastAsia"/>
                <w:b w:val="0"/>
                <w:color w:val="000000"/>
                <w:lang w:val="en-US" w:eastAsia="zh-CN"/>
              </w:rPr>
              <w:t>持续时间h</w:t>
            </w:r>
          </w:p>
        </w:tc>
        <w:tc>
          <w:tcPr>
            <w:tcW w:w="900" w:type="dxa"/>
            <w:vMerge w:val="restart"/>
            <w:tcBorders>
              <w:top w:val="single" w:color="000000" w:sz="12" w:space="0"/>
            </w:tcBorders>
            <w:shd w:val="clear" w:color="auto" w:fill="FFFFFF"/>
            <w:vAlign w:val="center"/>
          </w:tcPr>
          <w:p w14:paraId="7EFD9B2C">
            <w:pPr>
              <w:pStyle w:val="59"/>
              <w:bidi w:val="0"/>
              <w:rPr>
                <w:rFonts w:hint="eastAsia"/>
                <w:b w:val="0"/>
                <w:color w:val="000000"/>
              </w:rPr>
            </w:pPr>
            <w:r>
              <w:rPr>
                <w:rFonts w:hint="eastAsia"/>
                <w:b w:val="0"/>
                <w:color w:val="000000"/>
                <w:lang w:val="en-US" w:eastAsia="zh-CN"/>
              </w:rPr>
              <w:t xml:space="preserve">筑物插入损失 </w:t>
            </w:r>
            <w:r>
              <w:rPr>
                <w:rFonts w:hint="default"/>
                <w:b w:val="0"/>
                <w:color w:val="000000"/>
                <w:lang w:val="en-US" w:eastAsia="zh-CN"/>
              </w:rPr>
              <w:t>/ dB(A)</w:t>
            </w:r>
          </w:p>
        </w:tc>
        <w:tc>
          <w:tcPr>
            <w:tcW w:w="2845" w:type="dxa"/>
            <w:gridSpan w:val="5"/>
            <w:tcBorders>
              <w:top w:val="single" w:color="000000" w:sz="12" w:space="0"/>
              <w:right w:val="nil"/>
            </w:tcBorders>
            <w:shd w:val="clear" w:color="auto" w:fill="FFFFFF"/>
            <w:vAlign w:val="center"/>
          </w:tcPr>
          <w:p w14:paraId="51B9A2B8">
            <w:pPr>
              <w:pStyle w:val="59"/>
              <w:bidi w:val="0"/>
              <w:rPr>
                <w:rFonts w:hint="eastAsia"/>
                <w:b w:val="0"/>
                <w:color w:val="000000"/>
              </w:rPr>
            </w:pPr>
            <w:r>
              <w:rPr>
                <w:rFonts w:hint="eastAsia"/>
                <w:b w:val="0"/>
                <w:color w:val="000000"/>
                <w:lang w:val="en-US" w:eastAsia="zh-CN"/>
              </w:rPr>
              <w:t>建筑物外噪声</w:t>
            </w:r>
          </w:p>
        </w:tc>
      </w:tr>
      <w:tr w14:paraId="62709A5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vMerge w:val="continue"/>
            <w:tcBorders>
              <w:left w:val="nil"/>
            </w:tcBorders>
            <w:shd w:val="clear" w:color="auto" w:fill="FFFFFF"/>
            <w:vAlign w:val="center"/>
          </w:tcPr>
          <w:p w14:paraId="2C2AF43E">
            <w:pPr>
              <w:pStyle w:val="59"/>
              <w:bidi w:val="0"/>
              <w:rPr>
                <w:rFonts w:hint="eastAsia"/>
                <w:b w:val="0"/>
                <w:color w:val="000000"/>
              </w:rPr>
            </w:pPr>
          </w:p>
        </w:tc>
        <w:tc>
          <w:tcPr>
            <w:tcW w:w="1573" w:type="dxa"/>
            <w:vMerge w:val="continue"/>
            <w:shd w:val="clear" w:color="auto" w:fill="FFFFFF"/>
            <w:vAlign w:val="center"/>
          </w:tcPr>
          <w:p w14:paraId="0194F2BE">
            <w:pPr>
              <w:pStyle w:val="59"/>
              <w:bidi w:val="0"/>
              <w:rPr>
                <w:rFonts w:hint="eastAsia"/>
                <w:b w:val="0"/>
                <w:color w:val="000000"/>
              </w:rPr>
            </w:pPr>
          </w:p>
        </w:tc>
        <w:tc>
          <w:tcPr>
            <w:tcW w:w="575" w:type="dxa"/>
            <w:vMerge w:val="continue"/>
            <w:shd w:val="clear" w:color="auto" w:fill="FFFFFF"/>
            <w:vAlign w:val="center"/>
          </w:tcPr>
          <w:p w14:paraId="37DE8DAE">
            <w:pPr>
              <w:pStyle w:val="59"/>
              <w:bidi w:val="0"/>
              <w:rPr>
                <w:rFonts w:hint="eastAsia"/>
                <w:b w:val="0"/>
                <w:color w:val="000000"/>
              </w:rPr>
            </w:pPr>
          </w:p>
        </w:tc>
        <w:tc>
          <w:tcPr>
            <w:tcW w:w="929" w:type="dxa"/>
            <w:vMerge w:val="continue"/>
            <w:shd w:val="clear" w:color="auto" w:fill="FFFFFF"/>
            <w:vAlign w:val="center"/>
          </w:tcPr>
          <w:p w14:paraId="1218991A">
            <w:pPr>
              <w:pStyle w:val="59"/>
              <w:bidi w:val="0"/>
              <w:rPr>
                <w:rFonts w:hint="eastAsia"/>
                <w:b w:val="0"/>
                <w:color w:val="000000"/>
              </w:rPr>
            </w:pPr>
          </w:p>
        </w:tc>
        <w:tc>
          <w:tcPr>
            <w:tcW w:w="650" w:type="dxa"/>
            <w:vMerge w:val="continue"/>
            <w:shd w:val="clear" w:color="auto" w:fill="FFFFFF"/>
            <w:vAlign w:val="center"/>
          </w:tcPr>
          <w:p w14:paraId="443CEAC5">
            <w:pPr>
              <w:pStyle w:val="59"/>
              <w:bidi w:val="0"/>
              <w:rPr>
                <w:rFonts w:hint="eastAsia"/>
                <w:b w:val="0"/>
                <w:color w:val="000000"/>
              </w:rPr>
            </w:pPr>
          </w:p>
        </w:tc>
        <w:tc>
          <w:tcPr>
            <w:tcW w:w="492" w:type="dxa"/>
            <w:vMerge w:val="restart"/>
            <w:shd w:val="clear" w:color="auto" w:fill="FFFFFF"/>
            <w:vAlign w:val="center"/>
          </w:tcPr>
          <w:p w14:paraId="2E1B0248">
            <w:pPr>
              <w:pStyle w:val="59"/>
              <w:bidi w:val="0"/>
              <w:rPr>
                <w:rFonts w:hint="default"/>
                <w:b w:val="0"/>
                <w:color w:val="000000"/>
              </w:rPr>
            </w:pPr>
            <w:r>
              <w:rPr>
                <w:rFonts w:hint="default"/>
                <w:b w:val="0"/>
                <w:color w:val="000000"/>
                <w:lang w:val="en-US" w:eastAsia="zh-CN"/>
              </w:rPr>
              <w:t>X</w:t>
            </w:r>
          </w:p>
        </w:tc>
        <w:tc>
          <w:tcPr>
            <w:tcW w:w="479" w:type="dxa"/>
            <w:vMerge w:val="restart"/>
            <w:shd w:val="clear" w:color="auto" w:fill="FFFFFF"/>
            <w:vAlign w:val="center"/>
          </w:tcPr>
          <w:p w14:paraId="391A1F16">
            <w:pPr>
              <w:pStyle w:val="59"/>
              <w:bidi w:val="0"/>
              <w:rPr>
                <w:rFonts w:hint="default"/>
                <w:b w:val="0"/>
                <w:color w:val="000000"/>
              </w:rPr>
            </w:pPr>
            <w:r>
              <w:rPr>
                <w:rFonts w:hint="default"/>
                <w:b w:val="0"/>
                <w:color w:val="000000"/>
                <w:lang w:val="en-US" w:eastAsia="zh-CN"/>
              </w:rPr>
              <w:t>Y</w:t>
            </w:r>
          </w:p>
        </w:tc>
        <w:tc>
          <w:tcPr>
            <w:tcW w:w="436" w:type="dxa"/>
            <w:vMerge w:val="restart"/>
            <w:shd w:val="clear" w:color="auto" w:fill="FFFFFF"/>
            <w:vAlign w:val="center"/>
          </w:tcPr>
          <w:p w14:paraId="1104974B">
            <w:pPr>
              <w:pStyle w:val="59"/>
              <w:bidi w:val="0"/>
              <w:rPr>
                <w:rFonts w:hint="default"/>
                <w:b w:val="0"/>
                <w:color w:val="000000"/>
              </w:rPr>
            </w:pPr>
            <w:r>
              <w:rPr>
                <w:rFonts w:hint="default"/>
                <w:b w:val="0"/>
                <w:color w:val="000000"/>
                <w:lang w:val="en-US" w:eastAsia="zh-CN"/>
              </w:rPr>
              <w:t>Z</w:t>
            </w:r>
          </w:p>
        </w:tc>
        <w:tc>
          <w:tcPr>
            <w:tcW w:w="521" w:type="dxa"/>
            <w:vMerge w:val="restart"/>
            <w:shd w:val="clear" w:color="auto" w:fill="FFFFFF"/>
            <w:vAlign w:val="center"/>
          </w:tcPr>
          <w:p w14:paraId="6BC24C6D">
            <w:pPr>
              <w:pStyle w:val="59"/>
              <w:bidi w:val="0"/>
              <w:rPr>
                <w:rFonts w:hint="eastAsia"/>
                <w:b w:val="0"/>
                <w:color w:val="000000"/>
              </w:rPr>
            </w:pPr>
            <w:r>
              <w:rPr>
                <w:rFonts w:hint="eastAsia"/>
                <w:b w:val="0"/>
                <w:color w:val="000000"/>
                <w:lang w:val="en-US" w:eastAsia="zh-CN"/>
              </w:rPr>
              <w:t>东</w:t>
            </w:r>
          </w:p>
        </w:tc>
        <w:tc>
          <w:tcPr>
            <w:tcW w:w="645" w:type="dxa"/>
            <w:vMerge w:val="restart"/>
            <w:shd w:val="clear" w:color="auto" w:fill="FFFFFF"/>
            <w:vAlign w:val="center"/>
          </w:tcPr>
          <w:p w14:paraId="16B1E6B9">
            <w:pPr>
              <w:pStyle w:val="59"/>
              <w:bidi w:val="0"/>
              <w:rPr>
                <w:rFonts w:hint="eastAsia"/>
                <w:b w:val="0"/>
                <w:color w:val="000000"/>
              </w:rPr>
            </w:pPr>
            <w:r>
              <w:rPr>
                <w:rFonts w:hint="eastAsia"/>
                <w:b w:val="0"/>
                <w:color w:val="000000"/>
                <w:lang w:val="en-US" w:eastAsia="zh-CN"/>
              </w:rPr>
              <w:t>南</w:t>
            </w:r>
          </w:p>
        </w:tc>
        <w:tc>
          <w:tcPr>
            <w:tcW w:w="426" w:type="dxa"/>
            <w:vMerge w:val="restart"/>
            <w:shd w:val="clear" w:color="auto" w:fill="FFFFFF"/>
            <w:vAlign w:val="center"/>
          </w:tcPr>
          <w:p w14:paraId="6C3A5DBE">
            <w:pPr>
              <w:pStyle w:val="59"/>
              <w:bidi w:val="0"/>
              <w:rPr>
                <w:rFonts w:hint="eastAsia"/>
                <w:b w:val="0"/>
                <w:color w:val="000000"/>
              </w:rPr>
            </w:pPr>
            <w:r>
              <w:rPr>
                <w:rFonts w:hint="eastAsia"/>
                <w:b w:val="0"/>
                <w:color w:val="000000"/>
                <w:lang w:val="en-US" w:eastAsia="zh-CN"/>
              </w:rPr>
              <w:t>西</w:t>
            </w:r>
          </w:p>
        </w:tc>
        <w:tc>
          <w:tcPr>
            <w:tcW w:w="465" w:type="dxa"/>
            <w:vMerge w:val="restart"/>
            <w:shd w:val="clear" w:color="auto" w:fill="FFFFFF"/>
            <w:vAlign w:val="center"/>
          </w:tcPr>
          <w:p w14:paraId="12E1187A">
            <w:pPr>
              <w:pStyle w:val="59"/>
              <w:bidi w:val="0"/>
              <w:rPr>
                <w:rFonts w:hint="eastAsia"/>
                <w:b w:val="0"/>
                <w:color w:val="000000"/>
              </w:rPr>
            </w:pPr>
            <w:r>
              <w:rPr>
                <w:rFonts w:hint="eastAsia"/>
                <w:b w:val="0"/>
                <w:color w:val="000000"/>
                <w:lang w:val="en-US" w:eastAsia="zh-CN"/>
              </w:rPr>
              <w:t>北</w:t>
            </w:r>
          </w:p>
        </w:tc>
        <w:tc>
          <w:tcPr>
            <w:tcW w:w="715" w:type="dxa"/>
            <w:vMerge w:val="restart"/>
            <w:shd w:val="clear" w:color="auto" w:fill="FFFFFF"/>
            <w:vAlign w:val="center"/>
          </w:tcPr>
          <w:p w14:paraId="05A51C9E">
            <w:pPr>
              <w:pStyle w:val="59"/>
              <w:bidi w:val="0"/>
              <w:rPr>
                <w:rFonts w:hint="eastAsia"/>
                <w:b w:val="0"/>
                <w:color w:val="000000"/>
              </w:rPr>
            </w:pPr>
            <w:r>
              <w:rPr>
                <w:rFonts w:hint="eastAsia"/>
                <w:b w:val="0"/>
                <w:color w:val="000000"/>
                <w:lang w:val="en-US" w:eastAsia="zh-CN"/>
              </w:rPr>
              <w:t>东</w:t>
            </w:r>
          </w:p>
        </w:tc>
        <w:tc>
          <w:tcPr>
            <w:tcW w:w="660" w:type="dxa"/>
            <w:vMerge w:val="restart"/>
            <w:shd w:val="clear" w:color="auto" w:fill="FFFFFF"/>
            <w:vAlign w:val="center"/>
          </w:tcPr>
          <w:p w14:paraId="7AFD015D">
            <w:pPr>
              <w:pStyle w:val="59"/>
              <w:bidi w:val="0"/>
              <w:rPr>
                <w:rFonts w:hint="eastAsia"/>
                <w:b w:val="0"/>
                <w:color w:val="000000"/>
              </w:rPr>
            </w:pPr>
            <w:r>
              <w:rPr>
                <w:rFonts w:hint="eastAsia"/>
                <w:b w:val="0"/>
                <w:color w:val="000000"/>
                <w:lang w:val="en-US" w:eastAsia="zh-CN"/>
              </w:rPr>
              <w:t>南</w:t>
            </w:r>
          </w:p>
        </w:tc>
        <w:tc>
          <w:tcPr>
            <w:tcW w:w="496" w:type="dxa"/>
            <w:vMerge w:val="restart"/>
            <w:shd w:val="clear" w:color="auto" w:fill="FFFFFF"/>
            <w:vAlign w:val="center"/>
          </w:tcPr>
          <w:p w14:paraId="330FFFF0">
            <w:pPr>
              <w:pStyle w:val="59"/>
              <w:bidi w:val="0"/>
              <w:rPr>
                <w:rFonts w:hint="eastAsia"/>
                <w:b w:val="0"/>
                <w:color w:val="000000"/>
              </w:rPr>
            </w:pPr>
            <w:r>
              <w:rPr>
                <w:rFonts w:hint="eastAsia"/>
                <w:b w:val="0"/>
                <w:color w:val="000000"/>
                <w:lang w:val="en-US" w:eastAsia="zh-CN"/>
              </w:rPr>
              <w:t>西</w:t>
            </w:r>
          </w:p>
        </w:tc>
        <w:tc>
          <w:tcPr>
            <w:tcW w:w="522" w:type="dxa"/>
            <w:vMerge w:val="restart"/>
            <w:shd w:val="clear" w:color="auto" w:fill="FFFFFF"/>
            <w:vAlign w:val="center"/>
          </w:tcPr>
          <w:p w14:paraId="4A520CA5">
            <w:pPr>
              <w:pStyle w:val="59"/>
              <w:bidi w:val="0"/>
              <w:rPr>
                <w:rFonts w:hint="eastAsia"/>
                <w:b w:val="0"/>
                <w:color w:val="000000"/>
              </w:rPr>
            </w:pPr>
            <w:r>
              <w:rPr>
                <w:rFonts w:hint="eastAsia"/>
                <w:b w:val="0"/>
                <w:color w:val="000000"/>
                <w:lang w:val="en-US" w:eastAsia="zh-CN"/>
              </w:rPr>
              <w:t>北</w:t>
            </w:r>
          </w:p>
        </w:tc>
        <w:tc>
          <w:tcPr>
            <w:tcW w:w="589" w:type="dxa"/>
            <w:vMerge w:val="continue"/>
            <w:shd w:val="clear" w:color="auto" w:fill="FFFFFF"/>
            <w:vAlign w:val="center"/>
          </w:tcPr>
          <w:p w14:paraId="50638DBA">
            <w:pPr>
              <w:pStyle w:val="59"/>
              <w:bidi w:val="0"/>
              <w:rPr>
                <w:rFonts w:hint="eastAsia"/>
                <w:b w:val="0"/>
                <w:color w:val="000000"/>
              </w:rPr>
            </w:pPr>
          </w:p>
        </w:tc>
        <w:tc>
          <w:tcPr>
            <w:tcW w:w="900" w:type="dxa"/>
            <w:vMerge w:val="continue"/>
            <w:shd w:val="clear" w:color="auto" w:fill="FFFFFF"/>
            <w:vAlign w:val="center"/>
          </w:tcPr>
          <w:p w14:paraId="283089E1">
            <w:pPr>
              <w:pStyle w:val="59"/>
              <w:bidi w:val="0"/>
              <w:rPr>
                <w:rFonts w:hint="eastAsia"/>
                <w:b w:val="0"/>
                <w:color w:val="000000"/>
              </w:rPr>
            </w:pPr>
          </w:p>
        </w:tc>
        <w:tc>
          <w:tcPr>
            <w:tcW w:w="2172" w:type="dxa"/>
            <w:gridSpan w:val="4"/>
            <w:shd w:val="clear" w:color="auto" w:fill="FFFFFF"/>
            <w:vAlign w:val="center"/>
          </w:tcPr>
          <w:p w14:paraId="5102DD5C">
            <w:pPr>
              <w:pStyle w:val="59"/>
              <w:bidi w:val="0"/>
              <w:rPr>
                <w:rFonts w:hint="eastAsia"/>
                <w:b w:val="0"/>
                <w:color w:val="000000"/>
              </w:rPr>
            </w:pPr>
            <w:r>
              <w:rPr>
                <w:rFonts w:hint="eastAsia"/>
                <w:b w:val="0"/>
                <w:color w:val="000000"/>
                <w:lang w:val="en-US" w:eastAsia="zh-CN"/>
              </w:rPr>
              <w:t>声压级</w:t>
            </w:r>
            <w:r>
              <w:rPr>
                <w:rFonts w:hint="default"/>
                <w:b w:val="0"/>
                <w:color w:val="000000"/>
                <w:lang w:val="en-US" w:eastAsia="zh-CN"/>
              </w:rPr>
              <w:t>/dB(A)</w:t>
            </w:r>
          </w:p>
        </w:tc>
        <w:tc>
          <w:tcPr>
            <w:tcW w:w="673" w:type="dxa"/>
            <w:vMerge w:val="restart"/>
            <w:tcBorders>
              <w:right w:val="nil"/>
            </w:tcBorders>
            <w:shd w:val="clear" w:color="auto" w:fill="FFFFFF"/>
            <w:vAlign w:val="center"/>
          </w:tcPr>
          <w:p w14:paraId="5600DB97">
            <w:pPr>
              <w:pStyle w:val="59"/>
              <w:bidi w:val="0"/>
              <w:rPr>
                <w:rFonts w:hint="eastAsia"/>
                <w:b w:val="0"/>
                <w:color w:val="000000"/>
              </w:rPr>
            </w:pPr>
            <w:r>
              <w:rPr>
                <w:rFonts w:hint="eastAsia"/>
                <w:b w:val="0"/>
                <w:color w:val="000000"/>
                <w:lang w:val="en-US" w:eastAsia="zh-CN"/>
              </w:rPr>
              <w:t>建筑物外距离</w:t>
            </w:r>
            <w:r>
              <w:rPr>
                <w:rFonts w:hint="default"/>
                <w:b w:val="0"/>
                <w:color w:val="000000"/>
                <w:lang w:val="en-US" w:eastAsia="zh-CN"/>
              </w:rPr>
              <w:t>m</w:t>
            </w:r>
          </w:p>
        </w:tc>
      </w:tr>
      <w:tr w14:paraId="43C07AB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vMerge w:val="continue"/>
            <w:tcBorders>
              <w:left w:val="nil"/>
            </w:tcBorders>
            <w:shd w:val="clear" w:color="auto" w:fill="FFFFFF"/>
            <w:vAlign w:val="center"/>
          </w:tcPr>
          <w:p w14:paraId="2D3B0E9D">
            <w:pPr>
              <w:pStyle w:val="59"/>
              <w:bidi w:val="0"/>
              <w:rPr>
                <w:rFonts w:hint="eastAsia"/>
                <w:b w:val="0"/>
                <w:color w:val="000000"/>
              </w:rPr>
            </w:pPr>
          </w:p>
        </w:tc>
        <w:tc>
          <w:tcPr>
            <w:tcW w:w="1573" w:type="dxa"/>
            <w:vMerge w:val="continue"/>
            <w:shd w:val="clear" w:color="auto" w:fill="FFFFFF"/>
            <w:vAlign w:val="center"/>
          </w:tcPr>
          <w:p w14:paraId="794982BF">
            <w:pPr>
              <w:pStyle w:val="59"/>
              <w:bidi w:val="0"/>
              <w:rPr>
                <w:rFonts w:hint="eastAsia"/>
                <w:b w:val="0"/>
                <w:color w:val="000000"/>
              </w:rPr>
            </w:pPr>
          </w:p>
        </w:tc>
        <w:tc>
          <w:tcPr>
            <w:tcW w:w="575" w:type="dxa"/>
            <w:vMerge w:val="continue"/>
            <w:shd w:val="clear" w:color="auto" w:fill="FFFFFF"/>
            <w:vAlign w:val="center"/>
          </w:tcPr>
          <w:p w14:paraId="1CCB931B">
            <w:pPr>
              <w:pStyle w:val="59"/>
              <w:bidi w:val="0"/>
              <w:rPr>
                <w:rFonts w:hint="eastAsia"/>
                <w:b w:val="0"/>
                <w:color w:val="000000"/>
              </w:rPr>
            </w:pPr>
          </w:p>
        </w:tc>
        <w:tc>
          <w:tcPr>
            <w:tcW w:w="929" w:type="dxa"/>
            <w:vMerge w:val="continue"/>
            <w:shd w:val="clear" w:color="auto" w:fill="FFFFFF"/>
            <w:vAlign w:val="center"/>
          </w:tcPr>
          <w:p w14:paraId="2B680682">
            <w:pPr>
              <w:pStyle w:val="59"/>
              <w:bidi w:val="0"/>
              <w:rPr>
                <w:rFonts w:hint="eastAsia"/>
                <w:b w:val="0"/>
                <w:color w:val="000000"/>
              </w:rPr>
            </w:pPr>
          </w:p>
        </w:tc>
        <w:tc>
          <w:tcPr>
            <w:tcW w:w="650" w:type="dxa"/>
            <w:vMerge w:val="continue"/>
            <w:shd w:val="clear" w:color="auto" w:fill="FFFFFF"/>
            <w:vAlign w:val="center"/>
          </w:tcPr>
          <w:p w14:paraId="70CEA51B">
            <w:pPr>
              <w:pStyle w:val="59"/>
              <w:bidi w:val="0"/>
              <w:rPr>
                <w:rFonts w:hint="eastAsia"/>
                <w:b w:val="0"/>
                <w:color w:val="000000"/>
              </w:rPr>
            </w:pPr>
          </w:p>
        </w:tc>
        <w:tc>
          <w:tcPr>
            <w:tcW w:w="492" w:type="dxa"/>
            <w:vMerge w:val="continue"/>
            <w:shd w:val="clear" w:color="auto" w:fill="FFFFFF"/>
            <w:vAlign w:val="center"/>
          </w:tcPr>
          <w:p w14:paraId="59A40A39">
            <w:pPr>
              <w:pStyle w:val="59"/>
              <w:bidi w:val="0"/>
              <w:rPr>
                <w:rFonts w:hint="default"/>
                <w:b w:val="0"/>
                <w:color w:val="000000"/>
              </w:rPr>
            </w:pPr>
          </w:p>
        </w:tc>
        <w:tc>
          <w:tcPr>
            <w:tcW w:w="479" w:type="dxa"/>
            <w:vMerge w:val="continue"/>
            <w:shd w:val="clear" w:color="auto" w:fill="FFFFFF"/>
            <w:vAlign w:val="center"/>
          </w:tcPr>
          <w:p w14:paraId="3A3147C7">
            <w:pPr>
              <w:pStyle w:val="59"/>
              <w:bidi w:val="0"/>
              <w:rPr>
                <w:rFonts w:hint="default"/>
                <w:b w:val="0"/>
                <w:color w:val="000000"/>
              </w:rPr>
            </w:pPr>
          </w:p>
        </w:tc>
        <w:tc>
          <w:tcPr>
            <w:tcW w:w="436" w:type="dxa"/>
            <w:vMerge w:val="continue"/>
            <w:shd w:val="clear" w:color="auto" w:fill="FFFFFF"/>
            <w:vAlign w:val="center"/>
          </w:tcPr>
          <w:p w14:paraId="504442A8">
            <w:pPr>
              <w:pStyle w:val="59"/>
              <w:bidi w:val="0"/>
              <w:rPr>
                <w:rFonts w:hint="default"/>
                <w:b w:val="0"/>
                <w:color w:val="000000"/>
              </w:rPr>
            </w:pPr>
          </w:p>
        </w:tc>
        <w:tc>
          <w:tcPr>
            <w:tcW w:w="521" w:type="dxa"/>
            <w:vMerge w:val="continue"/>
            <w:shd w:val="clear" w:color="auto" w:fill="FFFFFF"/>
            <w:vAlign w:val="center"/>
          </w:tcPr>
          <w:p w14:paraId="7DEC9AD1">
            <w:pPr>
              <w:pStyle w:val="59"/>
              <w:bidi w:val="0"/>
              <w:rPr>
                <w:rFonts w:hint="eastAsia"/>
                <w:b w:val="0"/>
                <w:color w:val="000000"/>
              </w:rPr>
            </w:pPr>
          </w:p>
        </w:tc>
        <w:tc>
          <w:tcPr>
            <w:tcW w:w="645" w:type="dxa"/>
            <w:vMerge w:val="continue"/>
            <w:shd w:val="clear" w:color="auto" w:fill="FFFFFF"/>
            <w:vAlign w:val="center"/>
          </w:tcPr>
          <w:p w14:paraId="659DD542">
            <w:pPr>
              <w:pStyle w:val="59"/>
              <w:bidi w:val="0"/>
              <w:rPr>
                <w:rFonts w:hint="eastAsia"/>
                <w:b w:val="0"/>
                <w:color w:val="000000"/>
              </w:rPr>
            </w:pPr>
          </w:p>
        </w:tc>
        <w:tc>
          <w:tcPr>
            <w:tcW w:w="426" w:type="dxa"/>
            <w:vMerge w:val="continue"/>
            <w:shd w:val="clear" w:color="auto" w:fill="FFFFFF"/>
            <w:vAlign w:val="center"/>
          </w:tcPr>
          <w:p w14:paraId="01CC3AE5">
            <w:pPr>
              <w:pStyle w:val="59"/>
              <w:bidi w:val="0"/>
              <w:rPr>
                <w:rFonts w:hint="eastAsia"/>
                <w:b w:val="0"/>
                <w:color w:val="000000"/>
              </w:rPr>
            </w:pPr>
          </w:p>
        </w:tc>
        <w:tc>
          <w:tcPr>
            <w:tcW w:w="465" w:type="dxa"/>
            <w:vMerge w:val="continue"/>
            <w:shd w:val="clear" w:color="auto" w:fill="FFFFFF"/>
            <w:vAlign w:val="center"/>
          </w:tcPr>
          <w:p w14:paraId="29E763BF">
            <w:pPr>
              <w:pStyle w:val="59"/>
              <w:bidi w:val="0"/>
              <w:rPr>
                <w:rFonts w:hint="eastAsia"/>
                <w:b w:val="0"/>
                <w:color w:val="000000"/>
              </w:rPr>
            </w:pPr>
          </w:p>
        </w:tc>
        <w:tc>
          <w:tcPr>
            <w:tcW w:w="715" w:type="dxa"/>
            <w:vMerge w:val="continue"/>
            <w:shd w:val="clear" w:color="auto" w:fill="FFFFFF"/>
            <w:vAlign w:val="center"/>
          </w:tcPr>
          <w:p w14:paraId="61D9AE17">
            <w:pPr>
              <w:pStyle w:val="59"/>
              <w:bidi w:val="0"/>
              <w:rPr>
                <w:rFonts w:hint="eastAsia"/>
                <w:b w:val="0"/>
                <w:color w:val="000000"/>
              </w:rPr>
            </w:pPr>
          </w:p>
        </w:tc>
        <w:tc>
          <w:tcPr>
            <w:tcW w:w="660" w:type="dxa"/>
            <w:vMerge w:val="continue"/>
            <w:shd w:val="clear" w:color="auto" w:fill="FFFFFF"/>
            <w:vAlign w:val="center"/>
          </w:tcPr>
          <w:p w14:paraId="66EA2A39">
            <w:pPr>
              <w:pStyle w:val="59"/>
              <w:bidi w:val="0"/>
              <w:rPr>
                <w:rFonts w:hint="eastAsia"/>
                <w:b w:val="0"/>
                <w:color w:val="000000"/>
              </w:rPr>
            </w:pPr>
          </w:p>
        </w:tc>
        <w:tc>
          <w:tcPr>
            <w:tcW w:w="496" w:type="dxa"/>
            <w:vMerge w:val="continue"/>
            <w:shd w:val="clear" w:color="auto" w:fill="FFFFFF"/>
            <w:vAlign w:val="center"/>
          </w:tcPr>
          <w:p w14:paraId="3FFD2029">
            <w:pPr>
              <w:pStyle w:val="59"/>
              <w:bidi w:val="0"/>
              <w:rPr>
                <w:rFonts w:hint="eastAsia"/>
                <w:b w:val="0"/>
                <w:color w:val="000000"/>
              </w:rPr>
            </w:pPr>
          </w:p>
        </w:tc>
        <w:tc>
          <w:tcPr>
            <w:tcW w:w="522" w:type="dxa"/>
            <w:vMerge w:val="continue"/>
            <w:shd w:val="clear" w:color="auto" w:fill="FFFFFF"/>
            <w:vAlign w:val="center"/>
          </w:tcPr>
          <w:p w14:paraId="2E2A39DE">
            <w:pPr>
              <w:pStyle w:val="59"/>
              <w:bidi w:val="0"/>
              <w:rPr>
                <w:rFonts w:hint="eastAsia"/>
                <w:b w:val="0"/>
                <w:color w:val="000000"/>
              </w:rPr>
            </w:pPr>
          </w:p>
        </w:tc>
        <w:tc>
          <w:tcPr>
            <w:tcW w:w="589" w:type="dxa"/>
            <w:vMerge w:val="continue"/>
            <w:shd w:val="clear" w:color="auto" w:fill="FFFFFF"/>
            <w:vAlign w:val="center"/>
          </w:tcPr>
          <w:p w14:paraId="35B67164">
            <w:pPr>
              <w:pStyle w:val="59"/>
              <w:bidi w:val="0"/>
              <w:rPr>
                <w:rFonts w:hint="eastAsia"/>
                <w:b w:val="0"/>
                <w:color w:val="000000"/>
              </w:rPr>
            </w:pPr>
          </w:p>
        </w:tc>
        <w:tc>
          <w:tcPr>
            <w:tcW w:w="900" w:type="dxa"/>
            <w:vMerge w:val="continue"/>
            <w:shd w:val="clear" w:color="auto" w:fill="FFFFFF"/>
            <w:vAlign w:val="center"/>
          </w:tcPr>
          <w:p w14:paraId="133FF66D">
            <w:pPr>
              <w:pStyle w:val="59"/>
              <w:bidi w:val="0"/>
              <w:rPr>
                <w:rFonts w:hint="eastAsia"/>
                <w:b w:val="0"/>
                <w:color w:val="000000"/>
              </w:rPr>
            </w:pPr>
          </w:p>
        </w:tc>
        <w:tc>
          <w:tcPr>
            <w:tcW w:w="604" w:type="dxa"/>
            <w:shd w:val="clear" w:color="auto" w:fill="FFFFFF"/>
            <w:vAlign w:val="center"/>
          </w:tcPr>
          <w:p w14:paraId="003148C0">
            <w:pPr>
              <w:pStyle w:val="59"/>
              <w:bidi w:val="0"/>
              <w:rPr>
                <w:rFonts w:hint="eastAsia"/>
                <w:b w:val="0"/>
                <w:color w:val="000000"/>
              </w:rPr>
            </w:pPr>
            <w:r>
              <w:rPr>
                <w:rFonts w:hint="eastAsia"/>
                <w:b w:val="0"/>
                <w:color w:val="000000"/>
                <w:lang w:val="en-US" w:eastAsia="zh-CN"/>
              </w:rPr>
              <w:t>东</w:t>
            </w:r>
          </w:p>
        </w:tc>
        <w:tc>
          <w:tcPr>
            <w:tcW w:w="550" w:type="dxa"/>
            <w:shd w:val="clear" w:color="auto" w:fill="FFFFFF"/>
            <w:vAlign w:val="center"/>
          </w:tcPr>
          <w:p w14:paraId="0F37F7FA">
            <w:pPr>
              <w:pStyle w:val="59"/>
              <w:bidi w:val="0"/>
              <w:rPr>
                <w:rFonts w:hint="eastAsia"/>
                <w:b w:val="0"/>
                <w:color w:val="000000"/>
              </w:rPr>
            </w:pPr>
            <w:r>
              <w:rPr>
                <w:rFonts w:hint="eastAsia"/>
                <w:b w:val="0"/>
                <w:color w:val="000000"/>
                <w:lang w:val="en-US" w:eastAsia="zh-CN"/>
              </w:rPr>
              <w:t>南</w:t>
            </w:r>
          </w:p>
        </w:tc>
        <w:tc>
          <w:tcPr>
            <w:tcW w:w="509" w:type="dxa"/>
            <w:shd w:val="clear" w:color="auto" w:fill="FFFFFF"/>
            <w:vAlign w:val="center"/>
          </w:tcPr>
          <w:p w14:paraId="59CBD176">
            <w:pPr>
              <w:pStyle w:val="59"/>
              <w:bidi w:val="0"/>
              <w:rPr>
                <w:rFonts w:hint="eastAsia"/>
                <w:b w:val="0"/>
                <w:color w:val="000000"/>
              </w:rPr>
            </w:pPr>
            <w:r>
              <w:rPr>
                <w:rFonts w:hint="eastAsia"/>
                <w:b w:val="0"/>
                <w:color w:val="000000"/>
                <w:lang w:val="en-US" w:eastAsia="zh-CN"/>
              </w:rPr>
              <w:t>西</w:t>
            </w:r>
          </w:p>
        </w:tc>
        <w:tc>
          <w:tcPr>
            <w:tcW w:w="509" w:type="dxa"/>
            <w:shd w:val="clear" w:color="auto" w:fill="FFFFFF"/>
            <w:vAlign w:val="center"/>
          </w:tcPr>
          <w:p w14:paraId="527B8E1D">
            <w:pPr>
              <w:pStyle w:val="59"/>
              <w:bidi w:val="0"/>
              <w:rPr>
                <w:rFonts w:hint="eastAsia"/>
                <w:b w:val="0"/>
                <w:color w:val="000000"/>
              </w:rPr>
            </w:pPr>
            <w:r>
              <w:rPr>
                <w:rFonts w:hint="eastAsia"/>
                <w:b w:val="0"/>
                <w:color w:val="000000"/>
                <w:lang w:val="en-US" w:eastAsia="zh-CN"/>
              </w:rPr>
              <w:t>北</w:t>
            </w:r>
          </w:p>
        </w:tc>
        <w:tc>
          <w:tcPr>
            <w:tcW w:w="673" w:type="dxa"/>
            <w:vMerge w:val="continue"/>
            <w:tcBorders>
              <w:right w:val="nil"/>
            </w:tcBorders>
            <w:shd w:val="clear" w:color="auto" w:fill="FFFFFF"/>
            <w:vAlign w:val="center"/>
          </w:tcPr>
          <w:p w14:paraId="38D1D0DB">
            <w:pPr>
              <w:pStyle w:val="59"/>
              <w:bidi w:val="0"/>
              <w:rPr>
                <w:rFonts w:hint="eastAsia"/>
                <w:b w:val="0"/>
                <w:color w:val="000000"/>
              </w:rPr>
            </w:pPr>
          </w:p>
        </w:tc>
      </w:tr>
      <w:tr w14:paraId="14A9F66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tcBorders>
            <w:shd w:val="clear" w:color="auto" w:fill="FFFFFF"/>
            <w:vAlign w:val="center"/>
          </w:tcPr>
          <w:p w14:paraId="250ABE17">
            <w:pPr>
              <w:pStyle w:val="59"/>
              <w:bidi w:val="0"/>
              <w:rPr>
                <w:rFonts w:hint="eastAsia"/>
                <w:b w:val="0"/>
                <w:color w:val="000000"/>
              </w:rPr>
            </w:pPr>
            <w:r>
              <w:rPr>
                <w:rFonts w:hint="eastAsia"/>
                <w:b w:val="0"/>
                <w:color w:val="000000"/>
                <w:lang w:val="en-US" w:eastAsia="zh-CN"/>
              </w:rPr>
              <w:t>1</w:t>
            </w:r>
          </w:p>
        </w:tc>
        <w:tc>
          <w:tcPr>
            <w:tcW w:w="1573" w:type="dxa"/>
            <w:shd w:val="clear" w:color="auto" w:fill="FFFFFF"/>
            <w:vAlign w:val="center"/>
          </w:tcPr>
          <w:p w14:paraId="5E4B03CC">
            <w:pPr>
              <w:pStyle w:val="59"/>
              <w:bidi w:val="0"/>
              <w:rPr>
                <w:rFonts w:hint="eastAsia"/>
                <w:b w:val="0"/>
                <w:color w:val="000000"/>
              </w:rPr>
            </w:pPr>
            <w:r>
              <w:rPr>
                <w:rFonts w:hint="eastAsia"/>
                <w:b w:val="0"/>
                <w:color w:val="000000"/>
                <w:lang w:val="en-US" w:eastAsia="zh-CN"/>
              </w:rPr>
              <w:t>十一色印刷机</w:t>
            </w:r>
          </w:p>
        </w:tc>
        <w:tc>
          <w:tcPr>
            <w:tcW w:w="575" w:type="dxa"/>
            <w:shd w:val="clear" w:color="auto" w:fill="FFFFFF"/>
            <w:vAlign w:val="center"/>
          </w:tcPr>
          <w:p w14:paraId="512F1BA4">
            <w:pPr>
              <w:pStyle w:val="59"/>
              <w:bidi w:val="0"/>
              <w:rPr>
                <w:rFonts w:hint="default"/>
                <w:b w:val="0"/>
                <w:color w:val="000000"/>
              </w:rPr>
            </w:pPr>
            <w:r>
              <w:rPr>
                <w:rFonts w:hint="default"/>
                <w:b w:val="0"/>
                <w:color w:val="000000"/>
                <w:lang w:val="en-US" w:eastAsia="zh-CN"/>
              </w:rPr>
              <w:t>/</w:t>
            </w:r>
          </w:p>
        </w:tc>
        <w:tc>
          <w:tcPr>
            <w:tcW w:w="929" w:type="dxa"/>
            <w:shd w:val="clear" w:color="auto" w:fill="FFFFFF"/>
            <w:vAlign w:val="center"/>
          </w:tcPr>
          <w:p w14:paraId="3B2452A0">
            <w:pPr>
              <w:pStyle w:val="59"/>
              <w:bidi w:val="0"/>
              <w:rPr>
                <w:rFonts w:hint="default"/>
                <w:b w:val="0"/>
                <w:color w:val="000000"/>
              </w:rPr>
            </w:pPr>
            <w:r>
              <w:rPr>
                <w:rFonts w:hint="default"/>
                <w:b w:val="0"/>
                <w:color w:val="000000"/>
                <w:lang w:val="en-US" w:eastAsia="zh-CN"/>
              </w:rPr>
              <w:t>75</w:t>
            </w:r>
          </w:p>
        </w:tc>
        <w:tc>
          <w:tcPr>
            <w:tcW w:w="650" w:type="dxa"/>
            <w:vMerge w:val="restart"/>
            <w:shd w:val="clear" w:color="auto" w:fill="FFFFFF"/>
            <w:vAlign w:val="center"/>
          </w:tcPr>
          <w:p w14:paraId="1320A3EC">
            <w:pPr>
              <w:pStyle w:val="59"/>
              <w:bidi w:val="0"/>
              <w:rPr>
                <w:rFonts w:hint="eastAsia"/>
                <w:b w:val="0"/>
                <w:color w:val="000000"/>
              </w:rPr>
            </w:pPr>
            <w:r>
              <w:rPr>
                <w:rFonts w:hint="eastAsia"/>
                <w:b w:val="0"/>
                <w:color w:val="000000"/>
                <w:lang w:val="en-US" w:eastAsia="zh-CN"/>
              </w:rPr>
              <w:t>减振、隔声</w:t>
            </w:r>
          </w:p>
        </w:tc>
        <w:tc>
          <w:tcPr>
            <w:tcW w:w="492" w:type="dxa"/>
            <w:shd w:val="clear" w:color="auto" w:fill="FFFFFF"/>
            <w:vAlign w:val="center"/>
          </w:tcPr>
          <w:p w14:paraId="7D40B357">
            <w:pPr>
              <w:pStyle w:val="59"/>
              <w:bidi w:val="0"/>
              <w:rPr>
                <w:rFonts w:hint="default"/>
                <w:b w:val="0"/>
                <w:color w:val="000000"/>
              </w:rPr>
            </w:pPr>
            <w:r>
              <w:rPr>
                <w:rFonts w:hint="default"/>
                <w:b w:val="0"/>
                <w:color w:val="000000"/>
                <w:lang w:val="en-US" w:eastAsia="zh-CN"/>
              </w:rPr>
              <w:t>20</w:t>
            </w:r>
          </w:p>
        </w:tc>
        <w:tc>
          <w:tcPr>
            <w:tcW w:w="479" w:type="dxa"/>
            <w:shd w:val="clear" w:color="auto" w:fill="FFFFFF"/>
            <w:vAlign w:val="center"/>
          </w:tcPr>
          <w:p w14:paraId="57CC93D6">
            <w:pPr>
              <w:pStyle w:val="59"/>
              <w:bidi w:val="0"/>
              <w:rPr>
                <w:rFonts w:hint="default"/>
                <w:b w:val="0"/>
                <w:color w:val="000000"/>
              </w:rPr>
            </w:pPr>
            <w:r>
              <w:rPr>
                <w:rFonts w:hint="default"/>
                <w:b w:val="0"/>
                <w:color w:val="000000"/>
                <w:lang w:val="en-US" w:eastAsia="zh-CN"/>
              </w:rPr>
              <w:t>2</w:t>
            </w:r>
          </w:p>
        </w:tc>
        <w:tc>
          <w:tcPr>
            <w:tcW w:w="436" w:type="dxa"/>
            <w:shd w:val="clear" w:color="auto" w:fill="FFFFFF"/>
            <w:vAlign w:val="center"/>
          </w:tcPr>
          <w:p w14:paraId="56BEDAC3">
            <w:pPr>
              <w:pStyle w:val="59"/>
              <w:bidi w:val="0"/>
              <w:rPr>
                <w:rFonts w:hint="default"/>
                <w:b w:val="0"/>
                <w:color w:val="000000"/>
              </w:rPr>
            </w:pPr>
            <w:r>
              <w:rPr>
                <w:rFonts w:hint="default"/>
                <w:b w:val="0"/>
                <w:color w:val="000000"/>
                <w:lang w:val="en-US" w:eastAsia="zh-CN"/>
              </w:rPr>
              <w:t>1</w:t>
            </w:r>
          </w:p>
        </w:tc>
        <w:tc>
          <w:tcPr>
            <w:tcW w:w="521" w:type="dxa"/>
            <w:shd w:val="clear" w:color="auto" w:fill="FFFFFF"/>
            <w:vAlign w:val="center"/>
          </w:tcPr>
          <w:p w14:paraId="0E06050A">
            <w:pPr>
              <w:pStyle w:val="59"/>
              <w:bidi w:val="0"/>
              <w:rPr>
                <w:rFonts w:hint="default"/>
                <w:b w:val="0"/>
                <w:color w:val="000000"/>
              </w:rPr>
            </w:pPr>
            <w:r>
              <w:rPr>
                <w:rFonts w:hint="default"/>
                <w:b w:val="0"/>
                <w:color w:val="000000"/>
                <w:lang w:val="en-US" w:eastAsia="zh-CN"/>
              </w:rPr>
              <w:t xml:space="preserve">2 </w:t>
            </w:r>
          </w:p>
        </w:tc>
        <w:tc>
          <w:tcPr>
            <w:tcW w:w="645" w:type="dxa"/>
            <w:shd w:val="clear" w:color="auto" w:fill="FFFFFF"/>
            <w:vAlign w:val="center"/>
          </w:tcPr>
          <w:p w14:paraId="7552BD3A">
            <w:pPr>
              <w:pStyle w:val="59"/>
              <w:bidi w:val="0"/>
              <w:rPr>
                <w:rFonts w:hint="default"/>
                <w:b w:val="0"/>
                <w:color w:val="000000"/>
              </w:rPr>
            </w:pPr>
            <w:r>
              <w:rPr>
                <w:rFonts w:hint="default"/>
                <w:b w:val="0"/>
                <w:color w:val="000000"/>
                <w:lang w:val="en-US" w:eastAsia="zh-CN"/>
              </w:rPr>
              <w:t xml:space="preserve">20 </w:t>
            </w:r>
          </w:p>
        </w:tc>
        <w:tc>
          <w:tcPr>
            <w:tcW w:w="426" w:type="dxa"/>
            <w:shd w:val="clear" w:color="auto" w:fill="FFFFFF"/>
            <w:vAlign w:val="center"/>
          </w:tcPr>
          <w:p w14:paraId="720B8CEC">
            <w:pPr>
              <w:pStyle w:val="59"/>
              <w:bidi w:val="0"/>
              <w:rPr>
                <w:rFonts w:hint="default"/>
                <w:b w:val="0"/>
                <w:color w:val="000000"/>
              </w:rPr>
            </w:pPr>
            <w:r>
              <w:rPr>
                <w:rFonts w:hint="default"/>
                <w:b w:val="0"/>
                <w:color w:val="000000"/>
                <w:lang w:val="en-US" w:eastAsia="zh-CN"/>
              </w:rPr>
              <w:t xml:space="preserve">15 </w:t>
            </w:r>
          </w:p>
        </w:tc>
        <w:tc>
          <w:tcPr>
            <w:tcW w:w="465" w:type="dxa"/>
            <w:shd w:val="clear" w:color="auto" w:fill="FFFFFF"/>
            <w:vAlign w:val="center"/>
          </w:tcPr>
          <w:p w14:paraId="07E43FA0">
            <w:pPr>
              <w:pStyle w:val="59"/>
              <w:bidi w:val="0"/>
              <w:rPr>
                <w:rFonts w:hint="default"/>
                <w:b w:val="0"/>
                <w:color w:val="000000"/>
              </w:rPr>
            </w:pPr>
            <w:r>
              <w:rPr>
                <w:rFonts w:hint="default"/>
                <w:b w:val="0"/>
                <w:color w:val="000000"/>
                <w:lang w:val="en-US" w:eastAsia="zh-CN"/>
              </w:rPr>
              <w:t xml:space="preserve">10 </w:t>
            </w:r>
          </w:p>
        </w:tc>
        <w:tc>
          <w:tcPr>
            <w:tcW w:w="715" w:type="dxa"/>
            <w:shd w:val="clear" w:color="auto" w:fill="FFFFFF"/>
            <w:vAlign w:val="center"/>
          </w:tcPr>
          <w:p w14:paraId="737CA779">
            <w:pPr>
              <w:pStyle w:val="59"/>
              <w:bidi w:val="0"/>
              <w:rPr>
                <w:rFonts w:hint="default"/>
                <w:b w:val="0"/>
                <w:color w:val="000000"/>
              </w:rPr>
            </w:pPr>
            <w:r>
              <w:rPr>
                <w:rFonts w:hint="default"/>
                <w:b w:val="0"/>
                <w:color w:val="000000"/>
                <w:lang w:val="en-US" w:eastAsia="zh-CN"/>
              </w:rPr>
              <w:t xml:space="preserve">58 </w:t>
            </w:r>
          </w:p>
        </w:tc>
        <w:tc>
          <w:tcPr>
            <w:tcW w:w="660" w:type="dxa"/>
            <w:shd w:val="clear" w:color="auto" w:fill="FFFFFF"/>
            <w:vAlign w:val="center"/>
          </w:tcPr>
          <w:p w14:paraId="4251E4D8">
            <w:pPr>
              <w:pStyle w:val="59"/>
              <w:bidi w:val="0"/>
              <w:rPr>
                <w:rFonts w:hint="default"/>
                <w:b w:val="0"/>
                <w:color w:val="000000"/>
              </w:rPr>
            </w:pPr>
            <w:r>
              <w:rPr>
                <w:rFonts w:hint="default"/>
                <w:b w:val="0"/>
                <w:color w:val="000000"/>
                <w:lang w:val="en-US" w:eastAsia="zh-CN"/>
              </w:rPr>
              <w:t xml:space="preserve">45 </w:t>
            </w:r>
          </w:p>
        </w:tc>
        <w:tc>
          <w:tcPr>
            <w:tcW w:w="496" w:type="dxa"/>
            <w:shd w:val="clear" w:color="auto" w:fill="FFFFFF"/>
            <w:vAlign w:val="center"/>
          </w:tcPr>
          <w:p w14:paraId="6ECA083B">
            <w:pPr>
              <w:pStyle w:val="59"/>
              <w:bidi w:val="0"/>
              <w:rPr>
                <w:rFonts w:hint="default"/>
                <w:b w:val="0"/>
                <w:color w:val="000000"/>
              </w:rPr>
            </w:pPr>
            <w:r>
              <w:rPr>
                <w:rFonts w:hint="default"/>
                <w:b w:val="0"/>
                <w:color w:val="000000"/>
                <w:lang w:val="en-US" w:eastAsia="zh-CN"/>
              </w:rPr>
              <w:t xml:space="preserve">46 </w:t>
            </w:r>
          </w:p>
        </w:tc>
        <w:tc>
          <w:tcPr>
            <w:tcW w:w="522" w:type="dxa"/>
            <w:shd w:val="clear" w:color="auto" w:fill="FFFFFF"/>
            <w:vAlign w:val="center"/>
          </w:tcPr>
          <w:p w14:paraId="02557EB0">
            <w:pPr>
              <w:pStyle w:val="59"/>
              <w:bidi w:val="0"/>
              <w:rPr>
                <w:rFonts w:hint="default"/>
                <w:b w:val="0"/>
                <w:color w:val="000000"/>
              </w:rPr>
            </w:pPr>
            <w:r>
              <w:rPr>
                <w:rFonts w:hint="default"/>
                <w:b w:val="0"/>
                <w:color w:val="000000"/>
                <w:lang w:val="en-US" w:eastAsia="zh-CN"/>
              </w:rPr>
              <w:t xml:space="preserve">47 </w:t>
            </w:r>
          </w:p>
        </w:tc>
        <w:tc>
          <w:tcPr>
            <w:tcW w:w="589" w:type="dxa"/>
            <w:vMerge w:val="restart"/>
            <w:shd w:val="clear" w:color="auto" w:fill="FFFFFF"/>
            <w:vAlign w:val="center"/>
          </w:tcPr>
          <w:p w14:paraId="2B5622F4">
            <w:pPr>
              <w:pStyle w:val="59"/>
              <w:bidi w:val="0"/>
              <w:rPr>
                <w:rFonts w:hint="default"/>
                <w:b w:val="0"/>
                <w:color w:val="000000"/>
              </w:rPr>
            </w:pPr>
            <w:r>
              <w:rPr>
                <w:rFonts w:hint="default"/>
                <w:b w:val="0"/>
                <w:color w:val="000000"/>
                <w:lang w:val="en-US" w:eastAsia="zh-CN"/>
              </w:rPr>
              <w:t>10</w:t>
            </w:r>
          </w:p>
        </w:tc>
        <w:tc>
          <w:tcPr>
            <w:tcW w:w="900" w:type="dxa"/>
            <w:shd w:val="clear" w:color="auto" w:fill="FFFFFF"/>
            <w:vAlign w:val="center"/>
          </w:tcPr>
          <w:p w14:paraId="3BE67762">
            <w:pPr>
              <w:pStyle w:val="59"/>
              <w:bidi w:val="0"/>
              <w:rPr>
                <w:rFonts w:hint="default"/>
                <w:b w:val="0"/>
                <w:color w:val="000000"/>
              </w:rPr>
            </w:pPr>
            <w:r>
              <w:rPr>
                <w:rFonts w:hint="default"/>
                <w:b w:val="0"/>
                <w:color w:val="000000"/>
                <w:lang w:val="en-US" w:eastAsia="zh-CN"/>
              </w:rPr>
              <w:t>25</w:t>
            </w:r>
          </w:p>
        </w:tc>
        <w:tc>
          <w:tcPr>
            <w:tcW w:w="604" w:type="dxa"/>
            <w:shd w:val="clear" w:color="auto" w:fill="FFFFFF"/>
            <w:vAlign w:val="center"/>
          </w:tcPr>
          <w:p w14:paraId="23D0EEA6">
            <w:pPr>
              <w:pStyle w:val="59"/>
              <w:bidi w:val="0"/>
              <w:rPr>
                <w:rFonts w:hint="default"/>
                <w:b w:val="0"/>
                <w:color w:val="000000"/>
              </w:rPr>
            </w:pPr>
            <w:r>
              <w:rPr>
                <w:rFonts w:hint="default"/>
                <w:b w:val="0"/>
                <w:color w:val="000000"/>
                <w:lang w:val="en-US" w:eastAsia="zh-CN"/>
              </w:rPr>
              <w:t xml:space="preserve">38 </w:t>
            </w:r>
          </w:p>
        </w:tc>
        <w:tc>
          <w:tcPr>
            <w:tcW w:w="550" w:type="dxa"/>
            <w:shd w:val="clear" w:color="auto" w:fill="FFFFFF"/>
            <w:vAlign w:val="center"/>
          </w:tcPr>
          <w:p w14:paraId="0224A01B">
            <w:pPr>
              <w:pStyle w:val="59"/>
              <w:bidi w:val="0"/>
              <w:rPr>
                <w:rFonts w:hint="default"/>
                <w:b w:val="0"/>
                <w:color w:val="000000"/>
              </w:rPr>
            </w:pPr>
            <w:r>
              <w:rPr>
                <w:rFonts w:hint="default"/>
                <w:b w:val="0"/>
                <w:color w:val="000000"/>
                <w:lang w:val="en-US" w:eastAsia="zh-CN"/>
              </w:rPr>
              <w:t xml:space="preserve">25 </w:t>
            </w:r>
          </w:p>
        </w:tc>
        <w:tc>
          <w:tcPr>
            <w:tcW w:w="509" w:type="dxa"/>
            <w:shd w:val="clear" w:color="auto" w:fill="FFFFFF"/>
            <w:vAlign w:val="center"/>
          </w:tcPr>
          <w:p w14:paraId="3CC32B7B">
            <w:pPr>
              <w:pStyle w:val="59"/>
              <w:bidi w:val="0"/>
              <w:rPr>
                <w:rFonts w:hint="default"/>
                <w:b w:val="0"/>
                <w:color w:val="000000"/>
              </w:rPr>
            </w:pPr>
            <w:r>
              <w:rPr>
                <w:rFonts w:hint="default"/>
                <w:b w:val="0"/>
                <w:color w:val="000000"/>
                <w:lang w:val="en-US" w:eastAsia="zh-CN"/>
              </w:rPr>
              <w:t xml:space="preserve">26 </w:t>
            </w:r>
          </w:p>
        </w:tc>
        <w:tc>
          <w:tcPr>
            <w:tcW w:w="509" w:type="dxa"/>
            <w:shd w:val="clear" w:color="auto" w:fill="FFFFFF"/>
            <w:vAlign w:val="center"/>
          </w:tcPr>
          <w:p w14:paraId="72CEECF7">
            <w:pPr>
              <w:pStyle w:val="59"/>
              <w:bidi w:val="0"/>
              <w:rPr>
                <w:rFonts w:hint="default"/>
                <w:b w:val="0"/>
                <w:color w:val="000000"/>
              </w:rPr>
            </w:pPr>
            <w:r>
              <w:rPr>
                <w:rFonts w:hint="default"/>
                <w:b w:val="0"/>
                <w:color w:val="000000"/>
                <w:lang w:val="en-US" w:eastAsia="zh-CN"/>
              </w:rPr>
              <w:t xml:space="preserve">27 </w:t>
            </w:r>
          </w:p>
        </w:tc>
        <w:tc>
          <w:tcPr>
            <w:tcW w:w="673" w:type="dxa"/>
            <w:tcBorders>
              <w:right w:val="nil"/>
            </w:tcBorders>
            <w:shd w:val="clear" w:color="auto" w:fill="FFFFFF"/>
            <w:vAlign w:val="center"/>
          </w:tcPr>
          <w:p w14:paraId="2010A93D">
            <w:pPr>
              <w:pStyle w:val="59"/>
              <w:bidi w:val="0"/>
              <w:rPr>
                <w:rFonts w:hint="default"/>
                <w:b w:val="0"/>
                <w:color w:val="000000"/>
              </w:rPr>
            </w:pPr>
            <w:r>
              <w:rPr>
                <w:rFonts w:hint="default"/>
                <w:b w:val="0"/>
                <w:color w:val="000000"/>
                <w:lang w:val="en-US" w:eastAsia="zh-CN"/>
              </w:rPr>
              <w:t>1</w:t>
            </w:r>
          </w:p>
        </w:tc>
      </w:tr>
      <w:tr w14:paraId="472159A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tcBorders>
            <w:shd w:val="clear" w:color="auto" w:fill="FFFFFF"/>
            <w:vAlign w:val="center"/>
          </w:tcPr>
          <w:p w14:paraId="1FDE39B2">
            <w:pPr>
              <w:pStyle w:val="59"/>
              <w:bidi w:val="0"/>
              <w:rPr>
                <w:rFonts w:hint="eastAsia"/>
                <w:b w:val="0"/>
                <w:color w:val="000000"/>
              </w:rPr>
            </w:pPr>
            <w:r>
              <w:rPr>
                <w:rFonts w:hint="eastAsia"/>
                <w:b w:val="0"/>
                <w:color w:val="000000"/>
                <w:lang w:val="en-US" w:eastAsia="zh-CN"/>
              </w:rPr>
              <w:t>2</w:t>
            </w:r>
          </w:p>
        </w:tc>
        <w:tc>
          <w:tcPr>
            <w:tcW w:w="1573" w:type="dxa"/>
            <w:shd w:val="clear" w:color="auto" w:fill="FFFFFF"/>
            <w:vAlign w:val="center"/>
          </w:tcPr>
          <w:p w14:paraId="1B4A9D81">
            <w:pPr>
              <w:pStyle w:val="59"/>
              <w:bidi w:val="0"/>
              <w:rPr>
                <w:rFonts w:hint="eastAsia"/>
                <w:b w:val="0"/>
                <w:color w:val="000000"/>
              </w:rPr>
            </w:pPr>
            <w:r>
              <w:rPr>
                <w:rFonts w:hint="eastAsia"/>
                <w:b w:val="0"/>
                <w:color w:val="000000"/>
                <w:lang w:val="en-US" w:eastAsia="zh-CN"/>
              </w:rPr>
              <w:t>十色印刷机</w:t>
            </w:r>
          </w:p>
        </w:tc>
        <w:tc>
          <w:tcPr>
            <w:tcW w:w="575" w:type="dxa"/>
            <w:shd w:val="clear" w:color="auto" w:fill="FFFFFF"/>
            <w:vAlign w:val="center"/>
          </w:tcPr>
          <w:p w14:paraId="0B99F9AC">
            <w:pPr>
              <w:pStyle w:val="59"/>
              <w:bidi w:val="0"/>
              <w:rPr>
                <w:rFonts w:hint="default"/>
                <w:b w:val="0"/>
                <w:color w:val="000000"/>
              </w:rPr>
            </w:pPr>
            <w:r>
              <w:rPr>
                <w:rFonts w:hint="default"/>
                <w:b w:val="0"/>
                <w:color w:val="000000"/>
                <w:lang w:val="en-US" w:eastAsia="zh-CN"/>
              </w:rPr>
              <w:t>/</w:t>
            </w:r>
          </w:p>
        </w:tc>
        <w:tc>
          <w:tcPr>
            <w:tcW w:w="929" w:type="dxa"/>
            <w:shd w:val="clear" w:color="auto" w:fill="FFFFFF"/>
            <w:vAlign w:val="center"/>
          </w:tcPr>
          <w:p w14:paraId="7265B443">
            <w:pPr>
              <w:pStyle w:val="59"/>
              <w:bidi w:val="0"/>
              <w:rPr>
                <w:rFonts w:hint="default"/>
                <w:b w:val="0"/>
                <w:color w:val="000000"/>
              </w:rPr>
            </w:pPr>
            <w:r>
              <w:rPr>
                <w:rFonts w:hint="default"/>
                <w:b w:val="0"/>
                <w:color w:val="000000"/>
                <w:lang w:val="en-US" w:eastAsia="zh-CN"/>
              </w:rPr>
              <w:t>75</w:t>
            </w:r>
          </w:p>
        </w:tc>
        <w:tc>
          <w:tcPr>
            <w:tcW w:w="650" w:type="dxa"/>
            <w:vMerge w:val="continue"/>
            <w:shd w:val="clear" w:color="auto" w:fill="FFFFFF"/>
            <w:vAlign w:val="center"/>
          </w:tcPr>
          <w:p w14:paraId="7958C807">
            <w:pPr>
              <w:pStyle w:val="59"/>
              <w:bidi w:val="0"/>
              <w:rPr>
                <w:rFonts w:hint="eastAsia"/>
                <w:b w:val="0"/>
                <w:color w:val="000000"/>
              </w:rPr>
            </w:pPr>
          </w:p>
        </w:tc>
        <w:tc>
          <w:tcPr>
            <w:tcW w:w="492" w:type="dxa"/>
            <w:shd w:val="clear" w:color="auto" w:fill="FFFFFF"/>
            <w:vAlign w:val="center"/>
          </w:tcPr>
          <w:p w14:paraId="6286F70E">
            <w:pPr>
              <w:pStyle w:val="59"/>
              <w:bidi w:val="0"/>
              <w:rPr>
                <w:rFonts w:hint="default"/>
                <w:b w:val="0"/>
                <w:color w:val="000000"/>
              </w:rPr>
            </w:pPr>
            <w:r>
              <w:rPr>
                <w:rFonts w:hint="default"/>
                <w:b w:val="0"/>
                <w:color w:val="000000"/>
                <w:lang w:val="en-US" w:eastAsia="zh-CN"/>
              </w:rPr>
              <w:t>18</w:t>
            </w:r>
          </w:p>
        </w:tc>
        <w:tc>
          <w:tcPr>
            <w:tcW w:w="479" w:type="dxa"/>
            <w:shd w:val="clear" w:color="auto" w:fill="FFFFFF"/>
            <w:vAlign w:val="center"/>
          </w:tcPr>
          <w:p w14:paraId="5F6FE540">
            <w:pPr>
              <w:pStyle w:val="59"/>
              <w:bidi w:val="0"/>
              <w:rPr>
                <w:rFonts w:hint="default"/>
                <w:b w:val="0"/>
                <w:color w:val="000000"/>
              </w:rPr>
            </w:pPr>
            <w:r>
              <w:rPr>
                <w:rFonts w:hint="default"/>
                <w:b w:val="0"/>
                <w:color w:val="000000"/>
                <w:lang w:val="en-US" w:eastAsia="zh-CN"/>
              </w:rPr>
              <w:t>15</w:t>
            </w:r>
          </w:p>
        </w:tc>
        <w:tc>
          <w:tcPr>
            <w:tcW w:w="436" w:type="dxa"/>
            <w:shd w:val="clear" w:color="auto" w:fill="FFFFFF"/>
            <w:vAlign w:val="center"/>
          </w:tcPr>
          <w:p w14:paraId="2CDD7790">
            <w:pPr>
              <w:pStyle w:val="59"/>
              <w:bidi w:val="0"/>
              <w:rPr>
                <w:rFonts w:hint="default"/>
                <w:b w:val="0"/>
                <w:color w:val="000000"/>
              </w:rPr>
            </w:pPr>
            <w:r>
              <w:rPr>
                <w:rFonts w:hint="default"/>
                <w:b w:val="0"/>
                <w:color w:val="000000"/>
                <w:lang w:val="en-US" w:eastAsia="zh-CN"/>
              </w:rPr>
              <w:t>6</w:t>
            </w:r>
          </w:p>
        </w:tc>
        <w:tc>
          <w:tcPr>
            <w:tcW w:w="521" w:type="dxa"/>
            <w:shd w:val="clear" w:color="auto" w:fill="FFFFFF"/>
            <w:vAlign w:val="center"/>
          </w:tcPr>
          <w:p w14:paraId="4533C86B">
            <w:pPr>
              <w:pStyle w:val="59"/>
              <w:bidi w:val="0"/>
              <w:rPr>
                <w:rFonts w:hint="default"/>
                <w:b w:val="0"/>
                <w:color w:val="000000"/>
              </w:rPr>
            </w:pPr>
            <w:r>
              <w:rPr>
                <w:rFonts w:hint="default"/>
                <w:b w:val="0"/>
                <w:color w:val="000000"/>
                <w:lang w:val="en-US" w:eastAsia="zh-CN"/>
              </w:rPr>
              <w:t xml:space="preserve">15 </w:t>
            </w:r>
          </w:p>
        </w:tc>
        <w:tc>
          <w:tcPr>
            <w:tcW w:w="645" w:type="dxa"/>
            <w:shd w:val="clear" w:color="auto" w:fill="FFFFFF"/>
            <w:vAlign w:val="center"/>
          </w:tcPr>
          <w:p w14:paraId="7295D483">
            <w:pPr>
              <w:pStyle w:val="59"/>
              <w:bidi w:val="0"/>
              <w:rPr>
                <w:rFonts w:hint="default"/>
                <w:b w:val="0"/>
                <w:color w:val="000000"/>
              </w:rPr>
            </w:pPr>
            <w:r>
              <w:rPr>
                <w:rFonts w:hint="default"/>
                <w:b w:val="0"/>
                <w:color w:val="000000"/>
                <w:lang w:val="en-US" w:eastAsia="zh-CN"/>
              </w:rPr>
              <w:t xml:space="preserve">5 </w:t>
            </w:r>
          </w:p>
        </w:tc>
        <w:tc>
          <w:tcPr>
            <w:tcW w:w="426" w:type="dxa"/>
            <w:shd w:val="clear" w:color="auto" w:fill="FFFFFF"/>
            <w:vAlign w:val="center"/>
          </w:tcPr>
          <w:p w14:paraId="042BDB08">
            <w:pPr>
              <w:pStyle w:val="59"/>
              <w:bidi w:val="0"/>
              <w:rPr>
                <w:rFonts w:hint="default"/>
                <w:b w:val="0"/>
                <w:color w:val="000000"/>
              </w:rPr>
            </w:pPr>
            <w:r>
              <w:rPr>
                <w:rFonts w:hint="default"/>
                <w:b w:val="0"/>
                <w:color w:val="000000"/>
                <w:lang w:val="en-US" w:eastAsia="zh-CN"/>
              </w:rPr>
              <w:t xml:space="preserve">14 </w:t>
            </w:r>
          </w:p>
        </w:tc>
        <w:tc>
          <w:tcPr>
            <w:tcW w:w="465" w:type="dxa"/>
            <w:shd w:val="clear" w:color="auto" w:fill="FFFFFF"/>
            <w:vAlign w:val="center"/>
          </w:tcPr>
          <w:p w14:paraId="78AF8A96">
            <w:pPr>
              <w:pStyle w:val="59"/>
              <w:bidi w:val="0"/>
              <w:rPr>
                <w:rFonts w:hint="default"/>
                <w:b w:val="0"/>
                <w:color w:val="000000"/>
              </w:rPr>
            </w:pPr>
            <w:r>
              <w:rPr>
                <w:rFonts w:hint="default"/>
                <w:b w:val="0"/>
                <w:color w:val="000000"/>
                <w:lang w:val="en-US" w:eastAsia="zh-CN"/>
              </w:rPr>
              <w:t xml:space="preserve">12 </w:t>
            </w:r>
          </w:p>
        </w:tc>
        <w:tc>
          <w:tcPr>
            <w:tcW w:w="715" w:type="dxa"/>
            <w:shd w:val="clear" w:color="auto" w:fill="FFFFFF"/>
            <w:vAlign w:val="center"/>
          </w:tcPr>
          <w:p w14:paraId="37C49CA3">
            <w:pPr>
              <w:pStyle w:val="59"/>
              <w:bidi w:val="0"/>
              <w:rPr>
                <w:rFonts w:hint="default"/>
                <w:b w:val="0"/>
                <w:color w:val="000000"/>
              </w:rPr>
            </w:pPr>
            <w:r>
              <w:rPr>
                <w:rFonts w:hint="default"/>
                <w:b w:val="0"/>
                <w:color w:val="000000"/>
                <w:lang w:val="en-US" w:eastAsia="zh-CN"/>
              </w:rPr>
              <w:t xml:space="preserve">46 </w:t>
            </w:r>
          </w:p>
        </w:tc>
        <w:tc>
          <w:tcPr>
            <w:tcW w:w="660" w:type="dxa"/>
            <w:shd w:val="clear" w:color="auto" w:fill="FFFFFF"/>
            <w:vAlign w:val="center"/>
          </w:tcPr>
          <w:p w14:paraId="2C8F4EAF">
            <w:pPr>
              <w:pStyle w:val="59"/>
              <w:bidi w:val="0"/>
              <w:rPr>
                <w:rFonts w:hint="default"/>
                <w:b w:val="0"/>
                <w:color w:val="000000"/>
              </w:rPr>
            </w:pPr>
            <w:r>
              <w:rPr>
                <w:rFonts w:hint="default"/>
                <w:b w:val="0"/>
                <w:color w:val="000000"/>
                <w:lang w:val="en-US" w:eastAsia="zh-CN"/>
              </w:rPr>
              <w:t xml:space="preserve">51 </w:t>
            </w:r>
          </w:p>
        </w:tc>
        <w:tc>
          <w:tcPr>
            <w:tcW w:w="496" w:type="dxa"/>
            <w:shd w:val="clear" w:color="auto" w:fill="FFFFFF"/>
            <w:vAlign w:val="center"/>
          </w:tcPr>
          <w:p w14:paraId="20B9853C">
            <w:pPr>
              <w:pStyle w:val="59"/>
              <w:bidi w:val="0"/>
              <w:rPr>
                <w:rFonts w:hint="default"/>
                <w:b w:val="0"/>
                <w:color w:val="000000"/>
              </w:rPr>
            </w:pPr>
            <w:r>
              <w:rPr>
                <w:rFonts w:hint="default"/>
                <w:b w:val="0"/>
                <w:color w:val="000000"/>
                <w:lang w:val="en-US" w:eastAsia="zh-CN"/>
              </w:rPr>
              <w:t xml:space="preserve">46 </w:t>
            </w:r>
          </w:p>
        </w:tc>
        <w:tc>
          <w:tcPr>
            <w:tcW w:w="522" w:type="dxa"/>
            <w:shd w:val="clear" w:color="auto" w:fill="FFFFFF"/>
            <w:vAlign w:val="center"/>
          </w:tcPr>
          <w:p w14:paraId="2A6B882C">
            <w:pPr>
              <w:pStyle w:val="59"/>
              <w:bidi w:val="0"/>
              <w:rPr>
                <w:rFonts w:hint="default"/>
                <w:b w:val="0"/>
                <w:color w:val="000000"/>
              </w:rPr>
            </w:pPr>
            <w:r>
              <w:rPr>
                <w:rFonts w:hint="default"/>
                <w:b w:val="0"/>
                <w:color w:val="000000"/>
                <w:lang w:val="en-US" w:eastAsia="zh-CN"/>
              </w:rPr>
              <w:t xml:space="preserve">47 </w:t>
            </w:r>
          </w:p>
        </w:tc>
        <w:tc>
          <w:tcPr>
            <w:tcW w:w="589" w:type="dxa"/>
            <w:vMerge w:val="continue"/>
            <w:shd w:val="clear" w:color="auto" w:fill="FFFFFF"/>
            <w:vAlign w:val="center"/>
          </w:tcPr>
          <w:p w14:paraId="3B32F86E">
            <w:pPr>
              <w:pStyle w:val="59"/>
              <w:bidi w:val="0"/>
              <w:rPr>
                <w:rFonts w:hint="default"/>
                <w:b w:val="0"/>
                <w:color w:val="000000"/>
              </w:rPr>
            </w:pPr>
          </w:p>
        </w:tc>
        <w:tc>
          <w:tcPr>
            <w:tcW w:w="900" w:type="dxa"/>
            <w:shd w:val="clear" w:color="auto" w:fill="FFFFFF"/>
            <w:vAlign w:val="center"/>
          </w:tcPr>
          <w:p w14:paraId="5DDB4198">
            <w:pPr>
              <w:pStyle w:val="59"/>
              <w:bidi w:val="0"/>
              <w:rPr>
                <w:rFonts w:hint="default"/>
                <w:b w:val="0"/>
                <w:color w:val="000000"/>
              </w:rPr>
            </w:pPr>
            <w:r>
              <w:rPr>
                <w:rFonts w:hint="default"/>
                <w:b w:val="0"/>
                <w:color w:val="000000"/>
                <w:lang w:val="en-US" w:eastAsia="zh-CN"/>
              </w:rPr>
              <w:t>25</w:t>
            </w:r>
          </w:p>
        </w:tc>
        <w:tc>
          <w:tcPr>
            <w:tcW w:w="604" w:type="dxa"/>
            <w:shd w:val="clear" w:color="auto" w:fill="FFFFFF"/>
            <w:vAlign w:val="center"/>
          </w:tcPr>
          <w:p w14:paraId="6EB2250E">
            <w:pPr>
              <w:pStyle w:val="59"/>
              <w:bidi w:val="0"/>
              <w:rPr>
                <w:rFonts w:hint="default"/>
                <w:b w:val="0"/>
                <w:color w:val="000000"/>
              </w:rPr>
            </w:pPr>
            <w:r>
              <w:rPr>
                <w:rFonts w:hint="default"/>
                <w:b w:val="0"/>
                <w:color w:val="000000"/>
                <w:lang w:val="en-US" w:eastAsia="zh-CN"/>
              </w:rPr>
              <w:t xml:space="preserve">26 </w:t>
            </w:r>
          </w:p>
        </w:tc>
        <w:tc>
          <w:tcPr>
            <w:tcW w:w="550" w:type="dxa"/>
            <w:shd w:val="clear" w:color="auto" w:fill="FFFFFF"/>
            <w:vAlign w:val="center"/>
          </w:tcPr>
          <w:p w14:paraId="5A6D8E60">
            <w:pPr>
              <w:pStyle w:val="59"/>
              <w:bidi w:val="0"/>
              <w:rPr>
                <w:rFonts w:hint="default"/>
                <w:b w:val="0"/>
                <w:color w:val="000000"/>
              </w:rPr>
            </w:pPr>
            <w:r>
              <w:rPr>
                <w:rFonts w:hint="default"/>
                <w:b w:val="0"/>
                <w:color w:val="000000"/>
                <w:lang w:val="en-US" w:eastAsia="zh-CN"/>
              </w:rPr>
              <w:t xml:space="preserve">31 </w:t>
            </w:r>
          </w:p>
        </w:tc>
        <w:tc>
          <w:tcPr>
            <w:tcW w:w="509" w:type="dxa"/>
            <w:shd w:val="clear" w:color="auto" w:fill="FFFFFF"/>
            <w:vAlign w:val="center"/>
          </w:tcPr>
          <w:p w14:paraId="3C7DEB17">
            <w:pPr>
              <w:pStyle w:val="59"/>
              <w:bidi w:val="0"/>
              <w:rPr>
                <w:rFonts w:hint="default"/>
                <w:b w:val="0"/>
                <w:color w:val="000000"/>
              </w:rPr>
            </w:pPr>
            <w:r>
              <w:rPr>
                <w:rFonts w:hint="default"/>
                <w:b w:val="0"/>
                <w:color w:val="000000"/>
                <w:lang w:val="en-US" w:eastAsia="zh-CN"/>
              </w:rPr>
              <w:t xml:space="preserve">26 </w:t>
            </w:r>
          </w:p>
        </w:tc>
        <w:tc>
          <w:tcPr>
            <w:tcW w:w="509" w:type="dxa"/>
            <w:shd w:val="clear" w:color="auto" w:fill="FFFFFF"/>
            <w:vAlign w:val="center"/>
          </w:tcPr>
          <w:p w14:paraId="1EAC7154">
            <w:pPr>
              <w:pStyle w:val="59"/>
              <w:bidi w:val="0"/>
              <w:rPr>
                <w:rFonts w:hint="default"/>
                <w:b w:val="0"/>
                <w:color w:val="000000"/>
              </w:rPr>
            </w:pPr>
            <w:r>
              <w:rPr>
                <w:rFonts w:hint="default"/>
                <w:b w:val="0"/>
                <w:color w:val="000000"/>
                <w:lang w:val="en-US" w:eastAsia="zh-CN"/>
              </w:rPr>
              <w:t xml:space="preserve">26 </w:t>
            </w:r>
          </w:p>
        </w:tc>
        <w:tc>
          <w:tcPr>
            <w:tcW w:w="673" w:type="dxa"/>
            <w:tcBorders>
              <w:right w:val="nil"/>
            </w:tcBorders>
            <w:shd w:val="clear" w:color="auto" w:fill="FFFFFF"/>
            <w:vAlign w:val="center"/>
          </w:tcPr>
          <w:p w14:paraId="42063F35">
            <w:pPr>
              <w:pStyle w:val="59"/>
              <w:bidi w:val="0"/>
              <w:rPr>
                <w:rFonts w:hint="default"/>
                <w:b w:val="0"/>
                <w:color w:val="000000"/>
              </w:rPr>
            </w:pPr>
            <w:r>
              <w:rPr>
                <w:rFonts w:hint="default"/>
                <w:b w:val="0"/>
                <w:color w:val="000000"/>
                <w:lang w:val="en-US" w:eastAsia="zh-CN"/>
              </w:rPr>
              <w:t>1</w:t>
            </w:r>
          </w:p>
        </w:tc>
      </w:tr>
      <w:tr w14:paraId="14EB9F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tcBorders>
            <w:shd w:val="clear" w:color="auto" w:fill="FFFFFF"/>
            <w:vAlign w:val="center"/>
          </w:tcPr>
          <w:p w14:paraId="1179FDA9">
            <w:pPr>
              <w:pStyle w:val="59"/>
              <w:bidi w:val="0"/>
              <w:rPr>
                <w:rFonts w:hint="eastAsia"/>
                <w:b w:val="0"/>
                <w:color w:val="000000"/>
              </w:rPr>
            </w:pPr>
            <w:r>
              <w:rPr>
                <w:rFonts w:hint="eastAsia"/>
                <w:b w:val="0"/>
                <w:color w:val="000000"/>
                <w:lang w:val="en-US" w:eastAsia="zh-CN"/>
              </w:rPr>
              <w:t>3</w:t>
            </w:r>
          </w:p>
        </w:tc>
        <w:tc>
          <w:tcPr>
            <w:tcW w:w="1573" w:type="dxa"/>
            <w:shd w:val="clear" w:color="auto" w:fill="FFFFFF"/>
            <w:vAlign w:val="center"/>
          </w:tcPr>
          <w:p w14:paraId="13535EFF">
            <w:pPr>
              <w:pStyle w:val="59"/>
              <w:bidi w:val="0"/>
              <w:rPr>
                <w:rFonts w:hint="eastAsia"/>
                <w:b w:val="0"/>
                <w:color w:val="000000"/>
              </w:rPr>
            </w:pPr>
            <w:r>
              <w:rPr>
                <w:rFonts w:hint="eastAsia"/>
                <w:b w:val="0"/>
                <w:color w:val="000000"/>
                <w:lang w:val="en-US" w:eastAsia="zh-CN"/>
              </w:rPr>
              <w:t>分切机</w:t>
            </w:r>
          </w:p>
        </w:tc>
        <w:tc>
          <w:tcPr>
            <w:tcW w:w="575" w:type="dxa"/>
            <w:shd w:val="clear" w:color="auto" w:fill="FFFFFF"/>
            <w:vAlign w:val="center"/>
          </w:tcPr>
          <w:p w14:paraId="6EC2DE20">
            <w:pPr>
              <w:pStyle w:val="59"/>
              <w:bidi w:val="0"/>
              <w:rPr>
                <w:rFonts w:hint="default"/>
                <w:b w:val="0"/>
                <w:color w:val="000000"/>
              </w:rPr>
            </w:pPr>
            <w:r>
              <w:rPr>
                <w:rFonts w:hint="default"/>
                <w:b w:val="0"/>
                <w:color w:val="000000"/>
                <w:lang w:val="en-US" w:eastAsia="zh-CN"/>
              </w:rPr>
              <w:t>/</w:t>
            </w:r>
          </w:p>
        </w:tc>
        <w:tc>
          <w:tcPr>
            <w:tcW w:w="929" w:type="dxa"/>
            <w:shd w:val="clear" w:color="auto" w:fill="FFFFFF"/>
            <w:vAlign w:val="center"/>
          </w:tcPr>
          <w:p w14:paraId="0C856126">
            <w:pPr>
              <w:pStyle w:val="59"/>
              <w:bidi w:val="0"/>
              <w:rPr>
                <w:rFonts w:hint="default"/>
                <w:b w:val="0"/>
                <w:color w:val="000000"/>
              </w:rPr>
            </w:pPr>
            <w:r>
              <w:rPr>
                <w:rFonts w:hint="default"/>
                <w:b w:val="0"/>
                <w:color w:val="000000"/>
                <w:lang w:val="en-US" w:eastAsia="zh-CN"/>
              </w:rPr>
              <w:t>80</w:t>
            </w:r>
          </w:p>
        </w:tc>
        <w:tc>
          <w:tcPr>
            <w:tcW w:w="650" w:type="dxa"/>
            <w:vMerge w:val="continue"/>
            <w:shd w:val="clear" w:color="auto" w:fill="FFFFFF"/>
            <w:vAlign w:val="center"/>
          </w:tcPr>
          <w:p w14:paraId="34C9EF1B">
            <w:pPr>
              <w:pStyle w:val="59"/>
              <w:bidi w:val="0"/>
              <w:rPr>
                <w:rFonts w:hint="eastAsia"/>
                <w:b w:val="0"/>
                <w:color w:val="000000"/>
              </w:rPr>
            </w:pPr>
          </w:p>
        </w:tc>
        <w:tc>
          <w:tcPr>
            <w:tcW w:w="492" w:type="dxa"/>
            <w:shd w:val="clear" w:color="auto" w:fill="FFFFFF"/>
            <w:vAlign w:val="center"/>
          </w:tcPr>
          <w:p w14:paraId="6E90E4A6">
            <w:pPr>
              <w:pStyle w:val="59"/>
              <w:bidi w:val="0"/>
              <w:rPr>
                <w:rFonts w:hint="default"/>
                <w:b w:val="0"/>
                <w:color w:val="000000"/>
              </w:rPr>
            </w:pPr>
            <w:r>
              <w:rPr>
                <w:rFonts w:hint="default"/>
                <w:b w:val="0"/>
                <w:color w:val="000000"/>
                <w:lang w:val="en-US" w:eastAsia="zh-CN"/>
              </w:rPr>
              <w:t>15</w:t>
            </w:r>
          </w:p>
        </w:tc>
        <w:tc>
          <w:tcPr>
            <w:tcW w:w="479" w:type="dxa"/>
            <w:shd w:val="clear" w:color="auto" w:fill="FFFFFF"/>
            <w:vAlign w:val="center"/>
          </w:tcPr>
          <w:p w14:paraId="2F92FCD6">
            <w:pPr>
              <w:pStyle w:val="59"/>
              <w:bidi w:val="0"/>
              <w:rPr>
                <w:rFonts w:hint="default"/>
                <w:b w:val="0"/>
                <w:color w:val="000000"/>
              </w:rPr>
            </w:pPr>
            <w:r>
              <w:rPr>
                <w:rFonts w:hint="default"/>
                <w:b w:val="0"/>
                <w:color w:val="000000"/>
                <w:lang w:val="en-US" w:eastAsia="zh-CN"/>
              </w:rPr>
              <w:t>10</w:t>
            </w:r>
          </w:p>
        </w:tc>
        <w:tc>
          <w:tcPr>
            <w:tcW w:w="436" w:type="dxa"/>
            <w:shd w:val="clear" w:color="auto" w:fill="FFFFFF"/>
            <w:vAlign w:val="center"/>
          </w:tcPr>
          <w:p w14:paraId="5297CAED">
            <w:pPr>
              <w:pStyle w:val="59"/>
              <w:bidi w:val="0"/>
              <w:rPr>
                <w:rFonts w:hint="default"/>
                <w:b w:val="0"/>
                <w:color w:val="000000"/>
              </w:rPr>
            </w:pPr>
            <w:r>
              <w:rPr>
                <w:rFonts w:hint="default"/>
                <w:b w:val="0"/>
                <w:color w:val="000000"/>
                <w:lang w:val="en-US" w:eastAsia="zh-CN"/>
              </w:rPr>
              <w:t>6</w:t>
            </w:r>
          </w:p>
        </w:tc>
        <w:tc>
          <w:tcPr>
            <w:tcW w:w="521" w:type="dxa"/>
            <w:shd w:val="clear" w:color="auto" w:fill="FFFFFF"/>
            <w:vAlign w:val="center"/>
          </w:tcPr>
          <w:p w14:paraId="0895ECE6">
            <w:pPr>
              <w:pStyle w:val="59"/>
              <w:bidi w:val="0"/>
              <w:rPr>
                <w:rFonts w:hint="default"/>
                <w:b w:val="0"/>
                <w:color w:val="000000"/>
              </w:rPr>
            </w:pPr>
            <w:r>
              <w:rPr>
                <w:rFonts w:hint="default"/>
                <w:b w:val="0"/>
                <w:color w:val="000000"/>
                <w:lang w:val="en-US" w:eastAsia="zh-CN"/>
              </w:rPr>
              <w:t xml:space="preserve">10 </w:t>
            </w:r>
          </w:p>
        </w:tc>
        <w:tc>
          <w:tcPr>
            <w:tcW w:w="645" w:type="dxa"/>
            <w:shd w:val="clear" w:color="auto" w:fill="FFFFFF"/>
            <w:vAlign w:val="center"/>
          </w:tcPr>
          <w:p w14:paraId="3F70D2C0">
            <w:pPr>
              <w:pStyle w:val="59"/>
              <w:bidi w:val="0"/>
              <w:rPr>
                <w:rFonts w:hint="default"/>
                <w:b w:val="0"/>
                <w:color w:val="000000"/>
              </w:rPr>
            </w:pPr>
            <w:r>
              <w:rPr>
                <w:rFonts w:hint="default"/>
                <w:b w:val="0"/>
                <w:color w:val="000000"/>
                <w:lang w:val="en-US" w:eastAsia="zh-CN"/>
              </w:rPr>
              <w:t xml:space="preserve">41 </w:t>
            </w:r>
          </w:p>
        </w:tc>
        <w:tc>
          <w:tcPr>
            <w:tcW w:w="426" w:type="dxa"/>
            <w:shd w:val="clear" w:color="auto" w:fill="FFFFFF"/>
            <w:vAlign w:val="center"/>
          </w:tcPr>
          <w:p w14:paraId="625086EF">
            <w:pPr>
              <w:pStyle w:val="59"/>
              <w:bidi w:val="0"/>
              <w:rPr>
                <w:rFonts w:hint="default"/>
                <w:b w:val="0"/>
                <w:color w:val="000000"/>
              </w:rPr>
            </w:pPr>
            <w:r>
              <w:rPr>
                <w:rFonts w:hint="default"/>
                <w:b w:val="0"/>
                <w:color w:val="000000"/>
                <w:lang w:val="en-US" w:eastAsia="zh-CN"/>
              </w:rPr>
              <w:t xml:space="preserve">52 </w:t>
            </w:r>
          </w:p>
        </w:tc>
        <w:tc>
          <w:tcPr>
            <w:tcW w:w="465" w:type="dxa"/>
            <w:shd w:val="clear" w:color="auto" w:fill="FFFFFF"/>
            <w:vAlign w:val="center"/>
          </w:tcPr>
          <w:p w14:paraId="667BE3DA">
            <w:pPr>
              <w:pStyle w:val="59"/>
              <w:bidi w:val="0"/>
              <w:rPr>
                <w:rFonts w:hint="default"/>
                <w:b w:val="0"/>
                <w:color w:val="000000"/>
              </w:rPr>
            </w:pPr>
            <w:r>
              <w:rPr>
                <w:rFonts w:hint="default"/>
                <w:b w:val="0"/>
                <w:color w:val="000000"/>
                <w:lang w:val="en-US" w:eastAsia="zh-CN"/>
              </w:rPr>
              <w:t xml:space="preserve">2 </w:t>
            </w:r>
          </w:p>
        </w:tc>
        <w:tc>
          <w:tcPr>
            <w:tcW w:w="715" w:type="dxa"/>
            <w:shd w:val="clear" w:color="auto" w:fill="FFFFFF"/>
            <w:vAlign w:val="center"/>
          </w:tcPr>
          <w:p w14:paraId="2A39B951">
            <w:pPr>
              <w:pStyle w:val="59"/>
              <w:bidi w:val="0"/>
              <w:rPr>
                <w:rFonts w:hint="default"/>
                <w:b w:val="0"/>
                <w:color w:val="000000"/>
              </w:rPr>
            </w:pPr>
            <w:r>
              <w:rPr>
                <w:rFonts w:hint="default"/>
                <w:b w:val="0"/>
                <w:color w:val="000000"/>
                <w:lang w:val="en-US" w:eastAsia="zh-CN"/>
              </w:rPr>
              <w:t xml:space="preserve">52 </w:t>
            </w:r>
          </w:p>
        </w:tc>
        <w:tc>
          <w:tcPr>
            <w:tcW w:w="660" w:type="dxa"/>
            <w:shd w:val="clear" w:color="auto" w:fill="FFFFFF"/>
            <w:vAlign w:val="center"/>
          </w:tcPr>
          <w:p w14:paraId="053242BA">
            <w:pPr>
              <w:pStyle w:val="59"/>
              <w:bidi w:val="0"/>
              <w:rPr>
                <w:rFonts w:hint="default"/>
                <w:b w:val="0"/>
                <w:color w:val="000000"/>
              </w:rPr>
            </w:pPr>
            <w:r>
              <w:rPr>
                <w:rFonts w:hint="default"/>
                <w:b w:val="0"/>
                <w:color w:val="000000"/>
                <w:lang w:val="en-US" w:eastAsia="zh-CN"/>
              </w:rPr>
              <w:t xml:space="preserve">50 </w:t>
            </w:r>
          </w:p>
        </w:tc>
        <w:tc>
          <w:tcPr>
            <w:tcW w:w="496" w:type="dxa"/>
            <w:shd w:val="clear" w:color="auto" w:fill="FFFFFF"/>
            <w:vAlign w:val="center"/>
          </w:tcPr>
          <w:p w14:paraId="2089821F">
            <w:pPr>
              <w:pStyle w:val="59"/>
              <w:bidi w:val="0"/>
              <w:rPr>
                <w:rFonts w:hint="default"/>
                <w:b w:val="0"/>
                <w:color w:val="000000"/>
              </w:rPr>
            </w:pPr>
            <w:r>
              <w:rPr>
                <w:rFonts w:hint="default"/>
                <w:b w:val="0"/>
                <w:color w:val="000000"/>
                <w:lang w:val="en-US" w:eastAsia="zh-CN"/>
              </w:rPr>
              <w:t xml:space="preserve">50 </w:t>
            </w:r>
          </w:p>
        </w:tc>
        <w:tc>
          <w:tcPr>
            <w:tcW w:w="522" w:type="dxa"/>
            <w:shd w:val="clear" w:color="auto" w:fill="FFFFFF"/>
            <w:vAlign w:val="center"/>
          </w:tcPr>
          <w:p w14:paraId="0CBFAFAA">
            <w:pPr>
              <w:pStyle w:val="59"/>
              <w:bidi w:val="0"/>
              <w:rPr>
                <w:rFonts w:hint="default"/>
                <w:b w:val="0"/>
                <w:color w:val="000000"/>
              </w:rPr>
            </w:pPr>
            <w:r>
              <w:rPr>
                <w:rFonts w:hint="default"/>
                <w:b w:val="0"/>
                <w:color w:val="000000"/>
                <w:lang w:val="en-US" w:eastAsia="zh-CN"/>
              </w:rPr>
              <w:t xml:space="preserve">63 </w:t>
            </w:r>
          </w:p>
        </w:tc>
        <w:tc>
          <w:tcPr>
            <w:tcW w:w="589" w:type="dxa"/>
            <w:vMerge w:val="continue"/>
            <w:shd w:val="clear" w:color="auto" w:fill="FFFFFF"/>
            <w:vAlign w:val="center"/>
          </w:tcPr>
          <w:p w14:paraId="62AB2F01">
            <w:pPr>
              <w:pStyle w:val="59"/>
              <w:bidi w:val="0"/>
              <w:rPr>
                <w:rFonts w:hint="default"/>
                <w:b w:val="0"/>
                <w:color w:val="000000"/>
              </w:rPr>
            </w:pPr>
          </w:p>
        </w:tc>
        <w:tc>
          <w:tcPr>
            <w:tcW w:w="900" w:type="dxa"/>
            <w:shd w:val="clear" w:color="auto" w:fill="FFFFFF"/>
            <w:vAlign w:val="center"/>
          </w:tcPr>
          <w:p w14:paraId="087E7B38">
            <w:pPr>
              <w:pStyle w:val="59"/>
              <w:bidi w:val="0"/>
              <w:rPr>
                <w:rFonts w:hint="default"/>
                <w:b w:val="0"/>
                <w:color w:val="000000"/>
              </w:rPr>
            </w:pPr>
            <w:r>
              <w:rPr>
                <w:rFonts w:hint="default"/>
                <w:b w:val="0"/>
                <w:color w:val="000000"/>
                <w:lang w:val="en-US" w:eastAsia="zh-CN"/>
              </w:rPr>
              <w:t>25</w:t>
            </w:r>
          </w:p>
        </w:tc>
        <w:tc>
          <w:tcPr>
            <w:tcW w:w="604" w:type="dxa"/>
            <w:shd w:val="clear" w:color="auto" w:fill="FFFFFF"/>
            <w:vAlign w:val="center"/>
          </w:tcPr>
          <w:p w14:paraId="22151A99">
            <w:pPr>
              <w:pStyle w:val="59"/>
              <w:bidi w:val="0"/>
              <w:rPr>
                <w:rFonts w:hint="default"/>
                <w:b w:val="0"/>
                <w:color w:val="000000"/>
              </w:rPr>
            </w:pPr>
            <w:r>
              <w:rPr>
                <w:rFonts w:hint="default"/>
                <w:b w:val="0"/>
                <w:color w:val="000000"/>
                <w:lang w:val="en-US" w:eastAsia="zh-CN"/>
              </w:rPr>
              <w:t xml:space="preserve">32 </w:t>
            </w:r>
          </w:p>
        </w:tc>
        <w:tc>
          <w:tcPr>
            <w:tcW w:w="550" w:type="dxa"/>
            <w:shd w:val="clear" w:color="auto" w:fill="FFFFFF"/>
            <w:vAlign w:val="center"/>
          </w:tcPr>
          <w:p w14:paraId="2FC10CED">
            <w:pPr>
              <w:pStyle w:val="59"/>
              <w:bidi w:val="0"/>
              <w:rPr>
                <w:rFonts w:hint="default"/>
                <w:b w:val="0"/>
                <w:color w:val="000000"/>
              </w:rPr>
            </w:pPr>
            <w:r>
              <w:rPr>
                <w:rFonts w:hint="default"/>
                <w:b w:val="0"/>
                <w:color w:val="000000"/>
                <w:lang w:val="en-US" w:eastAsia="zh-CN"/>
              </w:rPr>
              <w:t xml:space="preserve">29 </w:t>
            </w:r>
          </w:p>
        </w:tc>
        <w:tc>
          <w:tcPr>
            <w:tcW w:w="509" w:type="dxa"/>
            <w:shd w:val="clear" w:color="auto" w:fill="FFFFFF"/>
            <w:vAlign w:val="center"/>
          </w:tcPr>
          <w:p w14:paraId="567D11CA">
            <w:pPr>
              <w:pStyle w:val="59"/>
              <w:bidi w:val="0"/>
              <w:rPr>
                <w:rFonts w:hint="default"/>
                <w:b w:val="0"/>
                <w:color w:val="000000"/>
              </w:rPr>
            </w:pPr>
            <w:r>
              <w:rPr>
                <w:rFonts w:hint="default"/>
                <w:b w:val="0"/>
                <w:color w:val="000000"/>
                <w:lang w:val="en-US" w:eastAsia="zh-CN"/>
              </w:rPr>
              <w:t xml:space="preserve">29 </w:t>
            </w:r>
          </w:p>
        </w:tc>
        <w:tc>
          <w:tcPr>
            <w:tcW w:w="509" w:type="dxa"/>
            <w:shd w:val="clear" w:color="auto" w:fill="FFFFFF"/>
            <w:vAlign w:val="center"/>
          </w:tcPr>
          <w:p w14:paraId="14B82554">
            <w:pPr>
              <w:pStyle w:val="59"/>
              <w:bidi w:val="0"/>
              <w:rPr>
                <w:rFonts w:hint="default"/>
                <w:b w:val="0"/>
                <w:color w:val="000000"/>
              </w:rPr>
            </w:pPr>
            <w:r>
              <w:rPr>
                <w:rFonts w:hint="default"/>
                <w:b w:val="0"/>
                <w:color w:val="000000"/>
                <w:lang w:val="en-US" w:eastAsia="zh-CN"/>
              </w:rPr>
              <w:t xml:space="preserve">43 </w:t>
            </w:r>
          </w:p>
        </w:tc>
        <w:tc>
          <w:tcPr>
            <w:tcW w:w="673" w:type="dxa"/>
            <w:tcBorders>
              <w:right w:val="nil"/>
            </w:tcBorders>
            <w:shd w:val="clear" w:color="auto" w:fill="FFFFFF"/>
            <w:vAlign w:val="center"/>
          </w:tcPr>
          <w:p w14:paraId="5492B900">
            <w:pPr>
              <w:pStyle w:val="59"/>
              <w:bidi w:val="0"/>
              <w:rPr>
                <w:rFonts w:hint="default"/>
                <w:b w:val="0"/>
                <w:color w:val="000000"/>
              </w:rPr>
            </w:pPr>
            <w:r>
              <w:rPr>
                <w:rFonts w:hint="default"/>
                <w:b w:val="0"/>
                <w:color w:val="000000"/>
                <w:lang w:val="en-US" w:eastAsia="zh-CN"/>
              </w:rPr>
              <w:t>1</w:t>
            </w:r>
          </w:p>
        </w:tc>
      </w:tr>
      <w:tr w14:paraId="198E326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tcBorders>
            <w:shd w:val="clear" w:color="auto" w:fill="FFFFFF"/>
            <w:vAlign w:val="center"/>
          </w:tcPr>
          <w:p w14:paraId="165C2456">
            <w:pPr>
              <w:pStyle w:val="59"/>
              <w:bidi w:val="0"/>
              <w:rPr>
                <w:rFonts w:hint="eastAsia"/>
                <w:b w:val="0"/>
                <w:color w:val="000000"/>
              </w:rPr>
            </w:pPr>
            <w:r>
              <w:rPr>
                <w:rFonts w:hint="eastAsia"/>
                <w:b w:val="0"/>
                <w:color w:val="000000"/>
                <w:lang w:val="en-US" w:eastAsia="zh-CN"/>
              </w:rPr>
              <w:t>4</w:t>
            </w:r>
          </w:p>
        </w:tc>
        <w:tc>
          <w:tcPr>
            <w:tcW w:w="1573" w:type="dxa"/>
            <w:shd w:val="clear" w:color="auto" w:fill="FFFFFF"/>
            <w:vAlign w:val="center"/>
          </w:tcPr>
          <w:p w14:paraId="6E159D6B">
            <w:pPr>
              <w:pStyle w:val="59"/>
              <w:bidi w:val="0"/>
              <w:rPr>
                <w:rFonts w:hint="eastAsia"/>
                <w:b w:val="0"/>
                <w:color w:val="000000"/>
              </w:rPr>
            </w:pPr>
            <w:r>
              <w:rPr>
                <w:rFonts w:hint="eastAsia"/>
                <w:b w:val="0"/>
                <w:color w:val="000000"/>
                <w:lang w:val="en-US" w:eastAsia="zh-CN"/>
              </w:rPr>
              <w:t>胶水搅拌机</w:t>
            </w:r>
          </w:p>
        </w:tc>
        <w:tc>
          <w:tcPr>
            <w:tcW w:w="575" w:type="dxa"/>
            <w:shd w:val="clear" w:color="auto" w:fill="FFFFFF"/>
            <w:vAlign w:val="center"/>
          </w:tcPr>
          <w:p w14:paraId="71F58391">
            <w:pPr>
              <w:pStyle w:val="59"/>
              <w:bidi w:val="0"/>
              <w:rPr>
                <w:rFonts w:hint="default"/>
                <w:b w:val="0"/>
                <w:color w:val="000000"/>
              </w:rPr>
            </w:pPr>
            <w:r>
              <w:rPr>
                <w:rFonts w:hint="default"/>
                <w:b w:val="0"/>
                <w:color w:val="000000"/>
                <w:lang w:val="en-US" w:eastAsia="zh-CN"/>
              </w:rPr>
              <w:t>/</w:t>
            </w:r>
          </w:p>
        </w:tc>
        <w:tc>
          <w:tcPr>
            <w:tcW w:w="929" w:type="dxa"/>
            <w:shd w:val="clear" w:color="auto" w:fill="FFFFFF"/>
            <w:vAlign w:val="center"/>
          </w:tcPr>
          <w:p w14:paraId="58241286">
            <w:pPr>
              <w:pStyle w:val="59"/>
              <w:bidi w:val="0"/>
              <w:rPr>
                <w:rFonts w:hint="default"/>
                <w:b w:val="0"/>
                <w:color w:val="000000"/>
              </w:rPr>
            </w:pPr>
            <w:r>
              <w:rPr>
                <w:rFonts w:hint="default"/>
                <w:b w:val="0"/>
                <w:color w:val="000000"/>
                <w:lang w:val="en-US" w:eastAsia="zh-CN"/>
              </w:rPr>
              <w:t>80</w:t>
            </w:r>
          </w:p>
        </w:tc>
        <w:tc>
          <w:tcPr>
            <w:tcW w:w="650" w:type="dxa"/>
            <w:vMerge w:val="continue"/>
            <w:shd w:val="clear" w:color="auto" w:fill="FFFFFF"/>
            <w:vAlign w:val="center"/>
          </w:tcPr>
          <w:p w14:paraId="45FC9270">
            <w:pPr>
              <w:pStyle w:val="59"/>
              <w:bidi w:val="0"/>
              <w:rPr>
                <w:rFonts w:hint="eastAsia"/>
                <w:b w:val="0"/>
                <w:color w:val="000000"/>
              </w:rPr>
            </w:pPr>
          </w:p>
        </w:tc>
        <w:tc>
          <w:tcPr>
            <w:tcW w:w="492" w:type="dxa"/>
            <w:shd w:val="clear" w:color="auto" w:fill="FFFFFF"/>
            <w:vAlign w:val="center"/>
          </w:tcPr>
          <w:p w14:paraId="1E5C1917">
            <w:pPr>
              <w:pStyle w:val="59"/>
              <w:bidi w:val="0"/>
              <w:rPr>
                <w:rFonts w:hint="default"/>
                <w:b w:val="0"/>
                <w:color w:val="000000"/>
              </w:rPr>
            </w:pPr>
            <w:r>
              <w:rPr>
                <w:rFonts w:hint="default"/>
                <w:b w:val="0"/>
                <w:color w:val="000000"/>
                <w:lang w:val="en-US" w:eastAsia="zh-CN"/>
              </w:rPr>
              <w:t>10</w:t>
            </w:r>
          </w:p>
        </w:tc>
        <w:tc>
          <w:tcPr>
            <w:tcW w:w="479" w:type="dxa"/>
            <w:shd w:val="clear" w:color="auto" w:fill="FFFFFF"/>
            <w:vAlign w:val="center"/>
          </w:tcPr>
          <w:p w14:paraId="68B7D8B8">
            <w:pPr>
              <w:pStyle w:val="59"/>
              <w:bidi w:val="0"/>
              <w:rPr>
                <w:rFonts w:hint="default"/>
                <w:b w:val="0"/>
                <w:color w:val="000000"/>
              </w:rPr>
            </w:pPr>
            <w:r>
              <w:rPr>
                <w:rFonts w:hint="default"/>
                <w:b w:val="0"/>
                <w:color w:val="000000"/>
                <w:lang w:val="en-US" w:eastAsia="zh-CN"/>
              </w:rPr>
              <w:t>5</w:t>
            </w:r>
          </w:p>
        </w:tc>
        <w:tc>
          <w:tcPr>
            <w:tcW w:w="436" w:type="dxa"/>
            <w:shd w:val="clear" w:color="auto" w:fill="FFFFFF"/>
            <w:vAlign w:val="center"/>
          </w:tcPr>
          <w:p w14:paraId="4E46A535">
            <w:pPr>
              <w:pStyle w:val="59"/>
              <w:bidi w:val="0"/>
              <w:rPr>
                <w:rFonts w:hint="default"/>
                <w:b w:val="0"/>
                <w:color w:val="000000"/>
              </w:rPr>
            </w:pPr>
            <w:r>
              <w:rPr>
                <w:rFonts w:hint="default"/>
                <w:b w:val="0"/>
                <w:color w:val="000000"/>
                <w:lang w:val="en-US" w:eastAsia="zh-CN"/>
              </w:rPr>
              <w:t>1</w:t>
            </w:r>
          </w:p>
        </w:tc>
        <w:tc>
          <w:tcPr>
            <w:tcW w:w="521" w:type="dxa"/>
            <w:shd w:val="clear" w:color="auto" w:fill="FFFFFF"/>
            <w:vAlign w:val="center"/>
          </w:tcPr>
          <w:p w14:paraId="201EF5C5">
            <w:pPr>
              <w:pStyle w:val="59"/>
              <w:bidi w:val="0"/>
              <w:rPr>
                <w:rFonts w:hint="default"/>
                <w:b w:val="0"/>
                <w:color w:val="000000"/>
              </w:rPr>
            </w:pPr>
            <w:r>
              <w:rPr>
                <w:rFonts w:hint="default"/>
                <w:b w:val="0"/>
                <w:color w:val="000000"/>
                <w:lang w:val="en-US" w:eastAsia="zh-CN"/>
              </w:rPr>
              <w:t xml:space="preserve">5 </w:t>
            </w:r>
          </w:p>
        </w:tc>
        <w:tc>
          <w:tcPr>
            <w:tcW w:w="645" w:type="dxa"/>
            <w:shd w:val="clear" w:color="auto" w:fill="FFFFFF"/>
            <w:vAlign w:val="center"/>
          </w:tcPr>
          <w:p w14:paraId="029DCAF3">
            <w:pPr>
              <w:pStyle w:val="59"/>
              <w:bidi w:val="0"/>
              <w:rPr>
                <w:rFonts w:hint="default"/>
                <w:b w:val="0"/>
                <w:color w:val="000000"/>
              </w:rPr>
            </w:pPr>
            <w:r>
              <w:rPr>
                <w:rFonts w:hint="default"/>
                <w:b w:val="0"/>
                <w:color w:val="000000"/>
                <w:lang w:val="en-US" w:eastAsia="zh-CN"/>
              </w:rPr>
              <w:t xml:space="preserve">15 </w:t>
            </w:r>
          </w:p>
        </w:tc>
        <w:tc>
          <w:tcPr>
            <w:tcW w:w="426" w:type="dxa"/>
            <w:shd w:val="clear" w:color="auto" w:fill="FFFFFF"/>
            <w:vAlign w:val="center"/>
          </w:tcPr>
          <w:p w14:paraId="220ECB2D">
            <w:pPr>
              <w:pStyle w:val="59"/>
              <w:bidi w:val="0"/>
              <w:rPr>
                <w:rFonts w:hint="default"/>
                <w:b w:val="0"/>
                <w:color w:val="000000"/>
              </w:rPr>
            </w:pPr>
            <w:r>
              <w:rPr>
                <w:rFonts w:hint="default"/>
                <w:b w:val="0"/>
                <w:color w:val="000000"/>
                <w:lang w:val="en-US" w:eastAsia="zh-CN"/>
              </w:rPr>
              <w:t xml:space="preserve">20 </w:t>
            </w:r>
          </w:p>
        </w:tc>
        <w:tc>
          <w:tcPr>
            <w:tcW w:w="465" w:type="dxa"/>
            <w:shd w:val="clear" w:color="auto" w:fill="FFFFFF"/>
            <w:vAlign w:val="center"/>
          </w:tcPr>
          <w:p w14:paraId="5F980978">
            <w:pPr>
              <w:pStyle w:val="59"/>
              <w:bidi w:val="0"/>
              <w:rPr>
                <w:rFonts w:hint="default"/>
                <w:b w:val="0"/>
                <w:color w:val="000000"/>
              </w:rPr>
            </w:pPr>
            <w:r>
              <w:rPr>
                <w:rFonts w:hint="default"/>
                <w:b w:val="0"/>
                <w:color w:val="000000"/>
                <w:lang w:val="en-US" w:eastAsia="zh-CN"/>
              </w:rPr>
              <w:t xml:space="preserve">21 </w:t>
            </w:r>
          </w:p>
        </w:tc>
        <w:tc>
          <w:tcPr>
            <w:tcW w:w="715" w:type="dxa"/>
            <w:shd w:val="clear" w:color="auto" w:fill="FFFFFF"/>
            <w:vAlign w:val="center"/>
          </w:tcPr>
          <w:p w14:paraId="2876C2A3">
            <w:pPr>
              <w:pStyle w:val="59"/>
              <w:bidi w:val="0"/>
              <w:rPr>
                <w:rFonts w:hint="default"/>
                <w:b w:val="0"/>
                <w:color w:val="000000"/>
              </w:rPr>
            </w:pPr>
            <w:r>
              <w:rPr>
                <w:rFonts w:hint="default"/>
                <w:b w:val="0"/>
                <w:color w:val="000000"/>
                <w:lang w:val="en-US" w:eastAsia="zh-CN"/>
              </w:rPr>
              <w:t xml:space="preserve">56 </w:t>
            </w:r>
          </w:p>
        </w:tc>
        <w:tc>
          <w:tcPr>
            <w:tcW w:w="660" w:type="dxa"/>
            <w:shd w:val="clear" w:color="auto" w:fill="FFFFFF"/>
            <w:vAlign w:val="center"/>
          </w:tcPr>
          <w:p w14:paraId="7854F5A7">
            <w:pPr>
              <w:pStyle w:val="59"/>
              <w:bidi w:val="0"/>
              <w:rPr>
                <w:rFonts w:hint="default"/>
                <w:b w:val="0"/>
                <w:color w:val="000000"/>
              </w:rPr>
            </w:pPr>
            <w:r>
              <w:rPr>
                <w:rFonts w:hint="default"/>
                <w:b w:val="0"/>
                <w:color w:val="000000"/>
                <w:lang w:val="en-US" w:eastAsia="zh-CN"/>
              </w:rPr>
              <w:t xml:space="preserve">51 </w:t>
            </w:r>
          </w:p>
        </w:tc>
        <w:tc>
          <w:tcPr>
            <w:tcW w:w="496" w:type="dxa"/>
            <w:shd w:val="clear" w:color="auto" w:fill="FFFFFF"/>
            <w:vAlign w:val="center"/>
          </w:tcPr>
          <w:p w14:paraId="762F5BF1">
            <w:pPr>
              <w:pStyle w:val="59"/>
              <w:bidi w:val="0"/>
              <w:rPr>
                <w:rFonts w:hint="default"/>
                <w:b w:val="0"/>
                <w:color w:val="000000"/>
              </w:rPr>
            </w:pPr>
            <w:r>
              <w:rPr>
                <w:rFonts w:hint="default"/>
                <w:b w:val="0"/>
                <w:color w:val="000000"/>
                <w:lang w:val="en-US" w:eastAsia="zh-CN"/>
              </w:rPr>
              <w:t xml:space="preserve">50 </w:t>
            </w:r>
          </w:p>
        </w:tc>
        <w:tc>
          <w:tcPr>
            <w:tcW w:w="522" w:type="dxa"/>
            <w:shd w:val="clear" w:color="auto" w:fill="FFFFFF"/>
            <w:vAlign w:val="center"/>
          </w:tcPr>
          <w:p w14:paraId="65C8E965">
            <w:pPr>
              <w:pStyle w:val="59"/>
              <w:bidi w:val="0"/>
              <w:rPr>
                <w:rFonts w:hint="default"/>
                <w:b w:val="0"/>
                <w:color w:val="000000"/>
              </w:rPr>
            </w:pPr>
            <w:r>
              <w:rPr>
                <w:rFonts w:hint="default"/>
                <w:b w:val="0"/>
                <w:color w:val="000000"/>
                <w:lang w:val="en-US" w:eastAsia="zh-CN"/>
              </w:rPr>
              <w:t xml:space="preserve">50 </w:t>
            </w:r>
          </w:p>
        </w:tc>
        <w:tc>
          <w:tcPr>
            <w:tcW w:w="589" w:type="dxa"/>
            <w:vMerge w:val="continue"/>
            <w:shd w:val="clear" w:color="auto" w:fill="FFFFFF"/>
            <w:vAlign w:val="center"/>
          </w:tcPr>
          <w:p w14:paraId="630FE114">
            <w:pPr>
              <w:pStyle w:val="59"/>
              <w:bidi w:val="0"/>
              <w:rPr>
                <w:rFonts w:hint="default"/>
                <w:b w:val="0"/>
                <w:color w:val="000000"/>
              </w:rPr>
            </w:pPr>
          </w:p>
        </w:tc>
        <w:tc>
          <w:tcPr>
            <w:tcW w:w="900" w:type="dxa"/>
            <w:shd w:val="clear" w:color="auto" w:fill="FFFFFF"/>
            <w:vAlign w:val="center"/>
          </w:tcPr>
          <w:p w14:paraId="2729834B">
            <w:pPr>
              <w:pStyle w:val="59"/>
              <w:bidi w:val="0"/>
              <w:rPr>
                <w:rFonts w:hint="default"/>
                <w:b w:val="0"/>
                <w:color w:val="000000"/>
              </w:rPr>
            </w:pPr>
            <w:r>
              <w:rPr>
                <w:rFonts w:hint="default"/>
                <w:b w:val="0"/>
                <w:color w:val="000000"/>
                <w:lang w:val="en-US" w:eastAsia="zh-CN"/>
              </w:rPr>
              <w:t>25</w:t>
            </w:r>
          </w:p>
        </w:tc>
        <w:tc>
          <w:tcPr>
            <w:tcW w:w="604" w:type="dxa"/>
            <w:shd w:val="clear" w:color="auto" w:fill="FFFFFF"/>
            <w:vAlign w:val="center"/>
          </w:tcPr>
          <w:p w14:paraId="479B79DA">
            <w:pPr>
              <w:pStyle w:val="59"/>
              <w:bidi w:val="0"/>
              <w:rPr>
                <w:rFonts w:hint="default"/>
                <w:b w:val="0"/>
                <w:color w:val="000000"/>
              </w:rPr>
            </w:pPr>
            <w:r>
              <w:rPr>
                <w:rFonts w:hint="default"/>
                <w:b w:val="0"/>
                <w:color w:val="000000"/>
                <w:lang w:val="en-US" w:eastAsia="zh-CN"/>
              </w:rPr>
              <w:t xml:space="preserve">36 </w:t>
            </w:r>
          </w:p>
        </w:tc>
        <w:tc>
          <w:tcPr>
            <w:tcW w:w="550" w:type="dxa"/>
            <w:shd w:val="clear" w:color="auto" w:fill="FFFFFF"/>
            <w:vAlign w:val="center"/>
          </w:tcPr>
          <w:p w14:paraId="29E1D644">
            <w:pPr>
              <w:pStyle w:val="59"/>
              <w:bidi w:val="0"/>
              <w:rPr>
                <w:rFonts w:hint="default"/>
                <w:b w:val="0"/>
                <w:color w:val="000000"/>
              </w:rPr>
            </w:pPr>
            <w:r>
              <w:rPr>
                <w:rFonts w:hint="default"/>
                <w:b w:val="0"/>
                <w:color w:val="000000"/>
                <w:lang w:val="en-US" w:eastAsia="zh-CN"/>
              </w:rPr>
              <w:t xml:space="preserve">31 </w:t>
            </w:r>
          </w:p>
        </w:tc>
        <w:tc>
          <w:tcPr>
            <w:tcW w:w="509" w:type="dxa"/>
            <w:shd w:val="clear" w:color="auto" w:fill="FFFFFF"/>
            <w:vAlign w:val="center"/>
          </w:tcPr>
          <w:p w14:paraId="4CC7F845">
            <w:pPr>
              <w:pStyle w:val="59"/>
              <w:bidi w:val="0"/>
              <w:rPr>
                <w:rFonts w:hint="default"/>
                <w:b w:val="0"/>
                <w:color w:val="000000"/>
              </w:rPr>
            </w:pPr>
            <w:r>
              <w:rPr>
                <w:rFonts w:hint="default"/>
                <w:b w:val="0"/>
                <w:color w:val="000000"/>
                <w:lang w:val="en-US" w:eastAsia="zh-CN"/>
              </w:rPr>
              <w:t xml:space="preserve">30 </w:t>
            </w:r>
          </w:p>
        </w:tc>
        <w:tc>
          <w:tcPr>
            <w:tcW w:w="509" w:type="dxa"/>
            <w:shd w:val="clear" w:color="auto" w:fill="FFFFFF"/>
            <w:vAlign w:val="center"/>
          </w:tcPr>
          <w:p w14:paraId="748AD968">
            <w:pPr>
              <w:pStyle w:val="59"/>
              <w:bidi w:val="0"/>
              <w:rPr>
                <w:rFonts w:hint="default"/>
                <w:b w:val="0"/>
                <w:color w:val="000000"/>
              </w:rPr>
            </w:pPr>
            <w:r>
              <w:rPr>
                <w:rFonts w:hint="default"/>
                <w:b w:val="0"/>
                <w:color w:val="000000"/>
                <w:lang w:val="en-US" w:eastAsia="zh-CN"/>
              </w:rPr>
              <w:t xml:space="preserve">30 </w:t>
            </w:r>
          </w:p>
        </w:tc>
        <w:tc>
          <w:tcPr>
            <w:tcW w:w="673" w:type="dxa"/>
            <w:tcBorders>
              <w:right w:val="nil"/>
            </w:tcBorders>
            <w:shd w:val="clear" w:color="auto" w:fill="FFFFFF"/>
            <w:vAlign w:val="center"/>
          </w:tcPr>
          <w:p w14:paraId="22514579">
            <w:pPr>
              <w:pStyle w:val="59"/>
              <w:bidi w:val="0"/>
              <w:rPr>
                <w:rFonts w:hint="default"/>
                <w:b w:val="0"/>
                <w:color w:val="000000"/>
              </w:rPr>
            </w:pPr>
            <w:r>
              <w:rPr>
                <w:rFonts w:hint="default"/>
                <w:b w:val="0"/>
                <w:color w:val="000000"/>
                <w:lang w:val="en-US" w:eastAsia="zh-CN"/>
              </w:rPr>
              <w:t>1</w:t>
            </w:r>
          </w:p>
        </w:tc>
      </w:tr>
      <w:tr w14:paraId="3DBF565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tcBorders>
            <w:shd w:val="clear" w:color="auto" w:fill="FFFFFF"/>
            <w:vAlign w:val="center"/>
          </w:tcPr>
          <w:p w14:paraId="35F433AA">
            <w:pPr>
              <w:pStyle w:val="59"/>
              <w:bidi w:val="0"/>
              <w:rPr>
                <w:rFonts w:hint="eastAsia"/>
                <w:b w:val="0"/>
                <w:color w:val="000000"/>
              </w:rPr>
            </w:pPr>
            <w:r>
              <w:rPr>
                <w:rFonts w:hint="eastAsia"/>
                <w:b w:val="0"/>
                <w:color w:val="000000"/>
                <w:lang w:val="en-US" w:eastAsia="zh-CN"/>
              </w:rPr>
              <w:t>5</w:t>
            </w:r>
          </w:p>
        </w:tc>
        <w:tc>
          <w:tcPr>
            <w:tcW w:w="1573" w:type="dxa"/>
            <w:shd w:val="clear" w:color="auto" w:fill="FFFFFF"/>
            <w:vAlign w:val="center"/>
          </w:tcPr>
          <w:p w14:paraId="7E99D1DD">
            <w:pPr>
              <w:pStyle w:val="59"/>
              <w:bidi w:val="0"/>
              <w:rPr>
                <w:rFonts w:hint="eastAsia"/>
                <w:b w:val="0"/>
                <w:color w:val="000000"/>
              </w:rPr>
            </w:pPr>
            <w:r>
              <w:rPr>
                <w:rFonts w:hint="eastAsia"/>
                <w:b w:val="0"/>
                <w:color w:val="000000"/>
                <w:lang w:val="en-US" w:eastAsia="zh-CN"/>
              </w:rPr>
              <w:t>无溶剂复合机</w:t>
            </w:r>
          </w:p>
        </w:tc>
        <w:tc>
          <w:tcPr>
            <w:tcW w:w="575" w:type="dxa"/>
            <w:shd w:val="clear" w:color="auto" w:fill="FFFFFF"/>
            <w:vAlign w:val="center"/>
          </w:tcPr>
          <w:p w14:paraId="1C7FF8B8">
            <w:pPr>
              <w:pStyle w:val="59"/>
              <w:bidi w:val="0"/>
              <w:rPr>
                <w:rFonts w:hint="default"/>
                <w:b w:val="0"/>
                <w:color w:val="000000"/>
              </w:rPr>
            </w:pPr>
            <w:r>
              <w:rPr>
                <w:rFonts w:hint="default"/>
                <w:b w:val="0"/>
                <w:color w:val="000000"/>
                <w:lang w:val="en-US" w:eastAsia="zh-CN"/>
              </w:rPr>
              <w:t>/</w:t>
            </w:r>
          </w:p>
        </w:tc>
        <w:tc>
          <w:tcPr>
            <w:tcW w:w="929" w:type="dxa"/>
            <w:shd w:val="clear" w:color="auto" w:fill="FFFFFF"/>
            <w:vAlign w:val="center"/>
          </w:tcPr>
          <w:p w14:paraId="5408734F">
            <w:pPr>
              <w:pStyle w:val="59"/>
              <w:bidi w:val="0"/>
              <w:rPr>
                <w:rFonts w:hint="default"/>
                <w:b w:val="0"/>
                <w:color w:val="000000"/>
              </w:rPr>
            </w:pPr>
            <w:r>
              <w:rPr>
                <w:rFonts w:hint="default"/>
                <w:b w:val="0"/>
                <w:color w:val="000000"/>
                <w:lang w:val="en-US" w:eastAsia="zh-CN"/>
              </w:rPr>
              <w:t>80</w:t>
            </w:r>
          </w:p>
        </w:tc>
        <w:tc>
          <w:tcPr>
            <w:tcW w:w="650" w:type="dxa"/>
            <w:vMerge w:val="continue"/>
            <w:shd w:val="clear" w:color="auto" w:fill="FFFFFF"/>
            <w:vAlign w:val="center"/>
          </w:tcPr>
          <w:p w14:paraId="3DD2394F">
            <w:pPr>
              <w:pStyle w:val="59"/>
              <w:bidi w:val="0"/>
              <w:rPr>
                <w:rFonts w:hint="eastAsia"/>
                <w:b w:val="0"/>
                <w:color w:val="000000"/>
              </w:rPr>
            </w:pPr>
          </w:p>
        </w:tc>
        <w:tc>
          <w:tcPr>
            <w:tcW w:w="492" w:type="dxa"/>
            <w:shd w:val="clear" w:color="auto" w:fill="FFFFFF"/>
            <w:vAlign w:val="center"/>
          </w:tcPr>
          <w:p w14:paraId="337060B0">
            <w:pPr>
              <w:pStyle w:val="59"/>
              <w:bidi w:val="0"/>
              <w:rPr>
                <w:rFonts w:hint="default"/>
                <w:b w:val="0"/>
                <w:color w:val="000000"/>
              </w:rPr>
            </w:pPr>
            <w:r>
              <w:rPr>
                <w:rFonts w:hint="default"/>
                <w:b w:val="0"/>
                <w:color w:val="000000"/>
                <w:lang w:val="en-US" w:eastAsia="zh-CN"/>
              </w:rPr>
              <w:t>11</w:t>
            </w:r>
          </w:p>
        </w:tc>
        <w:tc>
          <w:tcPr>
            <w:tcW w:w="479" w:type="dxa"/>
            <w:shd w:val="clear" w:color="auto" w:fill="FFFFFF"/>
            <w:vAlign w:val="center"/>
          </w:tcPr>
          <w:p w14:paraId="038C0F02">
            <w:pPr>
              <w:pStyle w:val="59"/>
              <w:bidi w:val="0"/>
              <w:rPr>
                <w:rFonts w:hint="default"/>
                <w:b w:val="0"/>
                <w:color w:val="000000"/>
              </w:rPr>
            </w:pPr>
            <w:r>
              <w:rPr>
                <w:rFonts w:hint="default"/>
                <w:b w:val="0"/>
                <w:color w:val="000000"/>
                <w:lang w:val="en-US" w:eastAsia="zh-CN"/>
              </w:rPr>
              <w:t>10</w:t>
            </w:r>
          </w:p>
        </w:tc>
        <w:tc>
          <w:tcPr>
            <w:tcW w:w="436" w:type="dxa"/>
            <w:shd w:val="clear" w:color="auto" w:fill="FFFFFF"/>
            <w:vAlign w:val="center"/>
          </w:tcPr>
          <w:p w14:paraId="678002A3">
            <w:pPr>
              <w:pStyle w:val="59"/>
              <w:bidi w:val="0"/>
              <w:rPr>
                <w:rFonts w:hint="default"/>
                <w:b w:val="0"/>
                <w:color w:val="000000"/>
              </w:rPr>
            </w:pPr>
            <w:r>
              <w:rPr>
                <w:rFonts w:hint="default"/>
                <w:b w:val="0"/>
                <w:color w:val="000000"/>
                <w:lang w:val="en-US" w:eastAsia="zh-CN"/>
              </w:rPr>
              <w:t>1</w:t>
            </w:r>
          </w:p>
        </w:tc>
        <w:tc>
          <w:tcPr>
            <w:tcW w:w="521" w:type="dxa"/>
            <w:shd w:val="clear" w:color="auto" w:fill="FFFFFF"/>
            <w:vAlign w:val="center"/>
          </w:tcPr>
          <w:p w14:paraId="4A473A5C">
            <w:pPr>
              <w:pStyle w:val="59"/>
              <w:bidi w:val="0"/>
              <w:rPr>
                <w:rFonts w:hint="default"/>
                <w:b w:val="0"/>
                <w:color w:val="000000"/>
              </w:rPr>
            </w:pPr>
            <w:r>
              <w:rPr>
                <w:rFonts w:hint="default"/>
                <w:b w:val="0"/>
                <w:color w:val="000000"/>
                <w:lang w:val="en-US" w:eastAsia="zh-CN"/>
              </w:rPr>
              <w:t xml:space="preserve">10 </w:t>
            </w:r>
          </w:p>
        </w:tc>
        <w:tc>
          <w:tcPr>
            <w:tcW w:w="645" w:type="dxa"/>
            <w:shd w:val="clear" w:color="auto" w:fill="FFFFFF"/>
            <w:vAlign w:val="center"/>
          </w:tcPr>
          <w:p w14:paraId="493564E2">
            <w:pPr>
              <w:pStyle w:val="59"/>
              <w:bidi w:val="0"/>
              <w:rPr>
                <w:rFonts w:hint="default"/>
                <w:b w:val="0"/>
                <w:color w:val="000000"/>
              </w:rPr>
            </w:pPr>
            <w:r>
              <w:rPr>
                <w:rFonts w:hint="default"/>
                <w:b w:val="0"/>
                <w:color w:val="000000"/>
                <w:lang w:val="en-US" w:eastAsia="zh-CN"/>
              </w:rPr>
              <w:t xml:space="preserve">4 </w:t>
            </w:r>
          </w:p>
        </w:tc>
        <w:tc>
          <w:tcPr>
            <w:tcW w:w="426" w:type="dxa"/>
            <w:shd w:val="clear" w:color="auto" w:fill="FFFFFF"/>
            <w:vAlign w:val="center"/>
          </w:tcPr>
          <w:p w14:paraId="7A5353EC">
            <w:pPr>
              <w:pStyle w:val="59"/>
              <w:bidi w:val="0"/>
              <w:rPr>
                <w:rFonts w:hint="default"/>
                <w:b w:val="0"/>
                <w:color w:val="000000"/>
              </w:rPr>
            </w:pPr>
            <w:r>
              <w:rPr>
                <w:rFonts w:hint="default"/>
                <w:b w:val="0"/>
                <w:color w:val="000000"/>
                <w:lang w:val="en-US" w:eastAsia="zh-CN"/>
              </w:rPr>
              <w:t xml:space="preserve">52 </w:t>
            </w:r>
          </w:p>
        </w:tc>
        <w:tc>
          <w:tcPr>
            <w:tcW w:w="465" w:type="dxa"/>
            <w:shd w:val="clear" w:color="auto" w:fill="FFFFFF"/>
            <w:vAlign w:val="center"/>
          </w:tcPr>
          <w:p w14:paraId="50986570">
            <w:pPr>
              <w:pStyle w:val="59"/>
              <w:bidi w:val="0"/>
              <w:rPr>
                <w:rFonts w:hint="default"/>
                <w:b w:val="0"/>
                <w:color w:val="000000"/>
              </w:rPr>
            </w:pPr>
            <w:r>
              <w:rPr>
                <w:rFonts w:hint="default"/>
                <w:b w:val="0"/>
                <w:color w:val="000000"/>
                <w:lang w:val="en-US" w:eastAsia="zh-CN"/>
              </w:rPr>
              <w:t xml:space="preserve">2 </w:t>
            </w:r>
          </w:p>
        </w:tc>
        <w:tc>
          <w:tcPr>
            <w:tcW w:w="715" w:type="dxa"/>
            <w:shd w:val="clear" w:color="auto" w:fill="FFFFFF"/>
            <w:vAlign w:val="center"/>
          </w:tcPr>
          <w:p w14:paraId="24E5F618">
            <w:pPr>
              <w:pStyle w:val="59"/>
              <w:bidi w:val="0"/>
              <w:rPr>
                <w:rFonts w:hint="default"/>
                <w:b w:val="0"/>
                <w:color w:val="000000"/>
              </w:rPr>
            </w:pPr>
            <w:r>
              <w:rPr>
                <w:rFonts w:hint="default"/>
                <w:b w:val="0"/>
                <w:color w:val="000000"/>
                <w:lang w:val="en-US" w:eastAsia="zh-CN"/>
              </w:rPr>
              <w:t xml:space="preserve">52 </w:t>
            </w:r>
          </w:p>
        </w:tc>
        <w:tc>
          <w:tcPr>
            <w:tcW w:w="660" w:type="dxa"/>
            <w:shd w:val="clear" w:color="auto" w:fill="FFFFFF"/>
            <w:vAlign w:val="center"/>
          </w:tcPr>
          <w:p w14:paraId="5C96045B">
            <w:pPr>
              <w:pStyle w:val="59"/>
              <w:bidi w:val="0"/>
              <w:rPr>
                <w:rFonts w:hint="default"/>
                <w:b w:val="0"/>
                <w:color w:val="000000"/>
              </w:rPr>
            </w:pPr>
            <w:r>
              <w:rPr>
                <w:rFonts w:hint="default"/>
                <w:b w:val="0"/>
                <w:color w:val="000000"/>
                <w:lang w:val="en-US" w:eastAsia="zh-CN"/>
              </w:rPr>
              <w:t xml:space="preserve">58 </w:t>
            </w:r>
          </w:p>
        </w:tc>
        <w:tc>
          <w:tcPr>
            <w:tcW w:w="496" w:type="dxa"/>
            <w:shd w:val="clear" w:color="auto" w:fill="FFFFFF"/>
            <w:vAlign w:val="center"/>
          </w:tcPr>
          <w:p w14:paraId="55CCB24B">
            <w:pPr>
              <w:pStyle w:val="59"/>
              <w:bidi w:val="0"/>
              <w:rPr>
                <w:rFonts w:hint="default"/>
                <w:b w:val="0"/>
                <w:color w:val="000000"/>
              </w:rPr>
            </w:pPr>
            <w:r>
              <w:rPr>
                <w:rFonts w:hint="default"/>
                <w:b w:val="0"/>
                <w:color w:val="000000"/>
                <w:lang w:val="en-US" w:eastAsia="zh-CN"/>
              </w:rPr>
              <w:t xml:space="preserve">50 </w:t>
            </w:r>
          </w:p>
        </w:tc>
        <w:tc>
          <w:tcPr>
            <w:tcW w:w="522" w:type="dxa"/>
            <w:shd w:val="clear" w:color="auto" w:fill="FFFFFF"/>
            <w:vAlign w:val="center"/>
          </w:tcPr>
          <w:p w14:paraId="655D6D86">
            <w:pPr>
              <w:pStyle w:val="59"/>
              <w:bidi w:val="0"/>
              <w:rPr>
                <w:rFonts w:hint="default"/>
                <w:b w:val="0"/>
                <w:color w:val="000000"/>
              </w:rPr>
            </w:pPr>
            <w:r>
              <w:rPr>
                <w:rFonts w:hint="default"/>
                <w:b w:val="0"/>
                <w:color w:val="000000"/>
                <w:lang w:val="en-US" w:eastAsia="zh-CN"/>
              </w:rPr>
              <w:t xml:space="preserve">63 </w:t>
            </w:r>
          </w:p>
        </w:tc>
        <w:tc>
          <w:tcPr>
            <w:tcW w:w="589" w:type="dxa"/>
            <w:vMerge w:val="continue"/>
            <w:shd w:val="clear" w:color="auto" w:fill="FFFFFF"/>
            <w:vAlign w:val="center"/>
          </w:tcPr>
          <w:p w14:paraId="2E16D437">
            <w:pPr>
              <w:pStyle w:val="59"/>
              <w:bidi w:val="0"/>
              <w:rPr>
                <w:rFonts w:hint="default"/>
                <w:b w:val="0"/>
                <w:color w:val="000000"/>
              </w:rPr>
            </w:pPr>
          </w:p>
        </w:tc>
        <w:tc>
          <w:tcPr>
            <w:tcW w:w="900" w:type="dxa"/>
            <w:shd w:val="clear" w:color="auto" w:fill="FFFFFF"/>
            <w:vAlign w:val="center"/>
          </w:tcPr>
          <w:p w14:paraId="2288364F">
            <w:pPr>
              <w:pStyle w:val="59"/>
              <w:bidi w:val="0"/>
              <w:rPr>
                <w:rFonts w:hint="default"/>
                <w:b w:val="0"/>
                <w:color w:val="000000"/>
              </w:rPr>
            </w:pPr>
            <w:r>
              <w:rPr>
                <w:rFonts w:hint="default"/>
                <w:b w:val="0"/>
                <w:color w:val="000000"/>
                <w:lang w:val="en-US" w:eastAsia="zh-CN"/>
              </w:rPr>
              <w:t>25</w:t>
            </w:r>
          </w:p>
        </w:tc>
        <w:tc>
          <w:tcPr>
            <w:tcW w:w="604" w:type="dxa"/>
            <w:shd w:val="clear" w:color="auto" w:fill="FFFFFF"/>
            <w:vAlign w:val="center"/>
          </w:tcPr>
          <w:p w14:paraId="26099E77">
            <w:pPr>
              <w:pStyle w:val="59"/>
              <w:bidi w:val="0"/>
              <w:rPr>
                <w:rFonts w:hint="default"/>
                <w:b w:val="0"/>
                <w:color w:val="000000"/>
              </w:rPr>
            </w:pPr>
            <w:r>
              <w:rPr>
                <w:rFonts w:hint="default"/>
                <w:b w:val="0"/>
                <w:color w:val="000000"/>
                <w:lang w:val="en-US" w:eastAsia="zh-CN"/>
              </w:rPr>
              <w:t xml:space="preserve">32 </w:t>
            </w:r>
          </w:p>
        </w:tc>
        <w:tc>
          <w:tcPr>
            <w:tcW w:w="550" w:type="dxa"/>
            <w:shd w:val="clear" w:color="auto" w:fill="FFFFFF"/>
            <w:vAlign w:val="center"/>
          </w:tcPr>
          <w:p w14:paraId="4CA032DC">
            <w:pPr>
              <w:pStyle w:val="59"/>
              <w:bidi w:val="0"/>
              <w:rPr>
                <w:rFonts w:hint="default"/>
                <w:b w:val="0"/>
                <w:color w:val="000000"/>
              </w:rPr>
            </w:pPr>
            <w:r>
              <w:rPr>
                <w:rFonts w:hint="default"/>
                <w:b w:val="0"/>
                <w:color w:val="000000"/>
                <w:lang w:val="en-US" w:eastAsia="zh-CN"/>
              </w:rPr>
              <w:t xml:space="preserve">37 </w:t>
            </w:r>
          </w:p>
        </w:tc>
        <w:tc>
          <w:tcPr>
            <w:tcW w:w="509" w:type="dxa"/>
            <w:shd w:val="clear" w:color="auto" w:fill="FFFFFF"/>
            <w:vAlign w:val="center"/>
          </w:tcPr>
          <w:p w14:paraId="160081B6">
            <w:pPr>
              <w:pStyle w:val="59"/>
              <w:bidi w:val="0"/>
              <w:rPr>
                <w:rFonts w:hint="default"/>
                <w:b w:val="0"/>
                <w:color w:val="000000"/>
              </w:rPr>
            </w:pPr>
            <w:r>
              <w:rPr>
                <w:rFonts w:hint="default"/>
                <w:b w:val="0"/>
                <w:color w:val="000000"/>
                <w:lang w:val="en-US" w:eastAsia="zh-CN"/>
              </w:rPr>
              <w:t xml:space="preserve">29 </w:t>
            </w:r>
          </w:p>
        </w:tc>
        <w:tc>
          <w:tcPr>
            <w:tcW w:w="509" w:type="dxa"/>
            <w:shd w:val="clear" w:color="auto" w:fill="FFFFFF"/>
            <w:vAlign w:val="center"/>
          </w:tcPr>
          <w:p w14:paraId="39124ECF">
            <w:pPr>
              <w:pStyle w:val="59"/>
              <w:bidi w:val="0"/>
              <w:rPr>
                <w:rFonts w:hint="default"/>
                <w:b w:val="0"/>
                <w:color w:val="000000"/>
              </w:rPr>
            </w:pPr>
            <w:r>
              <w:rPr>
                <w:rFonts w:hint="default"/>
                <w:b w:val="0"/>
                <w:color w:val="000000"/>
                <w:lang w:val="en-US" w:eastAsia="zh-CN"/>
              </w:rPr>
              <w:t xml:space="preserve">43 </w:t>
            </w:r>
          </w:p>
        </w:tc>
        <w:tc>
          <w:tcPr>
            <w:tcW w:w="673" w:type="dxa"/>
            <w:tcBorders>
              <w:right w:val="nil"/>
            </w:tcBorders>
            <w:shd w:val="clear" w:color="auto" w:fill="FFFFFF"/>
            <w:vAlign w:val="center"/>
          </w:tcPr>
          <w:p w14:paraId="6617E168">
            <w:pPr>
              <w:pStyle w:val="59"/>
              <w:bidi w:val="0"/>
              <w:rPr>
                <w:rFonts w:hint="default"/>
                <w:b w:val="0"/>
                <w:color w:val="000000"/>
              </w:rPr>
            </w:pPr>
            <w:r>
              <w:rPr>
                <w:rFonts w:hint="default"/>
                <w:b w:val="0"/>
                <w:color w:val="000000"/>
                <w:lang w:val="en-US" w:eastAsia="zh-CN"/>
              </w:rPr>
              <w:t>1</w:t>
            </w:r>
          </w:p>
        </w:tc>
      </w:tr>
      <w:tr w14:paraId="57C99BA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tcBorders>
            <w:shd w:val="clear" w:color="auto" w:fill="FFFFFF"/>
            <w:vAlign w:val="center"/>
          </w:tcPr>
          <w:p w14:paraId="33B031B2">
            <w:pPr>
              <w:pStyle w:val="59"/>
              <w:bidi w:val="0"/>
              <w:rPr>
                <w:rFonts w:hint="eastAsia"/>
                <w:b w:val="0"/>
                <w:color w:val="000000"/>
              </w:rPr>
            </w:pPr>
            <w:r>
              <w:rPr>
                <w:rFonts w:hint="eastAsia"/>
                <w:b w:val="0"/>
                <w:color w:val="000000"/>
                <w:lang w:val="en-US" w:eastAsia="zh-CN"/>
              </w:rPr>
              <w:t>6</w:t>
            </w:r>
          </w:p>
        </w:tc>
        <w:tc>
          <w:tcPr>
            <w:tcW w:w="1573" w:type="dxa"/>
            <w:shd w:val="clear" w:color="auto" w:fill="FFFFFF"/>
            <w:vAlign w:val="center"/>
          </w:tcPr>
          <w:p w14:paraId="6650A862">
            <w:pPr>
              <w:pStyle w:val="59"/>
              <w:bidi w:val="0"/>
              <w:rPr>
                <w:rFonts w:hint="eastAsia"/>
                <w:b w:val="0"/>
                <w:color w:val="000000"/>
              </w:rPr>
            </w:pPr>
            <w:r>
              <w:rPr>
                <w:rFonts w:hint="eastAsia"/>
                <w:b w:val="0"/>
                <w:color w:val="000000"/>
                <w:lang w:val="en-US" w:eastAsia="zh-CN"/>
              </w:rPr>
              <w:t>打孔机</w:t>
            </w:r>
          </w:p>
        </w:tc>
        <w:tc>
          <w:tcPr>
            <w:tcW w:w="575" w:type="dxa"/>
            <w:shd w:val="clear" w:color="auto" w:fill="FFFFFF"/>
            <w:vAlign w:val="center"/>
          </w:tcPr>
          <w:p w14:paraId="3A340264">
            <w:pPr>
              <w:pStyle w:val="59"/>
              <w:bidi w:val="0"/>
              <w:rPr>
                <w:rFonts w:hint="default"/>
                <w:b w:val="0"/>
                <w:color w:val="000000"/>
              </w:rPr>
            </w:pPr>
            <w:r>
              <w:rPr>
                <w:rFonts w:hint="default"/>
                <w:b w:val="0"/>
                <w:color w:val="000000"/>
                <w:lang w:val="en-US" w:eastAsia="zh-CN"/>
              </w:rPr>
              <w:t>/</w:t>
            </w:r>
          </w:p>
        </w:tc>
        <w:tc>
          <w:tcPr>
            <w:tcW w:w="929" w:type="dxa"/>
            <w:shd w:val="clear" w:color="auto" w:fill="FFFFFF"/>
            <w:vAlign w:val="center"/>
          </w:tcPr>
          <w:p w14:paraId="592BB3BD">
            <w:pPr>
              <w:pStyle w:val="59"/>
              <w:bidi w:val="0"/>
              <w:rPr>
                <w:rFonts w:hint="default"/>
                <w:b w:val="0"/>
                <w:color w:val="000000"/>
              </w:rPr>
            </w:pPr>
            <w:r>
              <w:rPr>
                <w:rFonts w:hint="default"/>
                <w:b w:val="0"/>
                <w:color w:val="000000"/>
                <w:lang w:val="en-US" w:eastAsia="zh-CN"/>
              </w:rPr>
              <w:t>80</w:t>
            </w:r>
          </w:p>
        </w:tc>
        <w:tc>
          <w:tcPr>
            <w:tcW w:w="650" w:type="dxa"/>
            <w:vMerge w:val="continue"/>
            <w:shd w:val="clear" w:color="auto" w:fill="FFFFFF"/>
            <w:vAlign w:val="center"/>
          </w:tcPr>
          <w:p w14:paraId="23A7D457">
            <w:pPr>
              <w:pStyle w:val="59"/>
              <w:bidi w:val="0"/>
              <w:rPr>
                <w:rFonts w:hint="eastAsia"/>
                <w:b w:val="0"/>
                <w:color w:val="000000"/>
              </w:rPr>
            </w:pPr>
          </w:p>
        </w:tc>
        <w:tc>
          <w:tcPr>
            <w:tcW w:w="492" w:type="dxa"/>
            <w:shd w:val="clear" w:color="auto" w:fill="FFFFFF"/>
            <w:vAlign w:val="center"/>
          </w:tcPr>
          <w:p w14:paraId="77B184C9">
            <w:pPr>
              <w:pStyle w:val="59"/>
              <w:bidi w:val="0"/>
              <w:rPr>
                <w:rFonts w:hint="default"/>
                <w:b w:val="0"/>
                <w:color w:val="000000"/>
              </w:rPr>
            </w:pPr>
            <w:r>
              <w:rPr>
                <w:rFonts w:hint="default"/>
                <w:b w:val="0"/>
                <w:color w:val="000000"/>
                <w:lang w:val="en-US" w:eastAsia="zh-CN"/>
              </w:rPr>
              <w:t>12</w:t>
            </w:r>
          </w:p>
        </w:tc>
        <w:tc>
          <w:tcPr>
            <w:tcW w:w="479" w:type="dxa"/>
            <w:shd w:val="clear" w:color="auto" w:fill="FFFFFF"/>
            <w:vAlign w:val="center"/>
          </w:tcPr>
          <w:p w14:paraId="375947C1">
            <w:pPr>
              <w:pStyle w:val="59"/>
              <w:bidi w:val="0"/>
              <w:rPr>
                <w:rFonts w:hint="default"/>
                <w:b w:val="0"/>
                <w:color w:val="000000"/>
              </w:rPr>
            </w:pPr>
            <w:r>
              <w:rPr>
                <w:rFonts w:hint="default"/>
                <w:b w:val="0"/>
                <w:color w:val="000000"/>
                <w:lang w:val="en-US" w:eastAsia="zh-CN"/>
              </w:rPr>
              <w:t>11</w:t>
            </w:r>
          </w:p>
        </w:tc>
        <w:tc>
          <w:tcPr>
            <w:tcW w:w="436" w:type="dxa"/>
            <w:shd w:val="clear" w:color="auto" w:fill="FFFFFF"/>
            <w:vAlign w:val="center"/>
          </w:tcPr>
          <w:p w14:paraId="7CE1C812">
            <w:pPr>
              <w:pStyle w:val="59"/>
              <w:bidi w:val="0"/>
              <w:rPr>
                <w:rFonts w:hint="default"/>
                <w:b w:val="0"/>
                <w:color w:val="000000"/>
              </w:rPr>
            </w:pPr>
            <w:r>
              <w:rPr>
                <w:rFonts w:hint="default"/>
                <w:b w:val="0"/>
                <w:color w:val="000000"/>
                <w:lang w:val="en-US" w:eastAsia="zh-CN"/>
              </w:rPr>
              <w:t>6</w:t>
            </w:r>
          </w:p>
        </w:tc>
        <w:tc>
          <w:tcPr>
            <w:tcW w:w="521" w:type="dxa"/>
            <w:shd w:val="clear" w:color="auto" w:fill="FFFFFF"/>
            <w:vAlign w:val="center"/>
          </w:tcPr>
          <w:p w14:paraId="5AF94ED0">
            <w:pPr>
              <w:pStyle w:val="59"/>
              <w:bidi w:val="0"/>
              <w:rPr>
                <w:rFonts w:hint="default"/>
                <w:b w:val="0"/>
                <w:color w:val="000000"/>
              </w:rPr>
            </w:pPr>
            <w:r>
              <w:rPr>
                <w:rFonts w:hint="default"/>
                <w:b w:val="0"/>
                <w:color w:val="000000"/>
                <w:lang w:val="en-US" w:eastAsia="zh-CN"/>
              </w:rPr>
              <w:t xml:space="preserve">11 </w:t>
            </w:r>
          </w:p>
        </w:tc>
        <w:tc>
          <w:tcPr>
            <w:tcW w:w="645" w:type="dxa"/>
            <w:shd w:val="clear" w:color="auto" w:fill="FFFFFF"/>
            <w:vAlign w:val="center"/>
          </w:tcPr>
          <w:p w14:paraId="7FCB707D">
            <w:pPr>
              <w:pStyle w:val="59"/>
              <w:bidi w:val="0"/>
              <w:rPr>
                <w:rFonts w:hint="default"/>
                <w:b w:val="0"/>
                <w:color w:val="000000"/>
              </w:rPr>
            </w:pPr>
            <w:r>
              <w:rPr>
                <w:rFonts w:hint="default"/>
                <w:b w:val="0"/>
                <w:color w:val="000000"/>
                <w:lang w:val="en-US" w:eastAsia="zh-CN"/>
              </w:rPr>
              <w:t xml:space="preserve">5 </w:t>
            </w:r>
          </w:p>
        </w:tc>
        <w:tc>
          <w:tcPr>
            <w:tcW w:w="426" w:type="dxa"/>
            <w:shd w:val="clear" w:color="auto" w:fill="FFFFFF"/>
            <w:vAlign w:val="center"/>
          </w:tcPr>
          <w:p w14:paraId="5FB82541">
            <w:pPr>
              <w:pStyle w:val="59"/>
              <w:bidi w:val="0"/>
              <w:rPr>
                <w:rFonts w:hint="default"/>
                <w:b w:val="0"/>
                <w:color w:val="000000"/>
              </w:rPr>
            </w:pPr>
            <w:r>
              <w:rPr>
                <w:rFonts w:hint="default"/>
                <w:b w:val="0"/>
                <w:color w:val="000000"/>
                <w:lang w:val="en-US" w:eastAsia="zh-CN"/>
              </w:rPr>
              <w:t xml:space="preserve">53 </w:t>
            </w:r>
          </w:p>
        </w:tc>
        <w:tc>
          <w:tcPr>
            <w:tcW w:w="465" w:type="dxa"/>
            <w:shd w:val="clear" w:color="auto" w:fill="FFFFFF"/>
            <w:vAlign w:val="center"/>
          </w:tcPr>
          <w:p w14:paraId="542920DE">
            <w:pPr>
              <w:pStyle w:val="59"/>
              <w:bidi w:val="0"/>
              <w:rPr>
                <w:rFonts w:hint="default"/>
                <w:b w:val="0"/>
                <w:color w:val="000000"/>
              </w:rPr>
            </w:pPr>
            <w:r>
              <w:rPr>
                <w:rFonts w:hint="default"/>
                <w:b w:val="0"/>
                <w:color w:val="000000"/>
                <w:lang w:val="en-US" w:eastAsia="zh-CN"/>
              </w:rPr>
              <w:t xml:space="preserve">3 </w:t>
            </w:r>
          </w:p>
        </w:tc>
        <w:tc>
          <w:tcPr>
            <w:tcW w:w="715" w:type="dxa"/>
            <w:shd w:val="clear" w:color="auto" w:fill="FFFFFF"/>
            <w:vAlign w:val="center"/>
          </w:tcPr>
          <w:p w14:paraId="5C841E9D">
            <w:pPr>
              <w:pStyle w:val="59"/>
              <w:bidi w:val="0"/>
              <w:rPr>
                <w:rFonts w:hint="default"/>
                <w:b w:val="0"/>
                <w:color w:val="000000"/>
              </w:rPr>
            </w:pPr>
            <w:r>
              <w:rPr>
                <w:rFonts w:hint="default"/>
                <w:b w:val="0"/>
                <w:color w:val="000000"/>
                <w:lang w:val="en-US" w:eastAsia="zh-CN"/>
              </w:rPr>
              <w:t xml:space="preserve">52 </w:t>
            </w:r>
          </w:p>
        </w:tc>
        <w:tc>
          <w:tcPr>
            <w:tcW w:w="660" w:type="dxa"/>
            <w:shd w:val="clear" w:color="auto" w:fill="FFFFFF"/>
            <w:vAlign w:val="center"/>
          </w:tcPr>
          <w:p w14:paraId="5F1F2C9E">
            <w:pPr>
              <w:pStyle w:val="59"/>
              <w:bidi w:val="0"/>
              <w:rPr>
                <w:rFonts w:hint="default"/>
                <w:b w:val="0"/>
                <w:color w:val="000000"/>
              </w:rPr>
            </w:pPr>
            <w:r>
              <w:rPr>
                <w:rFonts w:hint="default"/>
                <w:b w:val="0"/>
                <w:color w:val="000000"/>
                <w:lang w:val="en-US" w:eastAsia="zh-CN"/>
              </w:rPr>
              <w:t xml:space="preserve">56 </w:t>
            </w:r>
          </w:p>
        </w:tc>
        <w:tc>
          <w:tcPr>
            <w:tcW w:w="496" w:type="dxa"/>
            <w:shd w:val="clear" w:color="auto" w:fill="FFFFFF"/>
            <w:vAlign w:val="center"/>
          </w:tcPr>
          <w:p w14:paraId="295269F1">
            <w:pPr>
              <w:pStyle w:val="59"/>
              <w:bidi w:val="0"/>
              <w:rPr>
                <w:rFonts w:hint="default"/>
                <w:b w:val="0"/>
                <w:color w:val="000000"/>
              </w:rPr>
            </w:pPr>
            <w:r>
              <w:rPr>
                <w:rFonts w:hint="default"/>
                <w:b w:val="0"/>
                <w:color w:val="000000"/>
                <w:lang w:val="en-US" w:eastAsia="zh-CN"/>
              </w:rPr>
              <w:t xml:space="preserve">50 </w:t>
            </w:r>
          </w:p>
        </w:tc>
        <w:tc>
          <w:tcPr>
            <w:tcW w:w="522" w:type="dxa"/>
            <w:shd w:val="clear" w:color="auto" w:fill="FFFFFF"/>
            <w:vAlign w:val="center"/>
          </w:tcPr>
          <w:p w14:paraId="509E3FDD">
            <w:pPr>
              <w:pStyle w:val="59"/>
              <w:bidi w:val="0"/>
              <w:rPr>
                <w:rFonts w:hint="default"/>
                <w:b w:val="0"/>
                <w:color w:val="000000"/>
              </w:rPr>
            </w:pPr>
            <w:r>
              <w:rPr>
                <w:rFonts w:hint="default"/>
                <w:b w:val="0"/>
                <w:color w:val="000000"/>
                <w:lang w:val="en-US" w:eastAsia="zh-CN"/>
              </w:rPr>
              <w:t xml:space="preserve">60 </w:t>
            </w:r>
          </w:p>
        </w:tc>
        <w:tc>
          <w:tcPr>
            <w:tcW w:w="589" w:type="dxa"/>
            <w:vMerge w:val="continue"/>
            <w:shd w:val="clear" w:color="auto" w:fill="FFFFFF"/>
            <w:vAlign w:val="center"/>
          </w:tcPr>
          <w:p w14:paraId="453A550B">
            <w:pPr>
              <w:pStyle w:val="59"/>
              <w:bidi w:val="0"/>
              <w:rPr>
                <w:rFonts w:hint="default"/>
                <w:b w:val="0"/>
                <w:color w:val="000000"/>
              </w:rPr>
            </w:pPr>
          </w:p>
        </w:tc>
        <w:tc>
          <w:tcPr>
            <w:tcW w:w="900" w:type="dxa"/>
            <w:shd w:val="clear" w:color="auto" w:fill="FFFFFF"/>
            <w:vAlign w:val="center"/>
          </w:tcPr>
          <w:p w14:paraId="52FE1BEA">
            <w:pPr>
              <w:pStyle w:val="59"/>
              <w:bidi w:val="0"/>
              <w:rPr>
                <w:rFonts w:hint="default"/>
                <w:b w:val="0"/>
                <w:color w:val="000000"/>
              </w:rPr>
            </w:pPr>
            <w:r>
              <w:rPr>
                <w:rFonts w:hint="default"/>
                <w:b w:val="0"/>
                <w:color w:val="000000"/>
                <w:lang w:val="en-US" w:eastAsia="zh-CN"/>
              </w:rPr>
              <w:t>25</w:t>
            </w:r>
          </w:p>
        </w:tc>
        <w:tc>
          <w:tcPr>
            <w:tcW w:w="604" w:type="dxa"/>
            <w:shd w:val="clear" w:color="auto" w:fill="FFFFFF"/>
            <w:vAlign w:val="center"/>
          </w:tcPr>
          <w:p w14:paraId="60E2CF86">
            <w:pPr>
              <w:pStyle w:val="59"/>
              <w:bidi w:val="0"/>
              <w:rPr>
                <w:rFonts w:hint="default"/>
                <w:b w:val="0"/>
                <w:color w:val="000000"/>
              </w:rPr>
            </w:pPr>
            <w:r>
              <w:rPr>
                <w:rFonts w:hint="default"/>
                <w:b w:val="0"/>
                <w:color w:val="000000"/>
                <w:lang w:val="en-US" w:eastAsia="zh-CN"/>
              </w:rPr>
              <w:t xml:space="preserve">32 </w:t>
            </w:r>
          </w:p>
        </w:tc>
        <w:tc>
          <w:tcPr>
            <w:tcW w:w="550" w:type="dxa"/>
            <w:shd w:val="clear" w:color="auto" w:fill="FFFFFF"/>
            <w:vAlign w:val="center"/>
          </w:tcPr>
          <w:p w14:paraId="1A5AB768">
            <w:pPr>
              <w:pStyle w:val="59"/>
              <w:bidi w:val="0"/>
              <w:rPr>
                <w:rFonts w:hint="default"/>
                <w:b w:val="0"/>
                <w:color w:val="000000"/>
              </w:rPr>
            </w:pPr>
            <w:r>
              <w:rPr>
                <w:rFonts w:hint="default"/>
                <w:b w:val="0"/>
                <w:color w:val="000000"/>
                <w:lang w:val="en-US" w:eastAsia="zh-CN"/>
              </w:rPr>
              <w:t xml:space="preserve">36 </w:t>
            </w:r>
          </w:p>
        </w:tc>
        <w:tc>
          <w:tcPr>
            <w:tcW w:w="509" w:type="dxa"/>
            <w:shd w:val="clear" w:color="auto" w:fill="FFFFFF"/>
            <w:vAlign w:val="center"/>
          </w:tcPr>
          <w:p w14:paraId="780BC6F8">
            <w:pPr>
              <w:pStyle w:val="59"/>
              <w:bidi w:val="0"/>
              <w:rPr>
                <w:rFonts w:hint="default"/>
                <w:b w:val="0"/>
                <w:color w:val="000000"/>
              </w:rPr>
            </w:pPr>
            <w:r>
              <w:rPr>
                <w:rFonts w:hint="default"/>
                <w:b w:val="0"/>
                <w:color w:val="000000"/>
                <w:lang w:val="en-US" w:eastAsia="zh-CN"/>
              </w:rPr>
              <w:t xml:space="preserve">29 </w:t>
            </w:r>
          </w:p>
        </w:tc>
        <w:tc>
          <w:tcPr>
            <w:tcW w:w="509" w:type="dxa"/>
            <w:shd w:val="clear" w:color="auto" w:fill="FFFFFF"/>
            <w:vAlign w:val="center"/>
          </w:tcPr>
          <w:p w14:paraId="58AD42ED">
            <w:pPr>
              <w:pStyle w:val="59"/>
              <w:bidi w:val="0"/>
              <w:rPr>
                <w:rFonts w:hint="default"/>
                <w:b w:val="0"/>
                <w:color w:val="000000"/>
              </w:rPr>
            </w:pPr>
            <w:r>
              <w:rPr>
                <w:rFonts w:hint="default"/>
                <w:b w:val="0"/>
                <w:color w:val="000000"/>
                <w:lang w:val="en-US" w:eastAsia="zh-CN"/>
              </w:rPr>
              <w:t xml:space="preserve">40 </w:t>
            </w:r>
          </w:p>
        </w:tc>
        <w:tc>
          <w:tcPr>
            <w:tcW w:w="673" w:type="dxa"/>
            <w:tcBorders>
              <w:right w:val="nil"/>
            </w:tcBorders>
            <w:shd w:val="clear" w:color="auto" w:fill="FFFFFF"/>
            <w:vAlign w:val="center"/>
          </w:tcPr>
          <w:p w14:paraId="0406CC50">
            <w:pPr>
              <w:pStyle w:val="59"/>
              <w:bidi w:val="0"/>
              <w:rPr>
                <w:rFonts w:hint="default"/>
                <w:b w:val="0"/>
                <w:color w:val="000000"/>
              </w:rPr>
            </w:pPr>
            <w:r>
              <w:rPr>
                <w:rFonts w:hint="default"/>
                <w:b w:val="0"/>
                <w:color w:val="000000"/>
                <w:lang w:val="en-US" w:eastAsia="zh-CN"/>
              </w:rPr>
              <w:t>1</w:t>
            </w:r>
          </w:p>
        </w:tc>
      </w:tr>
      <w:tr w14:paraId="4C1C5A7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tcBorders>
            <w:shd w:val="clear" w:color="auto" w:fill="FFFFFF"/>
            <w:vAlign w:val="center"/>
          </w:tcPr>
          <w:p w14:paraId="074521C1">
            <w:pPr>
              <w:pStyle w:val="59"/>
              <w:bidi w:val="0"/>
              <w:rPr>
                <w:rFonts w:hint="eastAsia"/>
                <w:b w:val="0"/>
                <w:color w:val="000000"/>
              </w:rPr>
            </w:pPr>
            <w:r>
              <w:rPr>
                <w:rFonts w:hint="eastAsia"/>
                <w:b w:val="0"/>
                <w:color w:val="000000"/>
                <w:lang w:val="en-US" w:eastAsia="zh-CN"/>
              </w:rPr>
              <w:t>7</w:t>
            </w:r>
          </w:p>
        </w:tc>
        <w:tc>
          <w:tcPr>
            <w:tcW w:w="1573" w:type="dxa"/>
            <w:shd w:val="clear" w:color="auto" w:fill="FFFFFF"/>
            <w:vAlign w:val="center"/>
          </w:tcPr>
          <w:p w14:paraId="64A39DDB">
            <w:pPr>
              <w:pStyle w:val="59"/>
              <w:bidi w:val="0"/>
              <w:rPr>
                <w:rFonts w:hint="eastAsia"/>
                <w:b w:val="0"/>
                <w:color w:val="000000"/>
              </w:rPr>
            </w:pPr>
            <w:r>
              <w:rPr>
                <w:rFonts w:hint="eastAsia"/>
                <w:b w:val="0"/>
                <w:color w:val="000000"/>
                <w:lang w:val="en-US" w:eastAsia="zh-CN"/>
              </w:rPr>
              <w:t>合掌机</w:t>
            </w:r>
          </w:p>
        </w:tc>
        <w:tc>
          <w:tcPr>
            <w:tcW w:w="575" w:type="dxa"/>
            <w:shd w:val="clear" w:color="auto" w:fill="FFFFFF"/>
            <w:vAlign w:val="center"/>
          </w:tcPr>
          <w:p w14:paraId="2BED0493">
            <w:pPr>
              <w:pStyle w:val="59"/>
              <w:bidi w:val="0"/>
              <w:rPr>
                <w:rFonts w:hint="default"/>
                <w:b w:val="0"/>
                <w:color w:val="000000"/>
              </w:rPr>
            </w:pPr>
            <w:r>
              <w:rPr>
                <w:rFonts w:hint="default"/>
                <w:b w:val="0"/>
                <w:color w:val="000000"/>
                <w:lang w:val="en-US" w:eastAsia="zh-CN"/>
              </w:rPr>
              <w:t>/</w:t>
            </w:r>
          </w:p>
        </w:tc>
        <w:tc>
          <w:tcPr>
            <w:tcW w:w="929" w:type="dxa"/>
            <w:shd w:val="clear" w:color="auto" w:fill="FFFFFF"/>
            <w:vAlign w:val="center"/>
          </w:tcPr>
          <w:p w14:paraId="2E979C94">
            <w:pPr>
              <w:pStyle w:val="59"/>
              <w:bidi w:val="0"/>
              <w:rPr>
                <w:rFonts w:hint="default"/>
                <w:b w:val="0"/>
                <w:color w:val="000000"/>
              </w:rPr>
            </w:pPr>
            <w:r>
              <w:rPr>
                <w:rFonts w:hint="default"/>
                <w:b w:val="0"/>
                <w:color w:val="000000"/>
                <w:lang w:val="en-US" w:eastAsia="zh-CN"/>
              </w:rPr>
              <w:t>75</w:t>
            </w:r>
          </w:p>
        </w:tc>
        <w:tc>
          <w:tcPr>
            <w:tcW w:w="650" w:type="dxa"/>
            <w:vMerge w:val="continue"/>
            <w:shd w:val="clear" w:color="auto" w:fill="FFFFFF"/>
            <w:vAlign w:val="center"/>
          </w:tcPr>
          <w:p w14:paraId="15E72DA6">
            <w:pPr>
              <w:pStyle w:val="59"/>
              <w:bidi w:val="0"/>
              <w:rPr>
                <w:rFonts w:hint="eastAsia"/>
                <w:b w:val="0"/>
                <w:color w:val="000000"/>
              </w:rPr>
            </w:pPr>
          </w:p>
        </w:tc>
        <w:tc>
          <w:tcPr>
            <w:tcW w:w="492" w:type="dxa"/>
            <w:shd w:val="clear" w:color="auto" w:fill="FFFFFF"/>
            <w:vAlign w:val="center"/>
          </w:tcPr>
          <w:p w14:paraId="71028153">
            <w:pPr>
              <w:pStyle w:val="59"/>
              <w:bidi w:val="0"/>
              <w:rPr>
                <w:rFonts w:hint="default"/>
                <w:b w:val="0"/>
                <w:color w:val="000000"/>
              </w:rPr>
            </w:pPr>
            <w:r>
              <w:rPr>
                <w:rFonts w:hint="default"/>
                <w:b w:val="0"/>
                <w:color w:val="000000"/>
                <w:lang w:val="en-US" w:eastAsia="zh-CN"/>
              </w:rPr>
              <w:t>10</w:t>
            </w:r>
          </w:p>
        </w:tc>
        <w:tc>
          <w:tcPr>
            <w:tcW w:w="479" w:type="dxa"/>
            <w:shd w:val="clear" w:color="auto" w:fill="FFFFFF"/>
            <w:vAlign w:val="center"/>
          </w:tcPr>
          <w:p w14:paraId="0B9A3C74">
            <w:pPr>
              <w:pStyle w:val="59"/>
              <w:bidi w:val="0"/>
              <w:rPr>
                <w:rFonts w:hint="default"/>
                <w:b w:val="0"/>
                <w:color w:val="000000"/>
              </w:rPr>
            </w:pPr>
            <w:r>
              <w:rPr>
                <w:rFonts w:hint="default"/>
                <w:b w:val="0"/>
                <w:color w:val="000000"/>
                <w:lang w:val="en-US" w:eastAsia="zh-CN"/>
              </w:rPr>
              <w:t>12</w:t>
            </w:r>
          </w:p>
        </w:tc>
        <w:tc>
          <w:tcPr>
            <w:tcW w:w="436" w:type="dxa"/>
            <w:shd w:val="clear" w:color="auto" w:fill="FFFFFF"/>
            <w:vAlign w:val="center"/>
          </w:tcPr>
          <w:p w14:paraId="4537038A">
            <w:pPr>
              <w:pStyle w:val="59"/>
              <w:bidi w:val="0"/>
              <w:rPr>
                <w:rFonts w:hint="default"/>
                <w:b w:val="0"/>
                <w:color w:val="000000"/>
              </w:rPr>
            </w:pPr>
            <w:r>
              <w:rPr>
                <w:rFonts w:hint="default"/>
                <w:b w:val="0"/>
                <w:color w:val="000000"/>
                <w:lang w:val="en-US" w:eastAsia="zh-CN"/>
              </w:rPr>
              <w:t>6</w:t>
            </w:r>
          </w:p>
        </w:tc>
        <w:tc>
          <w:tcPr>
            <w:tcW w:w="521" w:type="dxa"/>
            <w:shd w:val="clear" w:color="auto" w:fill="FFFFFF"/>
            <w:vAlign w:val="center"/>
          </w:tcPr>
          <w:p w14:paraId="75D047EF">
            <w:pPr>
              <w:pStyle w:val="59"/>
              <w:bidi w:val="0"/>
              <w:rPr>
                <w:rFonts w:hint="default"/>
                <w:b w:val="0"/>
                <w:color w:val="000000"/>
              </w:rPr>
            </w:pPr>
            <w:r>
              <w:rPr>
                <w:rFonts w:hint="default"/>
                <w:b w:val="0"/>
                <w:color w:val="000000"/>
                <w:lang w:val="en-US" w:eastAsia="zh-CN"/>
              </w:rPr>
              <w:t xml:space="preserve">10 </w:t>
            </w:r>
          </w:p>
        </w:tc>
        <w:tc>
          <w:tcPr>
            <w:tcW w:w="645" w:type="dxa"/>
            <w:shd w:val="clear" w:color="auto" w:fill="FFFFFF"/>
            <w:vAlign w:val="center"/>
          </w:tcPr>
          <w:p w14:paraId="25E3284F">
            <w:pPr>
              <w:pStyle w:val="59"/>
              <w:bidi w:val="0"/>
              <w:rPr>
                <w:rFonts w:hint="default"/>
                <w:b w:val="0"/>
                <w:color w:val="000000"/>
              </w:rPr>
            </w:pPr>
            <w:r>
              <w:rPr>
                <w:rFonts w:hint="default"/>
                <w:b w:val="0"/>
                <w:color w:val="000000"/>
                <w:lang w:val="en-US" w:eastAsia="zh-CN"/>
              </w:rPr>
              <w:t xml:space="preserve">6 </w:t>
            </w:r>
          </w:p>
        </w:tc>
        <w:tc>
          <w:tcPr>
            <w:tcW w:w="426" w:type="dxa"/>
            <w:shd w:val="clear" w:color="auto" w:fill="FFFFFF"/>
            <w:vAlign w:val="center"/>
          </w:tcPr>
          <w:p w14:paraId="1DC60F4B">
            <w:pPr>
              <w:pStyle w:val="59"/>
              <w:bidi w:val="0"/>
              <w:rPr>
                <w:rFonts w:hint="default"/>
                <w:b w:val="0"/>
                <w:color w:val="000000"/>
              </w:rPr>
            </w:pPr>
            <w:r>
              <w:rPr>
                <w:rFonts w:hint="default"/>
                <w:b w:val="0"/>
                <w:color w:val="000000"/>
                <w:lang w:val="en-US" w:eastAsia="zh-CN"/>
              </w:rPr>
              <w:t xml:space="preserve">54 </w:t>
            </w:r>
          </w:p>
        </w:tc>
        <w:tc>
          <w:tcPr>
            <w:tcW w:w="465" w:type="dxa"/>
            <w:shd w:val="clear" w:color="auto" w:fill="FFFFFF"/>
            <w:vAlign w:val="center"/>
          </w:tcPr>
          <w:p w14:paraId="08CA1C8C">
            <w:pPr>
              <w:pStyle w:val="59"/>
              <w:bidi w:val="0"/>
              <w:rPr>
                <w:rFonts w:hint="default"/>
                <w:b w:val="0"/>
                <w:color w:val="000000"/>
              </w:rPr>
            </w:pPr>
            <w:r>
              <w:rPr>
                <w:rFonts w:hint="default"/>
                <w:b w:val="0"/>
                <w:color w:val="000000"/>
                <w:lang w:val="en-US" w:eastAsia="zh-CN"/>
              </w:rPr>
              <w:t xml:space="preserve">4 </w:t>
            </w:r>
          </w:p>
        </w:tc>
        <w:tc>
          <w:tcPr>
            <w:tcW w:w="715" w:type="dxa"/>
            <w:shd w:val="clear" w:color="auto" w:fill="FFFFFF"/>
            <w:vAlign w:val="center"/>
          </w:tcPr>
          <w:p w14:paraId="7A2DDE8C">
            <w:pPr>
              <w:pStyle w:val="59"/>
              <w:bidi w:val="0"/>
              <w:rPr>
                <w:rFonts w:hint="default"/>
                <w:b w:val="0"/>
                <w:color w:val="000000"/>
              </w:rPr>
            </w:pPr>
            <w:r>
              <w:rPr>
                <w:rFonts w:hint="default"/>
                <w:b w:val="0"/>
                <w:color w:val="000000"/>
                <w:lang w:val="en-US" w:eastAsia="zh-CN"/>
              </w:rPr>
              <w:t xml:space="preserve">47 </w:t>
            </w:r>
          </w:p>
        </w:tc>
        <w:tc>
          <w:tcPr>
            <w:tcW w:w="660" w:type="dxa"/>
            <w:shd w:val="clear" w:color="auto" w:fill="FFFFFF"/>
            <w:vAlign w:val="center"/>
          </w:tcPr>
          <w:p w14:paraId="5FA645DE">
            <w:pPr>
              <w:pStyle w:val="59"/>
              <w:bidi w:val="0"/>
              <w:rPr>
                <w:rFonts w:hint="default"/>
                <w:b w:val="0"/>
                <w:color w:val="000000"/>
              </w:rPr>
            </w:pPr>
            <w:r>
              <w:rPr>
                <w:rFonts w:hint="default"/>
                <w:b w:val="0"/>
                <w:color w:val="000000"/>
                <w:lang w:val="en-US" w:eastAsia="zh-CN"/>
              </w:rPr>
              <w:t xml:space="preserve">50 </w:t>
            </w:r>
          </w:p>
        </w:tc>
        <w:tc>
          <w:tcPr>
            <w:tcW w:w="496" w:type="dxa"/>
            <w:shd w:val="clear" w:color="auto" w:fill="FFFFFF"/>
            <w:vAlign w:val="center"/>
          </w:tcPr>
          <w:p w14:paraId="5D97A28A">
            <w:pPr>
              <w:pStyle w:val="59"/>
              <w:bidi w:val="0"/>
              <w:rPr>
                <w:rFonts w:hint="default"/>
                <w:b w:val="0"/>
                <w:color w:val="000000"/>
              </w:rPr>
            </w:pPr>
            <w:r>
              <w:rPr>
                <w:rFonts w:hint="default"/>
                <w:b w:val="0"/>
                <w:color w:val="000000"/>
                <w:lang w:val="en-US" w:eastAsia="zh-CN"/>
              </w:rPr>
              <w:t xml:space="preserve">45 </w:t>
            </w:r>
          </w:p>
        </w:tc>
        <w:tc>
          <w:tcPr>
            <w:tcW w:w="522" w:type="dxa"/>
            <w:shd w:val="clear" w:color="auto" w:fill="FFFFFF"/>
            <w:vAlign w:val="center"/>
          </w:tcPr>
          <w:p w14:paraId="162AC874">
            <w:pPr>
              <w:pStyle w:val="59"/>
              <w:bidi w:val="0"/>
              <w:rPr>
                <w:rFonts w:hint="default"/>
                <w:b w:val="0"/>
                <w:color w:val="000000"/>
              </w:rPr>
            </w:pPr>
            <w:r>
              <w:rPr>
                <w:rFonts w:hint="default"/>
                <w:b w:val="0"/>
                <w:color w:val="000000"/>
                <w:lang w:val="en-US" w:eastAsia="zh-CN"/>
              </w:rPr>
              <w:t xml:space="preserve">53 </w:t>
            </w:r>
          </w:p>
        </w:tc>
        <w:tc>
          <w:tcPr>
            <w:tcW w:w="589" w:type="dxa"/>
            <w:vMerge w:val="continue"/>
            <w:shd w:val="clear" w:color="auto" w:fill="FFFFFF"/>
            <w:vAlign w:val="center"/>
          </w:tcPr>
          <w:p w14:paraId="3473F67C">
            <w:pPr>
              <w:pStyle w:val="59"/>
              <w:bidi w:val="0"/>
              <w:rPr>
                <w:rFonts w:hint="default"/>
                <w:b w:val="0"/>
                <w:color w:val="000000"/>
              </w:rPr>
            </w:pPr>
          </w:p>
        </w:tc>
        <w:tc>
          <w:tcPr>
            <w:tcW w:w="900" w:type="dxa"/>
            <w:shd w:val="clear" w:color="auto" w:fill="FFFFFF"/>
            <w:vAlign w:val="center"/>
          </w:tcPr>
          <w:p w14:paraId="50B55AA9">
            <w:pPr>
              <w:pStyle w:val="59"/>
              <w:bidi w:val="0"/>
              <w:rPr>
                <w:rFonts w:hint="default"/>
                <w:b w:val="0"/>
                <w:color w:val="000000"/>
              </w:rPr>
            </w:pPr>
            <w:r>
              <w:rPr>
                <w:rFonts w:hint="default"/>
                <w:b w:val="0"/>
                <w:color w:val="000000"/>
                <w:lang w:val="en-US" w:eastAsia="zh-CN"/>
              </w:rPr>
              <w:t>25</w:t>
            </w:r>
          </w:p>
        </w:tc>
        <w:tc>
          <w:tcPr>
            <w:tcW w:w="604" w:type="dxa"/>
            <w:shd w:val="clear" w:color="auto" w:fill="FFFFFF"/>
            <w:vAlign w:val="center"/>
          </w:tcPr>
          <w:p w14:paraId="1F0554A3">
            <w:pPr>
              <w:pStyle w:val="59"/>
              <w:bidi w:val="0"/>
              <w:rPr>
                <w:rFonts w:hint="default"/>
                <w:b w:val="0"/>
                <w:color w:val="000000"/>
              </w:rPr>
            </w:pPr>
            <w:r>
              <w:rPr>
                <w:rFonts w:hint="default"/>
                <w:b w:val="0"/>
                <w:color w:val="000000"/>
                <w:lang w:val="en-US" w:eastAsia="zh-CN"/>
              </w:rPr>
              <w:t xml:space="preserve">27 </w:t>
            </w:r>
          </w:p>
        </w:tc>
        <w:tc>
          <w:tcPr>
            <w:tcW w:w="550" w:type="dxa"/>
            <w:shd w:val="clear" w:color="auto" w:fill="FFFFFF"/>
            <w:vAlign w:val="center"/>
          </w:tcPr>
          <w:p w14:paraId="1B6A7B0E">
            <w:pPr>
              <w:pStyle w:val="59"/>
              <w:bidi w:val="0"/>
              <w:rPr>
                <w:rFonts w:hint="default"/>
                <w:b w:val="0"/>
                <w:color w:val="000000"/>
              </w:rPr>
            </w:pPr>
            <w:r>
              <w:rPr>
                <w:rFonts w:hint="default"/>
                <w:b w:val="0"/>
                <w:color w:val="000000"/>
                <w:lang w:val="en-US" w:eastAsia="zh-CN"/>
              </w:rPr>
              <w:t xml:space="preserve">30 </w:t>
            </w:r>
          </w:p>
        </w:tc>
        <w:tc>
          <w:tcPr>
            <w:tcW w:w="509" w:type="dxa"/>
            <w:shd w:val="clear" w:color="auto" w:fill="FFFFFF"/>
            <w:vAlign w:val="center"/>
          </w:tcPr>
          <w:p w14:paraId="49A0D8EB">
            <w:pPr>
              <w:pStyle w:val="59"/>
              <w:bidi w:val="0"/>
              <w:rPr>
                <w:rFonts w:hint="default"/>
                <w:b w:val="0"/>
                <w:color w:val="000000"/>
              </w:rPr>
            </w:pPr>
            <w:r>
              <w:rPr>
                <w:rFonts w:hint="default"/>
                <w:b w:val="0"/>
                <w:color w:val="000000"/>
                <w:lang w:val="en-US" w:eastAsia="zh-CN"/>
              </w:rPr>
              <w:t xml:space="preserve">24 </w:t>
            </w:r>
          </w:p>
        </w:tc>
        <w:tc>
          <w:tcPr>
            <w:tcW w:w="509" w:type="dxa"/>
            <w:shd w:val="clear" w:color="auto" w:fill="FFFFFF"/>
            <w:vAlign w:val="center"/>
          </w:tcPr>
          <w:p w14:paraId="5004390A">
            <w:pPr>
              <w:pStyle w:val="59"/>
              <w:bidi w:val="0"/>
              <w:rPr>
                <w:rFonts w:hint="default"/>
                <w:b w:val="0"/>
                <w:color w:val="000000"/>
              </w:rPr>
            </w:pPr>
            <w:r>
              <w:rPr>
                <w:rFonts w:hint="default"/>
                <w:b w:val="0"/>
                <w:color w:val="000000"/>
                <w:lang w:val="en-US" w:eastAsia="zh-CN"/>
              </w:rPr>
              <w:t xml:space="preserve">32 </w:t>
            </w:r>
          </w:p>
        </w:tc>
        <w:tc>
          <w:tcPr>
            <w:tcW w:w="673" w:type="dxa"/>
            <w:tcBorders>
              <w:right w:val="nil"/>
            </w:tcBorders>
            <w:shd w:val="clear" w:color="auto" w:fill="FFFFFF"/>
            <w:vAlign w:val="center"/>
          </w:tcPr>
          <w:p w14:paraId="13725D75">
            <w:pPr>
              <w:pStyle w:val="59"/>
              <w:bidi w:val="0"/>
              <w:rPr>
                <w:rFonts w:hint="default"/>
                <w:b w:val="0"/>
                <w:color w:val="000000"/>
              </w:rPr>
            </w:pPr>
            <w:r>
              <w:rPr>
                <w:rFonts w:hint="default"/>
                <w:b w:val="0"/>
                <w:color w:val="000000"/>
                <w:lang w:val="en-US" w:eastAsia="zh-CN"/>
              </w:rPr>
              <w:t>1</w:t>
            </w:r>
          </w:p>
        </w:tc>
      </w:tr>
      <w:tr w14:paraId="71DAB11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1" w:type="dxa"/>
            <w:tcBorders>
              <w:left w:val="nil"/>
              <w:bottom w:val="single" w:color="000000" w:sz="12" w:space="0"/>
            </w:tcBorders>
            <w:shd w:val="clear" w:color="auto" w:fill="FFFFFF"/>
            <w:vAlign w:val="center"/>
          </w:tcPr>
          <w:p w14:paraId="40C93070">
            <w:pPr>
              <w:pStyle w:val="59"/>
              <w:bidi w:val="0"/>
              <w:rPr>
                <w:rFonts w:hint="eastAsia"/>
                <w:b w:val="0"/>
                <w:color w:val="000000"/>
              </w:rPr>
            </w:pPr>
            <w:r>
              <w:rPr>
                <w:rFonts w:hint="eastAsia"/>
                <w:b w:val="0"/>
                <w:color w:val="000000"/>
                <w:lang w:val="en-US" w:eastAsia="zh-CN"/>
              </w:rPr>
              <w:t>8</w:t>
            </w:r>
          </w:p>
        </w:tc>
        <w:tc>
          <w:tcPr>
            <w:tcW w:w="1573" w:type="dxa"/>
            <w:tcBorders>
              <w:bottom w:val="single" w:color="000000" w:sz="12" w:space="0"/>
            </w:tcBorders>
            <w:shd w:val="clear" w:color="auto" w:fill="FFFFFF"/>
            <w:vAlign w:val="center"/>
          </w:tcPr>
          <w:p w14:paraId="07232722">
            <w:pPr>
              <w:pStyle w:val="59"/>
              <w:bidi w:val="0"/>
              <w:rPr>
                <w:rFonts w:hint="default"/>
                <w:b w:val="0"/>
                <w:color w:val="000000"/>
              </w:rPr>
            </w:pPr>
            <w:r>
              <w:rPr>
                <w:rFonts w:hint="default"/>
                <w:b w:val="0"/>
                <w:color w:val="000000"/>
                <w:lang w:val="en-US" w:eastAsia="zh-CN"/>
              </w:rPr>
              <w:t>PVC</w:t>
            </w:r>
            <w:r>
              <w:rPr>
                <w:rFonts w:hint="eastAsia"/>
                <w:b w:val="0"/>
                <w:color w:val="000000"/>
                <w:lang w:val="en-US" w:eastAsia="zh-CN"/>
              </w:rPr>
              <w:t>定型机</w:t>
            </w:r>
          </w:p>
        </w:tc>
        <w:tc>
          <w:tcPr>
            <w:tcW w:w="575" w:type="dxa"/>
            <w:tcBorders>
              <w:bottom w:val="single" w:color="000000" w:sz="12" w:space="0"/>
            </w:tcBorders>
            <w:shd w:val="clear" w:color="auto" w:fill="FFFFFF"/>
            <w:vAlign w:val="center"/>
          </w:tcPr>
          <w:p w14:paraId="6A28F9C9">
            <w:pPr>
              <w:pStyle w:val="59"/>
              <w:bidi w:val="0"/>
              <w:rPr>
                <w:rFonts w:hint="default"/>
                <w:b w:val="0"/>
                <w:color w:val="000000"/>
              </w:rPr>
            </w:pPr>
            <w:r>
              <w:rPr>
                <w:rFonts w:hint="default"/>
                <w:b w:val="0"/>
                <w:color w:val="000000"/>
                <w:lang w:val="en-US" w:eastAsia="zh-CN"/>
              </w:rPr>
              <w:t>/</w:t>
            </w:r>
          </w:p>
        </w:tc>
        <w:tc>
          <w:tcPr>
            <w:tcW w:w="929" w:type="dxa"/>
            <w:tcBorders>
              <w:bottom w:val="single" w:color="000000" w:sz="12" w:space="0"/>
            </w:tcBorders>
            <w:shd w:val="clear" w:color="auto" w:fill="FFFFFF"/>
            <w:vAlign w:val="center"/>
          </w:tcPr>
          <w:p w14:paraId="4F29FD8F">
            <w:pPr>
              <w:pStyle w:val="59"/>
              <w:bidi w:val="0"/>
              <w:rPr>
                <w:rFonts w:hint="default"/>
                <w:b w:val="0"/>
                <w:color w:val="000000"/>
              </w:rPr>
            </w:pPr>
            <w:r>
              <w:rPr>
                <w:rFonts w:hint="default"/>
                <w:b w:val="0"/>
                <w:color w:val="000000"/>
                <w:lang w:val="en-US" w:eastAsia="zh-CN"/>
              </w:rPr>
              <w:t>80</w:t>
            </w:r>
          </w:p>
        </w:tc>
        <w:tc>
          <w:tcPr>
            <w:tcW w:w="650" w:type="dxa"/>
            <w:vMerge w:val="continue"/>
            <w:tcBorders>
              <w:bottom w:val="single" w:color="000000" w:sz="12" w:space="0"/>
            </w:tcBorders>
            <w:shd w:val="clear" w:color="auto" w:fill="FFFFFF"/>
            <w:vAlign w:val="center"/>
          </w:tcPr>
          <w:p w14:paraId="4B6BF8C5">
            <w:pPr>
              <w:pStyle w:val="59"/>
              <w:bidi w:val="0"/>
              <w:rPr>
                <w:rFonts w:hint="eastAsia"/>
                <w:b w:val="0"/>
                <w:color w:val="000000"/>
              </w:rPr>
            </w:pPr>
          </w:p>
        </w:tc>
        <w:tc>
          <w:tcPr>
            <w:tcW w:w="492" w:type="dxa"/>
            <w:tcBorders>
              <w:bottom w:val="single" w:color="000000" w:sz="12" w:space="0"/>
            </w:tcBorders>
            <w:shd w:val="clear" w:color="auto" w:fill="FFFFFF"/>
            <w:vAlign w:val="center"/>
          </w:tcPr>
          <w:p w14:paraId="0CDCDAF3">
            <w:pPr>
              <w:pStyle w:val="59"/>
              <w:bidi w:val="0"/>
              <w:rPr>
                <w:rFonts w:hint="default"/>
                <w:b w:val="0"/>
                <w:color w:val="000000"/>
              </w:rPr>
            </w:pPr>
            <w:r>
              <w:rPr>
                <w:rFonts w:hint="default"/>
                <w:b w:val="0"/>
                <w:color w:val="000000"/>
                <w:lang w:val="en-US" w:eastAsia="zh-CN"/>
              </w:rPr>
              <w:t>11</w:t>
            </w:r>
          </w:p>
        </w:tc>
        <w:tc>
          <w:tcPr>
            <w:tcW w:w="479" w:type="dxa"/>
            <w:tcBorders>
              <w:bottom w:val="single" w:color="000000" w:sz="12" w:space="0"/>
            </w:tcBorders>
            <w:shd w:val="clear" w:color="auto" w:fill="FFFFFF"/>
            <w:vAlign w:val="center"/>
          </w:tcPr>
          <w:p w14:paraId="580556F2">
            <w:pPr>
              <w:pStyle w:val="59"/>
              <w:bidi w:val="0"/>
              <w:rPr>
                <w:rFonts w:hint="default"/>
                <w:b w:val="0"/>
                <w:color w:val="000000"/>
              </w:rPr>
            </w:pPr>
            <w:r>
              <w:rPr>
                <w:rFonts w:hint="default"/>
                <w:b w:val="0"/>
                <w:color w:val="000000"/>
                <w:lang w:val="en-US" w:eastAsia="zh-CN"/>
              </w:rPr>
              <w:t>12</w:t>
            </w:r>
          </w:p>
        </w:tc>
        <w:tc>
          <w:tcPr>
            <w:tcW w:w="436" w:type="dxa"/>
            <w:tcBorders>
              <w:bottom w:val="single" w:color="000000" w:sz="12" w:space="0"/>
            </w:tcBorders>
            <w:shd w:val="clear" w:color="auto" w:fill="FFFFFF"/>
            <w:vAlign w:val="center"/>
          </w:tcPr>
          <w:p w14:paraId="6ED1000D">
            <w:pPr>
              <w:pStyle w:val="59"/>
              <w:bidi w:val="0"/>
              <w:rPr>
                <w:rFonts w:hint="default"/>
                <w:b w:val="0"/>
                <w:color w:val="000000"/>
              </w:rPr>
            </w:pPr>
            <w:r>
              <w:rPr>
                <w:rFonts w:hint="default"/>
                <w:b w:val="0"/>
                <w:color w:val="000000"/>
                <w:lang w:val="en-US" w:eastAsia="zh-CN"/>
              </w:rPr>
              <w:t>6</w:t>
            </w:r>
          </w:p>
        </w:tc>
        <w:tc>
          <w:tcPr>
            <w:tcW w:w="521" w:type="dxa"/>
            <w:tcBorders>
              <w:bottom w:val="single" w:color="000000" w:sz="12" w:space="0"/>
            </w:tcBorders>
            <w:shd w:val="clear" w:color="auto" w:fill="FFFFFF"/>
            <w:vAlign w:val="center"/>
          </w:tcPr>
          <w:p w14:paraId="60F3CC98">
            <w:pPr>
              <w:pStyle w:val="59"/>
              <w:bidi w:val="0"/>
              <w:rPr>
                <w:rFonts w:hint="default"/>
                <w:b w:val="0"/>
                <w:color w:val="000000"/>
              </w:rPr>
            </w:pPr>
            <w:r>
              <w:rPr>
                <w:rFonts w:hint="default"/>
                <w:b w:val="0"/>
                <w:color w:val="000000"/>
                <w:lang w:val="en-US" w:eastAsia="zh-CN"/>
              </w:rPr>
              <w:t xml:space="preserve">11 </w:t>
            </w:r>
          </w:p>
        </w:tc>
        <w:tc>
          <w:tcPr>
            <w:tcW w:w="645" w:type="dxa"/>
            <w:tcBorders>
              <w:bottom w:val="single" w:color="000000" w:sz="12" w:space="0"/>
            </w:tcBorders>
            <w:shd w:val="clear" w:color="auto" w:fill="FFFFFF"/>
            <w:vAlign w:val="center"/>
          </w:tcPr>
          <w:p w14:paraId="3C193D5B">
            <w:pPr>
              <w:pStyle w:val="59"/>
              <w:bidi w:val="0"/>
              <w:rPr>
                <w:rFonts w:hint="default"/>
                <w:b w:val="0"/>
                <w:color w:val="000000"/>
              </w:rPr>
            </w:pPr>
            <w:r>
              <w:rPr>
                <w:rFonts w:hint="default"/>
                <w:b w:val="0"/>
                <w:color w:val="000000"/>
                <w:lang w:val="en-US" w:eastAsia="zh-CN"/>
              </w:rPr>
              <w:t xml:space="preserve">7 </w:t>
            </w:r>
          </w:p>
        </w:tc>
        <w:tc>
          <w:tcPr>
            <w:tcW w:w="426" w:type="dxa"/>
            <w:tcBorders>
              <w:bottom w:val="single" w:color="000000" w:sz="12" w:space="0"/>
            </w:tcBorders>
            <w:shd w:val="clear" w:color="auto" w:fill="FFFFFF"/>
            <w:vAlign w:val="center"/>
          </w:tcPr>
          <w:p w14:paraId="3BB267A6">
            <w:pPr>
              <w:pStyle w:val="59"/>
              <w:bidi w:val="0"/>
              <w:rPr>
                <w:rFonts w:hint="default"/>
                <w:b w:val="0"/>
                <w:color w:val="000000"/>
              </w:rPr>
            </w:pPr>
            <w:r>
              <w:rPr>
                <w:rFonts w:hint="default"/>
                <w:b w:val="0"/>
                <w:color w:val="000000"/>
                <w:lang w:val="en-US" w:eastAsia="zh-CN"/>
              </w:rPr>
              <w:t xml:space="preserve">55 </w:t>
            </w:r>
          </w:p>
        </w:tc>
        <w:tc>
          <w:tcPr>
            <w:tcW w:w="465" w:type="dxa"/>
            <w:tcBorders>
              <w:bottom w:val="single" w:color="000000" w:sz="12" w:space="0"/>
            </w:tcBorders>
            <w:shd w:val="clear" w:color="auto" w:fill="FFFFFF"/>
            <w:vAlign w:val="center"/>
          </w:tcPr>
          <w:p w14:paraId="6EE218F9">
            <w:pPr>
              <w:pStyle w:val="59"/>
              <w:bidi w:val="0"/>
              <w:rPr>
                <w:rFonts w:hint="default"/>
                <w:b w:val="0"/>
                <w:color w:val="000000"/>
              </w:rPr>
            </w:pPr>
            <w:r>
              <w:rPr>
                <w:rFonts w:hint="default"/>
                <w:b w:val="0"/>
                <w:color w:val="000000"/>
                <w:lang w:val="en-US" w:eastAsia="zh-CN"/>
              </w:rPr>
              <w:t xml:space="preserve">5 </w:t>
            </w:r>
          </w:p>
        </w:tc>
        <w:tc>
          <w:tcPr>
            <w:tcW w:w="715" w:type="dxa"/>
            <w:tcBorders>
              <w:bottom w:val="single" w:color="000000" w:sz="12" w:space="0"/>
            </w:tcBorders>
            <w:shd w:val="clear" w:color="auto" w:fill="FFFFFF"/>
            <w:vAlign w:val="center"/>
          </w:tcPr>
          <w:p w14:paraId="03E53C2B">
            <w:pPr>
              <w:pStyle w:val="59"/>
              <w:bidi w:val="0"/>
              <w:rPr>
                <w:rFonts w:hint="default"/>
                <w:b w:val="0"/>
                <w:color w:val="000000"/>
              </w:rPr>
            </w:pPr>
            <w:r>
              <w:rPr>
                <w:rFonts w:hint="default"/>
                <w:b w:val="0"/>
                <w:color w:val="000000"/>
                <w:lang w:val="en-US" w:eastAsia="zh-CN"/>
              </w:rPr>
              <w:t xml:space="preserve">52 </w:t>
            </w:r>
          </w:p>
        </w:tc>
        <w:tc>
          <w:tcPr>
            <w:tcW w:w="660" w:type="dxa"/>
            <w:tcBorders>
              <w:bottom w:val="single" w:color="000000" w:sz="12" w:space="0"/>
            </w:tcBorders>
            <w:shd w:val="clear" w:color="auto" w:fill="FFFFFF"/>
            <w:vAlign w:val="center"/>
          </w:tcPr>
          <w:p w14:paraId="193A2F33">
            <w:pPr>
              <w:pStyle w:val="59"/>
              <w:bidi w:val="0"/>
              <w:rPr>
                <w:rFonts w:hint="default"/>
                <w:b w:val="0"/>
                <w:color w:val="000000"/>
              </w:rPr>
            </w:pPr>
            <w:r>
              <w:rPr>
                <w:rFonts w:hint="default"/>
                <w:b w:val="0"/>
                <w:color w:val="000000"/>
                <w:lang w:val="en-US" w:eastAsia="zh-CN"/>
              </w:rPr>
              <w:t xml:space="preserve">54 </w:t>
            </w:r>
          </w:p>
        </w:tc>
        <w:tc>
          <w:tcPr>
            <w:tcW w:w="496" w:type="dxa"/>
            <w:tcBorders>
              <w:bottom w:val="single" w:color="000000" w:sz="12" w:space="0"/>
            </w:tcBorders>
            <w:shd w:val="clear" w:color="auto" w:fill="FFFFFF"/>
            <w:vAlign w:val="center"/>
          </w:tcPr>
          <w:p w14:paraId="1C303306">
            <w:pPr>
              <w:pStyle w:val="59"/>
              <w:bidi w:val="0"/>
              <w:rPr>
                <w:rFonts w:hint="default"/>
                <w:b w:val="0"/>
                <w:color w:val="000000"/>
              </w:rPr>
            </w:pPr>
            <w:r>
              <w:rPr>
                <w:rFonts w:hint="default"/>
                <w:b w:val="0"/>
                <w:color w:val="000000"/>
                <w:lang w:val="en-US" w:eastAsia="zh-CN"/>
              </w:rPr>
              <w:t xml:space="preserve">50 </w:t>
            </w:r>
          </w:p>
        </w:tc>
        <w:tc>
          <w:tcPr>
            <w:tcW w:w="522" w:type="dxa"/>
            <w:tcBorders>
              <w:bottom w:val="single" w:color="000000" w:sz="12" w:space="0"/>
            </w:tcBorders>
            <w:shd w:val="clear" w:color="auto" w:fill="FFFFFF"/>
            <w:vAlign w:val="center"/>
          </w:tcPr>
          <w:p w14:paraId="4D95B1BE">
            <w:pPr>
              <w:pStyle w:val="59"/>
              <w:bidi w:val="0"/>
              <w:rPr>
                <w:rFonts w:hint="default"/>
                <w:b w:val="0"/>
                <w:color w:val="000000"/>
              </w:rPr>
            </w:pPr>
            <w:r>
              <w:rPr>
                <w:rFonts w:hint="default"/>
                <w:b w:val="0"/>
                <w:color w:val="000000"/>
                <w:lang w:val="en-US" w:eastAsia="zh-CN"/>
              </w:rPr>
              <w:t xml:space="preserve">56 </w:t>
            </w:r>
          </w:p>
        </w:tc>
        <w:tc>
          <w:tcPr>
            <w:tcW w:w="589" w:type="dxa"/>
            <w:vMerge w:val="continue"/>
            <w:tcBorders>
              <w:bottom w:val="single" w:color="000000" w:sz="12" w:space="0"/>
            </w:tcBorders>
            <w:shd w:val="clear" w:color="auto" w:fill="FFFFFF"/>
            <w:vAlign w:val="center"/>
          </w:tcPr>
          <w:p w14:paraId="698FDB5E">
            <w:pPr>
              <w:pStyle w:val="59"/>
              <w:bidi w:val="0"/>
              <w:rPr>
                <w:rFonts w:hint="default"/>
                <w:b w:val="0"/>
                <w:color w:val="000000"/>
              </w:rPr>
            </w:pPr>
          </w:p>
        </w:tc>
        <w:tc>
          <w:tcPr>
            <w:tcW w:w="900" w:type="dxa"/>
            <w:tcBorders>
              <w:bottom w:val="single" w:color="000000" w:sz="12" w:space="0"/>
            </w:tcBorders>
            <w:shd w:val="clear" w:color="auto" w:fill="FFFFFF"/>
            <w:vAlign w:val="center"/>
          </w:tcPr>
          <w:p w14:paraId="7C7578B3">
            <w:pPr>
              <w:pStyle w:val="59"/>
              <w:bidi w:val="0"/>
              <w:rPr>
                <w:rFonts w:hint="default"/>
                <w:b w:val="0"/>
                <w:color w:val="000000"/>
              </w:rPr>
            </w:pPr>
            <w:r>
              <w:rPr>
                <w:rFonts w:hint="default"/>
                <w:b w:val="0"/>
                <w:color w:val="000000"/>
                <w:lang w:val="en-US" w:eastAsia="zh-CN"/>
              </w:rPr>
              <w:t>25</w:t>
            </w:r>
          </w:p>
        </w:tc>
        <w:tc>
          <w:tcPr>
            <w:tcW w:w="604" w:type="dxa"/>
            <w:tcBorders>
              <w:bottom w:val="single" w:color="000000" w:sz="12" w:space="0"/>
            </w:tcBorders>
            <w:shd w:val="clear" w:color="auto" w:fill="FFFFFF"/>
            <w:vAlign w:val="center"/>
          </w:tcPr>
          <w:p w14:paraId="6339F9A0">
            <w:pPr>
              <w:pStyle w:val="59"/>
              <w:bidi w:val="0"/>
              <w:rPr>
                <w:rFonts w:hint="default"/>
                <w:b w:val="0"/>
                <w:color w:val="000000"/>
              </w:rPr>
            </w:pPr>
            <w:r>
              <w:rPr>
                <w:rFonts w:hint="default"/>
                <w:b w:val="0"/>
                <w:color w:val="000000"/>
                <w:lang w:val="en-US" w:eastAsia="zh-CN"/>
              </w:rPr>
              <w:t xml:space="preserve">32 </w:t>
            </w:r>
          </w:p>
        </w:tc>
        <w:tc>
          <w:tcPr>
            <w:tcW w:w="550" w:type="dxa"/>
            <w:tcBorders>
              <w:bottom w:val="single" w:color="000000" w:sz="12" w:space="0"/>
            </w:tcBorders>
            <w:shd w:val="clear" w:color="auto" w:fill="FFFFFF"/>
            <w:vAlign w:val="center"/>
          </w:tcPr>
          <w:p w14:paraId="5EB30A5E">
            <w:pPr>
              <w:pStyle w:val="59"/>
              <w:bidi w:val="0"/>
              <w:rPr>
                <w:rFonts w:hint="default"/>
                <w:b w:val="0"/>
                <w:color w:val="000000"/>
              </w:rPr>
            </w:pPr>
            <w:r>
              <w:rPr>
                <w:rFonts w:hint="default"/>
                <w:b w:val="0"/>
                <w:color w:val="000000"/>
                <w:lang w:val="en-US" w:eastAsia="zh-CN"/>
              </w:rPr>
              <w:t xml:space="preserve">34 </w:t>
            </w:r>
          </w:p>
        </w:tc>
        <w:tc>
          <w:tcPr>
            <w:tcW w:w="509" w:type="dxa"/>
            <w:tcBorders>
              <w:bottom w:val="single" w:color="000000" w:sz="12" w:space="0"/>
            </w:tcBorders>
            <w:shd w:val="clear" w:color="auto" w:fill="FFFFFF"/>
            <w:vAlign w:val="center"/>
          </w:tcPr>
          <w:p w14:paraId="231A45A7">
            <w:pPr>
              <w:pStyle w:val="59"/>
              <w:bidi w:val="0"/>
              <w:rPr>
                <w:rFonts w:hint="default"/>
                <w:b w:val="0"/>
                <w:color w:val="000000"/>
              </w:rPr>
            </w:pPr>
            <w:r>
              <w:rPr>
                <w:rFonts w:hint="default"/>
                <w:b w:val="0"/>
                <w:color w:val="000000"/>
                <w:lang w:val="en-US" w:eastAsia="zh-CN"/>
              </w:rPr>
              <w:t xml:space="preserve">29 </w:t>
            </w:r>
          </w:p>
        </w:tc>
        <w:tc>
          <w:tcPr>
            <w:tcW w:w="509" w:type="dxa"/>
            <w:tcBorders>
              <w:bottom w:val="single" w:color="000000" w:sz="12" w:space="0"/>
            </w:tcBorders>
            <w:shd w:val="clear" w:color="auto" w:fill="FFFFFF"/>
            <w:vAlign w:val="center"/>
          </w:tcPr>
          <w:p w14:paraId="70ACB17A">
            <w:pPr>
              <w:pStyle w:val="59"/>
              <w:bidi w:val="0"/>
              <w:rPr>
                <w:rFonts w:hint="default"/>
                <w:b w:val="0"/>
                <w:color w:val="000000"/>
              </w:rPr>
            </w:pPr>
            <w:r>
              <w:rPr>
                <w:rFonts w:hint="default"/>
                <w:b w:val="0"/>
                <w:color w:val="000000"/>
                <w:lang w:val="en-US" w:eastAsia="zh-CN"/>
              </w:rPr>
              <w:t xml:space="preserve">36 </w:t>
            </w:r>
          </w:p>
        </w:tc>
        <w:tc>
          <w:tcPr>
            <w:tcW w:w="673" w:type="dxa"/>
            <w:tcBorders>
              <w:bottom w:val="single" w:color="000000" w:sz="12" w:space="0"/>
              <w:right w:val="nil"/>
            </w:tcBorders>
            <w:shd w:val="clear" w:color="auto" w:fill="FFFFFF"/>
            <w:vAlign w:val="center"/>
          </w:tcPr>
          <w:p w14:paraId="13BA5C05">
            <w:pPr>
              <w:pStyle w:val="59"/>
              <w:bidi w:val="0"/>
              <w:rPr>
                <w:rFonts w:hint="default"/>
                <w:b w:val="0"/>
                <w:color w:val="000000"/>
              </w:rPr>
            </w:pPr>
            <w:r>
              <w:rPr>
                <w:rFonts w:hint="default"/>
                <w:b w:val="0"/>
                <w:color w:val="000000"/>
                <w:lang w:val="en-US" w:eastAsia="zh-CN"/>
              </w:rPr>
              <w:t>1</w:t>
            </w:r>
          </w:p>
        </w:tc>
      </w:tr>
    </w:tbl>
    <w:p w14:paraId="6CE64FB5">
      <w:pPr>
        <w:spacing w:before="29" w:line="221" w:lineRule="auto"/>
        <w:ind w:left="37"/>
        <w:rPr>
          <w:rFonts w:ascii="宋体" w:hAnsi="宋体" w:eastAsia="宋体" w:cs="宋体"/>
          <w:sz w:val="21"/>
          <w:szCs w:val="21"/>
        </w:rPr>
      </w:pPr>
      <w:r>
        <w:rPr>
          <w:rFonts w:ascii="宋体" w:hAnsi="宋体" w:eastAsia="宋体" w:cs="宋体"/>
          <w:sz w:val="21"/>
          <w:szCs w:val="21"/>
        </w:rPr>
        <w:t>注：将每种设备所在区域看作一个整体，空间相对位置为所在区</w:t>
      </w:r>
      <w:r>
        <w:rPr>
          <w:rFonts w:ascii="宋体" w:hAnsi="宋体" w:eastAsia="宋体" w:cs="宋体"/>
          <w:spacing w:val="-1"/>
          <w:sz w:val="21"/>
          <w:szCs w:val="21"/>
        </w:rPr>
        <w:t>域的中心，若设备位于二层，项目位置的</w:t>
      </w:r>
      <w:r>
        <w:rPr>
          <w:rFonts w:ascii="宋体" w:hAnsi="宋体" w:eastAsia="宋体" w:cs="宋体"/>
          <w:spacing w:val="-52"/>
          <w:sz w:val="21"/>
          <w:szCs w:val="21"/>
        </w:rPr>
        <w:t xml:space="preserve"> </w:t>
      </w:r>
      <w:r>
        <w:rPr>
          <w:rFonts w:ascii="Times New Roman" w:hAnsi="Times New Roman" w:eastAsia="Times New Roman" w:cs="Times New Roman"/>
          <w:spacing w:val="-1"/>
          <w:sz w:val="21"/>
          <w:szCs w:val="21"/>
        </w:rPr>
        <w:t xml:space="preserve">Z </w:t>
      </w:r>
      <w:r>
        <w:rPr>
          <w:rFonts w:ascii="宋体" w:hAnsi="宋体" w:eastAsia="宋体" w:cs="宋体"/>
          <w:spacing w:val="-1"/>
          <w:sz w:val="21"/>
          <w:szCs w:val="21"/>
        </w:rPr>
        <w:t>值包含楼层高度。</w:t>
      </w:r>
    </w:p>
    <w:p w14:paraId="288DE1FB">
      <w:pPr>
        <w:snapToGrid w:val="0"/>
        <w:spacing w:before="166" w:beforeLines="50" w:after="166" w:afterLines="50"/>
        <w:ind w:firstLine="480"/>
        <w:rPr>
          <w:rFonts w:hint="eastAsia"/>
          <w:color w:val="auto"/>
          <w:highlight w:val="none"/>
        </w:rPr>
        <w:sectPr>
          <w:pgSz w:w="16838" w:h="11906" w:orient="landscape"/>
          <w:pgMar w:top="1417" w:right="1417" w:bottom="1417" w:left="1417" w:header="851" w:footer="992" w:gutter="0"/>
          <w:pgNumType w:fmt="decimal"/>
          <w:cols w:space="720" w:num="1"/>
          <w:docGrid w:type="lines" w:linePitch="333" w:charSpace="0"/>
        </w:sectPr>
      </w:pPr>
    </w:p>
    <w:p w14:paraId="6E992643">
      <w:pPr>
        <w:snapToGrid w:val="0"/>
        <w:spacing w:before="166" w:beforeLines="50" w:after="166" w:afterLines="50"/>
        <w:ind w:firstLine="480"/>
        <w:rPr>
          <w:rFonts w:hint="eastAsia" w:eastAsia="宋体"/>
          <w:color w:val="auto"/>
          <w:highlight w:val="none"/>
          <w:lang w:val="en-US" w:eastAsia="zh-CN"/>
        </w:rPr>
      </w:pPr>
      <w:r>
        <w:rPr>
          <w:rFonts w:hint="eastAsia"/>
          <w:color w:val="auto"/>
          <w:highlight w:val="none"/>
        </w:rPr>
        <w:t>从</w:t>
      </w:r>
      <w:r>
        <w:rPr>
          <w:rFonts w:hint="eastAsia"/>
          <w:color w:val="auto"/>
          <w:highlight w:val="none"/>
          <w:lang w:eastAsia="zh-CN"/>
        </w:rPr>
        <w:t>表</w:t>
      </w:r>
      <w:r>
        <w:rPr>
          <w:rFonts w:hint="eastAsia"/>
          <w:color w:val="auto"/>
          <w:highlight w:val="none"/>
          <w:lang w:val="en-US" w:eastAsia="zh-CN"/>
        </w:rPr>
        <w:t>4</w:t>
      </w:r>
      <w:r>
        <w:rPr>
          <w:rFonts w:hint="eastAsia"/>
          <w:color w:val="auto"/>
          <w:highlight w:val="none"/>
        </w:rPr>
        <w:t>.4-</w:t>
      </w:r>
      <w:r>
        <w:rPr>
          <w:rFonts w:hint="eastAsia"/>
          <w:color w:val="auto"/>
          <w:highlight w:val="none"/>
          <w:lang w:val="en-US" w:eastAsia="zh-CN"/>
        </w:rPr>
        <w:t>2和表4.4-3</w:t>
      </w:r>
      <w:r>
        <w:rPr>
          <w:rFonts w:hint="eastAsia"/>
          <w:color w:val="auto"/>
          <w:highlight w:val="none"/>
        </w:rPr>
        <w:t>可知，所有设备同时运行时，考虑厂房隔声量情况下，</w:t>
      </w:r>
      <w:r>
        <w:rPr>
          <w:rFonts w:hint="eastAsia"/>
          <w:color w:val="auto"/>
          <w:highlight w:val="none"/>
          <w:lang w:val="en-US" w:eastAsia="zh-CN"/>
        </w:rPr>
        <w:t>厂界均达到</w:t>
      </w:r>
      <w:r>
        <w:rPr>
          <w:color w:val="auto"/>
          <w:highlight w:val="none"/>
        </w:rPr>
        <w:t>《工业企业厂界环境噪声排放标准》（GB12348－2008）3类标准</w:t>
      </w:r>
      <w:r>
        <w:rPr>
          <w:rFonts w:hint="eastAsia"/>
          <w:color w:val="auto"/>
          <w:highlight w:val="none"/>
        </w:rPr>
        <w:t>（昼间≤65dB，夜间≤55dB）</w:t>
      </w:r>
      <w:r>
        <w:rPr>
          <w:rFonts w:hint="eastAsia"/>
          <w:color w:val="auto"/>
          <w:highlight w:val="none"/>
          <w:lang w:eastAsia="zh-CN"/>
        </w:rPr>
        <w:t>。</w:t>
      </w:r>
    </w:p>
    <w:p w14:paraId="33EDE1B5">
      <w:pPr>
        <w:pStyle w:val="67"/>
        <w:numPr>
          <w:ilvl w:val="1"/>
          <w:numId w:val="8"/>
        </w:numPr>
        <w:bidi w:val="0"/>
        <w:ind w:left="567" w:leftChars="0" w:hanging="567" w:firstLineChars="0"/>
        <w:rPr>
          <w:rFonts w:hint="eastAsia" w:ascii="Times New Roman" w:hAnsi="Times New Roman" w:eastAsia="宋体" w:cs="Times New Roman"/>
          <w:color w:val="auto"/>
        </w:rPr>
      </w:pPr>
      <w:bookmarkStart w:id="151" w:name="_Toc12286"/>
      <w:r>
        <w:rPr>
          <w:rFonts w:hint="eastAsia" w:ascii="Times New Roman" w:hAnsi="Times New Roman" w:eastAsia="宋体" w:cs="Times New Roman"/>
          <w:color w:val="auto"/>
        </w:rPr>
        <w:t>营运期固体废物环境影响分析</w:t>
      </w:r>
      <w:bookmarkEnd w:id="151"/>
    </w:p>
    <w:p w14:paraId="7F1D173C">
      <w:pPr>
        <w:adjustRightInd w:val="0"/>
        <w:snapToGrid w:val="0"/>
        <w:ind w:firstLine="480"/>
        <w:rPr>
          <w:color w:val="auto"/>
        </w:rPr>
      </w:pPr>
      <w:r>
        <w:rPr>
          <w:rFonts w:hint="eastAsia"/>
          <w:color w:val="auto"/>
        </w:rPr>
        <w:t>建设项目产生的废物有生活垃圾、</w:t>
      </w:r>
      <w:r>
        <w:rPr>
          <w:rFonts w:hint="eastAsia"/>
          <w:color w:val="auto"/>
          <w:lang w:val="en-US" w:eastAsia="zh-CN"/>
        </w:rPr>
        <w:t>塑废边角料、次品、废普通包装物、废印版、废包装桶、废油墨、</w:t>
      </w:r>
      <w:r>
        <w:rPr>
          <w:rFonts w:hint="eastAsia"/>
          <w:lang w:val="en-US" w:eastAsia="zh-CN"/>
        </w:rPr>
        <w:t>废矿物油及其包装罐</w:t>
      </w:r>
      <w:r>
        <w:rPr>
          <w:rFonts w:hint="eastAsia"/>
          <w:color w:val="auto"/>
          <w:lang w:val="en-US" w:eastAsia="zh-CN"/>
        </w:rPr>
        <w:t>、废擦机布和手套、废过滤袋、废分子筛、废饱和活性炭</w:t>
      </w:r>
      <w:r>
        <w:rPr>
          <w:rFonts w:hint="eastAsia"/>
          <w:color w:val="auto"/>
        </w:rPr>
        <w:t>等。</w:t>
      </w:r>
    </w:p>
    <w:p w14:paraId="748E0BDE">
      <w:pPr>
        <w:bidi w:val="0"/>
        <w:rPr>
          <w:color w:val="auto"/>
        </w:rPr>
      </w:pPr>
      <w:r>
        <w:rPr>
          <w:color w:val="auto"/>
        </w:rPr>
        <w:t>项目固体废物的环境影响包括两个部分，一是固体废物（一般工业废物、危险固废等）在厂内暂时存放时的环境影响，二是固体废物在最终处置以后的环境影响。</w:t>
      </w:r>
    </w:p>
    <w:p w14:paraId="4FAD27BE">
      <w:pPr>
        <w:ind w:firstLine="480"/>
        <w:rPr>
          <w:color w:val="auto"/>
        </w:rPr>
      </w:pPr>
      <w:r>
        <w:rPr>
          <w:rFonts w:hint="eastAsia"/>
          <w:color w:val="auto"/>
          <w:lang w:val="en-US" w:eastAsia="zh-CN"/>
        </w:rPr>
        <w:t>1、</w:t>
      </w:r>
      <w:r>
        <w:rPr>
          <w:color w:val="auto"/>
        </w:rPr>
        <w:t>固体废物影响分析</w:t>
      </w:r>
    </w:p>
    <w:p w14:paraId="5C7D9259">
      <w:pPr>
        <w:ind w:firstLine="480"/>
        <w:rPr>
          <w:color w:val="auto"/>
        </w:rPr>
      </w:pPr>
      <w:r>
        <w:rPr>
          <w:color w:val="auto"/>
        </w:rPr>
        <w:t>固体废物中有害物质通过释放到水体、土壤和大气中而进入环境，对环境造成影响，影响的程度取决于释放过程中污染物的转移量及其进入环境后的浓度。项目产生的固废种类较多，从其产生固体废物的种类及其成份来看，若不妥善处置，有可能对土壤、水体、环境空气质量产生影响。</w:t>
      </w:r>
    </w:p>
    <w:p w14:paraId="44969F41">
      <w:pPr>
        <w:ind w:firstLine="480"/>
        <w:rPr>
          <w:color w:val="auto"/>
        </w:rPr>
      </w:pPr>
      <w:r>
        <w:rPr>
          <w:rFonts w:hint="eastAsia" w:cs="宋体"/>
          <w:color w:val="auto"/>
          <w:lang w:eastAsia="zh-CN"/>
        </w:rPr>
        <w:t>（</w:t>
      </w:r>
      <w:r>
        <w:rPr>
          <w:rFonts w:hint="eastAsia" w:cs="宋体"/>
          <w:color w:val="auto"/>
          <w:lang w:val="en-US" w:eastAsia="zh-CN"/>
        </w:rPr>
        <w:t>1</w:t>
      </w:r>
      <w:r>
        <w:rPr>
          <w:rFonts w:hint="eastAsia" w:cs="宋体"/>
          <w:color w:val="auto"/>
          <w:lang w:eastAsia="zh-CN"/>
        </w:rPr>
        <w:t>）</w:t>
      </w:r>
      <w:r>
        <w:rPr>
          <w:color w:val="auto"/>
        </w:rPr>
        <w:t>对土壤环境的影响分析</w:t>
      </w:r>
    </w:p>
    <w:p w14:paraId="43C21E7D">
      <w:pPr>
        <w:ind w:firstLine="480"/>
        <w:rPr>
          <w:color w:val="auto"/>
        </w:rPr>
      </w:pPr>
      <w:r>
        <w:rPr>
          <w:color w:val="auto"/>
        </w:rPr>
        <w:t>从固体废物中主要有害成分来看，固体废物中有重金属类物质和有机物类物质含量较高，若固体废物不考虑设置废物堆放处或者没有适当的防漏措施，其中的有害组分很容易经过风化、雨水淋溶、地表径流的侵蚀，产生高温和有毒液体渗入土壤，杀死土壤中的微生物，破坏微生物与周围环境构成的系统平衡，导致草木不生，对于耕地则造成大面积的减产。因此项目固体废物不能直接用于农业用途、不能只作一般的堆存或填埋，否则将对土壤造成污染。</w:t>
      </w:r>
    </w:p>
    <w:p w14:paraId="49E7E928">
      <w:pPr>
        <w:ind w:firstLine="480"/>
        <w:rPr>
          <w:color w:val="auto"/>
        </w:rPr>
      </w:pPr>
      <w:r>
        <w:rPr>
          <w:rFonts w:hint="eastAsia" w:cs="宋体"/>
          <w:color w:val="auto"/>
          <w:lang w:eastAsia="zh-CN"/>
        </w:rPr>
        <w:t>（</w:t>
      </w:r>
      <w:r>
        <w:rPr>
          <w:rFonts w:hint="eastAsia" w:cs="宋体"/>
          <w:color w:val="auto"/>
          <w:lang w:val="en-US" w:eastAsia="zh-CN"/>
        </w:rPr>
        <w:t>2</w:t>
      </w:r>
      <w:r>
        <w:rPr>
          <w:rFonts w:hint="eastAsia" w:cs="宋体"/>
          <w:color w:val="auto"/>
          <w:lang w:eastAsia="zh-CN"/>
        </w:rPr>
        <w:t>）</w:t>
      </w:r>
      <w:r>
        <w:rPr>
          <w:color w:val="auto"/>
        </w:rPr>
        <w:t>对水环境的影响分析</w:t>
      </w:r>
    </w:p>
    <w:p w14:paraId="5A814B8A">
      <w:pPr>
        <w:ind w:firstLine="480"/>
        <w:rPr>
          <w:color w:val="auto"/>
        </w:rPr>
      </w:pPr>
      <w:r>
        <w:rPr>
          <w:color w:val="auto"/>
        </w:rPr>
        <w:t>工业固体废物一旦与水</w:t>
      </w:r>
      <w:r>
        <w:rPr>
          <w:rFonts w:hint="eastAsia"/>
          <w:color w:val="auto"/>
        </w:rPr>
        <w:t>（</w:t>
      </w:r>
      <w:r>
        <w:rPr>
          <w:color w:val="auto"/>
        </w:rPr>
        <w:t>雨水、地表径流水或地下水等</w:t>
      </w:r>
      <w:r>
        <w:rPr>
          <w:rFonts w:hint="eastAsia"/>
          <w:color w:val="auto"/>
        </w:rPr>
        <w:t>）</w:t>
      </w:r>
      <w:r>
        <w:rPr>
          <w:color w:val="auto"/>
        </w:rPr>
        <w:t>接触，固体废物中的有害成份就会不可避免地或多或少被浸滤出来，污染物(有害成份)随浸出液进入地面水体和地下水层，可能对地面水体和地下水体造成污染，成为二次污染，因此必须对固体废物进行妥善处置，否则会污染水体。</w:t>
      </w:r>
    </w:p>
    <w:p w14:paraId="29657F78">
      <w:pPr>
        <w:ind w:firstLine="480"/>
        <w:rPr>
          <w:color w:val="auto"/>
        </w:rPr>
      </w:pPr>
      <w:r>
        <w:rPr>
          <w:rFonts w:hint="eastAsia" w:cs="宋体"/>
          <w:color w:val="auto"/>
          <w:lang w:eastAsia="zh-CN"/>
        </w:rPr>
        <w:t>（</w:t>
      </w:r>
      <w:r>
        <w:rPr>
          <w:rFonts w:hint="eastAsia" w:cs="宋体"/>
          <w:color w:val="auto"/>
          <w:lang w:val="en-US" w:eastAsia="zh-CN"/>
        </w:rPr>
        <w:t>3</w:t>
      </w:r>
      <w:r>
        <w:rPr>
          <w:rFonts w:hint="eastAsia" w:cs="宋体"/>
          <w:color w:val="auto"/>
          <w:lang w:eastAsia="zh-CN"/>
        </w:rPr>
        <w:t>）</w:t>
      </w:r>
      <w:r>
        <w:rPr>
          <w:color w:val="auto"/>
        </w:rPr>
        <w:t xml:space="preserve">对环境空气的影响分析 </w:t>
      </w:r>
    </w:p>
    <w:p w14:paraId="6E86FE2E">
      <w:pPr>
        <w:ind w:firstLine="480"/>
        <w:rPr>
          <w:color w:val="auto"/>
        </w:rPr>
      </w:pPr>
      <w:r>
        <w:rPr>
          <w:rFonts w:hint="eastAsia"/>
          <w:color w:val="auto"/>
          <w:lang w:val="en-US" w:eastAsia="zh-CN"/>
        </w:rPr>
        <w:t>废包装桶、废油墨、废过滤袋、废分子筛、废饱和活性炭</w:t>
      </w:r>
      <w:r>
        <w:rPr>
          <w:color w:val="auto"/>
        </w:rPr>
        <w:t>等，长期存放</w:t>
      </w:r>
      <w:r>
        <w:rPr>
          <w:rFonts w:hint="eastAsia"/>
          <w:color w:val="auto"/>
          <w:lang w:val="en-US" w:eastAsia="zh-CN"/>
        </w:rPr>
        <w:t>可能释放有机废气</w:t>
      </w:r>
      <w:r>
        <w:rPr>
          <w:color w:val="auto"/>
        </w:rPr>
        <w:t>，可能和空气中物质发生化学反应生成酸雨或光化学烟雾等，若对这些固体废物不进行妥善处置，则会对环境空气造成一定的污染影响。</w:t>
      </w:r>
    </w:p>
    <w:p w14:paraId="677AFDD3">
      <w:pPr>
        <w:ind w:firstLine="480"/>
        <w:rPr>
          <w:color w:val="auto"/>
        </w:rPr>
      </w:pPr>
      <w:r>
        <w:rPr>
          <w:rFonts w:hint="eastAsia"/>
          <w:color w:val="auto"/>
          <w:lang w:val="en-US" w:eastAsia="zh-CN"/>
        </w:rPr>
        <w:t>2、</w:t>
      </w:r>
      <w:r>
        <w:rPr>
          <w:color w:val="auto"/>
        </w:rPr>
        <w:t>固体废物防治对策</w:t>
      </w:r>
    </w:p>
    <w:p w14:paraId="4E1FC8DD">
      <w:pPr>
        <w:ind w:firstLine="480"/>
        <w:rPr>
          <w:color w:val="auto"/>
        </w:rPr>
      </w:pPr>
      <w:r>
        <w:rPr>
          <w:color w:val="auto"/>
        </w:rPr>
        <w:t>对固体废物污染环境的防治，要遵循《</w:t>
      </w:r>
      <w:r>
        <w:rPr>
          <w:rFonts w:hint="eastAsia"/>
          <w:color w:val="auto"/>
        </w:rPr>
        <w:t>中华人民共和国固体废物污染环境防治法</w:t>
      </w:r>
      <w:r>
        <w:rPr>
          <w:color w:val="auto"/>
        </w:rPr>
        <w:t>》第三条：“实行减少固体废物的产生、充分合理利用固体废物和无害化处置固体废物的原则”，首先从生产工艺入手，尽量不排或少排固体废物；其次就是将固体废物作为一种可再生的资源进行回收或综合利用；最后就是对无法或暂时尚不能回收利用的固体废物进行无害化处置，以防止、减少固体废物的危害。此外，在固体废物的收集、贮存、运输、处置过程中应采取必要的防扬散、防流失、防渗漏等措施，实现全过程管理，同时，还应按</w:t>
      </w:r>
      <w:r>
        <w:rPr>
          <w:rFonts w:hint="eastAsia"/>
          <w:color w:val="auto"/>
        </w:rPr>
        <w:t>《中华人民共和国固体废物污染环境防治法》</w:t>
      </w:r>
      <w:r>
        <w:rPr>
          <w:color w:val="auto"/>
        </w:rPr>
        <w:t>和国家、省、市的有关规定，开展固体废物的申报登记工作，尽可能地避免其对大气、水体、土壤造成二次污染。</w:t>
      </w:r>
    </w:p>
    <w:p w14:paraId="44F92276">
      <w:pPr>
        <w:ind w:firstLine="480"/>
        <w:rPr>
          <w:color w:val="auto"/>
        </w:rPr>
      </w:pPr>
      <w:r>
        <w:rPr>
          <w:rFonts w:hint="eastAsia"/>
          <w:color w:val="auto"/>
          <w:lang w:val="en-US" w:eastAsia="zh-CN"/>
        </w:rPr>
        <w:t>3、</w:t>
      </w:r>
      <w:r>
        <w:rPr>
          <w:color w:val="auto"/>
        </w:rPr>
        <w:t>固体废物暂存的环境影响</w:t>
      </w:r>
    </w:p>
    <w:p w14:paraId="56641EA6">
      <w:pPr>
        <w:ind w:firstLine="480"/>
        <w:rPr>
          <w:color w:val="auto"/>
        </w:rPr>
      </w:pPr>
      <w:r>
        <w:rPr>
          <w:color w:val="auto"/>
        </w:rPr>
        <w:t>项目产生的固废在处理之前，由于这些原料中含有一些有毒有害物质如</w:t>
      </w:r>
      <w:r>
        <w:rPr>
          <w:rFonts w:hint="eastAsia"/>
          <w:color w:val="auto"/>
          <w:lang w:val="en-US" w:eastAsia="zh-CN"/>
        </w:rPr>
        <w:t>油类物质、VOCs等</w:t>
      </w:r>
      <w:r>
        <w:rPr>
          <w:color w:val="auto"/>
        </w:rPr>
        <w:t>，存在较大的毒害性和易污染性，因此，相应的贮存设施应符合</w:t>
      </w:r>
      <w:r>
        <w:rPr>
          <w:rFonts w:hint="eastAsia"/>
          <w:color w:val="auto"/>
        </w:rPr>
        <w:t>《危险废物贮存污染控制标准》（GB 18597-20</w:t>
      </w:r>
      <w:r>
        <w:rPr>
          <w:rFonts w:hint="eastAsia"/>
          <w:color w:val="auto"/>
          <w:lang w:val="en-US" w:eastAsia="zh-CN"/>
        </w:rPr>
        <w:t>23</w:t>
      </w:r>
      <w:r>
        <w:rPr>
          <w:rFonts w:hint="eastAsia"/>
          <w:color w:val="auto"/>
        </w:rPr>
        <w:t>）</w:t>
      </w:r>
      <w:r>
        <w:rPr>
          <w:color w:val="auto"/>
        </w:rPr>
        <w:t>的要求。一般工业固体废物贮存过程中</w:t>
      </w:r>
      <w:r>
        <w:rPr>
          <w:rFonts w:hint="eastAsia"/>
          <w:color w:val="auto"/>
          <w:lang w:val="en-US" w:eastAsia="zh-CN"/>
        </w:rPr>
        <w:t>参照</w:t>
      </w:r>
      <w:r>
        <w:rPr>
          <w:color w:val="auto"/>
        </w:rPr>
        <w:t>执行《一般工业固体废物贮存、处置场污染控制标准》（GB18599-2001）。</w:t>
      </w:r>
    </w:p>
    <w:p w14:paraId="41B86CDE">
      <w:pPr>
        <w:ind w:firstLine="480"/>
        <w:rPr>
          <w:color w:val="auto"/>
        </w:rPr>
      </w:pPr>
      <w:r>
        <w:rPr>
          <w:rFonts w:hint="eastAsia"/>
          <w:color w:val="auto"/>
          <w:lang w:val="en-US" w:eastAsia="zh-CN"/>
        </w:rPr>
        <w:t>企业的一般固体废物和危险废物暂存处均设置在3F，可减少渗漏等风险</w:t>
      </w:r>
      <w:r>
        <w:rPr>
          <w:color w:val="auto"/>
        </w:rPr>
        <w:t>。</w:t>
      </w:r>
    </w:p>
    <w:p w14:paraId="25E953D3">
      <w:pPr>
        <w:ind w:firstLine="480"/>
        <w:rPr>
          <w:color w:val="auto"/>
        </w:rPr>
      </w:pPr>
      <w:r>
        <w:rPr>
          <w:rFonts w:hint="eastAsia"/>
          <w:color w:val="auto"/>
          <w:lang w:val="en-US" w:eastAsia="zh-CN"/>
        </w:rPr>
        <w:t>4、</w:t>
      </w:r>
      <w:r>
        <w:rPr>
          <w:color w:val="auto"/>
        </w:rPr>
        <w:t>固体废物运输的环境影响</w:t>
      </w:r>
    </w:p>
    <w:p w14:paraId="25CE8932">
      <w:pPr>
        <w:ind w:firstLine="480"/>
        <w:rPr>
          <w:color w:val="auto"/>
        </w:rPr>
      </w:pPr>
      <w:r>
        <w:rPr>
          <w:color w:val="auto"/>
        </w:rPr>
        <w:t>项目产生的危险废物经过收集包装后，需要运送到处置场进行处置。建设单位委托有资质的运输单位进行运输。运输者需要认真核对运输清单、标记、选择合适的装载方式和适宜的运输工具，确定合理的运输路线及对泄漏或临时事故的应急措施。</w:t>
      </w:r>
    </w:p>
    <w:p w14:paraId="4D98C57D">
      <w:pPr>
        <w:ind w:firstLine="480"/>
        <w:rPr>
          <w:color w:val="auto"/>
        </w:rPr>
      </w:pPr>
      <w:r>
        <w:rPr>
          <w:color w:val="auto"/>
        </w:rPr>
        <w:t>采用车辆运输方式收运危险废物时，应考虑对收运人员的培训、许可证的审核以及收运过程中的安全防护等。最经常采用的运输方式是公路运输，为保证安全，危险废物不能在车辆上进行压缩。为防止运输过程中危险废物泄漏对环境造成污染，运输车辆必须具有必要的安全的、密闭的装卸条件，对司机也应进行专业培训，执行系列的特殊规定。危险废物运载车辆应标有醒目的危险符号，危险废物承运者必须掌握所运危险废物的必要资料，并制定在出现危险废物泄漏事故时的应急措施等。</w:t>
      </w:r>
    </w:p>
    <w:p w14:paraId="5A66486D">
      <w:pPr>
        <w:ind w:firstLine="480"/>
        <w:rPr>
          <w:color w:val="auto"/>
        </w:rPr>
      </w:pPr>
      <w:r>
        <w:rPr>
          <w:rFonts w:hint="eastAsia"/>
          <w:color w:val="auto"/>
          <w:lang w:val="en-US" w:eastAsia="zh-CN"/>
        </w:rPr>
        <w:t>5、</w:t>
      </w:r>
      <w:r>
        <w:rPr>
          <w:color w:val="auto"/>
        </w:rPr>
        <w:t>对管理人员与管理制度要求</w:t>
      </w:r>
    </w:p>
    <w:p w14:paraId="3683D597">
      <w:pPr>
        <w:ind w:firstLine="480"/>
        <w:rPr>
          <w:color w:val="auto"/>
        </w:rPr>
      </w:pPr>
      <w:r>
        <w:rPr>
          <w:rFonts w:hint="eastAsia"/>
          <w:color w:val="auto"/>
          <w:lang w:eastAsia="zh-CN"/>
        </w:rPr>
        <w:t>本项目</w:t>
      </w:r>
      <w:r>
        <w:rPr>
          <w:color w:val="auto"/>
        </w:rPr>
        <w:t>应有专人负责危险废物的收集、管理，收集和管理人员必须由具备一定专业知识、经验和相应资格的人员担任，并经环保主管部门专门培训。</w:t>
      </w:r>
    </w:p>
    <w:p w14:paraId="053B9D32">
      <w:pPr>
        <w:ind w:firstLine="480"/>
        <w:rPr>
          <w:color w:val="auto"/>
        </w:rPr>
      </w:pPr>
      <w:r>
        <w:rPr>
          <w:color w:val="auto"/>
        </w:rPr>
        <w:t>企业必须建立和健全严格的危险废物管理制度，主管人员必须对危险废物的收集系统、设施进行定期检查，对危险废物的产生量、临时贮存量和进出厂的情况如实记录。不同种类的危险废物的贮存容器或贮存包装应有不同颜色的标签加以区分，并应标明危险废物的名称、数量及贮存日期等。</w:t>
      </w:r>
    </w:p>
    <w:p w14:paraId="5A8E34ED">
      <w:pPr>
        <w:ind w:firstLine="480"/>
        <w:rPr>
          <w:color w:val="auto"/>
        </w:rPr>
      </w:pPr>
      <w:r>
        <w:rPr>
          <w:rFonts w:hint="eastAsia"/>
          <w:color w:val="auto"/>
          <w:lang w:val="en-US" w:eastAsia="zh-CN"/>
        </w:rPr>
        <w:t>6、</w:t>
      </w:r>
      <w:r>
        <w:rPr>
          <w:color w:val="auto"/>
        </w:rPr>
        <w:t>固体废物最终处置环境影响</w:t>
      </w:r>
    </w:p>
    <w:p w14:paraId="5CF7F879">
      <w:pPr>
        <w:ind w:firstLine="480"/>
        <w:rPr>
          <w:color w:val="auto"/>
        </w:rPr>
      </w:pPr>
      <w:r>
        <w:rPr>
          <w:color w:val="auto"/>
        </w:rPr>
        <w:t>建设单位对各种固体废物进行分类堆放处理，厂区现有一般生产固废临时堆场，危险固废临时堆场。</w:t>
      </w:r>
      <w:r>
        <w:rPr>
          <w:rFonts w:hint="eastAsia"/>
          <w:color w:val="auto"/>
          <w:lang w:eastAsia="zh-CN"/>
        </w:rPr>
        <w:t>本项目</w:t>
      </w:r>
      <w:r>
        <w:rPr>
          <w:color w:val="auto"/>
        </w:rPr>
        <w:t>固体废物主要有</w:t>
      </w:r>
      <w:r>
        <w:rPr>
          <w:rFonts w:hint="eastAsia"/>
          <w:color w:val="auto"/>
        </w:rPr>
        <w:t>一般固废</w:t>
      </w:r>
      <w:r>
        <w:rPr>
          <w:color w:val="auto"/>
        </w:rPr>
        <w:t>及危险废物，其主要的处理措施如下：</w:t>
      </w:r>
    </w:p>
    <w:p w14:paraId="2F47ED64">
      <w:pPr>
        <w:adjustRightInd w:val="0"/>
        <w:snapToGrid w:val="0"/>
        <w:ind w:firstLine="480"/>
        <w:rPr>
          <w:rFonts w:hint="eastAsia"/>
          <w:color w:val="auto"/>
        </w:rPr>
      </w:pPr>
      <w:r>
        <w:rPr>
          <w:rFonts w:hint="eastAsia"/>
          <w:color w:val="auto"/>
        </w:rPr>
        <w:t>生活垃圾在垃圾房暂存后由当地环卫部门统一清运；</w:t>
      </w:r>
      <w:r>
        <w:rPr>
          <w:rFonts w:hint="eastAsia"/>
          <w:color w:val="auto"/>
          <w:lang w:val="en-US" w:eastAsia="zh-CN"/>
        </w:rPr>
        <w:t>塑废边角料、次品、废普通包装物、废印版交资源回收利用单位或一般固废处理公司进行处理，危险废物（废包装桶、废油墨、</w:t>
      </w:r>
      <w:r>
        <w:rPr>
          <w:rFonts w:hint="eastAsia"/>
          <w:lang w:val="en-US" w:eastAsia="zh-CN"/>
        </w:rPr>
        <w:t>废矿物油及其包装罐</w:t>
      </w:r>
      <w:r>
        <w:rPr>
          <w:rFonts w:hint="eastAsia"/>
          <w:color w:val="auto"/>
          <w:lang w:val="en-US" w:eastAsia="zh-CN"/>
        </w:rPr>
        <w:t>、废擦机布和手套、废过滤袋、废分子筛、废饱和活性炭）交由取得危险废物经营许可证的单位进行处理。</w:t>
      </w:r>
    </w:p>
    <w:p w14:paraId="51B08A2D">
      <w:pPr>
        <w:ind w:firstLine="480"/>
        <w:rPr>
          <w:color w:val="auto"/>
        </w:rPr>
      </w:pPr>
      <w:r>
        <w:rPr>
          <w:color w:val="auto"/>
        </w:rPr>
        <w:t>经上述处理措施后，</w:t>
      </w:r>
      <w:r>
        <w:rPr>
          <w:rFonts w:hint="eastAsia"/>
          <w:color w:val="auto"/>
          <w:lang w:eastAsia="zh-CN"/>
        </w:rPr>
        <w:t>本项目</w:t>
      </w:r>
      <w:r>
        <w:rPr>
          <w:color w:val="auto"/>
        </w:rPr>
        <w:t>产生的固体废物对外环境的影响很小，是可以控制在可接受水平范围内的。</w:t>
      </w:r>
    </w:p>
    <w:p w14:paraId="2F6C33CF">
      <w:pPr>
        <w:pStyle w:val="67"/>
        <w:numPr>
          <w:ilvl w:val="1"/>
          <w:numId w:val="8"/>
        </w:numPr>
        <w:bidi w:val="0"/>
        <w:ind w:left="567" w:leftChars="0" w:hanging="567" w:firstLineChars="0"/>
        <w:rPr>
          <w:rFonts w:hint="eastAsia" w:ascii="Times New Roman" w:hAnsi="Times New Roman" w:eastAsia="宋体" w:cs="Times New Roman"/>
          <w:color w:val="auto"/>
        </w:rPr>
      </w:pPr>
      <w:bookmarkStart w:id="152" w:name="_Toc12401"/>
      <w:r>
        <w:rPr>
          <w:rFonts w:hint="eastAsia" w:ascii="Times New Roman" w:hAnsi="Times New Roman" w:eastAsia="宋体" w:cs="Times New Roman"/>
          <w:color w:val="auto"/>
        </w:rPr>
        <w:t>营运期环境风险评价</w:t>
      </w:r>
      <w:bookmarkEnd w:id="152"/>
    </w:p>
    <w:p w14:paraId="73EEF9FA">
      <w:pPr>
        <w:ind w:firstLine="480"/>
        <w:rPr>
          <w:color w:val="auto"/>
        </w:rPr>
      </w:pPr>
      <w:r>
        <w:rPr>
          <w:rFonts w:hint="eastAsia"/>
          <w:color w:val="auto"/>
        </w:rPr>
        <w:t>环境风险评价是对建设项目建设和运行期间发生的可预测突发性事件或事故（一般不包括人为破坏及自然灾害）引起有毒有害、易燃易爆等物质泄漏，或突发事件产生的新的有毒有害物质，所造成的对人身安全与环境的影响和损害，进行评估，提出防范、应急与减缓措施。以使建设项目事故率、损失和环境影响达到可接受水平。</w:t>
      </w:r>
    </w:p>
    <w:p w14:paraId="5E303439">
      <w:pPr>
        <w:ind w:firstLine="480"/>
        <w:rPr>
          <w:color w:val="auto"/>
        </w:rPr>
      </w:pPr>
      <w:r>
        <w:rPr>
          <w:rFonts w:hint="eastAsia"/>
          <w:color w:val="auto"/>
        </w:rPr>
        <w:t>环境风险评价常称为事故风险评价。它主要考虑与项目联系在一起的突发性灾难事故，包括易燃易爆和有毒物质、放射性物质失控状态下的泄漏，大型技术系统（如桥梁、水坝等）的故障。发展这种灾难性事故的概率虽然很小，但影响的程度往往是巨大的。环境风险评价应把事故引起厂（场）界外人群的伤害、环境质量的恶化及对生态系统影响的预测和防护作为评价工作重点。</w:t>
      </w:r>
    </w:p>
    <w:p w14:paraId="24E8367B">
      <w:pPr>
        <w:pStyle w:val="64"/>
        <w:numPr>
          <w:ilvl w:val="2"/>
          <w:numId w:val="8"/>
        </w:numPr>
        <w:spacing w:before="166" w:after="16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风险调查</w:t>
      </w:r>
    </w:p>
    <w:p w14:paraId="63007340">
      <w:pPr>
        <w:ind w:firstLine="480"/>
        <w:rPr>
          <w:color w:val="auto"/>
        </w:rPr>
      </w:pPr>
      <w:r>
        <w:rPr>
          <w:rFonts w:hint="eastAsia"/>
          <w:color w:val="auto"/>
        </w:rPr>
        <w:t>1、物料危险性识别</w:t>
      </w:r>
    </w:p>
    <w:p w14:paraId="221346B5">
      <w:pPr>
        <w:bidi w:val="0"/>
        <w:rPr>
          <w:rFonts w:hint="eastAsia" w:eastAsia="宋体"/>
          <w:lang w:val="en-US" w:eastAsia="zh-CN"/>
        </w:rPr>
      </w:pPr>
      <w:r>
        <w:t>根据《建设项目环境风险评价技术导则》（HJ169-2018）中的风险识别方法，按附录 B 识别危险物质。乙酸丙酯、乙酸丁酯和</w:t>
      </w:r>
      <w:r>
        <w:rPr>
          <w:rFonts w:hint="eastAsia"/>
        </w:rPr>
        <w:t>四氢呋喃</w:t>
      </w:r>
      <w:r>
        <w:t>不属于《建设项目环境风险评价技术导则》（HJ169-2018）附录 B1 列明的风险物质，根据附录 B.2 标注急性毒性物质分类依据《化学品分类和标签规范 第 18 部分：急性毒性》（GB 30000.18-2013），本项目乙酸丙酯、乙酸丁酯和</w:t>
      </w:r>
      <w:r>
        <w:rPr>
          <w:rFonts w:hint="eastAsia"/>
        </w:rPr>
        <w:t>四氢呋喃</w:t>
      </w:r>
      <w:r>
        <w:t>急性毒性对照情况如下。</w:t>
      </w:r>
      <w:r>
        <w:rPr>
          <w:rFonts w:hint="eastAsia"/>
          <w:lang w:val="en-US" w:eastAsia="zh-CN"/>
        </w:rPr>
        <w:t xml:space="preserve">同时，无溶剂胶水急性毒性（吸入） 类别 </w:t>
      </w:r>
      <w:r>
        <w:rPr>
          <w:rFonts w:hint="default"/>
          <w:lang w:val="en-US" w:eastAsia="zh-CN"/>
        </w:rPr>
        <w:t>4</w:t>
      </w:r>
      <w:r>
        <w:rPr>
          <w:rFonts w:hint="eastAsia"/>
          <w:lang w:val="en-US" w:eastAsia="zh-CN"/>
        </w:rPr>
        <w:t>。</w:t>
      </w:r>
    </w:p>
    <w:p w14:paraId="5889A71A">
      <w:pPr>
        <w:pStyle w:val="85"/>
        <w:numPr>
          <w:ilvl w:val="0"/>
          <w:numId w:val="47"/>
        </w:numPr>
        <w:bidi w:val="0"/>
        <w:ind w:left="0" w:leftChars="0" w:firstLine="0" w:firstLineChars="0"/>
      </w:pPr>
      <w:r>
        <w:t>各类别急性毒性值对照表（单位 mg/kg）</w:t>
      </w:r>
    </w:p>
    <w:tbl>
      <w:tblPr>
        <w:tblStyle w:val="105"/>
        <w:tblW w:w="9039"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5"/>
        <w:gridCol w:w="876"/>
        <w:gridCol w:w="876"/>
        <w:gridCol w:w="881"/>
        <w:gridCol w:w="1304"/>
        <w:gridCol w:w="1632"/>
        <w:gridCol w:w="2285"/>
      </w:tblGrid>
      <w:tr w14:paraId="1DC29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185" w:type="dxa"/>
            <w:vMerge w:val="restart"/>
            <w:tcBorders>
              <w:top w:val="single" w:color="000000" w:sz="16" w:space="0"/>
              <w:left w:val="nil"/>
              <w:bottom w:val="nil"/>
            </w:tcBorders>
            <w:vAlign w:val="top"/>
          </w:tcPr>
          <w:p w14:paraId="15EBBC15">
            <w:pPr>
              <w:pStyle w:val="59"/>
              <w:bidi w:val="0"/>
            </w:pPr>
            <w:r>
              <w:t>接触途径</w:t>
            </w:r>
          </w:p>
        </w:tc>
        <w:tc>
          <w:tcPr>
            <w:tcW w:w="2633" w:type="dxa"/>
            <w:gridSpan w:val="3"/>
            <w:tcBorders>
              <w:top w:val="single" w:color="000000" w:sz="16" w:space="0"/>
            </w:tcBorders>
            <w:vAlign w:val="top"/>
          </w:tcPr>
          <w:p w14:paraId="366038C5">
            <w:pPr>
              <w:pStyle w:val="59"/>
              <w:bidi w:val="0"/>
            </w:pPr>
            <w:r>
              <w:t>GB 30000.18-2013 定义</w:t>
            </w:r>
          </w:p>
        </w:tc>
        <w:tc>
          <w:tcPr>
            <w:tcW w:w="5221" w:type="dxa"/>
            <w:gridSpan w:val="3"/>
            <w:tcBorders>
              <w:top w:val="single" w:color="000000" w:sz="16" w:space="0"/>
              <w:right w:val="nil"/>
            </w:tcBorders>
            <w:vAlign w:val="top"/>
          </w:tcPr>
          <w:p w14:paraId="0B6F71E9">
            <w:pPr>
              <w:pStyle w:val="59"/>
              <w:bidi w:val="0"/>
            </w:pPr>
            <w:r>
              <w:t>本项目物质</w:t>
            </w:r>
          </w:p>
        </w:tc>
      </w:tr>
      <w:tr w14:paraId="719BB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185" w:type="dxa"/>
            <w:vMerge w:val="continue"/>
            <w:tcBorders>
              <w:top w:val="nil"/>
              <w:left w:val="nil"/>
            </w:tcBorders>
            <w:vAlign w:val="top"/>
          </w:tcPr>
          <w:p w14:paraId="5AEBCD47">
            <w:pPr>
              <w:pStyle w:val="59"/>
              <w:bidi w:val="0"/>
            </w:pPr>
          </w:p>
        </w:tc>
        <w:tc>
          <w:tcPr>
            <w:tcW w:w="876" w:type="dxa"/>
            <w:vAlign w:val="top"/>
          </w:tcPr>
          <w:p w14:paraId="46BFF5B2">
            <w:pPr>
              <w:pStyle w:val="59"/>
              <w:bidi w:val="0"/>
            </w:pPr>
            <w:r>
              <w:t>类别 1</w:t>
            </w:r>
          </w:p>
        </w:tc>
        <w:tc>
          <w:tcPr>
            <w:tcW w:w="876" w:type="dxa"/>
            <w:vAlign w:val="top"/>
          </w:tcPr>
          <w:p w14:paraId="169CA388">
            <w:pPr>
              <w:pStyle w:val="59"/>
              <w:bidi w:val="0"/>
            </w:pPr>
            <w:r>
              <w:t>类别 2</w:t>
            </w:r>
          </w:p>
        </w:tc>
        <w:tc>
          <w:tcPr>
            <w:tcW w:w="881" w:type="dxa"/>
            <w:vAlign w:val="top"/>
          </w:tcPr>
          <w:p w14:paraId="3E6CD864">
            <w:pPr>
              <w:pStyle w:val="59"/>
              <w:bidi w:val="0"/>
            </w:pPr>
            <w:r>
              <w:t>类别 3</w:t>
            </w:r>
          </w:p>
        </w:tc>
        <w:tc>
          <w:tcPr>
            <w:tcW w:w="1304" w:type="dxa"/>
            <w:vAlign w:val="top"/>
          </w:tcPr>
          <w:p w14:paraId="2DE97029">
            <w:pPr>
              <w:pStyle w:val="59"/>
              <w:bidi w:val="0"/>
            </w:pPr>
            <w:r>
              <w:t>乙酸丙酯</w:t>
            </w:r>
          </w:p>
        </w:tc>
        <w:tc>
          <w:tcPr>
            <w:tcW w:w="1632" w:type="dxa"/>
            <w:vAlign w:val="top"/>
          </w:tcPr>
          <w:p w14:paraId="51881D4F">
            <w:pPr>
              <w:pStyle w:val="59"/>
              <w:bidi w:val="0"/>
            </w:pPr>
            <w:r>
              <w:t>乙酸丁酯</w:t>
            </w:r>
          </w:p>
        </w:tc>
        <w:tc>
          <w:tcPr>
            <w:tcW w:w="2285" w:type="dxa"/>
            <w:tcBorders>
              <w:right w:val="nil"/>
            </w:tcBorders>
            <w:vAlign w:val="top"/>
          </w:tcPr>
          <w:p w14:paraId="51AF36EB">
            <w:pPr>
              <w:pStyle w:val="59"/>
              <w:bidi w:val="0"/>
            </w:pPr>
            <w:r>
              <w:rPr>
                <w:rFonts w:hint="eastAsia"/>
              </w:rPr>
              <w:t>四氢呋喃</w:t>
            </w:r>
          </w:p>
        </w:tc>
      </w:tr>
      <w:tr w14:paraId="04DEE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185" w:type="dxa"/>
            <w:tcBorders>
              <w:left w:val="nil"/>
              <w:bottom w:val="single" w:color="000000" w:sz="16" w:space="0"/>
            </w:tcBorders>
            <w:vAlign w:val="top"/>
          </w:tcPr>
          <w:p w14:paraId="05F2BEA9">
            <w:pPr>
              <w:pStyle w:val="59"/>
              <w:bidi w:val="0"/>
            </w:pPr>
            <w:r>
              <w:t>经口</w:t>
            </w:r>
          </w:p>
        </w:tc>
        <w:tc>
          <w:tcPr>
            <w:tcW w:w="876" w:type="dxa"/>
            <w:tcBorders>
              <w:bottom w:val="single" w:color="000000" w:sz="16" w:space="0"/>
            </w:tcBorders>
            <w:vAlign w:val="top"/>
          </w:tcPr>
          <w:p w14:paraId="0828282A">
            <w:pPr>
              <w:pStyle w:val="59"/>
              <w:bidi w:val="0"/>
            </w:pPr>
            <w:r>
              <w:t>5</w:t>
            </w:r>
          </w:p>
        </w:tc>
        <w:tc>
          <w:tcPr>
            <w:tcW w:w="876" w:type="dxa"/>
            <w:tcBorders>
              <w:bottom w:val="single" w:color="000000" w:sz="16" w:space="0"/>
            </w:tcBorders>
            <w:vAlign w:val="top"/>
          </w:tcPr>
          <w:p w14:paraId="267A92F9">
            <w:pPr>
              <w:pStyle w:val="59"/>
              <w:bidi w:val="0"/>
            </w:pPr>
            <w:r>
              <w:t>50</w:t>
            </w:r>
          </w:p>
        </w:tc>
        <w:tc>
          <w:tcPr>
            <w:tcW w:w="881" w:type="dxa"/>
            <w:tcBorders>
              <w:bottom w:val="single" w:color="000000" w:sz="16" w:space="0"/>
            </w:tcBorders>
            <w:vAlign w:val="top"/>
          </w:tcPr>
          <w:p w14:paraId="43A91D22">
            <w:pPr>
              <w:pStyle w:val="59"/>
              <w:bidi w:val="0"/>
            </w:pPr>
            <w:r>
              <w:t>300</w:t>
            </w:r>
          </w:p>
        </w:tc>
        <w:tc>
          <w:tcPr>
            <w:tcW w:w="1304" w:type="dxa"/>
            <w:tcBorders>
              <w:bottom w:val="single" w:color="000000" w:sz="16" w:space="0"/>
            </w:tcBorders>
            <w:vAlign w:val="top"/>
          </w:tcPr>
          <w:p w14:paraId="252E34AA">
            <w:pPr>
              <w:pStyle w:val="59"/>
              <w:bidi w:val="0"/>
            </w:pPr>
            <w:r>
              <w:t>10768</w:t>
            </w:r>
          </w:p>
        </w:tc>
        <w:tc>
          <w:tcPr>
            <w:tcW w:w="1632" w:type="dxa"/>
            <w:tcBorders>
              <w:bottom w:val="single" w:color="000000" w:sz="16" w:space="0"/>
            </w:tcBorders>
            <w:vAlign w:val="top"/>
          </w:tcPr>
          <w:p w14:paraId="30A00B22">
            <w:pPr>
              <w:pStyle w:val="59"/>
              <w:bidi w:val="0"/>
            </w:pPr>
            <w:r>
              <w:t>9370</w:t>
            </w:r>
          </w:p>
        </w:tc>
        <w:tc>
          <w:tcPr>
            <w:tcW w:w="2285" w:type="dxa"/>
            <w:tcBorders>
              <w:bottom w:val="single" w:color="000000" w:sz="16" w:space="0"/>
              <w:right w:val="nil"/>
            </w:tcBorders>
            <w:vAlign w:val="top"/>
          </w:tcPr>
          <w:p w14:paraId="5DED6BE2">
            <w:pPr>
              <w:pStyle w:val="59"/>
              <w:bidi w:val="0"/>
              <w:rPr>
                <w:rFonts w:hint="default" w:eastAsia="宋体"/>
                <w:lang w:val="en-US" w:eastAsia="zh-CN"/>
              </w:rPr>
            </w:pPr>
            <w:r>
              <w:rPr>
                <w:rFonts w:hint="eastAsia"/>
                <w:lang w:val="en-US" w:eastAsia="zh-CN"/>
              </w:rPr>
              <w:t>1650</w:t>
            </w:r>
          </w:p>
        </w:tc>
      </w:tr>
    </w:tbl>
    <w:p w14:paraId="5F2B7419">
      <w:pPr>
        <w:spacing w:before="35" w:line="357" w:lineRule="auto"/>
        <w:ind w:left="39" w:right="184" w:firstLine="480"/>
        <w:rPr>
          <w:rFonts w:ascii="宋体" w:hAnsi="宋体" w:eastAsia="宋体" w:cs="宋体"/>
          <w:sz w:val="24"/>
          <w:szCs w:val="24"/>
        </w:rPr>
      </w:pPr>
      <w:r>
        <w:rPr>
          <w:rFonts w:ascii="宋体" w:hAnsi="宋体" w:eastAsia="宋体" w:cs="宋体"/>
          <w:spacing w:val="-3"/>
          <w:sz w:val="24"/>
          <w:szCs w:val="24"/>
        </w:rPr>
        <w:t>可知，本项目乙酸丙酯、乙酸丁酯和</w:t>
      </w:r>
      <w:r>
        <w:rPr>
          <w:rFonts w:hint="eastAsia"/>
        </w:rPr>
        <w:t>四氢呋喃</w:t>
      </w:r>
      <w:r>
        <w:rPr>
          <w:rFonts w:ascii="宋体" w:hAnsi="宋体" w:eastAsia="宋体" w:cs="宋体"/>
          <w:spacing w:val="-3"/>
          <w:sz w:val="24"/>
          <w:szCs w:val="24"/>
        </w:rPr>
        <w:t>均不属于附录</w:t>
      </w:r>
      <w:r>
        <w:rPr>
          <w:rFonts w:ascii="宋体" w:hAnsi="宋体" w:eastAsia="宋体" w:cs="宋体"/>
          <w:spacing w:val="-36"/>
          <w:sz w:val="24"/>
          <w:szCs w:val="24"/>
        </w:rPr>
        <w:t xml:space="preserve"> </w:t>
      </w:r>
      <w:r>
        <w:rPr>
          <w:rFonts w:ascii="Times New Roman" w:hAnsi="Times New Roman" w:eastAsia="Times New Roman" w:cs="Times New Roman"/>
          <w:spacing w:val="-3"/>
          <w:sz w:val="24"/>
          <w:szCs w:val="24"/>
        </w:rPr>
        <w:t>B2</w:t>
      </w:r>
      <w:r>
        <w:rPr>
          <w:rFonts w:ascii="Times New Roman" w:hAnsi="Times New Roman" w:eastAsia="Times New Roman" w:cs="Times New Roman"/>
          <w:spacing w:val="33"/>
          <w:w w:val="101"/>
          <w:sz w:val="24"/>
          <w:szCs w:val="24"/>
        </w:rPr>
        <w:t xml:space="preserve"> </w:t>
      </w:r>
      <w:r>
        <w:rPr>
          <w:rFonts w:ascii="宋体" w:hAnsi="宋体" w:eastAsia="宋体" w:cs="宋体"/>
          <w:spacing w:val="-3"/>
          <w:sz w:val="24"/>
          <w:szCs w:val="24"/>
        </w:rPr>
        <w:t>的急性毒性物</w:t>
      </w:r>
      <w:r>
        <w:rPr>
          <w:rFonts w:ascii="宋体" w:hAnsi="宋体" w:eastAsia="宋体" w:cs="宋体"/>
          <w:spacing w:val="-7"/>
          <w:sz w:val="24"/>
          <w:szCs w:val="24"/>
        </w:rPr>
        <w:t>质（类别</w:t>
      </w:r>
      <w:r>
        <w:rPr>
          <w:rFonts w:ascii="宋体" w:hAnsi="宋体" w:eastAsia="宋体" w:cs="宋体"/>
          <w:spacing w:val="-31"/>
          <w:sz w:val="24"/>
          <w:szCs w:val="24"/>
        </w:rPr>
        <w:t xml:space="preserve"> </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7"/>
          <w:sz w:val="24"/>
          <w:szCs w:val="24"/>
        </w:rPr>
        <w:t>、</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7"/>
          <w:sz w:val="24"/>
          <w:szCs w:val="24"/>
        </w:rPr>
        <w:t>、</w:t>
      </w:r>
      <w:r>
        <w:rPr>
          <w:rFonts w:ascii="Times New Roman" w:hAnsi="Times New Roman" w:eastAsia="Times New Roman" w:cs="Times New Roman"/>
          <w:spacing w:val="-7"/>
          <w:sz w:val="24"/>
          <w:szCs w:val="24"/>
        </w:rPr>
        <w:t>3</w:t>
      </w:r>
      <w:r>
        <w:rPr>
          <w:rFonts w:ascii="宋体" w:hAnsi="宋体" w:eastAsia="宋体" w:cs="宋体"/>
          <w:spacing w:val="4"/>
          <w:sz w:val="24"/>
          <w:szCs w:val="24"/>
        </w:rPr>
        <w:t>），</w:t>
      </w:r>
      <w:r>
        <w:rPr>
          <w:rFonts w:ascii="宋体" w:hAnsi="宋体" w:eastAsia="宋体" w:cs="宋体"/>
          <w:spacing w:val="-7"/>
          <w:sz w:val="24"/>
          <w:szCs w:val="24"/>
        </w:rPr>
        <w:t>因此不属于危险物质。</w:t>
      </w:r>
    </w:p>
    <w:p w14:paraId="066325FF">
      <w:pPr>
        <w:bidi w:val="0"/>
      </w:pPr>
      <w:r>
        <w:t>本项目原辅料、中间产品、最终产品的危险物质数量和分布情况见下表。</w:t>
      </w:r>
    </w:p>
    <w:p w14:paraId="52229CA0">
      <w:pPr>
        <w:pStyle w:val="85"/>
        <w:numPr>
          <w:ilvl w:val="0"/>
          <w:numId w:val="47"/>
        </w:numPr>
        <w:bidi w:val="0"/>
        <w:ind w:left="0" w:leftChars="0" w:firstLine="0" w:firstLineChars="0"/>
        <w:rPr>
          <w:rFonts w:ascii="Times New Roman" w:hAnsi="Times New Roman" w:eastAsia="宋体" w:cs="Times New Roman"/>
        </w:rPr>
      </w:pPr>
      <w:r>
        <w:rPr>
          <w:rFonts w:ascii="Times New Roman" w:hAnsi="Times New Roman" w:eastAsia="宋体" w:cs="Times New Roman"/>
        </w:rPr>
        <w:t>本项目危险物质数量和分布情况</w:t>
      </w:r>
    </w:p>
    <w:tbl>
      <w:tblPr>
        <w:tblStyle w:val="105"/>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92"/>
        <w:gridCol w:w="1528"/>
        <w:gridCol w:w="732"/>
        <w:gridCol w:w="1084"/>
        <w:gridCol w:w="1105"/>
        <w:gridCol w:w="933"/>
        <w:gridCol w:w="813"/>
        <w:gridCol w:w="815"/>
        <w:gridCol w:w="765"/>
      </w:tblGrid>
      <w:tr w14:paraId="20024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trPr>
        <w:tc>
          <w:tcPr>
            <w:tcW w:w="712" w:type="pct"/>
            <w:tcBorders>
              <w:top w:val="single" w:color="000000" w:sz="12" w:space="0"/>
              <w:left w:val="nil"/>
              <w:bottom w:val="single" w:color="auto" w:sz="4" w:space="0"/>
              <w:right w:val="single" w:color="auto" w:sz="4" w:space="0"/>
              <w:tl2br w:val="nil"/>
            </w:tcBorders>
            <w:shd w:val="clear" w:color="auto" w:fill="FFFFFF"/>
            <w:vAlign w:val="center"/>
          </w:tcPr>
          <w:p w14:paraId="779D6B16">
            <w:pPr>
              <w:pStyle w:val="59"/>
              <w:bidi w:val="0"/>
            </w:pPr>
            <w:r>
              <w:t>物质名称</w:t>
            </w:r>
          </w:p>
        </w:tc>
        <w:tc>
          <w:tcPr>
            <w:tcW w:w="842" w:type="pct"/>
            <w:tcBorders>
              <w:top w:val="single" w:color="000000" w:sz="12" w:space="0"/>
              <w:left w:val="nil"/>
              <w:bottom w:val="single" w:color="auto" w:sz="4" w:space="0"/>
              <w:right w:val="single" w:color="auto" w:sz="4" w:space="0"/>
              <w:tl2br w:val="nil"/>
            </w:tcBorders>
            <w:shd w:val="clear" w:color="auto" w:fill="FFFFFF"/>
            <w:vAlign w:val="center"/>
          </w:tcPr>
          <w:p w14:paraId="753D774D">
            <w:pPr>
              <w:pStyle w:val="59"/>
              <w:bidi w:val="0"/>
              <w:rPr>
                <w:rFonts w:hint="default"/>
                <w:lang w:val="en-US" w:eastAsia="zh-CN"/>
              </w:rPr>
            </w:pPr>
            <w:r>
              <w:rPr>
                <w:rFonts w:hint="eastAsia"/>
                <w:lang w:val="en-US" w:eastAsia="zh-CN"/>
              </w:rPr>
              <w:t>危险成分</w:t>
            </w:r>
          </w:p>
        </w:tc>
        <w:tc>
          <w:tcPr>
            <w:tcW w:w="403" w:type="pct"/>
            <w:tcBorders>
              <w:top w:val="single" w:color="000000" w:sz="12" w:space="0"/>
              <w:left w:val="single" w:color="auto" w:sz="4" w:space="0"/>
              <w:bottom w:val="single" w:color="auto" w:sz="4" w:space="0"/>
              <w:right w:val="single" w:color="auto" w:sz="4" w:space="0"/>
            </w:tcBorders>
            <w:shd w:val="clear" w:color="auto" w:fill="FFFFFF"/>
            <w:vAlign w:val="center"/>
          </w:tcPr>
          <w:p w14:paraId="75ED89D0">
            <w:pPr>
              <w:pStyle w:val="59"/>
              <w:bidi w:val="0"/>
            </w:pPr>
            <w:r>
              <w:t>形态</w:t>
            </w:r>
          </w:p>
        </w:tc>
        <w:tc>
          <w:tcPr>
            <w:tcW w:w="597" w:type="pct"/>
            <w:tcBorders>
              <w:top w:val="single" w:color="000000" w:sz="12" w:space="0"/>
              <w:left w:val="single" w:color="auto" w:sz="4" w:space="0"/>
              <w:bottom w:val="single" w:color="auto" w:sz="4" w:space="0"/>
              <w:right w:val="single" w:color="auto" w:sz="4" w:space="0"/>
            </w:tcBorders>
            <w:shd w:val="clear" w:color="auto" w:fill="FFFFFF"/>
            <w:vAlign w:val="center"/>
          </w:tcPr>
          <w:p w14:paraId="3E8151D2">
            <w:pPr>
              <w:pStyle w:val="59"/>
              <w:bidi w:val="0"/>
            </w:pPr>
            <w:r>
              <w:t>危险特性</w:t>
            </w:r>
          </w:p>
        </w:tc>
        <w:tc>
          <w:tcPr>
            <w:tcW w:w="609" w:type="pct"/>
            <w:tcBorders>
              <w:top w:val="single" w:color="000000" w:sz="12" w:space="0"/>
              <w:left w:val="single" w:color="auto" w:sz="4" w:space="0"/>
              <w:bottom w:val="single" w:color="auto" w:sz="4" w:space="0"/>
              <w:right w:val="single" w:color="auto" w:sz="4" w:space="0"/>
            </w:tcBorders>
            <w:shd w:val="clear" w:color="auto" w:fill="FFFFFF"/>
            <w:vAlign w:val="center"/>
          </w:tcPr>
          <w:p w14:paraId="499C4EDB">
            <w:pPr>
              <w:pStyle w:val="59"/>
              <w:bidi w:val="0"/>
            </w:pPr>
            <w:r>
              <w:t>储存方式</w:t>
            </w:r>
          </w:p>
        </w:tc>
        <w:tc>
          <w:tcPr>
            <w:tcW w:w="514" w:type="pct"/>
            <w:tcBorders>
              <w:top w:val="single" w:color="000000" w:sz="12" w:space="0"/>
              <w:left w:val="single" w:color="auto" w:sz="4" w:space="0"/>
              <w:bottom w:val="single" w:color="auto" w:sz="4" w:space="0"/>
              <w:right w:val="single" w:color="auto" w:sz="4" w:space="0"/>
            </w:tcBorders>
            <w:shd w:val="clear" w:color="auto" w:fill="FFFFFF"/>
            <w:vAlign w:val="center"/>
          </w:tcPr>
          <w:p w14:paraId="482011AD">
            <w:pPr>
              <w:pStyle w:val="59"/>
              <w:bidi w:val="0"/>
            </w:pPr>
            <w:r>
              <w:t>贮存位置</w:t>
            </w:r>
          </w:p>
        </w:tc>
        <w:tc>
          <w:tcPr>
            <w:tcW w:w="448" w:type="pct"/>
            <w:tcBorders>
              <w:top w:val="single" w:color="000000" w:sz="12" w:space="0"/>
              <w:left w:val="single" w:color="auto" w:sz="4" w:space="0"/>
              <w:bottom w:val="single" w:color="auto" w:sz="4" w:space="0"/>
              <w:right w:val="single" w:color="auto" w:sz="4" w:space="0"/>
            </w:tcBorders>
            <w:shd w:val="clear" w:color="auto" w:fill="FFFFFF"/>
            <w:vAlign w:val="center"/>
          </w:tcPr>
          <w:p w14:paraId="45C31BB3">
            <w:pPr>
              <w:pStyle w:val="59"/>
              <w:bidi w:val="0"/>
            </w:pPr>
            <w:r>
              <w:t>最大储存量/t</w:t>
            </w:r>
          </w:p>
        </w:tc>
        <w:tc>
          <w:tcPr>
            <w:tcW w:w="449" w:type="pct"/>
            <w:tcBorders>
              <w:top w:val="single" w:color="000000" w:sz="12" w:space="0"/>
              <w:left w:val="single" w:color="auto" w:sz="4" w:space="0"/>
              <w:bottom w:val="single" w:color="auto" w:sz="4" w:space="0"/>
              <w:right w:val="single" w:color="auto" w:sz="4" w:space="0"/>
            </w:tcBorders>
            <w:shd w:val="clear" w:color="auto" w:fill="FFFFFF"/>
            <w:vAlign w:val="center"/>
          </w:tcPr>
          <w:p w14:paraId="3F4E21FF">
            <w:pPr>
              <w:pStyle w:val="59"/>
              <w:bidi w:val="0"/>
            </w:pPr>
            <w:r>
              <w:t>最大在线量/t</w:t>
            </w:r>
          </w:p>
        </w:tc>
        <w:tc>
          <w:tcPr>
            <w:tcW w:w="421" w:type="pct"/>
            <w:tcBorders>
              <w:top w:val="single" w:color="000000" w:sz="12" w:space="0"/>
              <w:left w:val="single" w:color="auto" w:sz="4" w:space="0"/>
              <w:bottom w:val="single" w:color="auto" w:sz="4" w:space="0"/>
              <w:right w:val="nil"/>
            </w:tcBorders>
            <w:shd w:val="clear" w:color="auto" w:fill="FFFFFF"/>
            <w:vAlign w:val="center"/>
          </w:tcPr>
          <w:p w14:paraId="7F1BCBEF">
            <w:pPr>
              <w:pStyle w:val="59"/>
              <w:bidi w:val="0"/>
            </w:pPr>
            <w:r>
              <w:t>最大存在总量/t</w:t>
            </w:r>
          </w:p>
        </w:tc>
      </w:tr>
      <w:tr w14:paraId="6469C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tcBorders>
              <w:top w:val="single" w:color="auto" w:sz="4" w:space="0"/>
              <w:left w:val="nil"/>
              <w:bottom w:val="single" w:color="auto" w:sz="4" w:space="0"/>
              <w:right w:val="single" w:color="auto" w:sz="4" w:space="0"/>
              <w:tl2br w:val="nil"/>
            </w:tcBorders>
            <w:shd w:val="clear" w:color="auto" w:fill="FFFFFF"/>
            <w:vAlign w:val="center"/>
          </w:tcPr>
          <w:p w14:paraId="0283A7EB">
            <w:pPr>
              <w:pStyle w:val="69"/>
              <w:bidi w:val="0"/>
              <w:rPr>
                <w:rFonts w:hint="eastAsia"/>
                <w:lang w:val="en-US" w:eastAsia="zh-CN"/>
              </w:rPr>
            </w:pPr>
            <w:r>
              <w:rPr>
                <w:rFonts w:hint="eastAsia"/>
                <w:lang w:val="en-US" w:eastAsia="zh-CN"/>
              </w:rPr>
              <w:t>乙酸乙酯</w:t>
            </w: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7C7A3237">
            <w:pPr>
              <w:pStyle w:val="69"/>
              <w:bidi w:val="0"/>
              <w:rPr>
                <w:rFonts w:hint="eastAsia"/>
                <w:lang w:val="en-US" w:eastAsia="zh-CN"/>
              </w:rPr>
            </w:pPr>
            <w:r>
              <w:rPr>
                <w:rFonts w:hint="eastAsia"/>
                <w:lang w:val="en-US" w:eastAsia="zh-CN"/>
              </w:rPr>
              <w:t>乙酸乙酯</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054A24F8">
            <w:pPr>
              <w:pStyle w:val="69"/>
              <w:bidi w:val="0"/>
              <w:rPr>
                <w:rFonts w:hint="eastAsia"/>
                <w:lang w:val="en-US" w:eastAsia="zh-CN"/>
              </w:rPr>
            </w:pPr>
            <w:r>
              <w:rPr>
                <w:rFonts w:hint="eastAsia"/>
                <w:lang w:val="en-US" w:eastAsia="zh-CN"/>
              </w:rPr>
              <w:t>液</w:t>
            </w:r>
          </w:p>
        </w:tc>
        <w:tc>
          <w:tcPr>
            <w:tcW w:w="597" w:type="pct"/>
            <w:vMerge w:val="restart"/>
            <w:tcBorders>
              <w:top w:val="single" w:color="auto" w:sz="4" w:space="0"/>
              <w:left w:val="single" w:color="auto" w:sz="4" w:space="0"/>
              <w:right w:val="single" w:color="auto" w:sz="4" w:space="0"/>
            </w:tcBorders>
            <w:shd w:val="clear" w:color="auto" w:fill="FFFFFF"/>
            <w:vAlign w:val="center"/>
          </w:tcPr>
          <w:p w14:paraId="043E93F4">
            <w:pPr>
              <w:pStyle w:val="69"/>
              <w:bidi w:val="0"/>
            </w:pPr>
            <w:r>
              <w:rPr>
                <w:rFonts w:hint="eastAsia"/>
                <w:lang w:val="en-US" w:eastAsia="zh-CN"/>
              </w:rPr>
              <w:t>易燃液体</w:t>
            </w:r>
          </w:p>
        </w:tc>
        <w:tc>
          <w:tcPr>
            <w:tcW w:w="609" w:type="pct"/>
            <w:tcBorders>
              <w:top w:val="single" w:color="auto" w:sz="4" w:space="0"/>
              <w:left w:val="single" w:color="auto" w:sz="4" w:space="0"/>
              <w:bottom w:val="single" w:color="auto" w:sz="4" w:space="0"/>
              <w:right w:val="single" w:color="auto" w:sz="4" w:space="0"/>
            </w:tcBorders>
            <w:shd w:val="clear" w:color="auto" w:fill="FFFFFF"/>
            <w:vAlign w:val="center"/>
          </w:tcPr>
          <w:p w14:paraId="172D4569">
            <w:pPr>
              <w:pStyle w:val="69"/>
              <w:bidi w:val="0"/>
              <w:rPr>
                <w:rFonts w:hint="default"/>
                <w:lang w:val="en-US" w:eastAsia="zh-CN"/>
              </w:rPr>
            </w:pPr>
            <w:r>
              <w:rPr>
                <w:rFonts w:hint="eastAsia"/>
                <w:lang w:val="en-US" w:eastAsia="zh-CN"/>
              </w:rPr>
              <w:t>密闭桶装</w:t>
            </w: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27DB492A">
            <w:pPr>
              <w:pStyle w:val="69"/>
              <w:bidi w:val="0"/>
              <w:rPr>
                <w:rFonts w:hint="default"/>
                <w:lang w:val="en-US" w:eastAsia="zh-CN"/>
              </w:rPr>
            </w:pPr>
            <w:r>
              <w:rPr>
                <w:rFonts w:hint="eastAsia"/>
                <w:lang w:val="en-US" w:eastAsia="zh-CN"/>
              </w:rPr>
              <w:t>溶剂仓库</w:t>
            </w: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772C7E4D">
            <w:pPr>
              <w:pStyle w:val="69"/>
              <w:bidi w:val="0"/>
            </w:pPr>
            <w:r>
              <w:rPr>
                <w:rFonts w:hint="default"/>
                <w:lang w:val="en-US" w:eastAsia="zh-CN"/>
              </w:rPr>
              <w:t>0.9</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3860D321">
            <w:pPr>
              <w:pStyle w:val="69"/>
              <w:bidi w:val="0"/>
            </w:pPr>
            <w:r>
              <w:rPr>
                <w:rFonts w:hint="default"/>
                <w:lang w:val="en-US" w:eastAsia="zh-CN"/>
              </w:rPr>
              <w:t>0</w:t>
            </w:r>
          </w:p>
        </w:tc>
        <w:tc>
          <w:tcPr>
            <w:tcW w:w="421" w:type="pct"/>
            <w:tcBorders>
              <w:top w:val="single" w:color="auto" w:sz="4" w:space="0"/>
              <w:left w:val="single" w:color="auto" w:sz="4" w:space="0"/>
              <w:bottom w:val="single" w:color="auto" w:sz="4" w:space="0"/>
              <w:right w:val="nil"/>
            </w:tcBorders>
            <w:shd w:val="clear" w:color="auto" w:fill="FFFFFF"/>
            <w:vAlign w:val="center"/>
          </w:tcPr>
          <w:p w14:paraId="560037E5">
            <w:pPr>
              <w:pStyle w:val="69"/>
              <w:bidi w:val="0"/>
            </w:pPr>
            <w:r>
              <w:rPr>
                <w:rFonts w:hint="default"/>
                <w:lang w:val="en-US" w:eastAsia="zh-CN"/>
              </w:rPr>
              <w:t>0.9</w:t>
            </w:r>
          </w:p>
        </w:tc>
      </w:tr>
      <w:tr w14:paraId="374A3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vMerge w:val="restart"/>
            <w:tcBorders>
              <w:top w:val="single" w:color="auto" w:sz="4" w:space="0"/>
              <w:left w:val="nil"/>
              <w:right w:val="single" w:color="auto" w:sz="4" w:space="0"/>
              <w:tl2br w:val="nil"/>
            </w:tcBorders>
            <w:shd w:val="clear" w:color="auto" w:fill="FFFFFF"/>
            <w:vAlign w:val="center"/>
          </w:tcPr>
          <w:p w14:paraId="6313AA62">
            <w:pPr>
              <w:pStyle w:val="69"/>
              <w:bidi w:val="0"/>
              <w:rPr>
                <w:rFonts w:hint="eastAsia"/>
                <w:lang w:val="en-US" w:eastAsia="zh-CN"/>
              </w:rPr>
            </w:pPr>
            <w:r>
              <w:rPr>
                <w:rFonts w:hint="eastAsia"/>
                <w:lang w:val="en-US" w:eastAsia="zh-CN"/>
              </w:rPr>
              <w:t>溶剂油墨</w:t>
            </w: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7FD26C1F">
            <w:pPr>
              <w:pStyle w:val="69"/>
              <w:bidi w:val="0"/>
              <w:rPr>
                <w:rFonts w:hint="eastAsia"/>
                <w:lang w:val="en-US" w:eastAsia="zh-CN"/>
              </w:rPr>
            </w:pPr>
            <w:r>
              <w:rPr>
                <w:rFonts w:hint="eastAsia"/>
                <w:lang w:val="en-US" w:eastAsia="zh-CN"/>
              </w:rPr>
              <w:t>含异丙醇</w:t>
            </w:r>
            <w:r>
              <w:rPr>
                <w:rFonts w:hint="default"/>
                <w:lang w:val="en-US" w:eastAsia="zh-CN"/>
              </w:rPr>
              <w:t>10~20%</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094D4829">
            <w:pPr>
              <w:pStyle w:val="69"/>
              <w:bidi w:val="0"/>
              <w:rPr>
                <w:rFonts w:hint="eastAsia"/>
                <w:lang w:val="en-US" w:eastAsia="zh-CN"/>
              </w:rPr>
            </w:pPr>
            <w:r>
              <w:rPr>
                <w:rFonts w:hint="eastAsia"/>
                <w:lang w:val="en-US" w:eastAsia="zh-CN"/>
              </w:rPr>
              <w:t>液</w:t>
            </w:r>
          </w:p>
        </w:tc>
        <w:tc>
          <w:tcPr>
            <w:tcW w:w="597" w:type="pct"/>
            <w:vMerge w:val="continue"/>
            <w:tcBorders>
              <w:left w:val="single" w:color="auto" w:sz="4" w:space="0"/>
              <w:right w:val="single" w:color="auto" w:sz="4" w:space="0"/>
            </w:tcBorders>
            <w:shd w:val="clear" w:color="auto" w:fill="FFFFFF"/>
            <w:vAlign w:val="center"/>
          </w:tcPr>
          <w:p w14:paraId="754B2CF9">
            <w:pPr>
              <w:pStyle w:val="69"/>
              <w:bidi w:val="0"/>
            </w:pPr>
          </w:p>
        </w:tc>
        <w:tc>
          <w:tcPr>
            <w:tcW w:w="609" w:type="pct"/>
            <w:vMerge w:val="restart"/>
            <w:tcBorders>
              <w:top w:val="single" w:color="auto" w:sz="4" w:space="0"/>
              <w:left w:val="single" w:color="auto" w:sz="4" w:space="0"/>
              <w:right w:val="single" w:color="auto" w:sz="4" w:space="0"/>
            </w:tcBorders>
            <w:shd w:val="clear" w:color="auto" w:fill="FFFFFF"/>
            <w:vAlign w:val="center"/>
          </w:tcPr>
          <w:p w14:paraId="54A86C8A">
            <w:pPr>
              <w:pStyle w:val="69"/>
              <w:bidi w:val="0"/>
            </w:pPr>
            <w:r>
              <w:rPr>
                <w:rFonts w:hint="eastAsia"/>
                <w:lang w:val="en-US" w:eastAsia="zh-CN"/>
              </w:rPr>
              <w:t>密闭桶装</w:t>
            </w:r>
          </w:p>
        </w:tc>
        <w:tc>
          <w:tcPr>
            <w:tcW w:w="514" w:type="pct"/>
            <w:vMerge w:val="restart"/>
            <w:tcBorders>
              <w:top w:val="single" w:color="auto" w:sz="4" w:space="0"/>
              <w:left w:val="single" w:color="auto" w:sz="4" w:space="0"/>
              <w:right w:val="single" w:color="auto" w:sz="4" w:space="0"/>
            </w:tcBorders>
            <w:shd w:val="clear" w:color="auto" w:fill="FFFFFF"/>
            <w:vAlign w:val="center"/>
          </w:tcPr>
          <w:p w14:paraId="1524D3B6">
            <w:pPr>
              <w:pStyle w:val="69"/>
              <w:bidi w:val="0"/>
              <w:rPr>
                <w:rFonts w:hint="default"/>
                <w:lang w:val="en-US" w:eastAsia="zh-CN"/>
              </w:rPr>
            </w:pPr>
            <w:r>
              <w:rPr>
                <w:rFonts w:hint="eastAsia"/>
                <w:lang w:val="en-US" w:eastAsia="zh-CN"/>
              </w:rPr>
              <w:t>油墨仓库</w:t>
            </w: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5976654A">
            <w:pPr>
              <w:pStyle w:val="69"/>
              <w:bidi w:val="0"/>
            </w:pPr>
            <w:r>
              <w:rPr>
                <w:rFonts w:hint="default"/>
                <w:lang w:val="en-US" w:eastAsia="zh-CN"/>
              </w:rPr>
              <w:t>0.72</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0BF463A3">
            <w:pPr>
              <w:pStyle w:val="69"/>
              <w:bidi w:val="0"/>
            </w:pPr>
            <w:r>
              <w:rPr>
                <w:rFonts w:hint="default"/>
                <w:lang w:val="en-US" w:eastAsia="zh-CN"/>
              </w:rPr>
              <w:t>0</w:t>
            </w:r>
          </w:p>
        </w:tc>
        <w:tc>
          <w:tcPr>
            <w:tcW w:w="421" w:type="pct"/>
            <w:tcBorders>
              <w:top w:val="single" w:color="auto" w:sz="4" w:space="0"/>
              <w:left w:val="single" w:color="auto" w:sz="4" w:space="0"/>
              <w:bottom w:val="single" w:color="auto" w:sz="4" w:space="0"/>
              <w:right w:val="nil"/>
            </w:tcBorders>
            <w:shd w:val="clear" w:color="auto" w:fill="FFFFFF"/>
            <w:vAlign w:val="center"/>
          </w:tcPr>
          <w:p w14:paraId="319F5B10">
            <w:pPr>
              <w:pStyle w:val="69"/>
              <w:bidi w:val="0"/>
            </w:pPr>
            <w:r>
              <w:rPr>
                <w:rFonts w:hint="default"/>
                <w:lang w:val="en-US" w:eastAsia="zh-CN"/>
              </w:rPr>
              <w:t>0.72</w:t>
            </w:r>
          </w:p>
        </w:tc>
      </w:tr>
      <w:tr w14:paraId="190A7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vMerge w:val="continue"/>
            <w:tcBorders>
              <w:left w:val="nil"/>
              <w:bottom w:val="single" w:color="auto" w:sz="4" w:space="0"/>
              <w:right w:val="single" w:color="auto" w:sz="4" w:space="0"/>
              <w:tl2br w:val="nil"/>
            </w:tcBorders>
            <w:shd w:val="clear" w:color="auto" w:fill="FFFFFF"/>
            <w:vAlign w:val="center"/>
          </w:tcPr>
          <w:p w14:paraId="55E7EB52">
            <w:pPr>
              <w:pStyle w:val="69"/>
              <w:bidi w:val="0"/>
              <w:rPr>
                <w:rFonts w:hint="eastAsia"/>
                <w:lang w:val="en-US" w:eastAsia="zh-CN"/>
              </w:rPr>
            </w:pP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4C993A88">
            <w:pPr>
              <w:pStyle w:val="69"/>
              <w:bidi w:val="0"/>
              <w:rPr>
                <w:rFonts w:hint="default"/>
                <w:lang w:val="en-US" w:eastAsia="zh-CN"/>
              </w:rPr>
            </w:pPr>
            <w:r>
              <w:rPr>
                <w:rFonts w:hint="eastAsia"/>
                <w:lang w:val="en-US" w:eastAsia="zh-CN"/>
              </w:rPr>
              <w:t>含</w:t>
            </w:r>
            <w:r>
              <w:rPr>
                <w:rFonts w:hint="default"/>
                <w:lang w:val="en-US" w:eastAsia="zh-CN"/>
              </w:rPr>
              <w:t>30~40%</w:t>
            </w:r>
            <w:r>
              <w:rPr>
                <w:rFonts w:hint="eastAsia"/>
                <w:lang w:val="en-US" w:eastAsia="zh-CN"/>
              </w:rPr>
              <w:t>乙酸乙酯</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6A61370F">
            <w:pPr>
              <w:pStyle w:val="69"/>
              <w:bidi w:val="0"/>
              <w:rPr>
                <w:rFonts w:hint="eastAsia"/>
                <w:lang w:val="en-US" w:eastAsia="zh-CN"/>
              </w:rPr>
            </w:pPr>
            <w:r>
              <w:rPr>
                <w:rFonts w:hint="eastAsia"/>
                <w:lang w:val="en-US" w:eastAsia="zh-CN"/>
              </w:rPr>
              <w:t>液</w:t>
            </w:r>
          </w:p>
        </w:tc>
        <w:tc>
          <w:tcPr>
            <w:tcW w:w="597" w:type="pct"/>
            <w:vMerge w:val="continue"/>
            <w:tcBorders>
              <w:left w:val="single" w:color="auto" w:sz="4" w:space="0"/>
              <w:right w:val="single" w:color="auto" w:sz="4" w:space="0"/>
            </w:tcBorders>
            <w:shd w:val="clear" w:color="auto" w:fill="FFFFFF"/>
            <w:vAlign w:val="center"/>
          </w:tcPr>
          <w:p w14:paraId="407557FE">
            <w:pPr>
              <w:pStyle w:val="69"/>
              <w:bidi w:val="0"/>
            </w:pPr>
          </w:p>
        </w:tc>
        <w:tc>
          <w:tcPr>
            <w:tcW w:w="609" w:type="pct"/>
            <w:vMerge w:val="continue"/>
            <w:tcBorders>
              <w:left w:val="single" w:color="auto" w:sz="4" w:space="0"/>
              <w:bottom w:val="single" w:color="auto" w:sz="4" w:space="0"/>
              <w:right w:val="single" w:color="auto" w:sz="4" w:space="0"/>
            </w:tcBorders>
            <w:shd w:val="clear" w:color="auto" w:fill="FFFFFF"/>
            <w:vAlign w:val="center"/>
          </w:tcPr>
          <w:p w14:paraId="518D16EB">
            <w:pPr>
              <w:pStyle w:val="69"/>
              <w:bidi w:val="0"/>
            </w:pPr>
          </w:p>
        </w:tc>
        <w:tc>
          <w:tcPr>
            <w:tcW w:w="514" w:type="pct"/>
            <w:vMerge w:val="continue"/>
            <w:tcBorders>
              <w:left w:val="single" w:color="auto" w:sz="4" w:space="0"/>
              <w:bottom w:val="single" w:color="auto" w:sz="4" w:space="0"/>
              <w:right w:val="single" w:color="auto" w:sz="4" w:space="0"/>
            </w:tcBorders>
            <w:shd w:val="clear" w:color="auto" w:fill="FFFFFF"/>
            <w:vAlign w:val="center"/>
          </w:tcPr>
          <w:p w14:paraId="7C015798">
            <w:pPr>
              <w:pStyle w:val="69"/>
              <w:bidi w:val="0"/>
              <w:rPr>
                <w:rFonts w:hint="default"/>
                <w:lang w:val="en-US" w:eastAsia="zh-CN"/>
              </w:rPr>
            </w:pP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1FBEE447">
            <w:pPr>
              <w:pStyle w:val="69"/>
              <w:bidi w:val="0"/>
            </w:pPr>
            <w:r>
              <w:rPr>
                <w:rFonts w:hint="default"/>
                <w:lang w:val="en-US" w:eastAsia="zh-CN"/>
              </w:rPr>
              <w:t>1.44</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3EE9534B">
            <w:pPr>
              <w:pStyle w:val="69"/>
              <w:bidi w:val="0"/>
            </w:pPr>
            <w:r>
              <w:rPr>
                <w:rFonts w:hint="default"/>
                <w:lang w:val="en-US" w:eastAsia="zh-CN"/>
              </w:rPr>
              <w:t>0</w:t>
            </w:r>
          </w:p>
        </w:tc>
        <w:tc>
          <w:tcPr>
            <w:tcW w:w="421" w:type="pct"/>
            <w:tcBorders>
              <w:top w:val="single" w:color="auto" w:sz="4" w:space="0"/>
              <w:left w:val="single" w:color="auto" w:sz="4" w:space="0"/>
              <w:bottom w:val="single" w:color="auto" w:sz="4" w:space="0"/>
              <w:right w:val="nil"/>
            </w:tcBorders>
            <w:shd w:val="clear" w:color="auto" w:fill="FFFFFF"/>
            <w:vAlign w:val="center"/>
          </w:tcPr>
          <w:p w14:paraId="7C4BB327">
            <w:pPr>
              <w:pStyle w:val="69"/>
              <w:bidi w:val="0"/>
            </w:pPr>
            <w:r>
              <w:rPr>
                <w:rFonts w:hint="default"/>
                <w:lang w:val="en-US" w:eastAsia="zh-CN"/>
              </w:rPr>
              <w:t>1.44</w:t>
            </w:r>
          </w:p>
        </w:tc>
      </w:tr>
      <w:tr w14:paraId="29553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vMerge w:val="restart"/>
            <w:tcBorders>
              <w:top w:val="single" w:color="auto" w:sz="4" w:space="0"/>
              <w:left w:val="nil"/>
              <w:bottom w:val="single" w:color="auto" w:sz="4" w:space="0"/>
              <w:right w:val="single" w:color="auto" w:sz="4" w:space="0"/>
              <w:tl2br w:val="nil"/>
            </w:tcBorders>
            <w:shd w:val="clear" w:color="auto" w:fill="FFFFFF"/>
            <w:vAlign w:val="center"/>
          </w:tcPr>
          <w:p w14:paraId="1B6322C1">
            <w:pPr>
              <w:pStyle w:val="69"/>
              <w:bidi w:val="0"/>
              <w:rPr>
                <w:rFonts w:hint="eastAsia"/>
                <w:lang w:val="en-US" w:eastAsia="zh-CN"/>
              </w:rPr>
            </w:pPr>
            <w:r>
              <w:rPr>
                <w:rFonts w:hint="eastAsia"/>
                <w:lang w:val="en-US" w:eastAsia="zh-CN"/>
              </w:rPr>
              <w:t>废油墨</w:t>
            </w: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1BF7774D">
            <w:pPr>
              <w:pStyle w:val="69"/>
              <w:bidi w:val="0"/>
            </w:pPr>
            <w:r>
              <w:rPr>
                <w:rFonts w:hint="eastAsia"/>
                <w:lang w:val="en-US" w:eastAsia="zh-CN"/>
              </w:rPr>
              <w:t>含异丙醇</w:t>
            </w:r>
            <w:r>
              <w:rPr>
                <w:rFonts w:hint="default"/>
                <w:lang w:val="en-US" w:eastAsia="zh-CN"/>
              </w:rPr>
              <w:t>10~20%</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77DC82C1">
            <w:pPr>
              <w:pStyle w:val="69"/>
              <w:bidi w:val="0"/>
            </w:pPr>
            <w:r>
              <w:rPr>
                <w:rFonts w:hint="eastAsia"/>
                <w:lang w:val="en-US" w:eastAsia="zh-CN"/>
              </w:rPr>
              <w:t>液</w:t>
            </w:r>
          </w:p>
        </w:tc>
        <w:tc>
          <w:tcPr>
            <w:tcW w:w="597" w:type="pct"/>
            <w:vMerge w:val="continue"/>
            <w:tcBorders>
              <w:left w:val="single" w:color="auto" w:sz="4" w:space="0"/>
              <w:bottom w:val="single" w:color="auto" w:sz="4" w:space="0"/>
              <w:right w:val="single" w:color="auto" w:sz="4" w:space="0"/>
            </w:tcBorders>
            <w:shd w:val="clear" w:color="auto" w:fill="FFFFFF"/>
            <w:vAlign w:val="center"/>
          </w:tcPr>
          <w:p w14:paraId="3EB74B35">
            <w:pPr>
              <w:pStyle w:val="69"/>
              <w:bidi w:val="0"/>
            </w:pPr>
          </w:p>
        </w:tc>
        <w:tc>
          <w:tcPr>
            <w:tcW w:w="60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9A0FC1E">
            <w:pPr>
              <w:pStyle w:val="69"/>
              <w:bidi w:val="0"/>
              <w:rPr>
                <w:rFonts w:hint="default"/>
                <w:lang w:val="en-US" w:eastAsia="zh-CN"/>
              </w:rPr>
            </w:pPr>
            <w:r>
              <w:rPr>
                <w:rFonts w:hint="eastAsia"/>
                <w:lang w:val="en-US" w:eastAsia="zh-CN"/>
              </w:rPr>
              <w:t>密闭桶装</w:t>
            </w:r>
          </w:p>
        </w:tc>
        <w:tc>
          <w:tcPr>
            <w:tcW w:w="514"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E6F265F">
            <w:pPr>
              <w:pStyle w:val="69"/>
              <w:bidi w:val="0"/>
              <w:rPr>
                <w:rFonts w:hint="default"/>
                <w:lang w:val="en-US" w:eastAsia="zh-CN"/>
              </w:rPr>
            </w:pPr>
            <w:r>
              <w:rPr>
                <w:rFonts w:hint="eastAsia"/>
                <w:lang w:val="en-US" w:eastAsia="zh-CN"/>
              </w:rPr>
              <w:t>危废暂存间</w:t>
            </w: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4971C5C6">
            <w:pPr>
              <w:pStyle w:val="69"/>
              <w:bidi w:val="0"/>
            </w:pPr>
            <w:r>
              <w:rPr>
                <w:rFonts w:hint="default"/>
                <w:lang w:val="en-US" w:eastAsia="zh-CN"/>
              </w:rPr>
              <w:t xml:space="preserve">0.090 </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5E2DBCB0">
            <w:pPr>
              <w:pStyle w:val="69"/>
              <w:bidi w:val="0"/>
            </w:pPr>
            <w:r>
              <w:rPr>
                <w:rFonts w:hint="default"/>
                <w:lang w:val="en-US" w:eastAsia="zh-CN"/>
              </w:rPr>
              <w:t>0</w:t>
            </w:r>
          </w:p>
        </w:tc>
        <w:tc>
          <w:tcPr>
            <w:tcW w:w="421" w:type="pct"/>
            <w:tcBorders>
              <w:top w:val="single" w:color="auto" w:sz="4" w:space="0"/>
              <w:left w:val="single" w:color="auto" w:sz="4" w:space="0"/>
              <w:bottom w:val="single" w:color="auto" w:sz="4" w:space="0"/>
              <w:right w:val="nil"/>
            </w:tcBorders>
            <w:shd w:val="clear" w:color="auto" w:fill="FFFFFF"/>
            <w:vAlign w:val="center"/>
          </w:tcPr>
          <w:p w14:paraId="41E55EE7">
            <w:pPr>
              <w:pStyle w:val="69"/>
              <w:bidi w:val="0"/>
            </w:pPr>
            <w:r>
              <w:rPr>
                <w:rFonts w:hint="default"/>
                <w:lang w:val="en-US" w:eastAsia="zh-CN"/>
              </w:rPr>
              <w:t xml:space="preserve">0.090 </w:t>
            </w:r>
          </w:p>
        </w:tc>
      </w:tr>
      <w:tr w14:paraId="239DF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vMerge w:val="continue"/>
            <w:tcBorders>
              <w:top w:val="single" w:color="auto" w:sz="4" w:space="0"/>
              <w:left w:val="nil"/>
              <w:bottom w:val="single" w:color="auto" w:sz="4" w:space="0"/>
              <w:right w:val="single" w:color="auto" w:sz="4" w:space="0"/>
              <w:tl2br w:val="nil"/>
            </w:tcBorders>
            <w:shd w:val="clear" w:color="auto" w:fill="FFFFFF"/>
            <w:vAlign w:val="center"/>
          </w:tcPr>
          <w:p w14:paraId="478E35B3">
            <w:pPr>
              <w:pStyle w:val="69"/>
              <w:bidi w:val="0"/>
              <w:rPr>
                <w:rFonts w:hint="eastAsia"/>
                <w:lang w:val="en-US" w:eastAsia="zh-CN"/>
              </w:rPr>
            </w:pP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090BA35D">
            <w:pPr>
              <w:pStyle w:val="69"/>
              <w:bidi w:val="0"/>
              <w:rPr>
                <w:rFonts w:hint="eastAsia"/>
                <w:lang w:val="en-US" w:eastAsia="zh-CN"/>
              </w:rPr>
            </w:pPr>
            <w:r>
              <w:rPr>
                <w:rFonts w:hint="eastAsia"/>
                <w:lang w:val="en-US" w:eastAsia="zh-CN"/>
              </w:rPr>
              <w:t>含</w:t>
            </w:r>
            <w:r>
              <w:rPr>
                <w:rFonts w:hint="default"/>
                <w:lang w:val="en-US" w:eastAsia="zh-CN"/>
              </w:rPr>
              <w:t>30~40%</w:t>
            </w:r>
            <w:r>
              <w:rPr>
                <w:rFonts w:hint="eastAsia"/>
                <w:lang w:val="en-US" w:eastAsia="zh-CN"/>
              </w:rPr>
              <w:t>乙酸乙酯</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28435900">
            <w:pPr>
              <w:pStyle w:val="69"/>
              <w:bidi w:val="0"/>
              <w:rPr>
                <w:rFonts w:hint="default"/>
                <w:lang w:val="en-US" w:eastAsia="zh-CN"/>
              </w:rPr>
            </w:pPr>
            <w:r>
              <w:rPr>
                <w:rFonts w:hint="eastAsia"/>
                <w:lang w:val="en-US" w:eastAsia="zh-CN"/>
              </w:rPr>
              <w:t>液</w:t>
            </w:r>
          </w:p>
        </w:tc>
        <w:tc>
          <w:tcPr>
            <w:tcW w:w="597" w:type="pct"/>
            <w:vMerge w:val="continue"/>
            <w:tcBorders>
              <w:left w:val="single" w:color="auto" w:sz="4" w:space="0"/>
              <w:bottom w:val="single" w:color="auto" w:sz="4" w:space="0"/>
              <w:right w:val="single" w:color="auto" w:sz="4" w:space="0"/>
            </w:tcBorders>
            <w:shd w:val="clear" w:color="auto" w:fill="FFFFFF"/>
            <w:vAlign w:val="center"/>
          </w:tcPr>
          <w:p w14:paraId="7EEDB16F">
            <w:pPr>
              <w:pStyle w:val="69"/>
              <w:bidi w:val="0"/>
              <w:rPr>
                <w:rFonts w:hint="default"/>
                <w:lang w:val="en-US" w:eastAsia="zh-CN"/>
              </w:rPr>
            </w:pPr>
          </w:p>
        </w:tc>
        <w:tc>
          <w:tcPr>
            <w:tcW w:w="609"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F08BE64">
            <w:pPr>
              <w:pStyle w:val="69"/>
              <w:bidi w:val="0"/>
              <w:rPr>
                <w:rFonts w:hint="default"/>
                <w:lang w:val="en-US" w:eastAsia="zh-CN"/>
              </w:rPr>
            </w:pPr>
          </w:p>
        </w:tc>
        <w:tc>
          <w:tcPr>
            <w:tcW w:w="514"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FB996C6">
            <w:pPr>
              <w:pStyle w:val="69"/>
              <w:bidi w:val="0"/>
              <w:rPr>
                <w:rFonts w:hint="default"/>
                <w:lang w:val="en-US" w:eastAsia="zh-CN"/>
              </w:rPr>
            </w:pP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4AAD9C4F">
            <w:pPr>
              <w:pStyle w:val="69"/>
              <w:bidi w:val="0"/>
            </w:pPr>
            <w:r>
              <w:rPr>
                <w:rFonts w:hint="default"/>
                <w:lang w:val="en-US" w:eastAsia="zh-CN"/>
              </w:rPr>
              <w:t xml:space="preserve">0.180 </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774ADEFA">
            <w:pPr>
              <w:pStyle w:val="69"/>
              <w:bidi w:val="0"/>
            </w:pPr>
            <w:r>
              <w:rPr>
                <w:rFonts w:hint="default"/>
                <w:lang w:val="en-US" w:eastAsia="zh-CN"/>
              </w:rPr>
              <w:t>0</w:t>
            </w:r>
          </w:p>
        </w:tc>
        <w:tc>
          <w:tcPr>
            <w:tcW w:w="421" w:type="pct"/>
            <w:tcBorders>
              <w:top w:val="single" w:color="auto" w:sz="4" w:space="0"/>
              <w:left w:val="single" w:color="auto" w:sz="4" w:space="0"/>
              <w:bottom w:val="single" w:color="auto" w:sz="4" w:space="0"/>
              <w:right w:val="nil"/>
            </w:tcBorders>
            <w:shd w:val="clear" w:color="auto" w:fill="FFFFFF"/>
            <w:vAlign w:val="center"/>
          </w:tcPr>
          <w:p w14:paraId="2F881AF4">
            <w:pPr>
              <w:pStyle w:val="69"/>
              <w:bidi w:val="0"/>
            </w:pPr>
            <w:r>
              <w:rPr>
                <w:rFonts w:hint="default"/>
                <w:lang w:val="en-US" w:eastAsia="zh-CN"/>
              </w:rPr>
              <w:t xml:space="preserve">0.180 </w:t>
            </w:r>
          </w:p>
        </w:tc>
      </w:tr>
      <w:tr w14:paraId="0A224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tcBorders>
              <w:top w:val="single" w:color="auto" w:sz="4" w:space="0"/>
              <w:left w:val="nil"/>
              <w:bottom w:val="single" w:color="auto" w:sz="4" w:space="0"/>
              <w:right w:val="single" w:color="auto" w:sz="4" w:space="0"/>
              <w:tl2br w:val="nil"/>
            </w:tcBorders>
            <w:shd w:val="clear" w:color="auto" w:fill="FFFFFF"/>
            <w:vAlign w:val="center"/>
          </w:tcPr>
          <w:p w14:paraId="43E10E93">
            <w:pPr>
              <w:pStyle w:val="69"/>
              <w:bidi w:val="0"/>
            </w:pPr>
            <w:r>
              <w:rPr>
                <w:rFonts w:hint="eastAsia"/>
                <w:lang w:val="en-US" w:eastAsia="zh-CN"/>
              </w:rPr>
              <w:t>异丙醇</w:t>
            </w: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5F27AF3A">
            <w:pPr>
              <w:pStyle w:val="69"/>
              <w:bidi w:val="0"/>
              <w:rPr>
                <w:rFonts w:hint="default"/>
                <w:lang w:val="en-US" w:eastAsia="zh-CN"/>
              </w:rPr>
            </w:pPr>
            <w:r>
              <w:rPr>
                <w:rFonts w:hint="eastAsia"/>
                <w:lang w:val="en-US" w:eastAsia="zh-CN"/>
              </w:rPr>
              <w:t>异丙醇</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4684D214">
            <w:pPr>
              <w:pStyle w:val="69"/>
              <w:bidi w:val="0"/>
            </w:pPr>
            <w:r>
              <w:rPr>
                <w:rFonts w:hint="eastAsia"/>
                <w:lang w:val="en-US" w:eastAsia="zh-CN"/>
              </w:rPr>
              <w:t>液</w:t>
            </w:r>
          </w:p>
        </w:tc>
        <w:tc>
          <w:tcPr>
            <w:tcW w:w="597"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57D6361">
            <w:pPr>
              <w:pStyle w:val="69"/>
              <w:bidi w:val="0"/>
              <w:rPr>
                <w:rFonts w:hint="default"/>
                <w:lang w:val="en-US" w:eastAsia="zh-CN"/>
              </w:rPr>
            </w:pPr>
          </w:p>
        </w:tc>
        <w:tc>
          <w:tcPr>
            <w:tcW w:w="609" w:type="pct"/>
            <w:tcBorders>
              <w:top w:val="single" w:color="auto" w:sz="4" w:space="0"/>
              <w:left w:val="single" w:color="auto" w:sz="4" w:space="0"/>
              <w:bottom w:val="single" w:color="auto" w:sz="4" w:space="0"/>
              <w:right w:val="single" w:color="auto" w:sz="4" w:space="0"/>
            </w:tcBorders>
            <w:shd w:val="clear" w:color="auto" w:fill="FFFFFF"/>
            <w:vAlign w:val="center"/>
          </w:tcPr>
          <w:p w14:paraId="41D957F4">
            <w:pPr>
              <w:pStyle w:val="69"/>
              <w:bidi w:val="0"/>
            </w:pPr>
            <w:r>
              <w:rPr>
                <w:rFonts w:hint="eastAsia"/>
                <w:lang w:val="en-US" w:eastAsia="zh-CN"/>
              </w:rPr>
              <w:t>密闭桶装</w:t>
            </w: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7C9999E1">
            <w:pPr>
              <w:pStyle w:val="69"/>
              <w:bidi w:val="0"/>
              <w:rPr>
                <w:rFonts w:hint="eastAsia"/>
                <w:lang w:val="en-US" w:eastAsia="zh-CN"/>
              </w:rPr>
            </w:pPr>
            <w:r>
              <w:rPr>
                <w:rFonts w:hint="eastAsia"/>
                <w:lang w:val="en-US" w:eastAsia="zh-CN"/>
              </w:rPr>
              <w:t>溶剂仓库</w:t>
            </w: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7BF20292">
            <w:pPr>
              <w:pStyle w:val="69"/>
              <w:bidi w:val="0"/>
            </w:pPr>
            <w:r>
              <w:rPr>
                <w:rFonts w:hint="default"/>
                <w:lang w:val="en-US" w:eastAsia="zh-CN"/>
              </w:rPr>
              <w:t>0.32</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15D8FCDE">
            <w:pPr>
              <w:pStyle w:val="69"/>
              <w:bidi w:val="0"/>
            </w:pPr>
            <w:r>
              <w:rPr>
                <w:rFonts w:hint="default"/>
                <w:lang w:val="en-US" w:eastAsia="zh-CN"/>
              </w:rPr>
              <w:t>0</w:t>
            </w:r>
          </w:p>
        </w:tc>
        <w:tc>
          <w:tcPr>
            <w:tcW w:w="421" w:type="pct"/>
            <w:tcBorders>
              <w:top w:val="single" w:color="auto" w:sz="4" w:space="0"/>
              <w:left w:val="single" w:color="auto" w:sz="4" w:space="0"/>
              <w:bottom w:val="single" w:color="auto" w:sz="4" w:space="0"/>
              <w:right w:val="nil"/>
            </w:tcBorders>
            <w:shd w:val="clear" w:color="auto" w:fill="FFFFFF"/>
            <w:vAlign w:val="center"/>
          </w:tcPr>
          <w:p w14:paraId="2936F3D9">
            <w:pPr>
              <w:pStyle w:val="69"/>
              <w:bidi w:val="0"/>
            </w:pPr>
            <w:r>
              <w:rPr>
                <w:rFonts w:hint="default"/>
                <w:lang w:val="en-US" w:eastAsia="zh-CN"/>
              </w:rPr>
              <w:t>0.32</w:t>
            </w:r>
          </w:p>
        </w:tc>
      </w:tr>
      <w:tr w14:paraId="61168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tcBorders>
              <w:top w:val="single" w:color="auto" w:sz="4" w:space="0"/>
              <w:left w:val="nil"/>
              <w:bottom w:val="single" w:color="auto" w:sz="4" w:space="0"/>
              <w:right w:val="single" w:color="auto" w:sz="4" w:space="0"/>
              <w:tl2br w:val="nil"/>
            </w:tcBorders>
            <w:shd w:val="clear" w:color="auto" w:fill="FFFFFF"/>
            <w:vAlign w:val="center"/>
          </w:tcPr>
          <w:p w14:paraId="37B8B233">
            <w:pPr>
              <w:pStyle w:val="69"/>
              <w:bidi w:val="0"/>
              <w:rPr>
                <w:rFonts w:hint="default"/>
                <w:lang w:val="en-US" w:eastAsia="zh-CN"/>
              </w:rPr>
            </w:pPr>
            <w:r>
              <w:rPr>
                <w:rFonts w:hint="eastAsia"/>
                <w:lang w:val="en-US" w:eastAsia="zh-CN"/>
              </w:rPr>
              <w:t>天然气</w:t>
            </w: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434EAF11">
            <w:pPr>
              <w:pStyle w:val="69"/>
              <w:bidi w:val="0"/>
              <w:rPr>
                <w:rFonts w:hint="eastAsia"/>
                <w:lang w:val="en-US" w:eastAsia="zh-CN"/>
              </w:rPr>
            </w:pPr>
            <w:r>
              <w:rPr>
                <w:rFonts w:hint="eastAsia"/>
                <w:lang w:val="en-US" w:eastAsia="zh-CN"/>
              </w:rPr>
              <w:t>甲烷</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4CCCC9A8">
            <w:pPr>
              <w:pStyle w:val="69"/>
              <w:bidi w:val="0"/>
              <w:rPr>
                <w:rFonts w:hint="eastAsia"/>
                <w:lang w:val="en-US" w:eastAsia="zh-CN"/>
              </w:rPr>
            </w:pPr>
            <w:r>
              <w:rPr>
                <w:rFonts w:hint="eastAsia"/>
                <w:lang w:val="en-US" w:eastAsia="zh-CN"/>
              </w:rPr>
              <w:t>气</w:t>
            </w:r>
          </w:p>
        </w:tc>
        <w:tc>
          <w:tcPr>
            <w:tcW w:w="597" w:type="pct"/>
            <w:tcBorders>
              <w:top w:val="single" w:color="auto" w:sz="4" w:space="0"/>
              <w:left w:val="single" w:color="auto" w:sz="4" w:space="0"/>
              <w:bottom w:val="single" w:color="auto" w:sz="4" w:space="0"/>
              <w:right w:val="single" w:color="auto" w:sz="4" w:space="0"/>
            </w:tcBorders>
            <w:shd w:val="clear" w:color="auto" w:fill="FFFFFF"/>
            <w:vAlign w:val="center"/>
          </w:tcPr>
          <w:p w14:paraId="5BEA6744">
            <w:pPr>
              <w:pStyle w:val="69"/>
              <w:bidi w:val="0"/>
              <w:rPr>
                <w:rFonts w:hint="eastAsia"/>
                <w:lang w:val="en-US" w:eastAsia="zh-CN"/>
              </w:rPr>
            </w:pPr>
            <w:r>
              <w:rPr>
                <w:rFonts w:hint="eastAsia"/>
                <w:lang w:val="en-US" w:eastAsia="zh-CN"/>
              </w:rPr>
              <w:t>易燃气体</w:t>
            </w:r>
          </w:p>
        </w:tc>
        <w:tc>
          <w:tcPr>
            <w:tcW w:w="609" w:type="pct"/>
            <w:tcBorders>
              <w:top w:val="single" w:color="auto" w:sz="4" w:space="0"/>
              <w:left w:val="single" w:color="auto" w:sz="4" w:space="0"/>
              <w:bottom w:val="single" w:color="auto" w:sz="4" w:space="0"/>
              <w:right w:val="single" w:color="auto" w:sz="4" w:space="0"/>
            </w:tcBorders>
            <w:shd w:val="clear" w:color="auto" w:fill="FFFFFF"/>
            <w:vAlign w:val="center"/>
          </w:tcPr>
          <w:p w14:paraId="46A884F5">
            <w:pPr>
              <w:pStyle w:val="69"/>
              <w:bidi w:val="0"/>
              <w:rPr>
                <w:rFonts w:hint="eastAsia"/>
                <w:lang w:val="en-US" w:eastAsia="zh-CN"/>
              </w:rPr>
            </w:pPr>
            <w:r>
              <w:rPr>
                <w:rFonts w:hint="eastAsia"/>
                <w:lang w:val="en-US" w:eastAsia="zh-CN"/>
              </w:rPr>
              <w:t>管道输送</w:t>
            </w: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5D8C6F46">
            <w:pPr>
              <w:pStyle w:val="69"/>
              <w:bidi w:val="0"/>
              <w:rPr>
                <w:rFonts w:hint="default"/>
                <w:lang w:val="en-US" w:eastAsia="zh-CN"/>
              </w:rPr>
            </w:pPr>
            <w:r>
              <w:rPr>
                <w:rFonts w:hint="default"/>
                <w:lang w:val="en-US" w:eastAsia="zh-CN"/>
              </w:rPr>
              <w:t>/</w:t>
            </w: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65389A8B">
            <w:pPr>
              <w:pStyle w:val="69"/>
              <w:bidi w:val="0"/>
            </w:pPr>
            <w:r>
              <w:rPr>
                <w:rFonts w:hint="default"/>
                <w:lang w:val="en-US" w:eastAsia="zh-CN"/>
              </w:rPr>
              <w:t>0</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2F6FE80E">
            <w:pPr>
              <w:pStyle w:val="69"/>
              <w:bidi w:val="0"/>
            </w:pPr>
            <w:r>
              <w:rPr>
                <w:rFonts w:hint="default"/>
                <w:lang w:val="en-US" w:eastAsia="zh-CN"/>
              </w:rPr>
              <w:t xml:space="preserve">0.106 </w:t>
            </w:r>
          </w:p>
        </w:tc>
        <w:tc>
          <w:tcPr>
            <w:tcW w:w="421" w:type="pct"/>
            <w:tcBorders>
              <w:top w:val="single" w:color="auto" w:sz="4" w:space="0"/>
              <w:left w:val="single" w:color="auto" w:sz="4" w:space="0"/>
              <w:bottom w:val="single" w:color="auto" w:sz="4" w:space="0"/>
              <w:right w:val="nil"/>
            </w:tcBorders>
            <w:shd w:val="clear" w:color="auto" w:fill="FFFFFF"/>
            <w:vAlign w:val="center"/>
          </w:tcPr>
          <w:p w14:paraId="51B1CFB1">
            <w:pPr>
              <w:pStyle w:val="69"/>
              <w:bidi w:val="0"/>
            </w:pPr>
            <w:r>
              <w:rPr>
                <w:rFonts w:hint="default"/>
                <w:lang w:val="en-US" w:eastAsia="zh-CN"/>
              </w:rPr>
              <w:t xml:space="preserve">0.106 </w:t>
            </w:r>
          </w:p>
        </w:tc>
      </w:tr>
      <w:tr w14:paraId="171BB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tcBorders>
              <w:top w:val="single" w:color="auto" w:sz="4" w:space="0"/>
              <w:left w:val="nil"/>
              <w:bottom w:val="single" w:color="auto" w:sz="4" w:space="0"/>
              <w:right w:val="single" w:color="auto" w:sz="4" w:space="0"/>
              <w:tl2br w:val="nil"/>
            </w:tcBorders>
            <w:shd w:val="clear" w:color="auto" w:fill="FFFFFF"/>
            <w:vAlign w:val="center"/>
          </w:tcPr>
          <w:p w14:paraId="161481F5">
            <w:pPr>
              <w:pStyle w:val="69"/>
              <w:bidi w:val="0"/>
              <w:rPr>
                <w:rFonts w:hint="eastAsia"/>
                <w:lang w:val="en-US" w:eastAsia="zh-CN"/>
              </w:rPr>
            </w:pPr>
            <w:r>
              <w:rPr>
                <w:rFonts w:hint="eastAsia"/>
                <w:lang w:val="en-US" w:eastAsia="zh-CN"/>
              </w:rPr>
              <w:t>润滑油</w:t>
            </w:r>
          </w:p>
        </w:tc>
        <w:tc>
          <w:tcPr>
            <w:tcW w:w="842" w:type="pct"/>
            <w:tcBorders>
              <w:top w:val="single" w:color="auto" w:sz="4" w:space="0"/>
              <w:left w:val="nil"/>
              <w:bottom w:val="single" w:color="auto" w:sz="4" w:space="0"/>
              <w:right w:val="single" w:color="auto" w:sz="4" w:space="0"/>
              <w:tl2br w:val="nil"/>
            </w:tcBorders>
            <w:shd w:val="clear" w:color="auto" w:fill="FFFFFF"/>
            <w:vAlign w:val="center"/>
          </w:tcPr>
          <w:p w14:paraId="6B4F4DD3">
            <w:pPr>
              <w:pStyle w:val="69"/>
              <w:bidi w:val="0"/>
              <w:rPr>
                <w:rFonts w:hint="eastAsia"/>
                <w:lang w:val="en-US" w:eastAsia="zh-CN"/>
              </w:rPr>
            </w:pPr>
            <w:r>
              <w:rPr>
                <w:rFonts w:hint="eastAsia"/>
                <w:lang w:val="en-US" w:eastAsia="zh-CN"/>
              </w:rPr>
              <w:t>油类物质</w:t>
            </w:r>
          </w:p>
        </w:tc>
        <w:tc>
          <w:tcPr>
            <w:tcW w:w="403" w:type="pct"/>
            <w:tcBorders>
              <w:top w:val="single" w:color="auto" w:sz="4" w:space="0"/>
              <w:left w:val="single" w:color="auto" w:sz="4" w:space="0"/>
              <w:bottom w:val="single" w:color="auto" w:sz="4" w:space="0"/>
              <w:right w:val="single" w:color="auto" w:sz="4" w:space="0"/>
            </w:tcBorders>
            <w:shd w:val="clear" w:color="auto" w:fill="FFFFFF"/>
            <w:vAlign w:val="center"/>
          </w:tcPr>
          <w:p w14:paraId="1ECE9F4E">
            <w:pPr>
              <w:pStyle w:val="69"/>
              <w:bidi w:val="0"/>
              <w:rPr>
                <w:rFonts w:hint="eastAsia"/>
                <w:lang w:val="en-US" w:eastAsia="zh-CN"/>
              </w:rPr>
            </w:pPr>
            <w:r>
              <w:rPr>
                <w:rFonts w:hint="eastAsia"/>
                <w:lang w:val="en-US" w:eastAsia="zh-CN"/>
              </w:rPr>
              <w:t>液</w:t>
            </w:r>
          </w:p>
        </w:tc>
        <w:tc>
          <w:tcPr>
            <w:tcW w:w="597"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B6A2B43">
            <w:pPr>
              <w:pStyle w:val="69"/>
              <w:bidi w:val="0"/>
              <w:rPr>
                <w:rFonts w:hint="eastAsia"/>
                <w:lang w:val="en-US" w:eastAsia="zh-CN"/>
              </w:rPr>
            </w:pPr>
            <w:r>
              <w:rPr>
                <w:rFonts w:hint="eastAsia"/>
                <w:lang w:val="en-US" w:eastAsia="zh-CN"/>
              </w:rPr>
              <w:t>油类物质</w:t>
            </w:r>
          </w:p>
        </w:tc>
        <w:tc>
          <w:tcPr>
            <w:tcW w:w="609"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2DD8747">
            <w:pPr>
              <w:pStyle w:val="69"/>
              <w:bidi w:val="0"/>
              <w:rPr>
                <w:rFonts w:hint="eastAsia"/>
                <w:lang w:val="en-US" w:eastAsia="zh-CN"/>
              </w:rPr>
            </w:pPr>
            <w:r>
              <w:rPr>
                <w:rFonts w:hint="eastAsia"/>
                <w:lang w:val="en-US" w:eastAsia="zh-CN"/>
              </w:rPr>
              <w:t>密闭桶装</w:t>
            </w:r>
          </w:p>
        </w:tc>
        <w:tc>
          <w:tcPr>
            <w:tcW w:w="514" w:type="pct"/>
            <w:tcBorders>
              <w:top w:val="single" w:color="auto" w:sz="4" w:space="0"/>
              <w:left w:val="single" w:color="auto" w:sz="4" w:space="0"/>
              <w:bottom w:val="single" w:color="auto" w:sz="4" w:space="0"/>
              <w:right w:val="single" w:color="auto" w:sz="4" w:space="0"/>
            </w:tcBorders>
            <w:shd w:val="clear" w:color="auto" w:fill="FFFFFF"/>
            <w:vAlign w:val="center"/>
          </w:tcPr>
          <w:p w14:paraId="39EB70C2">
            <w:pPr>
              <w:pStyle w:val="69"/>
              <w:bidi w:val="0"/>
              <w:rPr>
                <w:rFonts w:hint="eastAsia"/>
                <w:lang w:val="en-US" w:eastAsia="zh-CN"/>
              </w:rPr>
            </w:pPr>
            <w:r>
              <w:rPr>
                <w:rFonts w:hint="eastAsia"/>
                <w:lang w:val="en-US" w:eastAsia="zh-CN"/>
              </w:rPr>
              <w:t>车间</w:t>
            </w:r>
          </w:p>
        </w:tc>
        <w:tc>
          <w:tcPr>
            <w:tcW w:w="448" w:type="pct"/>
            <w:tcBorders>
              <w:top w:val="single" w:color="auto" w:sz="4" w:space="0"/>
              <w:left w:val="single" w:color="auto" w:sz="4" w:space="0"/>
              <w:bottom w:val="single" w:color="auto" w:sz="4" w:space="0"/>
              <w:right w:val="single" w:color="auto" w:sz="4" w:space="0"/>
            </w:tcBorders>
            <w:shd w:val="clear" w:color="auto" w:fill="FFFFFF"/>
            <w:vAlign w:val="center"/>
          </w:tcPr>
          <w:p w14:paraId="49E604BF">
            <w:pPr>
              <w:pStyle w:val="69"/>
              <w:bidi w:val="0"/>
            </w:pPr>
            <w:r>
              <w:rPr>
                <w:rFonts w:hint="default"/>
                <w:lang w:val="en-US" w:eastAsia="zh-CN"/>
              </w:rPr>
              <w:t>0.36</w:t>
            </w:r>
          </w:p>
        </w:tc>
        <w:tc>
          <w:tcPr>
            <w:tcW w:w="449" w:type="pct"/>
            <w:tcBorders>
              <w:top w:val="single" w:color="auto" w:sz="4" w:space="0"/>
              <w:left w:val="single" w:color="auto" w:sz="4" w:space="0"/>
              <w:bottom w:val="single" w:color="auto" w:sz="4" w:space="0"/>
              <w:right w:val="single" w:color="auto" w:sz="4" w:space="0"/>
            </w:tcBorders>
            <w:shd w:val="clear" w:color="auto" w:fill="FFFFFF"/>
            <w:vAlign w:val="center"/>
          </w:tcPr>
          <w:p w14:paraId="2C385593">
            <w:pPr>
              <w:pStyle w:val="69"/>
              <w:bidi w:val="0"/>
            </w:pPr>
            <w:r>
              <w:rPr>
                <w:rFonts w:hint="default"/>
                <w:lang w:val="en-US" w:eastAsia="zh-CN"/>
              </w:rPr>
              <w:t>0</w:t>
            </w:r>
          </w:p>
        </w:tc>
        <w:tc>
          <w:tcPr>
            <w:tcW w:w="421" w:type="pct"/>
            <w:tcBorders>
              <w:top w:val="single" w:color="auto" w:sz="4" w:space="0"/>
              <w:left w:val="single" w:color="auto" w:sz="4" w:space="0"/>
              <w:bottom w:val="single" w:color="auto" w:sz="4" w:space="0"/>
              <w:right w:val="nil"/>
            </w:tcBorders>
            <w:shd w:val="clear" w:color="auto" w:fill="FFFFFF"/>
            <w:vAlign w:val="center"/>
          </w:tcPr>
          <w:p w14:paraId="505FE01E">
            <w:pPr>
              <w:pStyle w:val="69"/>
              <w:bidi w:val="0"/>
            </w:pPr>
            <w:r>
              <w:rPr>
                <w:rFonts w:hint="default"/>
                <w:lang w:val="en-US" w:eastAsia="zh-CN"/>
              </w:rPr>
              <w:t>0.36</w:t>
            </w:r>
          </w:p>
        </w:tc>
      </w:tr>
      <w:tr w14:paraId="600DA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12" w:type="pct"/>
            <w:tcBorders>
              <w:top w:val="single" w:color="auto" w:sz="4" w:space="0"/>
              <w:left w:val="nil"/>
              <w:bottom w:val="single" w:color="000000" w:sz="12" w:space="0"/>
              <w:right w:val="single" w:color="auto" w:sz="4" w:space="0"/>
              <w:tl2br w:val="nil"/>
            </w:tcBorders>
            <w:shd w:val="clear" w:color="auto" w:fill="FFFFFF"/>
            <w:vAlign w:val="center"/>
          </w:tcPr>
          <w:p w14:paraId="46CC26A2">
            <w:pPr>
              <w:pStyle w:val="69"/>
              <w:bidi w:val="0"/>
              <w:rPr>
                <w:rFonts w:hint="eastAsia"/>
                <w:lang w:val="en-US" w:eastAsia="zh-CN"/>
              </w:rPr>
            </w:pPr>
            <w:r>
              <w:rPr>
                <w:rFonts w:hint="eastAsia"/>
                <w:lang w:val="en-US" w:eastAsia="zh-CN"/>
              </w:rPr>
              <w:t>废矿物油</w:t>
            </w:r>
          </w:p>
        </w:tc>
        <w:tc>
          <w:tcPr>
            <w:tcW w:w="842" w:type="pct"/>
            <w:tcBorders>
              <w:top w:val="single" w:color="auto" w:sz="4" w:space="0"/>
              <w:left w:val="nil"/>
              <w:bottom w:val="single" w:color="000000" w:sz="12" w:space="0"/>
              <w:right w:val="single" w:color="auto" w:sz="4" w:space="0"/>
              <w:tl2br w:val="nil"/>
            </w:tcBorders>
            <w:shd w:val="clear" w:color="auto" w:fill="FFFFFF"/>
            <w:vAlign w:val="center"/>
          </w:tcPr>
          <w:p w14:paraId="279EEADB">
            <w:pPr>
              <w:pStyle w:val="69"/>
              <w:bidi w:val="0"/>
              <w:rPr>
                <w:rFonts w:hint="eastAsia"/>
                <w:lang w:val="en-US" w:eastAsia="zh-CN"/>
              </w:rPr>
            </w:pPr>
            <w:r>
              <w:rPr>
                <w:rFonts w:hint="eastAsia"/>
                <w:lang w:val="en-US" w:eastAsia="zh-CN"/>
              </w:rPr>
              <w:t>油类物质</w:t>
            </w:r>
          </w:p>
        </w:tc>
        <w:tc>
          <w:tcPr>
            <w:tcW w:w="403" w:type="pct"/>
            <w:tcBorders>
              <w:top w:val="single" w:color="auto" w:sz="4" w:space="0"/>
              <w:left w:val="single" w:color="auto" w:sz="4" w:space="0"/>
              <w:bottom w:val="single" w:color="000000" w:sz="12" w:space="0"/>
              <w:right w:val="single" w:color="auto" w:sz="4" w:space="0"/>
            </w:tcBorders>
            <w:shd w:val="clear" w:color="auto" w:fill="FFFFFF"/>
            <w:vAlign w:val="center"/>
          </w:tcPr>
          <w:p w14:paraId="797A2C47">
            <w:pPr>
              <w:pStyle w:val="69"/>
              <w:bidi w:val="0"/>
              <w:rPr>
                <w:rFonts w:hint="eastAsia"/>
                <w:lang w:val="en-US" w:eastAsia="zh-CN"/>
              </w:rPr>
            </w:pPr>
            <w:r>
              <w:rPr>
                <w:rFonts w:hint="eastAsia"/>
                <w:lang w:val="en-US" w:eastAsia="zh-CN"/>
              </w:rPr>
              <w:t>液</w:t>
            </w:r>
          </w:p>
        </w:tc>
        <w:tc>
          <w:tcPr>
            <w:tcW w:w="597" w:type="pct"/>
            <w:vMerge w:val="continue"/>
            <w:tcBorders>
              <w:top w:val="single" w:color="auto" w:sz="4" w:space="0"/>
              <w:left w:val="single" w:color="auto" w:sz="4" w:space="0"/>
              <w:bottom w:val="single" w:color="000000" w:sz="12" w:space="0"/>
              <w:right w:val="single" w:color="auto" w:sz="4" w:space="0"/>
            </w:tcBorders>
            <w:shd w:val="clear" w:color="auto" w:fill="FFFFFF"/>
            <w:vAlign w:val="center"/>
          </w:tcPr>
          <w:p w14:paraId="60A916BF">
            <w:pPr>
              <w:pStyle w:val="69"/>
              <w:bidi w:val="0"/>
              <w:rPr>
                <w:rFonts w:hint="eastAsia"/>
                <w:lang w:val="en-US" w:eastAsia="zh-CN"/>
              </w:rPr>
            </w:pPr>
          </w:p>
        </w:tc>
        <w:tc>
          <w:tcPr>
            <w:tcW w:w="609" w:type="pct"/>
            <w:vMerge w:val="continue"/>
            <w:tcBorders>
              <w:top w:val="single" w:color="auto" w:sz="4" w:space="0"/>
              <w:left w:val="single" w:color="auto" w:sz="4" w:space="0"/>
              <w:bottom w:val="single" w:color="000000" w:sz="12" w:space="0"/>
              <w:right w:val="single" w:color="auto" w:sz="4" w:space="0"/>
            </w:tcBorders>
            <w:shd w:val="clear" w:color="auto" w:fill="FFFFFF"/>
            <w:vAlign w:val="center"/>
          </w:tcPr>
          <w:p w14:paraId="0A6EBAA5">
            <w:pPr>
              <w:pStyle w:val="69"/>
              <w:bidi w:val="0"/>
              <w:rPr>
                <w:rFonts w:hint="eastAsia"/>
                <w:lang w:val="en-US" w:eastAsia="zh-CN"/>
              </w:rPr>
            </w:pPr>
          </w:p>
        </w:tc>
        <w:tc>
          <w:tcPr>
            <w:tcW w:w="514" w:type="pct"/>
            <w:tcBorders>
              <w:top w:val="single" w:color="auto" w:sz="4" w:space="0"/>
              <w:left w:val="single" w:color="auto" w:sz="4" w:space="0"/>
              <w:bottom w:val="single" w:color="000000" w:sz="12" w:space="0"/>
              <w:right w:val="single" w:color="auto" w:sz="4" w:space="0"/>
            </w:tcBorders>
            <w:shd w:val="clear" w:color="auto" w:fill="FFFFFF"/>
            <w:vAlign w:val="center"/>
          </w:tcPr>
          <w:p w14:paraId="44D99A08">
            <w:pPr>
              <w:pStyle w:val="69"/>
              <w:bidi w:val="0"/>
              <w:rPr>
                <w:rFonts w:hint="eastAsia"/>
                <w:lang w:val="en-US" w:eastAsia="zh-CN"/>
              </w:rPr>
            </w:pPr>
            <w:r>
              <w:rPr>
                <w:rFonts w:hint="eastAsia"/>
                <w:lang w:val="en-US" w:eastAsia="zh-CN"/>
              </w:rPr>
              <w:t>危废暂存间</w:t>
            </w:r>
          </w:p>
        </w:tc>
        <w:tc>
          <w:tcPr>
            <w:tcW w:w="448" w:type="pct"/>
            <w:tcBorders>
              <w:top w:val="single" w:color="auto" w:sz="4" w:space="0"/>
              <w:left w:val="single" w:color="auto" w:sz="4" w:space="0"/>
              <w:bottom w:val="single" w:color="000000" w:sz="12" w:space="0"/>
              <w:right w:val="single" w:color="auto" w:sz="4" w:space="0"/>
            </w:tcBorders>
            <w:shd w:val="clear" w:color="auto" w:fill="FFFFFF"/>
            <w:vAlign w:val="center"/>
          </w:tcPr>
          <w:p w14:paraId="06EC46A1">
            <w:pPr>
              <w:pStyle w:val="69"/>
              <w:bidi w:val="0"/>
            </w:pPr>
            <w:r>
              <w:rPr>
                <w:rFonts w:hint="default"/>
                <w:lang w:val="en-US" w:eastAsia="zh-CN"/>
              </w:rPr>
              <w:t>0.236</w:t>
            </w:r>
          </w:p>
        </w:tc>
        <w:tc>
          <w:tcPr>
            <w:tcW w:w="449" w:type="pct"/>
            <w:tcBorders>
              <w:top w:val="single" w:color="auto" w:sz="4" w:space="0"/>
              <w:left w:val="single" w:color="auto" w:sz="4" w:space="0"/>
              <w:bottom w:val="single" w:color="000000" w:sz="12" w:space="0"/>
              <w:right w:val="single" w:color="auto" w:sz="4" w:space="0"/>
            </w:tcBorders>
            <w:shd w:val="clear" w:color="auto" w:fill="FFFFFF"/>
            <w:vAlign w:val="center"/>
          </w:tcPr>
          <w:p w14:paraId="43EB9249">
            <w:pPr>
              <w:pStyle w:val="69"/>
              <w:bidi w:val="0"/>
            </w:pPr>
            <w:r>
              <w:rPr>
                <w:rFonts w:hint="default"/>
                <w:lang w:val="en-US" w:eastAsia="zh-CN"/>
              </w:rPr>
              <w:t>0</w:t>
            </w:r>
          </w:p>
        </w:tc>
        <w:tc>
          <w:tcPr>
            <w:tcW w:w="421" w:type="pct"/>
            <w:tcBorders>
              <w:top w:val="single" w:color="auto" w:sz="4" w:space="0"/>
              <w:left w:val="single" w:color="auto" w:sz="4" w:space="0"/>
              <w:bottom w:val="single" w:color="000000" w:sz="12" w:space="0"/>
              <w:right w:val="nil"/>
            </w:tcBorders>
            <w:shd w:val="clear" w:color="auto" w:fill="FFFFFF"/>
            <w:vAlign w:val="center"/>
          </w:tcPr>
          <w:p w14:paraId="5CB98531">
            <w:pPr>
              <w:pStyle w:val="69"/>
              <w:bidi w:val="0"/>
            </w:pPr>
            <w:r>
              <w:rPr>
                <w:rFonts w:hint="default"/>
                <w:lang w:val="en-US" w:eastAsia="zh-CN"/>
              </w:rPr>
              <w:t>0.236</w:t>
            </w:r>
          </w:p>
        </w:tc>
      </w:tr>
    </w:tbl>
    <w:p w14:paraId="0E3D74EA">
      <w:pPr>
        <w:pStyle w:val="63"/>
        <w:bidi w:val="0"/>
      </w:pPr>
      <w:r>
        <w:t>厂区内天然气管道长度约</w:t>
      </w:r>
      <w:r>
        <w:rPr>
          <w:rFonts w:hint="eastAsia"/>
          <w:lang w:val="en-US" w:eastAsia="zh-CN"/>
        </w:rPr>
        <w:t>30</w:t>
      </w:r>
      <w:r>
        <w:t xml:space="preserve">0m，管径 </w:t>
      </w:r>
      <w:r>
        <w:rPr>
          <w:rFonts w:hint="eastAsia"/>
          <w:lang w:val="en-US" w:eastAsia="zh-CN"/>
        </w:rPr>
        <w:t>25</w:t>
      </w:r>
      <w:r>
        <w:t>mm，即管道容积 0.1</w:t>
      </w:r>
      <w:r>
        <w:rPr>
          <w:rFonts w:hint="eastAsia"/>
          <w:lang w:val="en-US" w:eastAsia="zh-CN"/>
        </w:rPr>
        <w:t>47</w:t>
      </w:r>
      <w:r>
        <w:t>m</w:t>
      </w:r>
      <w:r>
        <w:rPr>
          <w:vertAlign w:val="superscript"/>
        </w:rPr>
        <w:t>3</w:t>
      </w:r>
      <w:r>
        <w:t>，天然气密度0.717</w:t>
      </w:r>
      <w:r>
        <w:rPr>
          <w:rFonts w:hint="eastAsia"/>
          <w:lang w:val="en-US" w:eastAsia="zh-CN"/>
        </w:rPr>
        <w:t>g/cm</w:t>
      </w:r>
      <w:r>
        <w:rPr>
          <w:rFonts w:hint="eastAsia"/>
          <w:vertAlign w:val="superscript"/>
          <w:lang w:val="en-US" w:eastAsia="zh-CN"/>
        </w:rPr>
        <w:t>3</w:t>
      </w:r>
      <w:r>
        <w:t>，则算得厂区内天然气在线量 0.</w:t>
      </w:r>
      <w:r>
        <w:rPr>
          <w:rFonts w:hint="eastAsia"/>
          <w:lang w:val="en-US" w:eastAsia="zh-CN"/>
        </w:rPr>
        <w:t>106</w:t>
      </w:r>
      <w:r>
        <w:t>t。</w:t>
      </w:r>
    </w:p>
    <w:p w14:paraId="0116B127">
      <w:pPr>
        <w:ind w:firstLine="480"/>
        <w:rPr>
          <w:b/>
          <w:bCs/>
          <w:color w:val="auto"/>
        </w:rPr>
      </w:pPr>
      <w:r>
        <w:rPr>
          <w:rFonts w:hint="eastAsia"/>
          <w:color w:val="auto"/>
        </w:rPr>
        <w:t>2</w:t>
      </w:r>
      <w:r>
        <w:rPr>
          <w:rFonts w:hint="eastAsia"/>
          <w:b/>
          <w:bCs/>
          <w:color w:val="auto"/>
        </w:rPr>
        <w:t>、风险单元识别</w:t>
      </w:r>
    </w:p>
    <w:p w14:paraId="29C0A507">
      <w:pPr>
        <w:ind w:firstLine="480"/>
        <w:rPr>
          <w:color w:val="auto"/>
        </w:rPr>
      </w:pPr>
      <w:r>
        <w:rPr>
          <w:rFonts w:hint="eastAsia"/>
          <w:color w:val="auto"/>
        </w:rPr>
        <w:t>本项目主要为废水处理设施存在环境风险，识别如下表所示：</w:t>
      </w:r>
    </w:p>
    <w:p w14:paraId="35F32AAA">
      <w:pPr>
        <w:pStyle w:val="85"/>
        <w:numPr>
          <w:ilvl w:val="0"/>
          <w:numId w:val="47"/>
        </w:numPr>
        <w:bidi w:val="0"/>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环境风险</w:t>
      </w:r>
      <w:r>
        <w:rPr>
          <w:rFonts w:hint="eastAsia" w:ascii="Times New Roman" w:hAnsi="Times New Roman" w:eastAsia="宋体" w:cs="Times New Roman"/>
        </w:rPr>
        <w:t>识别</w:t>
      </w:r>
      <w:r>
        <w:rPr>
          <w:rFonts w:hint="eastAsia" w:ascii="Times New Roman" w:hAnsi="Times New Roman" w:eastAsia="宋体" w:cs="Times New Roman"/>
          <w:lang w:val="en-US" w:eastAsia="zh-CN"/>
        </w:rPr>
        <w:t>表</w:t>
      </w:r>
    </w:p>
    <w:tbl>
      <w:tblPr>
        <w:tblStyle w:val="38"/>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360"/>
        <w:gridCol w:w="1462"/>
        <w:gridCol w:w="1523"/>
        <w:gridCol w:w="1731"/>
        <w:gridCol w:w="1079"/>
        <w:gridCol w:w="1259"/>
      </w:tblGrid>
      <w:tr w14:paraId="7AD51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67" w:type="pct"/>
            <w:vAlign w:val="center"/>
          </w:tcPr>
          <w:p w14:paraId="1C466D2F">
            <w:pPr>
              <w:pStyle w:val="59"/>
              <w:bidi w:val="0"/>
            </w:pPr>
            <w:r>
              <w:t>序号</w:t>
            </w:r>
          </w:p>
        </w:tc>
        <w:tc>
          <w:tcPr>
            <w:tcW w:w="732" w:type="pct"/>
            <w:vAlign w:val="center"/>
          </w:tcPr>
          <w:p w14:paraId="7795D236">
            <w:pPr>
              <w:pStyle w:val="59"/>
              <w:bidi w:val="0"/>
            </w:pPr>
            <w:r>
              <w:t>风险单元</w:t>
            </w:r>
          </w:p>
        </w:tc>
        <w:tc>
          <w:tcPr>
            <w:tcW w:w="787" w:type="pct"/>
            <w:vAlign w:val="center"/>
          </w:tcPr>
          <w:p w14:paraId="1DD9E0F0">
            <w:pPr>
              <w:pStyle w:val="59"/>
              <w:bidi w:val="0"/>
              <w:rPr>
                <w:rFonts w:hint="eastAsia"/>
                <w:lang w:eastAsia="zh-CN"/>
              </w:rPr>
            </w:pPr>
            <w:r>
              <w:rPr>
                <w:rFonts w:hint="eastAsia"/>
                <w:lang w:val="en-US" w:eastAsia="zh-CN"/>
              </w:rPr>
              <w:t>危险源</w:t>
            </w:r>
          </w:p>
        </w:tc>
        <w:tc>
          <w:tcPr>
            <w:tcW w:w="820" w:type="pct"/>
            <w:vAlign w:val="center"/>
          </w:tcPr>
          <w:p w14:paraId="3F9846E3">
            <w:pPr>
              <w:pStyle w:val="59"/>
              <w:bidi w:val="0"/>
              <w:rPr>
                <w:rFonts w:hint="default"/>
                <w:lang w:val="en-US" w:eastAsia="zh-CN"/>
              </w:rPr>
            </w:pPr>
            <w:r>
              <w:rPr>
                <w:rFonts w:hint="eastAsia"/>
                <w:lang w:val="en-US" w:eastAsia="zh-CN"/>
              </w:rPr>
              <w:t>主要危险物质</w:t>
            </w:r>
          </w:p>
        </w:tc>
        <w:tc>
          <w:tcPr>
            <w:tcW w:w="932" w:type="pct"/>
            <w:vAlign w:val="center"/>
          </w:tcPr>
          <w:p w14:paraId="2BB5A80B">
            <w:pPr>
              <w:pStyle w:val="59"/>
              <w:bidi w:val="0"/>
              <w:rPr>
                <w:rFonts w:hint="default"/>
                <w:lang w:val="en-US" w:eastAsia="zh-CN"/>
              </w:rPr>
            </w:pPr>
            <w:r>
              <w:rPr>
                <w:rFonts w:hint="eastAsia"/>
                <w:lang w:val="en-US" w:eastAsia="zh-CN"/>
              </w:rPr>
              <w:t>环境风险类型</w:t>
            </w:r>
          </w:p>
        </w:tc>
        <w:tc>
          <w:tcPr>
            <w:tcW w:w="581" w:type="pct"/>
            <w:vAlign w:val="center"/>
          </w:tcPr>
          <w:p w14:paraId="6612B2E4">
            <w:pPr>
              <w:pStyle w:val="59"/>
              <w:bidi w:val="0"/>
              <w:rPr>
                <w:rFonts w:hint="default"/>
                <w:lang w:val="en-US" w:eastAsia="zh-CN"/>
              </w:rPr>
            </w:pPr>
            <w:r>
              <w:rPr>
                <w:rFonts w:hint="eastAsia"/>
                <w:lang w:val="en-US" w:eastAsia="zh-CN"/>
              </w:rPr>
              <w:t>环境影响途径</w:t>
            </w:r>
          </w:p>
        </w:tc>
        <w:tc>
          <w:tcPr>
            <w:tcW w:w="677" w:type="pct"/>
            <w:vAlign w:val="center"/>
          </w:tcPr>
          <w:p w14:paraId="5A7EFD8E">
            <w:pPr>
              <w:pStyle w:val="59"/>
              <w:bidi w:val="0"/>
              <w:rPr>
                <w:rFonts w:hint="default"/>
                <w:lang w:val="en-US" w:eastAsia="zh-CN"/>
              </w:rPr>
            </w:pPr>
            <w:r>
              <w:rPr>
                <w:rFonts w:hint="eastAsia"/>
                <w:lang w:val="en-US" w:eastAsia="zh-CN"/>
              </w:rPr>
              <w:t>可能受影响的环境敏感目标</w:t>
            </w:r>
          </w:p>
        </w:tc>
      </w:tr>
      <w:tr w14:paraId="5A2282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67" w:type="pct"/>
            <w:vAlign w:val="center"/>
          </w:tcPr>
          <w:p w14:paraId="7A2F4632">
            <w:pPr>
              <w:pStyle w:val="59"/>
              <w:numPr>
                <w:ilvl w:val="0"/>
                <w:numId w:val="48"/>
              </w:numPr>
              <w:bidi w:val="0"/>
              <w:ind w:left="425" w:leftChars="0" w:hanging="425" w:firstLineChars="0"/>
            </w:pPr>
          </w:p>
        </w:tc>
        <w:tc>
          <w:tcPr>
            <w:tcW w:w="732" w:type="pct"/>
            <w:vAlign w:val="center"/>
          </w:tcPr>
          <w:p w14:paraId="17137041">
            <w:pPr>
              <w:pStyle w:val="59"/>
              <w:bidi w:val="0"/>
              <w:rPr>
                <w:rFonts w:hint="default"/>
                <w:lang w:val="en-US" w:eastAsia="zh-CN"/>
              </w:rPr>
            </w:pPr>
            <w:r>
              <w:rPr>
                <w:rFonts w:hint="eastAsia"/>
                <w:lang w:val="en-US" w:eastAsia="zh-CN"/>
              </w:rPr>
              <w:t>印刷车间</w:t>
            </w:r>
          </w:p>
        </w:tc>
        <w:tc>
          <w:tcPr>
            <w:tcW w:w="787" w:type="pct"/>
            <w:vAlign w:val="center"/>
          </w:tcPr>
          <w:p w14:paraId="1FA78351">
            <w:pPr>
              <w:pStyle w:val="59"/>
              <w:bidi w:val="0"/>
              <w:rPr>
                <w:rFonts w:hint="default"/>
                <w:lang w:val="en-US" w:eastAsia="zh-CN"/>
              </w:rPr>
            </w:pPr>
            <w:r>
              <w:rPr>
                <w:rFonts w:hint="eastAsia"/>
                <w:lang w:val="en-US" w:eastAsia="zh-CN"/>
              </w:rPr>
              <w:t>印刷机</w:t>
            </w:r>
          </w:p>
        </w:tc>
        <w:tc>
          <w:tcPr>
            <w:tcW w:w="820" w:type="pct"/>
            <w:vAlign w:val="center"/>
          </w:tcPr>
          <w:p w14:paraId="4DB0EE8A">
            <w:pPr>
              <w:pStyle w:val="59"/>
              <w:bidi w:val="0"/>
              <w:rPr>
                <w:rFonts w:hint="eastAsia"/>
                <w:lang w:val="en-US" w:eastAsia="zh-CN"/>
              </w:rPr>
            </w:pPr>
            <w:r>
              <w:rPr>
                <w:rFonts w:hint="eastAsia"/>
                <w:lang w:val="en-US" w:eastAsia="zh-CN"/>
              </w:rPr>
              <w:t>润滑油</w:t>
            </w:r>
          </w:p>
        </w:tc>
        <w:tc>
          <w:tcPr>
            <w:tcW w:w="932" w:type="pct"/>
            <w:vAlign w:val="center"/>
          </w:tcPr>
          <w:p w14:paraId="675F2C60">
            <w:pPr>
              <w:pStyle w:val="59"/>
              <w:bidi w:val="0"/>
              <w:rPr>
                <w:rFonts w:hint="default"/>
                <w:lang w:val="en-US" w:eastAsia="zh-CN"/>
              </w:rPr>
            </w:pPr>
            <w:r>
              <w:rPr>
                <w:rFonts w:hint="eastAsia"/>
                <w:lang w:val="en-US" w:eastAsia="zh-CN"/>
              </w:rPr>
              <w:t>泄漏，引发火灾爆炸次生事故</w:t>
            </w:r>
          </w:p>
        </w:tc>
        <w:tc>
          <w:tcPr>
            <w:tcW w:w="581" w:type="pct"/>
            <w:vAlign w:val="center"/>
          </w:tcPr>
          <w:p w14:paraId="4B72E55C">
            <w:pPr>
              <w:pStyle w:val="59"/>
              <w:bidi w:val="0"/>
              <w:rPr>
                <w:rFonts w:hint="default"/>
                <w:lang w:val="en-US" w:eastAsia="zh-CN"/>
              </w:rPr>
            </w:pPr>
            <w:r>
              <w:rPr>
                <w:rFonts w:hint="eastAsia"/>
                <w:lang w:val="en-US" w:eastAsia="zh-CN"/>
              </w:rPr>
              <w:t>大气</w:t>
            </w:r>
          </w:p>
        </w:tc>
        <w:tc>
          <w:tcPr>
            <w:tcW w:w="677" w:type="pct"/>
            <w:vAlign w:val="center"/>
          </w:tcPr>
          <w:p w14:paraId="5F615236">
            <w:pPr>
              <w:pStyle w:val="59"/>
              <w:bidi w:val="0"/>
              <w:rPr>
                <w:rFonts w:hint="default"/>
                <w:lang w:val="en-US" w:eastAsia="zh-CN"/>
              </w:rPr>
            </w:pPr>
            <w:r>
              <w:rPr>
                <w:rFonts w:hint="eastAsia"/>
                <w:lang w:val="en-US" w:eastAsia="zh-CN"/>
              </w:rPr>
              <w:t>连南村、古劳中学</w:t>
            </w:r>
          </w:p>
        </w:tc>
      </w:tr>
      <w:tr w14:paraId="46AB26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467" w:type="pct"/>
            <w:vAlign w:val="center"/>
          </w:tcPr>
          <w:p w14:paraId="351F29C8">
            <w:pPr>
              <w:pStyle w:val="59"/>
              <w:numPr>
                <w:ilvl w:val="0"/>
                <w:numId w:val="48"/>
              </w:numPr>
              <w:bidi w:val="0"/>
              <w:ind w:left="425" w:leftChars="0" w:hanging="425" w:firstLineChars="0"/>
            </w:pPr>
          </w:p>
        </w:tc>
        <w:tc>
          <w:tcPr>
            <w:tcW w:w="732" w:type="pct"/>
            <w:vAlign w:val="center"/>
          </w:tcPr>
          <w:p w14:paraId="4762C5CB">
            <w:pPr>
              <w:pStyle w:val="59"/>
              <w:bidi w:val="0"/>
              <w:rPr>
                <w:rFonts w:hint="default"/>
                <w:lang w:val="en-US" w:eastAsia="zh-CN"/>
              </w:rPr>
            </w:pPr>
            <w:r>
              <w:rPr>
                <w:rFonts w:hint="eastAsia"/>
                <w:lang w:val="en-US" w:eastAsia="zh-CN"/>
              </w:rPr>
              <w:t>调墨房</w:t>
            </w:r>
          </w:p>
        </w:tc>
        <w:tc>
          <w:tcPr>
            <w:tcW w:w="787" w:type="pct"/>
            <w:vAlign w:val="center"/>
          </w:tcPr>
          <w:p w14:paraId="01C5A4AD">
            <w:pPr>
              <w:pStyle w:val="59"/>
              <w:bidi w:val="0"/>
              <w:rPr>
                <w:rFonts w:hint="default"/>
                <w:lang w:val="en-US" w:eastAsia="zh-CN"/>
              </w:rPr>
            </w:pPr>
            <w:r>
              <w:rPr>
                <w:rFonts w:hint="eastAsia"/>
                <w:lang w:val="en-US" w:eastAsia="zh-CN"/>
              </w:rPr>
              <w:t>包装桶</w:t>
            </w:r>
          </w:p>
        </w:tc>
        <w:tc>
          <w:tcPr>
            <w:tcW w:w="820" w:type="pct"/>
            <w:vAlign w:val="center"/>
          </w:tcPr>
          <w:p w14:paraId="637CFDD5">
            <w:pPr>
              <w:pStyle w:val="59"/>
              <w:bidi w:val="0"/>
              <w:rPr>
                <w:rFonts w:hint="eastAsia"/>
                <w:lang w:val="en-US" w:eastAsia="zh-CN"/>
              </w:rPr>
            </w:pPr>
            <w:r>
              <w:rPr>
                <w:rFonts w:hint="eastAsia"/>
                <w:lang w:val="en-US" w:eastAsia="zh-CN"/>
              </w:rPr>
              <w:t>乙酸乙酯、异丙醇</w:t>
            </w:r>
          </w:p>
        </w:tc>
        <w:tc>
          <w:tcPr>
            <w:tcW w:w="932" w:type="pct"/>
            <w:vAlign w:val="center"/>
          </w:tcPr>
          <w:p w14:paraId="549C9DEA">
            <w:pPr>
              <w:pStyle w:val="59"/>
              <w:bidi w:val="0"/>
              <w:rPr>
                <w:rFonts w:hint="eastAsia"/>
                <w:lang w:val="en-US" w:eastAsia="zh-CN"/>
              </w:rPr>
            </w:pPr>
            <w:r>
              <w:rPr>
                <w:rFonts w:hint="eastAsia"/>
                <w:lang w:val="en-US" w:eastAsia="zh-CN"/>
              </w:rPr>
              <w:t>泄漏，引发火灾爆炸次生事故</w:t>
            </w:r>
          </w:p>
        </w:tc>
        <w:tc>
          <w:tcPr>
            <w:tcW w:w="581" w:type="pct"/>
            <w:vAlign w:val="center"/>
          </w:tcPr>
          <w:p w14:paraId="2445EC93">
            <w:pPr>
              <w:pStyle w:val="59"/>
              <w:bidi w:val="0"/>
              <w:rPr>
                <w:rFonts w:hint="eastAsia"/>
                <w:lang w:val="en-US" w:eastAsia="zh-CN"/>
              </w:rPr>
            </w:pPr>
            <w:r>
              <w:rPr>
                <w:rFonts w:hint="eastAsia"/>
                <w:lang w:val="en-US" w:eastAsia="zh-CN"/>
              </w:rPr>
              <w:t>大气</w:t>
            </w:r>
          </w:p>
        </w:tc>
        <w:tc>
          <w:tcPr>
            <w:tcW w:w="677" w:type="pct"/>
            <w:vAlign w:val="center"/>
          </w:tcPr>
          <w:p w14:paraId="24EBEF48">
            <w:pPr>
              <w:pStyle w:val="59"/>
              <w:bidi w:val="0"/>
              <w:rPr>
                <w:rFonts w:hint="eastAsia"/>
                <w:lang w:val="en-US" w:eastAsia="zh-CN"/>
              </w:rPr>
            </w:pPr>
            <w:r>
              <w:rPr>
                <w:rFonts w:hint="eastAsia"/>
                <w:lang w:val="en-US" w:eastAsia="zh-CN"/>
              </w:rPr>
              <w:t>连南村、古劳中学</w:t>
            </w:r>
          </w:p>
        </w:tc>
      </w:tr>
      <w:tr w14:paraId="66CD3E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7" w:type="pct"/>
            <w:vAlign w:val="center"/>
          </w:tcPr>
          <w:p w14:paraId="4F9FEE4B">
            <w:pPr>
              <w:pStyle w:val="59"/>
              <w:numPr>
                <w:ilvl w:val="0"/>
                <w:numId w:val="48"/>
              </w:numPr>
              <w:bidi w:val="0"/>
              <w:ind w:left="425" w:leftChars="0" w:hanging="425" w:firstLineChars="0"/>
            </w:pPr>
          </w:p>
        </w:tc>
        <w:tc>
          <w:tcPr>
            <w:tcW w:w="732" w:type="pct"/>
            <w:vAlign w:val="center"/>
          </w:tcPr>
          <w:p w14:paraId="51EFC0FD">
            <w:pPr>
              <w:pStyle w:val="59"/>
              <w:bidi w:val="0"/>
            </w:pPr>
            <w:r>
              <w:rPr>
                <w:rFonts w:hint="eastAsia"/>
                <w:lang w:val="en-US" w:eastAsia="zh-CN"/>
              </w:rPr>
              <w:t>油墨仓库</w:t>
            </w:r>
          </w:p>
        </w:tc>
        <w:tc>
          <w:tcPr>
            <w:tcW w:w="787" w:type="pct"/>
            <w:vAlign w:val="center"/>
          </w:tcPr>
          <w:p w14:paraId="54A39342">
            <w:pPr>
              <w:pStyle w:val="59"/>
              <w:bidi w:val="0"/>
              <w:rPr>
                <w:rFonts w:hint="eastAsia"/>
                <w:lang w:val="en-US" w:eastAsia="zh-CN"/>
              </w:rPr>
            </w:pPr>
            <w:r>
              <w:rPr>
                <w:rFonts w:hint="eastAsia"/>
                <w:lang w:val="en-US" w:eastAsia="zh-CN"/>
              </w:rPr>
              <w:t>包装桶</w:t>
            </w:r>
          </w:p>
        </w:tc>
        <w:tc>
          <w:tcPr>
            <w:tcW w:w="820" w:type="pct"/>
            <w:vAlign w:val="center"/>
          </w:tcPr>
          <w:p w14:paraId="05C9BB6D">
            <w:pPr>
              <w:pStyle w:val="59"/>
              <w:bidi w:val="0"/>
              <w:rPr>
                <w:rFonts w:hint="eastAsia"/>
                <w:lang w:val="en-US" w:eastAsia="zh-CN"/>
              </w:rPr>
            </w:pPr>
            <w:r>
              <w:rPr>
                <w:rFonts w:hint="eastAsia"/>
                <w:lang w:val="en-US" w:eastAsia="zh-CN"/>
              </w:rPr>
              <w:t>溶剂油墨</w:t>
            </w:r>
          </w:p>
        </w:tc>
        <w:tc>
          <w:tcPr>
            <w:tcW w:w="932" w:type="pct"/>
            <w:vAlign w:val="center"/>
          </w:tcPr>
          <w:p w14:paraId="72607873">
            <w:pPr>
              <w:pStyle w:val="59"/>
              <w:bidi w:val="0"/>
            </w:pPr>
            <w:r>
              <w:rPr>
                <w:rFonts w:hint="eastAsia"/>
                <w:lang w:val="en-US" w:eastAsia="zh-CN"/>
              </w:rPr>
              <w:t>泄漏，引发火灾爆炸次生事故</w:t>
            </w:r>
          </w:p>
        </w:tc>
        <w:tc>
          <w:tcPr>
            <w:tcW w:w="581" w:type="pct"/>
            <w:vAlign w:val="center"/>
          </w:tcPr>
          <w:p w14:paraId="43DC9F5E">
            <w:pPr>
              <w:pStyle w:val="59"/>
              <w:bidi w:val="0"/>
            </w:pPr>
            <w:r>
              <w:rPr>
                <w:rFonts w:hint="eastAsia"/>
                <w:lang w:val="en-US" w:eastAsia="zh-CN"/>
              </w:rPr>
              <w:t>大气</w:t>
            </w:r>
          </w:p>
        </w:tc>
        <w:tc>
          <w:tcPr>
            <w:tcW w:w="677" w:type="pct"/>
            <w:vAlign w:val="center"/>
          </w:tcPr>
          <w:p w14:paraId="58DDD4BA">
            <w:pPr>
              <w:pStyle w:val="59"/>
              <w:bidi w:val="0"/>
            </w:pPr>
            <w:r>
              <w:rPr>
                <w:rFonts w:hint="eastAsia"/>
                <w:lang w:val="en-US" w:eastAsia="zh-CN"/>
              </w:rPr>
              <w:t>连南村、古劳中学</w:t>
            </w:r>
          </w:p>
        </w:tc>
      </w:tr>
      <w:tr w14:paraId="6553B3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7" w:type="pct"/>
            <w:vAlign w:val="center"/>
          </w:tcPr>
          <w:p w14:paraId="171645F2">
            <w:pPr>
              <w:pStyle w:val="59"/>
              <w:numPr>
                <w:ilvl w:val="0"/>
                <w:numId w:val="48"/>
              </w:numPr>
              <w:bidi w:val="0"/>
              <w:ind w:left="425" w:leftChars="0" w:hanging="425" w:firstLineChars="0"/>
            </w:pPr>
          </w:p>
        </w:tc>
        <w:tc>
          <w:tcPr>
            <w:tcW w:w="732" w:type="pct"/>
            <w:vAlign w:val="center"/>
          </w:tcPr>
          <w:p w14:paraId="76B1877A">
            <w:pPr>
              <w:pStyle w:val="59"/>
              <w:bidi w:val="0"/>
              <w:rPr>
                <w:rFonts w:hint="eastAsia"/>
                <w:lang w:eastAsia="zh-CN"/>
              </w:rPr>
            </w:pPr>
            <w:r>
              <w:rPr>
                <w:rFonts w:hint="eastAsia"/>
                <w:lang w:val="en-US" w:eastAsia="zh-CN"/>
              </w:rPr>
              <w:t>溶剂仓库</w:t>
            </w:r>
          </w:p>
        </w:tc>
        <w:tc>
          <w:tcPr>
            <w:tcW w:w="787" w:type="pct"/>
            <w:vAlign w:val="center"/>
          </w:tcPr>
          <w:p w14:paraId="716E9158">
            <w:pPr>
              <w:pStyle w:val="59"/>
              <w:bidi w:val="0"/>
              <w:rPr>
                <w:rFonts w:hint="eastAsia"/>
                <w:lang w:val="en-US" w:eastAsia="zh-CN"/>
              </w:rPr>
            </w:pPr>
            <w:r>
              <w:rPr>
                <w:rFonts w:hint="eastAsia"/>
                <w:lang w:val="en-US" w:eastAsia="zh-CN"/>
              </w:rPr>
              <w:t>包装桶</w:t>
            </w:r>
          </w:p>
        </w:tc>
        <w:tc>
          <w:tcPr>
            <w:tcW w:w="820" w:type="pct"/>
            <w:vAlign w:val="center"/>
          </w:tcPr>
          <w:p w14:paraId="6A389096">
            <w:pPr>
              <w:pStyle w:val="59"/>
              <w:bidi w:val="0"/>
              <w:rPr>
                <w:rFonts w:hint="default"/>
                <w:lang w:val="en-US"/>
              </w:rPr>
            </w:pPr>
            <w:r>
              <w:rPr>
                <w:rFonts w:hint="eastAsia"/>
                <w:lang w:val="en-US" w:eastAsia="zh-CN"/>
              </w:rPr>
              <w:t>乙酸乙酯、异丙醇</w:t>
            </w:r>
          </w:p>
        </w:tc>
        <w:tc>
          <w:tcPr>
            <w:tcW w:w="932" w:type="pct"/>
            <w:vAlign w:val="center"/>
          </w:tcPr>
          <w:p w14:paraId="46C6CCB4">
            <w:pPr>
              <w:pStyle w:val="59"/>
              <w:bidi w:val="0"/>
            </w:pPr>
            <w:r>
              <w:rPr>
                <w:rFonts w:hint="eastAsia"/>
                <w:lang w:val="en-US" w:eastAsia="zh-CN"/>
              </w:rPr>
              <w:t>泄漏，引发火灾爆炸次生事故</w:t>
            </w:r>
          </w:p>
        </w:tc>
        <w:tc>
          <w:tcPr>
            <w:tcW w:w="581" w:type="pct"/>
            <w:vAlign w:val="center"/>
          </w:tcPr>
          <w:p w14:paraId="44F15687">
            <w:pPr>
              <w:pStyle w:val="59"/>
              <w:bidi w:val="0"/>
            </w:pPr>
            <w:r>
              <w:rPr>
                <w:rFonts w:hint="eastAsia"/>
                <w:lang w:val="en-US" w:eastAsia="zh-CN"/>
              </w:rPr>
              <w:t>大气</w:t>
            </w:r>
          </w:p>
        </w:tc>
        <w:tc>
          <w:tcPr>
            <w:tcW w:w="677" w:type="pct"/>
            <w:vAlign w:val="center"/>
          </w:tcPr>
          <w:p w14:paraId="5081D69E">
            <w:pPr>
              <w:pStyle w:val="59"/>
              <w:bidi w:val="0"/>
            </w:pPr>
            <w:r>
              <w:rPr>
                <w:rFonts w:hint="eastAsia"/>
                <w:lang w:val="en-US" w:eastAsia="zh-CN"/>
              </w:rPr>
              <w:t>连南村、古劳中学</w:t>
            </w:r>
          </w:p>
        </w:tc>
      </w:tr>
      <w:tr w14:paraId="720E10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7" w:type="pct"/>
            <w:vAlign w:val="center"/>
          </w:tcPr>
          <w:p w14:paraId="01482DB4">
            <w:pPr>
              <w:pStyle w:val="59"/>
              <w:numPr>
                <w:ilvl w:val="0"/>
                <w:numId w:val="48"/>
              </w:numPr>
              <w:bidi w:val="0"/>
              <w:ind w:left="425" w:leftChars="0" w:hanging="425" w:firstLineChars="0"/>
            </w:pPr>
          </w:p>
        </w:tc>
        <w:tc>
          <w:tcPr>
            <w:tcW w:w="732" w:type="pct"/>
            <w:vAlign w:val="center"/>
          </w:tcPr>
          <w:p w14:paraId="247D3427">
            <w:pPr>
              <w:pStyle w:val="59"/>
              <w:bidi w:val="0"/>
              <w:rPr>
                <w:rFonts w:hint="default"/>
                <w:lang w:val="en-US"/>
              </w:rPr>
            </w:pPr>
            <w:r>
              <w:rPr>
                <w:rFonts w:hint="eastAsia"/>
                <w:lang w:val="en-US" w:eastAsia="zh-CN"/>
              </w:rPr>
              <w:t>危废暂存间</w:t>
            </w:r>
          </w:p>
        </w:tc>
        <w:tc>
          <w:tcPr>
            <w:tcW w:w="787" w:type="pct"/>
            <w:vAlign w:val="center"/>
          </w:tcPr>
          <w:p w14:paraId="02DD051E">
            <w:pPr>
              <w:pStyle w:val="59"/>
              <w:bidi w:val="0"/>
            </w:pPr>
            <w:r>
              <w:rPr>
                <w:rFonts w:hint="eastAsia"/>
                <w:lang w:val="en-US" w:eastAsia="zh-CN"/>
              </w:rPr>
              <w:t>包装桶</w:t>
            </w:r>
          </w:p>
        </w:tc>
        <w:tc>
          <w:tcPr>
            <w:tcW w:w="820" w:type="pct"/>
            <w:vAlign w:val="center"/>
          </w:tcPr>
          <w:p w14:paraId="7523F887">
            <w:pPr>
              <w:pStyle w:val="59"/>
              <w:bidi w:val="0"/>
              <w:rPr>
                <w:rFonts w:hint="default"/>
                <w:lang w:val="en-US"/>
              </w:rPr>
            </w:pPr>
            <w:r>
              <w:rPr>
                <w:rFonts w:hint="eastAsia"/>
                <w:lang w:val="en-US" w:eastAsia="zh-CN"/>
              </w:rPr>
              <w:t>废矿物油、废油墨</w:t>
            </w:r>
          </w:p>
        </w:tc>
        <w:tc>
          <w:tcPr>
            <w:tcW w:w="932" w:type="pct"/>
            <w:vAlign w:val="center"/>
          </w:tcPr>
          <w:p w14:paraId="59B29873">
            <w:pPr>
              <w:pStyle w:val="59"/>
              <w:bidi w:val="0"/>
            </w:pPr>
            <w:r>
              <w:rPr>
                <w:rFonts w:hint="eastAsia"/>
                <w:lang w:val="en-US" w:eastAsia="zh-CN"/>
              </w:rPr>
              <w:t>泄漏，引发火灾爆炸次生事故</w:t>
            </w:r>
          </w:p>
        </w:tc>
        <w:tc>
          <w:tcPr>
            <w:tcW w:w="581" w:type="pct"/>
            <w:vAlign w:val="center"/>
          </w:tcPr>
          <w:p w14:paraId="23CA3B43">
            <w:pPr>
              <w:pStyle w:val="59"/>
              <w:bidi w:val="0"/>
            </w:pPr>
            <w:r>
              <w:rPr>
                <w:rFonts w:hint="eastAsia"/>
                <w:lang w:val="en-US" w:eastAsia="zh-CN"/>
              </w:rPr>
              <w:t>大气</w:t>
            </w:r>
          </w:p>
        </w:tc>
        <w:tc>
          <w:tcPr>
            <w:tcW w:w="677" w:type="pct"/>
            <w:vAlign w:val="center"/>
          </w:tcPr>
          <w:p w14:paraId="6F53DFDF">
            <w:pPr>
              <w:pStyle w:val="59"/>
              <w:bidi w:val="0"/>
            </w:pPr>
            <w:r>
              <w:rPr>
                <w:rFonts w:hint="eastAsia"/>
                <w:lang w:val="en-US" w:eastAsia="zh-CN"/>
              </w:rPr>
              <w:t>连南村、古劳中学</w:t>
            </w:r>
          </w:p>
        </w:tc>
      </w:tr>
      <w:tr w14:paraId="2B8DC9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7" w:type="pct"/>
            <w:vAlign w:val="center"/>
          </w:tcPr>
          <w:p w14:paraId="0C05544A">
            <w:pPr>
              <w:pStyle w:val="59"/>
              <w:numPr>
                <w:ilvl w:val="0"/>
                <w:numId w:val="48"/>
              </w:numPr>
              <w:bidi w:val="0"/>
              <w:ind w:left="425" w:leftChars="0" w:hanging="425" w:firstLineChars="0"/>
            </w:pPr>
          </w:p>
        </w:tc>
        <w:tc>
          <w:tcPr>
            <w:tcW w:w="732" w:type="pct"/>
            <w:vAlign w:val="center"/>
          </w:tcPr>
          <w:p w14:paraId="48C22F76">
            <w:pPr>
              <w:pStyle w:val="59"/>
              <w:bidi w:val="0"/>
            </w:pPr>
            <w:r>
              <w:t>天然气管道</w:t>
            </w:r>
          </w:p>
        </w:tc>
        <w:tc>
          <w:tcPr>
            <w:tcW w:w="787" w:type="pct"/>
            <w:vAlign w:val="center"/>
          </w:tcPr>
          <w:p w14:paraId="62A19846">
            <w:pPr>
              <w:pStyle w:val="59"/>
              <w:bidi w:val="0"/>
              <w:rPr>
                <w:rFonts w:hint="default"/>
                <w:lang w:val="en-US" w:eastAsia="zh-CN"/>
              </w:rPr>
            </w:pPr>
            <w:r>
              <w:rPr>
                <w:rFonts w:hint="eastAsia"/>
                <w:lang w:val="en-US" w:eastAsia="zh-CN"/>
              </w:rPr>
              <w:t>输送管道</w:t>
            </w:r>
          </w:p>
        </w:tc>
        <w:tc>
          <w:tcPr>
            <w:tcW w:w="820" w:type="pct"/>
            <w:vAlign w:val="center"/>
          </w:tcPr>
          <w:p w14:paraId="5FC7AAAE">
            <w:pPr>
              <w:pStyle w:val="59"/>
              <w:bidi w:val="0"/>
            </w:pPr>
            <w:r>
              <w:t>天然气</w:t>
            </w:r>
          </w:p>
        </w:tc>
        <w:tc>
          <w:tcPr>
            <w:tcW w:w="932" w:type="pct"/>
            <w:vAlign w:val="center"/>
          </w:tcPr>
          <w:p w14:paraId="62ADA198">
            <w:pPr>
              <w:pStyle w:val="59"/>
              <w:bidi w:val="0"/>
            </w:pPr>
            <w:r>
              <w:rPr>
                <w:rFonts w:hint="eastAsia"/>
                <w:lang w:val="en-US" w:eastAsia="zh-CN"/>
              </w:rPr>
              <w:t>泄漏，引发火灾爆炸次生事故</w:t>
            </w:r>
          </w:p>
        </w:tc>
        <w:tc>
          <w:tcPr>
            <w:tcW w:w="581" w:type="pct"/>
            <w:vAlign w:val="center"/>
          </w:tcPr>
          <w:p w14:paraId="1F8E437D">
            <w:pPr>
              <w:pStyle w:val="59"/>
              <w:bidi w:val="0"/>
            </w:pPr>
            <w:r>
              <w:rPr>
                <w:rFonts w:hint="eastAsia"/>
                <w:lang w:val="en-US" w:eastAsia="zh-CN"/>
              </w:rPr>
              <w:t>大气</w:t>
            </w:r>
          </w:p>
        </w:tc>
        <w:tc>
          <w:tcPr>
            <w:tcW w:w="677" w:type="pct"/>
            <w:vAlign w:val="center"/>
          </w:tcPr>
          <w:p w14:paraId="2F68F2B3">
            <w:pPr>
              <w:pStyle w:val="59"/>
              <w:bidi w:val="0"/>
            </w:pPr>
            <w:r>
              <w:rPr>
                <w:rFonts w:hint="eastAsia"/>
                <w:lang w:val="en-US" w:eastAsia="zh-CN"/>
              </w:rPr>
              <w:t>连南村、古劳中学</w:t>
            </w:r>
          </w:p>
        </w:tc>
      </w:tr>
    </w:tbl>
    <w:p w14:paraId="485F9910">
      <w:pPr>
        <w:pStyle w:val="64"/>
        <w:numPr>
          <w:ilvl w:val="2"/>
          <w:numId w:val="8"/>
        </w:numPr>
        <w:spacing w:before="166" w:after="16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环境风险潜势的初判</w:t>
      </w:r>
    </w:p>
    <w:p w14:paraId="2743BFF3">
      <w:pPr>
        <w:ind w:firstLine="480"/>
        <w:rPr>
          <w:color w:val="auto"/>
        </w:rPr>
      </w:pPr>
      <w:r>
        <w:rPr>
          <w:rFonts w:hint="eastAsia"/>
          <w:color w:val="auto"/>
        </w:rPr>
        <w:t>计算所涉及的每种危险物质在厂界内的最大存在总量与其在附录 B 中对应临界量的比值Q。在不同厂区的同一种物质，按其在厂界内的最大存在总量计算。对于长输管线项目，按照两个截断阀室之间管段危险物质最大存在总量计算。</w:t>
      </w:r>
    </w:p>
    <w:p w14:paraId="237418D9">
      <w:pPr>
        <w:ind w:firstLine="480"/>
        <w:rPr>
          <w:color w:val="auto"/>
        </w:rPr>
      </w:pPr>
      <w:r>
        <w:rPr>
          <w:rFonts w:hint="eastAsia"/>
          <w:color w:val="auto"/>
        </w:rPr>
        <w:t>当只涉及一种危险物质时，计算该物质的总量与其临界量比值，即为 Q；</w:t>
      </w:r>
    </w:p>
    <w:p w14:paraId="4E8B6933">
      <w:pPr>
        <w:ind w:firstLine="480"/>
        <w:rPr>
          <w:color w:val="auto"/>
        </w:rPr>
      </w:pPr>
      <w:r>
        <w:rPr>
          <w:rFonts w:hint="eastAsia"/>
          <w:color w:val="auto"/>
        </w:rPr>
        <w:t>当存在多种危险物质时，则按式（C.1）计算物质总量与其临界量比值（Q）：</w:t>
      </w:r>
    </w:p>
    <w:p w14:paraId="6D930537">
      <w:pPr>
        <w:ind w:firstLine="480"/>
        <w:rPr>
          <w:color w:val="auto"/>
        </w:rPr>
      </w:pPr>
      <w:r>
        <w:rPr>
          <w:color w:val="auto"/>
        </w:rPr>
        <w:t>根据《建设项目环境风险评价技术导则》（HJ169-2018），按照下式计算危险物质数量与临界量比值（Q）：</w:t>
      </w:r>
    </w:p>
    <w:p w14:paraId="500CD82A">
      <w:pPr>
        <w:ind w:firstLine="0" w:firstLineChars="0"/>
        <w:jc w:val="center"/>
        <w:rPr>
          <w:color w:val="auto"/>
        </w:rPr>
      </w:pPr>
      <w:r>
        <w:rPr>
          <w:color w:val="auto"/>
        </w:rPr>
        <w:t>Q=q</w:t>
      </w:r>
      <w:r>
        <w:rPr>
          <w:color w:val="auto"/>
          <w:vertAlign w:val="subscript"/>
        </w:rPr>
        <w:t>1</w:t>
      </w:r>
      <w:r>
        <w:rPr>
          <w:color w:val="auto"/>
        </w:rPr>
        <w:t>/Q</w:t>
      </w:r>
      <w:r>
        <w:rPr>
          <w:color w:val="auto"/>
          <w:vertAlign w:val="subscript"/>
        </w:rPr>
        <w:t>1</w:t>
      </w:r>
      <w:r>
        <w:rPr>
          <w:color w:val="auto"/>
        </w:rPr>
        <w:t>+ q</w:t>
      </w:r>
      <w:r>
        <w:rPr>
          <w:color w:val="auto"/>
          <w:vertAlign w:val="subscript"/>
        </w:rPr>
        <w:t>2</w:t>
      </w:r>
      <w:r>
        <w:rPr>
          <w:color w:val="auto"/>
        </w:rPr>
        <w:t>/Q</w:t>
      </w:r>
      <w:r>
        <w:rPr>
          <w:color w:val="auto"/>
          <w:vertAlign w:val="subscript"/>
        </w:rPr>
        <w:t>2</w:t>
      </w:r>
      <w:r>
        <w:rPr>
          <w:color w:val="auto"/>
        </w:rPr>
        <w:t>+ ….. q</w:t>
      </w:r>
      <w:r>
        <w:rPr>
          <w:color w:val="auto"/>
          <w:vertAlign w:val="subscript"/>
        </w:rPr>
        <w:t>n</w:t>
      </w:r>
      <w:r>
        <w:rPr>
          <w:color w:val="auto"/>
        </w:rPr>
        <w:t>/Q</w:t>
      </w:r>
      <w:r>
        <w:rPr>
          <w:color w:val="auto"/>
          <w:vertAlign w:val="subscript"/>
        </w:rPr>
        <w:t>n</w:t>
      </w:r>
    </w:p>
    <w:p w14:paraId="6619F103">
      <w:pPr>
        <w:ind w:firstLine="480"/>
        <w:rPr>
          <w:color w:val="auto"/>
        </w:rPr>
      </w:pPr>
      <w:r>
        <w:rPr>
          <w:color w:val="auto"/>
        </w:rPr>
        <w:t>式中：q</w:t>
      </w:r>
      <w:r>
        <w:rPr>
          <w:color w:val="auto"/>
          <w:vertAlign w:val="subscript"/>
        </w:rPr>
        <w:t>i</w:t>
      </w:r>
      <w:r>
        <w:rPr>
          <w:color w:val="auto"/>
        </w:rPr>
        <w:t>—每种危险物质存在总量，t。</w:t>
      </w:r>
    </w:p>
    <w:p w14:paraId="3D23AC5A">
      <w:pPr>
        <w:ind w:firstLine="1200" w:firstLineChars="500"/>
        <w:rPr>
          <w:color w:val="auto"/>
        </w:rPr>
      </w:pPr>
      <w:r>
        <w:rPr>
          <w:color w:val="auto"/>
        </w:rPr>
        <w:t>Q</w:t>
      </w:r>
      <w:r>
        <w:rPr>
          <w:color w:val="auto"/>
          <w:vertAlign w:val="subscript"/>
        </w:rPr>
        <w:t>i</w:t>
      </w:r>
      <w:r>
        <w:rPr>
          <w:color w:val="auto"/>
        </w:rPr>
        <w:t>—与各危险物质相对应的贮存区的临界量，t。</w:t>
      </w:r>
    </w:p>
    <w:p w14:paraId="45586DE5">
      <w:pPr>
        <w:ind w:firstLine="480"/>
        <w:rPr>
          <w:color w:val="auto"/>
        </w:rPr>
      </w:pPr>
      <w:r>
        <w:rPr>
          <w:color w:val="auto"/>
        </w:rPr>
        <w:t>当Q＜1时，该项目环境风险潜势为Ⅰ。</w:t>
      </w:r>
    </w:p>
    <w:p w14:paraId="797824C6">
      <w:pPr>
        <w:ind w:firstLine="480"/>
        <w:jc w:val="left"/>
        <w:rPr>
          <w:color w:val="auto"/>
        </w:rPr>
      </w:pPr>
      <w:r>
        <w:rPr>
          <w:color w:val="auto"/>
        </w:rPr>
        <w:t>当Q≥1时，将Q值划分为：（1）1≤Q＜10；（2）10≤Q＜100；（3）Q≥100。</w:t>
      </w:r>
    </w:p>
    <w:p w14:paraId="55575C9E">
      <w:pPr>
        <w:pStyle w:val="85"/>
        <w:numPr>
          <w:ilvl w:val="0"/>
          <w:numId w:val="47"/>
        </w:numPr>
        <w:bidi w:val="0"/>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临界量计算</w:t>
      </w:r>
    </w:p>
    <w:tbl>
      <w:tblPr>
        <w:tblStyle w:val="3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2965"/>
        <w:gridCol w:w="1761"/>
        <w:gridCol w:w="1794"/>
        <w:gridCol w:w="1794"/>
      </w:tblGrid>
      <w:tr w14:paraId="1E9693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22" w:type="pct"/>
            <w:vAlign w:val="center"/>
          </w:tcPr>
          <w:p w14:paraId="0B5899CD">
            <w:pPr>
              <w:pStyle w:val="69"/>
              <w:rPr>
                <w:color w:val="auto"/>
              </w:rPr>
            </w:pPr>
            <w:r>
              <w:rPr>
                <w:rFonts w:hint="eastAsia"/>
                <w:color w:val="auto"/>
              </w:rPr>
              <w:t>序号</w:t>
            </w:r>
          </w:p>
        </w:tc>
        <w:tc>
          <w:tcPr>
            <w:tcW w:w="1596" w:type="pct"/>
            <w:vAlign w:val="center"/>
          </w:tcPr>
          <w:p w14:paraId="62CACBFE">
            <w:pPr>
              <w:pStyle w:val="69"/>
              <w:rPr>
                <w:color w:val="auto"/>
              </w:rPr>
            </w:pPr>
            <w:r>
              <w:rPr>
                <w:rFonts w:hint="eastAsia"/>
                <w:color w:val="auto"/>
              </w:rPr>
              <w:t>物质</w:t>
            </w:r>
          </w:p>
        </w:tc>
        <w:tc>
          <w:tcPr>
            <w:tcW w:w="948" w:type="pct"/>
            <w:vAlign w:val="center"/>
          </w:tcPr>
          <w:p w14:paraId="35363EB3">
            <w:pPr>
              <w:pStyle w:val="69"/>
              <w:bidi w:val="0"/>
              <w:rPr>
                <w:color w:val="auto"/>
              </w:rPr>
            </w:pPr>
            <w:r>
              <w:rPr>
                <w:rFonts w:hint="eastAsia"/>
                <w:color w:val="auto"/>
              </w:rPr>
              <w:t>最大储存量t</w:t>
            </w:r>
          </w:p>
        </w:tc>
        <w:tc>
          <w:tcPr>
            <w:tcW w:w="966" w:type="pct"/>
            <w:vAlign w:val="center"/>
          </w:tcPr>
          <w:p w14:paraId="02A10C93">
            <w:pPr>
              <w:pStyle w:val="69"/>
              <w:rPr>
                <w:color w:val="auto"/>
              </w:rPr>
            </w:pPr>
            <w:r>
              <w:rPr>
                <w:rFonts w:hint="eastAsia"/>
                <w:color w:val="auto"/>
              </w:rPr>
              <w:t>临界量t</w:t>
            </w:r>
          </w:p>
        </w:tc>
        <w:tc>
          <w:tcPr>
            <w:tcW w:w="966" w:type="pct"/>
            <w:vAlign w:val="center"/>
          </w:tcPr>
          <w:p w14:paraId="6DADE614">
            <w:pPr>
              <w:pStyle w:val="69"/>
              <w:rPr>
                <w:color w:val="auto"/>
              </w:rPr>
            </w:pPr>
            <w:r>
              <w:rPr>
                <w:rFonts w:hint="eastAsia"/>
                <w:color w:val="auto"/>
              </w:rPr>
              <w:t>Q</w:t>
            </w:r>
          </w:p>
        </w:tc>
      </w:tr>
      <w:tr w14:paraId="51C95E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22B2EEF2">
            <w:pPr>
              <w:pStyle w:val="59"/>
              <w:numPr>
                <w:ilvl w:val="0"/>
                <w:numId w:val="49"/>
              </w:numPr>
              <w:bidi w:val="0"/>
              <w:ind w:left="425" w:leftChars="0" w:hanging="425" w:firstLineChars="0"/>
              <w:rPr>
                <w:color w:val="auto"/>
              </w:rPr>
            </w:pPr>
          </w:p>
        </w:tc>
        <w:tc>
          <w:tcPr>
            <w:tcW w:w="1596" w:type="pct"/>
            <w:vAlign w:val="center"/>
          </w:tcPr>
          <w:p w14:paraId="67613337">
            <w:pPr>
              <w:pStyle w:val="59"/>
              <w:bidi w:val="0"/>
            </w:pPr>
            <w:r>
              <w:rPr>
                <w:rFonts w:hint="eastAsia"/>
                <w:lang w:val="en-US" w:eastAsia="zh-CN"/>
              </w:rPr>
              <w:t>乙酸乙酯</w:t>
            </w:r>
          </w:p>
        </w:tc>
        <w:tc>
          <w:tcPr>
            <w:tcW w:w="948" w:type="pct"/>
            <w:vAlign w:val="center"/>
          </w:tcPr>
          <w:p w14:paraId="6E9A031C">
            <w:pPr>
              <w:pStyle w:val="59"/>
              <w:bidi w:val="0"/>
            </w:pPr>
            <w:r>
              <w:rPr>
                <w:rFonts w:hint="default"/>
                <w:lang w:val="en-US" w:eastAsia="zh-CN"/>
              </w:rPr>
              <w:t xml:space="preserve">2.520 </w:t>
            </w:r>
          </w:p>
        </w:tc>
        <w:tc>
          <w:tcPr>
            <w:tcW w:w="966" w:type="pct"/>
            <w:vAlign w:val="center"/>
          </w:tcPr>
          <w:p w14:paraId="1CE34ED9">
            <w:pPr>
              <w:pStyle w:val="59"/>
              <w:bidi w:val="0"/>
            </w:pPr>
            <w:r>
              <w:rPr>
                <w:rFonts w:hint="eastAsia"/>
                <w:lang w:val="en-US" w:eastAsia="zh-CN"/>
              </w:rPr>
              <w:t>10</w:t>
            </w:r>
          </w:p>
        </w:tc>
        <w:tc>
          <w:tcPr>
            <w:tcW w:w="966" w:type="pct"/>
            <w:vAlign w:val="center"/>
          </w:tcPr>
          <w:p w14:paraId="0041142E">
            <w:pPr>
              <w:pStyle w:val="59"/>
              <w:bidi w:val="0"/>
            </w:pPr>
            <w:r>
              <w:rPr>
                <w:rFonts w:hint="eastAsia"/>
                <w:lang w:val="en-US" w:eastAsia="zh-CN"/>
              </w:rPr>
              <w:t xml:space="preserve">0.2520 </w:t>
            </w:r>
          </w:p>
        </w:tc>
      </w:tr>
      <w:tr w14:paraId="0B040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21A2731E">
            <w:pPr>
              <w:pStyle w:val="59"/>
              <w:numPr>
                <w:ilvl w:val="0"/>
                <w:numId w:val="49"/>
              </w:numPr>
              <w:bidi w:val="0"/>
              <w:ind w:left="425" w:leftChars="0" w:hanging="425" w:firstLineChars="0"/>
              <w:rPr>
                <w:color w:val="auto"/>
              </w:rPr>
            </w:pPr>
          </w:p>
        </w:tc>
        <w:tc>
          <w:tcPr>
            <w:tcW w:w="1596" w:type="pct"/>
            <w:vAlign w:val="center"/>
          </w:tcPr>
          <w:p w14:paraId="3E5B8EB6">
            <w:pPr>
              <w:pStyle w:val="59"/>
              <w:bidi w:val="0"/>
            </w:pPr>
            <w:r>
              <w:rPr>
                <w:rFonts w:hint="eastAsia"/>
                <w:lang w:val="en-US" w:eastAsia="zh-CN"/>
              </w:rPr>
              <w:t>异丙醇</w:t>
            </w:r>
          </w:p>
        </w:tc>
        <w:tc>
          <w:tcPr>
            <w:tcW w:w="948" w:type="pct"/>
            <w:vAlign w:val="center"/>
          </w:tcPr>
          <w:p w14:paraId="25221761">
            <w:pPr>
              <w:pStyle w:val="59"/>
              <w:bidi w:val="0"/>
            </w:pPr>
            <w:r>
              <w:rPr>
                <w:rFonts w:hint="default"/>
                <w:lang w:val="en-US" w:eastAsia="zh-CN"/>
              </w:rPr>
              <w:t xml:space="preserve">1.130 </w:t>
            </w:r>
          </w:p>
        </w:tc>
        <w:tc>
          <w:tcPr>
            <w:tcW w:w="966" w:type="pct"/>
            <w:vAlign w:val="center"/>
          </w:tcPr>
          <w:p w14:paraId="517EA8D3">
            <w:pPr>
              <w:pStyle w:val="59"/>
              <w:bidi w:val="0"/>
            </w:pPr>
            <w:r>
              <w:rPr>
                <w:rFonts w:hint="eastAsia"/>
                <w:lang w:val="en-US" w:eastAsia="zh-CN"/>
              </w:rPr>
              <w:t>10</w:t>
            </w:r>
          </w:p>
        </w:tc>
        <w:tc>
          <w:tcPr>
            <w:tcW w:w="966" w:type="pct"/>
            <w:vAlign w:val="center"/>
          </w:tcPr>
          <w:p w14:paraId="7AB26531">
            <w:pPr>
              <w:pStyle w:val="59"/>
              <w:bidi w:val="0"/>
            </w:pPr>
            <w:r>
              <w:rPr>
                <w:rFonts w:hint="eastAsia"/>
                <w:lang w:val="en-US" w:eastAsia="zh-CN"/>
              </w:rPr>
              <w:t xml:space="preserve">0.1130 </w:t>
            </w:r>
          </w:p>
        </w:tc>
      </w:tr>
      <w:tr w14:paraId="5647FF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2DDCD1F4">
            <w:pPr>
              <w:pStyle w:val="59"/>
              <w:numPr>
                <w:ilvl w:val="0"/>
                <w:numId w:val="49"/>
              </w:numPr>
              <w:bidi w:val="0"/>
              <w:ind w:left="425" w:leftChars="0" w:hanging="425" w:firstLineChars="0"/>
              <w:rPr>
                <w:color w:val="auto"/>
              </w:rPr>
            </w:pPr>
          </w:p>
        </w:tc>
        <w:tc>
          <w:tcPr>
            <w:tcW w:w="1596" w:type="pct"/>
            <w:vAlign w:val="center"/>
          </w:tcPr>
          <w:p w14:paraId="5B5634C2">
            <w:pPr>
              <w:pStyle w:val="59"/>
              <w:bidi w:val="0"/>
            </w:pPr>
            <w:r>
              <w:rPr>
                <w:rFonts w:hint="eastAsia"/>
                <w:lang w:val="en-US" w:eastAsia="zh-CN"/>
              </w:rPr>
              <w:t>甲烷</w:t>
            </w:r>
          </w:p>
        </w:tc>
        <w:tc>
          <w:tcPr>
            <w:tcW w:w="948" w:type="pct"/>
            <w:vAlign w:val="center"/>
          </w:tcPr>
          <w:p w14:paraId="118CF57C">
            <w:pPr>
              <w:pStyle w:val="59"/>
              <w:bidi w:val="0"/>
              <w:rPr>
                <w:rFonts w:hint="default"/>
                <w:lang w:val="en-US"/>
              </w:rPr>
            </w:pPr>
            <w:r>
              <w:rPr>
                <w:rFonts w:hint="default"/>
                <w:lang w:val="en-US" w:eastAsia="zh-CN"/>
              </w:rPr>
              <w:t xml:space="preserve">0.106 </w:t>
            </w:r>
          </w:p>
        </w:tc>
        <w:tc>
          <w:tcPr>
            <w:tcW w:w="966" w:type="pct"/>
            <w:vAlign w:val="center"/>
          </w:tcPr>
          <w:p w14:paraId="6A35AEB4">
            <w:pPr>
              <w:pStyle w:val="59"/>
              <w:bidi w:val="0"/>
            </w:pPr>
            <w:r>
              <w:rPr>
                <w:rFonts w:hint="eastAsia"/>
                <w:lang w:val="en-US" w:eastAsia="zh-CN"/>
              </w:rPr>
              <w:t>10</w:t>
            </w:r>
          </w:p>
        </w:tc>
        <w:tc>
          <w:tcPr>
            <w:tcW w:w="966" w:type="pct"/>
            <w:vAlign w:val="center"/>
          </w:tcPr>
          <w:p w14:paraId="6DC14A85">
            <w:pPr>
              <w:pStyle w:val="59"/>
              <w:bidi w:val="0"/>
            </w:pPr>
            <w:r>
              <w:rPr>
                <w:rFonts w:hint="eastAsia"/>
                <w:lang w:val="en-US" w:eastAsia="zh-CN"/>
              </w:rPr>
              <w:t xml:space="preserve">0.0106 </w:t>
            </w:r>
          </w:p>
        </w:tc>
      </w:tr>
      <w:tr w14:paraId="579F2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7BA0A618">
            <w:pPr>
              <w:pStyle w:val="59"/>
              <w:numPr>
                <w:ilvl w:val="0"/>
                <w:numId w:val="49"/>
              </w:numPr>
              <w:bidi w:val="0"/>
              <w:ind w:left="425" w:leftChars="0" w:hanging="425" w:firstLineChars="0"/>
              <w:rPr>
                <w:color w:val="auto"/>
              </w:rPr>
            </w:pPr>
          </w:p>
        </w:tc>
        <w:tc>
          <w:tcPr>
            <w:tcW w:w="1596" w:type="pct"/>
            <w:vAlign w:val="center"/>
          </w:tcPr>
          <w:p w14:paraId="60265982">
            <w:pPr>
              <w:pStyle w:val="59"/>
              <w:bidi w:val="0"/>
            </w:pPr>
            <w:r>
              <w:rPr>
                <w:rFonts w:hint="eastAsia"/>
                <w:lang w:val="en-US" w:eastAsia="zh-CN"/>
              </w:rPr>
              <w:t>油类物质</w:t>
            </w:r>
          </w:p>
        </w:tc>
        <w:tc>
          <w:tcPr>
            <w:tcW w:w="948" w:type="pct"/>
            <w:vAlign w:val="center"/>
          </w:tcPr>
          <w:p w14:paraId="7F98B433">
            <w:pPr>
              <w:pStyle w:val="59"/>
              <w:bidi w:val="0"/>
            </w:pPr>
            <w:r>
              <w:rPr>
                <w:rFonts w:hint="default"/>
                <w:lang w:val="en-US" w:eastAsia="zh-CN"/>
              </w:rPr>
              <w:t xml:space="preserve">0.596 </w:t>
            </w:r>
          </w:p>
        </w:tc>
        <w:tc>
          <w:tcPr>
            <w:tcW w:w="966" w:type="pct"/>
            <w:vAlign w:val="center"/>
          </w:tcPr>
          <w:p w14:paraId="5FF05E6C">
            <w:pPr>
              <w:pStyle w:val="59"/>
              <w:bidi w:val="0"/>
            </w:pPr>
            <w:r>
              <w:rPr>
                <w:rFonts w:hint="eastAsia"/>
                <w:lang w:val="en-US" w:eastAsia="zh-CN"/>
              </w:rPr>
              <w:t>2500</w:t>
            </w:r>
          </w:p>
        </w:tc>
        <w:tc>
          <w:tcPr>
            <w:tcW w:w="966" w:type="pct"/>
            <w:vAlign w:val="center"/>
          </w:tcPr>
          <w:p w14:paraId="7BE59878">
            <w:pPr>
              <w:pStyle w:val="59"/>
              <w:bidi w:val="0"/>
            </w:pPr>
            <w:r>
              <w:rPr>
                <w:rFonts w:hint="eastAsia"/>
                <w:lang w:val="en-US" w:eastAsia="zh-CN"/>
              </w:rPr>
              <w:t xml:space="preserve">0.0002 </w:t>
            </w:r>
          </w:p>
        </w:tc>
      </w:tr>
      <w:tr w14:paraId="07E623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2" w:type="pct"/>
            <w:vAlign w:val="center"/>
          </w:tcPr>
          <w:p w14:paraId="21500E5A">
            <w:pPr>
              <w:pStyle w:val="59"/>
              <w:bidi w:val="0"/>
              <w:rPr>
                <w:color w:val="auto"/>
              </w:rPr>
            </w:pPr>
          </w:p>
        </w:tc>
        <w:tc>
          <w:tcPr>
            <w:tcW w:w="1596" w:type="pct"/>
            <w:vAlign w:val="center"/>
          </w:tcPr>
          <w:p w14:paraId="7C73A9E5">
            <w:pPr>
              <w:pStyle w:val="59"/>
              <w:bidi w:val="0"/>
            </w:pPr>
            <w:r>
              <w:rPr>
                <w:rFonts w:hint="eastAsia"/>
                <w:lang w:val="en-US" w:eastAsia="zh-CN"/>
              </w:rPr>
              <w:t>合计</w:t>
            </w:r>
          </w:p>
        </w:tc>
        <w:tc>
          <w:tcPr>
            <w:tcW w:w="948" w:type="pct"/>
            <w:vAlign w:val="center"/>
          </w:tcPr>
          <w:p w14:paraId="17A15F0A">
            <w:pPr>
              <w:pStyle w:val="59"/>
              <w:bidi w:val="0"/>
            </w:pPr>
          </w:p>
        </w:tc>
        <w:tc>
          <w:tcPr>
            <w:tcW w:w="966" w:type="pct"/>
            <w:vAlign w:val="center"/>
          </w:tcPr>
          <w:p w14:paraId="73F8095A">
            <w:pPr>
              <w:pStyle w:val="59"/>
              <w:bidi w:val="0"/>
            </w:pPr>
          </w:p>
        </w:tc>
        <w:tc>
          <w:tcPr>
            <w:tcW w:w="966" w:type="pct"/>
            <w:vAlign w:val="center"/>
          </w:tcPr>
          <w:p w14:paraId="6BC7C50E">
            <w:pPr>
              <w:pStyle w:val="59"/>
              <w:bidi w:val="0"/>
            </w:pPr>
            <w:r>
              <w:rPr>
                <w:rFonts w:hint="eastAsia"/>
                <w:lang w:val="en-US" w:eastAsia="zh-CN"/>
              </w:rPr>
              <w:t xml:space="preserve">0.3757 </w:t>
            </w:r>
          </w:p>
        </w:tc>
      </w:tr>
    </w:tbl>
    <w:p w14:paraId="2B4F8A72">
      <w:pPr>
        <w:ind w:firstLine="480"/>
        <w:rPr>
          <w:color w:val="auto"/>
        </w:rPr>
      </w:pPr>
      <w:r>
        <w:rPr>
          <w:rFonts w:hint="eastAsia"/>
          <w:color w:val="auto"/>
        </w:rPr>
        <w:t>经以上计算可知，项目</w:t>
      </w:r>
      <w:r>
        <w:rPr>
          <w:color w:val="auto"/>
        </w:rPr>
        <w:t>Q＜1，该项目环境风险潜势为Ⅰ</w:t>
      </w:r>
      <w:bookmarkStart w:id="153" w:name="_Toc407287476"/>
      <w:r>
        <w:rPr>
          <w:rFonts w:hint="eastAsia"/>
          <w:color w:val="auto"/>
          <w:lang w:eastAsia="zh-CN"/>
        </w:rPr>
        <w:t>，</w:t>
      </w:r>
      <w:r>
        <w:rPr>
          <w:rFonts w:hint="eastAsia"/>
          <w:color w:val="auto"/>
          <w:lang w:val="en-US" w:eastAsia="zh-CN"/>
        </w:rPr>
        <w:t>风险评价为简单分析</w:t>
      </w:r>
      <w:r>
        <w:rPr>
          <w:rFonts w:hint="eastAsia"/>
          <w:color w:val="auto"/>
        </w:rPr>
        <w:t>。</w:t>
      </w:r>
    </w:p>
    <w:bookmarkEnd w:id="153"/>
    <w:p w14:paraId="23DBE06C">
      <w:pPr>
        <w:pStyle w:val="64"/>
        <w:numPr>
          <w:ilvl w:val="2"/>
          <w:numId w:val="8"/>
        </w:numPr>
        <w:spacing w:before="166" w:after="166"/>
        <w:ind w:left="709" w:leftChars="0" w:hanging="709" w:firstLineChars="0"/>
        <w:rPr>
          <w:rFonts w:hint="eastAsia" w:ascii="Times New Roman" w:hAnsi="Times New Roman" w:eastAsia="宋体" w:cs="Times New Roman"/>
          <w:color w:val="auto"/>
        </w:rPr>
      </w:pPr>
      <w:bookmarkStart w:id="154" w:name="_Toc252948928"/>
      <w:bookmarkStart w:id="155" w:name="_Toc296327783"/>
      <w:bookmarkStart w:id="156" w:name="_Toc252805447"/>
      <w:bookmarkStart w:id="157" w:name="_Toc296328041"/>
      <w:r>
        <w:rPr>
          <w:rFonts w:hint="eastAsia" w:ascii="Times New Roman" w:hAnsi="Times New Roman" w:eastAsia="宋体" w:cs="Times New Roman"/>
          <w:color w:val="auto"/>
        </w:rPr>
        <w:t>环境风险识别</w:t>
      </w:r>
    </w:p>
    <w:p w14:paraId="0ED2A380">
      <w:pPr>
        <w:pStyle w:val="65"/>
        <w:bidi w:val="0"/>
        <w:ind w:left="0" w:leftChars="0" w:firstLine="0" w:firstLineChars="0"/>
      </w:pPr>
      <w:r>
        <w:rPr>
          <w:rFonts w:hint="eastAsia"/>
          <w:lang w:val="en-US" w:eastAsia="zh-CN"/>
        </w:rPr>
        <w:t>4.6.3.1</w:t>
      </w:r>
      <w:r>
        <w:t>物质危险性识别</w:t>
      </w:r>
    </w:p>
    <w:p w14:paraId="34D75A87">
      <w:pPr>
        <w:bidi w:val="0"/>
      </w:pPr>
      <w:r>
        <w:t>①生产物料及产品</w:t>
      </w:r>
    </w:p>
    <w:p w14:paraId="5282B98C">
      <w:pPr>
        <w:bidi w:val="0"/>
      </w:pPr>
      <w:r>
        <w:t>本项目涉及的危险物质的危险特性见表</w:t>
      </w:r>
      <w:r>
        <w:rPr>
          <w:rFonts w:hint="eastAsia"/>
          <w:lang w:val="en-US" w:eastAsia="zh-CN"/>
        </w:rPr>
        <w:t>2.5.3章节</w:t>
      </w:r>
      <w:r>
        <w:t>。</w:t>
      </w:r>
    </w:p>
    <w:p w14:paraId="05ACC173">
      <w:pPr>
        <w:bidi w:val="0"/>
      </w:pPr>
      <w:r>
        <w:t>②污染物</w:t>
      </w:r>
    </w:p>
    <w:p w14:paraId="45509A12">
      <w:pPr>
        <w:bidi w:val="0"/>
      </w:pPr>
      <w:r>
        <w:t>本项目生产过程产生的废气在治理措施发生故障的情况下，将对周边环境造成影响；固体废物均妥善处置，不会受到降雨淋滤的影响，环境风险较小。</w:t>
      </w:r>
    </w:p>
    <w:p w14:paraId="15C182C7">
      <w:pPr>
        <w:bidi w:val="0"/>
      </w:pPr>
      <w:r>
        <w:t>③火灾和爆炸伴生/次生物</w:t>
      </w:r>
    </w:p>
    <w:p w14:paraId="575920CE">
      <w:pPr>
        <w:bidi w:val="0"/>
      </w:pPr>
      <w:r>
        <w:t>本项目在火灾和爆炸事故时会产生一氧化碳、二氧化碳等分解产物，将对周围环境空气造成一定污染；在对火灾、爆炸事故进行处置时，产生含有毒有害物质的消防废水。</w:t>
      </w:r>
    </w:p>
    <w:p w14:paraId="307CCE2B">
      <w:pPr>
        <w:pStyle w:val="65"/>
        <w:bidi w:val="0"/>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4.6.3.2 生产系统危险性识别</w:t>
      </w:r>
    </w:p>
    <w:p w14:paraId="7F305150">
      <w:pPr>
        <w:bidi w:val="0"/>
      </w:pPr>
      <w:r>
        <w:t>①生产车间</w:t>
      </w:r>
    </w:p>
    <w:p w14:paraId="7C089600">
      <w:pPr>
        <w:bidi w:val="0"/>
      </w:pPr>
      <w:r>
        <w:t>本项目主要生产车间设备出现破损时，将导致危险物质泄漏，泄漏产生的废气和废液将影响周边环境。</w:t>
      </w:r>
    </w:p>
    <w:p w14:paraId="15231536">
      <w:pPr>
        <w:bidi w:val="0"/>
      </w:pPr>
      <w:r>
        <w:t>②储运设施</w:t>
      </w:r>
    </w:p>
    <w:p w14:paraId="6184B38A">
      <w:pPr>
        <w:bidi w:val="0"/>
      </w:pPr>
      <w:r>
        <w:t>本项目各危险物质均由有资质的单位负责运输送货，建设单位不承担运输风险。专用仓库和危废暂存间均采取硬化和防渗措施，因此危险物质储存过程的风险主要为包装容器破裂发生泄漏事故。</w:t>
      </w:r>
    </w:p>
    <w:p w14:paraId="28D87918">
      <w:pPr>
        <w:bidi w:val="0"/>
      </w:pPr>
      <w:r>
        <w:t>③环保设施</w:t>
      </w:r>
    </w:p>
    <w:p w14:paraId="4EBD20DE">
      <w:pPr>
        <w:bidi w:val="0"/>
      </w:pPr>
      <w:r>
        <w:t>废气风险事故主要为废气处理设施出现故障，导致废气超标排放到大气环境中，将会对项目所在地的局部大气环境造成影响。</w:t>
      </w:r>
    </w:p>
    <w:p w14:paraId="7AD740A9">
      <w:pPr>
        <w:bidi w:val="0"/>
      </w:pPr>
      <w:r>
        <w:t>项目危险废物主要为废油墨和废机油等，使用容器妥善收集后不会发生泄漏。</w:t>
      </w:r>
    </w:p>
    <w:p w14:paraId="4706476E">
      <w:pPr>
        <w:pStyle w:val="65"/>
        <w:bidi w:val="0"/>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4.6.3.3 危险物质向环境转移的途径识别本项目危险物质向环境转移的途径主要为：</w:t>
      </w:r>
    </w:p>
    <w:p w14:paraId="517FB029">
      <w:pPr>
        <w:bidi w:val="0"/>
      </w:pPr>
      <w:r>
        <w:t>①本项目厂区</w:t>
      </w:r>
      <w:r>
        <w:rPr>
          <w:rFonts w:hint="eastAsia"/>
          <w:lang w:val="en-US" w:eastAsia="zh-CN"/>
        </w:rPr>
        <w:t>油墨仓库、溶剂仓库</w:t>
      </w:r>
      <w:r>
        <w:t>、危废暂存间均进行硬化、防渗处理，因此专用仓库、危废暂存间内的液体危险物质原料发生泄漏后，不会直接下渗影响土壤和地下水，主要通过大气向环境转移，影响周边的敏感点；</w:t>
      </w:r>
    </w:p>
    <w:p w14:paraId="3E2FF006">
      <w:pPr>
        <w:bidi w:val="0"/>
        <w:rPr>
          <w:rFonts w:hint="eastAsia"/>
          <w:lang w:eastAsia="zh-CN"/>
        </w:rPr>
      </w:pPr>
      <w:r>
        <w:t>②废气处理设施发生故障，通过大气向环境转移，影响周边敏感点。</w:t>
      </w:r>
    </w:p>
    <w:p w14:paraId="4A3772BB">
      <w:pPr>
        <w:pStyle w:val="64"/>
        <w:numPr>
          <w:ilvl w:val="2"/>
          <w:numId w:val="8"/>
        </w:numPr>
        <w:spacing w:before="166" w:after="166"/>
        <w:ind w:left="709" w:leftChars="0" w:hanging="709" w:firstLineChars="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环境风险分析</w:t>
      </w:r>
    </w:p>
    <w:bookmarkEnd w:id="154"/>
    <w:bookmarkEnd w:id="155"/>
    <w:bookmarkEnd w:id="156"/>
    <w:bookmarkEnd w:id="157"/>
    <w:p w14:paraId="2DA77000">
      <w:pPr>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①废气处理设施故障影响分析</w:t>
      </w:r>
    </w:p>
    <w:p w14:paraId="276FB262">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采用市政电网供电系统，系统停电概率较小，一旦停电，生产设备及配套设置的废气处理设备将立即停止运转，造成工艺废气无法处理直接超标排放，部分废气无组织排放，但这种事故排放的影响时间较短，随着设备停止工作，废气超标排放或无组织排放的现象将逐渐减少。</w:t>
      </w:r>
    </w:p>
    <w:p w14:paraId="3A443A44">
      <w:pPr>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②火灾/爆炸事故伴生/次生污染物影响分析</w:t>
      </w:r>
    </w:p>
    <w:p w14:paraId="3088AA7F">
      <w:pPr>
        <w:spacing w:line="360" w:lineRule="auto"/>
        <w:ind w:firstLine="480" w:firstLineChars="200"/>
        <w:rPr>
          <w:rFonts w:hint="default" w:ascii="Times New Roman" w:hAnsi="Times New Roman" w:eastAsia="宋体"/>
          <w:color w:val="auto"/>
          <w:sz w:val="24"/>
          <w:szCs w:val="24"/>
          <w:lang w:val="en-US" w:eastAsia="zh-CN"/>
        </w:rPr>
      </w:pPr>
      <w:r>
        <w:rPr>
          <w:rFonts w:ascii="Times New Roman" w:hAnsi="Times New Roman"/>
          <w:color w:val="auto"/>
          <w:sz w:val="24"/>
          <w:szCs w:val="24"/>
        </w:rPr>
        <w:t>公司内发生火灾、爆炸事故，具体事故内容如下：易燃易爆物质泄漏遇明火，高温、静电火花等引发燃烧爆炸事件：生产设备或者线路老化以及输电线破损遇雨水引起火灾事件；吸烟等人为原因及设备操作不当引发火灾事件；员工操作不当导致反应釜涨釜爆炸等，</w:t>
      </w:r>
      <w:r>
        <w:rPr>
          <w:rFonts w:ascii="Times New Roman" w:hAnsi="Times New Roman"/>
          <w:color w:val="auto"/>
          <w:sz w:val="24"/>
        </w:rPr>
        <w:t>其可能产生的次生污染主要燃烧废气、火灾消防废水。当火灾爆炸事故发生时，本项目的大部分化学品属于可燃物质，遇到明火很容易与火源发生燃烧反应，</w:t>
      </w:r>
      <w:r>
        <w:rPr>
          <w:color w:val="auto"/>
          <w:sz w:val="24"/>
        </w:rPr>
        <w:t>产生的伴生污染为燃烧产物，参考物质化学组分，燃烧产物主要为</w:t>
      </w:r>
      <w:r>
        <w:rPr>
          <w:color w:val="auto"/>
          <w:sz w:val="24"/>
          <w:u w:val="single"/>
        </w:rPr>
        <w:t>一氧化碳</w:t>
      </w:r>
      <w:r>
        <w:rPr>
          <w:rFonts w:hint="eastAsia"/>
          <w:color w:val="auto"/>
          <w:sz w:val="24"/>
          <w:u w:val="single"/>
          <w:lang w:eastAsia="zh-CN"/>
        </w:rPr>
        <w:t>、</w:t>
      </w:r>
      <w:r>
        <w:rPr>
          <w:rFonts w:hint="eastAsia"/>
          <w:color w:val="auto"/>
          <w:sz w:val="24"/>
          <w:u w:val="single"/>
          <w:lang w:val="en-US" w:eastAsia="zh-CN"/>
        </w:rPr>
        <w:t>二氧化硫</w:t>
      </w:r>
      <w:r>
        <w:rPr>
          <w:color w:val="auto"/>
          <w:sz w:val="24"/>
        </w:rPr>
        <w:t>。</w:t>
      </w:r>
      <w:r>
        <w:rPr>
          <w:rFonts w:hint="eastAsia"/>
          <w:color w:val="auto"/>
          <w:sz w:val="24"/>
          <w:lang w:val="en-US" w:eastAsia="zh-CN"/>
        </w:rPr>
        <w:t>具体影响分析详见下文预测。</w:t>
      </w:r>
    </w:p>
    <w:p w14:paraId="1547E4F0">
      <w:pPr>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③泄漏事故影响分析</w:t>
      </w:r>
    </w:p>
    <w:p w14:paraId="0D27E46E">
      <w:pPr>
        <w:bidi w:val="0"/>
        <w:rPr>
          <w:rFonts w:ascii="Times New Roman" w:hAnsi="Times New Roman" w:eastAsia="宋体" w:cs="Times New Roman"/>
          <w:bCs/>
          <w:color w:val="auto"/>
          <w:kern w:val="0"/>
          <w:sz w:val="24"/>
          <w:szCs w:val="24"/>
          <w:lang w:val="en-US" w:eastAsia="zh-CN" w:bidi="ar-SA"/>
        </w:rPr>
      </w:pPr>
      <w:r>
        <w:rPr>
          <w:rFonts w:ascii="Times New Roman" w:hAnsi="Times New Roman" w:eastAsia="宋体" w:cs="Times New Roman"/>
          <w:color w:val="auto"/>
          <w:kern w:val="0"/>
          <w:sz w:val="24"/>
          <w:szCs w:val="24"/>
          <w:highlight w:val="none"/>
          <w:lang w:val="en-US" w:eastAsia="zh-CN" w:bidi="ar-SA"/>
        </w:rPr>
        <w:t>根据对本项目危险物质理化性质的分析，由于部分液态危险品</w:t>
      </w:r>
      <w:r>
        <w:rPr>
          <w:rFonts w:hint="eastAsia" w:cs="Times New Roman"/>
          <w:color w:val="auto"/>
          <w:kern w:val="0"/>
          <w:sz w:val="24"/>
          <w:szCs w:val="24"/>
          <w:highlight w:val="none"/>
          <w:lang w:val="en-US" w:eastAsia="zh-CN" w:bidi="ar-SA"/>
        </w:rPr>
        <w:t>（乙酸乙酯、异丙醇）</w:t>
      </w:r>
      <w:r>
        <w:rPr>
          <w:rFonts w:ascii="Times New Roman" w:hAnsi="Times New Roman" w:eastAsia="宋体" w:cs="Times New Roman"/>
          <w:color w:val="auto"/>
          <w:kern w:val="0"/>
          <w:sz w:val="24"/>
          <w:szCs w:val="24"/>
          <w:highlight w:val="none"/>
          <w:lang w:val="en-US" w:eastAsia="zh-CN" w:bidi="ar-SA"/>
        </w:rPr>
        <w:t>具备常温下蒸汽压较高、挥发性强的性质，因此液态危险品泄漏后虽可控制在围堰内或者截留在仓库的导流沟/泄漏液收集池内，但是由于其性质会迅速开始蒸发，并随风扩散而污染环境。</w:t>
      </w:r>
      <w:bookmarkStart w:id="158" w:name="_Toc63336720"/>
      <w:bookmarkStart w:id="159" w:name="_Toc32708"/>
      <w:r>
        <w:rPr>
          <w:rFonts w:hint="eastAsia" w:cs="Times New Roman"/>
          <w:color w:val="auto"/>
          <w:kern w:val="0"/>
          <w:sz w:val="24"/>
          <w:szCs w:val="24"/>
          <w:highlight w:val="none"/>
          <w:lang w:val="en-US" w:eastAsia="zh-CN" w:bidi="ar-SA"/>
        </w:rPr>
        <w:t>因此，</w:t>
      </w:r>
      <w:r>
        <w:rPr>
          <w:rFonts w:hint="eastAsia" w:ascii="Times New Roman" w:hAnsi="Times New Roman" w:eastAsia="宋体" w:cs="Times New Roman"/>
          <w:bCs/>
          <w:color w:val="auto"/>
          <w:kern w:val="0"/>
          <w:sz w:val="24"/>
          <w:szCs w:val="24"/>
          <w:lang w:val="en-US" w:eastAsia="zh-CN" w:bidi="ar-SA"/>
        </w:rPr>
        <w:t>项目的</w:t>
      </w:r>
      <w:r>
        <w:rPr>
          <w:rFonts w:hint="eastAsia" w:cs="Times New Roman"/>
          <w:color w:val="auto"/>
          <w:kern w:val="0"/>
          <w:sz w:val="24"/>
          <w:szCs w:val="20"/>
          <w:lang w:val="en-US" w:eastAsia="zh-CN" w:bidi="ar-SA"/>
        </w:rPr>
        <w:t>油墨仓库、溶剂仓库</w:t>
      </w:r>
      <w:r>
        <w:rPr>
          <w:rFonts w:hint="eastAsia" w:ascii="Times New Roman" w:hAnsi="Times New Roman" w:eastAsia="宋体" w:cs="Times New Roman"/>
          <w:color w:val="auto"/>
          <w:kern w:val="0"/>
          <w:sz w:val="24"/>
          <w:szCs w:val="20"/>
          <w:lang w:val="en-US" w:eastAsia="zh-CN" w:bidi="ar-SA"/>
        </w:rPr>
        <w:t>内设置有慢坡/储液托盘等防泄漏措施，在物质储桶破损的情况下，</w:t>
      </w:r>
      <w:r>
        <w:rPr>
          <w:rFonts w:hint="eastAsia" w:ascii="Times New Roman" w:hAnsi="Times New Roman" w:eastAsia="宋体" w:cs="Times New Roman"/>
          <w:bCs/>
          <w:color w:val="auto"/>
          <w:kern w:val="0"/>
          <w:sz w:val="24"/>
          <w:szCs w:val="24"/>
          <w:lang w:val="en-US" w:eastAsia="zh-CN" w:bidi="ar-SA"/>
        </w:rPr>
        <w:t>当危险物质</w:t>
      </w:r>
      <w:r>
        <w:rPr>
          <w:rFonts w:ascii="Times New Roman" w:hAnsi="Times New Roman" w:eastAsia="宋体" w:cs="Times New Roman"/>
          <w:bCs/>
          <w:color w:val="auto"/>
          <w:kern w:val="0"/>
          <w:sz w:val="24"/>
          <w:szCs w:val="24"/>
          <w:lang w:val="en-US" w:eastAsia="zh-CN" w:bidi="ar-SA"/>
        </w:rPr>
        <w:t>发生泄漏后</w:t>
      </w:r>
      <w:r>
        <w:rPr>
          <w:rFonts w:hint="eastAsia" w:ascii="Times New Roman" w:hAnsi="Times New Roman" w:eastAsia="宋体" w:cs="Times New Roman"/>
          <w:bCs/>
          <w:color w:val="auto"/>
          <w:kern w:val="0"/>
          <w:sz w:val="24"/>
          <w:szCs w:val="24"/>
          <w:lang w:val="en-US" w:eastAsia="zh-CN" w:bidi="ar-SA"/>
        </w:rPr>
        <w:t>，</w:t>
      </w:r>
      <w:r>
        <w:rPr>
          <w:rFonts w:hint="eastAsia" w:ascii="Times New Roman" w:hAnsi="Times New Roman" w:eastAsia="宋体" w:cs="Times New Roman"/>
          <w:color w:val="auto"/>
          <w:kern w:val="0"/>
          <w:sz w:val="24"/>
          <w:szCs w:val="20"/>
          <w:lang w:val="en-US" w:eastAsia="zh-CN" w:bidi="ar-SA"/>
        </w:rPr>
        <w:t>泄漏的物料可控制在仓库内不流出车间外至厂区其他地面；</w:t>
      </w:r>
      <w:r>
        <w:rPr>
          <w:rFonts w:ascii="Times New Roman" w:hAnsi="Times New Roman" w:eastAsia="宋体" w:cs="Times New Roman"/>
          <w:bCs/>
          <w:color w:val="auto"/>
          <w:kern w:val="0"/>
          <w:sz w:val="24"/>
          <w:szCs w:val="24"/>
          <w:lang w:val="en-US" w:eastAsia="zh-CN" w:bidi="ar-SA"/>
        </w:rPr>
        <w:t>一般情况下，</w:t>
      </w:r>
      <w:r>
        <w:rPr>
          <w:rFonts w:hint="eastAsia" w:ascii="Times New Roman" w:hAnsi="Times New Roman" w:eastAsia="宋体" w:cs="Times New Roman"/>
          <w:bCs/>
          <w:color w:val="auto"/>
          <w:kern w:val="0"/>
          <w:sz w:val="24"/>
          <w:szCs w:val="24"/>
          <w:lang w:val="en-US" w:eastAsia="zh-CN" w:bidi="ar-SA"/>
        </w:rPr>
        <w:t>储桶</w:t>
      </w:r>
      <w:r>
        <w:rPr>
          <w:rFonts w:ascii="Times New Roman" w:hAnsi="Times New Roman" w:eastAsia="宋体" w:cs="Times New Roman"/>
          <w:bCs/>
          <w:color w:val="auto"/>
          <w:kern w:val="0"/>
          <w:sz w:val="24"/>
          <w:szCs w:val="24"/>
          <w:lang w:val="en-US" w:eastAsia="zh-CN" w:bidi="ar-SA"/>
        </w:rPr>
        <w:t>发生泄漏的几率较小，其</w:t>
      </w:r>
      <w:r>
        <w:rPr>
          <w:rFonts w:hint="eastAsia" w:ascii="Times New Roman" w:hAnsi="Times New Roman" w:eastAsia="宋体" w:cs="Times New Roman"/>
          <w:bCs/>
          <w:color w:val="auto"/>
          <w:kern w:val="0"/>
          <w:sz w:val="24"/>
          <w:szCs w:val="24"/>
          <w:lang w:val="en-US" w:eastAsia="zh-CN" w:bidi="ar-SA"/>
        </w:rPr>
        <w:t>仓库</w:t>
      </w:r>
      <w:r>
        <w:rPr>
          <w:rFonts w:ascii="Times New Roman" w:hAnsi="Times New Roman" w:eastAsia="宋体" w:cs="Times New Roman"/>
          <w:bCs/>
          <w:color w:val="auto"/>
          <w:kern w:val="0"/>
          <w:sz w:val="24"/>
          <w:szCs w:val="24"/>
          <w:lang w:val="en-US" w:eastAsia="zh-CN" w:bidi="ar-SA"/>
        </w:rPr>
        <w:t>地面及四壁均做防渗处理，并配套有围蔽截留，</w:t>
      </w:r>
      <w:r>
        <w:rPr>
          <w:rFonts w:hint="eastAsia" w:ascii="Times New Roman" w:hAnsi="Times New Roman" w:eastAsia="宋体" w:cs="Times New Roman"/>
          <w:bCs/>
          <w:color w:val="auto"/>
          <w:kern w:val="0"/>
          <w:sz w:val="24"/>
          <w:szCs w:val="24"/>
          <w:lang w:val="en-US" w:eastAsia="zh-CN" w:bidi="ar-SA"/>
        </w:rPr>
        <w:t>就算泄漏也可收集起来，临时存放到</w:t>
      </w:r>
      <w:r>
        <w:rPr>
          <w:rFonts w:ascii="Times New Roman" w:hAnsi="Times New Roman" w:eastAsia="宋体" w:cs="Times New Roman"/>
          <w:bCs/>
          <w:color w:val="auto"/>
          <w:kern w:val="0"/>
          <w:sz w:val="24"/>
          <w:szCs w:val="24"/>
          <w:lang w:val="en-US" w:eastAsia="zh-CN" w:bidi="ar-SA"/>
        </w:rPr>
        <w:t>应急储存容器</w:t>
      </w:r>
      <w:r>
        <w:rPr>
          <w:rFonts w:hint="eastAsia" w:ascii="Times New Roman" w:hAnsi="Times New Roman" w:eastAsia="宋体" w:cs="Times New Roman"/>
          <w:bCs/>
          <w:color w:val="auto"/>
          <w:kern w:val="0"/>
          <w:sz w:val="24"/>
          <w:szCs w:val="24"/>
          <w:lang w:val="en-US" w:eastAsia="zh-CN" w:bidi="ar-SA"/>
        </w:rPr>
        <w:t>后</w:t>
      </w:r>
      <w:r>
        <w:rPr>
          <w:rFonts w:ascii="Times New Roman" w:hAnsi="Times New Roman" w:eastAsia="宋体" w:cs="Times New Roman"/>
          <w:bCs/>
          <w:color w:val="auto"/>
          <w:kern w:val="0"/>
          <w:sz w:val="24"/>
          <w:szCs w:val="24"/>
          <w:lang w:val="en-US" w:eastAsia="zh-CN" w:bidi="ar-SA"/>
        </w:rPr>
        <w:t xml:space="preserve">外运处理，可认为基本可控。 </w:t>
      </w:r>
    </w:p>
    <w:p w14:paraId="1996E4B3">
      <w:pPr>
        <w:pStyle w:val="15"/>
        <w:ind w:firstLine="480" w:firstLineChars="200"/>
        <w:jc w:val="both"/>
        <w:rPr>
          <w:rFonts w:hAnsi="Times New Roman"/>
          <w:color w:val="auto"/>
          <w:sz w:val="24"/>
        </w:rPr>
      </w:pPr>
      <w:r>
        <w:rPr>
          <w:rFonts w:hAnsi="Times New Roman"/>
          <w:color w:val="auto"/>
          <w:sz w:val="24"/>
          <w:szCs w:val="24"/>
        </w:rPr>
        <w:t>1、废水/固体废物</w:t>
      </w:r>
      <w:r>
        <w:rPr>
          <w:rFonts w:hAnsi="Times New Roman"/>
          <w:color w:val="auto"/>
          <w:sz w:val="24"/>
        </w:rPr>
        <w:t>泄漏事故影响分析</w:t>
      </w:r>
    </w:p>
    <w:p w14:paraId="62FEB189">
      <w:pPr>
        <w:pStyle w:val="15"/>
        <w:ind w:firstLine="480" w:firstLineChars="200"/>
        <w:jc w:val="both"/>
        <w:rPr>
          <w:rFonts w:hint="default" w:hAnsi="Times New Roman" w:eastAsia="宋体"/>
          <w:b w:val="0"/>
          <w:bCs w:val="0"/>
          <w:color w:val="auto"/>
          <w:sz w:val="24"/>
          <w:szCs w:val="24"/>
          <w:lang w:val="en-US" w:eastAsia="zh-CN"/>
        </w:rPr>
      </w:pPr>
      <w:r>
        <w:rPr>
          <w:rFonts w:hAnsi="Times New Roman"/>
          <w:b w:val="0"/>
          <w:bCs w:val="0"/>
          <w:color w:val="auto"/>
          <w:sz w:val="24"/>
          <w:szCs w:val="24"/>
        </w:rPr>
        <w:t>已知厂内废水处理</w:t>
      </w:r>
      <w:r>
        <w:rPr>
          <w:rFonts w:hint="eastAsia"/>
          <w:b w:val="0"/>
          <w:bCs w:val="0"/>
          <w:color w:val="auto"/>
          <w:sz w:val="24"/>
          <w:szCs w:val="24"/>
          <w:lang w:val="en-US" w:eastAsia="zh-CN"/>
        </w:rPr>
        <w:t>系统</w:t>
      </w:r>
      <w:r>
        <w:rPr>
          <w:rFonts w:hAnsi="Times New Roman"/>
          <w:b w:val="0"/>
          <w:bCs w:val="0"/>
          <w:color w:val="auto"/>
          <w:sz w:val="24"/>
          <w:szCs w:val="24"/>
        </w:rPr>
        <w:t>及一般工业固废仓库、危废暂存间均按照</w:t>
      </w:r>
      <w:r>
        <w:rPr>
          <w:rFonts w:hint="eastAsia"/>
          <w:b w:val="0"/>
          <w:bCs w:val="0"/>
          <w:color w:val="auto"/>
          <w:sz w:val="24"/>
          <w:szCs w:val="24"/>
          <w:lang w:val="en-US" w:eastAsia="zh-CN"/>
        </w:rPr>
        <w:t>暂存</w:t>
      </w:r>
      <w:r>
        <w:rPr>
          <w:rFonts w:hAnsi="Times New Roman"/>
          <w:b w:val="0"/>
          <w:bCs w:val="0"/>
          <w:color w:val="auto"/>
          <w:sz w:val="24"/>
          <w:szCs w:val="24"/>
        </w:rPr>
        <w:t>固废的性质严格按照</w:t>
      </w:r>
      <w:r>
        <w:rPr>
          <w:rFonts w:hint="eastAsia"/>
          <w:color w:val="auto"/>
        </w:rPr>
        <w:t>《危险废物贮存污染控制标准》（GB 18597-20</w:t>
      </w:r>
      <w:r>
        <w:rPr>
          <w:rFonts w:hint="eastAsia"/>
          <w:color w:val="auto"/>
          <w:lang w:val="en-US" w:eastAsia="zh-CN"/>
        </w:rPr>
        <w:t>23</w:t>
      </w:r>
      <w:r>
        <w:rPr>
          <w:rFonts w:hint="eastAsia"/>
          <w:color w:val="auto"/>
        </w:rPr>
        <w:t>）</w:t>
      </w:r>
      <w:r>
        <w:rPr>
          <w:rFonts w:hAnsi="Times New Roman"/>
          <w:b w:val="0"/>
          <w:bCs w:val="0"/>
          <w:color w:val="auto"/>
          <w:sz w:val="24"/>
          <w:szCs w:val="24"/>
        </w:rPr>
        <w:t>或《一般工业固体废物贮存和填埋污染控制标准》（GB 18599-2020）的相关要求采取</w:t>
      </w:r>
      <w:r>
        <w:rPr>
          <w:rFonts w:hint="eastAsia"/>
          <w:color w:val="auto"/>
        </w:rPr>
        <w:t>防风、防晒、防雨、防漏、防渗、防腐以及其他环境污染防治措施</w:t>
      </w:r>
      <w:r>
        <w:rPr>
          <w:rFonts w:hint="eastAsia"/>
          <w:color w:val="auto"/>
          <w:lang w:eastAsia="zh-CN"/>
        </w:rPr>
        <w:t>，</w:t>
      </w:r>
      <w:r>
        <w:rPr>
          <w:rFonts w:hint="eastAsia"/>
          <w:b w:val="0"/>
          <w:bCs w:val="0"/>
          <w:color w:val="auto"/>
          <w:sz w:val="24"/>
          <w:szCs w:val="24"/>
          <w:lang w:val="en-US" w:eastAsia="zh-CN"/>
        </w:rPr>
        <w:t>另</w:t>
      </w:r>
      <w:r>
        <w:rPr>
          <w:rFonts w:hAnsi="Times New Roman"/>
          <w:b w:val="0"/>
          <w:bCs w:val="0"/>
          <w:color w:val="auto"/>
          <w:sz w:val="24"/>
          <w:szCs w:val="24"/>
        </w:rPr>
        <w:t>一般工业固废仓库、危废暂存间</w:t>
      </w:r>
      <w:r>
        <w:rPr>
          <w:rFonts w:hint="eastAsia" w:hAnsi="Times New Roman"/>
          <w:b w:val="0"/>
          <w:bCs w:val="0"/>
          <w:color w:val="auto"/>
          <w:sz w:val="24"/>
          <w:szCs w:val="24"/>
          <w:lang w:val="en-US" w:eastAsia="zh-CN"/>
        </w:rPr>
        <w:t>设置在12#厂房3F，可不考虑暂存期间泄漏对地下水和土壤的污染。</w:t>
      </w:r>
      <w:r>
        <w:rPr>
          <w:rFonts w:hAnsi="Times New Roman"/>
          <w:b w:val="0"/>
          <w:bCs w:val="0"/>
          <w:color w:val="auto"/>
          <w:sz w:val="24"/>
          <w:szCs w:val="24"/>
        </w:rPr>
        <w:t>厂内废水处理</w:t>
      </w:r>
      <w:r>
        <w:rPr>
          <w:rFonts w:hint="eastAsia"/>
          <w:b w:val="0"/>
          <w:bCs w:val="0"/>
          <w:color w:val="auto"/>
          <w:sz w:val="24"/>
          <w:szCs w:val="24"/>
          <w:lang w:val="en-US" w:eastAsia="zh-CN"/>
        </w:rPr>
        <w:t>系统地面</w:t>
      </w:r>
      <w:r>
        <w:rPr>
          <w:rFonts w:hint="eastAsia"/>
          <w:color w:val="auto"/>
        </w:rPr>
        <w:t>进行基础防渗，防渗层为至少1 m 厚黏土层（渗透系数不大于10</w:t>
      </w:r>
      <w:r>
        <w:rPr>
          <w:rFonts w:hint="eastAsia"/>
          <w:color w:val="auto"/>
          <w:vertAlign w:val="superscript"/>
        </w:rPr>
        <w:t xml:space="preserve">-7 </w:t>
      </w:r>
      <w:r>
        <w:rPr>
          <w:rFonts w:hint="eastAsia"/>
          <w:color w:val="auto"/>
        </w:rPr>
        <w:t>cm/s），或至少2 mm 厚高密度聚乙烯膜等人工防渗材料（渗透系数不大于10</w:t>
      </w:r>
      <w:r>
        <w:rPr>
          <w:rFonts w:hint="eastAsia"/>
          <w:color w:val="auto"/>
          <w:vertAlign w:val="superscript"/>
        </w:rPr>
        <w:t>-10</w:t>
      </w:r>
      <w:r>
        <w:rPr>
          <w:rFonts w:hint="eastAsia"/>
          <w:color w:val="auto"/>
        </w:rPr>
        <w:t xml:space="preserve"> cm/s），或其他防渗性能等效的材料。</w:t>
      </w:r>
    </w:p>
    <w:p w14:paraId="0CBC637A">
      <w:pPr>
        <w:pStyle w:val="15"/>
        <w:ind w:firstLine="480" w:firstLineChars="200"/>
        <w:jc w:val="both"/>
        <w:rPr>
          <w:rFonts w:hAnsi="Times New Roman"/>
          <w:b w:val="0"/>
          <w:bCs w:val="0"/>
          <w:color w:val="auto"/>
          <w:sz w:val="24"/>
          <w:szCs w:val="24"/>
        </w:rPr>
      </w:pPr>
      <w:r>
        <w:rPr>
          <w:rFonts w:hint="eastAsia"/>
          <w:b w:val="0"/>
          <w:bCs w:val="0"/>
          <w:color w:val="auto"/>
          <w:sz w:val="24"/>
          <w:szCs w:val="24"/>
          <w:lang w:val="en-US" w:eastAsia="zh-CN"/>
        </w:rPr>
        <w:t>厂房内、厂区</w:t>
      </w:r>
      <w:r>
        <w:rPr>
          <w:rFonts w:hAnsi="Times New Roman"/>
          <w:b w:val="0"/>
          <w:bCs w:val="0"/>
          <w:color w:val="auto"/>
          <w:sz w:val="24"/>
          <w:szCs w:val="24"/>
        </w:rPr>
        <w:t>生活垃圾</w:t>
      </w:r>
      <w:r>
        <w:rPr>
          <w:rFonts w:hint="eastAsia"/>
          <w:b w:val="0"/>
          <w:bCs w:val="0"/>
          <w:color w:val="auto"/>
          <w:sz w:val="24"/>
          <w:szCs w:val="24"/>
          <w:lang w:val="en-US" w:eastAsia="zh-CN"/>
        </w:rPr>
        <w:t>分布设置垃圾桶，</w:t>
      </w:r>
      <w:r>
        <w:rPr>
          <w:rFonts w:hAnsi="Times New Roman"/>
          <w:b w:val="0"/>
          <w:bCs w:val="0"/>
          <w:color w:val="auto"/>
          <w:sz w:val="24"/>
          <w:szCs w:val="24"/>
        </w:rPr>
        <w:t>临时堆放场地基础采取混凝土硬化的防渗措施</w:t>
      </w:r>
      <w:r>
        <w:rPr>
          <w:rFonts w:hint="eastAsia"/>
          <w:b w:val="0"/>
          <w:bCs w:val="0"/>
          <w:color w:val="auto"/>
          <w:sz w:val="24"/>
          <w:szCs w:val="24"/>
          <w:lang w:eastAsia="zh-CN"/>
        </w:rPr>
        <w:t>，</w:t>
      </w:r>
      <w:r>
        <w:rPr>
          <w:rFonts w:hint="eastAsia"/>
          <w:b w:val="0"/>
          <w:bCs w:val="0"/>
          <w:color w:val="auto"/>
          <w:sz w:val="24"/>
          <w:szCs w:val="24"/>
          <w:lang w:val="en-US" w:eastAsia="zh-CN"/>
        </w:rPr>
        <w:t>室外存放时</w:t>
      </w:r>
      <w:r>
        <w:rPr>
          <w:rFonts w:hAnsi="Times New Roman"/>
          <w:b w:val="0"/>
          <w:bCs w:val="0"/>
          <w:color w:val="auto"/>
          <w:sz w:val="24"/>
          <w:szCs w:val="24"/>
        </w:rPr>
        <w:t>并搭建防雨顶棚。</w:t>
      </w:r>
    </w:p>
    <w:p w14:paraId="540A68BD">
      <w:pPr>
        <w:pStyle w:val="15"/>
        <w:ind w:firstLine="480" w:firstLineChars="200"/>
        <w:jc w:val="both"/>
        <w:rPr>
          <w:rFonts w:hAnsi="Times New Roman"/>
          <w:b w:val="0"/>
          <w:bCs w:val="0"/>
          <w:color w:val="auto"/>
          <w:sz w:val="24"/>
          <w:szCs w:val="24"/>
        </w:rPr>
      </w:pPr>
      <w:r>
        <w:rPr>
          <w:rFonts w:hAnsi="Times New Roman"/>
          <w:b w:val="0"/>
          <w:bCs w:val="0"/>
          <w:color w:val="auto"/>
          <w:sz w:val="24"/>
          <w:szCs w:val="24"/>
        </w:rPr>
        <w:t>在采取上述有效污染渗漏防控措施后，正常工况下，本项目营运期的废水产排和固废的临时堆存不会对区域土壤环境/浅层地下水环境产生不良影响。</w:t>
      </w:r>
    </w:p>
    <w:p w14:paraId="6B02532C">
      <w:pPr>
        <w:pStyle w:val="15"/>
        <w:ind w:firstLine="480" w:firstLineChars="200"/>
        <w:jc w:val="both"/>
        <w:rPr>
          <w:rFonts w:hAnsi="Times New Roman"/>
          <w:b w:val="0"/>
          <w:bCs w:val="0"/>
          <w:color w:val="auto"/>
          <w:sz w:val="24"/>
          <w:szCs w:val="24"/>
        </w:rPr>
      </w:pPr>
      <w:r>
        <w:rPr>
          <w:rFonts w:hAnsi="Times New Roman"/>
          <w:color w:val="auto"/>
          <w:sz w:val="24"/>
          <w:szCs w:val="24"/>
        </w:rPr>
        <w:t>2、事故废水泄漏事故影响分析</w:t>
      </w:r>
    </w:p>
    <w:p w14:paraId="3F43C93B">
      <w:pPr>
        <w:pStyle w:val="15"/>
        <w:ind w:firstLine="480" w:firstLineChars="200"/>
        <w:jc w:val="both"/>
        <w:rPr>
          <w:rFonts w:hAnsi="Times New Roman"/>
          <w:b w:val="0"/>
          <w:bCs w:val="0"/>
          <w:color w:val="auto"/>
          <w:sz w:val="24"/>
          <w:szCs w:val="24"/>
        </w:rPr>
      </w:pPr>
      <w:r>
        <w:rPr>
          <w:rFonts w:hAnsi="Times New Roman"/>
          <w:b w:val="0"/>
          <w:bCs w:val="0"/>
          <w:color w:val="auto"/>
          <w:sz w:val="24"/>
          <w:szCs w:val="24"/>
        </w:rPr>
        <w:t>由于项目场地地下水径流缓慢，污染扩散能力较弱，影响范围有限，但由于事故废水的污染物浓度较高，渗漏污染物对区域地下水环境有一定影响。因此，建设单位在建设完善场地防渗措施的基础上，建立完善的生产和治污设施及涉污管道的定期巡检、检修和事故应急处置制度，通过定期巡检及时发现事故渗漏并进行有效的修复和渗漏防控，确保高浓度废水不泄漏进入土壤环境/浅层地下水环境。</w:t>
      </w:r>
    </w:p>
    <w:p w14:paraId="0C0F69B9">
      <w:pPr>
        <w:pStyle w:val="15"/>
        <w:ind w:firstLine="480" w:firstLineChars="200"/>
        <w:jc w:val="both"/>
        <w:rPr>
          <w:rFonts w:hAnsi="Times New Roman"/>
          <w:b w:val="0"/>
          <w:bCs w:val="0"/>
          <w:color w:val="auto"/>
          <w:sz w:val="24"/>
          <w:szCs w:val="24"/>
        </w:rPr>
      </w:pPr>
      <w:r>
        <w:rPr>
          <w:rFonts w:hAnsi="Times New Roman"/>
          <w:color w:val="auto"/>
          <w:sz w:val="24"/>
          <w:szCs w:val="24"/>
        </w:rPr>
        <w:t>3、化学品泄漏事故影响分析</w:t>
      </w:r>
    </w:p>
    <w:p w14:paraId="775CD9E3">
      <w:pPr>
        <w:spacing w:line="360" w:lineRule="auto"/>
        <w:ind w:firstLine="480" w:firstLineChars="200"/>
        <w:rPr>
          <w:color w:val="auto"/>
          <w:sz w:val="24"/>
        </w:rPr>
      </w:pPr>
      <w:r>
        <w:rPr>
          <w:color w:val="auto"/>
          <w:sz w:val="24"/>
        </w:rPr>
        <w:t>本项目涉及泄漏的物质列入《建设项目环境风险评价技术导则》（HJ169-2018）附录B风险物质名单中的为</w:t>
      </w:r>
      <w:r>
        <w:rPr>
          <w:rFonts w:hint="eastAsia"/>
          <w:color w:val="auto"/>
          <w:sz w:val="24"/>
          <w:lang w:val="en-US" w:eastAsia="zh-CN"/>
        </w:rPr>
        <w:t>乙酸乙酯、异丙醇、润滑油等油类物质等</w:t>
      </w:r>
      <w:r>
        <w:rPr>
          <w:color w:val="auto"/>
          <w:sz w:val="24"/>
        </w:rPr>
        <w:t>。</w:t>
      </w:r>
    </w:p>
    <w:p w14:paraId="7304E574">
      <w:pPr>
        <w:rPr>
          <w:rFonts w:hint="eastAsia"/>
          <w:color w:val="auto"/>
          <w:lang w:val="en-US" w:eastAsia="zh-CN"/>
        </w:rPr>
      </w:pPr>
      <w:r>
        <w:rPr>
          <w:color w:val="auto"/>
          <w:sz w:val="24"/>
        </w:rPr>
        <w:t>若</w:t>
      </w:r>
      <w:r>
        <w:rPr>
          <w:rFonts w:hint="eastAsia"/>
          <w:color w:val="auto"/>
          <w:sz w:val="24"/>
          <w:lang w:val="en-US" w:eastAsia="zh-CN"/>
        </w:rPr>
        <w:t>物料储桶</w:t>
      </w:r>
      <w:r>
        <w:rPr>
          <w:color w:val="auto"/>
          <w:sz w:val="24"/>
        </w:rPr>
        <w:t>出现破损将导致</w:t>
      </w:r>
      <w:r>
        <w:rPr>
          <w:rFonts w:hint="eastAsia"/>
          <w:color w:val="auto"/>
          <w:sz w:val="24"/>
          <w:lang w:val="en-US" w:eastAsia="zh-CN"/>
        </w:rPr>
        <w:t>液态物料</w:t>
      </w:r>
      <w:r>
        <w:rPr>
          <w:color w:val="auto"/>
          <w:sz w:val="24"/>
        </w:rPr>
        <w:t>跑冒滴漏现象产生，泄漏量较少，企业应立即安排相关人员在破损处进行堵漏，同时将跑冒滴漏的</w:t>
      </w:r>
      <w:r>
        <w:rPr>
          <w:rFonts w:hint="eastAsia"/>
          <w:color w:val="auto"/>
          <w:sz w:val="24"/>
          <w:lang w:val="en-US" w:eastAsia="zh-CN"/>
        </w:rPr>
        <w:t>化学品</w:t>
      </w:r>
      <w:r>
        <w:rPr>
          <w:color w:val="auto"/>
          <w:sz w:val="24"/>
        </w:rPr>
        <w:t>擦拭干净；若出现输送管道的泄漏现象，企业应立即停止生产并作出相应的应急处理，安排人员针对泄漏点位进行修复。但若</w:t>
      </w:r>
      <w:r>
        <w:rPr>
          <w:rFonts w:hint="eastAsia"/>
          <w:color w:val="auto"/>
          <w:sz w:val="24"/>
          <w:lang w:val="en-US" w:eastAsia="zh-CN"/>
        </w:rPr>
        <w:t>储桶</w:t>
      </w:r>
      <w:r>
        <w:rPr>
          <w:color w:val="auto"/>
          <w:sz w:val="24"/>
        </w:rPr>
        <w:t>泄漏不及时清理的情况下，由于</w:t>
      </w:r>
      <w:r>
        <w:rPr>
          <w:rFonts w:hint="eastAsia"/>
          <w:color w:val="auto"/>
          <w:sz w:val="24"/>
          <w:lang w:val="en-US" w:eastAsia="zh-CN"/>
        </w:rPr>
        <w:t>车间和仓库</w:t>
      </w:r>
      <w:r>
        <w:rPr>
          <w:color w:val="auto"/>
          <w:sz w:val="24"/>
        </w:rPr>
        <w:t>四周均设有完善的场地防渗措施和</w:t>
      </w:r>
      <w:r>
        <w:rPr>
          <w:rFonts w:hint="eastAsia"/>
          <w:color w:val="auto"/>
          <w:sz w:val="24"/>
          <w:lang w:val="en-US" w:eastAsia="zh-CN"/>
        </w:rPr>
        <w:t>墁坡</w:t>
      </w:r>
      <w:r>
        <w:rPr>
          <w:color w:val="auto"/>
          <w:sz w:val="24"/>
        </w:rPr>
        <w:t>，通过安排吸附材料将泄漏在罐区内的物料处理完毕后，可认为基本不泄漏到土壤环境/浅层地下水环境。</w:t>
      </w:r>
    </w:p>
    <w:bookmarkEnd w:id="158"/>
    <w:bookmarkEnd w:id="159"/>
    <w:p w14:paraId="3BA6331E">
      <w:pPr>
        <w:pStyle w:val="64"/>
        <w:numPr>
          <w:ilvl w:val="2"/>
          <w:numId w:val="8"/>
        </w:numPr>
        <w:spacing w:before="166" w:after="166"/>
        <w:ind w:left="709" w:leftChars="0" w:hanging="709" w:firstLineChars="0"/>
        <w:rPr>
          <w:rFonts w:hint="default" w:ascii="Times New Roman" w:hAnsi="Times New Roman" w:eastAsia="宋体" w:cs="Times New Roman"/>
          <w:color w:val="auto"/>
          <w:lang w:eastAsia="zh-CN"/>
        </w:rPr>
      </w:pPr>
      <w:bookmarkStart w:id="160" w:name="_Toc421258717"/>
      <w:bookmarkStart w:id="161" w:name="_Toc419893664"/>
      <w:bookmarkStart w:id="162" w:name="_Toc27991031"/>
      <w:bookmarkStart w:id="163" w:name="_Toc530396550"/>
      <w:bookmarkStart w:id="164" w:name="_Toc5646"/>
      <w:bookmarkStart w:id="165" w:name="_Toc22691"/>
      <w:bookmarkStart w:id="166" w:name="_Toc425930711"/>
      <w:bookmarkStart w:id="167" w:name="_Toc24307"/>
      <w:r>
        <w:rPr>
          <w:rFonts w:hint="eastAsia" w:ascii="Times New Roman" w:hAnsi="Times New Roman" w:eastAsia="宋体" w:cs="Times New Roman"/>
          <w:color w:val="auto"/>
          <w:lang w:val="en-US" w:eastAsia="zh-CN"/>
        </w:rPr>
        <w:t>环境</w:t>
      </w:r>
      <w:r>
        <w:rPr>
          <w:rFonts w:hint="default" w:ascii="Times New Roman" w:hAnsi="Times New Roman" w:eastAsia="宋体" w:cs="Times New Roman"/>
          <w:color w:val="auto"/>
          <w:lang w:eastAsia="zh-CN"/>
        </w:rPr>
        <w:t>风险防范措施</w:t>
      </w:r>
      <w:bookmarkEnd w:id="160"/>
      <w:bookmarkEnd w:id="161"/>
      <w:r>
        <w:rPr>
          <w:rFonts w:hint="default" w:ascii="Times New Roman" w:hAnsi="Times New Roman" w:eastAsia="宋体" w:cs="Times New Roman"/>
          <w:color w:val="auto"/>
          <w:lang w:eastAsia="zh-CN"/>
        </w:rPr>
        <w:t>与应急措施</w:t>
      </w:r>
      <w:bookmarkEnd w:id="162"/>
      <w:bookmarkEnd w:id="163"/>
      <w:bookmarkEnd w:id="164"/>
      <w:bookmarkEnd w:id="165"/>
      <w:bookmarkEnd w:id="166"/>
      <w:bookmarkEnd w:id="167"/>
    </w:p>
    <w:p w14:paraId="16DDC11D">
      <w:pPr>
        <w:pStyle w:val="65"/>
        <w:rPr>
          <w:rFonts w:hint="eastAsia" w:ascii="Times New Roman" w:hAnsi="Times New Roman" w:eastAsia="宋体" w:cs="Times New Roman"/>
          <w:color w:val="auto"/>
        </w:rPr>
      </w:pPr>
      <w:r>
        <w:rPr>
          <w:rFonts w:hint="eastAsia" w:cs="Times New Roman"/>
          <w:b/>
          <w:color w:val="auto"/>
          <w:kern w:val="0"/>
          <w:szCs w:val="20"/>
          <w:lang w:eastAsia="zh-CN"/>
        </w:rPr>
        <w:t>5.</w:t>
      </w:r>
      <w:r>
        <w:rPr>
          <w:rFonts w:hint="eastAsia" w:ascii="Times New Roman" w:hAnsi="Times New Roman" w:cs="Times New Roman"/>
          <w:b/>
          <w:color w:val="auto"/>
          <w:kern w:val="0"/>
          <w:szCs w:val="20"/>
          <w:lang w:eastAsia="zh-CN"/>
        </w:rPr>
        <w:t>7.6</w:t>
      </w:r>
      <w:r>
        <w:rPr>
          <w:rFonts w:hint="default" w:ascii="Times New Roman" w:hAnsi="Times New Roman" w:cs="Times New Roman"/>
          <w:b/>
          <w:color w:val="auto"/>
          <w:kern w:val="0"/>
          <w:szCs w:val="20"/>
        </w:rPr>
        <w:t>.1</w:t>
      </w:r>
      <w:r>
        <w:rPr>
          <w:rFonts w:hint="eastAsia" w:ascii="Times New Roman" w:hAnsi="Times New Roman" w:eastAsia="宋体" w:cs="Times New Roman"/>
          <w:color w:val="auto"/>
        </w:rPr>
        <w:t>生产车间环境风险预防措施</w:t>
      </w:r>
    </w:p>
    <w:p w14:paraId="7C167549">
      <w:pPr>
        <w:pStyle w:val="19"/>
        <w:keepNext w:val="0"/>
        <w:keepLines w:val="0"/>
        <w:pageBreakBefore w:val="0"/>
        <w:widowControl w:val="0"/>
        <w:numPr>
          <w:ilvl w:val="0"/>
          <w:numId w:val="50"/>
        </w:numPr>
        <w:kinsoku w:val="0"/>
        <w:wordWrap/>
        <w:overflowPunct w:val="0"/>
        <w:topLinePunct w:val="0"/>
        <w:autoSpaceDE w:val="0"/>
        <w:autoSpaceDN w:val="0"/>
        <w:bidi w:val="0"/>
        <w:adjustRightInd w:val="0"/>
        <w:snapToGrid/>
        <w:spacing w:before="0"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车间有设管道专门收集</w:t>
      </w:r>
      <w:r>
        <w:rPr>
          <w:rFonts w:hint="eastAsia" w:ascii="Times New Roman" w:hAnsi="Times New Roman" w:cs="Times New Roman"/>
          <w:color w:val="auto"/>
          <w:sz w:val="24"/>
          <w:lang w:val="en-US" w:eastAsia="zh-CN"/>
        </w:rPr>
        <w:t>有机</w:t>
      </w:r>
      <w:r>
        <w:rPr>
          <w:rFonts w:hint="eastAsia" w:ascii="Times New Roman" w:hAnsi="Times New Roman" w:eastAsia="宋体" w:cs="Times New Roman"/>
          <w:color w:val="auto"/>
          <w:sz w:val="24"/>
        </w:rPr>
        <w:t>废气，避免废气聚集车间影响员工身体健康；</w:t>
      </w:r>
    </w:p>
    <w:p w14:paraId="0E53B286">
      <w:pPr>
        <w:pStyle w:val="19"/>
        <w:keepNext w:val="0"/>
        <w:keepLines w:val="0"/>
        <w:pageBreakBefore w:val="0"/>
        <w:widowControl w:val="0"/>
        <w:numPr>
          <w:ilvl w:val="0"/>
          <w:numId w:val="50"/>
        </w:numPr>
        <w:kinsoku w:val="0"/>
        <w:wordWrap/>
        <w:overflowPunct w:val="0"/>
        <w:topLinePunct w:val="0"/>
        <w:autoSpaceDE w:val="0"/>
        <w:autoSpaceDN w:val="0"/>
        <w:bidi w:val="0"/>
        <w:adjustRightInd w:val="0"/>
        <w:snapToGrid/>
        <w:spacing w:before="0"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车间暂存化学品分类存放在托盘上，所有化学品都贴上标签，注明其</w:t>
      </w:r>
      <w:r>
        <w:rPr>
          <w:rFonts w:hint="eastAsia" w:ascii="Times New Roman" w:hAnsi="Times New Roman" w:eastAsia="宋体" w:cs="Times New Roman"/>
          <w:color w:val="auto"/>
          <w:spacing w:val="12"/>
          <w:sz w:val="24"/>
        </w:rPr>
        <w:t>主要成分，包装容器完整、密封，避免发生泄漏；药品添加完成后，盖好桶</w:t>
      </w:r>
      <w:r>
        <w:rPr>
          <w:rFonts w:hint="eastAsia" w:ascii="Times New Roman" w:hAnsi="Times New Roman" w:eastAsia="宋体" w:cs="Times New Roman"/>
          <w:color w:val="auto"/>
          <w:sz w:val="24"/>
        </w:rPr>
        <w:t>盖；</w:t>
      </w:r>
    </w:p>
    <w:p w14:paraId="24EA27D6">
      <w:pPr>
        <w:pStyle w:val="19"/>
        <w:keepNext w:val="0"/>
        <w:keepLines w:val="0"/>
        <w:pageBreakBefore w:val="0"/>
        <w:widowControl w:val="0"/>
        <w:numPr>
          <w:ilvl w:val="0"/>
          <w:numId w:val="50"/>
        </w:numPr>
        <w:kinsoku w:val="0"/>
        <w:wordWrap/>
        <w:overflowPunct w:val="0"/>
        <w:topLinePunct w:val="0"/>
        <w:autoSpaceDE w:val="0"/>
        <w:autoSpaceDN w:val="0"/>
        <w:bidi w:val="0"/>
        <w:adjustRightInd w:val="0"/>
        <w:snapToGrid/>
        <w:spacing w:before="0"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生产车间各部位配置灭火装置（包括：灭火器、消防栓和消防砂），并定期检查灭火器材是否完好；</w:t>
      </w:r>
    </w:p>
    <w:p w14:paraId="2F302575">
      <w:pPr>
        <w:pStyle w:val="19"/>
        <w:keepNext w:val="0"/>
        <w:keepLines w:val="0"/>
        <w:pageBreakBefore w:val="0"/>
        <w:widowControl w:val="0"/>
        <w:numPr>
          <w:ilvl w:val="0"/>
          <w:numId w:val="50"/>
        </w:numPr>
        <w:kinsoku w:val="0"/>
        <w:wordWrap/>
        <w:overflowPunct w:val="0"/>
        <w:topLinePunct w:val="0"/>
        <w:autoSpaceDE w:val="0"/>
        <w:autoSpaceDN w:val="0"/>
        <w:bidi w:val="0"/>
        <w:adjustRightInd w:val="0"/>
        <w:snapToGrid/>
        <w:spacing w:before="0"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公司生产车间均设有明沟或废水管道与废水处理系统联通，一般情况下，车间内废水均能直接排放到废水处理站；</w:t>
      </w:r>
    </w:p>
    <w:p w14:paraId="62A410EE">
      <w:pPr>
        <w:pStyle w:val="19"/>
        <w:keepNext w:val="0"/>
        <w:keepLines w:val="0"/>
        <w:pageBreakBefore w:val="0"/>
        <w:widowControl w:val="0"/>
        <w:numPr>
          <w:ilvl w:val="0"/>
          <w:numId w:val="50"/>
        </w:numPr>
        <w:kinsoku w:val="0"/>
        <w:wordWrap/>
        <w:overflowPunct w:val="0"/>
        <w:topLinePunct w:val="0"/>
        <w:autoSpaceDE w:val="0"/>
        <w:autoSpaceDN w:val="0"/>
        <w:bidi w:val="0"/>
        <w:adjustRightInd w:val="0"/>
        <w:snapToGrid/>
        <w:spacing w:before="0" w:line="360" w:lineRule="auto"/>
        <w:ind w:left="0" w:leftChars="0" w:right="0" w:rightChars="0" w:firstLine="480" w:firstLineChars="200"/>
        <w:textAlignment w:val="auto"/>
        <w:outlineLvl w:val="9"/>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车间设有摄像头监控，监控录像放置在车间经理办公室内；</w:t>
      </w:r>
    </w:p>
    <w:p w14:paraId="6D486539">
      <w:pPr>
        <w:pStyle w:val="19"/>
        <w:keepNext w:val="0"/>
        <w:keepLines w:val="0"/>
        <w:pageBreakBefore w:val="0"/>
        <w:widowControl w:val="0"/>
        <w:numPr>
          <w:ilvl w:val="0"/>
          <w:numId w:val="50"/>
        </w:numPr>
        <w:kinsoku w:val="0"/>
        <w:wordWrap/>
        <w:overflowPunct w:val="0"/>
        <w:topLinePunct w:val="0"/>
        <w:autoSpaceDE w:val="0"/>
        <w:autoSpaceDN w:val="0"/>
        <w:bidi w:val="0"/>
        <w:adjustRightInd w:val="0"/>
        <w:snapToGrid/>
        <w:spacing w:before="0" w:line="360" w:lineRule="auto"/>
        <w:ind w:left="0" w:leftChars="0" w:right="0" w:rightChars="0" w:firstLine="480" w:firstLineChars="200"/>
        <w:textAlignment w:val="auto"/>
        <w:outlineLvl w:val="9"/>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完善应急资料上墙措施，在门口围墙上张贴应急操作手册、应急闸门的具体平面布置以及应急救援组织架构图等；</w:t>
      </w:r>
    </w:p>
    <w:p w14:paraId="4B35C163">
      <w:pPr>
        <w:pStyle w:val="19"/>
        <w:keepNext w:val="0"/>
        <w:keepLines w:val="0"/>
        <w:pageBreakBefore w:val="0"/>
        <w:widowControl w:val="0"/>
        <w:numPr>
          <w:ilvl w:val="0"/>
          <w:numId w:val="50"/>
        </w:numPr>
        <w:kinsoku w:val="0"/>
        <w:wordWrap/>
        <w:overflowPunct w:val="0"/>
        <w:topLinePunct w:val="0"/>
        <w:autoSpaceDE w:val="0"/>
        <w:autoSpaceDN w:val="0"/>
        <w:bidi w:val="0"/>
        <w:adjustRightInd w:val="0"/>
        <w:snapToGrid/>
        <w:spacing w:before="0" w:line="360" w:lineRule="auto"/>
        <w:ind w:left="0" w:leftChars="0" w:right="0" w:rightChars="0" w:firstLine="480" w:firstLineChars="200"/>
        <w:textAlignment w:val="auto"/>
        <w:outlineLvl w:val="9"/>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公司在特定的区域配置了应急物资，以便发生紧急事故时的救援。</w:t>
      </w:r>
    </w:p>
    <w:p w14:paraId="00B44AE0">
      <w:pPr>
        <w:pStyle w:val="65"/>
        <w:rPr>
          <w:rFonts w:hint="eastAsia" w:ascii="Times New Roman" w:hAnsi="Times New Roman" w:eastAsia="宋体" w:cs="Times New Roman"/>
          <w:color w:val="auto"/>
        </w:rPr>
      </w:pPr>
      <w:r>
        <w:rPr>
          <w:rFonts w:hint="eastAsia" w:cs="Times New Roman"/>
          <w:color w:val="auto"/>
          <w:lang w:eastAsia="zh-CN"/>
        </w:rPr>
        <w:t>5.</w:t>
      </w: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6</w:t>
      </w:r>
      <w:r>
        <w:rPr>
          <w:rFonts w:hint="default" w:ascii="Times New Roman" w:hAnsi="Times New Roman" w:eastAsia="宋体" w:cs="Times New Roman"/>
          <w:color w:val="auto"/>
        </w:rPr>
        <w:t>.2</w:t>
      </w:r>
      <w:r>
        <w:rPr>
          <w:rFonts w:hint="eastAsia" w:ascii="Times New Roman" w:hAnsi="Times New Roman" w:eastAsia="宋体" w:cs="Times New Roman"/>
          <w:color w:val="auto"/>
        </w:rPr>
        <w:t>化学品仓库环境风险预防措施</w:t>
      </w:r>
    </w:p>
    <w:p w14:paraId="31138E99">
      <w:pPr>
        <w:bidi w:val="0"/>
        <w:rPr>
          <w:rFonts w:hint="eastAsia"/>
          <w:color w:val="auto"/>
          <w:lang w:val="en-US" w:eastAsia="zh-CN"/>
        </w:rPr>
      </w:pPr>
      <w:r>
        <w:rPr>
          <w:rFonts w:hint="eastAsia"/>
          <w:color w:val="auto"/>
        </w:rPr>
        <w:t>（</w:t>
      </w:r>
      <w:r>
        <w:rPr>
          <w:rFonts w:hint="default"/>
          <w:color w:val="auto"/>
        </w:rPr>
        <w:t>1</w:t>
      </w:r>
      <w:r>
        <w:rPr>
          <w:rFonts w:hint="eastAsia"/>
          <w:color w:val="auto"/>
        </w:rPr>
        <w:t>）化学品实现分类分区存放，</w:t>
      </w:r>
      <w:r>
        <w:rPr>
          <w:rFonts w:hint="eastAsia"/>
          <w:color w:val="auto"/>
          <w:lang w:val="en-US" w:eastAsia="zh-CN"/>
        </w:rPr>
        <w:t>分别设油墨仓库、溶剂仓库，存放区均设防腐防渗地面，</w:t>
      </w:r>
      <w:r>
        <w:rPr>
          <w:rFonts w:hint="eastAsia" w:ascii="Times New Roman" w:hAnsi="Times New Roman" w:eastAsia="宋体" w:cs="Times New Roman"/>
          <w:color w:val="auto"/>
          <w:sz w:val="24"/>
        </w:rPr>
        <w:t>仓库门口</w:t>
      </w:r>
      <w:r>
        <w:rPr>
          <w:rFonts w:hint="eastAsia" w:ascii="Times New Roman" w:hAnsi="Times New Roman" w:eastAsia="宋体" w:cs="Times New Roman"/>
          <w:color w:val="auto"/>
          <w:sz w:val="24"/>
          <w:lang w:val="en-US" w:eastAsia="zh-CN"/>
        </w:rPr>
        <w:t>设置5cm高围堰，</w:t>
      </w:r>
      <w:r>
        <w:rPr>
          <w:rFonts w:hint="eastAsia" w:ascii="Times New Roman" w:hAnsi="Times New Roman" w:eastAsia="宋体" w:cs="Times New Roman"/>
          <w:color w:val="auto"/>
          <w:sz w:val="24"/>
        </w:rPr>
        <w:t>防止化学品流散流失至外界环境中；</w:t>
      </w:r>
    </w:p>
    <w:p w14:paraId="50388D54">
      <w:pPr>
        <w:bidi w:val="0"/>
        <w:rPr>
          <w:rFonts w:hint="eastAsia"/>
          <w:color w:val="auto"/>
          <w:lang w:val="en-US" w:eastAsia="zh-CN"/>
        </w:rPr>
      </w:pPr>
      <w:r>
        <w:rPr>
          <w:rFonts w:hint="eastAsia"/>
          <w:color w:val="auto"/>
          <w:lang w:val="en-US" w:eastAsia="zh-CN"/>
        </w:rPr>
        <w:t>（2）油墨仓库、溶剂仓库设置双锁，专人负责管理；</w:t>
      </w:r>
    </w:p>
    <w:p w14:paraId="22B0A259">
      <w:pPr>
        <w:bidi w:val="0"/>
        <w:rPr>
          <w:rFonts w:hint="eastAsia"/>
          <w:color w:val="auto"/>
        </w:rPr>
      </w:pPr>
      <w:r>
        <w:rPr>
          <w:rFonts w:hint="eastAsia"/>
          <w:color w:val="auto"/>
          <w:lang w:val="en-US" w:eastAsia="zh-CN"/>
        </w:rPr>
        <w:t>（3）化学品原料</w:t>
      </w:r>
      <w:r>
        <w:rPr>
          <w:rFonts w:hint="eastAsia"/>
          <w:color w:val="auto"/>
        </w:rPr>
        <w:t>包装容器要完整、密封，不得使易燃物质和酸类共存。所有试剂和药品均贴上标签</w:t>
      </w:r>
      <w:r>
        <w:rPr>
          <w:rFonts w:hint="eastAsia"/>
          <w:color w:val="auto"/>
          <w:lang w:eastAsia="zh-CN"/>
        </w:rPr>
        <w:t>，</w:t>
      </w:r>
      <w:r>
        <w:rPr>
          <w:rFonts w:hint="eastAsia"/>
          <w:color w:val="auto"/>
          <w:lang w:val="en-US" w:eastAsia="zh-CN"/>
        </w:rPr>
        <w:t>并在仓库内张贴MSDS，</w:t>
      </w:r>
      <w:r>
        <w:rPr>
          <w:rFonts w:hint="eastAsia"/>
          <w:color w:val="auto"/>
        </w:rPr>
        <w:t>注明其理化性质和发生紧急事故时的应急措施；</w:t>
      </w:r>
    </w:p>
    <w:p w14:paraId="7A4181B8">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4</w:t>
      </w:r>
      <w:r>
        <w:rPr>
          <w:rFonts w:hint="eastAsia" w:ascii="Times New Roman" w:hAnsi="Times New Roman" w:eastAsia="宋体" w:cs="Times New Roman"/>
          <w:color w:val="auto"/>
          <w:sz w:val="24"/>
        </w:rPr>
        <w:t>）仓库配备灭火器、消防砂</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吸收棉</w:t>
      </w:r>
      <w:r>
        <w:rPr>
          <w:rFonts w:hint="eastAsia" w:ascii="Times New Roman" w:hAnsi="Times New Roman" w:eastAsia="宋体" w:cs="Times New Roman"/>
          <w:color w:val="auto"/>
          <w:sz w:val="24"/>
        </w:rPr>
        <w:t>等消防应急物资；当化学品仓库的化学品发生泄漏时，可用吸水器</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吸收棉</w:t>
      </w:r>
      <w:r>
        <w:rPr>
          <w:rFonts w:hint="eastAsia" w:ascii="Times New Roman" w:hAnsi="Times New Roman" w:eastAsia="宋体" w:cs="Times New Roman"/>
          <w:color w:val="auto"/>
          <w:sz w:val="24"/>
          <w:lang w:val="en-US" w:eastAsia="zh-CN"/>
        </w:rPr>
        <w:t>或沙子</w:t>
      </w:r>
      <w:r>
        <w:rPr>
          <w:rFonts w:hint="eastAsia" w:ascii="Times New Roman" w:hAnsi="Times New Roman" w:eastAsia="宋体" w:cs="Times New Roman"/>
          <w:color w:val="auto"/>
          <w:sz w:val="24"/>
        </w:rPr>
        <w:t>吸收收集起来交给有</w:t>
      </w:r>
      <w:r>
        <w:rPr>
          <w:rFonts w:hint="eastAsia" w:ascii="Times New Roman" w:hAnsi="Times New Roman" w:eastAsia="宋体" w:cs="Times New Roman"/>
          <w:color w:val="auto"/>
          <w:sz w:val="24"/>
          <w:lang w:val="en-US" w:eastAsia="zh-CN"/>
        </w:rPr>
        <w:t>危废</w:t>
      </w:r>
      <w:r>
        <w:rPr>
          <w:rFonts w:hint="eastAsia" w:ascii="Times New Roman" w:hAnsi="Times New Roman" w:eastAsia="宋体" w:cs="Times New Roman"/>
          <w:color w:val="auto"/>
          <w:sz w:val="24"/>
        </w:rPr>
        <w:t>资质单位处理；</w:t>
      </w:r>
    </w:p>
    <w:p w14:paraId="6C8129E0">
      <w:pPr>
        <w:pStyle w:val="65"/>
        <w:rPr>
          <w:rFonts w:hint="eastAsia" w:ascii="Times New Roman" w:hAnsi="Times New Roman" w:eastAsia="宋体" w:cs="Times New Roman"/>
          <w:color w:val="auto"/>
        </w:rPr>
      </w:pPr>
      <w:bookmarkStart w:id="168" w:name="_Toc20322"/>
      <w:bookmarkStart w:id="169" w:name="_Toc3522"/>
      <w:r>
        <w:rPr>
          <w:rFonts w:hint="eastAsia" w:cs="Times New Roman"/>
          <w:color w:val="auto"/>
          <w:lang w:eastAsia="zh-CN"/>
        </w:rPr>
        <w:t>5.</w:t>
      </w: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6.4</w:t>
      </w:r>
      <w:r>
        <w:rPr>
          <w:rFonts w:hint="eastAsia" w:ascii="Times New Roman" w:hAnsi="Times New Roman" w:eastAsia="宋体" w:cs="Times New Roman"/>
          <w:color w:val="auto"/>
        </w:rPr>
        <w:t>废气处理设施环境风险预防措施</w:t>
      </w:r>
    </w:p>
    <w:p w14:paraId="1BCBC447">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default" w:ascii="Times New Roman" w:hAnsi="Times New Roman" w:eastAsia="宋体" w:cs="Times New Roman"/>
          <w:color w:val="auto"/>
          <w:sz w:val="24"/>
        </w:rPr>
        <w:t>1</w:t>
      </w:r>
      <w:r>
        <w:rPr>
          <w:rFonts w:hint="eastAsia" w:ascii="Times New Roman" w:hAnsi="Times New Roman" w:eastAsia="宋体" w:cs="Times New Roman"/>
          <w:color w:val="auto"/>
          <w:sz w:val="24"/>
        </w:rPr>
        <w:t>）定期对废气治理设施进行检修以及维护；</w:t>
      </w:r>
    </w:p>
    <w:p w14:paraId="6ECEFEDA">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480" w:firstLineChars="200"/>
        <w:jc w:val="both"/>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default" w:ascii="Times New Roman" w:hAnsi="Times New Roman" w:eastAsia="宋体" w:cs="Times New Roman"/>
          <w:color w:val="auto"/>
          <w:sz w:val="24"/>
        </w:rPr>
        <w:t>2</w:t>
      </w:r>
      <w:r>
        <w:rPr>
          <w:rFonts w:hint="eastAsia" w:ascii="Times New Roman" w:hAnsi="Times New Roman" w:eastAsia="宋体" w:cs="Times New Roman"/>
          <w:color w:val="auto"/>
          <w:sz w:val="24"/>
        </w:rPr>
        <w:t>）对于公司的废气处理系统，公司采取定期巡视检查；明确废气处理工艺监管责任人，每日由监管人员对废气处理装置巡视检查一次；</w:t>
      </w:r>
    </w:p>
    <w:p w14:paraId="1BC63F09">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508" w:firstLineChars="200"/>
        <w:jc w:val="both"/>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3</w:t>
      </w:r>
      <w:r>
        <w:rPr>
          <w:rFonts w:hint="eastAsia" w:ascii="Times New Roman" w:hAnsi="Times New Roman" w:eastAsia="宋体" w:cs="Times New Roman"/>
          <w:color w:val="auto"/>
          <w:spacing w:val="7"/>
          <w:sz w:val="24"/>
        </w:rPr>
        <w:t>）现场作业人员定时记录废气处理状况，如对废气处理设施的</w:t>
      </w:r>
      <w:r>
        <w:rPr>
          <w:rFonts w:hint="eastAsia" w:ascii="Times New Roman" w:hAnsi="Times New Roman" w:cs="Times New Roman"/>
          <w:color w:val="auto"/>
          <w:spacing w:val="7"/>
          <w:sz w:val="24"/>
          <w:lang w:val="en-US" w:eastAsia="zh-CN"/>
        </w:rPr>
        <w:t>吸附装置、脱附装置</w:t>
      </w:r>
      <w:r>
        <w:rPr>
          <w:rFonts w:hint="eastAsia" w:ascii="Times New Roman" w:hAnsi="Times New Roman" w:eastAsia="宋体" w:cs="Times New Roman"/>
          <w:color w:val="auto"/>
          <w:spacing w:val="4"/>
          <w:sz w:val="24"/>
        </w:rPr>
        <w:t>、抽风机等设备进行点检工作，并派专人巡视，遇不良工</w:t>
      </w:r>
      <w:r>
        <w:rPr>
          <w:rFonts w:hint="eastAsia" w:ascii="Times New Roman" w:hAnsi="Times New Roman" w:eastAsia="宋体" w:cs="Times New Roman"/>
          <w:color w:val="auto"/>
          <w:sz w:val="24"/>
        </w:rPr>
        <w:t>作状况立即停止车间相关作业，维修正常后再开始作业；</w:t>
      </w:r>
    </w:p>
    <w:p w14:paraId="1A6424EC">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hint="default" w:ascii="Times New Roman" w:hAnsi="Times New Roman" w:eastAsia="宋体" w:cs="Times New Roman"/>
          <w:color w:val="auto"/>
          <w:sz w:val="24"/>
        </w:rPr>
        <w:t>4</w:t>
      </w:r>
      <w:r>
        <w:rPr>
          <w:rFonts w:hint="eastAsia" w:ascii="Times New Roman" w:hAnsi="Times New Roman" w:eastAsia="宋体" w:cs="Times New Roman"/>
          <w:color w:val="auto"/>
          <w:sz w:val="24"/>
        </w:rPr>
        <w:t>）定期对</w:t>
      </w:r>
      <w:r>
        <w:rPr>
          <w:rFonts w:hint="eastAsia" w:ascii="Times New Roman" w:hAnsi="Times New Roman" w:cs="Times New Roman"/>
          <w:color w:val="auto"/>
          <w:sz w:val="24"/>
          <w:lang w:val="en-US" w:eastAsia="zh-CN"/>
        </w:rPr>
        <w:t>印刷</w:t>
      </w:r>
      <w:r>
        <w:rPr>
          <w:rFonts w:hint="eastAsia" w:ascii="Times New Roman" w:hAnsi="Times New Roman" w:eastAsia="宋体" w:cs="Times New Roman"/>
          <w:color w:val="auto"/>
          <w:sz w:val="24"/>
          <w:lang w:val="en-US" w:eastAsia="zh-CN"/>
        </w:rPr>
        <w:t>、</w:t>
      </w:r>
      <w:r>
        <w:rPr>
          <w:rFonts w:hint="eastAsia" w:ascii="Times New Roman" w:hAnsi="Times New Roman" w:cs="Times New Roman"/>
          <w:color w:val="auto"/>
          <w:sz w:val="24"/>
          <w:lang w:val="en-US" w:eastAsia="zh-CN"/>
        </w:rPr>
        <w:t>热压</w:t>
      </w:r>
      <w:r>
        <w:rPr>
          <w:rFonts w:hint="eastAsia" w:ascii="Times New Roman" w:hAnsi="Times New Roman" w:eastAsia="宋体" w:cs="Times New Roman"/>
          <w:color w:val="auto"/>
          <w:sz w:val="24"/>
        </w:rPr>
        <w:t>废气治理设施进行检修，定期更换活性炭。</w:t>
      </w:r>
    </w:p>
    <w:p w14:paraId="71EFCC0F">
      <w:pPr>
        <w:rPr>
          <w:rFonts w:hint="default" w:eastAsia="宋体"/>
          <w:color w:val="auto"/>
          <w:lang w:val="en-US" w:eastAsia="zh-CN"/>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定期对碱液喷淋塔进行检修，定期更换塔液。</w:t>
      </w:r>
    </w:p>
    <w:p w14:paraId="54B91FD6">
      <w:pPr>
        <w:pStyle w:val="65"/>
        <w:rPr>
          <w:rFonts w:hint="eastAsia" w:ascii="Times New Roman" w:hAnsi="Times New Roman" w:eastAsia="宋体" w:cs="Times New Roman"/>
          <w:color w:val="auto"/>
        </w:rPr>
      </w:pPr>
      <w:r>
        <w:rPr>
          <w:rFonts w:hint="eastAsia" w:cs="Times New Roman"/>
          <w:color w:val="auto"/>
          <w:lang w:eastAsia="zh-CN"/>
        </w:rPr>
        <w:t>5.</w:t>
      </w:r>
      <w:r>
        <w:rPr>
          <w:rFonts w:hint="eastAsia" w:ascii="Times New Roman" w:hAnsi="Times New Roman" w:eastAsia="宋体" w:cs="Times New Roman"/>
          <w:color w:val="auto"/>
          <w:lang w:val="en-US" w:eastAsia="zh-CN"/>
        </w:rPr>
        <w:t>7.6</w:t>
      </w:r>
      <w:r>
        <w:rPr>
          <w:rFonts w:hint="default" w:ascii="Times New Roman" w:hAnsi="Times New Roman" w:eastAsia="宋体" w:cs="Times New Roman"/>
          <w:color w:val="auto"/>
        </w:rPr>
        <w:t>.5</w:t>
      </w:r>
      <w:r>
        <w:rPr>
          <w:rFonts w:hint="eastAsia" w:ascii="Times New Roman" w:hAnsi="Times New Roman" w:eastAsia="宋体" w:cs="Times New Roman"/>
          <w:color w:val="auto"/>
          <w:lang w:val="en-US" w:eastAsia="zh-CN"/>
        </w:rPr>
        <w:t>危废</w:t>
      </w:r>
      <w:r>
        <w:rPr>
          <w:rFonts w:hint="eastAsia" w:ascii="Times New Roman" w:hAnsi="Times New Roman" w:eastAsia="宋体" w:cs="Times New Roman"/>
          <w:color w:val="auto"/>
        </w:rPr>
        <w:t>环境风险预防措施</w:t>
      </w:r>
    </w:p>
    <w:p w14:paraId="0AB15D53">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508" w:firstLineChars="200"/>
        <w:jc w:val="left"/>
        <w:textAlignment w:val="auto"/>
        <w:rPr>
          <w:rFonts w:hint="eastAsia" w:ascii="Times New Roman" w:hAnsi="Times New Roman" w:eastAsia="宋体" w:cs="Times New Roman"/>
          <w:color w:val="auto"/>
          <w:spacing w:val="7"/>
          <w:sz w:val="24"/>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1</w:t>
      </w:r>
      <w:r>
        <w:rPr>
          <w:rFonts w:hint="eastAsia" w:ascii="Times New Roman" w:hAnsi="Times New Roman" w:eastAsia="宋体" w:cs="Times New Roman"/>
          <w:color w:val="auto"/>
          <w:spacing w:val="7"/>
          <w:sz w:val="24"/>
        </w:rPr>
        <w:t>）</w:t>
      </w:r>
      <w:r>
        <w:rPr>
          <w:rFonts w:hint="eastAsia" w:ascii="Times New Roman" w:hAnsi="Times New Roman" w:eastAsia="宋体" w:cs="Times New Roman"/>
          <w:color w:val="auto"/>
          <w:spacing w:val="7"/>
          <w:sz w:val="24"/>
          <w:lang w:val="en-US" w:eastAsia="zh-CN"/>
        </w:rPr>
        <w:t>危险废物</w:t>
      </w:r>
      <w:r>
        <w:rPr>
          <w:rFonts w:hint="eastAsia" w:ascii="Times New Roman" w:hAnsi="Times New Roman" w:eastAsia="宋体" w:cs="Times New Roman"/>
          <w:color w:val="auto"/>
          <w:spacing w:val="7"/>
          <w:sz w:val="24"/>
        </w:rPr>
        <w:t>存放于</w:t>
      </w:r>
      <w:r>
        <w:rPr>
          <w:rFonts w:hint="eastAsia" w:ascii="Times New Roman" w:hAnsi="Times New Roman" w:eastAsia="宋体" w:cs="Times New Roman"/>
          <w:color w:val="auto"/>
          <w:spacing w:val="7"/>
          <w:sz w:val="24"/>
          <w:lang w:val="en-US" w:eastAsia="zh-CN"/>
        </w:rPr>
        <w:t>危废</w:t>
      </w:r>
      <w:r>
        <w:rPr>
          <w:rFonts w:hint="eastAsia" w:ascii="Times New Roman" w:hAnsi="Times New Roman" w:eastAsia="宋体" w:cs="Times New Roman"/>
          <w:color w:val="auto"/>
          <w:spacing w:val="7"/>
          <w:sz w:val="24"/>
        </w:rPr>
        <w:t>仓库，实现分类分区存放，且做好标识；</w:t>
      </w:r>
    </w:p>
    <w:p w14:paraId="16F437E6">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508" w:firstLineChars="200"/>
        <w:jc w:val="left"/>
        <w:textAlignment w:val="auto"/>
        <w:rPr>
          <w:rFonts w:hint="eastAsia" w:ascii="Times New Roman" w:hAnsi="Times New Roman" w:eastAsia="宋体" w:cs="Times New Roman"/>
          <w:color w:val="auto"/>
          <w:spacing w:val="7"/>
          <w:sz w:val="24"/>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2</w:t>
      </w:r>
      <w:r>
        <w:rPr>
          <w:rFonts w:hint="eastAsia" w:ascii="Times New Roman" w:hAnsi="Times New Roman" w:eastAsia="宋体" w:cs="Times New Roman"/>
          <w:color w:val="auto"/>
          <w:spacing w:val="7"/>
          <w:sz w:val="24"/>
        </w:rPr>
        <w:t>）</w:t>
      </w:r>
      <w:r>
        <w:rPr>
          <w:rFonts w:hint="eastAsia" w:ascii="Times New Roman" w:hAnsi="Times New Roman" w:eastAsia="宋体" w:cs="Times New Roman"/>
          <w:color w:val="auto"/>
          <w:spacing w:val="7"/>
          <w:sz w:val="24"/>
          <w:lang w:val="en-US" w:eastAsia="zh-CN"/>
        </w:rPr>
        <w:t>危废</w:t>
      </w:r>
      <w:r>
        <w:rPr>
          <w:rFonts w:hint="eastAsia" w:ascii="Times New Roman" w:hAnsi="Times New Roman" w:eastAsia="宋体" w:cs="Times New Roman"/>
          <w:color w:val="auto"/>
          <w:spacing w:val="7"/>
          <w:sz w:val="24"/>
        </w:rPr>
        <w:t>仓库仓库门口存放一定量的应急物资，如灭火器材、消防砂等；</w:t>
      </w:r>
    </w:p>
    <w:p w14:paraId="3DF0E808">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508" w:firstLineChars="200"/>
        <w:jc w:val="left"/>
        <w:textAlignment w:val="auto"/>
        <w:rPr>
          <w:rFonts w:hint="eastAsia" w:ascii="Times New Roman" w:hAnsi="Times New Roman" w:eastAsia="宋体" w:cs="Times New Roman"/>
          <w:color w:val="auto"/>
          <w:spacing w:val="7"/>
          <w:sz w:val="24"/>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3</w:t>
      </w:r>
      <w:r>
        <w:rPr>
          <w:rFonts w:hint="eastAsia" w:ascii="Times New Roman" w:hAnsi="Times New Roman" w:eastAsia="宋体" w:cs="Times New Roman"/>
          <w:color w:val="auto"/>
          <w:spacing w:val="7"/>
          <w:sz w:val="24"/>
        </w:rPr>
        <w:t>）污水处理过程中产生的污泥实现单独分区存放，存放点门口设置围堰，存放区域的地面均做防腐防渗处理；</w:t>
      </w:r>
    </w:p>
    <w:p w14:paraId="4E40DEFB">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508" w:firstLineChars="200"/>
        <w:jc w:val="left"/>
        <w:textAlignment w:val="auto"/>
        <w:rPr>
          <w:rFonts w:hint="eastAsia" w:ascii="Times New Roman" w:hAnsi="Times New Roman" w:eastAsia="宋体" w:cs="Times New Roman"/>
          <w:color w:val="auto"/>
          <w:spacing w:val="7"/>
          <w:sz w:val="24"/>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4</w:t>
      </w:r>
      <w:r>
        <w:rPr>
          <w:rFonts w:hint="eastAsia" w:ascii="Times New Roman" w:hAnsi="Times New Roman" w:eastAsia="宋体" w:cs="Times New Roman"/>
          <w:color w:val="auto"/>
          <w:spacing w:val="7"/>
          <w:sz w:val="24"/>
        </w:rPr>
        <w:t>）危废仓库地面做防腐防渗措施，防止废液下渗，污染土壤。</w:t>
      </w:r>
    </w:p>
    <w:p w14:paraId="25031D7B">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508" w:firstLineChars="200"/>
        <w:jc w:val="left"/>
        <w:textAlignment w:val="auto"/>
        <w:rPr>
          <w:rFonts w:hint="eastAsia" w:ascii="Times New Roman" w:hAnsi="Times New Roman" w:eastAsia="宋体" w:cs="Times New Roman"/>
          <w:color w:val="auto"/>
          <w:spacing w:val="7"/>
          <w:sz w:val="24"/>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5</w:t>
      </w:r>
      <w:r>
        <w:rPr>
          <w:rFonts w:hint="eastAsia" w:ascii="Times New Roman" w:hAnsi="Times New Roman" w:eastAsia="宋体" w:cs="Times New Roman"/>
          <w:color w:val="auto"/>
          <w:spacing w:val="7"/>
          <w:sz w:val="24"/>
        </w:rPr>
        <w:t>）废气治理过程中产生废活性炭，在交给有资质公司处理前，密封存放，防止其吸附的有机物重新释放；</w:t>
      </w:r>
    </w:p>
    <w:p w14:paraId="4BF2E83B">
      <w:pPr>
        <w:pStyle w:val="19"/>
        <w:keepNext w:val="0"/>
        <w:keepLines w:val="0"/>
        <w:pageBreakBefore w:val="0"/>
        <w:widowControl w:val="0"/>
        <w:kinsoku w:val="0"/>
        <w:wordWrap/>
        <w:overflowPunct w:val="0"/>
        <w:topLinePunct w:val="0"/>
        <w:autoSpaceDE w:val="0"/>
        <w:autoSpaceDN w:val="0"/>
        <w:bidi w:val="0"/>
        <w:adjustRightInd w:val="0"/>
        <w:snapToGrid/>
        <w:spacing w:before="0" w:line="360" w:lineRule="auto"/>
        <w:ind w:left="0" w:leftChars="0" w:right="0" w:rightChars="0" w:firstLine="508" w:firstLineChars="200"/>
        <w:jc w:val="left"/>
        <w:textAlignment w:val="auto"/>
        <w:rPr>
          <w:rFonts w:hint="eastAsia" w:ascii="Times New Roman" w:hAnsi="Times New Roman" w:eastAsia="宋体" w:cs="Times New Roman"/>
          <w:color w:val="auto"/>
          <w:spacing w:val="7"/>
          <w:sz w:val="24"/>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6</w:t>
      </w:r>
      <w:r>
        <w:rPr>
          <w:rFonts w:hint="eastAsia" w:ascii="Times New Roman" w:hAnsi="Times New Roman" w:eastAsia="宋体" w:cs="Times New Roman"/>
          <w:color w:val="auto"/>
          <w:spacing w:val="7"/>
          <w:sz w:val="24"/>
        </w:rPr>
        <w:t>）生产过程产生的</w:t>
      </w:r>
      <w:r>
        <w:rPr>
          <w:rFonts w:hint="eastAsia" w:ascii="Times New Roman" w:hAnsi="Times New Roman" w:eastAsia="宋体" w:cs="Times New Roman"/>
          <w:color w:val="auto"/>
          <w:spacing w:val="7"/>
          <w:sz w:val="24"/>
          <w:lang w:val="en-US" w:eastAsia="zh-CN"/>
        </w:rPr>
        <w:t>危废</w:t>
      </w:r>
      <w:r>
        <w:rPr>
          <w:rFonts w:hint="eastAsia" w:ascii="Times New Roman" w:hAnsi="Times New Roman" w:eastAsia="宋体" w:cs="Times New Roman"/>
          <w:color w:val="auto"/>
          <w:spacing w:val="7"/>
          <w:sz w:val="24"/>
        </w:rPr>
        <w:t>，定期提交有资质单位处理，降低储存过程中的风险；</w:t>
      </w:r>
    </w:p>
    <w:p w14:paraId="5DA3B83D">
      <w:pPr>
        <w:rPr>
          <w:rFonts w:hint="eastAsia"/>
          <w:color w:val="auto"/>
          <w:lang w:eastAsia="zh-CN"/>
        </w:rPr>
      </w:pPr>
      <w:r>
        <w:rPr>
          <w:rFonts w:hint="eastAsia" w:ascii="Times New Roman" w:hAnsi="Times New Roman" w:eastAsia="宋体" w:cs="Times New Roman"/>
          <w:color w:val="auto"/>
          <w:spacing w:val="7"/>
          <w:sz w:val="24"/>
        </w:rPr>
        <w:t>（</w:t>
      </w:r>
      <w:r>
        <w:rPr>
          <w:rFonts w:hint="default" w:ascii="Times New Roman" w:hAnsi="Times New Roman" w:eastAsia="宋体" w:cs="Times New Roman"/>
          <w:color w:val="auto"/>
          <w:spacing w:val="7"/>
          <w:sz w:val="24"/>
        </w:rPr>
        <w:t>7</w:t>
      </w:r>
      <w:r>
        <w:rPr>
          <w:rFonts w:hint="eastAsia" w:ascii="Times New Roman" w:hAnsi="Times New Roman" w:eastAsia="宋体" w:cs="Times New Roman"/>
          <w:color w:val="auto"/>
          <w:spacing w:val="7"/>
          <w:sz w:val="24"/>
        </w:rPr>
        <w:t>）危废仓库设有专人负责，负责仓库的日常管理。</w:t>
      </w:r>
    </w:p>
    <w:p w14:paraId="29CA38A9">
      <w:pPr>
        <w:keepNext/>
        <w:keepLines/>
        <w:ind w:firstLine="0" w:firstLineChars="0"/>
        <w:outlineLvl w:val="3"/>
        <w:rPr>
          <w:rFonts w:hint="default" w:ascii="Times New Roman" w:hAnsi="Times New Roman" w:cs="Times New Roman"/>
          <w:b/>
          <w:color w:val="auto"/>
          <w:kern w:val="0"/>
          <w:szCs w:val="20"/>
        </w:rPr>
      </w:pPr>
      <w:r>
        <w:rPr>
          <w:rFonts w:hint="eastAsia" w:cs="Times New Roman"/>
          <w:b/>
          <w:color w:val="auto"/>
          <w:kern w:val="0"/>
          <w:szCs w:val="20"/>
          <w:lang w:eastAsia="zh-CN"/>
        </w:rPr>
        <w:t>5.</w:t>
      </w:r>
      <w:r>
        <w:rPr>
          <w:rFonts w:hint="eastAsia" w:ascii="Times New Roman" w:hAnsi="Times New Roman" w:cs="Times New Roman"/>
          <w:b/>
          <w:color w:val="auto"/>
          <w:kern w:val="0"/>
          <w:szCs w:val="20"/>
          <w:lang w:eastAsia="zh-CN"/>
        </w:rPr>
        <w:t>7.6</w:t>
      </w:r>
      <w:r>
        <w:rPr>
          <w:rFonts w:hint="default" w:ascii="Times New Roman" w:hAnsi="Times New Roman" w:cs="Times New Roman"/>
          <w:b/>
          <w:color w:val="auto"/>
          <w:kern w:val="0"/>
          <w:szCs w:val="20"/>
        </w:rPr>
        <w:t>.</w:t>
      </w:r>
      <w:r>
        <w:rPr>
          <w:rFonts w:hint="eastAsia" w:ascii="Times New Roman" w:hAnsi="Times New Roman" w:cs="Times New Roman"/>
          <w:b/>
          <w:color w:val="auto"/>
          <w:kern w:val="0"/>
          <w:szCs w:val="20"/>
          <w:lang w:val="en-US" w:eastAsia="zh-CN"/>
        </w:rPr>
        <w:t>6</w:t>
      </w:r>
      <w:r>
        <w:rPr>
          <w:rFonts w:hint="default" w:ascii="Times New Roman" w:hAnsi="Times New Roman" w:cs="Times New Roman"/>
          <w:b/>
          <w:color w:val="auto"/>
          <w:kern w:val="0"/>
          <w:szCs w:val="20"/>
        </w:rPr>
        <w:t xml:space="preserve"> </w:t>
      </w:r>
      <w:r>
        <w:rPr>
          <w:rFonts w:hint="eastAsia" w:ascii="Times New Roman" w:hAnsi="Times New Roman" w:cs="Times New Roman"/>
          <w:b/>
          <w:color w:val="auto"/>
          <w:kern w:val="0"/>
          <w:szCs w:val="20"/>
          <w:lang w:eastAsia="zh-CN"/>
        </w:rPr>
        <w:t>厂区内</w:t>
      </w:r>
      <w:r>
        <w:rPr>
          <w:rFonts w:hint="default" w:ascii="Times New Roman" w:hAnsi="Times New Roman" w:cs="Times New Roman"/>
          <w:b/>
          <w:color w:val="auto"/>
          <w:kern w:val="0"/>
          <w:szCs w:val="20"/>
        </w:rPr>
        <w:t>运输过程的风险防范措施</w:t>
      </w:r>
      <w:bookmarkEnd w:id="168"/>
      <w:bookmarkEnd w:id="169"/>
    </w:p>
    <w:p w14:paraId="21332B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Cs w:val="28"/>
        </w:rPr>
      </w:pPr>
      <w:r>
        <w:rPr>
          <w:rFonts w:hint="default" w:ascii="Times New Roman" w:hAnsi="Times New Roman" w:cs="Times New Roman"/>
          <w:color w:val="auto"/>
          <w:szCs w:val="28"/>
        </w:rPr>
        <w:t>运输过程风险防范包括交通事故预防、运输过程设备故障性泄漏防范以及事故发生后的应急处理等，物料运输以汽车为主。</w:t>
      </w:r>
    </w:p>
    <w:p w14:paraId="59EFFB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运输过程防范应从包装着手，有关包装的具体要求可参照GB6944、GB190和GB12463等一系列规章制度进行，包装应严格按照有关危险品特性及相关强度等级进行，并采用堆码试验、跌落实验、气密试验和气压试验等检验标准进行定期检验，运输包装件严格按规定印制提醒符号，表明危险品类别、名称及尺寸、颜色。</w:t>
      </w:r>
    </w:p>
    <w:p w14:paraId="3344C8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cs="Times New Roman"/>
          <w:color w:val="auto"/>
        </w:rPr>
        <w:t>运输装卸过程也要严格按照国家有关规定执行，包括JT3130、JT3145、GB7258、《危险货物运输规则》等，运输危险化学品的车辆必须配备相应的应急物资，如堵漏工具等；运输车辆需配备经过专业培训的驾驶员、押运员。</w:t>
      </w:r>
    </w:p>
    <w:p w14:paraId="434D108E">
      <w:pPr>
        <w:pStyle w:val="9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项目涉及的危险化学品运输工作应由建设单位委托的专业车队进行，每次运输前，建设单位应联合专业车队准确告诉司机和押运人员有关运输物质的性质和事故应急处理方法，确保在事故发生情况下仍能事故应急，减缓影响。</w:t>
      </w:r>
    </w:p>
    <w:p w14:paraId="6938E8DF">
      <w:pPr>
        <w:keepNext/>
        <w:keepLines/>
        <w:ind w:firstLine="0" w:firstLineChars="0"/>
        <w:outlineLvl w:val="3"/>
        <w:rPr>
          <w:rFonts w:hint="default" w:ascii="Times New Roman" w:hAnsi="Times New Roman" w:cs="Times New Roman"/>
          <w:b/>
          <w:color w:val="auto"/>
          <w:kern w:val="0"/>
          <w:szCs w:val="20"/>
          <w:lang w:val="en-US" w:eastAsia="zh-CN"/>
        </w:rPr>
      </w:pPr>
      <w:r>
        <w:rPr>
          <w:rFonts w:hint="eastAsia" w:cs="Times New Roman"/>
          <w:b/>
          <w:color w:val="auto"/>
          <w:kern w:val="0"/>
          <w:szCs w:val="20"/>
          <w:lang w:eastAsia="zh-CN"/>
        </w:rPr>
        <w:t>5.</w:t>
      </w:r>
      <w:r>
        <w:rPr>
          <w:rFonts w:hint="eastAsia" w:ascii="Times New Roman" w:hAnsi="Times New Roman" w:cs="Times New Roman"/>
          <w:b/>
          <w:color w:val="auto"/>
          <w:kern w:val="0"/>
          <w:szCs w:val="20"/>
          <w:lang w:eastAsia="zh-CN"/>
        </w:rPr>
        <w:t>7.6</w:t>
      </w:r>
      <w:r>
        <w:rPr>
          <w:rFonts w:hint="default" w:ascii="Times New Roman" w:hAnsi="Times New Roman" w:cs="Times New Roman"/>
          <w:b/>
          <w:color w:val="auto"/>
          <w:kern w:val="0"/>
          <w:szCs w:val="20"/>
        </w:rPr>
        <w:t>.</w:t>
      </w:r>
      <w:r>
        <w:rPr>
          <w:rFonts w:hint="eastAsia" w:ascii="Times New Roman" w:hAnsi="Times New Roman" w:cs="Times New Roman"/>
          <w:b/>
          <w:color w:val="auto"/>
          <w:kern w:val="0"/>
          <w:szCs w:val="20"/>
          <w:lang w:val="en-US" w:eastAsia="zh-CN"/>
        </w:rPr>
        <w:t>7</w:t>
      </w:r>
      <w:r>
        <w:rPr>
          <w:rFonts w:hint="default" w:ascii="Times New Roman" w:hAnsi="Times New Roman" w:cs="Times New Roman"/>
          <w:b/>
          <w:color w:val="auto"/>
          <w:kern w:val="0"/>
          <w:szCs w:val="20"/>
        </w:rPr>
        <w:t xml:space="preserve"> </w:t>
      </w:r>
      <w:r>
        <w:rPr>
          <w:rFonts w:hint="eastAsia" w:ascii="Times New Roman" w:hAnsi="Times New Roman" w:cs="Times New Roman"/>
          <w:b/>
          <w:color w:val="auto"/>
          <w:kern w:val="0"/>
          <w:szCs w:val="20"/>
          <w:lang w:val="en-US" w:eastAsia="zh-CN"/>
        </w:rPr>
        <w:t>防止事故废水进入外环境的具体对策</w:t>
      </w:r>
    </w:p>
    <w:p w14:paraId="7259788A">
      <w:pPr>
        <w:rPr>
          <w:color w:val="auto"/>
        </w:rPr>
      </w:pPr>
      <w:r>
        <w:rPr>
          <w:rFonts w:hint="eastAsia"/>
          <w:color w:val="auto"/>
          <w:lang w:val="en-US" w:eastAsia="zh-CN"/>
        </w:rPr>
        <w:t>1、防止事故废水进入外环境</w:t>
      </w:r>
      <w:r>
        <w:rPr>
          <w:color w:val="auto"/>
        </w:rPr>
        <w:t xml:space="preserve">主要分为三级防控，具体如下： </w:t>
      </w:r>
    </w:p>
    <w:p w14:paraId="25A6C3EF">
      <w:pPr>
        <w:rPr>
          <w:rFonts w:hint="eastAsia"/>
          <w:color w:val="auto"/>
          <w:lang w:eastAsia="zh-CN"/>
        </w:rPr>
      </w:pPr>
      <w:r>
        <w:rPr>
          <w:color w:val="auto"/>
        </w:rPr>
        <w:t>一级防控措施</w:t>
      </w:r>
      <w:r>
        <w:rPr>
          <w:rFonts w:hint="eastAsia"/>
          <w:color w:val="auto"/>
          <w:lang w:eastAsia="zh-CN"/>
        </w:rPr>
        <w:t>：</w:t>
      </w:r>
    </w:p>
    <w:p w14:paraId="2D0EA57A">
      <w:pPr>
        <w:rPr>
          <w:color w:val="auto"/>
        </w:rPr>
      </w:pPr>
      <w:r>
        <w:rPr>
          <w:color w:val="auto"/>
        </w:rPr>
        <w:t>一级防控措施包括危废</w:t>
      </w:r>
      <w:r>
        <w:rPr>
          <w:rFonts w:hint="eastAsia"/>
          <w:color w:val="auto"/>
          <w:lang w:val="en-US" w:eastAsia="zh-CN"/>
        </w:rPr>
        <w:t>暂存处</w:t>
      </w:r>
      <w:r>
        <w:rPr>
          <w:color w:val="auto"/>
        </w:rPr>
        <w:t>、</w:t>
      </w:r>
      <w:r>
        <w:rPr>
          <w:rFonts w:hint="eastAsia"/>
          <w:color w:val="auto"/>
          <w:lang w:val="en-US" w:eastAsia="zh-CN"/>
        </w:rPr>
        <w:t>油墨仓库、溶剂仓库、化学品存放区设围堰或缓坡</w:t>
      </w:r>
      <w:r>
        <w:rPr>
          <w:color w:val="auto"/>
        </w:rPr>
        <w:t>。</w:t>
      </w:r>
      <w:r>
        <w:rPr>
          <w:rFonts w:hint="eastAsia"/>
          <w:color w:val="auto"/>
          <w:lang w:val="en-US" w:eastAsia="zh-CN"/>
        </w:rPr>
        <w:t>少量泄漏可围堵在车间内。</w:t>
      </w:r>
      <w:r>
        <w:rPr>
          <w:color w:val="auto"/>
        </w:rPr>
        <w:t>本项目不涉及厂房外作业，不考虑初期雨水，主要截留</w:t>
      </w:r>
      <w:r>
        <w:rPr>
          <w:rFonts w:hint="eastAsia"/>
          <w:color w:val="auto"/>
          <w:lang w:val="en-US" w:eastAsia="zh-CN"/>
        </w:rPr>
        <w:t>泄漏的</w:t>
      </w:r>
      <w:r>
        <w:rPr>
          <w:color w:val="auto"/>
        </w:rPr>
        <w:t>废液以及室内消防废水。</w:t>
      </w:r>
    </w:p>
    <w:p w14:paraId="7E9B583F">
      <w:pPr>
        <w:rPr>
          <w:rFonts w:hint="eastAsia"/>
          <w:color w:val="auto"/>
          <w:lang w:eastAsia="zh-CN"/>
        </w:rPr>
      </w:pPr>
      <w:r>
        <w:rPr>
          <w:color w:val="auto"/>
        </w:rPr>
        <w:t>二级防控措施</w:t>
      </w:r>
      <w:r>
        <w:rPr>
          <w:rFonts w:hint="eastAsia"/>
          <w:color w:val="auto"/>
          <w:lang w:eastAsia="zh-CN"/>
        </w:rPr>
        <w:t>：</w:t>
      </w:r>
    </w:p>
    <w:p w14:paraId="1A1DC8CB">
      <w:pPr>
        <w:rPr>
          <w:color w:val="auto"/>
        </w:rPr>
      </w:pPr>
      <w:r>
        <w:rPr>
          <w:color w:val="auto"/>
        </w:rPr>
        <w:t>将事故应急池作为二级防控措施，起到收集全厂事故情况下消防废水、泄漏废液的作用。</w:t>
      </w:r>
    </w:p>
    <w:p w14:paraId="4CD05E74">
      <w:pPr>
        <w:rPr>
          <w:rFonts w:hint="default"/>
          <w:color w:val="auto"/>
          <w:lang w:val="en-US" w:eastAsia="zh-CN"/>
        </w:rPr>
      </w:pPr>
      <w:r>
        <w:rPr>
          <w:rFonts w:hint="eastAsia"/>
          <w:color w:val="auto"/>
          <w:lang w:val="zh-TW" w:eastAsia="zh-TW"/>
        </w:rPr>
        <w:t>三级防控措施：</w:t>
      </w:r>
      <w:r>
        <w:rPr>
          <w:color w:val="auto"/>
        </w:rPr>
        <w:t>当发生</w:t>
      </w:r>
      <w:r>
        <w:rPr>
          <w:rFonts w:hint="eastAsia"/>
          <w:color w:val="auto"/>
          <w:lang w:val="en-US" w:eastAsia="zh-CN"/>
        </w:rPr>
        <w:t>大量</w:t>
      </w:r>
      <w:r>
        <w:rPr>
          <w:color w:val="auto"/>
        </w:rPr>
        <w:t>泄漏或火灾事故时，关闭</w:t>
      </w:r>
      <w:r>
        <w:rPr>
          <w:rFonts w:hint="eastAsia"/>
          <w:color w:val="auto"/>
          <w:lang w:val="en-US" w:eastAsia="zh-CN"/>
        </w:rPr>
        <w:t>雨水截止阀门</w:t>
      </w:r>
      <w:r>
        <w:rPr>
          <w:color w:val="auto"/>
        </w:rPr>
        <w:t>，</w:t>
      </w:r>
      <w:r>
        <w:rPr>
          <w:rFonts w:hint="eastAsia"/>
          <w:color w:val="auto"/>
          <w:lang w:val="en-US" w:eastAsia="zh-CN"/>
        </w:rPr>
        <w:t>打开应急抽水泵</w:t>
      </w:r>
      <w:r>
        <w:rPr>
          <w:color w:val="auto"/>
        </w:rPr>
        <w:t>，消防废水通过管道</w:t>
      </w:r>
      <w:r>
        <w:rPr>
          <w:rFonts w:hint="eastAsia"/>
          <w:color w:val="auto"/>
          <w:lang w:val="en-US" w:eastAsia="zh-CN"/>
        </w:rPr>
        <w:t>泵进</w:t>
      </w:r>
      <w:r>
        <w:rPr>
          <w:color w:val="auto"/>
        </w:rPr>
        <w:t>事故应急池</w:t>
      </w:r>
      <w:r>
        <w:rPr>
          <w:rFonts w:hint="eastAsia"/>
          <w:color w:val="auto"/>
          <w:lang w:eastAsia="zh-CN"/>
        </w:rPr>
        <w:t>，</w:t>
      </w:r>
      <w:r>
        <w:rPr>
          <w:rFonts w:hint="eastAsia"/>
          <w:color w:val="auto"/>
          <w:lang w:val="en-US" w:eastAsia="zh-CN"/>
        </w:rPr>
        <w:t>事故停止后，委托检测单位对废水进行检测，再制定处置计划。</w:t>
      </w:r>
    </w:p>
    <w:p w14:paraId="35EE92BA">
      <w:pPr>
        <w:rPr>
          <w:rFonts w:hint="eastAsia"/>
          <w:color w:val="auto"/>
          <w:lang w:val="en-US" w:eastAsia="zh-CN"/>
        </w:rPr>
      </w:pPr>
      <w:r>
        <w:rPr>
          <w:rFonts w:hint="eastAsia"/>
          <w:color w:val="auto"/>
          <w:lang w:val="en-US" w:eastAsia="zh-CN"/>
        </w:rPr>
        <w:t>2、厂内配置足够的应急物资，沙包等堵漏物质。</w:t>
      </w:r>
    </w:p>
    <w:p w14:paraId="765277CF">
      <w:pPr>
        <w:rPr>
          <w:rFonts w:hint="eastAsia"/>
          <w:color w:val="auto"/>
          <w:lang w:val="en-US" w:eastAsia="zh-CN"/>
        </w:rPr>
      </w:pPr>
      <w:r>
        <w:rPr>
          <w:rFonts w:hint="eastAsia"/>
          <w:color w:val="auto"/>
          <w:lang w:val="en-US" w:eastAsia="zh-CN"/>
        </w:rPr>
        <w:t>3、完善与东达公司的应急联防，在极端情况下造成泄漏物、废液、消防废水外泄出厂区，应与园区进行协同控制，请求物资、人力方面的帮助。及时封堵园区雨水、污水出水口，防止泄漏物流出园区进入地表水体，</w:t>
      </w:r>
    </w:p>
    <w:p w14:paraId="2E17132D">
      <w:pPr>
        <w:rPr>
          <w:rFonts w:hint="eastAsia"/>
          <w:color w:val="auto"/>
          <w:lang w:val="en-US" w:eastAsia="zh-CN"/>
        </w:rPr>
      </w:pPr>
      <w:r>
        <w:rPr>
          <w:rFonts w:hint="eastAsia"/>
          <w:color w:val="auto"/>
          <w:lang w:val="en-US" w:eastAsia="zh-CN"/>
        </w:rPr>
        <w:t>4、定期培训，提高厂内工作人员的应急能力，出现事故可以及时处理，防止事故危害扩大。</w:t>
      </w:r>
    </w:p>
    <w:p w14:paraId="7544A7C5">
      <w:pPr>
        <w:keepNext/>
        <w:keepLines/>
        <w:ind w:firstLine="0" w:firstLineChars="0"/>
        <w:outlineLvl w:val="3"/>
        <w:rPr>
          <w:rFonts w:hint="default" w:ascii="Times New Roman" w:hAnsi="Times New Roman" w:cs="Times New Roman"/>
          <w:b/>
          <w:color w:val="auto"/>
          <w:kern w:val="0"/>
          <w:szCs w:val="20"/>
          <w:lang w:val="en-US" w:eastAsia="zh-CN"/>
        </w:rPr>
      </w:pPr>
      <w:bookmarkStart w:id="170" w:name="_Toc14010"/>
      <w:bookmarkStart w:id="171" w:name="_Toc4778"/>
      <w:r>
        <w:rPr>
          <w:rFonts w:hint="eastAsia" w:cs="Times New Roman"/>
          <w:b/>
          <w:color w:val="auto"/>
          <w:kern w:val="0"/>
          <w:szCs w:val="20"/>
          <w:lang w:eastAsia="zh-CN"/>
        </w:rPr>
        <w:t>5.</w:t>
      </w:r>
      <w:r>
        <w:rPr>
          <w:rFonts w:hint="eastAsia" w:ascii="Times New Roman" w:hAnsi="Times New Roman" w:cs="Times New Roman"/>
          <w:b/>
          <w:color w:val="auto"/>
          <w:kern w:val="0"/>
          <w:szCs w:val="20"/>
          <w:lang w:eastAsia="zh-CN"/>
        </w:rPr>
        <w:t>7.6</w:t>
      </w:r>
      <w:r>
        <w:rPr>
          <w:rFonts w:hint="default" w:ascii="Times New Roman" w:hAnsi="Times New Roman" w:cs="Times New Roman"/>
          <w:b/>
          <w:color w:val="auto"/>
          <w:kern w:val="0"/>
          <w:szCs w:val="20"/>
        </w:rPr>
        <w:t>.</w:t>
      </w:r>
      <w:r>
        <w:rPr>
          <w:rFonts w:hint="eastAsia" w:ascii="Times New Roman" w:hAnsi="Times New Roman" w:cs="Times New Roman"/>
          <w:b/>
          <w:color w:val="auto"/>
          <w:kern w:val="0"/>
          <w:szCs w:val="20"/>
          <w:lang w:val="en-US" w:eastAsia="zh-CN"/>
        </w:rPr>
        <w:t>8</w:t>
      </w:r>
      <w:r>
        <w:rPr>
          <w:rFonts w:hint="default" w:ascii="Times New Roman" w:hAnsi="Times New Roman" w:cs="Times New Roman"/>
          <w:b/>
          <w:color w:val="auto"/>
          <w:kern w:val="0"/>
          <w:szCs w:val="20"/>
          <w:lang w:val="en-US" w:eastAsia="zh-CN"/>
        </w:rPr>
        <w:t>地下水风险防范措施</w:t>
      </w:r>
      <w:bookmarkEnd w:id="170"/>
      <w:bookmarkEnd w:id="171"/>
    </w:p>
    <w:p w14:paraId="5A0B7D28">
      <w:pPr>
        <w:bidi w:val="0"/>
        <w:rPr>
          <w:rFonts w:hint="default"/>
          <w:color w:val="auto"/>
          <w:lang w:val="en-US" w:eastAsia="zh-CN"/>
        </w:rPr>
      </w:pPr>
      <w:r>
        <w:rPr>
          <w:rFonts w:hint="default"/>
          <w:color w:val="auto"/>
          <w:lang w:val="en-US" w:eastAsia="zh-CN"/>
        </w:rPr>
        <w:t>地下水风险防范措施应终点采取源头控制和分区防渗措施，由于</w:t>
      </w:r>
      <w:r>
        <w:rPr>
          <w:rFonts w:hint="eastAsia"/>
          <w:color w:val="auto"/>
          <w:lang w:val="en-US" w:eastAsia="zh-CN"/>
        </w:rPr>
        <w:t>易制爆和易制毒仓库</w:t>
      </w:r>
      <w:r>
        <w:rPr>
          <w:rFonts w:hint="default"/>
          <w:color w:val="auto"/>
          <w:lang w:val="en-US" w:eastAsia="zh-CN"/>
        </w:rPr>
        <w:t>液体有毒物料存放量较多，事故应急池和初期雨水收集池均收集、暂存含有一定浓度污染物的水体，因此将上述区域划为重点防渗区。</w:t>
      </w:r>
    </w:p>
    <w:p w14:paraId="4059BA56">
      <w:pPr>
        <w:bidi w:val="0"/>
        <w:rPr>
          <w:rFonts w:hint="default"/>
          <w:color w:val="auto"/>
        </w:rPr>
      </w:pPr>
      <w:r>
        <w:rPr>
          <w:rFonts w:hint="default"/>
          <w:color w:val="auto"/>
          <w:lang w:val="en-US" w:eastAsia="zh-CN"/>
        </w:rPr>
        <w:t>为将突发环境事故对地下水环境可能产生的影响降至最低，在发生环境污染事件时，首先应尽快对地表的污染物进行收集和处理，修缮发生污染的设施和防渗结构，其次对已经渗入地下的污染物，在有效控制污染物影响范围的前提下，进行应急处理。</w:t>
      </w:r>
    </w:p>
    <w:p w14:paraId="164E9DE4">
      <w:pPr>
        <w:pStyle w:val="64"/>
        <w:numPr>
          <w:ilvl w:val="2"/>
          <w:numId w:val="8"/>
        </w:numPr>
        <w:spacing w:before="166" w:after="166"/>
        <w:ind w:left="709" w:leftChars="0" w:hanging="709"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评价小结</w:t>
      </w:r>
    </w:p>
    <w:p w14:paraId="47832366">
      <w:pPr>
        <w:ind w:firstLine="480"/>
        <w:rPr>
          <w:color w:val="auto"/>
        </w:rPr>
      </w:pPr>
      <w:r>
        <w:rPr>
          <w:color w:val="auto"/>
        </w:rPr>
        <w:t>项目建成投产后，应组织编制应急预案，成立应急组织体系，配备相应急物资，定期开展应急演练和员工应急培训，以提高企业应对突发环境事故的能力。</w:t>
      </w:r>
      <w:r>
        <w:rPr>
          <w:rFonts w:hint="eastAsia"/>
          <w:color w:val="auto"/>
        </w:rPr>
        <w:t>项目在落实相应风险防范和控制措施的情况下，总体环境风险可控。</w:t>
      </w:r>
    </w:p>
    <w:p w14:paraId="6D16018D">
      <w:pPr>
        <w:pStyle w:val="64"/>
        <w:numPr>
          <w:ilvl w:val="2"/>
          <w:numId w:val="8"/>
        </w:numPr>
        <w:spacing w:before="166" w:after="166"/>
        <w:ind w:left="709" w:leftChars="0" w:hanging="709"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环境风险评价自查表</w:t>
      </w:r>
    </w:p>
    <w:tbl>
      <w:tblPr>
        <w:tblStyle w:val="3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56"/>
        <w:gridCol w:w="1122"/>
        <w:gridCol w:w="1844"/>
        <w:gridCol w:w="1070"/>
        <w:gridCol w:w="1093"/>
        <w:gridCol w:w="1301"/>
      </w:tblGrid>
      <w:tr w14:paraId="7585A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06A3">
            <w:pPr>
              <w:pStyle w:val="59"/>
              <w:bidi w:val="0"/>
            </w:pPr>
            <w:r>
              <w:rPr>
                <w:lang w:val="en-US" w:eastAsia="zh-CN"/>
              </w:rPr>
              <w:t>建设项目名称</w:t>
            </w:r>
          </w:p>
        </w:tc>
        <w:tc>
          <w:tcPr>
            <w:tcW w:w="339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FA8238D">
            <w:pPr>
              <w:pStyle w:val="59"/>
              <w:bidi w:val="0"/>
              <w:rPr>
                <w:rFonts w:hint="eastAsia"/>
              </w:rPr>
            </w:pPr>
            <w:r>
              <w:rPr>
                <w:rFonts w:hint="eastAsia"/>
                <w:color w:val="auto"/>
                <w:lang w:eastAsia="zh-CN"/>
              </w:rPr>
              <w:t>鹤山市衍鹏印刷有限公司年产450吨包装卷膜新建项目</w:t>
            </w:r>
          </w:p>
        </w:tc>
      </w:tr>
      <w:tr w14:paraId="49C7E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30792">
            <w:pPr>
              <w:pStyle w:val="59"/>
              <w:bidi w:val="0"/>
            </w:pPr>
            <w:r>
              <w:rPr>
                <w:lang w:val="en-US" w:eastAsia="zh-CN"/>
              </w:rPr>
              <w:t>建设地点</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E4E9E">
            <w:pPr>
              <w:pStyle w:val="59"/>
              <w:bidi w:val="0"/>
            </w:pPr>
            <w:r>
              <w:rPr>
                <w:rFonts w:hint="eastAsia"/>
                <w:lang w:val="en-US" w:eastAsia="zh-CN"/>
              </w:rPr>
              <w:t>广东省</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5EE1">
            <w:pPr>
              <w:pStyle w:val="59"/>
              <w:bidi w:val="0"/>
            </w:pPr>
            <w:r>
              <w:rPr>
                <w:rFonts w:hint="eastAsia"/>
                <w:lang w:val="en-US" w:eastAsia="zh-CN"/>
              </w:rPr>
              <w:t>江门市</w:t>
            </w:r>
          </w:p>
        </w:tc>
        <w:tc>
          <w:tcPr>
            <w:tcW w:w="6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5D0D">
            <w:pPr>
              <w:pStyle w:val="59"/>
              <w:bidi w:val="0"/>
            </w:pPr>
            <w:r>
              <w:rPr>
                <w:rFonts w:hint="eastAsia"/>
                <w:lang w:val="en-US" w:eastAsia="zh-CN"/>
              </w:rPr>
              <w:t>鹤山市</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E8DB">
            <w:pPr>
              <w:pStyle w:val="59"/>
              <w:bidi w:val="0"/>
            </w:pPr>
            <w:r>
              <w:rPr>
                <w:rFonts w:hint="eastAsia"/>
                <w:color w:val="auto"/>
                <w:lang w:eastAsia="zh-CN"/>
              </w:rPr>
              <w:t>古劳镇三连工业区</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FD9B3">
            <w:pPr>
              <w:pStyle w:val="59"/>
              <w:bidi w:val="0"/>
            </w:pPr>
          </w:p>
        </w:tc>
      </w:tr>
      <w:tr w14:paraId="066DC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920DD">
            <w:pPr>
              <w:pStyle w:val="59"/>
              <w:bidi w:val="0"/>
            </w:pPr>
            <w:r>
              <w:rPr>
                <w:lang w:val="en-US" w:eastAsia="zh-CN"/>
              </w:rPr>
              <w:t>地理坐标</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80573">
            <w:pPr>
              <w:pStyle w:val="59"/>
              <w:bidi w:val="0"/>
            </w:pPr>
            <w:r>
              <w:rPr>
                <w:lang w:val="en-US" w:eastAsia="zh-CN"/>
              </w:rPr>
              <w:t>经度</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top"/>
          </w:tcPr>
          <w:p w14:paraId="16B90755">
            <w:pPr>
              <w:pStyle w:val="59"/>
              <w:bidi w:val="0"/>
              <w:rPr>
                <w:rFonts w:hint="default"/>
              </w:rPr>
            </w:pPr>
            <w:r>
              <w:rPr>
                <w:rFonts w:hint="eastAsia"/>
                <w:color w:val="auto"/>
              </w:rPr>
              <w:t>112°56′9.500″</w:t>
            </w:r>
          </w:p>
        </w:tc>
        <w:tc>
          <w:tcPr>
            <w:tcW w:w="6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CA705">
            <w:pPr>
              <w:pStyle w:val="59"/>
              <w:bidi w:val="0"/>
            </w:pPr>
            <w:r>
              <w:rPr>
                <w:lang w:val="en-US" w:eastAsia="zh-CN"/>
              </w:rPr>
              <w:t>纬度</w:t>
            </w:r>
          </w:p>
        </w:tc>
        <w:tc>
          <w:tcPr>
            <w:tcW w:w="1415"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A6CAF45">
            <w:pPr>
              <w:pStyle w:val="59"/>
              <w:bidi w:val="0"/>
              <w:rPr>
                <w:rFonts w:hint="default"/>
              </w:rPr>
            </w:pPr>
            <w:r>
              <w:rPr>
                <w:rFonts w:hint="eastAsia"/>
                <w:color w:val="auto"/>
              </w:rPr>
              <w:t>22°47′23.382″</w:t>
            </w:r>
          </w:p>
        </w:tc>
      </w:tr>
      <w:tr w14:paraId="2A9C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1861B">
            <w:pPr>
              <w:pStyle w:val="59"/>
              <w:bidi w:val="0"/>
            </w:pPr>
            <w:r>
              <w:rPr>
                <w:lang w:val="en-US" w:eastAsia="zh-CN"/>
              </w:rPr>
              <w:t>主要危险物质及分布</w:t>
            </w:r>
          </w:p>
        </w:tc>
        <w:tc>
          <w:tcPr>
            <w:tcW w:w="339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84EAB82">
            <w:pPr>
              <w:pStyle w:val="59"/>
              <w:bidi w:val="0"/>
              <w:rPr>
                <w:rFonts w:hint="default" w:eastAsia="宋体"/>
                <w:lang w:val="en-US" w:eastAsia="zh-CN"/>
              </w:rPr>
            </w:pPr>
            <w:r>
              <w:rPr>
                <w:rFonts w:hint="eastAsia"/>
                <w:lang w:val="en-US" w:eastAsia="zh-CN"/>
              </w:rPr>
              <w:t>乙酸乙酯、异丙醇分布在印刷车间、溶剂仓库、油墨仓库；天然气分布在天然气管道；油类物质分布在车间</w:t>
            </w:r>
          </w:p>
        </w:tc>
      </w:tr>
      <w:tr w14:paraId="229BB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603" w:type="pct"/>
            <w:tcBorders>
              <w:top w:val="single" w:color="000000" w:sz="4" w:space="0"/>
              <w:left w:val="single" w:color="000000" w:sz="4" w:space="0"/>
              <w:bottom w:val="single" w:color="000000" w:sz="4" w:space="0"/>
              <w:right w:val="single" w:color="000000" w:sz="4" w:space="0"/>
            </w:tcBorders>
            <w:shd w:val="clear" w:color="auto" w:fill="auto"/>
            <w:vAlign w:val="top"/>
          </w:tcPr>
          <w:p w14:paraId="5B6932B1">
            <w:pPr>
              <w:pStyle w:val="59"/>
              <w:bidi w:val="0"/>
            </w:pPr>
            <w:r>
              <w:rPr>
                <w:lang w:val="en-US" w:eastAsia="zh-CN"/>
              </w:rPr>
              <w:t>环境影响途径及危害后果</w:t>
            </w:r>
            <w:r>
              <w:rPr>
                <w:lang w:val="en-US" w:eastAsia="zh-CN"/>
              </w:rPr>
              <w:br w:type="textWrapping"/>
            </w:r>
            <w:r>
              <w:rPr>
                <w:lang w:val="en-US" w:eastAsia="zh-CN"/>
              </w:rPr>
              <w:t>(大气、地表水、地下水等)</w:t>
            </w:r>
          </w:p>
        </w:tc>
        <w:tc>
          <w:tcPr>
            <w:tcW w:w="339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14CD3FE5">
            <w:pPr>
              <w:pStyle w:val="59"/>
              <w:bidi w:val="0"/>
              <w:rPr>
                <w:rFonts w:hint="default" w:eastAsia="宋体"/>
                <w:lang w:val="en-US" w:eastAsia="zh-CN"/>
              </w:rPr>
            </w:pPr>
            <w:r>
              <w:rPr>
                <w:rFonts w:hint="eastAsia"/>
                <w:lang w:val="en-US" w:eastAsia="zh-CN"/>
              </w:rPr>
              <w:t>泄漏，引发火灾爆炸此生事故</w:t>
            </w:r>
          </w:p>
        </w:tc>
      </w:tr>
      <w:tr w14:paraId="09F6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1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E6515">
            <w:pPr>
              <w:pStyle w:val="59"/>
              <w:bidi w:val="0"/>
            </w:pPr>
            <w:r>
              <w:rPr>
                <w:lang w:val="en-US" w:eastAsia="zh-CN"/>
              </w:rPr>
              <w:t>风险防范措施要求</w:t>
            </w:r>
          </w:p>
        </w:tc>
        <w:tc>
          <w:tcPr>
            <w:tcW w:w="339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15B1D2A6">
            <w:pPr>
              <w:pStyle w:val="59"/>
              <w:bidi w:val="0"/>
              <w:jc w:val="both"/>
              <w:rPr>
                <w:rFonts w:hint="default"/>
              </w:rPr>
            </w:pPr>
            <w:r>
              <w:rPr>
                <w:rFonts w:hint="default" w:ascii="Times New Roman" w:hAnsi="Times New Roman" w:eastAsia="宋体" w:cs="Times New Roman"/>
                <w:lang w:val="en-US" w:eastAsia="zh-CN"/>
              </w:rPr>
              <w:t>制订并落实有效的环境风险防范措施和应急预案，建立健全环境事故应急体系。加强污染防治设施的管理和维护，设置有效的雨水管道隔离闸，保证各类事故性排水得到收集和妥善处理，不排入外环境。加强事故应急演练，防止环境污染事故，确保环境安全。</w:t>
            </w:r>
          </w:p>
        </w:tc>
      </w:tr>
      <w:tr w14:paraId="4336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5"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2F923AEF">
            <w:pPr>
              <w:pStyle w:val="59"/>
              <w:bidi w:val="0"/>
              <w:jc w:val="left"/>
            </w:pPr>
            <w:r>
              <w:rPr>
                <w:lang w:val="en-US" w:eastAsia="zh-CN"/>
              </w:rPr>
              <w:t>填表说明(列出项目相关信息及评价说明):</w:t>
            </w:r>
          </w:p>
        </w:tc>
      </w:tr>
    </w:tbl>
    <w:p w14:paraId="45616378">
      <w:pPr>
        <w:rPr>
          <w:rFonts w:hint="eastAsia"/>
          <w:lang w:val="en-US" w:eastAsia="zh-CN"/>
        </w:rPr>
      </w:pPr>
    </w:p>
    <w:p w14:paraId="4D11AFF1">
      <w:pPr>
        <w:pStyle w:val="66"/>
        <w:numPr>
          <w:ilvl w:val="0"/>
          <w:numId w:val="8"/>
        </w:numPr>
        <w:bidi w:val="0"/>
        <w:rPr>
          <w:rFonts w:hint="eastAsia" w:ascii="Times New Roman" w:hAnsi="Times New Roman" w:eastAsia="宋体" w:cs="Times New Roman"/>
          <w:color w:val="auto"/>
        </w:rPr>
        <w:sectPr>
          <w:pgSz w:w="11906" w:h="16838"/>
          <w:pgMar w:top="1417" w:right="1417" w:bottom="1417" w:left="1417" w:header="851" w:footer="992" w:gutter="0"/>
          <w:pgNumType w:fmt="decimal"/>
          <w:cols w:space="720" w:num="1"/>
          <w:docGrid w:type="lines" w:linePitch="333" w:charSpace="0"/>
        </w:sectPr>
      </w:pPr>
      <w:bookmarkStart w:id="172" w:name="_Toc370171692"/>
    </w:p>
    <w:p w14:paraId="54E96E0D">
      <w:pPr>
        <w:pStyle w:val="66"/>
        <w:numPr>
          <w:ilvl w:val="0"/>
          <w:numId w:val="8"/>
        </w:numPr>
        <w:bidi w:val="0"/>
        <w:rPr>
          <w:rFonts w:hint="eastAsia" w:ascii="Times New Roman" w:hAnsi="Times New Roman" w:eastAsia="宋体" w:cs="Times New Roman"/>
          <w:color w:val="auto"/>
        </w:rPr>
      </w:pPr>
      <w:r>
        <w:rPr>
          <w:rFonts w:hint="eastAsia"/>
          <w:color w:val="auto"/>
        </w:rPr>
        <w:t xml:space="preserve"> </w:t>
      </w:r>
      <w:bookmarkStart w:id="173" w:name="_Toc4311"/>
      <w:r>
        <w:rPr>
          <w:rFonts w:hint="eastAsia" w:ascii="Times New Roman" w:hAnsi="Times New Roman" w:eastAsia="宋体" w:cs="Times New Roman"/>
          <w:color w:val="auto"/>
        </w:rPr>
        <w:t>环境保护措施及可行性论证</w:t>
      </w:r>
      <w:bookmarkEnd w:id="172"/>
      <w:bookmarkEnd w:id="173"/>
    </w:p>
    <w:p w14:paraId="5B561B56">
      <w:pPr>
        <w:pStyle w:val="67"/>
        <w:numPr>
          <w:ilvl w:val="1"/>
          <w:numId w:val="8"/>
        </w:numPr>
        <w:spacing w:before="166" w:beforeLines="0" w:after="166" w:afterLines="0"/>
        <w:ind w:left="567" w:leftChars="0" w:hanging="567" w:firstLineChars="0"/>
        <w:rPr>
          <w:rFonts w:hint="eastAsia"/>
          <w:color w:val="auto"/>
        </w:rPr>
      </w:pPr>
      <w:bookmarkStart w:id="174" w:name="_Toc370171693"/>
      <w:bookmarkStart w:id="175" w:name="_Toc284354559"/>
      <w:bookmarkStart w:id="176" w:name="_Toc8984"/>
      <w:bookmarkStart w:id="177" w:name="_Toc288161332"/>
      <w:r>
        <w:rPr>
          <w:rFonts w:hint="eastAsia"/>
          <w:color w:val="auto"/>
        </w:rPr>
        <w:t>水污染防治措施及可行性分析</w:t>
      </w:r>
      <w:bookmarkEnd w:id="174"/>
      <w:bookmarkEnd w:id="175"/>
      <w:bookmarkEnd w:id="176"/>
      <w:bookmarkEnd w:id="177"/>
    </w:p>
    <w:p w14:paraId="006C3917">
      <w:pPr>
        <w:pStyle w:val="64"/>
        <w:numPr>
          <w:ilvl w:val="2"/>
          <w:numId w:val="8"/>
        </w:numPr>
        <w:spacing w:before="166" w:after="166"/>
        <w:ind w:left="709" w:leftChars="0" w:hanging="709" w:firstLineChars="0"/>
        <w:rPr>
          <w:rFonts w:hint="eastAsia"/>
          <w:color w:val="auto"/>
          <w:lang w:val="en-US" w:eastAsia="zh-CN"/>
        </w:rPr>
      </w:pPr>
      <w:r>
        <w:rPr>
          <w:rFonts w:hint="eastAsia"/>
          <w:color w:val="auto"/>
          <w:lang w:val="en-US" w:eastAsia="zh-CN"/>
        </w:rPr>
        <w:t>生活污水预处理措施</w:t>
      </w:r>
    </w:p>
    <w:p w14:paraId="65814F7E">
      <w:pPr>
        <w:ind w:firstLine="480"/>
        <w:rPr>
          <w:color w:val="auto"/>
        </w:rPr>
      </w:pPr>
      <w:r>
        <w:rPr>
          <w:rFonts w:hint="eastAsia"/>
          <w:color w:val="auto"/>
        </w:rPr>
        <w:t>生活污水经三级化粪池预处理后经市政污水管网排入</w:t>
      </w:r>
      <w:r>
        <w:rPr>
          <w:rFonts w:hint="eastAsia"/>
          <w:color w:val="auto"/>
          <w:lang w:eastAsia="zh-CN"/>
        </w:rPr>
        <w:t>鹤山市第二污水处理厂</w:t>
      </w:r>
      <w:r>
        <w:rPr>
          <w:rFonts w:hint="eastAsia"/>
          <w:color w:val="auto"/>
        </w:rPr>
        <w:t>进一步处理。</w:t>
      </w:r>
    </w:p>
    <w:p w14:paraId="0862C387">
      <w:pPr>
        <w:ind w:firstLine="480"/>
        <w:rPr>
          <w:color w:val="auto"/>
        </w:rPr>
      </w:pPr>
      <w:r>
        <w:rPr>
          <w:rFonts w:hint="eastAsia"/>
          <w:color w:val="auto"/>
        </w:rPr>
        <w:t>新鲜粪便由进粪口进入第一池，池内粪便开始发酵分解、因比重不同粪液可自然分为三层，上层为糊状粪皮，下层为块状或颗状粪渣，中层为比较澄清的粪液。在上层粪皮和下层粪渣中含细菌和寄生虫卵最多，中层含虫卵最少，初步发酵的中层粪液经过粪管溢流至第二池，而将大部分未经充分发酵的粪皮和粪渣阻留在第一池内继续发酵。流入第二池的粪液进一步发酵分解，虫卵继续下沉，病原体逐渐死亡，粪液得到进一步无害化，产生的粪皮和粪渣厚度比第一池显著减少。流入第三池的粪液一般已经腐熟，其中病菌和寄生虫卵已基本杀灭。第三池功能主要起储存已基本无害化的粪液作用。</w:t>
      </w:r>
    </w:p>
    <w:p w14:paraId="65B2A0BF">
      <w:pPr>
        <w:ind w:firstLine="480"/>
        <w:rPr>
          <w:rFonts w:hint="eastAsia"/>
          <w:color w:val="auto"/>
        </w:rPr>
        <w:sectPr>
          <w:pgSz w:w="11906" w:h="16838"/>
          <w:pgMar w:top="1417" w:right="1417" w:bottom="1417" w:left="1417" w:header="851" w:footer="992" w:gutter="0"/>
          <w:pgNumType w:fmt="decimal"/>
          <w:cols w:space="720" w:num="1"/>
          <w:docGrid w:type="lines" w:linePitch="333" w:charSpace="0"/>
        </w:sectPr>
      </w:pPr>
      <w:r>
        <w:rPr>
          <w:rFonts w:hint="eastAsia"/>
          <w:color w:val="auto"/>
        </w:rPr>
        <w:t>三级化粪池对</w:t>
      </w:r>
      <w:r>
        <w:rPr>
          <w:color w:val="auto"/>
        </w:rPr>
        <w:t>COD</w:t>
      </w:r>
      <w:r>
        <w:rPr>
          <w:rFonts w:hint="eastAsia"/>
          <w:color w:val="auto"/>
        </w:rPr>
        <w:t>、</w:t>
      </w:r>
      <w:r>
        <w:rPr>
          <w:color w:val="auto"/>
        </w:rPr>
        <w:t>BOD</w:t>
      </w:r>
      <w:r>
        <w:rPr>
          <w:color w:val="auto"/>
          <w:vertAlign w:val="subscript"/>
        </w:rPr>
        <w:t>5</w:t>
      </w:r>
      <w:r>
        <w:rPr>
          <w:rFonts w:hint="eastAsia"/>
          <w:color w:val="auto"/>
        </w:rPr>
        <w:t>、氨氮、</w:t>
      </w:r>
      <w:r>
        <w:rPr>
          <w:color w:val="auto"/>
        </w:rPr>
        <w:t>SS</w:t>
      </w:r>
      <w:r>
        <w:rPr>
          <w:rFonts w:hint="eastAsia"/>
          <w:color w:val="auto"/>
        </w:rPr>
        <w:t>的去除率一般为15%、9%、3%、30%。经预测，生活污水经化粪池预处理后能达到广东省地方标准《水污染物排放限值》（DB44/26-2001）中第二时段三级标准</w:t>
      </w:r>
      <w:r>
        <w:rPr>
          <w:rFonts w:hint="eastAsia"/>
          <w:color w:val="auto"/>
          <w:lang w:eastAsia="zh-CN"/>
        </w:rPr>
        <w:t>和鹤山市第二污水处理厂设计进水水质要求的较严者</w:t>
      </w:r>
      <w:r>
        <w:rPr>
          <w:rFonts w:hint="eastAsia"/>
          <w:color w:val="auto"/>
        </w:rPr>
        <w:t>。</w:t>
      </w:r>
    </w:p>
    <w:p w14:paraId="3D3ABD2B">
      <w:pPr>
        <w:pStyle w:val="64"/>
        <w:numPr>
          <w:ilvl w:val="2"/>
          <w:numId w:val="8"/>
        </w:numPr>
        <w:bidi w:val="0"/>
        <w:ind w:left="709" w:leftChars="0" w:hanging="709" w:firstLineChars="0"/>
        <w:rPr>
          <w:rFonts w:hint="eastAsia"/>
          <w:color w:val="auto"/>
        </w:rPr>
      </w:pPr>
      <w:r>
        <w:rPr>
          <w:rFonts w:hint="eastAsia"/>
          <w:color w:val="auto"/>
        </w:rPr>
        <w:t>废水类别、污染物及污染治理设施信息表</w:t>
      </w:r>
    </w:p>
    <w:p w14:paraId="00DD352D">
      <w:pPr>
        <w:ind w:firstLine="482"/>
        <w:jc w:val="center"/>
        <w:rPr>
          <w:b/>
          <w:bCs/>
          <w:color w:val="auto"/>
        </w:rPr>
      </w:pPr>
      <w:r>
        <w:rPr>
          <w:rFonts w:hint="eastAsia"/>
          <w:b/>
          <w:bCs/>
          <w:color w:val="auto"/>
        </w:rPr>
        <w:t>表</w:t>
      </w:r>
      <w:r>
        <w:rPr>
          <w:rFonts w:hint="eastAsia"/>
          <w:b/>
          <w:bCs/>
          <w:color w:val="auto"/>
          <w:lang w:val="en-US" w:eastAsia="zh-CN"/>
        </w:rPr>
        <w:t>5.1-1</w:t>
      </w:r>
      <w:r>
        <w:rPr>
          <w:rFonts w:hint="eastAsia"/>
          <w:b/>
          <w:bCs/>
          <w:color w:val="auto"/>
        </w:rPr>
        <w:t xml:space="preserve">  废水类别、污染物及污染治理设施信息表</w:t>
      </w:r>
    </w:p>
    <w:tbl>
      <w:tblPr>
        <w:tblStyle w:val="3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883"/>
        <w:gridCol w:w="1144"/>
        <w:gridCol w:w="1578"/>
        <w:gridCol w:w="1634"/>
        <w:gridCol w:w="1077"/>
        <w:gridCol w:w="1282"/>
        <w:gridCol w:w="1496"/>
        <w:gridCol w:w="2036"/>
        <w:gridCol w:w="1021"/>
        <w:gridCol w:w="914"/>
        <w:gridCol w:w="987"/>
      </w:tblGrid>
      <w:tr w14:paraId="47F275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4" w:type="pct"/>
            <w:vMerge w:val="restart"/>
            <w:noWrap w:val="0"/>
            <w:vAlign w:val="center"/>
          </w:tcPr>
          <w:p w14:paraId="07346FE6">
            <w:pPr>
              <w:pStyle w:val="59"/>
              <w:rPr>
                <w:color w:val="auto"/>
                <w:lang w:val="en-US" w:eastAsia="zh-CN"/>
              </w:rPr>
            </w:pPr>
            <w:r>
              <w:rPr>
                <w:rFonts w:hint="eastAsia"/>
                <w:color w:val="auto"/>
                <w:lang w:val="en-US" w:eastAsia="zh-CN"/>
              </w:rPr>
              <w:t>序号</w:t>
            </w:r>
          </w:p>
        </w:tc>
        <w:tc>
          <w:tcPr>
            <w:tcW w:w="407" w:type="pct"/>
            <w:vMerge w:val="restart"/>
            <w:noWrap w:val="0"/>
            <w:vAlign w:val="center"/>
          </w:tcPr>
          <w:p w14:paraId="3A9583EF">
            <w:pPr>
              <w:pStyle w:val="59"/>
              <w:rPr>
                <w:color w:val="auto"/>
                <w:lang w:val="en-US" w:eastAsia="zh-CN"/>
              </w:rPr>
            </w:pPr>
            <w:r>
              <w:rPr>
                <w:rFonts w:hint="eastAsia"/>
                <w:color w:val="auto"/>
                <w:lang w:val="en-US" w:eastAsia="zh-CN"/>
              </w:rPr>
              <w:t>废水类别</w:t>
            </w:r>
          </w:p>
        </w:tc>
        <w:tc>
          <w:tcPr>
            <w:tcW w:w="561" w:type="pct"/>
            <w:vMerge w:val="restart"/>
            <w:noWrap w:val="0"/>
            <w:vAlign w:val="center"/>
          </w:tcPr>
          <w:p w14:paraId="152AB144">
            <w:pPr>
              <w:pStyle w:val="59"/>
              <w:rPr>
                <w:color w:val="auto"/>
                <w:lang w:val="en-US" w:eastAsia="zh-CN"/>
              </w:rPr>
            </w:pPr>
            <w:r>
              <w:rPr>
                <w:rFonts w:hint="eastAsia"/>
                <w:color w:val="auto"/>
                <w:lang w:val="en-US" w:eastAsia="zh-CN"/>
              </w:rPr>
              <w:t>污染物种类</w:t>
            </w:r>
          </w:p>
        </w:tc>
        <w:tc>
          <w:tcPr>
            <w:tcW w:w="581" w:type="pct"/>
            <w:vMerge w:val="restart"/>
            <w:noWrap w:val="0"/>
            <w:vAlign w:val="center"/>
          </w:tcPr>
          <w:p w14:paraId="5EB1C1B4">
            <w:pPr>
              <w:pStyle w:val="59"/>
              <w:rPr>
                <w:color w:val="auto"/>
                <w:lang w:val="en-US" w:eastAsia="zh-CN"/>
              </w:rPr>
            </w:pPr>
            <w:r>
              <w:rPr>
                <w:rFonts w:hint="eastAsia"/>
                <w:color w:val="auto"/>
                <w:lang w:val="en-US" w:eastAsia="zh-CN"/>
              </w:rPr>
              <w:t>排放去向</w:t>
            </w:r>
          </w:p>
        </w:tc>
        <w:tc>
          <w:tcPr>
            <w:tcW w:w="383" w:type="pct"/>
            <w:vMerge w:val="restart"/>
            <w:noWrap w:val="0"/>
            <w:vAlign w:val="center"/>
          </w:tcPr>
          <w:p w14:paraId="3BCCF7B5">
            <w:pPr>
              <w:pStyle w:val="59"/>
              <w:rPr>
                <w:color w:val="auto"/>
                <w:lang w:val="en-US" w:eastAsia="zh-CN"/>
              </w:rPr>
            </w:pPr>
            <w:r>
              <w:rPr>
                <w:rFonts w:hint="eastAsia"/>
                <w:color w:val="auto"/>
                <w:lang w:val="en-US" w:eastAsia="zh-CN"/>
              </w:rPr>
              <w:t>排放规律</w:t>
            </w:r>
          </w:p>
        </w:tc>
        <w:tc>
          <w:tcPr>
            <w:tcW w:w="1712" w:type="pct"/>
            <w:gridSpan w:val="3"/>
            <w:noWrap w:val="0"/>
            <w:vAlign w:val="center"/>
          </w:tcPr>
          <w:p w14:paraId="5526E77F">
            <w:pPr>
              <w:pStyle w:val="59"/>
              <w:rPr>
                <w:color w:val="auto"/>
                <w:lang w:val="en-US" w:eastAsia="zh-CN"/>
              </w:rPr>
            </w:pPr>
            <w:r>
              <w:rPr>
                <w:rFonts w:hint="eastAsia"/>
                <w:color w:val="auto"/>
                <w:lang w:val="en-US" w:eastAsia="zh-CN"/>
              </w:rPr>
              <w:t>污染防治设施</w:t>
            </w:r>
          </w:p>
        </w:tc>
        <w:tc>
          <w:tcPr>
            <w:tcW w:w="363" w:type="pct"/>
            <w:vMerge w:val="restart"/>
            <w:noWrap w:val="0"/>
            <w:vAlign w:val="center"/>
          </w:tcPr>
          <w:p w14:paraId="3DB02193">
            <w:pPr>
              <w:pStyle w:val="59"/>
              <w:rPr>
                <w:color w:val="auto"/>
                <w:lang w:val="en-US" w:eastAsia="zh-CN"/>
              </w:rPr>
            </w:pPr>
            <w:r>
              <w:rPr>
                <w:rFonts w:hint="eastAsia"/>
                <w:color w:val="auto"/>
                <w:lang w:val="en-US" w:eastAsia="zh-CN"/>
              </w:rPr>
              <w:t>排放口</w:t>
            </w:r>
          </w:p>
          <w:p w14:paraId="588B18BD">
            <w:pPr>
              <w:pStyle w:val="59"/>
              <w:rPr>
                <w:color w:val="auto"/>
                <w:lang w:val="en-US" w:eastAsia="zh-CN"/>
              </w:rPr>
            </w:pPr>
            <w:r>
              <w:rPr>
                <w:rFonts w:hint="eastAsia"/>
                <w:color w:val="auto"/>
                <w:lang w:val="en-US" w:eastAsia="zh-CN"/>
              </w:rPr>
              <w:t>编号</w:t>
            </w:r>
          </w:p>
        </w:tc>
        <w:tc>
          <w:tcPr>
            <w:tcW w:w="325" w:type="pct"/>
            <w:vMerge w:val="restart"/>
            <w:noWrap w:val="0"/>
            <w:vAlign w:val="center"/>
          </w:tcPr>
          <w:p w14:paraId="4CBA149A">
            <w:pPr>
              <w:pStyle w:val="59"/>
              <w:rPr>
                <w:color w:val="auto"/>
                <w:lang w:val="en-US" w:eastAsia="zh-CN"/>
              </w:rPr>
            </w:pPr>
            <w:r>
              <w:rPr>
                <w:rFonts w:hint="eastAsia"/>
                <w:color w:val="auto"/>
                <w:lang w:val="en-US" w:eastAsia="zh-CN"/>
              </w:rPr>
              <w:t>排放口设置是否符合要求</w:t>
            </w:r>
          </w:p>
        </w:tc>
        <w:tc>
          <w:tcPr>
            <w:tcW w:w="351" w:type="pct"/>
            <w:vMerge w:val="restart"/>
            <w:noWrap w:val="0"/>
            <w:vAlign w:val="center"/>
          </w:tcPr>
          <w:p w14:paraId="6F2A3DE4">
            <w:pPr>
              <w:pStyle w:val="59"/>
              <w:rPr>
                <w:color w:val="auto"/>
                <w:lang w:val="en-US" w:eastAsia="zh-CN"/>
              </w:rPr>
            </w:pPr>
            <w:r>
              <w:rPr>
                <w:rFonts w:hint="eastAsia"/>
                <w:color w:val="auto"/>
                <w:lang w:val="en-US" w:eastAsia="zh-CN"/>
              </w:rPr>
              <w:t>排放方式</w:t>
            </w:r>
          </w:p>
        </w:tc>
      </w:tr>
      <w:tr w14:paraId="77613C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4" w:type="pct"/>
            <w:vMerge w:val="continue"/>
            <w:noWrap w:val="0"/>
            <w:vAlign w:val="center"/>
          </w:tcPr>
          <w:p w14:paraId="4CAD8213">
            <w:pPr>
              <w:pStyle w:val="59"/>
              <w:rPr>
                <w:color w:val="auto"/>
                <w:lang w:val="en-US" w:eastAsia="zh-CN"/>
              </w:rPr>
            </w:pPr>
          </w:p>
        </w:tc>
        <w:tc>
          <w:tcPr>
            <w:tcW w:w="407" w:type="pct"/>
            <w:vMerge w:val="continue"/>
            <w:noWrap w:val="0"/>
            <w:vAlign w:val="center"/>
          </w:tcPr>
          <w:p w14:paraId="50629765">
            <w:pPr>
              <w:pStyle w:val="59"/>
              <w:rPr>
                <w:color w:val="auto"/>
                <w:lang w:val="en-US" w:eastAsia="zh-CN"/>
              </w:rPr>
            </w:pPr>
          </w:p>
        </w:tc>
        <w:tc>
          <w:tcPr>
            <w:tcW w:w="561" w:type="pct"/>
            <w:vMerge w:val="continue"/>
            <w:noWrap w:val="0"/>
            <w:vAlign w:val="center"/>
          </w:tcPr>
          <w:p w14:paraId="2746D33B">
            <w:pPr>
              <w:pStyle w:val="59"/>
              <w:rPr>
                <w:color w:val="auto"/>
                <w:lang w:val="en-US" w:eastAsia="zh-CN"/>
              </w:rPr>
            </w:pPr>
          </w:p>
        </w:tc>
        <w:tc>
          <w:tcPr>
            <w:tcW w:w="581" w:type="pct"/>
            <w:vMerge w:val="continue"/>
            <w:noWrap w:val="0"/>
            <w:vAlign w:val="center"/>
          </w:tcPr>
          <w:p w14:paraId="37F5D7AC">
            <w:pPr>
              <w:pStyle w:val="59"/>
              <w:rPr>
                <w:color w:val="auto"/>
                <w:lang w:val="en-US" w:eastAsia="zh-CN"/>
              </w:rPr>
            </w:pPr>
          </w:p>
        </w:tc>
        <w:tc>
          <w:tcPr>
            <w:tcW w:w="383" w:type="pct"/>
            <w:vMerge w:val="continue"/>
            <w:noWrap w:val="0"/>
            <w:vAlign w:val="center"/>
          </w:tcPr>
          <w:p w14:paraId="3F85ABD4">
            <w:pPr>
              <w:pStyle w:val="59"/>
              <w:rPr>
                <w:color w:val="auto"/>
                <w:lang w:val="en-US" w:eastAsia="zh-CN"/>
              </w:rPr>
            </w:pPr>
          </w:p>
        </w:tc>
        <w:tc>
          <w:tcPr>
            <w:tcW w:w="456" w:type="pct"/>
            <w:noWrap w:val="0"/>
            <w:vAlign w:val="center"/>
          </w:tcPr>
          <w:p w14:paraId="7CA1C42A">
            <w:pPr>
              <w:pStyle w:val="59"/>
              <w:rPr>
                <w:color w:val="auto"/>
                <w:lang w:val="en-US" w:eastAsia="zh-CN"/>
              </w:rPr>
            </w:pPr>
            <w:r>
              <w:rPr>
                <w:rFonts w:hint="eastAsia"/>
                <w:color w:val="auto"/>
                <w:lang w:val="en-US" w:eastAsia="zh-CN"/>
              </w:rPr>
              <w:t>污染设施施编号</w:t>
            </w:r>
          </w:p>
        </w:tc>
        <w:tc>
          <w:tcPr>
            <w:tcW w:w="532" w:type="pct"/>
            <w:noWrap w:val="0"/>
            <w:vAlign w:val="center"/>
          </w:tcPr>
          <w:p w14:paraId="6C94BD5F">
            <w:pPr>
              <w:pStyle w:val="59"/>
              <w:rPr>
                <w:color w:val="auto"/>
                <w:lang w:val="en-US" w:eastAsia="zh-CN"/>
              </w:rPr>
            </w:pPr>
            <w:r>
              <w:rPr>
                <w:rFonts w:hint="eastAsia"/>
                <w:color w:val="auto"/>
                <w:lang w:val="en-US" w:eastAsia="zh-CN"/>
              </w:rPr>
              <w:t>污染治理设施名称</w:t>
            </w:r>
          </w:p>
        </w:tc>
        <w:tc>
          <w:tcPr>
            <w:tcW w:w="724" w:type="pct"/>
            <w:noWrap w:val="0"/>
            <w:vAlign w:val="center"/>
          </w:tcPr>
          <w:p w14:paraId="78137340">
            <w:pPr>
              <w:pStyle w:val="59"/>
              <w:rPr>
                <w:color w:val="auto"/>
                <w:lang w:val="en-US" w:eastAsia="zh-CN"/>
              </w:rPr>
            </w:pPr>
            <w:r>
              <w:rPr>
                <w:rFonts w:hint="eastAsia"/>
                <w:color w:val="auto"/>
                <w:lang w:val="en-US" w:eastAsia="zh-CN"/>
              </w:rPr>
              <w:t>污染治理设施工艺</w:t>
            </w:r>
          </w:p>
        </w:tc>
        <w:tc>
          <w:tcPr>
            <w:tcW w:w="363" w:type="pct"/>
            <w:vMerge w:val="continue"/>
            <w:noWrap w:val="0"/>
            <w:vAlign w:val="center"/>
          </w:tcPr>
          <w:p w14:paraId="3496F6EA">
            <w:pPr>
              <w:pStyle w:val="59"/>
              <w:rPr>
                <w:color w:val="auto"/>
                <w:lang w:val="en-US" w:eastAsia="zh-CN"/>
              </w:rPr>
            </w:pPr>
          </w:p>
        </w:tc>
        <w:tc>
          <w:tcPr>
            <w:tcW w:w="325" w:type="pct"/>
            <w:vMerge w:val="continue"/>
            <w:noWrap w:val="0"/>
            <w:vAlign w:val="center"/>
          </w:tcPr>
          <w:p w14:paraId="10AABA8D">
            <w:pPr>
              <w:pStyle w:val="59"/>
              <w:rPr>
                <w:color w:val="auto"/>
                <w:lang w:val="en-US" w:eastAsia="zh-CN"/>
              </w:rPr>
            </w:pPr>
          </w:p>
        </w:tc>
        <w:tc>
          <w:tcPr>
            <w:tcW w:w="351" w:type="pct"/>
            <w:vMerge w:val="continue"/>
            <w:noWrap w:val="0"/>
            <w:vAlign w:val="center"/>
          </w:tcPr>
          <w:p w14:paraId="499E3CA4">
            <w:pPr>
              <w:pStyle w:val="59"/>
              <w:rPr>
                <w:color w:val="auto"/>
                <w:lang w:val="en-US" w:eastAsia="zh-CN"/>
              </w:rPr>
            </w:pPr>
          </w:p>
        </w:tc>
      </w:tr>
      <w:tr w14:paraId="5C9E7A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14" w:type="pct"/>
            <w:noWrap w:val="0"/>
            <w:vAlign w:val="center"/>
          </w:tcPr>
          <w:p w14:paraId="31F58F09">
            <w:pPr>
              <w:pStyle w:val="59"/>
              <w:rPr>
                <w:color w:val="auto"/>
                <w:lang w:val="en-US" w:eastAsia="zh-CN"/>
              </w:rPr>
            </w:pPr>
            <w:r>
              <w:rPr>
                <w:rFonts w:hint="eastAsia"/>
                <w:color w:val="auto"/>
                <w:lang w:val="en-US" w:eastAsia="zh-CN"/>
              </w:rPr>
              <w:t>1</w:t>
            </w:r>
          </w:p>
        </w:tc>
        <w:tc>
          <w:tcPr>
            <w:tcW w:w="407" w:type="pct"/>
            <w:noWrap w:val="0"/>
            <w:vAlign w:val="center"/>
          </w:tcPr>
          <w:p w14:paraId="74B3AF7D">
            <w:pPr>
              <w:pStyle w:val="59"/>
              <w:rPr>
                <w:color w:val="auto"/>
                <w:lang w:val="en-US" w:eastAsia="zh-CN"/>
              </w:rPr>
            </w:pPr>
            <w:r>
              <w:rPr>
                <w:rFonts w:hint="eastAsia"/>
                <w:color w:val="auto"/>
                <w:lang w:val="en-US" w:eastAsia="zh-CN"/>
              </w:rPr>
              <w:t>生活污水</w:t>
            </w:r>
          </w:p>
        </w:tc>
        <w:tc>
          <w:tcPr>
            <w:tcW w:w="561" w:type="pct"/>
            <w:noWrap w:val="0"/>
            <w:vAlign w:val="center"/>
          </w:tcPr>
          <w:p w14:paraId="47AFBD95">
            <w:pPr>
              <w:pStyle w:val="59"/>
              <w:rPr>
                <w:color w:val="auto"/>
                <w:lang w:val="en-US" w:eastAsia="zh-CN"/>
              </w:rPr>
            </w:pPr>
            <w:r>
              <w:rPr>
                <w:color w:val="auto"/>
                <w:sz w:val="18"/>
                <w:szCs w:val="18"/>
                <w:lang w:val="en-US" w:eastAsia="zh-CN"/>
              </w:rPr>
              <w:t>pH</w:t>
            </w:r>
            <w:r>
              <w:rPr>
                <w:rFonts w:hint="eastAsia"/>
                <w:color w:val="auto"/>
                <w:sz w:val="18"/>
                <w:szCs w:val="18"/>
                <w:lang w:val="en-US" w:eastAsia="zh-CN"/>
              </w:rPr>
              <w:t>、</w:t>
            </w:r>
            <w:r>
              <w:rPr>
                <w:color w:val="auto"/>
                <w:sz w:val="18"/>
                <w:szCs w:val="18"/>
                <w:lang w:val="en-US" w:eastAsia="zh-CN"/>
              </w:rPr>
              <w:t>COD</w:t>
            </w:r>
            <w:r>
              <w:rPr>
                <w:rFonts w:hint="eastAsia"/>
                <w:color w:val="auto"/>
                <w:sz w:val="18"/>
                <w:szCs w:val="18"/>
                <w:lang w:val="en-US" w:eastAsia="zh-CN"/>
              </w:rPr>
              <w:t>、BOD、SS、氨氮</w:t>
            </w:r>
          </w:p>
        </w:tc>
        <w:tc>
          <w:tcPr>
            <w:tcW w:w="581" w:type="pct"/>
            <w:noWrap w:val="0"/>
            <w:vAlign w:val="center"/>
          </w:tcPr>
          <w:p w14:paraId="4074C1DD">
            <w:pPr>
              <w:pStyle w:val="59"/>
              <w:rPr>
                <w:rFonts w:hint="eastAsia"/>
                <w:color w:val="auto"/>
                <w:lang w:val="en-US" w:eastAsia="zh-CN"/>
              </w:rPr>
            </w:pPr>
            <w:r>
              <w:rPr>
                <w:rFonts w:hint="eastAsia"/>
                <w:color w:val="auto"/>
                <w:lang w:val="en-US" w:eastAsia="zh-CN"/>
              </w:rPr>
              <w:t>经市政污水管网排放至鹤山市第二污水处理厂</w:t>
            </w:r>
          </w:p>
        </w:tc>
        <w:tc>
          <w:tcPr>
            <w:tcW w:w="383" w:type="pct"/>
            <w:noWrap w:val="0"/>
            <w:vAlign w:val="center"/>
          </w:tcPr>
          <w:p w14:paraId="56A01DE6">
            <w:pPr>
              <w:pStyle w:val="59"/>
              <w:rPr>
                <w:color w:val="auto"/>
                <w:lang w:val="en-US" w:eastAsia="zh-CN"/>
              </w:rPr>
            </w:pPr>
            <w:r>
              <w:rPr>
                <w:rFonts w:hint="eastAsia"/>
                <w:color w:val="auto"/>
                <w:szCs w:val="21"/>
                <w:lang w:val="en-US" w:eastAsia="zh-CN"/>
              </w:rPr>
              <w:t>间断排放，流量不稳定</w:t>
            </w:r>
          </w:p>
        </w:tc>
        <w:tc>
          <w:tcPr>
            <w:tcW w:w="456" w:type="pct"/>
            <w:noWrap w:val="0"/>
            <w:vAlign w:val="center"/>
          </w:tcPr>
          <w:p w14:paraId="769B3EF6">
            <w:pPr>
              <w:pStyle w:val="59"/>
              <w:rPr>
                <w:rFonts w:hint="default"/>
                <w:color w:val="auto"/>
                <w:lang w:val="en-US" w:eastAsia="zh-CN"/>
              </w:rPr>
            </w:pPr>
            <w:r>
              <w:rPr>
                <w:rFonts w:hint="eastAsia"/>
                <w:color w:val="auto"/>
                <w:lang w:val="en-US" w:eastAsia="zh-CN"/>
              </w:rPr>
              <w:t>/</w:t>
            </w:r>
          </w:p>
        </w:tc>
        <w:tc>
          <w:tcPr>
            <w:tcW w:w="532" w:type="pct"/>
            <w:noWrap w:val="0"/>
            <w:vAlign w:val="center"/>
          </w:tcPr>
          <w:p w14:paraId="3B5F6E9B">
            <w:pPr>
              <w:pStyle w:val="59"/>
              <w:rPr>
                <w:rFonts w:hint="eastAsia"/>
                <w:color w:val="auto"/>
                <w:lang w:val="en-US" w:eastAsia="zh-CN"/>
              </w:rPr>
            </w:pPr>
            <w:r>
              <w:rPr>
                <w:rFonts w:hint="eastAsia"/>
                <w:color w:val="auto"/>
                <w:lang w:val="en-US" w:eastAsia="zh-CN"/>
              </w:rPr>
              <w:t xml:space="preserve">化粪池  </w:t>
            </w:r>
          </w:p>
        </w:tc>
        <w:tc>
          <w:tcPr>
            <w:tcW w:w="724" w:type="pct"/>
            <w:noWrap w:val="0"/>
            <w:vAlign w:val="center"/>
          </w:tcPr>
          <w:p w14:paraId="78676650">
            <w:pPr>
              <w:pStyle w:val="59"/>
              <w:rPr>
                <w:rFonts w:hint="eastAsia"/>
                <w:color w:val="auto"/>
                <w:lang w:val="en-US" w:eastAsia="zh-CN"/>
              </w:rPr>
            </w:pPr>
            <w:r>
              <w:rPr>
                <w:rFonts w:hint="eastAsia"/>
                <w:color w:val="auto"/>
                <w:lang w:val="en-US" w:eastAsia="zh-CN"/>
              </w:rPr>
              <w:t>厌氧发酵</w:t>
            </w:r>
          </w:p>
        </w:tc>
        <w:tc>
          <w:tcPr>
            <w:tcW w:w="363" w:type="pct"/>
            <w:noWrap w:val="0"/>
            <w:vAlign w:val="center"/>
          </w:tcPr>
          <w:p w14:paraId="2EF06389">
            <w:pPr>
              <w:pStyle w:val="59"/>
              <w:rPr>
                <w:rFonts w:hint="eastAsia"/>
                <w:color w:val="auto"/>
                <w:lang w:val="en-US" w:eastAsia="zh-CN"/>
              </w:rPr>
            </w:pPr>
            <w:r>
              <w:rPr>
                <w:rFonts w:hint="eastAsia"/>
                <w:color w:val="auto"/>
                <w:lang w:val="en-US" w:eastAsia="zh-CN"/>
              </w:rPr>
              <w:t>DW001</w:t>
            </w:r>
          </w:p>
        </w:tc>
        <w:tc>
          <w:tcPr>
            <w:tcW w:w="325" w:type="pct"/>
            <w:noWrap w:val="0"/>
            <w:vAlign w:val="center"/>
          </w:tcPr>
          <w:p w14:paraId="0986866C">
            <w:pPr>
              <w:pStyle w:val="59"/>
              <w:rPr>
                <w:color w:val="auto"/>
                <w:lang w:val="en-US" w:eastAsia="zh-CN"/>
              </w:rPr>
            </w:pPr>
            <w:r>
              <w:rPr>
                <w:rFonts w:hint="eastAsia"/>
                <w:color w:val="auto"/>
                <w:lang w:val="en-US" w:eastAsia="zh-CN"/>
              </w:rPr>
              <w:t>是</w:t>
            </w:r>
          </w:p>
        </w:tc>
        <w:tc>
          <w:tcPr>
            <w:tcW w:w="351" w:type="pct"/>
            <w:noWrap w:val="0"/>
            <w:vAlign w:val="center"/>
          </w:tcPr>
          <w:p w14:paraId="25360626">
            <w:pPr>
              <w:pStyle w:val="59"/>
              <w:rPr>
                <w:color w:val="auto"/>
                <w:lang w:val="en-US" w:eastAsia="zh-CN"/>
              </w:rPr>
            </w:pPr>
            <w:r>
              <w:rPr>
                <w:rFonts w:hint="eastAsia"/>
                <w:color w:val="auto"/>
                <w:lang w:val="en-US" w:eastAsia="zh-CN"/>
              </w:rPr>
              <w:t>间接排放</w:t>
            </w:r>
          </w:p>
        </w:tc>
      </w:tr>
    </w:tbl>
    <w:p w14:paraId="3B3A9A66">
      <w:pPr>
        <w:pStyle w:val="62"/>
        <w:bidi w:val="0"/>
        <w:rPr>
          <w:color w:val="auto"/>
          <w:lang w:val="en-US" w:eastAsia="zh-CN"/>
        </w:rPr>
      </w:pPr>
      <w:r>
        <w:rPr>
          <w:rFonts w:hint="eastAsia"/>
          <w:color w:val="auto"/>
          <w:lang w:val="en-US" w:eastAsia="zh-CN"/>
        </w:rPr>
        <w:t>表5.1-2  废水间接排放口基本情况</w:t>
      </w:r>
    </w:p>
    <w:tbl>
      <w:tblPr>
        <w:tblStyle w:val="3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403"/>
        <w:gridCol w:w="1403"/>
        <w:gridCol w:w="1411"/>
        <w:gridCol w:w="1184"/>
        <w:gridCol w:w="1622"/>
        <w:gridCol w:w="1403"/>
        <w:gridCol w:w="1403"/>
        <w:gridCol w:w="1403"/>
        <w:gridCol w:w="1403"/>
        <w:gridCol w:w="1417"/>
      </w:tblGrid>
      <w:tr w14:paraId="584A3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restart"/>
            <w:noWrap w:val="0"/>
            <w:vAlign w:val="center"/>
          </w:tcPr>
          <w:p w14:paraId="0D466335">
            <w:pPr>
              <w:pStyle w:val="59"/>
              <w:rPr>
                <w:color w:val="auto"/>
                <w:lang w:val="en-US" w:eastAsia="zh-CN"/>
              </w:rPr>
            </w:pPr>
            <w:r>
              <w:rPr>
                <w:rFonts w:hint="eastAsia"/>
                <w:color w:val="auto"/>
                <w:lang w:val="en-US" w:eastAsia="zh-CN"/>
              </w:rPr>
              <w:t>排放口编号</w:t>
            </w:r>
          </w:p>
        </w:tc>
        <w:tc>
          <w:tcPr>
            <w:tcW w:w="1001" w:type="pct"/>
            <w:gridSpan w:val="2"/>
            <w:noWrap w:val="0"/>
            <w:vAlign w:val="center"/>
          </w:tcPr>
          <w:p w14:paraId="19C4E79E">
            <w:pPr>
              <w:pStyle w:val="59"/>
              <w:rPr>
                <w:color w:val="auto"/>
                <w:lang w:val="en-US" w:eastAsia="zh-CN"/>
              </w:rPr>
            </w:pPr>
            <w:r>
              <w:rPr>
                <w:rFonts w:hint="eastAsia"/>
                <w:color w:val="auto"/>
                <w:lang w:val="en-US" w:eastAsia="zh-CN"/>
              </w:rPr>
              <w:t>排放口地理坐标</w:t>
            </w:r>
          </w:p>
        </w:tc>
        <w:tc>
          <w:tcPr>
            <w:tcW w:w="421" w:type="pct"/>
            <w:vMerge w:val="restart"/>
            <w:noWrap w:val="0"/>
            <w:vAlign w:val="center"/>
          </w:tcPr>
          <w:p w14:paraId="400692DB">
            <w:pPr>
              <w:pStyle w:val="59"/>
              <w:rPr>
                <w:color w:val="auto"/>
                <w:lang w:val="en-US" w:eastAsia="zh-CN"/>
              </w:rPr>
            </w:pPr>
            <w:r>
              <w:rPr>
                <w:rFonts w:hint="eastAsia"/>
                <w:color w:val="auto"/>
                <w:lang w:val="en-US" w:eastAsia="zh-CN"/>
              </w:rPr>
              <w:t>废水排放量（万t/a）</w:t>
            </w:r>
          </w:p>
        </w:tc>
        <w:tc>
          <w:tcPr>
            <w:tcW w:w="577" w:type="pct"/>
            <w:vMerge w:val="restart"/>
            <w:noWrap w:val="0"/>
            <w:vAlign w:val="center"/>
          </w:tcPr>
          <w:p w14:paraId="6FF0EB6D">
            <w:pPr>
              <w:pStyle w:val="59"/>
              <w:rPr>
                <w:rFonts w:hint="default"/>
                <w:color w:val="auto"/>
                <w:lang w:val="en-US" w:eastAsia="zh-CN"/>
              </w:rPr>
            </w:pPr>
            <w:r>
              <w:rPr>
                <w:rFonts w:hint="eastAsia"/>
                <w:color w:val="auto"/>
                <w:lang w:val="en-US" w:eastAsia="zh-CN"/>
              </w:rPr>
              <w:t>排放去向</w:t>
            </w:r>
          </w:p>
        </w:tc>
        <w:tc>
          <w:tcPr>
            <w:tcW w:w="499" w:type="pct"/>
            <w:vMerge w:val="restart"/>
            <w:noWrap w:val="0"/>
            <w:vAlign w:val="center"/>
          </w:tcPr>
          <w:p w14:paraId="30D2AEFC">
            <w:pPr>
              <w:pStyle w:val="59"/>
              <w:rPr>
                <w:rFonts w:hint="default"/>
                <w:color w:val="auto"/>
                <w:lang w:val="en-US" w:eastAsia="zh-CN"/>
              </w:rPr>
            </w:pPr>
            <w:r>
              <w:rPr>
                <w:rFonts w:hint="eastAsia"/>
                <w:color w:val="auto"/>
                <w:lang w:val="en-US" w:eastAsia="zh-CN"/>
              </w:rPr>
              <w:t>排放规律</w:t>
            </w:r>
          </w:p>
        </w:tc>
        <w:tc>
          <w:tcPr>
            <w:tcW w:w="499" w:type="pct"/>
            <w:vMerge w:val="restart"/>
            <w:noWrap w:val="0"/>
            <w:vAlign w:val="center"/>
          </w:tcPr>
          <w:p w14:paraId="03F5AA51">
            <w:pPr>
              <w:pStyle w:val="59"/>
              <w:rPr>
                <w:rFonts w:hint="default"/>
                <w:color w:val="auto"/>
                <w:lang w:val="en-US" w:eastAsia="zh-CN"/>
              </w:rPr>
            </w:pPr>
            <w:r>
              <w:rPr>
                <w:rFonts w:hint="eastAsia"/>
                <w:color w:val="auto"/>
                <w:lang w:val="en-US" w:eastAsia="zh-CN"/>
              </w:rPr>
              <w:t>间歇排放时段</w:t>
            </w:r>
          </w:p>
        </w:tc>
        <w:tc>
          <w:tcPr>
            <w:tcW w:w="1502" w:type="pct"/>
            <w:gridSpan w:val="3"/>
            <w:noWrap w:val="0"/>
            <w:vAlign w:val="center"/>
          </w:tcPr>
          <w:p w14:paraId="097F962E">
            <w:pPr>
              <w:pStyle w:val="59"/>
              <w:rPr>
                <w:rFonts w:hint="eastAsia"/>
                <w:color w:val="auto"/>
                <w:lang w:val="en-US" w:eastAsia="zh-CN"/>
              </w:rPr>
            </w:pPr>
            <w:r>
              <w:rPr>
                <w:rFonts w:hint="eastAsia"/>
                <w:color w:val="auto"/>
                <w:lang w:val="en-US" w:eastAsia="zh-CN"/>
              </w:rPr>
              <w:t>收纳污水处理厂信息</w:t>
            </w:r>
          </w:p>
        </w:tc>
      </w:tr>
      <w:tr w14:paraId="5C662C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continue"/>
            <w:noWrap w:val="0"/>
            <w:vAlign w:val="center"/>
          </w:tcPr>
          <w:p w14:paraId="128F382A">
            <w:pPr>
              <w:pStyle w:val="59"/>
              <w:rPr>
                <w:rFonts w:hint="eastAsia"/>
                <w:color w:val="auto"/>
                <w:lang w:val="en-US" w:eastAsia="zh-CN"/>
              </w:rPr>
            </w:pPr>
          </w:p>
        </w:tc>
        <w:tc>
          <w:tcPr>
            <w:tcW w:w="499" w:type="pct"/>
            <w:noWrap w:val="0"/>
            <w:vAlign w:val="center"/>
          </w:tcPr>
          <w:p w14:paraId="74C587D5">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经度</w:t>
            </w:r>
          </w:p>
        </w:tc>
        <w:tc>
          <w:tcPr>
            <w:tcW w:w="502" w:type="pct"/>
            <w:noWrap w:val="0"/>
            <w:vAlign w:val="center"/>
          </w:tcPr>
          <w:p w14:paraId="5689D11E">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纬度</w:t>
            </w:r>
          </w:p>
        </w:tc>
        <w:tc>
          <w:tcPr>
            <w:tcW w:w="421" w:type="pct"/>
            <w:vMerge w:val="continue"/>
            <w:noWrap w:val="0"/>
            <w:vAlign w:val="center"/>
          </w:tcPr>
          <w:p w14:paraId="7295ADA3">
            <w:pPr>
              <w:pStyle w:val="59"/>
              <w:rPr>
                <w:rFonts w:hint="eastAsia"/>
                <w:color w:val="auto"/>
                <w:lang w:val="en-US" w:eastAsia="zh-CN"/>
              </w:rPr>
            </w:pPr>
          </w:p>
        </w:tc>
        <w:tc>
          <w:tcPr>
            <w:tcW w:w="577" w:type="pct"/>
            <w:vMerge w:val="continue"/>
            <w:noWrap w:val="0"/>
            <w:vAlign w:val="center"/>
          </w:tcPr>
          <w:p w14:paraId="7C2C0C32">
            <w:pPr>
              <w:pStyle w:val="59"/>
              <w:rPr>
                <w:rFonts w:hint="eastAsia"/>
                <w:color w:val="auto"/>
                <w:lang w:val="en-US" w:eastAsia="zh-CN"/>
              </w:rPr>
            </w:pPr>
          </w:p>
        </w:tc>
        <w:tc>
          <w:tcPr>
            <w:tcW w:w="499" w:type="pct"/>
            <w:vMerge w:val="continue"/>
            <w:noWrap w:val="0"/>
            <w:vAlign w:val="center"/>
          </w:tcPr>
          <w:p w14:paraId="351D9C4F">
            <w:pPr>
              <w:pStyle w:val="59"/>
              <w:rPr>
                <w:rFonts w:hint="eastAsia"/>
                <w:color w:val="auto"/>
                <w:lang w:val="en-US" w:eastAsia="zh-CN"/>
              </w:rPr>
            </w:pPr>
          </w:p>
        </w:tc>
        <w:tc>
          <w:tcPr>
            <w:tcW w:w="499" w:type="pct"/>
            <w:vMerge w:val="continue"/>
            <w:noWrap w:val="0"/>
            <w:vAlign w:val="center"/>
          </w:tcPr>
          <w:p w14:paraId="2B6190DA">
            <w:pPr>
              <w:pStyle w:val="59"/>
              <w:rPr>
                <w:rFonts w:hint="eastAsia"/>
                <w:color w:val="auto"/>
                <w:lang w:val="en-US" w:eastAsia="zh-CN"/>
              </w:rPr>
            </w:pPr>
          </w:p>
        </w:tc>
        <w:tc>
          <w:tcPr>
            <w:tcW w:w="499" w:type="pct"/>
            <w:noWrap w:val="0"/>
            <w:vAlign w:val="center"/>
          </w:tcPr>
          <w:p w14:paraId="12EBBF04">
            <w:pPr>
              <w:pStyle w:val="59"/>
              <w:rPr>
                <w:rFonts w:hint="default"/>
                <w:color w:val="auto"/>
                <w:lang w:val="en-US" w:eastAsia="zh-CN"/>
              </w:rPr>
            </w:pPr>
            <w:r>
              <w:rPr>
                <w:rFonts w:hint="eastAsia"/>
                <w:color w:val="auto"/>
                <w:lang w:val="en-US" w:eastAsia="zh-CN"/>
              </w:rPr>
              <w:t>名称</w:t>
            </w:r>
          </w:p>
        </w:tc>
        <w:tc>
          <w:tcPr>
            <w:tcW w:w="499" w:type="pct"/>
            <w:noWrap w:val="0"/>
            <w:vAlign w:val="center"/>
          </w:tcPr>
          <w:p w14:paraId="0DEB4610">
            <w:pPr>
              <w:pStyle w:val="59"/>
              <w:rPr>
                <w:rFonts w:hint="default"/>
                <w:color w:val="auto"/>
                <w:lang w:val="en-US" w:eastAsia="zh-CN"/>
              </w:rPr>
            </w:pPr>
            <w:r>
              <w:rPr>
                <w:rFonts w:hint="eastAsia"/>
                <w:color w:val="auto"/>
                <w:lang w:val="en-US" w:eastAsia="zh-CN"/>
              </w:rPr>
              <w:t>污染物种类</w:t>
            </w:r>
          </w:p>
        </w:tc>
        <w:tc>
          <w:tcPr>
            <w:tcW w:w="504" w:type="pct"/>
            <w:noWrap w:val="0"/>
            <w:vAlign w:val="center"/>
          </w:tcPr>
          <w:p w14:paraId="5FC8CDB1">
            <w:pPr>
              <w:pStyle w:val="59"/>
              <w:rPr>
                <w:rFonts w:hint="default"/>
                <w:color w:val="auto"/>
                <w:lang w:val="en-US" w:eastAsia="zh-CN"/>
              </w:rPr>
            </w:pPr>
            <w:r>
              <w:rPr>
                <w:rFonts w:hint="eastAsia"/>
                <w:color w:val="auto"/>
                <w:lang w:val="en-US" w:eastAsia="zh-CN"/>
              </w:rPr>
              <w:t>国家或地方污染物排放标准浓度限值mg/L</w:t>
            </w:r>
          </w:p>
        </w:tc>
      </w:tr>
      <w:tr w14:paraId="4FFD9F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restart"/>
            <w:noWrap w:val="0"/>
            <w:vAlign w:val="center"/>
          </w:tcPr>
          <w:p w14:paraId="2B71631F">
            <w:pPr>
              <w:pStyle w:val="59"/>
              <w:rPr>
                <w:rFonts w:hint="eastAsia"/>
                <w:color w:val="auto"/>
                <w:lang w:val="en-US" w:eastAsia="zh-CN"/>
              </w:rPr>
            </w:pPr>
            <w:r>
              <w:rPr>
                <w:rFonts w:hint="eastAsia"/>
                <w:color w:val="auto"/>
                <w:lang w:val="en-US" w:eastAsia="zh-CN"/>
              </w:rPr>
              <w:t>DW001</w:t>
            </w:r>
          </w:p>
        </w:tc>
        <w:tc>
          <w:tcPr>
            <w:tcW w:w="499" w:type="pct"/>
            <w:vMerge w:val="restart"/>
            <w:noWrap w:val="0"/>
            <w:vAlign w:val="center"/>
          </w:tcPr>
          <w:p w14:paraId="69B87A37">
            <w:pPr>
              <w:pStyle w:val="5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112°56′9.601″</w:t>
            </w:r>
          </w:p>
        </w:tc>
        <w:tc>
          <w:tcPr>
            <w:tcW w:w="502" w:type="pct"/>
            <w:vMerge w:val="restart"/>
            <w:noWrap w:val="0"/>
            <w:vAlign w:val="center"/>
          </w:tcPr>
          <w:p w14:paraId="646178AD">
            <w:pPr>
              <w:pStyle w:val="5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22°47′22.79″</w:t>
            </w:r>
          </w:p>
        </w:tc>
        <w:tc>
          <w:tcPr>
            <w:tcW w:w="421" w:type="pct"/>
            <w:vMerge w:val="restart"/>
            <w:noWrap w:val="0"/>
            <w:vAlign w:val="center"/>
          </w:tcPr>
          <w:p w14:paraId="2263172A">
            <w:pPr>
              <w:pStyle w:val="59"/>
              <w:rPr>
                <w:rFonts w:hint="default"/>
                <w:color w:val="auto"/>
                <w:lang w:val="en-US" w:eastAsia="zh-CN"/>
              </w:rPr>
            </w:pPr>
            <w:r>
              <w:rPr>
                <w:rFonts w:hint="eastAsia"/>
                <w:color w:val="auto"/>
                <w:lang w:val="en-US" w:eastAsia="zh-CN"/>
              </w:rPr>
              <w:t>0.027</w:t>
            </w:r>
          </w:p>
        </w:tc>
        <w:tc>
          <w:tcPr>
            <w:tcW w:w="577" w:type="pct"/>
            <w:vMerge w:val="restart"/>
            <w:noWrap w:val="0"/>
            <w:vAlign w:val="center"/>
          </w:tcPr>
          <w:p w14:paraId="4BBEADAD">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经市政污水管网排放至鹤山市第二污水处理厂</w:t>
            </w:r>
          </w:p>
        </w:tc>
        <w:tc>
          <w:tcPr>
            <w:tcW w:w="499" w:type="pct"/>
            <w:vMerge w:val="restart"/>
            <w:noWrap w:val="0"/>
            <w:vAlign w:val="center"/>
          </w:tcPr>
          <w:p w14:paraId="32C8494B">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szCs w:val="21"/>
                <w:lang w:val="en-US" w:eastAsia="zh-CN"/>
              </w:rPr>
              <w:t>间断排放，流量不稳定</w:t>
            </w:r>
          </w:p>
        </w:tc>
        <w:tc>
          <w:tcPr>
            <w:tcW w:w="499" w:type="pct"/>
            <w:vMerge w:val="restart"/>
            <w:noWrap w:val="0"/>
            <w:vAlign w:val="center"/>
          </w:tcPr>
          <w:p w14:paraId="6629042A">
            <w:pPr>
              <w:pStyle w:val="59"/>
              <w:rPr>
                <w:rFonts w:hint="default"/>
                <w:color w:val="auto"/>
                <w:lang w:val="en-US" w:eastAsia="zh-CN"/>
              </w:rPr>
            </w:pPr>
            <w:r>
              <w:rPr>
                <w:rFonts w:hint="eastAsia"/>
                <w:color w:val="auto"/>
                <w:lang w:val="en-US" w:eastAsia="zh-CN"/>
              </w:rPr>
              <w:t>夜间</w:t>
            </w:r>
          </w:p>
        </w:tc>
        <w:tc>
          <w:tcPr>
            <w:tcW w:w="499" w:type="pct"/>
            <w:vMerge w:val="restart"/>
            <w:noWrap w:val="0"/>
            <w:vAlign w:val="center"/>
          </w:tcPr>
          <w:p w14:paraId="2A5A8FB7">
            <w:pPr>
              <w:pStyle w:val="59"/>
              <w:rPr>
                <w:rFonts w:hint="eastAsia"/>
                <w:color w:val="auto"/>
                <w:lang w:val="en-US" w:eastAsia="zh-CN"/>
              </w:rPr>
            </w:pPr>
            <w:r>
              <w:rPr>
                <w:rFonts w:hint="eastAsia"/>
                <w:color w:val="auto"/>
                <w:lang w:val="en-US" w:eastAsia="zh-CN"/>
              </w:rPr>
              <w:t>鹤山市第二污水处理厂</w:t>
            </w:r>
          </w:p>
        </w:tc>
        <w:tc>
          <w:tcPr>
            <w:tcW w:w="499" w:type="pct"/>
            <w:noWrap w:val="0"/>
            <w:vAlign w:val="center"/>
          </w:tcPr>
          <w:p w14:paraId="1C84561B">
            <w:pPr>
              <w:pStyle w:val="59"/>
              <w:rPr>
                <w:rFonts w:hint="default"/>
                <w:color w:val="auto"/>
                <w:lang w:val="en-US" w:eastAsia="zh-CN"/>
              </w:rPr>
            </w:pPr>
            <w:r>
              <w:rPr>
                <w:rFonts w:hint="eastAsia"/>
                <w:color w:val="auto"/>
                <w:lang w:val="en-US" w:eastAsia="zh-CN"/>
              </w:rPr>
              <w:t>pH</w:t>
            </w:r>
          </w:p>
        </w:tc>
        <w:tc>
          <w:tcPr>
            <w:tcW w:w="504" w:type="pct"/>
            <w:noWrap w:val="0"/>
            <w:vAlign w:val="center"/>
          </w:tcPr>
          <w:p w14:paraId="2EA9A61C">
            <w:pPr>
              <w:pStyle w:val="59"/>
              <w:rPr>
                <w:rFonts w:hint="default"/>
                <w:color w:val="auto"/>
                <w:lang w:val="en-US" w:eastAsia="zh-CN"/>
              </w:rPr>
            </w:pPr>
            <w:r>
              <w:rPr>
                <w:rFonts w:hint="eastAsia"/>
                <w:color w:val="auto"/>
                <w:lang w:val="en-US" w:eastAsia="zh-CN"/>
              </w:rPr>
              <w:t>6~9</w:t>
            </w:r>
            <w:r>
              <w:rPr>
                <w:rFonts w:hint="eastAsia"/>
                <w:color w:val="auto"/>
              </w:rPr>
              <w:t>（无量纲）</w:t>
            </w:r>
          </w:p>
        </w:tc>
      </w:tr>
      <w:tr w14:paraId="3BB16D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continue"/>
            <w:noWrap w:val="0"/>
            <w:vAlign w:val="center"/>
          </w:tcPr>
          <w:p w14:paraId="6433113E">
            <w:pPr>
              <w:pStyle w:val="59"/>
              <w:rPr>
                <w:rFonts w:hint="eastAsia"/>
                <w:color w:val="auto"/>
                <w:lang w:val="en-US" w:eastAsia="zh-CN"/>
              </w:rPr>
            </w:pPr>
          </w:p>
        </w:tc>
        <w:tc>
          <w:tcPr>
            <w:tcW w:w="499" w:type="pct"/>
            <w:vMerge w:val="continue"/>
            <w:noWrap w:val="0"/>
            <w:vAlign w:val="center"/>
          </w:tcPr>
          <w:p w14:paraId="61FFD16D">
            <w:pPr>
              <w:pStyle w:val="59"/>
              <w:rPr>
                <w:color w:val="auto"/>
                <w:lang w:val="en-US" w:eastAsia="zh-CN"/>
              </w:rPr>
            </w:pPr>
          </w:p>
        </w:tc>
        <w:tc>
          <w:tcPr>
            <w:tcW w:w="502" w:type="pct"/>
            <w:vMerge w:val="continue"/>
            <w:noWrap w:val="0"/>
            <w:vAlign w:val="center"/>
          </w:tcPr>
          <w:p w14:paraId="7E43143B">
            <w:pPr>
              <w:pStyle w:val="59"/>
              <w:rPr>
                <w:color w:val="auto"/>
                <w:lang w:val="en-US" w:eastAsia="zh-CN"/>
              </w:rPr>
            </w:pPr>
          </w:p>
        </w:tc>
        <w:tc>
          <w:tcPr>
            <w:tcW w:w="421" w:type="pct"/>
            <w:vMerge w:val="continue"/>
            <w:noWrap w:val="0"/>
            <w:vAlign w:val="center"/>
          </w:tcPr>
          <w:p w14:paraId="329C3BA0">
            <w:pPr>
              <w:pStyle w:val="59"/>
              <w:rPr>
                <w:rFonts w:hint="eastAsia"/>
                <w:color w:val="auto"/>
                <w:lang w:val="en-US" w:eastAsia="zh-CN"/>
              </w:rPr>
            </w:pPr>
          </w:p>
        </w:tc>
        <w:tc>
          <w:tcPr>
            <w:tcW w:w="577" w:type="pct"/>
            <w:vMerge w:val="continue"/>
            <w:noWrap w:val="0"/>
            <w:vAlign w:val="center"/>
          </w:tcPr>
          <w:p w14:paraId="54265804">
            <w:pPr>
              <w:pStyle w:val="59"/>
              <w:ind w:firstLine="0" w:firstLineChars="0"/>
              <w:rPr>
                <w:rFonts w:hint="eastAsia"/>
                <w:color w:val="auto"/>
                <w:lang w:val="en-US" w:eastAsia="zh-CN"/>
              </w:rPr>
            </w:pPr>
          </w:p>
        </w:tc>
        <w:tc>
          <w:tcPr>
            <w:tcW w:w="499" w:type="pct"/>
            <w:vMerge w:val="continue"/>
            <w:noWrap w:val="0"/>
            <w:vAlign w:val="center"/>
          </w:tcPr>
          <w:p w14:paraId="34DCD41B">
            <w:pPr>
              <w:pStyle w:val="59"/>
              <w:ind w:firstLine="0" w:firstLineChars="0"/>
              <w:rPr>
                <w:rFonts w:hint="eastAsia"/>
                <w:color w:val="auto"/>
                <w:szCs w:val="21"/>
                <w:lang w:val="en-US" w:eastAsia="zh-CN"/>
              </w:rPr>
            </w:pPr>
          </w:p>
        </w:tc>
        <w:tc>
          <w:tcPr>
            <w:tcW w:w="499" w:type="pct"/>
            <w:vMerge w:val="continue"/>
            <w:noWrap w:val="0"/>
            <w:vAlign w:val="center"/>
          </w:tcPr>
          <w:p w14:paraId="19B00320">
            <w:pPr>
              <w:pStyle w:val="59"/>
              <w:rPr>
                <w:rFonts w:hint="eastAsia"/>
                <w:color w:val="auto"/>
                <w:lang w:val="en-US" w:eastAsia="zh-CN"/>
              </w:rPr>
            </w:pPr>
          </w:p>
        </w:tc>
        <w:tc>
          <w:tcPr>
            <w:tcW w:w="499" w:type="pct"/>
            <w:vMerge w:val="continue"/>
            <w:noWrap w:val="0"/>
            <w:vAlign w:val="center"/>
          </w:tcPr>
          <w:p w14:paraId="4B70B9E0">
            <w:pPr>
              <w:pStyle w:val="59"/>
              <w:rPr>
                <w:rFonts w:hint="eastAsia"/>
                <w:color w:val="auto"/>
                <w:lang w:val="en-US" w:eastAsia="zh-CN"/>
              </w:rPr>
            </w:pPr>
          </w:p>
        </w:tc>
        <w:tc>
          <w:tcPr>
            <w:tcW w:w="499" w:type="pct"/>
            <w:noWrap w:val="0"/>
            <w:vAlign w:val="center"/>
          </w:tcPr>
          <w:p w14:paraId="7B048178">
            <w:pPr>
              <w:pStyle w:val="69"/>
              <w:ind w:firstLine="0" w:firstLineChars="0"/>
              <w:rPr>
                <w:rFonts w:hint="eastAsia"/>
                <w:color w:val="auto"/>
                <w:lang w:val="en-US" w:eastAsia="zh-CN"/>
              </w:rPr>
            </w:pPr>
            <w:r>
              <w:rPr>
                <w:color w:val="auto"/>
              </w:rPr>
              <w:t>COD</w:t>
            </w:r>
            <w:r>
              <w:rPr>
                <w:color w:val="auto"/>
                <w:vertAlign w:val="subscript"/>
              </w:rPr>
              <w:t>Cr</w:t>
            </w:r>
          </w:p>
        </w:tc>
        <w:tc>
          <w:tcPr>
            <w:tcW w:w="504" w:type="pct"/>
            <w:noWrap w:val="0"/>
            <w:vAlign w:val="center"/>
          </w:tcPr>
          <w:p w14:paraId="623C8648">
            <w:pPr>
              <w:pStyle w:val="69"/>
              <w:ind w:firstLine="0" w:firstLineChars="0"/>
              <w:rPr>
                <w:rFonts w:hint="default"/>
                <w:color w:val="auto"/>
                <w:lang w:val="en-US" w:eastAsia="zh-CN"/>
              </w:rPr>
            </w:pPr>
            <w:r>
              <w:rPr>
                <w:rFonts w:hint="eastAsia"/>
                <w:color w:val="auto"/>
                <w:lang w:val="en-US" w:eastAsia="zh-CN"/>
              </w:rPr>
              <w:t>500</w:t>
            </w:r>
          </w:p>
        </w:tc>
      </w:tr>
      <w:tr w14:paraId="19BE46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continue"/>
            <w:noWrap w:val="0"/>
            <w:vAlign w:val="center"/>
          </w:tcPr>
          <w:p w14:paraId="04AA28D6">
            <w:pPr>
              <w:pStyle w:val="59"/>
              <w:rPr>
                <w:rFonts w:hint="eastAsia"/>
                <w:color w:val="auto"/>
                <w:lang w:val="en-US" w:eastAsia="zh-CN"/>
              </w:rPr>
            </w:pPr>
          </w:p>
        </w:tc>
        <w:tc>
          <w:tcPr>
            <w:tcW w:w="499" w:type="pct"/>
            <w:vMerge w:val="continue"/>
            <w:noWrap w:val="0"/>
            <w:vAlign w:val="center"/>
          </w:tcPr>
          <w:p w14:paraId="3801AF33">
            <w:pPr>
              <w:pStyle w:val="59"/>
              <w:rPr>
                <w:color w:val="auto"/>
                <w:lang w:val="en-US" w:eastAsia="zh-CN"/>
              </w:rPr>
            </w:pPr>
          </w:p>
        </w:tc>
        <w:tc>
          <w:tcPr>
            <w:tcW w:w="502" w:type="pct"/>
            <w:vMerge w:val="continue"/>
            <w:noWrap w:val="0"/>
            <w:vAlign w:val="center"/>
          </w:tcPr>
          <w:p w14:paraId="6F915304">
            <w:pPr>
              <w:pStyle w:val="59"/>
              <w:rPr>
                <w:color w:val="auto"/>
                <w:lang w:val="en-US" w:eastAsia="zh-CN"/>
              </w:rPr>
            </w:pPr>
          </w:p>
        </w:tc>
        <w:tc>
          <w:tcPr>
            <w:tcW w:w="421" w:type="pct"/>
            <w:vMerge w:val="continue"/>
            <w:noWrap w:val="0"/>
            <w:vAlign w:val="center"/>
          </w:tcPr>
          <w:p w14:paraId="2AF10151">
            <w:pPr>
              <w:pStyle w:val="59"/>
              <w:rPr>
                <w:rFonts w:hint="eastAsia"/>
                <w:color w:val="auto"/>
                <w:lang w:val="en-US" w:eastAsia="zh-CN"/>
              </w:rPr>
            </w:pPr>
          </w:p>
        </w:tc>
        <w:tc>
          <w:tcPr>
            <w:tcW w:w="577" w:type="pct"/>
            <w:vMerge w:val="continue"/>
            <w:noWrap w:val="0"/>
            <w:vAlign w:val="center"/>
          </w:tcPr>
          <w:p w14:paraId="0E8D81CC">
            <w:pPr>
              <w:pStyle w:val="59"/>
              <w:ind w:firstLine="0" w:firstLineChars="0"/>
              <w:rPr>
                <w:rFonts w:hint="eastAsia"/>
                <w:color w:val="auto"/>
                <w:lang w:val="en-US" w:eastAsia="zh-CN"/>
              </w:rPr>
            </w:pPr>
          </w:p>
        </w:tc>
        <w:tc>
          <w:tcPr>
            <w:tcW w:w="499" w:type="pct"/>
            <w:vMerge w:val="continue"/>
            <w:noWrap w:val="0"/>
            <w:vAlign w:val="center"/>
          </w:tcPr>
          <w:p w14:paraId="26BD78E6">
            <w:pPr>
              <w:pStyle w:val="59"/>
              <w:ind w:firstLine="0" w:firstLineChars="0"/>
              <w:rPr>
                <w:rFonts w:hint="eastAsia"/>
                <w:color w:val="auto"/>
                <w:szCs w:val="21"/>
                <w:lang w:val="en-US" w:eastAsia="zh-CN"/>
              </w:rPr>
            </w:pPr>
          </w:p>
        </w:tc>
        <w:tc>
          <w:tcPr>
            <w:tcW w:w="499" w:type="pct"/>
            <w:vMerge w:val="continue"/>
            <w:noWrap w:val="0"/>
            <w:vAlign w:val="center"/>
          </w:tcPr>
          <w:p w14:paraId="21295A67">
            <w:pPr>
              <w:pStyle w:val="59"/>
              <w:rPr>
                <w:rFonts w:hint="eastAsia"/>
                <w:color w:val="auto"/>
                <w:lang w:val="en-US" w:eastAsia="zh-CN"/>
              </w:rPr>
            </w:pPr>
          </w:p>
        </w:tc>
        <w:tc>
          <w:tcPr>
            <w:tcW w:w="499" w:type="pct"/>
            <w:vMerge w:val="continue"/>
            <w:noWrap w:val="0"/>
            <w:vAlign w:val="center"/>
          </w:tcPr>
          <w:p w14:paraId="494832F0">
            <w:pPr>
              <w:pStyle w:val="59"/>
              <w:rPr>
                <w:rFonts w:hint="eastAsia"/>
                <w:color w:val="auto"/>
                <w:lang w:val="en-US" w:eastAsia="zh-CN"/>
              </w:rPr>
            </w:pPr>
          </w:p>
        </w:tc>
        <w:tc>
          <w:tcPr>
            <w:tcW w:w="499" w:type="pct"/>
            <w:noWrap w:val="0"/>
            <w:vAlign w:val="center"/>
          </w:tcPr>
          <w:p w14:paraId="1C168929">
            <w:pPr>
              <w:pStyle w:val="69"/>
              <w:ind w:firstLine="0" w:firstLineChars="0"/>
              <w:rPr>
                <w:rFonts w:hint="eastAsia"/>
                <w:color w:val="auto"/>
                <w:lang w:val="en-US" w:eastAsia="zh-CN"/>
              </w:rPr>
            </w:pPr>
            <w:r>
              <w:rPr>
                <w:color w:val="auto"/>
              </w:rPr>
              <w:t>BOD</w:t>
            </w:r>
            <w:r>
              <w:rPr>
                <w:color w:val="auto"/>
                <w:vertAlign w:val="subscript"/>
              </w:rPr>
              <w:t>5</w:t>
            </w:r>
          </w:p>
        </w:tc>
        <w:tc>
          <w:tcPr>
            <w:tcW w:w="504" w:type="pct"/>
            <w:noWrap w:val="0"/>
            <w:vAlign w:val="center"/>
          </w:tcPr>
          <w:p w14:paraId="7C2FA234">
            <w:pPr>
              <w:pStyle w:val="69"/>
              <w:ind w:firstLine="0" w:firstLineChars="0"/>
              <w:rPr>
                <w:rFonts w:hint="default"/>
                <w:color w:val="auto"/>
                <w:lang w:val="en-US" w:eastAsia="zh-CN"/>
              </w:rPr>
            </w:pPr>
            <w:r>
              <w:rPr>
                <w:rFonts w:hint="eastAsia"/>
                <w:color w:val="auto"/>
                <w:lang w:val="en-US" w:eastAsia="zh-CN"/>
              </w:rPr>
              <w:t>300</w:t>
            </w:r>
          </w:p>
        </w:tc>
      </w:tr>
      <w:tr w14:paraId="64E2F3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continue"/>
            <w:noWrap w:val="0"/>
            <w:vAlign w:val="center"/>
          </w:tcPr>
          <w:p w14:paraId="47888223">
            <w:pPr>
              <w:pStyle w:val="59"/>
              <w:rPr>
                <w:rFonts w:hint="eastAsia"/>
                <w:color w:val="auto"/>
                <w:lang w:val="en-US" w:eastAsia="zh-CN"/>
              </w:rPr>
            </w:pPr>
          </w:p>
        </w:tc>
        <w:tc>
          <w:tcPr>
            <w:tcW w:w="499" w:type="pct"/>
            <w:vMerge w:val="continue"/>
            <w:noWrap w:val="0"/>
            <w:vAlign w:val="center"/>
          </w:tcPr>
          <w:p w14:paraId="6115EC14">
            <w:pPr>
              <w:pStyle w:val="59"/>
              <w:rPr>
                <w:color w:val="auto"/>
                <w:lang w:val="en-US" w:eastAsia="zh-CN"/>
              </w:rPr>
            </w:pPr>
          </w:p>
        </w:tc>
        <w:tc>
          <w:tcPr>
            <w:tcW w:w="502" w:type="pct"/>
            <w:vMerge w:val="continue"/>
            <w:noWrap w:val="0"/>
            <w:vAlign w:val="center"/>
          </w:tcPr>
          <w:p w14:paraId="12DD4E22">
            <w:pPr>
              <w:pStyle w:val="59"/>
              <w:rPr>
                <w:color w:val="auto"/>
                <w:lang w:val="en-US" w:eastAsia="zh-CN"/>
              </w:rPr>
            </w:pPr>
          </w:p>
        </w:tc>
        <w:tc>
          <w:tcPr>
            <w:tcW w:w="421" w:type="pct"/>
            <w:vMerge w:val="continue"/>
            <w:noWrap w:val="0"/>
            <w:vAlign w:val="center"/>
          </w:tcPr>
          <w:p w14:paraId="17AAAC26">
            <w:pPr>
              <w:pStyle w:val="59"/>
              <w:rPr>
                <w:rFonts w:hint="eastAsia"/>
                <w:color w:val="auto"/>
                <w:lang w:val="en-US" w:eastAsia="zh-CN"/>
              </w:rPr>
            </w:pPr>
          </w:p>
        </w:tc>
        <w:tc>
          <w:tcPr>
            <w:tcW w:w="577" w:type="pct"/>
            <w:vMerge w:val="continue"/>
            <w:noWrap w:val="0"/>
            <w:vAlign w:val="center"/>
          </w:tcPr>
          <w:p w14:paraId="4B0025E7">
            <w:pPr>
              <w:pStyle w:val="59"/>
              <w:ind w:firstLine="0" w:firstLineChars="0"/>
              <w:rPr>
                <w:rFonts w:hint="eastAsia"/>
                <w:color w:val="auto"/>
                <w:lang w:val="en-US" w:eastAsia="zh-CN"/>
              </w:rPr>
            </w:pPr>
          </w:p>
        </w:tc>
        <w:tc>
          <w:tcPr>
            <w:tcW w:w="499" w:type="pct"/>
            <w:vMerge w:val="continue"/>
            <w:noWrap w:val="0"/>
            <w:vAlign w:val="center"/>
          </w:tcPr>
          <w:p w14:paraId="467D3042">
            <w:pPr>
              <w:pStyle w:val="59"/>
              <w:ind w:firstLine="0" w:firstLineChars="0"/>
              <w:rPr>
                <w:rFonts w:hint="eastAsia"/>
                <w:color w:val="auto"/>
                <w:szCs w:val="21"/>
                <w:lang w:val="en-US" w:eastAsia="zh-CN"/>
              </w:rPr>
            </w:pPr>
          </w:p>
        </w:tc>
        <w:tc>
          <w:tcPr>
            <w:tcW w:w="499" w:type="pct"/>
            <w:vMerge w:val="continue"/>
            <w:noWrap w:val="0"/>
            <w:vAlign w:val="center"/>
          </w:tcPr>
          <w:p w14:paraId="6BFF6203">
            <w:pPr>
              <w:pStyle w:val="59"/>
              <w:rPr>
                <w:rFonts w:hint="eastAsia"/>
                <w:color w:val="auto"/>
                <w:lang w:val="en-US" w:eastAsia="zh-CN"/>
              </w:rPr>
            </w:pPr>
          </w:p>
        </w:tc>
        <w:tc>
          <w:tcPr>
            <w:tcW w:w="499" w:type="pct"/>
            <w:vMerge w:val="continue"/>
            <w:noWrap w:val="0"/>
            <w:vAlign w:val="center"/>
          </w:tcPr>
          <w:p w14:paraId="0BFC35D5">
            <w:pPr>
              <w:pStyle w:val="59"/>
              <w:rPr>
                <w:rFonts w:hint="eastAsia"/>
                <w:color w:val="auto"/>
                <w:lang w:val="en-US" w:eastAsia="zh-CN"/>
              </w:rPr>
            </w:pPr>
          </w:p>
        </w:tc>
        <w:tc>
          <w:tcPr>
            <w:tcW w:w="499" w:type="pct"/>
            <w:noWrap w:val="0"/>
            <w:vAlign w:val="center"/>
          </w:tcPr>
          <w:p w14:paraId="522AB001">
            <w:pPr>
              <w:pStyle w:val="69"/>
              <w:ind w:firstLine="0" w:firstLineChars="0"/>
              <w:rPr>
                <w:rFonts w:hint="eastAsia"/>
                <w:color w:val="auto"/>
                <w:lang w:val="en-US" w:eastAsia="zh-CN"/>
              </w:rPr>
            </w:pPr>
            <w:r>
              <w:rPr>
                <w:color w:val="auto"/>
              </w:rPr>
              <w:t>SS</w:t>
            </w:r>
          </w:p>
        </w:tc>
        <w:tc>
          <w:tcPr>
            <w:tcW w:w="504" w:type="pct"/>
            <w:noWrap w:val="0"/>
            <w:vAlign w:val="center"/>
          </w:tcPr>
          <w:p w14:paraId="56FB5E3D">
            <w:pPr>
              <w:pStyle w:val="69"/>
              <w:ind w:firstLine="0" w:firstLineChars="0"/>
              <w:rPr>
                <w:rFonts w:hint="default"/>
                <w:color w:val="auto"/>
                <w:lang w:val="en-US" w:eastAsia="zh-CN"/>
              </w:rPr>
            </w:pPr>
            <w:r>
              <w:rPr>
                <w:rFonts w:hint="eastAsia"/>
                <w:color w:val="auto"/>
                <w:lang w:val="en-US" w:eastAsia="zh-CN"/>
              </w:rPr>
              <w:t>400</w:t>
            </w:r>
          </w:p>
        </w:tc>
      </w:tr>
      <w:tr w14:paraId="036A0E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continue"/>
            <w:noWrap w:val="0"/>
            <w:vAlign w:val="center"/>
          </w:tcPr>
          <w:p w14:paraId="059FFEF5">
            <w:pPr>
              <w:pStyle w:val="59"/>
              <w:rPr>
                <w:rFonts w:hint="eastAsia"/>
                <w:color w:val="auto"/>
                <w:lang w:val="en-US" w:eastAsia="zh-CN"/>
              </w:rPr>
            </w:pPr>
          </w:p>
        </w:tc>
        <w:tc>
          <w:tcPr>
            <w:tcW w:w="499" w:type="pct"/>
            <w:vMerge w:val="continue"/>
            <w:noWrap w:val="0"/>
            <w:vAlign w:val="center"/>
          </w:tcPr>
          <w:p w14:paraId="61958439">
            <w:pPr>
              <w:pStyle w:val="59"/>
              <w:rPr>
                <w:color w:val="auto"/>
                <w:lang w:val="en-US" w:eastAsia="zh-CN"/>
              </w:rPr>
            </w:pPr>
          </w:p>
        </w:tc>
        <w:tc>
          <w:tcPr>
            <w:tcW w:w="502" w:type="pct"/>
            <w:vMerge w:val="continue"/>
            <w:noWrap w:val="0"/>
            <w:vAlign w:val="center"/>
          </w:tcPr>
          <w:p w14:paraId="41F74A0A">
            <w:pPr>
              <w:pStyle w:val="59"/>
              <w:rPr>
                <w:color w:val="auto"/>
                <w:lang w:val="en-US" w:eastAsia="zh-CN"/>
              </w:rPr>
            </w:pPr>
          </w:p>
        </w:tc>
        <w:tc>
          <w:tcPr>
            <w:tcW w:w="421" w:type="pct"/>
            <w:vMerge w:val="continue"/>
            <w:noWrap w:val="0"/>
            <w:vAlign w:val="center"/>
          </w:tcPr>
          <w:p w14:paraId="4330DFB3">
            <w:pPr>
              <w:pStyle w:val="59"/>
              <w:rPr>
                <w:rFonts w:hint="eastAsia"/>
                <w:color w:val="auto"/>
                <w:lang w:val="en-US" w:eastAsia="zh-CN"/>
              </w:rPr>
            </w:pPr>
          </w:p>
        </w:tc>
        <w:tc>
          <w:tcPr>
            <w:tcW w:w="577" w:type="pct"/>
            <w:vMerge w:val="continue"/>
            <w:noWrap w:val="0"/>
            <w:vAlign w:val="center"/>
          </w:tcPr>
          <w:p w14:paraId="5B947C57">
            <w:pPr>
              <w:pStyle w:val="59"/>
              <w:ind w:firstLine="0" w:firstLineChars="0"/>
              <w:rPr>
                <w:rFonts w:hint="eastAsia"/>
                <w:color w:val="auto"/>
                <w:lang w:val="en-US" w:eastAsia="zh-CN"/>
              </w:rPr>
            </w:pPr>
          </w:p>
        </w:tc>
        <w:tc>
          <w:tcPr>
            <w:tcW w:w="499" w:type="pct"/>
            <w:vMerge w:val="continue"/>
            <w:noWrap w:val="0"/>
            <w:vAlign w:val="center"/>
          </w:tcPr>
          <w:p w14:paraId="08302B47">
            <w:pPr>
              <w:pStyle w:val="59"/>
              <w:ind w:firstLine="0" w:firstLineChars="0"/>
              <w:rPr>
                <w:rFonts w:hint="eastAsia"/>
                <w:color w:val="auto"/>
                <w:szCs w:val="21"/>
                <w:lang w:val="en-US" w:eastAsia="zh-CN"/>
              </w:rPr>
            </w:pPr>
          </w:p>
        </w:tc>
        <w:tc>
          <w:tcPr>
            <w:tcW w:w="499" w:type="pct"/>
            <w:vMerge w:val="continue"/>
            <w:noWrap w:val="0"/>
            <w:vAlign w:val="center"/>
          </w:tcPr>
          <w:p w14:paraId="5099ADA1">
            <w:pPr>
              <w:pStyle w:val="59"/>
              <w:rPr>
                <w:rFonts w:hint="eastAsia"/>
                <w:color w:val="auto"/>
                <w:lang w:val="en-US" w:eastAsia="zh-CN"/>
              </w:rPr>
            </w:pPr>
          </w:p>
        </w:tc>
        <w:tc>
          <w:tcPr>
            <w:tcW w:w="499" w:type="pct"/>
            <w:vMerge w:val="continue"/>
            <w:noWrap w:val="0"/>
            <w:vAlign w:val="center"/>
          </w:tcPr>
          <w:p w14:paraId="077D6539">
            <w:pPr>
              <w:pStyle w:val="59"/>
              <w:rPr>
                <w:rFonts w:hint="eastAsia"/>
                <w:color w:val="auto"/>
                <w:lang w:val="en-US" w:eastAsia="zh-CN"/>
              </w:rPr>
            </w:pPr>
          </w:p>
        </w:tc>
        <w:tc>
          <w:tcPr>
            <w:tcW w:w="499" w:type="pct"/>
            <w:noWrap w:val="0"/>
            <w:vAlign w:val="center"/>
          </w:tcPr>
          <w:p w14:paraId="5BD8487B">
            <w:pPr>
              <w:pStyle w:val="69"/>
              <w:ind w:firstLine="0" w:firstLineChars="0"/>
              <w:rPr>
                <w:rFonts w:hint="eastAsia"/>
                <w:color w:val="auto"/>
                <w:lang w:val="en-US" w:eastAsia="zh-CN"/>
              </w:rPr>
            </w:pPr>
            <w:r>
              <w:rPr>
                <w:color w:val="auto"/>
              </w:rPr>
              <w:t>NH</w:t>
            </w:r>
            <w:r>
              <w:rPr>
                <w:color w:val="auto"/>
                <w:vertAlign w:val="subscript"/>
              </w:rPr>
              <w:t>3</w:t>
            </w:r>
            <w:r>
              <w:rPr>
                <w:color w:val="auto"/>
              </w:rPr>
              <w:t>-N</w:t>
            </w:r>
          </w:p>
        </w:tc>
        <w:tc>
          <w:tcPr>
            <w:tcW w:w="504" w:type="pct"/>
            <w:noWrap w:val="0"/>
            <w:vAlign w:val="center"/>
          </w:tcPr>
          <w:p w14:paraId="108F3A36">
            <w:pPr>
              <w:pStyle w:val="69"/>
              <w:ind w:firstLine="0" w:firstLineChars="0"/>
              <w:rPr>
                <w:rFonts w:hint="eastAsia"/>
                <w:color w:val="auto"/>
                <w:lang w:val="en-US" w:eastAsia="zh-CN"/>
              </w:rPr>
            </w:pPr>
            <w:r>
              <w:rPr>
                <w:rFonts w:hint="eastAsia"/>
                <w:color w:val="auto"/>
                <w:lang w:val="en-US" w:eastAsia="zh-CN"/>
              </w:rPr>
              <w:t>/</w:t>
            </w:r>
          </w:p>
        </w:tc>
      </w:tr>
      <w:tr w14:paraId="689EE8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99" w:type="pct"/>
            <w:vMerge w:val="continue"/>
          </w:tcPr>
          <w:p w14:paraId="1EF7E2FB">
            <w:pPr>
              <w:pStyle w:val="59"/>
              <w:rPr>
                <w:rFonts w:hint="eastAsia"/>
                <w:color w:val="auto"/>
                <w:lang w:val="en-US" w:eastAsia="zh-CN"/>
              </w:rPr>
            </w:pPr>
          </w:p>
        </w:tc>
        <w:tc>
          <w:tcPr>
            <w:tcW w:w="499" w:type="pct"/>
            <w:vMerge w:val="continue"/>
          </w:tcPr>
          <w:p w14:paraId="36A17401">
            <w:pPr>
              <w:pStyle w:val="59"/>
              <w:rPr>
                <w:color w:val="auto"/>
                <w:lang w:val="en-US" w:eastAsia="zh-CN"/>
              </w:rPr>
            </w:pPr>
          </w:p>
        </w:tc>
        <w:tc>
          <w:tcPr>
            <w:tcW w:w="502" w:type="pct"/>
            <w:vMerge w:val="continue"/>
          </w:tcPr>
          <w:p w14:paraId="105186DF">
            <w:pPr>
              <w:pStyle w:val="59"/>
              <w:rPr>
                <w:color w:val="auto"/>
                <w:lang w:val="en-US" w:eastAsia="zh-CN"/>
              </w:rPr>
            </w:pPr>
          </w:p>
        </w:tc>
        <w:tc>
          <w:tcPr>
            <w:tcW w:w="421" w:type="pct"/>
            <w:vMerge w:val="continue"/>
          </w:tcPr>
          <w:p w14:paraId="7326AB4B">
            <w:pPr>
              <w:pStyle w:val="59"/>
              <w:rPr>
                <w:rFonts w:hint="default"/>
                <w:color w:val="auto"/>
                <w:lang w:val="en-US" w:eastAsia="zh-CN"/>
              </w:rPr>
            </w:pPr>
          </w:p>
        </w:tc>
        <w:tc>
          <w:tcPr>
            <w:tcW w:w="577" w:type="pct"/>
            <w:vMerge w:val="continue"/>
          </w:tcPr>
          <w:p w14:paraId="38EDE301">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499" w:type="pct"/>
            <w:vMerge w:val="continue"/>
          </w:tcPr>
          <w:p w14:paraId="592C7277">
            <w:pPr>
              <w:pStyle w:val="59"/>
              <w:ind w:firstLine="0" w:firstLineChars="0"/>
              <w:rPr>
                <w:rFonts w:hint="eastAsia" w:ascii="Times New Roman" w:hAnsi="Times New Roman" w:eastAsia="宋体" w:cs="Times New Roman"/>
                <w:color w:val="auto"/>
                <w:kern w:val="0"/>
                <w:sz w:val="21"/>
                <w:szCs w:val="20"/>
                <w:lang w:val="en-US" w:eastAsia="zh-CN" w:bidi="ar-SA"/>
              </w:rPr>
            </w:pPr>
          </w:p>
        </w:tc>
        <w:tc>
          <w:tcPr>
            <w:tcW w:w="499" w:type="pct"/>
            <w:vMerge w:val="continue"/>
          </w:tcPr>
          <w:p w14:paraId="66F769AE">
            <w:pPr>
              <w:pStyle w:val="59"/>
              <w:rPr>
                <w:rFonts w:hint="default"/>
                <w:color w:val="auto"/>
                <w:lang w:val="en-US" w:eastAsia="zh-CN"/>
              </w:rPr>
            </w:pPr>
          </w:p>
        </w:tc>
        <w:tc>
          <w:tcPr>
            <w:tcW w:w="499" w:type="pct"/>
            <w:vMerge w:val="continue"/>
          </w:tcPr>
          <w:p w14:paraId="30433A6C">
            <w:pPr>
              <w:pStyle w:val="59"/>
              <w:rPr>
                <w:rFonts w:hint="eastAsia"/>
                <w:color w:val="auto"/>
                <w:lang w:val="en-US" w:eastAsia="zh-CN"/>
              </w:rPr>
            </w:pPr>
          </w:p>
        </w:tc>
        <w:tc>
          <w:tcPr>
            <w:tcW w:w="0" w:type="auto"/>
            <w:vAlign w:val="center"/>
          </w:tcPr>
          <w:p w14:paraId="239E1290">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TN</w:t>
            </w:r>
          </w:p>
        </w:tc>
        <w:tc>
          <w:tcPr>
            <w:tcW w:w="0" w:type="auto"/>
            <w:vAlign w:val="center"/>
          </w:tcPr>
          <w:p w14:paraId="1F04F375">
            <w:pPr>
              <w:pStyle w:val="69"/>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bl>
    <w:p w14:paraId="660F5DFC">
      <w:pPr>
        <w:ind w:firstLine="480"/>
        <w:rPr>
          <w:rFonts w:hint="eastAsia"/>
          <w:color w:val="auto"/>
        </w:rPr>
      </w:pPr>
    </w:p>
    <w:p w14:paraId="06E0C71E">
      <w:pPr>
        <w:pStyle w:val="67"/>
        <w:numPr>
          <w:ilvl w:val="1"/>
          <w:numId w:val="8"/>
        </w:numPr>
        <w:spacing w:before="166" w:beforeLines="0" w:after="166" w:afterLines="0"/>
        <w:ind w:left="567" w:leftChars="0" w:hanging="567" w:firstLineChars="0"/>
        <w:rPr>
          <w:color w:val="auto"/>
        </w:rPr>
        <w:sectPr>
          <w:pgSz w:w="16838" w:h="11906" w:orient="landscape"/>
          <w:pgMar w:top="1417" w:right="1417" w:bottom="1417" w:left="1417" w:header="851" w:footer="992" w:gutter="0"/>
          <w:pgNumType w:fmt="decimal"/>
          <w:cols w:space="720" w:num="1"/>
          <w:docGrid w:type="lines" w:linePitch="333" w:charSpace="0"/>
        </w:sectPr>
      </w:pPr>
      <w:bookmarkStart w:id="178" w:name="_Toc65081081"/>
      <w:bookmarkStart w:id="179" w:name="_Toc47871033"/>
      <w:bookmarkStart w:id="180" w:name="_Toc51689741"/>
      <w:bookmarkStart w:id="181" w:name="_Toc65115317"/>
      <w:bookmarkStart w:id="182" w:name="_Toc52330845"/>
      <w:bookmarkStart w:id="183" w:name="_Toc65081277"/>
      <w:bookmarkStart w:id="184" w:name="_Toc52243166"/>
      <w:bookmarkStart w:id="185" w:name="_Toc53740894"/>
      <w:bookmarkStart w:id="186" w:name="_Toc47871144"/>
      <w:bookmarkStart w:id="187" w:name="_Toc69992701"/>
      <w:bookmarkStart w:id="188" w:name="_Toc47869578"/>
      <w:bookmarkStart w:id="189" w:name="_Toc140979308"/>
      <w:bookmarkStart w:id="190" w:name="_Toc141980342"/>
      <w:bookmarkStart w:id="191" w:name="_Toc288161333"/>
      <w:bookmarkStart w:id="192" w:name="_Toc142111847"/>
      <w:bookmarkStart w:id="193" w:name="_Toc142111995"/>
      <w:bookmarkStart w:id="194" w:name="_Toc284354560"/>
      <w:bookmarkStart w:id="195" w:name="_Toc370171694"/>
    </w:p>
    <w:p w14:paraId="5F10EB93">
      <w:pPr>
        <w:pStyle w:val="67"/>
        <w:numPr>
          <w:ilvl w:val="1"/>
          <w:numId w:val="8"/>
        </w:numPr>
        <w:spacing w:before="166" w:beforeLines="0" w:after="166" w:afterLines="0"/>
        <w:ind w:left="567" w:leftChars="0" w:hanging="567" w:firstLineChars="0"/>
        <w:rPr>
          <w:color w:val="auto"/>
        </w:rPr>
      </w:pPr>
      <w:bookmarkStart w:id="196" w:name="_Toc9463"/>
      <w:r>
        <w:rPr>
          <w:rFonts w:hint="eastAsia"/>
          <w:color w:val="auto"/>
        </w:rPr>
        <w:t>废气污染</w:t>
      </w:r>
      <w:bookmarkEnd w:id="178"/>
      <w:bookmarkEnd w:id="179"/>
      <w:bookmarkEnd w:id="180"/>
      <w:bookmarkEnd w:id="181"/>
      <w:bookmarkEnd w:id="182"/>
      <w:bookmarkEnd w:id="183"/>
      <w:bookmarkEnd w:id="184"/>
      <w:bookmarkEnd w:id="185"/>
      <w:bookmarkEnd w:id="186"/>
      <w:bookmarkEnd w:id="187"/>
      <w:bookmarkEnd w:id="188"/>
      <w:r>
        <w:rPr>
          <w:rFonts w:hint="eastAsia"/>
          <w:color w:val="auto"/>
        </w:rPr>
        <w:t>环境保护措施及可行性分析</w:t>
      </w:r>
      <w:bookmarkEnd w:id="189"/>
      <w:bookmarkEnd w:id="190"/>
      <w:bookmarkEnd w:id="191"/>
      <w:bookmarkEnd w:id="192"/>
      <w:bookmarkEnd w:id="193"/>
      <w:bookmarkEnd w:id="194"/>
      <w:bookmarkEnd w:id="195"/>
      <w:bookmarkEnd w:id="196"/>
    </w:p>
    <w:p w14:paraId="451569BE">
      <w:pPr>
        <w:pStyle w:val="64"/>
        <w:numPr>
          <w:ilvl w:val="2"/>
          <w:numId w:val="8"/>
        </w:numPr>
        <w:spacing w:before="166" w:after="166"/>
        <w:ind w:left="709" w:leftChars="0" w:hanging="709"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生产过程控制</w:t>
      </w:r>
    </w:p>
    <w:p w14:paraId="180FD9E7">
      <w:pPr>
        <w:pStyle w:val="57"/>
        <w:ind w:firstLine="480"/>
        <w:rPr>
          <w:color w:val="auto"/>
        </w:rPr>
      </w:pPr>
      <w:r>
        <w:rPr>
          <w:rFonts w:hint="eastAsia"/>
          <w:color w:val="auto"/>
        </w:rPr>
        <w:t>①所有含VOCs的物料需建立完整的购买、使用记录，记录中必须包含物料的名称、VOC含量、物料进出量、计量单位、作业时间以及记录人等。</w:t>
      </w:r>
    </w:p>
    <w:p w14:paraId="41F16103">
      <w:pPr>
        <w:pStyle w:val="57"/>
        <w:ind w:firstLine="480"/>
        <w:rPr>
          <w:color w:val="auto"/>
        </w:rPr>
      </w:pPr>
      <w:r>
        <w:rPr>
          <w:rFonts w:hint="eastAsia"/>
          <w:color w:val="auto"/>
        </w:rPr>
        <w:t>②涂料均需储存在密闭的原料仓库，液体原料储存在密闭的储罐内。</w:t>
      </w:r>
    </w:p>
    <w:p w14:paraId="76BCB470">
      <w:pPr>
        <w:pStyle w:val="57"/>
        <w:ind w:firstLine="480"/>
        <w:rPr>
          <w:color w:val="auto"/>
        </w:rPr>
      </w:pPr>
      <w:r>
        <w:rPr>
          <w:rFonts w:hint="eastAsia"/>
          <w:color w:val="auto"/>
        </w:rPr>
        <w:t>③企业对员工加强教育和要求，保持进出时及时关上</w:t>
      </w:r>
      <w:r>
        <w:rPr>
          <w:rFonts w:hint="eastAsia"/>
          <w:color w:val="auto"/>
          <w:lang w:val="en-US" w:eastAsia="zh-CN"/>
        </w:rPr>
        <w:t>印刷</w:t>
      </w:r>
      <w:r>
        <w:rPr>
          <w:rFonts w:hint="eastAsia"/>
          <w:color w:val="auto"/>
        </w:rPr>
        <w:t>区门以保证</w:t>
      </w:r>
      <w:r>
        <w:rPr>
          <w:color w:val="auto"/>
        </w:rPr>
        <w:t>废气收集</w:t>
      </w:r>
      <w:r>
        <w:rPr>
          <w:rFonts w:hint="eastAsia"/>
          <w:color w:val="auto"/>
        </w:rPr>
        <w:t>效</w:t>
      </w:r>
      <w:r>
        <w:rPr>
          <w:color w:val="auto"/>
        </w:rPr>
        <w:t>率</w:t>
      </w:r>
      <w:r>
        <w:rPr>
          <w:rFonts w:hint="eastAsia"/>
          <w:color w:val="auto"/>
        </w:rPr>
        <w:t>。</w:t>
      </w:r>
    </w:p>
    <w:p w14:paraId="0E096D6A">
      <w:pPr>
        <w:pStyle w:val="57"/>
        <w:ind w:firstLine="480"/>
        <w:rPr>
          <w:color w:val="auto"/>
        </w:rPr>
      </w:pPr>
      <w:r>
        <w:rPr>
          <w:rFonts w:hint="eastAsia"/>
          <w:color w:val="auto"/>
        </w:rPr>
        <w:t>④调漆应在密闭</w:t>
      </w:r>
      <w:r>
        <w:rPr>
          <w:rFonts w:hint="eastAsia"/>
          <w:color w:val="auto"/>
          <w:lang w:val="en-US" w:eastAsia="zh-CN"/>
        </w:rPr>
        <w:t>印刷</w:t>
      </w:r>
      <w:r>
        <w:rPr>
          <w:rFonts w:hint="eastAsia"/>
          <w:color w:val="auto"/>
        </w:rPr>
        <w:t>区内，不应在原料仓库。未使用完的</w:t>
      </w:r>
      <w:r>
        <w:rPr>
          <w:rFonts w:hint="eastAsia"/>
          <w:color w:val="auto"/>
          <w:lang w:val="en-US" w:eastAsia="zh-CN"/>
        </w:rPr>
        <w:t>油墨、稀释剂</w:t>
      </w:r>
      <w:r>
        <w:rPr>
          <w:rFonts w:hint="eastAsia"/>
          <w:color w:val="auto"/>
        </w:rPr>
        <w:t>应及时加盖储存，使用完的</w:t>
      </w:r>
      <w:r>
        <w:rPr>
          <w:rFonts w:hint="eastAsia"/>
          <w:color w:val="auto"/>
          <w:lang w:val="en-US" w:eastAsia="zh-CN"/>
        </w:rPr>
        <w:t>油墨</w:t>
      </w:r>
      <w:r>
        <w:rPr>
          <w:rFonts w:hint="eastAsia"/>
          <w:color w:val="auto"/>
        </w:rPr>
        <w:t>桶应及时</w:t>
      </w:r>
      <w:r>
        <w:rPr>
          <w:rFonts w:hint="eastAsia"/>
          <w:color w:val="auto"/>
          <w:lang w:val="en-US" w:eastAsia="zh-CN"/>
        </w:rPr>
        <w:t>密封</w:t>
      </w:r>
      <w:r>
        <w:rPr>
          <w:rFonts w:hint="eastAsia"/>
          <w:color w:val="auto"/>
        </w:rPr>
        <w:t>放置放危废仓库。</w:t>
      </w:r>
    </w:p>
    <w:p w14:paraId="3F50A00C">
      <w:pPr>
        <w:pStyle w:val="64"/>
        <w:numPr>
          <w:ilvl w:val="2"/>
          <w:numId w:val="8"/>
        </w:numPr>
        <w:spacing w:before="166" w:after="166"/>
        <w:ind w:left="709" w:leftChars="0" w:hanging="709" w:firstLineChars="0"/>
        <w:rPr>
          <w:rFonts w:hint="eastAsia" w:ascii="Times New Roman" w:hAnsi="Times New Roman" w:eastAsia="宋体" w:cs="Times New Roman"/>
          <w:color w:val="auto"/>
          <w:lang w:val="en-US" w:eastAsia="zh-CN"/>
        </w:rPr>
      </w:pPr>
      <w:r>
        <w:rPr>
          <w:rFonts w:hint="eastAsia"/>
          <w:color w:val="auto"/>
          <w:lang w:val="en-US" w:eastAsia="zh-CN"/>
        </w:rPr>
        <w:t>调墨、印刷、烘干、洗机、危废贮存</w:t>
      </w:r>
      <w:r>
        <w:rPr>
          <w:rFonts w:hint="eastAsia" w:ascii="Times New Roman" w:hAnsi="Times New Roman" w:eastAsia="宋体" w:cs="Times New Roman"/>
          <w:color w:val="auto"/>
          <w:lang w:val="en-US" w:eastAsia="zh-CN"/>
        </w:rPr>
        <w:t>末端治理措施</w:t>
      </w:r>
    </w:p>
    <w:p w14:paraId="4CD56B61">
      <w:pPr>
        <w:pStyle w:val="65"/>
        <w:bidi w:val="0"/>
      </w:pPr>
      <w:r>
        <w:rPr>
          <w:rFonts w:hint="eastAsia"/>
        </w:rPr>
        <w:t>1、废气收集方案</w:t>
      </w:r>
    </w:p>
    <w:p w14:paraId="0FFCB9A9">
      <w:pPr>
        <w:bidi w:val="0"/>
      </w:pPr>
      <w:r>
        <w:rPr>
          <w:rFonts w:hint="eastAsia"/>
          <w:color w:val="auto"/>
          <w:lang w:val="en-US" w:eastAsia="zh-CN"/>
        </w:rPr>
        <w:t>烘干废气经密闭收集后经减风增浓后引入RTO 废气治理设施进行处理，调墨、印刷、洗机、危废贮存废气先经“干式过滤+旋转式分子筛吸附-脱附”处理后再引入RTO 废气治理设施进行处理，处理后与</w:t>
      </w:r>
      <w:r>
        <w:rPr>
          <w:color w:val="auto"/>
        </w:rPr>
        <w:t xml:space="preserve"> RTO 燃料废气一起排放，</w:t>
      </w:r>
      <w:r>
        <w:t>本次评价拟采用单层密闭负压收集的方式进行收集，项目有机废气收集方式详见下表。</w:t>
      </w:r>
    </w:p>
    <w:p w14:paraId="122E1C52">
      <w:pPr>
        <w:pStyle w:val="62"/>
        <w:numPr>
          <w:ilvl w:val="0"/>
          <w:numId w:val="51"/>
        </w:numPr>
        <w:bidi w:val="0"/>
        <w:ind w:left="0" w:leftChars="0" w:firstLine="0" w:firstLineChars="0"/>
      </w:pPr>
      <w:r>
        <w:t>本项目有机废气收集方式一览表</w:t>
      </w:r>
    </w:p>
    <w:tbl>
      <w:tblPr>
        <w:tblStyle w:val="105"/>
        <w:tblW w:w="9166" w:type="dxa"/>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47"/>
        <w:gridCol w:w="4147"/>
        <w:gridCol w:w="2772"/>
      </w:tblGrid>
      <w:tr w14:paraId="67CFD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247" w:type="dxa"/>
            <w:tcBorders>
              <w:top w:val="single" w:color="000000" w:sz="16" w:space="0"/>
              <w:left w:val="nil"/>
            </w:tcBorders>
            <w:vAlign w:val="center"/>
          </w:tcPr>
          <w:p w14:paraId="7BB71D86">
            <w:pPr>
              <w:pStyle w:val="59"/>
              <w:bidi w:val="0"/>
              <w:jc w:val="center"/>
            </w:pPr>
            <w:r>
              <w:t>车间/生产线</w:t>
            </w:r>
          </w:p>
        </w:tc>
        <w:tc>
          <w:tcPr>
            <w:tcW w:w="4147" w:type="dxa"/>
            <w:tcBorders>
              <w:top w:val="single" w:color="000000" w:sz="16" w:space="0"/>
            </w:tcBorders>
            <w:vAlign w:val="center"/>
          </w:tcPr>
          <w:p w14:paraId="02C8DE89">
            <w:pPr>
              <w:pStyle w:val="59"/>
              <w:bidi w:val="0"/>
              <w:jc w:val="center"/>
            </w:pPr>
            <w:r>
              <w:t>有机废气类型</w:t>
            </w:r>
          </w:p>
        </w:tc>
        <w:tc>
          <w:tcPr>
            <w:tcW w:w="2772" w:type="dxa"/>
            <w:tcBorders>
              <w:top w:val="single" w:color="000000" w:sz="16" w:space="0"/>
              <w:right w:val="nil"/>
            </w:tcBorders>
            <w:vAlign w:val="center"/>
          </w:tcPr>
          <w:p w14:paraId="583FB294">
            <w:pPr>
              <w:pStyle w:val="59"/>
              <w:bidi w:val="0"/>
              <w:jc w:val="center"/>
            </w:pPr>
            <w:r>
              <w:t>废气收集方式</w:t>
            </w:r>
          </w:p>
        </w:tc>
      </w:tr>
      <w:tr w14:paraId="3031C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247" w:type="dxa"/>
            <w:tcBorders>
              <w:left w:val="nil"/>
            </w:tcBorders>
            <w:vAlign w:val="center"/>
          </w:tcPr>
          <w:p w14:paraId="5B3D6EFE">
            <w:pPr>
              <w:pStyle w:val="59"/>
              <w:bidi w:val="0"/>
              <w:jc w:val="center"/>
              <w:rPr>
                <w:rFonts w:hint="default"/>
                <w:lang w:val="en-US"/>
              </w:rPr>
            </w:pPr>
            <w:r>
              <w:rPr>
                <w:rFonts w:hint="eastAsia"/>
                <w:lang w:val="en-US" w:eastAsia="zh-CN"/>
              </w:rPr>
              <w:t>2台印刷机的烘箱</w:t>
            </w:r>
          </w:p>
        </w:tc>
        <w:tc>
          <w:tcPr>
            <w:tcW w:w="4147" w:type="dxa"/>
            <w:vAlign w:val="center"/>
          </w:tcPr>
          <w:p w14:paraId="6A3F174C">
            <w:pPr>
              <w:pStyle w:val="59"/>
              <w:bidi w:val="0"/>
              <w:jc w:val="center"/>
            </w:pPr>
            <w:r>
              <w:t>烘干废气</w:t>
            </w:r>
          </w:p>
        </w:tc>
        <w:tc>
          <w:tcPr>
            <w:tcW w:w="2772" w:type="dxa"/>
            <w:tcBorders>
              <w:right w:val="nil"/>
            </w:tcBorders>
            <w:vAlign w:val="center"/>
          </w:tcPr>
          <w:p w14:paraId="58A970FE">
            <w:pPr>
              <w:pStyle w:val="59"/>
              <w:bidi w:val="0"/>
              <w:jc w:val="center"/>
            </w:pPr>
            <w:r>
              <w:rPr>
                <w:rFonts w:hint="eastAsia"/>
                <w:lang w:val="en-US" w:eastAsia="zh-CN"/>
              </w:rPr>
              <w:t>烘箱</w:t>
            </w:r>
            <w:r>
              <w:t>密闭+减风增浓</w:t>
            </w:r>
          </w:p>
        </w:tc>
      </w:tr>
      <w:tr w14:paraId="44E8F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247" w:type="dxa"/>
            <w:tcBorders>
              <w:left w:val="nil"/>
            </w:tcBorders>
            <w:vAlign w:val="center"/>
          </w:tcPr>
          <w:p w14:paraId="6446A86C">
            <w:pPr>
              <w:pStyle w:val="59"/>
              <w:bidi w:val="0"/>
              <w:jc w:val="center"/>
            </w:pPr>
            <w:r>
              <w:t>印刷车间</w:t>
            </w:r>
          </w:p>
        </w:tc>
        <w:tc>
          <w:tcPr>
            <w:tcW w:w="4147" w:type="dxa"/>
            <w:vAlign w:val="center"/>
          </w:tcPr>
          <w:p w14:paraId="517D49CC">
            <w:pPr>
              <w:pStyle w:val="59"/>
              <w:bidi w:val="0"/>
              <w:jc w:val="center"/>
            </w:pPr>
            <w:r>
              <w:rPr>
                <w:rFonts w:hint="eastAsia"/>
                <w:lang w:val="en-US" w:eastAsia="zh-CN"/>
              </w:rPr>
              <w:t>无组织排放的</w:t>
            </w:r>
            <w:r>
              <w:t>印刷、烘干</w:t>
            </w:r>
            <w:r>
              <w:rPr>
                <w:rFonts w:hint="eastAsia"/>
                <w:lang w:eastAsia="zh-CN"/>
              </w:rPr>
              <w:t>、</w:t>
            </w:r>
            <w:r>
              <w:t>调墨、</w:t>
            </w:r>
            <w:r>
              <w:rPr>
                <w:rFonts w:hint="eastAsia"/>
                <w:lang w:val="en-US" w:eastAsia="zh-CN"/>
              </w:rPr>
              <w:t>洗机</w:t>
            </w:r>
            <w:r>
              <w:t>废气</w:t>
            </w:r>
          </w:p>
        </w:tc>
        <w:tc>
          <w:tcPr>
            <w:tcW w:w="2772" w:type="dxa"/>
            <w:tcBorders>
              <w:right w:val="nil"/>
            </w:tcBorders>
            <w:vAlign w:val="center"/>
          </w:tcPr>
          <w:p w14:paraId="1A4F7A87">
            <w:pPr>
              <w:pStyle w:val="59"/>
              <w:bidi w:val="0"/>
              <w:jc w:val="center"/>
            </w:pPr>
            <w:r>
              <w:t>单层负压密闭收集</w:t>
            </w:r>
          </w:p>
        </w:tc>
      </w:tr>
      <w:tr w14:paraId="5859F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247" w:type="dxa"/>
            <w:tcBorders>
              <w:left w:val="nil"/>
              <w:bottom w:val="single" w:color="000000" w:sz="16" w:space="0"/>
            </w:tcBorders>
            <w:vAlign w:val="center"/>
          </w:tcPr>
          <w:p w14:paraId="07691A24">
            <w:pPr>
              <w:pStyle w:val="59"/>
              <w:bidi w:val="0"/>
              <w:jc w:val="center"/>
              <w:rPr>
                <w:rFonts w:hint="default" w:eastAsia="宋体"/>
                <w:lang w:val="en-US" w:eastAsia="zh-CN"/>
              </w:rPr>
            </w:pPr>
            <w:r>
              <w:rPr>
                <w:rFonts w:hint="eastAsia"/>
                <w:lang w:val="en-US" w:eastAsia="zh-CN"/>
              </w:rPr>
              <w:t>危废暂存间</w:t>
            </w:r>
          </w:p>
        </w:tc>
        <w:tc>
          <w:tcPr>
            <w:tcW w:w="4147" w:type="dxa"/>
            <w:tcBorders>
              <w:bottom w:val="single" w:color="000000" w:sz="16" w:space="0"/>
            </w:tcBorders>
            <w:vAlign w:val="center"/>
          </w:tcPr>
          <w:p w14:paraId="1567365B">
            <w:pPr>
              <w:pStyle w:val="59"/>
              <w:bidi w:val="0"/>
              <w:jc w:val="center"/>
              <w:rPr>
                <w:rFonts w:hint="default"/>
                <w:lang w:val="en-US"/>
              </w:rPr>
            </w:pPr>
            <w:r>
              <w:rPr>
                <w:rFonts w:hint="eastAsia"/>
                <w:lang w:val="en-US" w:eastAsia="zh-CN"/>
              </w:rPr>
              <w:t>危废暂存废气</w:t>
            </w:r>
          </w:p>
        </w:tc>
        <w:tc>
          <w:tcPr>
            <w:tcW w:w="2772" w:type="dxa"/>
            <w:tcBorders>
              <w:bottom w:val="single" w:color="000000" w:sz="16" w:space="0"/>
              <w:right w:val="nil"/>
            </w:tcBorders>
            <w:vAlign w:val="center"/>
          </w:tcPr>
          <w:p w14:paraId="000DA947">
            <w:pPr>
              <w:pStyle w:val="59"/>
              <w:bidi w:val="0"/>
              <w:jc w:val="center"/>
            </w:pPr>
            <w:r>
              <w:t>单层负压密闭收集</w:t>
            </w:r>
          </w:p>
        </w:tc>
      </w:tr>
    </w:tbl>
    <w:p w14:paraId="212B71EE">
      <w:pPr>
        <w:bidi w:val="0"/>
      </w:pPr>
      <w:r>
        <w:t>1）印刷线密闭所需风量核算</w:t>
      </w:r>
    </w:p>
    <w:p w14:paraId="0D2B6654">
      <w:pPr>
        <w:bidi w:val="0"/>
      </w:pPr>
      <w:r>
        <w:t>项目设置</w:t>
      </w:r>
      <w:r>
        <w:rPr>
          <w:rFonts w:hint="eastAsia"/>
          <w:lang w:val="en-US" w:eastAsia="zh-CN"/>
        </w:rPr>
        <w:t>2台印刷机</w:t>
      </w:r>
      <w:r>
        <w:t>，</w:t>
      </w:r>
      <w:r>
        <w:rPr>
          <w:rFonts w:hint="eastAsia"/>
          <w:lang w:val="en-US" w:eastAsia="zh-CN"/>
        </w:rPr>
        <w:t>烘箱</w:t>
      </w:r>
      <w:r>
        <w:t>设置密闭罩微负压收集印刷过程产生的有机废气，密闭罩只留产品进出口，根据设备供应商提供的印刷机设备说明，减风增浓后风量参与自循环风箱微负压设计每色组最大排风量 1000m³/h，减风以后最大排风量 10000m³/h，每色组风量大小由单独的变频器控制，因此，</w:t>
      </w:r>
      <w:r>
        <w:rPr>
          <w:rFonts w:hint="eastAsia"/>
          <w:lang w:val="en-US" w:eastAsia="zh-CN"/>
        </w:rPr>
        <w:t>2台印刷机烘箱</w:t>
      </w:r>
      <w:r>
        <w:t>的排风量为</w:t>
      </w:r>
      <w:r>
        <w:rPr>
          <w:rFonts w:hint="eastAsia"/>
          <w:lang w:val="en-US" w:eastAsia="zh-CN"/>
        </w:rPr>
        <w:t>22</w:t>
      </w:r>
      <w:r>
        <w:t>000m³/h。</w:t>
      </w:r>
    </w:p>
    <w:p w14:paraId="4EB96E99">
      <w:pPr>
        <w:pStyle w:val="62"/>
        <w:numPr>
          <w:ilvl w:val="0"/>
          <w:numId w:val="51"/>
        </w:numPr>
        <w:bidi w:val="0"/>
        <w:ind w:left="0" w:leftChars="0" w:firstLine="0" w:firstLineChars="0"/>
        <w:rPr>
          <w:rFonts w:ascii="Times New Roman" w:hAnsi="Times New Roman" w:eastAsia="宋体" w:cs="Times New Roman"/>
        </w:rPr>
      </w:pPr>
      <w:r>
        <w:rPr>
          <w:rFonts w:ascii="Times New Roman" w:hAnsi="Times New Roman" w:eastAsia="宋体" w:cs="Times New Roman"/>
        </w:rPr>
        <w:t>本项目</w:t>
      </w:r>
      <w:r>
        <w:rPr>
          <w:rFonts w:hint="eastAsia" w:ascii="Times New Roman" w:hAnsi="Times New Roman" w:eastAsia="宋体" w:cs="Times New Roman"/>
          <w:lang w:val="en-US" w:eastAsia="zh-CN"/>
        </w:rPr>
        <w:t>烘箱</w:t>
      </w:r>
      <w:r>
        <w:rPr>
          <w:rFonts w:ascii="Times New Roman" w:hAnsi="Times New Roman" w:eastAsia="宋体" w:cs="Times New Roman"/>
        </w:rPr>
        <w:t>所需风量一览表</w:t>
      </w:r>
    </w:p>
    <w:tbl>
      <w:tblPr>
        <w:tblStyle w:val="105"/>
        <w:tblW w:w="929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3"/>
        <w:gridCol w:w="2323"/>
        <w:gridCol w:w="2323"/>
        <w:gridCol w:w="2325"/>
      </w:tblGrid>
      <w:tr w14:paraId="29CF1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blHeader/>
        </w:trPr>
        <w:tc>
          <w:tcPr>
            <w:tcW w:w="2323" w:type="dxa"/>
            <w:tcBorders>
              <w:top w:val="single" w:color="000000" w:sz="16" w:space="0"/>
              <w:left w:val="nil"/>
            </w:tcBorders>
            <w:vAlign w:val="center"/>
          </w:tcPr>
          <w:p w14:paraId="73D20D11">
            <w:pPr>
              <w:pStyle w:val="59"/>
              <w:bidi w:val="0"/>
              <w:jc w:val="center"/>
            </w:pPr>
            <w:r>
              <w:t>污染源</w:t>
            </w:r>
          </w:p>
        </w:tc>
        <w:tc>
          <w:tcPr>
            <w:tcW w:w="2323" w:type="dxa"/>
            <w:tcBorders>
              <w:top w:val="single" w:color="000000" w:sz="16" w:space="0"/>
            </w:tcBorders>
            <w:vAlign w:val="center"/>
          </w:tcPr>
          <w:p w14:paraId="1AD54858">
            <w:pPr>
              <w:pStyle w:val="59"/>
              <w:bidi w:val="0"/>
              <w:jc w:val="center"/>
            </w:pPr>
            <w:r>
              <w:t>印刷机类型</w:t>
            </w:r>
          </w:p>
        </w:tc>
        <w:tc>
          <w:tcPr>
            <w:tcW w:w="2323" w:type="dxa"/>
            <w:tcBorders>
              <w:top w:val="single" w:color="000000" w:sz="16" w:space="0"/>
            </w:tcBorders>
            <w:vAlign w:val="center"/>
          </w:tcPr>
          <w:p w14:paraId="63534ED3">
            <w:pPr>
              <w:pStyle w:val="59"/>
              <w:bidi w:val="0"/>
              <w:jc w:val="center"/>
            </w:pPr>
            <w:r>
              <w:t>设计每色组最大风量</w:t>
            </w:r>
          </w:p>
          <w:p w14:paraId="55126F3C">
            <w:pPr>
              <w:pStyle w:val="59"/>
              <w:bidi w:val="0"/>
              <w:jc w:val="center"/>
            </w:pPr>
            <w:r>
              <w:t>（m</w:t>
            </w:r>
            <w:r>
              <w:rPr>
                <w:vertAlign w:val="superscript"/>
              </w:rPr>
              <w:t>3</w:t>
            </w:r>
            <w:r>
              <w:t>/h）</w:t>
            </w:r>
          </w:p>
        </w:tc>
        <w:tc>
          <w:tcPr>
            <w:tcW w:w="2325" w:type="dxa"/>
            <w:tcBorders>
              <w:top w:val="single" w:color="000000" w:sz="16" w:space="0"/>
              <w:right w:val="nil"/>
            </w:tcBorders>
            <w:vAlign w:val="center"/>
          </w:tcPr>
          <w:p w14:paraId="538FF397">
            <w:pPr>
              <w:pStyle w:val="59"/>
              <w:bidi w:val="0"/>
              <w:jc w:val="center"/>
            </w:pPr>
            <w:r>
              <w:t>排风量（m</w:t>
            </w:r>
            <w:r>
              <w:rPr>
                <w:vertAlign w:val="superscript"/>
              </w:rPr>
              <w:t>3</w:t>
            </w:r>
            <w:r>
              <w:t>/h）</w:t>
            </w:r>
          </w:p>
        </w:tc>
      </w:tr>
      <w:tr w14:paraId="072C3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323" w:type="dxa"/>
            <w:tcBorders>
              <w:left w:val="nil"/>
            </w:tcBorders>
            <w:vAlign w:val="center"/>
          </w:tcPr>
          <w:p w14:paraId="18547C13">
            <w:pPr>
              <w:pStyle w:val="59"/>
              <w:bidi w:val="0"/>
              <w:jc w:val="center"/>
            </w:pPr>
            <w:r>
              <w:rPr>
                <w:rFonts w:hint="eastAsia"/>
                <w:lang w:val="en-US" w:eastAsia="zh-CN"/>
              </w:rPr>
              <w:t>十色印刷机</w:t>
            </w:r>
          </w:p>
        </w:tc>
        <w:tc>
          <w:tcPr>
            <w:tcW w:w="2323" w:type="dxa"/>
            <w:vAlign w:val="center"/>
          </w:tcPr>
          <w:p w14:paraId="3742EFD4">
            <w:pPr>
              <w:pStyle w:val="59"/>
              <w:bidi w:val="0"/>
              <w:jc w:val="center"/>
            </w:pPr>
            <w:r>
              <w:t>10 色</w:t>
            </w:r>
          </w:p>
        </w:tc>
        <w:tc>
          <w:tcPr>
            <w:tcW w:w="2323" w:type="dxa"/>
            <w:vAlign w:val="center"/>
          </w:tcPr>
          <w:p w14:paraId="08BCC9D6">
            <w:pPr>
              <w:pStyle w:val="59"/>
              <w:bidi w:val="0"/>
              <w:jc w:val="center"/>
            </w:pPr>
            <w:r>
              <w:t>1000</w:t>
            </w:r>
          </w:p>
        </w:tc>
        <w:tc>
          <w:tcPr>
            <w:tcW w:w="2325" w:type="dxa"/>
            <w:tcBorders>
              <w:right w:val="nil"/>
            </w:tcBorders>
            <w:vAlign w:val="center"/>
          </w:tcPr>
          <w:p w14:paraId="049282BD">
            <w:pPr>
              <w:pStyle w:val="59"/>
              <w:bidi w:val="0"/>
              <w:jc w:val="center"/>
            </w:pPr>
            <w:r>
              <w:rPr>
                <w:rFonts w:hint="eastAsia"/>
                <w:lang w:val="en-US" w:eastAsia="zh-CN"/>
              </w:rPr>
              <w:t>1</w:t>
            </w:r>
            <w:r>
              <w:t>0000</w:t>
            </w:r>
          </w:p>
        </w:tc>
      </w:tr>
      <w:tr w14:paraId="76202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2323" w:type="dxa"/>
            <w:tcBorders>
              <w:left w:val="nil"/>
              <w:bottom w:val="single" w:color="000000" w:sz="16" w:space="0"/>
            </w:tcBorders>
            <w:vAlign w:val="center"/>
          </w:tcPr>
          <w:p w14:paraId="04EA4047">
            <w:pPr>
              <w:pStyle w:val="59"/>
              <w:bidi w:val="0"/>
              <w:jc w:val="center"/>
            </w:pPr>
            <w:r>
              <w:rPr>
                <w:rFonts w:hint="eastAsia"/>
                <w:lang w:val="en-US" w:eastAsia="zh-CN"/>
              </w:rPr>
              <w:t>十一色印刷机</w:t>
            </w:r>
          </w:p>
        </w:tc>
        <w:tc>
          <w:tcPr>
            <w:tcW w:w="2323" w:type="dxa"/>
            <w:tcBorders>
              <w:bottom w:val="single" w:color="000000" w:sz="16" w:space="0"/>
            </w:tcBorders>
            <w:vAlign w:val="center"/>
          </w:tcPr>
          <w:p w14:paraId="2AD43CFA">
            <w:pPr>
              <w:pStyle w:val="59"/>
              <w:bidi w:val="0"/>
              <w:jc w:val="center"/>
            </w:pPr>
            <w:r>
              <w:t>1</w:t>
            </w:r>
            <w:r>
              <w:rPr>
                <w:rFonts w:hint="eastAsia"/>
                <w:lang w:val="en-US" w:eastAsia="zh-CN"/>
              </w:rPr>
              <w:t>1</w:t>
            </w:r>
            <w:r>
              <w:t>色</w:t>
            </w:r>
          </w:p>
        </w:tc>
        <w:tc>
          <w:tcPr>
            <w:tcW w:w="2323" w:type="dxa"/>
            <w:tcBorders>
              <w:bottom w:val="single" w:color="000000" w:sz="16" w:space="0"/>
            </w:tcBorders>
            <w:vAlign w:val="center"/>
          </w:tcPr>
          <w:p w14:paraId="662ADCD3">
            <w:pPr>
              <w:pStyle w:val="59"/>
              <w:bidi w:val="0"/>
              <w:jc w:val="center"/>
            </w:pPr>
            <w:r>
              <w:t>1000</w:t>
            </w:r>
          </w:p>
        </w:tc>
        <w:tc>
          <w:tcPr>
            <w:tcW w:w="2325" w:type="dxa"/>
            <w:tcBorders>
              <w:bottom w:val="single" w:color="000000" w:sz="16" w:space="0"/>
              <w:right w:val="nil"/>
            </w:tcBorders>
            <w:vAlign w:val="center"/>
          </w:tcPr>
          <w:p w14:paraId="7786EED0">
            <w:pPr>
              <w:pStyle w:val="59"/>
              <w:bidi w:val="0"/>
              <w:jc w:val="center"/>
              <w:rPr>
                <w:rFonts w:hint="default" w:eastAsia="宋体"/>
                <w:lang w:val="en-US" w:eastAsia="zh-CN"/>
              </w:rPr>
            </w:pPr>
            <w:r>
              <w:rPr>
                <w:rFonts w:hint="eastAsia"/>
                <w:lang w:val="en-US" w:eastAsia="zh-CN"/>
              </w:rPr>
              <w:t>11000</w:t>
            </w:r>
          </w:p>
        </w:tc>
      </w:tr>
    </w:tbl>
    <w:p w14:paraId="5039CCE5">
      <w:pPr>
        <w:bidi w:val="0"/>
      </w:pPr>
      <w:r>
        <w:t>2）印刷车间整体密闭收集所需风量</w:t>
      </w:r>
    </w:p>
    <w:p w14:paraId="17D551CA">
      <w:pPr>
        <w:bidi w:val="0"/>
      </w:pPr>
      <w:r>
        <w:rPr>
          <w:rFonts w:hint="eastAsia"/>
          <w:lang w:val="en-US" w:eastAsia="zh-CN"/>
        </w:rPr>
        <w:t>印刷车间内</w:t>
      </w:r>
      <w:r>
        <w:t>的印刷、调墨、</w:t>
      </w:r>
      <w:r>
        <w:rPr>
          <w:rFonts w:hint="eastAsia"/>
          <w:lang w:val="en-US" w:eastAsia="zh-CN"/>
        </w:rPr>
        <w:t>洗机</w:t>
      </w:r>
      <w:r>
        <w:t>和烘干</w:t>
      </w:r>
      <w:r>
        <w:rPr>
          <w:rFonts w:hint="eastAsia"/>
          <w:lang w:val="en-US" w:eastAsia="zh-CN"/>
        </w:rPr>
        <w:t>无组织</w:t>
      </w:r>
      <w:r>
        <w:t>废气采用整体密闭负压收集，根据《三废处理工程技术手册 废气卷》 （刘天齐主编，化学工业出版社，1999 版）通风量 L=换气次数 n×通风房间体积 V ，有害气体尘埃发起地的每小时换气次数为 20 次，本项目整体收集的废气换气次数按 20次/h，则印刷车间废气收集风量详见下表。</w:t>
      </w:r>
    </w:p>
    <w:p w14:paraId="12DC6FF1">
      <w:pPr>
        <w:pStyle w:val="62"/>
        <w:numPr>
          <w:ilvl w:val="0"/>
          <w:numId w:val="51"/>
        </w:numPr>
        <w:bidi w:val="0"/>
        <w:ind w:left="0" w:leftChars="0" w:firstLine="0" w:firstLineChars="0"/>
        <w:rPr>
          <w:rFonts w:ascii="Times New Roman" w:hAnsi="Times New Roman" w:eastAsia="宋体" w:cs="Times New Roman"/>
        </w:rPr>
      </w:pPr>
      <w:r>
        <w:rPr>
          <w:rFonts w:ascii="Times New Roman" w:hAnsi="Times New Roman" w:eastAsia="宋体" w:cs="Times New Roman"/>
        </w:rPr>
        <w:t>项目印刷车间废气收集风量一览表</w:t>
      </w:r>
    </w:p>
    <w:tbl>
      <w:tblPr>
        <w:tblStyle w:val="105"/>
        <w:tblW w:w="9042"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6"/>
        <w:gridCol w:w="1851"/>
        <w:gridCol w:w="1627"/>
        <w:gridCol w:w="1752"/>
        <w:gridCol w:w="1976"/>
      </w:tblGrid>
      <w:tr w14:paraId="5A09E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36" w:type="dxa"/>
            <w:tcBorders>
              <w:top w:val="single" w:color="000000" w:sz="16" w:space="0"/>
              <w:left w:val="nil"/>
            </w:tcBorders>
            <w:vAlign w:val="top"/>
          </w:tcPr>
          <w:p w14:paraId="15540F09">
            <w:pPr>
              <w:pStyle w:val="59"/>
              <w:bidi w:val="0"/>
            </w:pPr>
            <w:r>
              <w:t>单元</w:t>
            </w:r>
          </w:p>
        </w:tc>
        <w:tc>
          <w:tcPr>
            <w:tcW w:w="1851" w:type="dxa"/>
            <w:tcBorders>
              <w:top w:val="single" w:color="000000" w:sz="16" w:space="0"/>
            </w:tcBorders>
            <w:vAlign w:val="top"/>
          </w:tcPr>
          <w:p w14:paraId="2DE42C83">
            <w:pPr>
              <w:pStyle w:val="59"/>
              <w:bidi w:val="0"/>
            </w:pPr>
            <w:r>
              <w:t>密闭区域大小</w:t>
            </w:r>
          </w:p>
        </w:tc>
        <w:tc>
          <w:tcPr>
            <w:tcW w:w="1627" w:type="dxa"/>
            <w:tcBorders>
              <w:top w:val="single" w:color="000000" w:sz="16" w:space="0"/>
            </w:tcBorders>
            <w:vAlign w:val="top"/>
          </w:tcPr>
          <w:p w14:paraId="71A18CA0">
            <w:pPr>
              <w:pStyle w:val="59"/>
              <w:bidi w:val="0"/>
            </w:pPr>
            <w:r>
              <w:t>换风次数（次</w:t>
            </w:r>
          </w:p>
          <w:p w14:paraId="459D359B">
            <w:pPr>
              <w:pStyle w:val="59"/>
              <w:bidi w:val="0"/>
            </w:pPr>
            <w:r>
              <w:t>/h）</w:t>
            </w:r>
          </w:p>
        </w:tc>
        <w:tc>
          <w:tcPr>
            <w:tcW w:w="1752" w:type="dxa"/>
            <w:tcBorders>
              <w:top w:val="single" w:color="000000" w:sz="16" w:space="0"/>
            </w:tcBorders>
            <w:vAlign w:val="top"/>
          </w:tcPr>
          <w:p w14:paraId="18AE0DC7">
            <w:pPr>
              <w:pStyle w:val="59"/>
              <w:bidi w:val="0"/>
            </w:pPr>
            <w:r>
              <w:t>通风量（m</w:t>
            </w:r>
            <w:r>
              <w:rPr>
                <w:vertAlign w:val="superscript"/>
              </w:rPr>
              <w:t>3</w:t>
            </w:r>
            <w:r>
              <w:t>/h）</w:t>
            </w:r>
          </w:p>
        </w:tc>
        <w:tc>
          <w:tcPr>
            <w:tcW w:w="1976" w:type="dxa"/>
            <w:tcBorders>
              <w:top w:val="single" w:color="000000" w:sz="16" w:space="0"/>
              <w:right w:val="nil"/>
            </w:tcBorders>
            <w:vAlign w:val="top"/>
          </w:tcPr>
          <w:p w14:paraId="2196FD9F">
            <w:pPr>
              <w:pStyle w:val="59"/>
              <w:bidi w:val="0"/>
            </w:pPr>
            <w:r>
              <w:t>排风量（m</w:t>
            </w:r>
            <w:r>
              <w:rPr>
                <w:vertAlign w:val="superscript"/>
              </w:rPr>
              <w:t>3</w:t>
            </w:r>
            <w:r>
              <w:t>/h）</w:t>
            </w:r>
          </w:p>
        </w:tc>
      </w:tr>
      <w:tr w14:paraId="64F81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36" w:type="dxa"/>
            <w:tcBorders>
              <w:left w:val="nil"/>
            </w:tcBorders>
            <w:vAlign w:val="top"/>
          </w:tcPr>
          <w:p w14:paraId="498C18C3">
            <w:pPr>
              <w:pStyle w:val="59"/>
              <w:bidi w:val="0"/>
            </w:pPr>
            <w:r>
              <w:t>印刷车间</w:t>
            </w:r>
          </w:p>
        </w:tc>
        <w:tc>
          <w:tcPr>
            <w:tcW w:w="1851" w:type="dxa"/>
            <w:vAlign w:val="top"/>
          </w:tcPr>
          <w:p w14:paraId="158CFE95">
            <w:pPr>
              <w:pStyle w:val="59"/>
              <w:bidi w:val="0"/>
              <w:rPr>
                <w:rFonts w:hint="default" w:eastAsia="宋体"/>
                <w:lang w:val="en-US" w:eastAsia="zh-CN"/>
              </w:rPr>
            </w:pPr>
            <w:r>
              <w:t>32*</w:t>
            </w:r>
            <w:r>
              <w:rPr>
                <w:rFonts w:hint="eastAsia"/>
                <w:lang w:val="en-US" w:eastAsia="zh-CN"/>
              </w:rPr>
              <w:t>7</w:t>
            </w:r>
            <w:r>
              <w:t>*</w:t>
            </w:r>
            <w:r>
              <w:rPr>
                <w:rFonts w:hint="eastAsia"/>
                <w:lang w:val="en-US" w:eastAsia="zh-CN"/>
              </w:rPr>
              <w:t>3</w:t>
            </w:r>
            <w:r>
              <w:t>m</w:t>
            </w:r>
            <w:r>
              <w:rPr>
                <w:rFonts w:hint="eastAsia"/>
                <w:lang w:val="en-US" w:eastAsia="zh-CN"/>
              </w:rPr>
              <w:t>*2个</w:t>
            </w:r>
          </w:p>
        </w:tc>
        <w:tc>
          <w:tcPr>
            <w:tcW w:w="1627" w:type="dxa"/>
            <w:vAlign w:val="top"/>
          </w:tcPr>
          <w:p w14:paraId="14F5333B">
            <w:pPr>
              <w:pStyle w:val="59"/>
              <w:bidi w:val="0"/>
            </w:pPr>
            <w:r>
              <w:t>20</w:t>
            </w:r>
          </w:p>
        </w:tc>
        <w:tc>
          <w:tcPr>
            <w:tcW w:w="1752" w:type="dxa"/>
            <w:vAlign w:val="top"/>
          </w:tcPr>
          <w:p w14:paraId="45F80941">
            <w:pPr>
              <w:pStyle w:val="59"/>
              <w:bidi w:val="0"/>
              <w:rPr>
                <w:rFonts w:hint="default" w:eastAsia="宋体"/>
                <w:lang w:val="en-US" w:eastAsia="zh-CN"/>
              </w:rPr>
            </w:pPr>
            <w:r>
              <w:rPr>
                <w:rFonts w:hint="eastAsia"/>
                <w:lang w:val="en-US" w:eastAsia="zh-CN"/>
              </w:rPr>
              <w:t>26880</w:t>
            </w:r>
          </w:p>
        </w:tc>
        <w:tc>
          <w:tcPr>
            <w:tcW w:w="1976" w:type="dxa"/>
            <w:tcBorders>
              <w:right w:val="nil"/>
            </w:tcBorders>
            <w:vAlign w:val="top"/>
          </w:tcPr>
          <w:p w14:paraId="3709AF6C">
            <w:pPr>
              <w:pStyle w:val="59"/>
              <w:bidi w:val="0"/>
            </w:pPr>
            <w:r>
              <w:rPr>
                <w:rFonts w:hint="eastAsia"/>
                <w:lang w:val="en-US" w:eastAsia="zh-CN"/>
              </w:rPr>
              <w:t>26880</w:t>
            </w:r>
          </w:p>
        </w:tc>
      </w:tr>
      <w:tr w14:paraId="2679F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836" w:type="dxa"/>
            <w:tcBorders>
              <w:left w:val="nil"/>
              <w:bottom w:val="single" w:color="000000" w:sz="16" w:space="0"/>
            </w:tcBorders>
            <w:vAlign w:val="top"/>
          </w:tcPr>
          <w:p w14:paraId="3536F7C7">
            <w:pPr>
              <w:pStyle w:val="59"/>
              <w:bidi w:val="0"/>
              <w:rPr>
                <w:rFonts w:hint="default" w:eastAsia="宋体"/>
                <w:lang w:val="en-US" w:eastAsia="zh-CN"/>
              </w:rPr>
            </w:pPr>
            <w:r>
              <w:rPr>
                <w:rFonts w:hint="eastAsia"/>
                <w:lang w:val="en-US" w:eastAsia="zh-CN"/>
              </w:rPr>
              <w:t>危废暂存间</w:t>
            </w:r>
          </w:p>
        </w:tc>
        <w:tc>
          <w:tcPr>
            <w:tcW w:w="1851" w:type="dxa"/>
            <w:tcBorders>
              <w:bottom w:val="single" w:color="000000" w:sz="16" w:space="0"/>
            </w:tcBorders>
            <w:vAlign w:val="top"/>
          </w:tcPr>
          <w:p w14:paraId="660D6BBE">
            <w:pPr>
              <w:pStyle w:val="59"/>
              <w:bidi w:val="0"/>
              <w:rPr>
                <w:rFonts w:hint="default" w:eastAsia="宋体"/>
                <w:lang w:val="en-US" w:eastAsia="zh-CN"/>
              </w:rPr>
            </w:pPr>
            <w:r>
              <w:rPr>
                <w:rFonts w:hint="eastAsia"/>
                <w:lang w:val="en-US" w:eastAsia="zh-CN"/>
              </w:rPr>
              <w:t>20m</w:t>
            </w:r>
            <w:r>
              <w:rPr>
                <w:rFonts w:hint="eastAsia"/>
                <w:vertAlign w:val="superscript"/>
                <w:lang w:val="en-US" w:eastAsia="zh-CN"/>
              </w:rPr>
              <w:t>2</w:t>
            </w:r>
            <w:r>
              <w:rPr>
                <w:vertAlign w:val="baseline"/>
              </w:rPr>
              <w:t>*</w:t>
            </w:r>
            <w:r>
              <w:rPr>
                <w:rFonts w:hint="eastAsia"/>
                <w:vertAlign w:val="baseline"/>
                <w:lang w:val="en-US" w:eastAsia="zh-CN"/>
              </w:rPr>
              <w:t>3m</w:t>
            </w:r>
          </w:p>
        </w:tc>
        <w:tc>
          <w:tcPr>
            <w:tcW w:w="1627" w:type="dxa"/>
            <w:tcBorders>
              <w:bottom w:val="single" w:color="000000" w:sz="16" w:space="0"/>
            </w:tcBorders>
            <w:vAlign w:val="top"/>
          </w:tcPr>
          <w:p w14:paraId="746F05FA">
            <w:pPr>
              <w:pStyle w:val="59"/>
              <w:bidi w:val="0"/>
              <w:rPr>
                <w:rFonts w:hint="default" w:eastAsia="宋体"/>
                <w:lang w:val="en-US" w:eastAsia="zh-CN"/>
              </w:rPr>
            </w:pPr>
            <w:r>
              <w:rPr>
                <w:rFonts w:hint="eastAsia"/>
                <w:lang w:val="en-US" w:eastAsia="zh-CN"/>
              </w:rPr>
              <w:t>20</w:t>
            </w:r>
          </w:p>
        </w:tc>
        <w:tc>
          <w:tcPr>
            <w:tcW w:w="1752" w:type="dxa"/>
            <w:tcBorders>
              <w:bottom w:val="single" w:color="000000" w:sz="16" w:space="0"/>
            </w:tcBorders>
            <w:vAlign w:val="top"/>
          </w:tcPr>
          <w:p w14:paraId="62CDC16C">
            <w:pPr>
              <w:pStyle w:val="59"/>
              <w:bidi w:val="0"/>
              <w:rPr>
                <w:rFonts w:hint="default" w:eastAsia="宋体"/>
                <w:lang w:val="en-US" w:eastAsia="zh-CN"/>
              </w:rPr>
            </w:pPr>
            <w:r>
              <w:rPr>
                <w:rFonts w:hint="eastAsia"/>
                <w:lang w:val="en-US" w:eastAsia="zh-CN"/>
              </w:rPr>
              <w:t>1200</w:t>
            </w:r>
          </w:p>
        </w:tc>
        <w:tc>
          <w:tcPr>
            <w:tcW w:w="1976" w:type="dxa"/>
            <w:tcBorders>
              <w:bottom w:val="single" w:color="000000" w:sz="16" w:space="0"/>
              <w:right w:val="nil"/>
            </w:tcBorders>
            <w:vAlign w:val="top"/>
          </w:tcPr>
          <w:p w14:paraId="57CBBBC1">
            <w:pPr>
              <w:pStyle w:val="59"/>
              <w:bidi w:val="0"/>
              <w:rPr>
                <w:rFonts w:hint="default" w:eastAsia="宋体"/>
                <w:lang w:val="en-US" w:eastAsia="zh-CN"/>
              </w:rPr>
            </w:pPr>
            <w:r>
              <w:rPr>
                <w:rFonts w:hint="eastAsia"/>
                <w:lang w:val="en-US" w:eastAsia="zh-CN"/>
              </w:rPr>
              <w:t>1200</w:t>
            </w:r>
          </w:p>
        </w:tc>
      </w:tr>
    </w:tbl>
    <w:p w14:paraId="1B37122F">
      <w:pPr>
        <w:spacing w:before="212" w:line="359" w:lineRule="auto"/>
        <w:ind w:left="38" w:right="35" w:firstLine="498"/>
        <w:rPr>
          <w:rFonts w:ascii="宋体" w:hAnsi="宋体" w:eastAsia="宋体" w:cs="宋体"/>
          <w:sz w:val="24"/>
          <w:szCs w:val="24"/>
        </w:rPr>
      </w:pPr>
      <w:r>
        <w:rPr>
          <w:rFonts w:ascii="宋体" w:hAnsi="宋体" w:eastAsia="宋体" w:cs="宋体"/>
          <w:spacing w:val="3"/>
          <w:sz w:val="24"/>
          <w:szCs w:val="24"/>
        </w:rPr>
        <w:t>印刷线烘箱的补风来自密闭的印刷</w:t>
      </w:r>
      <w:r>
        <w:rPr>
          <w:rFonts w:hint="eastAsia" w:ascii="宋体" w:hAnsi="宋体" w:eastAsia="宋体" w:cs="宋体"/>
          <w:spacing w:val="3"/>
          <w:sz w:val="24"/>
          <w:szCs w:val="24"/>
          <w:lang w:val="en-US" w:eastAsia="zh-CN"/>
        </w:rPr>
        <w:t>车间</w:t>
      </w:r>
      <w:r>
        <w:rPr>
          <w:rFonts w:ascii="宋体" w:hAnsi="宋体" w:eastAsia="宋体" w:cs="宋体"/>
          <w:spacing w:val="3"/>
          <w:sz w:val="24"/>
          <w:szCs w:val="24"/>
        </w:rPr>
        <w:t>，因此印刷</w:t>
      </w:r>
      <w:r>
        <w:rPr>
          <w:rFonts w:hint="eastAsia" w:ascii="宋体" w:hAnsi="宋体" w:eastAsia="宋体" w:cs="宋体"/>
          <w:spacing w:val="3"/>
          <w:sz w:val="24"/>
          <w:szCs w:val="24"/>
          <w:lang w:val="en-US" w:eastAsia="zh-CN"/>
        </w:rPr>
        <w:t>车间</w:t>
      </w:r>
      <w:r>
        <w:rPr>
          <w:rFonts w:ascii="宋体" w:hAnsi="宋体" w:eastAsia="宋体" w:cs="宋体"/>
          <w:spacing w:val="3"/>
          <w:sz w:val="24"/>
          <w:szCs w:val="24"/>
        </w:rPr>
        <w:t>总体送风量是由印刷</w:t>
      </w:r>
      <w:r>
        <w:rPr>
          <w:rFonts w:ascii="宋体" w:hAnsi="宋体" w:eastAsia="宋体" w:cs="宋体"/>
          <w:spacing w:val="-5"/>
          <w:sz w:val="24"/>
          <w:szCs w:val="24"/>
        </w:rPr>
        <w:t>烘箱排风量决定。</w:t>
      </w:r>
    </w:p>
    <w:p w14:paraId="356F8072">
      <w:pPr>
        <w:bidi w:val="0"/>
      </w:pPr>
      <w:r>
        <w:t>RTO 废气治理设施主要用于处理</w:t>
      </w:r>
      <w:r>
        <w:rPr>
          <w:rFonts w:hint="eastAsia"/>
          <w:lang w:val="en-US" w:eastAsia="zh-CN"/>
        </w:rPr>
        <w:t>2台印刷机组</w:t>
      </w:r>
      <w:r>
        <w:t>的烘干废气与“</w:t>
      </w:r>
      <w:r>
        <w:rPr>
          <w:rFonts w:hint="eastAsia"/>
          <w:lang w:eastAsia="zh-CN"/>
        </w:rPr>
        <w:t>干式过滤+旋转式分子筛吸附</w:t>
      </w:r>
      <w:r>
        <w:t>”废气治理设施脱附的浓缩废气。</w:t>
      </w:r>
      <w:r>
        <w:rPr>
          <w:rFonts w:hint="eastAsia"/>
          <w:lang w:val="en-US" w:eastAsia="zh-CN"/>
        </w:rPr>
        <w:t>2台印刷机组</w:t>
      </w:r>
      <w:r>
        <w:t>的烘</w:t>
      </w:r>
      <w:r>
        <w:rPr>
          <w:rFonts w:hint="eastAsia"/>
          <w:lang w:val="en-US" w:eastAsia="zh-CN"/>
        </w:rPr>
        <w:t>箱</w:t>
      </w:r>
      <w:r>
        <w:t>的总排风量合计约</w:t>
      </w:r>
      <w:r>
        <w:rPr>
          <w:rFonts w:hint="eastAsia"/>
          <w:lang w:val="en-US" w:eastAsia="zh-CN"/>
        </w:rPr>
        <w:t>22</w:t>
      </w:r>
      <w:r>
        <w:t>000m</w:t>
      </w:r>
      <w:r>
        <w:rPr>
          <w:vertAlign w:val="superscript"/>
        </w:rPr>
        <w:t>3</w:t>
      </w:r>
      <w:r>
        <w:t>/h，</w:t>
      </w:r>
      <w:r>
        <w:rPr>
          <w:rFonts w:hint="eastAsia"/>
          <w:lang w:val="en-US" w:eastAsia="zh-CN"/>
        </w:rPr>
        <w:t>危废暂存间排放量约1200m³/h，</w:t>
      </w:r>
      <w:r>
        <w:t>“干式过滤+沸石转轮吸附”废气治理设施设计风量为</w:t>
      </w:r>
      <w:r>
        <w:rPr>
          <w:rFonts w:hint="eastAsia"/>
          <w:lang w:val="en-US" w:eastAsia="zh-CN"/>
        </w:rPr>
        <w:t>300</w:t>
      </w:r>
      <w:r>
        <w:t>00m</w:t>
      </w:r>
      <w:r>
        <w:rPr>
          <w:vertAlign w:val="superscript"/>
        </w:rPr>
        <w:t>3</w:t>
      </w:r>
      <w:r>
        <w:t>/h，浓缩倍数按 10 倍计，则脱附的浓缩废气风量约为</w:t>
      </w:r>
      <w:r>
        <w:rPr>
          <w:rFonts w:hint="eastAsia"/>
          <w:lang w:val="en-US" w:eastAsia="zh-CN"/>
        </w:rPr>
        <w:t>3000</w:t>
      </w:r>
      <w:r>
        <w:t>m</w:t>
      </w:r>
      <w:r>
        <w:rPr>
          <w:vertAlign w:val="superscript"/>
        </w:rPr>
        <w:t>3</w:t>
      </w:r>
      <w:r>
        <w:t>/h，合计约</w:t>
      </w:r>
      <w:r>
        <w:rPr>
          <w:rFonts w:hint="eastAsia"/>
          <w:lang w:val="en-US" w:eastAsia="zh-CN"/>
        </w:rPr>
        <w:t>2620</w:t>
      </w:r>
      <w:r>
        <w:t>0m</w:t>
      </w:r>
      <w:r>
        <w:rPr>
          <w:vertAlign w:val="superscript"/>
        </w:rPr>
        <w:t>3</w:t>
      </w:r>
      <w:r>
        <w:t>/h，考虑“</w:t>
      </w:r>
      <w:r>
        <w:rPr>
          <w:rFonts w:hint="eastAsia"/>
          <w:lang w:eastAsia="zh-CN"/>
        </w:rPr>
        <w:t>干式过滤+旋转式分子筛吸附</w:t>
      </w:r>
      <w:r>
        <w:t>”浓缩倍数具有一定的波动性，且风量实际运行过程中存在一定的风阻等损耗因素，同时为提高项目废气收集效率，因此 RTO 废气治理设施的设计风量按 3</w:t>
      </w:r>
      <w:r>
        <w:rPr>
          <w:rFonts w:hint="eastAsia"/>
          <w:lang w:val="en-US" w:eastAsia="zh-CN"/>
        </w:rPr>
        <w:t>0</w:t>
      </w:r>
      <w:r>
        <w:t>000m</w:t>
      </w:r>
      <w:r>
        <w:rPr>
          <w:vertAlign w:val="superscript"/>
        </w:rPr>
        <w:t>3</w:t>
      </w:r>
      <w:r>
        <w:t>/h 计。</w:t>
      </w:r>
    </w:p>
    <w:p w14:paraId="77D55E26">
      <w:pPr>
        <w:pStyle w:val="62"/>
        <w:numPr>
          <w:ilvl w:val="0"/>
          <w:numId w:val="51"/>
        </w:numPr>
        <w:bidi w:val="0"/>
        <w:ind w:left="0" w:leftChars="0" w:firstLine="0" w:firstLineChars="0"/>
        <w:rPr>
          <w:rFonts w:ascii="Times New Roman" w:hAnsi="Times New Roman" w:eastAsia="宋体" w:cs="Times New Roman"/>
        </w:rPr>
      </w:pPr>
      <w:r>
        <w:rPr>
          <w:rFonts w:ascii="Times New Roman" w:hAnsi="Times New Roman" w:eastAsia="宋体" w:cs="Times New Roman"/>
        </w:rPr>
        <w:t>项目治理设施废气设计风量一览表</w:t>
      </w:r>
    </w:p>
    <w:tbl>
      <w:tblPr>
        <w:tblStyle w:val="105"/>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96"/>
        <w:gridCol w:w="1305"/>
        <w:gridCol w:w="1305"/>
        <w:gridCol w:w="1145"/>
        <w:gridCol w:w="1232"/>
        <w:gridCol w:w="1394"/>
        <w:gridCol w:w="1391"/>
      </w:tblGrid>
      <w:tr w14:paraId="1FC67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714" w:type="pct"/>
            <w:tcBorders>
              <w:top w:val="single" w:color="000000" w:sz="16" w:space="0"/>
              <w:left w:val="nil"/>
            </w:tcBorders>
            <w:vAlign w:val="center"/>
          </w:tcPr>
          <w:p w14:paraId="547868A4">
            <w:pPr>
              <w:pStyle w:val="59"/>
              <w:bidi w:val="0"/>
              <w:jc w:val="center"/>
            </w:pPr>
            <w:r>
              <w:rPr>
                <w:rFonts w:hint="eastAsia"/>
                <w:lang w:val="en-US" w:eastAsia="zh-CN"/>
              </w:rPr>
              <w:t>烘箱</w:t>
            </w:r>
            <w:r>
              <w:t>排风量（m</w:t>
            </w:r>
            <w:r>
              <w:rPr>
                <w:vertAlign w:val="superscript"/>
              </w:rPr>
              <w:t>3</w:t>
            </w:r>
            <w:r>
              <w:t>/h）</w:t>
            </w:r>
          </w:p>
        </w:tc>
        <w:tc>
          <w:tcPr>
            <w:tcW w:w="719" w:type="pct"/>
            <w:tcBorders>
              <w:top w:val="single" w:color="000000" w:sz="16" w:space="0"/>
            </w:tcBorders>
            <w:vAlign w:val="center"/>
          </w:tcPr>
          <w:p w14:paraId="4A5C3FE2">
            <w:pPr>
              <w:pStyle w:val="59"/>
              <w:bidi w:val="0"/>
              <w:jc w:val="center"/>
            </w:pPr>
            <w:r>
              <w:rPr>
                <w:rFonts w:hint="eastAsia"/>
                <w:lang w:val="en-US" w:eastAsia="zh-CN"/>
              </w:rPr>
              <w:t>危废暂存间排放量</w:t>
            </w:r>
            <w:r>
              <w:t>（m</w:t>
            </w:r>
            <w:r>
              <w:rPr>
                <w:vertAlign w:val="superscript"/>
              </w:rPr>
              <w:t>3</w:t>
            </w:r>
            <w:r>
              <w:t>/h）</w:t>
            </w:r>
          </w:p>
        </w:tc>
        <w:tc>
          <w:tcPr>
            <w:tcW w:w="719" w:type="pct"/>
            <w:tcBorders>
              <w:top w:val="single" w:color="000000" w:sz="16" w:space="0"/>
            </w:tcBorders>
            <w:vAlign w:val="center"/>
          </w:tcPr>
          <w:p w14:paraId="62A8B602">
            <w:pPr>
              <w:pStyle w:val="59"/>
              <w:bidi w:val="0"/>
              <w:jc w:val="center"/>
            </w:pPr>
            <w:r>
              <w:t>印刷车间排风量（m</w:t>
            </w:r>
            <w:r>
              <w:rPr>
                <w:vertAlign w:val="superscript"/>
              </w:rPr>
              <w:t>3</w:t>
            </w:r>
            <w:r>
              <w:t>/h）</w:t>
            </w:r>
          </w:p>
        </w:tc>
        <w:tc>
          <w:tcPr>
            <w:tcW w:w="631" w:type="pct"/>
            <w:tcBorders>
              <w:top w:val="single" w:color="000000" w:sz="16" w:space="0"/>
            </w:tcBorders>
            <w:vAlign w:val="center"/>
          </w:tcPr>
          <w:p w14:paraId="7B618B9E">
            <w:pPr>
              <w:pStyle w:val="59"/>
              <w:bidi w:val="0"/>
              <w:jc w:val="center"/>
            </w:pPr>
            <w:r>
              <w:t>沸石吸附浓缩倍数</w:t>
            </w:r>
          </w:p>
          <w:p w14:paraId="5403932C">
            <w:pPr>
              <w:pStyle w:val="59"/>
              <w:bidi w:val="0"/>
              <w:jc w:val="center"/>
            </w:pPr>
            <w:r>
              <w:t>（倍）</w:t>
            </w:r>
          </w:p>
        </w:tc>
        <w:tc>
          <w:tcPr>
            <w:tcW w:w="679" w:type="pct"/>
            <w:tcBorders>
              <w:top w:val="single" w:color="000000" w:sz="16" w:space="0"/>
            </w:tcBorders>
            <w:vAlign w:val="center"/>
          </w:tcPr>
          <w:p w14:paraId="6A960D53">
            <w:pPr>
              <w:pStyle w:val="59"/>
              <w:bidi w:val="0"/>
              <w:jc w:val="center"/>
            </w:pPr>
            <w:r>
              <w:t>浓缩后废气风量</w:t>
            </w:r>
          </w:p>
          <w:p w14:paraId="2D980A7C">
            <w:pPr>
              <w:pStyle w:val="59"/>
              <w:bidi w:val="0"/>
              <w:jc w:val="center"/>
            </w:pPr>
            <w:r>
              <w:t>（m</w:t>
            </w:r>
            <w:r>
              <w:rPr>
                <w:vertAlign w:val="superscript"/>
              </w:rPr>
              <w:t>3</w:t>
            </w:r>
            <w:r>
              <w:t>/h）</w:t>
            </w:r>
          </w:p>
        </w:tc>
        <w:tc>
          <w:tcPr>
            <w:tcW w:w="768" w:type="pct"/>
            <w:tcBorders>
              <w:top w:val="single" w:color="000000" w:sz="16" w:space="0"/>
            </w:tcBorders>
            <w:vAlign w:val="center"/>
          </w:tcPr>
          <w:p w14:paraId="4D8C3AE1">
            <w:pPr>
              <w:pStyle w:val="59"/>
              <w:bidi w:val="0"/>
              <w:jc w:val="center"/>
            </w:pPr>
            <w:r>
              <w:t>合计进入 RTO</w:t>
            </w:r>
          </w:p>
          <w:p w14:paraId="54A206F5">
            <w:pPr>
              <w:pStyle w:val="59"/>
              <w:bidi w:val="0"/>
              <w:jc w:val="center"/>
            </w:pPr>
            <w:r>
              <w:t>废气风量</w:t>
            </w:r>
          </w:p>
          <w:p w14:paraId="5AC699E9">
            <w:pPr>
              <w:pStyle w:val="59"/>
              <w:bidi w:val="0"/>
              <w:jc w:val="center"/>
            </w:pPr>
            <w:r>
              <w:t>（m</w:t>
            </w:r>
            <w:r>
              <w:rPr>
                <w:vertAlign w:val="superscript"/>
              </w:rPr>
              <w:t>3</w:t>
            </w:r>
            <w:r>
              <w:t>/h）</w:t>
            </w:r>
          </w:p>
        </w:tc>
        <w:tc>
          <w:tcPr>
            <w:tcW w:w="766" w:type="pct"/>
            <w:tcBorders>
              <w:top w:val="single" w:color="000000" w:sz="16" w:space="0"/>
              <w:right w:val="nil"/>
            </w:tcBorders>
            <w:vAlign w:val="center"/>
          </w:tcPr>
          <w:p w14:paraId="3D6531FB">
            <w:pPr>
              <w:pStyle w:val="59"/>
              <w:bidi w:val="0"/>
              <w:jc w:val="center"/>
            </w:pPr>
            <w:r>
              <w:t>RTO 设施设计风量（m3/h）</w:t>
            </w:r>
          </w:p>
        </w:tc>
      </w:tr>
      <w:tr w14:paraId="28E50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714" w:type="pct"/>
            <w:tcBorders>
              <w:left w:val="nil"/>
              <w:bottom w:val="single" w:color="000000" w:sz="16" w:space="0"/>
            </w:tcBorders>
            <w:vAlign w:val="center"/>
          </w:tcPr>
          <w:p w14:paraId="6EED564D">
            <w:pPr>
              <w:pStyle w:val="59"/>
              <w:bidi w:val="0"/>
              <w:jc w:val="center"/>
            </w:pPr>
            <w:r>
              <w:rPr>
                <w:rFonts w:hint="eastAsia"/>
                <w:lang w:val="en-US" w:eastAsia="zh-CN"/>
              </w:rPr>
              <w:t>22</w:t>
            </w:r>
            <w:r>
              <w:t>000</w:t>
            </w:r>
          </w:p>
        </w:tc>
        <w:tc>
          <w:tcPr>
            <w:tcW w:w="719" w:type="pct"/>
            <w:tcBorders>
              <w:bottom w:val="single" w:color="000000" w:sz="16" w:space="0"/>
            </w:tcBorders>
            <w:vAlign w:val="center"/>
          </w:tcPr>
          <w:p w14:paraId="398BBA7F">
            <w:pPr>
              <w:pStyle w:val="59"/>
              <w:bidi w:val="0"/>
              <w:jc w:val="center"/>
              <w:rPr>
                <w:rFonts w:hint="default" w:eastAsia="宋体"/>
                <w:lang w:val="en-US" w:eastAsia="zh-CN"/>
              </w:rPr>
            </w:pPr>
            <w:r>
              <w:rPr>
                <w:rFonts w:hint="eastAsia"/>
                <w:lang w:val="en-US" w:eastAsia="zh-CN"/>
              </w:rPr>
              <w:t>1200</w:t>
            </w:r>
          </w:p>
        </w:tc>
        <w:tc>
          <w:tcPr>
            <w:tcW w:w="719" w:type="pct"/>
            <w:tcBorders>
              <w:bottom w:val="single" w:color="000000" w:sz="16" w:space="0"/>
            </w:tcBorders>
            <w:vAlign w:val="center"/>
          </w:tcPr>
          <w:p w14:paraId="229BFD46">
            <w:pPr>
              <w:pStyle w:val="59"/>
              <w:bidi w:val="0"/>
              <w:jc w:val="center"/>
            </w:pPr>
            <w:r>
              <w:rPr>
                <w:rFonts w:hint="eastAsia"/>
                <w:lang w:val="en-US" w:eastAsia="zh-CN"/>
              </w:rPr>
              <w:t>26880</w:t>
            </w:r>
          </w:p>
        </w:tc>
        <w:tc>
          <w:tcPr>
            <w:tcW w:w="631" w:type="pct"/>
            <w:tcBorders>
              <w:bottom w:val="single" w:color="000000" w:sz="16" w:space="0"/>
            </w:tcBorders>
            <w:vAlign w:val="center"/>
          </w:tcPr>
          <w:p w14:paraId="0193BA68">
            <w:pPr>
              <w:pStyle w:val="59"/>
              <w:bidi w:val="0"/>
              <w:jc w:val="center"/>
            </w:pPr>
            <w:r>
              <w:t>10</w:t>
            </w:r>
          </w:p>
        </w:tc>
        <w:tc>
          <w:tcPr>
            <w:tcW w:w="679" w:type="pct"/>
            <w:tcBorders>
              <w:bottom w:val="single" w:color="000000" w:sz="16" w:space="0"/>
            </w:tcBorders>
            <w:vAlign w:val="center"/>
          </w:tcPr>
          <w:p w14:paraId="64B40DBA">
            <w:pPr>
              <w:pStyle w:val="59"/>
              <w:bidi w:val="0"/>
              <w:jc w:val="center"/>
              <w:rPr>
                <w:rFonts w:hint="default" w:eastAsia="宋体"/>
                <w:lang w:val="en-US" w:eastAsia="zh-CN"/>
              </w:rPr>
            </w:pPr>
            <w:r>
              <w:rPr>
                <w:rFonts w:hint="eastAsia"/>
                <w:lang w:val="en-US" w:eastAsia="zh-CN"/>
              </w:rPr>
              <w:t>3000</w:t>
            </w:r>
          </w:p>
        </w:tc>
        <w:tc>
          <w:tcPr>
            <w:tcW w:w="768" w:type="pct"/>
            <w:tcBorders>
              <w:bottom w:val="single" w:color="000000" w:sz="16" w:space="0"/>
            </w:tcBorders>
            <w:vAlign w:val="center"/>
          </w:tcPr>
          <w:p w14:paraId="4BD94C78">
            <w:pPr>
              <w:pStyle w:val="59"/>
              <w:bidi w:val="0"/>
              <w:jc w:val="center"/>
            </w:pPr>
            <w:r>
              <w:rPr>
                <w:rFonts w:hint="eastAsia"/>
                <w:lang w:val="en-US" w:eastAsia="zh-CN"/>
              </w:rPr>
              <w:t>2620</w:t>
            </w:r>
            <w:r>
              <w:t>0</w:t>
            </w:r>
          </w:p>
        </w:tc>
        <w:tc>
          <w:tcPr>
            <w:tcW w:w="766" w:type="pct"/>
            <w:tcBorders>
              <w:bottom w:val="single" w:color="000000" w:sz="16" w:space="0"/>
              <w:right w:val="nil"/>
            </w:tcBorders>
            <w:vAlign w:val="center"/>
          </w:tcPr>
          <w:p w14:paraId="13DCD492">
            <w:pPr>
              <w:pStyle w:val="59"/>
              <w:bidi w:val="0"/>
              <w:jc w:val="center"/>
            </w:pPr>
            <w:r>
              <w:t>3</w:t>
            </w:r>
            <w:r>
              <w:rPr>
                <w:rFonts w:hint="eastAsia"/>
                <w:lang w:val="en-US" w:eastAsia="zh-CN"/>
              </w:rPr>
              <w:t>0</w:t>
            </w:r>
            <w:r>
              <w:t>000</w:t>
            </w:r>
          </w:p>
        </w:tc>
      </w:tr>
    </w:tbl>
    <w:p w14:paraId="641877D8">
      <w:pPr>
        <w:pStyle w:val="19"/>
        <w:spacing w:line="368" w:lineRule="auto"/>
        <w:rPr>
          <w:sz w:val="21"/>
        </w:rPr>
      </w:pPr>
    </w:p>
    <w:p w14:paraId="452ED2F2">
      <w:pPr>
        <w:bidi w:val="0"/>
        <w:rPr>
          <w:rFonts w:ascii="Times New Roman" w:hAnsi="Times New Roman" w:cs="Times New Roman"/>
        </w:rPr>
      </w:pPr>
      <w:r>
        <w:rPr>
          <w:rFonts w:ascii="Times New Roman" w:hAnsi="Times New Roman" w:cs="Times New Roman"/>
        </w:rPr>
        <w:object>
          <v:shape id="_x0000_i1039" o:spt="75" type="#_x0000_t75" style="height:168.75pt;width:427.75pt;" o:ole="t" filled="f" o:preferrelative="t" stroked="f" coordsize="21600,21600">
            <v:path/>
            <v:fill on="f" focussize="0,0"/>
            <v:stroke on="f"/>
            <v:imagedata r:id="rId127" croptop="16720f" cropright="5931f" cropbottom="20046f" o:title=""/>
            <o:lock v:ext="edit" aspectratio="t"/>
            <w10:wrap type="none"/>
            <w10:anchorlock/>
          </v:shape>
          <o:OLEObject Type="Embed" ProgID="Visio.Drawing.15" ShapeID="_x0000_i1039" DrawAspect="Content" ObjectID="_1468075739" r:id="rId126">
            <o:LockedField>false</o:LockedField>
          </o:OLEObject>
        </w:object>
      </w:r>
    </w:p>
    <w:p w14:paraId="4D5A438E">
      <w:pPr>
        <w:pStyle w:val="62"/>
        <w:numPr>
          <w:ilvl w:val="0"/>
          <w:numId w:val="52"/>
        </w:numPr>
        <w:bidi w:val="0"/>
        <w:ind w:left="0" w:leftChars="0" w:firstLine="0" w:firstLineChars="0"/>
        <w:rPr>
          <w:rFonts w:hint="eastAsia" w:ascii="Times New Roman" w:hAnsi="Times New Roman" w:eastAsia="宋体" w:cs="Times New Roman"/>
          <w:lang w:val="en-US" w:eastAsia="zh-CN"/>
        </w:rPr>
      </w:pPr>
      <w:r>
        <w:rPr>
          <w:rFonts w:ascii="Times New Roman" w:hAnsi="Times New Roman" w:eastAsia="宋体" w:cs="Times New Roman"/>
        </w:rPr>
        <w:t>本项目废气收集处理情况图</w:t>
      </w:r>
    </w:p>
    <w:p w14:paraId="0EB5E0DB">
      <w:pPr>
        <w:bidi w:val="0"/>
      </w:pPr>
      <w:r>
        <w:rPr>
          <w:rFonts w:hint="eastAsia"/>
          <w:lang w:val="en-US" w:eastAsia="zh-CN"/>
        </w:rPr>
        <w:t>3</w:t>
      </w:r>
      <w:r>
        <w:t>）废气收集风量以及减风增浓说明</w:t>
      </w:r>
    </w:p>
    <w:p w14:paraId="300E34DE">
      <w:pPr>
        <w:bidi w:val="0"/>
      </w:pPr>
      <w:r>
        <w:t>实际设计</w:t>
      </w:r>
      <w:r>
        <w:rPr>
          <w:rFonts w:hint="eastAsia"/>
          <w:lang w:val="en-US" w:eastAsia="zh-CN"/>
        </w:rPr>
        <w:t>烘箱</w:t>
      </w:r>
      <w:r>
        <w:t>的送风量小于印刷生产线废气的排风量，</w:t>
      </w:r>
      <w:r>
        <w:rPr>
          <w:rFonts w:hint="eastAsia"/>
          <w:lang w:val="en-US" w:eastAsia="zh-CN"/>
        </w:rPr>
        <w:t>烘箱</w:t>
      </w:r>
      <w:r>
        <w:t>内废气可做到负压收集。</w:t>
      </w:r>
    </w:p>
    <w:p w14:paraId="7F86798D">
      <w:pPr>
        <w:bidi w:val="0"/>
      </w:pPr>
      <w:r>
        <w:rPr>
          <w:rFonts w:hint="eastAsia"/>
          <w:lang w:val="en-US" w:eastAsia="zh-CN"/>
        </w:rPr>
        <w:t>印刷车间</w:t>
      </w:r>
      <w:r>
        <w:t>内有机废气作为新风补充进入印刷</w:t>
      </w:r>
      <w:r>
        <w:rPr>
          <w:rFonts w:hint="eastAsia"/>
          <w:lang w:val="en-US" w:eastAsia="zh-CN"/>
        </w:rPr>
        <w:t>机</w:t>
      </w:r>
      <w:r>
        <w:t>的烘箱，在烘箱内参与减风增浓，减风增浓就是采用气流组织作为辅助改善手段，增加单位新风的有机废气携带效率，在安全、可测、能控和产品质量合格的前提下，尽可能提高凹版印刷机组烘箱内热风重复使用效率，实现减少 VOCs 废气排放风量而达到增加废气浓度和减少热能消耗的一种方式。本项目凹版印刷机减风增浓详见下图，印刷机每个烘箱的送排风管路相对独立，都设置有新风补入装置，减风增浓新风口连接印刷机色组底部排风口，将低浓度废气收集经换热器加热后进入烘箱，干燥后的气体有一部分（这部分称为回风）与新风混合后进入本段烘箱用于干燥，这样在保证干燥风量的同时减少了排风量。</w:t>
      </w:r>
    </w:p>
    <w:p w14:paraId="29BAB75E">
      <w:pPr>
        <w:bidi w:val="0"/>
      </w:pPr>
      <w:r>
        <w:t>根据设备供应商提供的印刷机减风增浓原理说明，在目前没有参与减风增浓的前提下，印刷机每组送风机风量为 7500m³/h ，1</w:t>
      </w:r>
      <w:r>
        <w:rPr>
          <w:rFonts w:hint="eastAsia"/>
          <w:lang w:val="en-US" w:eastAsia="zh-CN"/>
        </w:rPr>
        <w:t>1</w:t>
      </w:r>
      <w:r>
        <w:t>个机组最风量</w:t>
      </w:r>
      <w:r>
        <w:rPr>
          <w:rFonts w:hint="eastAsia"/>
          <w:lang w:val="en-US" w:eastAsia="zh-CN"/>
        </w:rPr>
        <w:t>825</w:t>
      </w:r>
      <w:r>
        <w:t>00m³/h。减风增浓后风量参与自循环风箱微负压设计每色组最大排风量 1000m³/h，每色组排风通过下面主管道统一排放收集到 RTO 里面进行废气集中处理，减风以后每条印刷线最大排风量</w:t>
      </w:r>
      <w:r>
        <w:rPr>
          <w:rFonts w:hint="eastAsia"/>
          <w:lang w:val="en-US" w:eastAsia="zh-CN"/>
        </w:rPr>
        <w:t>11</w:t>
      </w:r>
      <w:r>
        <w:t>000m³/h，每色组风量大小由单独的变频器控制；送风量风压稳定；根据不同工况可调节单色组风量和风压数据；烘箱微负压设计和通过每色组阀门大小；精准调节微负压；精准可靠、微负压避免烘箱热风外溢、降低了印刷干版、减小溶剂残留；减少车间异味；每色组独立地排风吸风罩；将油墨槽底部废气 VOCs 进行收集；集中参与末端收集处理；更有效降低车间气味；改善工作环境。热风循环使用，在微负压的前提下，不需要补充大量新风，因此总排风量大幅减少。</w:t>
      </w:r>
    </w:p>
    <w:p w14:paraId="1C9C77AA">
      <w:pPr>
        <w:pStyle w:val="65"/>
        <w:ind w:left="480" w:leftChars="200"/>
        <w:rPr>
          <w:color w:val="auto"/>
        </w:rPr>
      </w:pPr>
      <w:r>
        <w:rPr>
          <w:rFonts w:hint="eastAsia"/>
          <w:color w:val="auto"/>
        </w:rPr>
        <w:t>2、废气处理工艺选择</w:t>
      </w:r>
    </w:p>
    <w:p w14:paraId="59087BCA">
      <w:pPr>
        <w:spacing w:before="2" w:line="359" w:lineRule="auto"/>
        <w:ind w:left="38" w:right="192" w:firstLine="474"/>
        <w:jc w:val="both"/>
        <w:rPr>
          <w:rFonts w:ascii="宋体" w:hAnsi="宋体" w:eastAsia="宋体" w:cs="宋体"/>
          <w:sz w:val="24"/>
          <w:szCs w:val="24"/>
        </w:rPr>
      </w:pPr>
      <w:r>
        <w:rPr>
          <w:rFonts w:ascii="Times New Roman" w:hAnsi="Times New Roman" w:eastAsia="Times New Roman" w:cs="Times New Roman"/>
          <w:spacing w:val="-1"/>
          <w:sz w:val="24"/>
          <w:szCs w:val="24"/>
        </w:rPr>
        <w:t xml:space="preserve">RTO </w:t>
      </w:r>
      <w:r>
        <w:rPr>
          <w:rFonts w:ascii="宋体" w:hAnsi="宋体" w:eastAsia="宋体" w:cs="宋体"/>
          <w:spacing w:val="-1"/>
          <w:sz w:val="24"/>
          <w:szCs w:val="24"/>
        </w:rPr>
        <w:t>治理设施设计风量为</w:t>
      </w:r>
      <w:r>
        <w:rPr>
          <w:rFonts w:ascii="宋体" w:hAnsi="宋体" w:eastAsia="宋体" w:cs="宋体"/>
          <w:spacing w:val="-50"/>
          <w:sz w:val="24"/>
          <w:szCs w:val="24"/>
        </w:rPr>
        <w:t xml:space="preserve"> </w:t>
      </w:r>
      <w:r>
        <w:rPr>
          <w:rFonts w:ascii="Times New Roman" w:hAnsi="Times New Roman" w:eastAsia="Times New Roman" w:cs="Times New Roman"/>
          <w:spacing w:val="-1"/>
          <w:sz w:val="24"/>
          <w:szCs w:val="24"/>
        </w:rPr>
        <w:t>3</w:t>
      </w:r>
      <w:r>
        <w:rPr>
          <w:rFonts w:hint="eastAsia" w:eastAsia="宋体" w:cs="Times New Roman"/>
          <w:spacing w:val="-1"/>
          <w:sz w:val="24"/>
          <w:szCs w:val="24"/>
          <w:lang w:val="en-US" w:eastAsia="zh-CN"/>
        </w:rPr>
        <w:t>0</w:t>
      </w:r>
      <w:r>
        <w:rPr>
          <w:rFonts w:ascii="Times New Roman" w:hAnsi="Times New Roman" w:eastAsia="Times New Roman" w:cs="Times New Roman"/>
          <w:spacing w:val="-1"/>
          <w:sz w:val="24"/>
          <w:szCs w:val="24"/>
        </w:rPr>
        <w:t>000m</w:t>
      </w:r>
      <w:r>
        <w:rPr>
          <w:rFonts w:ascii="Times New Roman" w:hAnsi="Times New Roman" w:eastAsia="Times New Roman" w:cs="Times New Roman"/>
          <w:spacing w:val="-1"/>
          <w:position w:val="9"/>
          <w:sz w:val="16"/>
          <w:szCs w:val="16"/>
        </w:rPr>
        <w:t>3</w:t>
      </w:r>
      <w:r>
        <w:rPr>
          <w:rFonts w:ascii="Times New Roman" w:hAnsi="Times New Roman" w:eastAsia="Times New Roman" w:cs="Times New Roman"/>
          <w:spacing w:val="-1"/>
          <w:sz w:val="24"/>
          <w:szCs w:val="24"/>
        </w:rPr>
        <w:t>/h</w:t>
      </w:r>
      <w:r>
        <w:rPr>
          <w:rFonts w:ascii="宋体" w:hAnsi="宋体" w:eastAsia="宋体" w:cs="宋体"/>
          <w:spacing w:val="-1"/>
          <w:sz w:val="24"/>
          <w:szCs w:val="24"/>
        </w:rPr>
        <w:t>，项目烘干废气经减风增浓</w:t>
      </w:r>
      <w:r>
        <w:rPr>
          <w:rFonts w:ascii="宋体" w:hAnsi="宋体" w:eastAsia="宋体" w:cs="宋体"/>
          <w:spacing w:val="-2"/>
          <w:sz w:val="24"/>
          <w:szCs w:val="24"/>
        </w:rPr>
        <w:t>后与“</w:t>
      </w:r>
      <w:r>
        <w:rPr>
          <w:rFonts w:hint="eastAsia" w:ascii="宋体" w:hAnsi="宋体" w:eastAsia="宋体" w:cs="宋体"/>
          <w:spacing w:val="-2"/>
          <w:sz w:val="24"/>
          <w:szCs w:val="24"/>
          <w:lang w:eastAsia="zh-CN"/>
        </w:rPr>
        <w:t>干式过滤+旋转式分子筛吸附</w:t>
      </w:r>
      <w:r>
        <w:rPr>
          <w:rFonts w:ascii="宋体" w:hAnsi="宋体" w:eastAsia="宋体" w:cs="宋体"/>
          <w:spacing w:val="-1"/>
          <w:sz w:val="24"/>
          <w:szCs w:val="24"/>
        </w:rPr>
        <w:t>”的浓缩废气经收集后引入</w:t>
      </w:r>
      <w:r>
        <w:rPr>
          <w:rFonts w:ascii="宋体" w:hAnsi="宋体" w:eastAsia="宋体" w:cs="宋体"/>
          <w:spacing w:val="-55"/>
          <w:sz w:val="24"/>
          <w:szCs w:val="24"/>
        </w:rPr>
        <w:t xml:space="preserve"> </w:t>
      </w:r>
      <w:r>
        <w:rPr>
          <w:rFonts w:ascii="Times New Roman" w:hAnsi="Times New Roman" w:eastAsia="Times New Roman" w:cs="Times New Roman"/>
          <w:spacing w:val="-1"/>
          <w:sz w:val="24"/>
          <w:szCs w:val="24"/>
        </w:rPr>
        <w:t xml:space="preserve">RTO </w:t>
      </w:r>
      <w:r>
        <w:rPr>
          <w:rFonts w:ascii="宋体" w:hAnsi="宋体" w:eastAsia="宋体" w:cs="宋体"/>
          <w:spacing w:val="-1"/>
          <w:sz w:val="24"/>
          <w:szCs w:val="24"/>
        </w:rPr>
        <w:t>废气治</w:t>
      </w:r>
      <w:r>
        <w:rPr>
          <w:rFonts w:ascii="宋体" w:hAnsi="宋体" w:eastAsia="宋体" w:cs="宋体"/>
          <w:spacing w:val="-2"/>
          <w:sz w:val="24"/>
          <w:szCs w:val="24"/>
        </w:rPr>
        <w:t>理设施进行处理后经</w:t>
      </w:r>
      <w:r>
        <w:rPr>
          <w:rFonts w:hint="eastAsia" w:eastAsia="宋体" w:cs="Times New Roman"/>
          <w:spacing w:val="-5"/>
          <w:sz w:val="24"/>
          <w:szCs w:val="24"/>
          <w:lang w:val="en-US" w:eastAsia="zh-CN"/>
        </w:rPr>
        <w:t>25</w:t>
      </w:r>
      <w:r>
        <w:rPr>
          <w:rFonts w:ascii="Times New Roman" w:hAnsi="Times New Roman" w:eastAsia="Times New Roman" w:cs="Times New Roman"/>
          <w:spacing w:val="-5"/>
          <w:sz w:val="24"/>
          <w:szCs w:val="24"/>
        </w:rPr>
        <w:t>m</w:t>
      </w:r>
      <w:r>
        <w:rPr>
          <w:rFonts w:ascii="宋体" w:hAnsi="宋体" w:eastAsia="宋体" w:cs="宋体"/>
          <w:spacing w:val="-5"/>
          <w:sz w:val="24"/>
          <w:szCs w:val="24"/>
        </w:rPr>
        <w:t>高排气筒排放。</w:t>
      </w:r>
    </w:p>
    <w:p w14:paraId="085C2BD8">
      <w:pPr>
        <w:ind w:firstLine="480"/>
        <w:rPr>
          <w:color w:val="auto"/>
        </w:rPr>
      </w:pPr>
      <w:r>
        <w:rPr>
          <w:rFonts w:hint="eastAsia"/>
          <w:color w:val="auto"/>
        </w:rPr>
        <w:t>适合于常用VOCs治理技术有：吸附法、吸收法、蓄热式焚烧（RTO）、蓄热式催化燃烧（RCO）、吸附浓缩-催化燃烧法、低温等离子体法、光催化氧化（UV）、生物法、冷凝法等。</w:t>
      </w:r>
    </w:p>
    <w:p w14:paraId="4CC2F247">
      <w:pPr>
        <w:pStyle w:val="62"/>
        <w:numPr>
          <w:ilvl w:val="0"/>
          <w:numId w:val="51"/>
        </w:numPr>
        <w:bidi w:val="0"/>
        <w:ind w:left="0" w:leftChars="0" w:firstLine="0" w:firstLineChars="0"/>
        <w:rPr>
          <w:rFonts w:ascii="Times New Roman" w:hAnsi="Times New Roman" w:eastAsia="宋体" w:cs="Times New Roman"/>
        </w:rPr>
      </w:pPr>
      <w:r>
        <w:rPr>
          <w:rFonts w:hint="eastAsia" w:ascii="Times New Roman" w:hAnsi="Times New Roman" w:eastAsia="宋体" w:cs="Times New Roman"/>
        </w:rPr>
        <w:t>VOCs治理技术一览表</w:t>
      </w:r>
    </w:p>
    <w:tbl>
      <w:tblPr>
        <w:tblStyle w:val="38"/>
        <w:tblW w:w="928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5"/>
        <w:gridCol w:w="425"/>
        <w:gridCol w:w="1024"/>
        <w:gridCol w:w="1140"/>
        <w:gridCol w:w="1020"/>
        <w:gridCol w:w="1005"/>
        <w:gridCol w:w="2121"/>
        <w:gridCol w:w="2121"/>
      </w:tblGrid>
      <w:tr w14:paraId="76484F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25" w:type="dxa"/>
            <w:vAlign w:val="center"/>
          </w:tcPr>
          <w:p w14:paraId="2AD41055">
            <w:pPr>
              <w:pStyle w:val="69"/>
              <w:rPr>
                <w:color w:val="auto"/>
              </w:rPr>
            </w:pPr>
            <w:r>
              <w:rPr>
                <w:rFonts w:hint="eastAsia"/>
                <w:color w:val="auto"/>
              </w:rPr>
              <w:t>序号</w:t>
            </w:r>
          </w:p>
        </w:tc>
        <w:tc>
          <w:tcPr>
            <w:tcW w:w="1449" w:type="dxa"/>
            <w:gridSpan w:val="2"/>
            <w:vAlign w:val="center"/>
          </w:tcPr>
          <w:p w14:paraId="0D868D56">
            <w:pPr>
              <w:pStyle w:val="69"/>
              <w:rPr>
                <w:color w:val="auto"/>
              </w:rPr>
            </w:pPr>
            <w:r>
              <w:rPr>
                <w:rFonts w:hint="eastAsia"/>
                <w:color w:val="auto"/>
              </w:rPr>
              <w:t>治理</w:t>
            </w:r>
          </w:p>
          <w:p w14:paraId="7E9AC284">
            <w:pPr>
              <w:pStyle w:val="69"/>
              <w:rPr>
                <w:color w:val="auto"/>
              </w:rPr>
            </w:pPr>
            <w:r>
              <w:rPr>
                <w:rFonts w:hint="eastAsia"/>
                <w:color w:val="auto"/>
              </w:rPr>
              <w:t>技术</w:t>
            </w:r>
          </w:p>
        </w:tc>
        <w:tc>
          <w:tcPr>
            <w:tcW w:w="1140" w:type="dxa"/>
            <w:vAlign w:val="center"/>
          </w:tcPr>
          <w:p w14:paraId="3130D898">
            <w:pPr>
              <w:pStyle w:val="69"/>
              <w:rPr>
                <w:color w:val="auto"/>
              </w:rPr>
            </w:pPr>
            <w:r>
              <w:rPr>
                <w:rFonts w:hint="eastAsia"/>
                <w:color w:val="auto"/>
              </w:rPr>
              <w:t>单套装置适用气体流量范围（m</w:t>
            </w:r>
            <w:r>
              <w:rPr>
                <w:rFonts w:hint="eastAsia"/>
                <w:color w:val="auto"/>
                <w:vertAlign w:val="superscript"/>
              </w:rPr>
              <w:t>3</w:t>
            </w:r>
            <w:r>
              <w:rPr>
                <w:rFonts w:hint="eastAsia"/>
                <w:color w:val="auto"/>
              </w:rPr>
              <w:t>/h）</w:t>
            </w:r>
          </w:p>
        </w:tc>
        <w:tc>
          <w:tcPr>
            <w:tcW w:w="1020" w:type="dxa"/>
            <w:vAlign w:val="center"/>
          </w:tcPr>
          <w:p w14:paraId="6FD9E900">
            <w:pPr>
              <w:pStyle w:val="69"/>
              <w:rPr>
                <w:color w:val="auto"/>
              </w:rPr>
            </w:pPr>
            <w:r>
              <w:rPr>
                <w:rFonts w:hint="eastAsia"/>
                <w:color w:val="auto"/>
              </w:rPr>
              <w:t>适用浓度范围（mg/m</w:t>
            </w:r>
            <w:r>
              <w:rPr>
                <w:rFonts w:hint="eastAsia"/>
                <w:color w:val="auto"/>
                <w:vertAlign w:val="superscript"/>
              </w:rPr>
              <w:t>3</w:t>
            </w:r>
            <w:r>
              <w:rPr>
                <w:rFonts w:hint="eastAsia"/>
                <w:color w:val="auto"/>
              </w:rPr>
              <w:t>）</w:t>
            </w:r>
          </w:p>
        </w:tc>
        <w:tc>
          <w:tcPr>
            <w:tcW w:w="1005" w:type="dxa"/>
            <w:vAlign w:val="center"/>
          </w:tcPr>
          <w:p w14:paraId="5797C609">
            <w:pPr>
              <w:pStyle w:val="69"/>
              <w:rPr>
                <w:color w:val="auto"/>
              </w:rPr>
            </w:pPr>
            <w:r>
              <w:rPr>
                <w:rFonts w:hint="eastAsia"/>
                <w:color w:val="auto"/>
              </w:rPr>
              <w:t>适宜废气温度范围 （℃）</w:t>
            </w:r>
          </w:p>
        </w:tc>
        <w:tc>
          <w:tcPr>
            <w:tcW w:w="2121" w:type="dxa"/>
            <w:vAlign w:val="center"/>
          </w:tcPr>
          <w:p w14:paraId="56488937">
            <w:pPr>
              <w:pStyle w:val="69"/>
              <w:rPr>
                <w:color w:val="auto"/>
              </w:rPr>
            </w:pPr>
            <w:r>
              <w:rPr>
                <w:rFonts w:hint="eastAsia"/>
                <w:color w:val="auto"/>
              </w:rPr>
              <w:t>原理</w:t>
            </w:r>
          </w:p>
        </w:tc>
        <w:tc>
          <w:tcPr>
            <w:tcW w:w="2121" w:type="dxa"/>
            <w:vAlign w:val="center"/>
          </w:tcPr>
          <w:p w14:paraId="0D93A163">
            <w:pPr>
              <w:pStyle w:val="69"/>
              <w:rPr>
                <w:color w:val="auto"/>
              </w:rPr>
            </w:pPr>
            <w:r>
              <w:rPr>
                <w:rFonts w:hint="eastAsia"/>
                <w:color w:val="auto"/>
              </w:rPr>
              <w:t>特点</w:t>
            </w:r>
          </w:p>
        </w:tc>
      </w:tr>
      <w:tr w14:paraId="696FEC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14:paraId="1C44102D">
            <w:pPr>
              <w:pStyle w:val="69"/>
              <w:rPr>
                <w:color w:val="auto"/>
              </w:rPr>
            </w:pPr>
            <w:r>
              <w:rPr>
                <w:rFonts w:hint="eastAsia"/>
                <w:color w:val="auto"/>
              </w:rPr>
              <w:t>1</w:t>
            </w:r>
          </w:p>
        </w:tc>
        <w:tc>
          <w:tcPr>
            <w:tcW w:w="1449" w:type="dxa"/>
            <w:gridSpan w:val="2"/>
            <w:vAlign w:val="center"/>
          </w:tcPr>
          <w:p w14:paraId="2909DA69">
            <w:pPr>
              <w:pStyle w:val="69"/>
              <w:rPr>
                <w:color w:val="auto"/>
              </w:rPr>
            </w:pPr>
            <w:r>
              <w:rPr>
                <w:rFonts w:hint="eastAsia"/>
                <w:color w:val="auto"/>
              </w:rPr>
              <w:t>吸附法</w:t>
            </w:r>
          </w:p>
        </w:tc>
        <w:tc>
          <w:tcPr>
            <w:tcW w:w="1140" w:type="dxa"/>
            <w:vAlign w:val="center"/>
          </w:tcPr>
          <w:p w14:paraId="20BD4981">
            <w:pPr>
              <w:pStyle w:val="69"/>
              <w:rPr>
                <w:color w:val="auto"/>
              </w:rPr>
            </w:pPr>
            <w:r>
              <w:rPr>
                <w:rFonts w:hint="eastAsia"/>
                <w:color w:val="auto"/>
              </w:rPr>
              <w:t>1000-60000</w:t>
            </w:r>
          </w:p>
        </w:tc>
        <w:tc>
          <w:tcPr>
            <w:tcW w:w="1020" w:type="dxa"/>
            <w:vAlign w:val="center"/>
          </w:tcPr>
          <w:p w14:paraId="4C7CE165">
            <w:pPr>
              <w:pStyle w:val="69"/>
              <w:rPr>
                <w:color w:val="auto"/>
              </w:rPr>
            </w:pPr>
            <w:r>
              <w:rPr>
                <w:rFonts w:hint="eastAsia"/>
                <w:color w:val="auto"/>
              </w:rPr>
              <w:t>&lt;200</w:t>
            </w:r>
          </w:p>
        </w:tc>
        <w:tc>
          <w:tcPr>
            <w:tcW w:w="1005" w:type="dxa"/>
            <w:vAlign w:val="center"/>
          </w:tcPr>
          <w:p w14:paraId="2E80A6DB">
            <w:pPr>
              <w:pStyle w:val="69"/>
              <w:rPr>
                <w:color w:val="auto"/>
              </w:rPr>
            </w:pPr>
            <w:r>
              <w:rPr>
                <w:rFonts w:hint="eastAsia"/>
                <w:color w:val="auto"/>
              </w:rPr>
              <w:t>＜45</w:t>
            </w:r>
          </w:p>
        </w:tc>
        <w:tc>
          <w:tcPr>
            <w:tcW w:w="2121" w:type="dxa"/>
          </w:tcPr>
          <w:p w14:paraId="30F11BC1">
            <w:pPr>
              <w:pStyle w:val="69"/>
              <w:rPr>
                <w:color w:val="auto"/>
              </w:rPr>
            </w:pPr>
            <w:r>
              <w:rPr>
                <w:rFonts w:hint="eastAsia"/>
                <w:color w:val="auto"/>
              </w:rPr>
              <w:t>利用吸附剂（如活性炭、活性炭纤维、分子筛等），将气态污染物富集处理。</w:t>
            </w:r>
          </w:p>
        </w:tc>
        <w:tc>
          <w:tcPr>
            <w:tcW w:w="2121" w:type="dxa"/>
            <w:vAlign w:val="center"/>
          </w:tcPr>
          <w:p w14:paraId="49E93B10">
            <w:pPr>
              <w:pStyle w:val="69"/>
              <w:rPr>
                <w:color w:val="auto"/>
              </w:rPr>
            </w:pPr>
            <w:r>
              <w:rPr>
                <w:rFonts w:hint="eastAsia"/>
                <w:color w:val="auto"/>
              </w:rPr>
              <w:t>不适于高浓度废气；不适于含水或含粒状物的废气；多与其他技术联用；各行业均有广泛应用。</w:t>
            </w:r>
          </w:p>
        </w:tc>
      </w:tr>
      <w:tr w14:paraId="179857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14:paraId="13314E84">
            <w:pPr>
              <w:pStyle w:val="69"/>
              <w:rPr>
                <w:color w:val="auto"/>
              </w:rPr>
            </w:pPr>
            <w:r>
              <w:rPr>
                <w:rFonts w:hint="eastAsia"/>
                <w:color w:val="auto"/>
              </w:rPr>
              <w:t>2</w:t>
            </w:r>
          </w:p>
        </w:tc>
        <w:tc>
          <w:tcPr>
            <w:tcW w:w="1449" w:type="dxa"/>
            <w:gridSpan w:val="2"/>
            <w:vAlign w:val="center"/>
          </w:tcPr>
          <w:p w14:paraId="143CAE50">
            <w:pPr>
              <w:pStyle w:val="69"/>
              <w:rPr>
                <w:color w:val="auto"/>
              </w:rPr>
            </w:pPr>
            <w:r>
              <w:rPr>
                <w:rFonts w:hint="eastAsia"/>
                <w:color w:val="auto"/>
              </w:rPr>
              <w:t>吸收法</w:t>
            </w:r>
          </w:p>
        </w:tc>
        <w:tc>
          <w:tcPr>
            <w:tcW w:w="1140" w:type="dxa"/>
            <w:vAlign w:val="center"/>
          </w:tcPr>
          <w:p w14:paraId="4828FEFE">
            <w:pPr>
              <w:pStyle w:val="69"/>
              <w:rPr>
                <w:color w:val="auto"/>
              </w:rPr>
            </w:pPr>
            <w:r>
              <w:rPr>
                <w:rFonts w:hint="eastAsia"/>
                <w:color w:val="auto"/>
              </w:rPr>
              <w:t>1000-60000</w:t>
            </w:r>
          </w:p>
        </w:tc>
        <w:tc>
          <w:tcPr>
            <w:tcW w:w="1020" w:type="dxa"/>
            <w:vAlign w:val="center"/>
          </w:tcPr>
          <w:p w14:paraId="10BA2B5D">
            <w:pPr>
              <w:pStyle w:val="69"/>
              <w:rPr>
                <w:color w:val="auto"/>
              </w:rPr>
            </w:pPr>
            <w:r>
              <w:rPr>
                <w:rFonts w:hint="eastAsia"/>
                <w:color w:val="auto"/>
              </w:rPr>
              <w:t>100-2000</w:t>
            </w:r>
          </w:p>
        </w:tc>
        <w:tc>
          <w:tcPr>
            <w:tcW w:w="1005" w:type="dxa"/>
            <w:vAlign w:val="center"/>
          </w:tcPr>
          <w:p w14:paraId="7A5EDDC8">
            <w:pPr>
              <w:pStyle w:val="69"/>
              <w:rPr>
                <w:color w:val="auto"/>
              </w:rPr>
            </w:pPr>
            <w:r>
              <w:rPr>
                <w:rFonts w:hint="eastAsia"/>
                <w:color w:val="auto"/>
              </w:rPr>
              <w:t>＜45</w:t>
            </w:r>
          </w:p>
        </w:tc>
        <w:tc>
          <w:tcPr>
            <w:tcW w:w="2121" w:type="dxa"/>
          </w:tcPr>
          <w:p w14:paraId="41B7A0C3">
            <w:pPr>
              <w:pStyle w:val="69"/>
              <w:rPr>
                <w:color w:val="auto"/>
              </w:rPr>
            </w:pPr>
            <w:r>
              <w:rPr>
                <w:rFonts w:hint="eastAsia"/>
                <w:color w:val="auto"/>
              </w:rPr>
              <w:t>利用吸收剂，将气态污染物从气相转移至液相。</w:t>
            </w:r>
          </w:p>
        </w:tc>
        <w:tc>
          <w:tcPr>
            <w:tcW w:w="2121" w:type="dxa"/>
            <w:vAlign w:val="center"/>
          </w:tcPr>
          <w:p w14:paraId="7095587C">
            <w:pPr>
              <w:pStyle w:val="69"/>
              <w:rPr>
                <w:color w:val="auto"/>
              </w:rPr>
            </w:pPr>
            <w:r>
              <w:rPr>
                <w:rFonts w:hint="eastAsia"/>
                <w:color w:val="auto"/>
              </w:rPr>
              <w:t>适用于大风量、中低浓度的工况；有废水产生；应用于喷漆、粘接、化工等行业。</w:t>
            </w:r>
          </w:p>
        </w:tc>
      </w:tr>
      <w:tr w14:paraId="10A3F6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Merge w:val="restart"/>
            <w:vAlign w:val="center"/>
          </w:tcPr>
          <w:p w14:paraId="158E74A6">
            <w:pPr>
              <w:pStyle w:val="69"/>
              <w:rPr>
                <w:color w:val="auto"/>
              </w:rPr>
            </w:pPr>
            <w:r>
              <w:rPr>
                <w:rFonts w:hint="eastAsia"/>
                <w:color w:val="auto"/>
              </w:rPr>
              <w:t>3</w:t>
            </w:r>
          </w:p>
        </w:tc>
        <w:tc>
          <w:tcPr>
            <w:tcW w:w="425" w:type="dxa"/>
            <w:vMerge w:val="restart"/>
            <w:vAlign w:val="center"/>
          </w:tcPr>
          <w:p w14:paraId="54882078">
            <w:pPr>
              <w:pStyle w:val="69"/>
              <w:rPr>
                <w:color w:val="auto"/>
              </w:rPr>
            </w:pPr>
            <w:r>
              <w:rPr>
                <w:rFonts w:hint="eastAsia"/>
                <w:color w:val="auto"/>
              </w:rPr>
              <w:t>热力氧化法</w:t>
            </w:r>
          </w:p>
        </w:tc>
        <w:tc>
          <w:tcPr>
            <w:tcW w:w="1024" w:type="dxa"/>
            <w:vAlign w:val="center"/>
          </w:tcPr>
          <w:p w14:paraId="1BFC2FD9">
            <w:pPr>
              <w:pStyle w:val="69"/>
              <w:rPr>
                <w:color w:val="auto"/>
              </w:rPr>
            </w:pPr>
            <w:r>
              <w:rPr>
                <w:rFonts w:hint="eastAsia"/>
                <w:color w:val="auto"/>
              </w:rPr>
              <w:t>蓄热式焚烧（RTO）</w:t>
            </w:r>
          </w:p>
        </w:tc>
        <w:tc>
          <w:tcPr>
            <w:tcW w:w="1140" w:type="dxa"/>
            <w:vAlign w:val="center"/>
          </w:tcPr>
          <w:p w14:paraId="1401D5AC">
            <w:pPr>
              <w:pStyle w:val="69"/>
              <w:rPr>
                <w:color w:val="auto"/>
              </w:rPr>
            </w:pPr>
            <w:r>
              <w:rPr>
                <w:rFonts w:hint="eastAsia"/>
                <w:color w:val="auto"/>
              </w:rPr>
              <w:t>＜40000</w:t>
            </w:r>
          </w:p>
        </w:tc>
        <w:tc>
          <w:tcPr>
            <w:tcW w:w="1020" w:type="dxa"/>
            <w:vAlign w:val="center"/>
          </w:tcPr>
          <w:p w14:paraId="56FAF3AD">
            <w:pPr>
              <w:pStyle w:val="69"/>
              <w:rPr>
                <w:color w:val="auto"/>
              </w:rPr>
            </w:pPr>
            <w:r>
              <w:rPr>
                <w:rFonts w:hint="eastAsia"/>
                <w:color w:val="auto"/>
              </w:rPr>
              <w:t>1000-1/4LET</w:t>
            </w:r>
          </w:p>
        </w:tc>
        <w:tc>
          <w:tcPr>
            <w:tcW w:w="1005" w:type="dxa"/>
            <w:vAlign w:val="center"/>
          </w:tcPr>
          <w:p w14:paraId="275BAD37">
            <w:pPr>
              <w:pStyle w:val="69"/>
              <w:rPr>
                <w:color w:val="auto"/>
              </w:rPr>
            </w:pPr>
            <w:r>
              <w:rPr>
                <w:rFonts w:hint="eastAsia"/>
                <w:color w:val="auto"/>
              </w:rPr>
              <w:t>＜700</w:t>
            </w:r>
          </w:p>
        </w:tc>
        <w:tc>
          <w:tcPr>
            <w:tcW w:w="2121" w:type="dxa"/>
          </w:tcPr>
          <w:p w14:paraId="5AB41864">
            <w:pPr>
              <w:pStyle w:val="69"/>
              <w:rPr>
                <w:color w:val="auto"/>
              </w:rPr>
            </w:pPr>
            <w:r>
              <w:rPr>
                <w:rFonts w:hint="eastAsia"/>
                <w:color w:val="auto"/>
              </w:rPr>
              <w:t>采用直接换热方法，将燃烧尾气的热量蓄积在蓄热体中并加热待处理废气，最终净化处理。</w:t>
            </w:r>
          </w:p>
        </w:tc>
        <w:tc>
          <w:tcPr>
            <w:tcW w:w="2121" w:type="dxa"/>
            <w:vAlign w:val="center"/>
          </w:tcPr>
          <w:p w14:paraId="1692E6C5">
            <w:pPr>
              <w:pStyle w:val="69"/>
              <w:rPr>
                <w:color w:val="auto"/>
              </w:rPr>
            </w:pPr>
            <w:r>
              <w:rPr>
                <w:rFonts w:hint="eastAsia"/>
                <w:color w:val="auto"/>
              </w:rPr>
              <w:t>适用于高浓度、大风量的工况；应用于化工、喷涂等行业。</w:t>
            </w:r>
          </w:p>
        </w:tc>
      </w:tr>
      <w:tr w14:paraId="4CFE5A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Merge w:val="continue"/>
            <w:vAlign w:val="center"/>
          </w:tcPr>
          <w:p w14:paraId="59B12E43">
            <w:pPr>
              <w:pStyle w:val="69"/>
              <w:rPr>
                <w:color w:val="auto"/>
              </w:rPr>
            </w:pPr>
          </w:p>
        </w:tc>
        <w:tc>
          <w:tcPr>
            <w:tcW w:w="425" w:type="dxa"/>
            <w:vMerge w:val="continue"/>
            <w:vAlign w:val="center"/>
          </w:tcPr>
          <w:p w14:paraId="4452BADB">
            <w:pPr>
              <w:pStyle w:val="69"/>
              <w:rPr>
                <w:color w:val="auto"/>
              </w:rPr>
            </w:pPr>
          </w:p>
        </w:tc>
        <w:tc>
          <w:tcPr>
            <w:tcW w:w="1024" w:type="dxa"/>
            <w:vAlign w:val="center"/>
          </w:tcPr>
          <w:p w14:paraId="7FD3C303">
            <w:pPr>
              <w:pStyle w:val="69"/>
              <w:rPr>
                <w:color w:val="auto"/>
              </w:rPr>
            </w:pPr>
            <w:r>
              <w:rPr>
                <w:rFonts w:hint="eastAsia"/>
                <w:color w:val="auto"/>
              </w:rPr>
              <w:t>蓄热式</w:t>
            </w:r>
          </w:p>
          <w:p w14:paraId="2842913C">
            <w:pPr>
              <w:pStyle w:val="69"/>
              <w:rPr>
                <w:color w:val="auto"/>
              </w:rPr>
            </w:pPr>
            <w:r>
              <w:rPr>
                <w:rFonts w:hint="eastAsia"/>
                <w:color w:val="auto"/>
              </w:rPr>
              <w:t>催化燃</w:t>
            </w:r>
          </w:p>
          <w:p w14:paraId="4495882E">
            <w:pPr>
              <w:pStyle w:val="69"/>
              <w:rPr>
                <w:color w:val="auto"/>
              </w:rPr>
            </w:pPr>
            <w:r>
              <w:rPr>
                <w:rFonts w:hint="eastAsia"/>
                <w:color w:val="auto"/>
              </w:rPr>
              <w:t>烧</w:t>
            </w:r>
          </w:p>
          <w:p w14:paraId="40BF1F6E">
            <w:pPr>
              <w:pStyle w:val="69"/>
              <w:rPr>
                <w:color w:val="auto"/>
              </w:rPr>
            </w:pPr>
            <w:r>
              <w:rPr>
                <w:rFonts w:hint="eastAsia"/>
                <w:color w:val="auto"/>
              </w:rPr>
              <w:t>(RCO)</w:t>
            </w:r>
          </w:p>
        </w:tc>
        <w:tc>
          <w:tcPr>
            <w:tcW w:w="1140" w:type="dxa"/>
            <w:vAlign w:val="center"/>
          </w:tcPr>
          <w:p w14:paraId="73EFF759">
            <w:pPr>
              <w:pStyle w:val="69"/>
              <w:rPr>
                <w:color w:val="auto"/>
              </w:rPr>
            </w:pPr>
            <w:r>
              <w:rPr>
                <w:rFonts w:hint="eastAsia"/>
                <w:color w:val="auto"/>
              </w:rPr>
              <w:t>＜40000</w:t>
            </w:r>
          </w:p>
        </w:tc>
        <w:tc>
          <w:tcPr>
            <w:tcW w:w="1020" w:type="dxa"/>
            <w:vAlign w:val="center"/>
          </w:tcPr>
          <w:p w14:paraId="53BD070F">
            <w:pPr>
              <w:pStyle w:val="69"/>
              <w:rPr>
                <w:color w:val="auto"/>
              </w:rPr>
            </w:pPr>
            <w:r>
              <w:rPr>
                <w:rFonts w:hint="eastAsia"/>
                <w:color w:val="auto"/>
              </w:rPr>
              <w:t>1000-1/4LET</w:t>
            </w:r>
          </w:p>
        </w:tc>
        <w:tc>
          <w:tcPr>
            <w:tcW w:w="1005" w:type="dxa"/>
            <w:vAlign w:val="center"/>
          </w:tcPr>
          <w:p w14:paraId="26BB3070">
            <w:pPr>
              <w:pStyle w:val="69"/>
              <w:rPr>
                <w:color w:val="auto"/>
              </w:rPr>
            </w:pPr>
            <w:r>
              <w:rPr>
                <w:rFonts w:hint="eastAsia"/>
                <w:color w:val="auto"/>
              </w:rPr>
              <w:t>＜350</w:t>
            </w:r>
          </w:p>
        </w:tc>
        <w:tc>
          <w:tcPr>
            <w:tcW w:w="2121" w:type="dxa"/>
          </w:tcPr>
          <w:p w14:paraId="56D29035">
            <w:pPr>
              <w:pStyle w:val="69"/>
              <w:rPr>
                <w:color w:val="auto"/>
              </w:rPr>
            </w:pPr>
            <w:r>
              <w:rPr>
                <w:rFonts w:hint="eastAsia"/>
                <w:color w:val="auto"/>
              </w:rPr>
              <w:t>将催化反应产生的热量，通过陶瓷蓄热体储存并加热待处理废气，最终净化处理。</w:t>
            </w:r>
          </w:p>
        </w:tc>
        <w:tc>
          <w:tcPr>
            <w:tcW w:w="2121" w:type="dxa"/>
            <w:vAlign w:val="center"/>
          </w:tcPr>
          <w:p w14:paraId="17DF168D">
            <w:pPr>
              <w:pStyle w:val="69"/>
              <w:rPr>
                <w:color w:val="auto"/>
              </w:rPr>
            </w:pPr>
            <w:r>
              <w:rPr>
                <w:rFonts w:hint="eastAsia"/>
                <w:color w:val="auto"/>
              </w:rPr>
              <w:t>适用于中高浓度、大风量的工况；应用于喷涂、印刷等行业。</w:t>
            </w:r>
          </w:p>
        </w:tc>
      </w:tr>
      <w:tr w14:paraId="41FAC1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14:paraId="14CB444B">
            <w:pPr>
              <w:pStyle w:val="69"/>
              <w:rPr>
                <w:color w:val="auto"/>
              </w:rPr>
            </w:pPr>
            <w:r>
              <w:rPr>
                <w:rFonts w:hint="eastAsia"/>
                <w:color w:val="auto"/>
              </w:rPr>
              <w:t>4</w:t>
            </w:r>
          </w:p>
        </w:tc>
        <w:tc>
          <w:tcPr>
            <w:tcW w:w="1449" w:type="dxa"/>
            <w:gridSpan w:val="2"/>
            <w:vAlign w:val="center"/>
          </w:tcPr>
          <w:p w14:paraId="75D5A962">
            <w:pPr>
              <w:pStyle w:val="69"/>
              <w:rPr>
                <w:color w:val="auto"/>
              </w:rPr>
            </w:pPr>
            <w:r>
              <w:rPr>
                <w:rFonts w:hint="eastAsia"/>
                <w:color w:val="auto"/>
              </w:rPr>
              <w:t>吸附浓缩-催化燃烧法</w:t>
            </w:r>
          </w:p>
        </w:tc>
        <w:tc>
          <w:tcPr>
            <w:tcW w:w="1140" w:type="dxa"/>
            <w:vAlign w:val="center"/>
          </w:tcPr>
          <w:p w14:paraId="16F904FD">
            <w:pPr>
              <w:pStyle w:val="69"/>
              <w:rPr>
                <w:color w:val="auto"/>
              </w:rPr>
            </w:pPr>
            <w:r>
              <w:rPr>
                <w:rFonts w:hint="eastAsia"/>
                <w:color w:val="auto"/>
              </w:rPr>
              <w:t>10000-180000</w:t>
            </w:r>
          </w:p>
        </w:tc>
        <w:tc>
          <w:tcPr>
            <w:tcW w:w="1020" w:type="dxa"/>
            <w:vAlign w:val="center"/>
          </w:tcPr>
          <w:p w14:paraId="6CC21C4A">
            <w:pPr>
              <w:pStyle w:val="69"/>
              <w:rPr>
                <w:color w:val="auto"/>
              </w:rPr>
            </w:pPr>
            <w:r>
              <w:rPr>
                <w:rFonts w:hint="eastAsia"/>
                <w:color w:val="auto"/>
              </w:rPr>
              <w:t>100-2000</w:t>
            </w:r>
          </w:p>
        </w:tc>
        <w:tc>
          <w:tcPr>
            <w:tcW w:w="1005" w:type="dxa"/>
            <w:vAlign w:val="center"/>
          </w:tcPr>
          <w:p w14:paraId="3D2A2C78">
            <w:pPr>
              <w:pStyle w:val="69"/>
              <w:rPr>
                <w:color w:val="auto"/>
              </w:rPr>
            </w:pPr>
            <w:r>
              <w:rPr>
                <w:rFonts w:hint="eastAsia"/>
                <w:color w:val="auto"/>
              </w:rPr>
              <w:t>＜45</w:t>
            </w:r>
          </w:p>
        </w:tc>
        <w:tc>
          <w:tcPr>
            <w:tcW w:w="2121" w:type="dxa"/>
          </w:tcPr>
          <w:p w14:paraId="70E4FD4A">
            <w:pPr>
              <w:pStyle w:val="69"/>
              <w:rPr>
                <w:color w:val="auto"/>
              </w:rPr>
            </w:pPr>
            <w:r>
              <w:rPr>
                <w:rFonts w:hint="eastAsia"/>
                <w:color w:val="auto"/>
              </w:rPr>
              <w:t>经吸附浓缩脱附后，通过催化燃烧处理废气，最终净化处理。</w:t>
            </w:r>
          </w:p>
        </w:tc>
        <w:tc>
          <w:tcPr>
            <w:tcW w:w="2121" w:type="dxa"/>
            <w:vAlign w:val="center"/>
          </w:tcPr>
          <w:p w14:paraId="4B0FC368">
            <w:pPr>
              <w:pStyle w:val="69"/>
              <w:rPr>
                <w:color w:val="auto"/>
              </w:rPr>
            </w:pPr>
            <w:r>
              <w:rPr>
                <w:rFonts w:hint="eastAsia"/>
                <w:color w:val="auto"/>
              </w:rPr>
              <w:t>适用于低浓度、大风量的工况；应用于喷涂、印刷、汽车、集装箱、电子等行业。</w:t>
            </w:r>
          </w:p>
        </w:tc>
      </w:tr>
      <w:tr w14:paraId="1C1AC5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14:paraId="574109A0">
            <w:pPr>
              <w:pStyle w:val="69"/>
              <w:rPr>
                <w:color w:val="auto"/>
              </w:rPr>
            </w:pPr>
            <w:r>
              <w:rPr>
                <w:rFonts w:hint="eastAsia"/>
                <w:color w:val="auto"/>
              </w:rPr>
              <w:t>5</w:t>
            </w:r>
          </w:p>
        </w:tc>
        <w:tc>
          <w:tcPr>
            <w:tcW w:w="1449" w:type="dxa"/>
            <w:gridSpan w:val="2"/>
            <w:vAlign w:val="center"/>
          </w:tcPr>
          <w:p w14:paraId="0428388A">
            <w:pPr>
              <w:pStyle w:val="69"/>
              <w:rPr>
                <w:color w:val="auto"/>
              </w:rPr>
            </w:pPr>
            <w:r>
              <w:rPr>
                <w:rFonts w:hint="eastAsia"/>
                <w:color w:val="auto"/>
              </w:rPr>
              <w:t>低温等离子体法</w:t>
            </w:r>
          </w:p>
        </w:tc>
        <w:tc>
          <w:tcPr>
            <w:tcW w:w="1140" w:type="dxa"/>
            <w:vAlign w:val="center"/>
          </w:tcPr>
          <w:p w14:paraId="239CA940">
            <w:pPr>
              <w:pStyle w:val="69"/>
              <w:rPr>
                <w:color w:val="auto"/>
              </w:rPr>
            </w:pPr>
            <w:r>
              <w:rPr>
                <w:rFonts w:hint="eastAsia"/>
                <w:color w:val="auto"/>
              </w:rPr>
              <w:t>1000-20000</w:t>
            </w:r>
          </w:p>
        </w:tc>
        <w:tc>
          <w:tcPr>
            <w:tcW w:w="1020" w:type="dxa"/>
            <w:vAlign w:val="center"/>
          </w:tcPr>
          <w:p w14:paraId="00ECD68E">
            <w:pPr>
              <w:pStyle w:val="69"/>
              <w:rPr>
                <w:color w:val="auto"/>
              </w:rPr>
            </w:pPr>
            <w:r>
              <w:rPr>
                <w:rFonts w:hint="eastAsia"/>
                <w:color w:val="auto"/>
              </w:rPr>
              <w:t>&lt;500</w:t>
            </w:r>
          </w:p>
        </w:tc>
        <w:tc>
          <w:tcPr>
            <w:tcW w:w="1005" w:type="dxa"/>
            <w:vAlign w:val="center"/>
          </w:tcPr>
          <w:p w14:paraId="19D1B518">
            <w:pPr>
              <w:pStyle w:val="69"/>
              <w:rPr>
                <w:color w:val="auto"/>
              </w:rPr>
            </w:pPr>
            <w:r>
              <w:rPr>
                <w:rFonts w:hint="eastAsia"/>
                <w:color w:val="auto"/>
              </w:rPr>
              <w:t>&lt;60</w:t>
            </w:r>
          </w:p>
        </w:tc>
        <w:tc>
          <w:tcPr>
            <w:tcW w:w="2121" w:type="dxa"/>
          </w:tcPr>
          <w:p w14:paraId="618D841F">
            <w:pPr>
              <w:pStyle w:val="69"/>
              <w:rPr>
                <w:color w:val="auto"/>
              </w:rPr>
            </w:pPr>
            <w:r>
              <w:rPr>
                <w:rFonts w:hint="eastAsia"/>
                <w:color w:val="auto"/>
              </w:rPr>
              <w:t>利用高能活性粒子，将气态污染物转化CO2、H2O、N2等无害物质。</w:t>
            </w:r>
          </w:p>
        </w:tc>
        <w:tc>
          <w:tcPr>
            <w:tcW w:w="2121" w:type="dxa"/>
            <w:vAlign w:val="center"/>
          </w:tcPr>
          <w:p w14:paraId="58B1D48C">
            <w:pPr>
              <w:pStyle w:val="69"/>
              <w:rPr>
                <w:color w:val="auto"/>
              </w:rPr>
            </w:pPr>
            <w:r>
              <w:rPr>
                <w:rFonts w:hint="eastAsia"/>
                <w:color w:val="auto"/>
              </w:rPr>
              <w:t>适用于低浓度的工况；有少量 NOX产生；可与吸附技术联用；应用于电子、医疗、机械等行业。</w:t>
            </w:r>
          </w:p>
        </w:tc>
      </w:tr>
      <w:tr w14:paraId="5E0EEA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14:paraId="778A3B01">
            <w:pPr>
              <w:pStyle w:val="69"/>
              <w:rPr>
                <w:color w:val="auto"/>
              </w:rPr>
            </w:pPr>
            <w:r>
              <w:rPr>
                <w:rFonts w:hint="eastAsia"/>
                <w:color w:val="auto"/>
              </w:rPr>
              <w:t>6</w:t>
            </w:r>
          </w:p>
        </w:tc>
        <w:tc>
          <w:tcPr>
            <w:tcW w:w="1449" w:type="dxa"/>
            <w:gridSpan w:val="2"/>
            <w:vAlign w:val="center"/>
          </w:tcPr>
          <w:p w14:paraId="2AF221F7">
            <w:pPr>
              <w:pStyle w:val="69"/>
              <w:rPr>
                <w:color w:val="auto"/>
              </w:rPr>
            </w:pPr>
            <w:r>
              <w:rPr>
                <w:rFonts w:hint="eastAsia"/>
                <w:color w:val="auto"/>
              </w:rPr>
              <w:t>光催化氧化（UV）</w:t>
            </w:r>
          </w:p>
        </w:tc>
        <w:tc>
          <w:tcPr>
            <w:tcW w:w="1140" w:type="dxa"/>
            <w:vAlign w:val="center"/>
          </w:tcPr>
          <w:p w14:paraId="1A43313F">
            <w:pPr>
              <w:pStyle w:val="69"/>
              <w:rPr>
                <w:color w:val="auto"/>
              </w:rPr>
            </w:pPr>
            <w:r>
              <w:rPr>
                <w:rFonts w:hint="eastAsia"/>
                <w:color w:val="auto"/>
              </w:rPr>
              <w:t>1000-80000</w:t>
            </w:r>
          </w:p>
        </w:tc>
        <w:tc>
          <w:tcPr>
            <w:tcW w:w="1020" w:type="dxa"/>
            <w:vAlign w:val="center"/>
          </w:tcPr>
          <w:p w14:paraId="2158219E">
            <w:pPr>
              <w:pStyle w:val="69"/>
              <w:rPr>
                <w:color w:val="auto"/>
              </w:rPr>
            </w:pPr>
            <w:r>
              <w:rPr>
                <w:rFonts w:hint="eastAsia"/>
                <w:color w:val="auto"/>
              </w:rPr>
              <w:t>＜500</w:t>
            </w:r>
          </w:p>
        </w:tc>
        <w:tc>
          <w:tcPr>
            <w:tcW w:w="1005" w:type="dxa"/>
            <w:vAlign w:val="center"/>
          </w:tcPr>
          <w:p w14:paraId="3CFC9B66">
            <w:pPr>
              <w:pStyle w:val="69"/>
              <w:rPr>
                <w:color w:val="auto"/>
              </w:rPr>
            </w:pPr>
            <w:r>
              <w:rPr>
                <w:rFonts w:hint="eastAsia"/>
                <w:color w:val="auto"/>
              </w:rPr>
              <w:t>＜90</w:t>
            </w:r>
          </w:p>
        </w:tc>
        <w:tc>
          <w:tcPr>
            <w:tcW w:w="2121" w:type="dxa"/>
          </w:tcPr>
          <w:p w14:paraId="61DBA8F2">
            <w:pPr>
              <w:pStyle w:val="69"/>
              <w:rPr>
                <w:color w:val="auto"/>
              </w:rPr>
            </w:pPr>
            <w:r>
              <w:rPr>
                <w:rFonts w:hint="eastAsia"/>
                <w:color w:val="auto"/>
              </w:rPr>
              <w:t>利用紫外光活化催化材料，氧化吸附在催化剂表面的气态污染物。</w:t>
            </w:r>
          </w:p>
        </w:tc>
        <w:tc>
          <w:tcPr>
            <w:tcW w:w="2121" w:type="dxa"/>
            <w:vAlign w:val="center"/>
          </w:tcPr>
          <w:p w14:paraId="76CE6C0F">
            <w:pPr>
              <w:pStyle w:val="69"/>
              <w:rPr>
                <w:color w:val="auto"/>
              </w:rPr>
            </w:pPr>
            <w:r>
              <w:rPr>
                <w:rFonts w:hint="eastAsia"/>
                <w:color w:val="auto"/>
              </w:rPr>
              <w:t>适用于低浓度的工况；多与吸附技术联用；应用于印染、家具、制鞋等行业。</w:t>
            </w:r>
          </w:p>
        </w:tc>
      </w:tr>
      <w:tr w14:paraId="63E28A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14:paraId="4D261B03">
            <w:pPr>
              <w:pStyle w:val="69"/>
              <w:rPr>
                <w:color w:val="auto"/>
              </w:rPr>
            </w:pPr>
            <w:r>
              <w:rPr>
                <w:rFonts w:hint="eastAsia"/>
                <w:color w:val="auto"/>
              </w:rPr>
              <w:t>7</w:t>
            </w:r>
          </w:p>
        </w:tc>
        <w:tc>
          <w:tcPr>
            <w:tcW w:w="1449" w:type="dxa"/>
            <w:gridSpan w:val="2"/>
            <w:vAlign w:val="center"/>
          </w:tcPr>
          <w:p w14:paraId="58CFC917">
            <w:pPr>
              <w:pStyle w:val="69"/>
              <w:rPr>
                <w:color w:val="auto"/>
              </w:rPr>
            </w:pPr>
            <w:r>
              <w:rPr>
                <w:rFonts w:hint="eastAsia"/>
                <w:color w:val="auto"/>
              </w:rPr>
              <w:t>生物法</w:t>
            </w:r>
          </w:p>
        </w:tc>
        <w:tc>
          <w:tcPr>
            <w:tcW w:w="1140" w:type="dxa"/>
            <w:vAlign w:val="center"/>
          </w:tcPr>
          <w:p w14:paraId="4840E5CB">
            <w:pPr>
              <w:pStyle w:val="69"/>
              <w:rPr>
                <w:color w:val="auto"/>
              </w:rPr>
            </w:pPr>
            <w:r>
              <w:rPr>
                <w:rFonts w:hint="eastAsia"/>
                <w:color w:val="auto"/>
              </w:rPr>
              <w:t>1000-60000</w:t>
            </w:r>
          </w:p>
        </w:tc>
        <w:tc>
          <w:tcPr>
            <w:tcW w:w="1020" w:type="dxa"/>
            <w:vAlign w:val="center"/>
          </w:tcPr>
          <w:p w14:paraId="7887785C">
            <w:pPr>
              <w:pStyle w:val="69"/>
              <w:rPr>
                <w:color w:val="auto"/>
              </w:rPr>
            </w:pPr>
            <w:r>
              <w:rPr>
                <w:rFonts w:hint="eastAsia"/>
                <w:color w:val="auto"/>
              </w:rPr>
              <w:t>＜400</w:t>
            </w:r>
          </w:p>
        </w:tc>
        <w:tc>
          <w:tcPr>
            <w:tcW w:w="1005" w:type="dxa"/>
            <w:vAlign w:val="center"/>
          </w:tcPr>
          <w:p w14:paraId="050ADC37">
            <w:pPr>
              <w:pStyle w:val="69"/>
              <w:rPr>
                <w:color w:val="auto"/>
              </w:rPr>
            </w:pPr>
            <w:r>
              <w:rPr>
                <w:rFonts w:hint="eastAsia"/>
                <w:color w:val="auto"/>
              </w:rPr>
              <w:t>＜50</w:t>
            </w:r>
          </w:p>
        </w:tc>
        <w:tc>
          <w:tcPr>
            <w:tcW w:w="2121" w:type="dxa"/>
          </w:tcPr>
          <w:p w14:paraId="4A636012">
            <w:pPr>
              <w:pStyle w:val="69"/>
              <w:rPr>
                <w:color w:val="auto"/>
              </w:rPr>
            </w:pPr>
            <w:r>
              <w:rPr>
                <w:rFonts w:hint="eastAsia"/>
                <w:color w:val="auto"/>
              </w:rPr>
              <w:t>利用微生物，将气态污染物转化CO2、H</w:t>
            </w:r>
            <w:r>
              <w:rPr>
                <w:rFonts w:hint="eastAsia"/>
                <w:color w:val="auto"/>
                <w:vertAlign w:val="subscript"/>
              </w:rPr>
              <w:t>2</w:t>
            </w:r>
            <w:r>
              <w:rPr>
                <w:rFonts w:hint="eastAsia"/>
                <w:color w:val="auto"/>
              </w:rPr>
              <w:t>O等简单无机物和微生物细胞质。</w:t>
            </w:r>
          </w:p>
        </w:tc>
        <w:tc>
          <w:tcPr>
            <w:tcW w:w="2121" w:type="dxa"/>
            <w:vAlign w:val="center"/>
          </w:tcPr>
          <w:p w14:paraId="2DFA2945">
            <w:pPr>
              <w:pStyle w:val="69"/>
              <w:rPr>
                <w:color w:val="auto"/>
              </w:rPr>
            </w:pPr>
            <w:r>
              <w:rPr>
                <w:rFonts w:hint="eastAsia"/>
                <w:color w:val="auto"/>
              </w:rPr>
              <w:t>适用于大风量、低浓度宜生物降解性的工况；处理效率受温度的影响；不适于含高浓度氯化物的气流；应用于VOCs、喷漆、污水处理、堆肥、化工等行业。</w:t>
            </w:r>
          </w:p>
        </w:tc>
      </w:tr>
      <w:tr w14:paraId="2CD7E4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14:paraId="3C97C9A3">
            <w:pPr>
              <w:pStyle w:val="69"/>
              <w:rPr>
                <w:color w:val="auto"/>
              </w:rPr>
            </w:pPr>
            <w:r>
              <w:rPr>
                <w:rFonts w:hint="eastAsia"/>
                <w:color w:val="auto"/>
              </w:rPr>
              <w:t>8</w:t>
            </w:r>
          </w:p>
        </w:tc>
        <w:tc>
          <w:tcPr>
            <w:tcW w:w="1449" w:type="dxa"/>
            <w:gridSpan w:val="2"/>
            <w:vAlign w:val="center"/>
          </w:tcPr>
          <w:p w14:paraId="1E5EBBFF">
            <w:pPr>
              <w:pStyle w:val="69"/>
              <w:rPr>
                <w:color w:val="auto"/>
              </w:rPr>
            </w:pPr>
            <w:r>
              <w:rPr>
                <w:rFonts w:hint="eastAsia"/>
                <w:color w:val="auto"/>
              </w:rPr>
              <w:t>冷凝回收法</w:t>
            </w:r>
          </w:p>
        </w:tc>
        <w:tc>
          <w:tcPr>
            <w:tcW w:w="1140" w:type="dxa"/>
            <w:vAlign w:val="center"/>
          </w:tcPr>
          <w:p w14:paraId="564A8E8C">
            <w:pPr>
              <w:pStyle w:val="69"/>
              <w:rPr>
                <w:color w:val="auto"/>
              </w:rPr>
            </w:pPr>
            <w:r>
              <w:rPr>
                <w:rFonts w:hint="eastAsia"/>
                <w:color w:val="auto"/>
              </w:rPr>
              <w:t>10000-150000</w:t>
            </w:r>
          </w:p>
        </w:tc>
        <w:tc>
          <w:tcPr>
            <w:tcW w:w="1020" w:type="dxa"/>
            <w:vAlign w:val="center"/>
          </w:tcPr>
          <w:p w14:paraId="4548203D">
            <w:pPr>
              <w:pStyle w:val="69"/>
              <w:rPr>
                <w:color w:val="auto"/>
              </w:rPr>
            </w:pPr>
            <w:r>
              <w:rPr>
                <w:rFonts w:hint="eastAsia"/>
                <w:color w:val="auto"/>
              </w:rPr>
              <w:t>1000-66250</w:t>
            </w:r>
          </w:p>
        </w:tc>
        <w:tc>
          <w:tcPr>
            <w:tcW w:w="1005" w:type="dxa"/>
            <w:vAlign w:val="center"/>
          </w:tcPr>
          <w:p w14:paraId="42CF3DB8">
            <w:pPr>
              <w:pStyle w:val="69"/>
              <w:rPr>
                <w:color w:val="auto"/>
              </w:rPr>
            </w:pPr>
            <w:r>
              <w:rPr>
                <w:rFonts w:hint="eastAsia"/>
                <w:color w:val="auto"/>
              </w:rPr>
              <w:t>0-45</w:t>
            </w:r>
          </w:p>
        </w:tc>
        <w:tc>
          <w:tcPr>
            <w:tcW w:w="2121" w:type="dxa"/>
            <w:vAlign w:val="center"/>
          </w:tcPr>
          <w:p w14:paraId="0D4D92D1">
            <w:pPr>
              <w:pStyle w:val="69"/>
              <w:rPr>
                <w:color w:val="auto"/>
              </w:rPr>
            </w:pPr>
            <w:r>
              <w:rPr>
                <w:rFonts w:hint="eastAsia"/>
                <w:color w:val="auto"/>
              </w:rPr>
              <w:t>利用物质在不同温度下具有不同饱和蒸汽压的性质，降低系统温度或提高系统压力，使处于蒸汽状态的污染物从废气中冷凝分离出来</w:t>
            </w:r>
          </w:p>
        </w:tc>
        <w:tc>
          <w:tcPr>
            <w:tcW w:w="2121" w:type="dxa"/>
            <w:vAlign w:val="center"/>
          </w:tcPr>
          <w:p w14:paraId="1B305D8B">
            <w:pPr>
              <w:pStyle w:val="69"/>
              <w:rPr>
                <w:color w:val="auto"/>
              </w:rPr>
            </w:pPr>
            <w:r>
              <w:rPr>
                <w:rFonts w:hint="eastAsia"/>
                <w:color w:val="auto"/>
              </w:rPr>
              <w:t>能耗高；只适于高浓度废气；使用溶剂型胶粘剂的复合工艺</w:t>
            </w:r>
          </w:p>
        </w:tc>
      </w:tr>
    </w:tbl>
    <w:p w14:paraId="3D38FD0C">
      <w:pPr>
        <w:pStyle w:val="62"/>
        <w:numPr>
          <w:ilvl w:val="0"/>
          <w:numId w:val="51"/>
        </w:numPr>
        <w:bidi w:val="0"/>
        <w:ind w:left="0" w:leftChars="0" w:firstLine="0" w:firstLineChars="0"/>
        <w:rPr>
          <w:rFonts w:hint="eastAsia" w:ascii="Times New Roman" w:hAnsi="Times New Roman" w:eastAsia="宋体" w:cs="Times New Roman"/>
        </w:rPr>
      </w:pPr>
      <w:r>
        <w:rPr>
          <w:rFonts w:hint="eastAsia" w:ascii="Times New Roman" w:hAnsi="Times New Roman" w:eastAsia="宋体" w:cs="Times New Roman"/>
        </w:rPr>
        <w:t>典型治理技术的经济成本及环境效益</w:t>
      </w:r>
    </w:p>
    <w:tbl>
      <w:tblPr>
        <w:tblStyle w:val="38"/>
        <w:tblW w:w="928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998"/>
        <w:gridCol w:w="1098"/>
        <w:gridCol w:w="1090"/>
        <w:gridCol w:w="1081"/>
        <w:gridCol w:w="1172"/>
        <w:gridCol w:w="1315"/>
        <w:gridCol w:w="1315"/>
      </w:tblGrid>
      <w:tr w14:paraId="2523F1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219" w:type="dxa"/>
            <w:vAlign w:val="center"/>
          </w:tcPr>
          <w:p w14:paraId="6F81A614">
            <w:pPr>
              <w:pStyle w:val="69"/>
              <w:rPr>
                <w:color w:val="auto"/>
              </w:rPr>
            </w:pPr>
            <w:r>
              <w:rPr>
                <w:rFonts w:hint="eastAsia"/>
                <w:color w:val="auto"/>
              </w:rPr>
              <w:t>治理技术</w:t>
            </w:r>
          </w:p>
        </w:tc>
        <w:tc>
          <w:tcPr>
            <w:tcW w:w="998" w:type="dxa"/>
            <w:vAlign w:val="center"/>
          </w:tcPr>
          <w:p w14:paraId="1D35F855">
            <w:pPr>
              <w:pStyle w:val="69"/>
              <w:rPr>
                <w:color w:val="auto"/>
              </w:rPr>
            </w:pPr>
            <w:r>
              <w:rPr>
                <w:rFonts w:hint="eastAsia"/>
                <w:color w:val="auto"/>
              </w:rPr>
              <w:t>吸附法</w:t>
            </w:r>
          </w:p>
        </w:tc>
        <w:tc>
          <w:tcPr>
            <w:tcW w:w="1098" w:type="dxa"/>
            <w:vAlign w:val="center"/>
          </w:tcPr>
          <w:p w14:paraId="2E385106">
            <w:pPr>
              <w:pStyle w:val="69"/>
              <w:rPr>
                <w:color w:val="auto"/>
              </w:rPr>
            </w:pPr>
            <w:r>
              <w:rPr>
                <w:rFonts w:hint="eastAsia"/>
                <w:color w:val="auto"/>
              </w:rPr>
              <w:t>吸收法</w:t>
            </w:r>
          </w:p>
        </w:tc>
        <w:tc>
          <w:tcPr>
            <w:tcW w:w="1090" w:type="dxa"/>
            <w:vAlign w:val="center"/>
          </w:tcPr>
          <w:p w14:paraId="3FEF50DA">
            <w:pPr>
              <w:pStyle w:val="69"/>
              <w:rPr>
                <w:color w:val="auto"/>
              </w:rPr>
            </w:pPr>
            <w:r>
              <w:rPr>
                <w:rFonts w:hint="eastAsia"/>
                <w:color w:val="auto"/>
              </w:rPr>
              <w:t>吸附-催化燃烧法</w:t>
            </w:r>
          </w:p>
        </w:tc>
        <w:tc>
          <w:tcPr>
            <w:tcW w:w="1081" w:type="dxa"/>
            <w:vAlign w:val="center"/>
          </w:tcPr>
          <w:p w14:paraId="72335A71">
            <w:pPr>
              <w:pStyle w:val="69"/>
              <w:rPr>
                <w:color w:val="auto"/>
              </w:rPr>
            </w:pPr>
            <w:r>
              <w:rPr>
                <w:rFonts w:hint="eastAsia"/>
                <w:color w:val="auto"/>
              </w:rPr>
              <w:t>低温等离子体法</w:t>
            </w:r>
          </w:p>
        </w:tc>
        <w:tc>
          <w:tcPr>
            <w:tcW w:w="1172" w:type="dxa"/>
            <w:vAlign w:val="center"/>
          </w:tcPr>
          <w:p w14:paraId="6819DAA2">
            <w:pPr>
              <w:pStyle w:val="69"/>
              <w:rPr>
                <w:color w:val="auto"/>
              </w:rPr>
            </w:pPr>
            <w:r>
              <w:rPr>
                <w:rFonts w:hint="eastAsia"/>
                <w:color w:val="auto"/>
              </w:rPr>
              <w:t>光催化氧化法</w:t>
            </w:r>
          </w:p>
        </w:tc>
        <w:tc>
          <w:tcPr>
            <w:tcW w:w="1315" w:type="dxa"/>
            <w:vAlign w:val="center"/>
          </w:tcPr>
          <w:p w14:paraId="2B6B4E38">
            <w:pPr>
              <w:pStyle w:val="69"/>
              <w:rPr>
                <w:color w:val="auto"/>
              </w:rPr>
            </w:pPr>
            <w:r>
              <w:rPr>
                <w:rFonts w:hint="eastAsia"/>
                <w:color w:val="auto"/>
              </w:rPr>
              <w:t>生物法</w:t>
            </w:r>
          </w:p>
        </w:tc>
        <w:tc>
          <w:tcPr>
            <w:tcW w:w="1315" w:type="dxa"/>
            <w:vAlign w:val="center"/>
          </w:tcPr>
          <w:p w14:paraId="77209E39">
            <w:pPr>
              <w:pStyle w:val="69"/>
              <w:rPr>
                <w:color w:val="auto"/>
              </w:rPr>
            </w:pPr>
            <w:r>
              <w:rPr>
                <w:rFonts w:hint="eastAsia"/>
                <w:color w:val="auto"/>
              </w:rPr>
              <w:t>冷凝回收</w:t>
            </w:r>
          </w:p>
        </w:tc>
      </w:tr>
      <w:tr w14:paraId="07F4A5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19" w:type="dxa"/>
            <w:vAlign w:val="center"/>
          </w:tcPr>
          <w:p w14:paraId="33CC3A8C">
            <w:pPr>
              <w:pStyle w:val="69"/>
              <w:rPr>
                <w:color w:val="auto"/>
              </w:rPr>
            </w:pPr>
            <w:r>
              <w:rPr>
                <w:rFonts w:hint="eastAsia"/>
                <w:color w:val="auto"/>
              </w:rPr>
              <w:t>初次投入成本（万元）</w:t>
            </w:r>
          </w:p>
        </w:tc>
        <w:tc>
          <w:tcPr>
            <w:tcW w:w="998" w:type="dxa"/>
            <w:vAlign w:val="center"/>
          </w:tcPr>
          <w:p w14:paraId="4725D0C9">
            <w:pPr>
              <w:pStyle w:val="69"/>
              <w:rPr>
                <w:color w:val="auto"/>
              </w:rPr>
            </w:pPr>
            <w:r>
              <w:rPr>
                <w:rFonts w:hint="eastAsia"/>
                <w:color w:val="auto"/>
              </w:rPr>
              <w:t>20-40</w:t>
            </w:r>
          </w:p>
        </w:tc>
        <w:tc>
          <w:tcPr>
            <w:tcW w:w="1098" w:type="dxa"/>
            <w:vAlign w:val="center"/>
          </w:tcPr>
          <w:p w14:paraId="4F015DB6">
            <w:pPr>
              <w:pStyle w:val="69"/>
              <w:rPr>
                <w:color w:val="auto"/>
              </w:rPr>
            </w:pPr>
            <w:r>
              <w:rPr>
                <w:rFonts w:hint="eastAsia"/>
                <w:color w:val="auto"/>
              </w:rPr>
              <w:t>50-60</w:t>
            </w:r>
          </w:p>
        </w:tc>
        <w:tc>
          <w:tcPr>
            <w:tcW w:w="1090" w:type="dxa"/>
            <w:vAlign w:val="center"/>
          </w:tcPr>
          <w:p w14:paraId="0CE0EFB8">
            <w:pPr>
              <w:pStyle w:val="69"/>
              <w:rPr>
                <w:color w:val="auto"/>
              </w:rPr>
            </w:pPr>
            <w:r>
              <w:rPr>
                <w:rFonts w:hint="eastAsia"/>
                <w:color w:val="auto"/>
              </w:rPr>
              <w:t>180-250</w:t>
            </w:r>
          </w:p>
        </w:tc>
        <w:tc>
          <w:tcPr>
            <w:tcW w:w="1081" w:type="dxa"/>
            <w:vAlign w:val="center"/>
          </w:tcPr>
          <w:p w14:paraId="7D2901FB">
            <w:pPr>
              <w:pStyle w:val="69"/>
              <w:rPr>
                <w:color w:val="auto"/>
              </w:rPr>
            </w:pPr>
            <w:r>
              <w:rPr>
                <w:rFonts w:hint="eastAsia"/>
                <w:color w:val="auto"/>
              </w:rPr>
              <w:t>50-60</w:t>
            </w:r>
          </w:p>
        </w:tc>
        <w:tc>
          <w:tcPr>
            <w:tcW w:w="1172" w:type="dxa"/>
            <w:vAlign w:val="center"/>
          </w:tcPr>
          <w:p w14:paraId="0162C0F0">
            <w:pPr>
              <w:pStyle w:val="69"/>
              <w:rPr>
                <w:color w:val="auto"/>
              </w:rPr>
            </w:pPr>
            <w:r>
              <w:rPr>
                <w:rFonts w:hint="eastAsia"/>
                <w:color w:val="auto"/>
              </w:rPr>
              <w:t>30-50</w:t>
            </w:r>
          </w:p>
        </w:tc>
        <w:tc>
          <w:tcPr>
            <w:tcW w:w="1315" w:type="dxa"/>
            <w:vAlign w:val="center"/>
          </w:tcPr>
          <w:p w14:paraId="57D20821">
            <w:pPr>
              <w:pStyle w:val="69"/>
              <w:rPr>
                <w:color w:val="auto"/>
              </w:rPr>
            </w:pPr>
            <w:r>
              <w:rPr>
                <w:rFonts w:hint="eastAsia"/>
                <w:color w:val="auto"/>
              </w:rPr>
              <w:t>40-60</w:t>
            </w:r>
          </w:p>
        </w:tc>
        <w:tc>
          <w:tcPr>
            <w:tcW w:w="1315" w:type="dxa"/>
            <w:vAlign w:val="center"/>
          </w:tcPr>
          <w:p w14:paraId="09034EF0">
            <w:pPr>
              <w:pStyle w:val="69"/>
              <w:rPr>
                <w:color w:val="auto"/>
              </w:rPr>
            </w:pPr>
            <w:r>
              <w:rPr>
                <w:rFonts w:hint="eastAsia"/>
                <w:color w:val="auto"/>
              </w:rPr>
              <w:t>280</w:t>
            </w:r>
          </w:p>
        </w:tc>
      </w:tr>
      <w:tr w14:paraId="46264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19" w:type="dxa"/>
            <w:vAlign w:val="center"/>
          </w:tcPr>
          <w:p w14:paraId="1A1E0E88">
            <w:pPr>
              <w:pStyle w:val="69"/>
              <w:rPr>
                <w:color w:val="auto"/>
              </w:rPr>
            </w:pPr>
            <w:r>
              <w:rPr>
                <w:rFonts w:hint="eastAsia"/>
                <w:color w:val="auto"/>
              </w:rPr>
              <w:t>年运行费用（万元）</w:t>
            </w:r>
          </w:p>
        </w:tc>
        <w:tc>
          <w:tcPr>
            <w:tcW w:w="998" w:type="dxa"/>
            <w:vAlign w:val="center"/>
          </w:tcPr>
          <w:p w14:paraId="47BCCB67">
            <w:pPr>
              <w:pStyle w:val="69"/>
              <w:rPr>
                <w:color w:val="auto"/>
              </w:rPr>
            </w:pPr>
            <w:r>
              <w:rPr>
                <w:rFonts w:hint="eastAsia"/>
                <w:color w:val="auto"/>
              </w:rPr>
              <w:t>80-100</w:t>
            </w:r>
          </w:p>
        </w:tc>
        <w:tc>
          <w:tcPr>
            <w:tcW w:w="1098" w:type="dxa"/>
            <w:vAlign w:val="center"/>
          </w:tcPr>
          <w:p w14:paraId="596CB5E8">
            <w:pPr>
              <w:pStyle w:val="69"/>
              <w:rPr>
                <w:color w:val="auto"/>
              </w:rPr>
            </w:pPr>
            <w:r>
              <w:rPr>
                <w:rFonts w:hint="eastAsia"/>
                <w:color w:val="auto"/>
              </w:rPr>
              <w:t>15-20</w:t>
            </w:r>
          </w:p>
        </w:tc>
        <w:tc>
          <w:tcPr>
            <w:tcW w:w="1090" w:type="dxa"/>
            <w:vAlign w:val="center"/>
          </w:tcPr>
          <w:p w14:paraId="272B697D">
            <w:pPr>
              <w:pStyle w:val="69"/>
              <w:rPr>
                <w:color w:val="auto"/>
              </w:rPr>
            </w:pPr>
            <w:r>
              <w:rPr>
                <w:rFonts w:hint="eastAsia"/>
                <w:color w:val="auto"/>
              </w:rPr>
              <w:t>20-50</w:t>
            </w:r>
          </w:p>
        </w:tc>
        <w:tc>
          <w:tcPr>
            <w:tcW w:w="1081" w:type="dxa"/>
            <w:vAlign w:val="center"/>
          </w:tcPr>
          <w:p w14:paraId="3C04E6F1">
            <w:pPr>
              <w:pStyle w:val="69"/>
              <w:rPr>
                <w:color w:val="auto"/>
              </w:rPr>
            </w:pPr>
            <w:r>
              <w:rPr>
                <w:rFonts w:hint="eastAsia"/>
                <w:color w:val="auto"/>
              </w:rPr>
              <w:t>25-35</w:t>
            </w:r>
          </w:p>
        </w:tc>
        <w:tc>
          <w:tcPr>
            <w:tcW w:w="1172" w:type="dxa"/>
            <w:vAlign w:val="center"/>
          </w:tcPr>
          <w:p w14:paraId="33B1C82D">
            <w:pPr>
              <w:pStyle w:val="69"/>
              <w:rPr>
                <w:color w:val="auto"/>
              </w:rPr>
            </w:pPr>
            <w:r>
              <w:rPr>
                <w:rFonts w:hint="eastAsia"/>
                <w:color w:val="auto"/>
              </w:rPr>
              <w:t>15-25</w:t>
            </w:r>
          </w:p>
        </w:tc>
        <w:tc>
          <w:tcPr>
            <w:tcW w:w="1315" w:type="dxa"/>
            <w:vAlign w:val="center"/>
          </w:tcPr>
          <w:p w14:paraId="25998073">
            <w:pPr>
              <w:pStyle w:val="69"/>
              <w:rPr>
                <w:color w:val="auto"/>
              </w:rPr>
            </w:pPr>
            <w:r>
              <w:rPr>
                <w:rFonts w:hint="eastAsia"/>
                <w:color w:val="auto"/>
              </w:rPr>
              <w:t>5-10</w:t>
            </w:r>
          </w:p>
        </w:tc>
        <w:tc>
          <w:tcPr>
            <w:tcW w:w="1315" w:type="dxa"/>
            <w:vAlign w:val="center"/>
          </w:tcPr>
          <w:p w14:paraId="129C053D">
            <w:pPr>
              <w:pStyle w:val="69"/>
              <w:rPr>
                <w:color w:val="auto"/>
              </w:rPr>
            </w:pPr>
            <w:r>
              <w:rPr>
                <w:rFonts w:hint="eastAsia"/>
                <w:color w:val="auto"/>
              </w:rPr>
              <w:t>82</w:t>
            </w:r>
          </w:p>
        </w:tc>
      </w:tr>
      <w:tr w14:paraId="15ED59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19" w:type="dxa"/>
            <w:vAlign w:val="center"/>
          </w:tcPr>
          <w:p w14:paraId="1E7DD888">
            <w:pPr>
              <w:pStyle w:val="69"/>
              <w:rPr>
                <w:color w:val="auto"/>
              </w:rPr>
            </w:pPr>
            <w:r>
              <w:rPr>
                <w:rFonts w:hint="eastAsia"/>
                <w:color w:val="auto"/>
              </w:rPr>
              <w:t>可达治理效率（%）</w:t>
            </w:r>
          </w:p>
        </w:tc>
        <w:tc>
          <w:tcPr>
            <w:tcW w:w="998" w:type="dxa"/>
            <w:vAlign w:val="center"/>
          </w:tcPr>
          <w:p w14:paraId="74F8B0C9">
            <w:pPr>
              <w:pStyle w:val="69"/>
              <w:rPr>
                <w:color w:val="auto"/>
              </w:rPr>
            </w:pPr>
            <w:r>
              <w:rPr>
                <w:rFonts w:hint="eastAsia"/>
                <w:color w:val="auto"/>
              </w:rPr>
              <w:t>50-80%</w:t>
            </w:r>
          </w:p>
        </w:tc>
        <w:tc>
          <w:tcPr>
            <w:tcW w:w="1098" w:type="dxa"/>
            <w:vAlign w:val="center"/>
          </w:tcPr>
          <w:p w14:paraId="778E521B">
            <w:pPr>
              <w:pStyle w:val="69"/>
              <w:rPr>
                <w:color w:val="auto"/>
              </w:rPr>
            </w:pPr>
            <w:r>
              <w:rPr>
                <w:rFonts w:hint="eastAsia"/>
                <w:color w:val="auto"/>
              </w:rPr>
              <w:t>60-70%</w:t>
            </w:r>
          </w:p>
        </w:tc>
        <w:tc>
          <w:tcPr>
            <w:tcW w:w="1090" w:type="dxa"/>
            <w:vAlign w:val="center"/>
          </w:tcPr>
          <w:p w14:paraId="641AA7B9">
            <w:pPr>
              <w:pStyle w:val="69"/>
              <w:rPr>
                <w:color w:val="auto"/>
              </w:rPr>
            </w:pPr>
            <w:r>
              <w:rPr>
                <w:rFonts w:hint="eastAsia"/>
                <w:color w:val="auto"/>
              </w:rPr>
              <w:t>≥95%</w:t>
            </w:r>
          </w:p>
        </w:tc>
        <w:tc>
          <w:tcPr>
            <w:tcW w:w="1081" w:type="dxa"/>
            <w:vAlign w:val="center"/>
          </w:tcPr>
          <w:p w14:paraId="6B1A749E">
            <w:pPr>
              <w:pStyle w:val="69"/>
              <w:rPr>
                <w:color w:val="auto"/>
              </w:rPr>
            </w:pPr>
            <w:r>
              <w:rPr>
                <w:rFonts w:hint="eastAsia"/>
                <w:color w:val="auto"/>
              </w:rPr>
              <w:t>50-90%</w:t>
            </w:r>
          </w:p>
        </w:tc>
        <w:tc>
          <w:tcPr>
            <w:tcW w:w="1172" w:type="dxa"/>
            <w:vAlign w:val="center"/>
          </w:tcPr>
          <w:p w14:paraId="19EFB5F7">
            <w:pPr>
              <w:pStyle w:val="69"/>
              <w:rPr>
                <w:color w:val="auto"/>
              </w:rPr>
            </w:pPr>
            <w:r>
              <w:rPr>
                <w:rFonts w:hint="eastAsia"/>
                <w:color w:val="auto"/>
              </w:rPr>
              <w:t>50-95%</w:t>
            </w:r>
          </w:p>
        </w:tc>
        <w:tc>
          <w:tcPr>
            <w:tcW w:w="1315" w:type="dxa"/>
            <w:vAlign w:val="center"/>
          </w:tcPr>
          <w:p w14:paraId="24ADBE06">
            <w:pPr>
              <w:pStyle w:val="69"/>
              <w:rPr>
                <w:color w:val="auto"/>
              </w:rPr>
            </w:pPr>
            <w:r>
              <w:rPr>
                <w:rFonts w:hint="eastAsia"/>
                <w:color w:val="auto"/>
              </w:rPr>
              <w:t>70-95%</w:t>
            </w:r>
          </w:p>
        </w:tc>
        <w:tc>
          <w:tcPr>
            <w:tcW w:w="1315" w:type="dxa"/>
            <w:vAlign w:val="center"/>
          </w:tcPr>
          <w:p w14:paraId="43FBBA65">
            <w:pPr>
              <w:pStyle w:val="69"/>
              <w:rPr>
                <w:color w:val="auto"/>
              </w:rPr>
            </w:pPr>
            <w:r>
              <w:rPr>
                <w:rFonts w:hint="eastAsia"/>
                <w:color w:val="auto"/>
              </w:rPr>
              <w:t>90%</w:t>
            </w:r>
          </w:p>
        </w:tc>
      </w:tr>
      <w:tr w14:paraId="74384A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19" w:type="dxa"/>
            <w:vAlign w:val="center"/>
          </w:tcPr>
          <w:p w14:paraId="4537AACE">
            <w:pPr>
              <w:pStyle w:val="69"/>
              <w:rPr>
                <w:color w:val="auto"/>
              </w:rPr>
            </w:pPr>
            <w:r>
              <w:rPr>
                <w:rFonts w:hint="eastAsia"/>
                <w:color w:val="auto"/>
              </w:rPr>
              <w:t>存在问题</w:t>
            </w:r>
          </w:p>
        </w:tc>
        <w:tc>
          <w:tcPr>
            <w:tcW w:w="998" w:type="dxa"/>
            <w:vAlign w:val="center"/>
          </w:tcPr>
          <w:p w14:paraId="7D24F2A1">
            <w:pPr>
              <w:pStyle w:val="69"/>
              <w:rPr>
                <w:color w:val="auto"/>
              </w:rPr>
            </w:pPr>
            <w:r>
              <w:rPr>
                <w:rFonts w:hint="eastAsia"/>
                <w:color w:val="auto"/>
              </w:rPr>
              <w:t>1、需要及时更换活性炭，否则治理效率降低；</w:t>
            </w:r>
          </w:p>
          <w:p w14:paraId="747FFA4B">
            <w:pPr>
              <w:pStyle w:val="69"/>
              <w:rPr>
                <w:color w:val="auto"/>
              </w:rPr>
            </w:pPr>
            <w:r>
              <w:rPr>
                <w:rFonts w:hint="eastAsia"/>
                <w:color w:val="auto"/>
              </w:rPr>
              <w:t>2、吸附后产生危险固废.</w:t>
            </w:r>
          </w:p>
        </w:tc>
        <w:tc>
          <w:tcPr>
            <w:tcW w:w="1098" w:type="dxa"/>
            <w:vAlign w:val="center"/>
          </w:tcPr>
          <w:p w14:paraId="65F43064">
            <w:pPr>
              <w:pStyle w:val="69"/>
              <w:rPr>
                <w:color w:val="auto"/>
              </w:rPr>
            </w:pPr>
            <w:r>
              <w:rPr>
                <w:rFonts w:hint="eastAsia"/>
                <w:color w:val="auto"/>
              </w:rPr>
              <w:t>1、产生大量废水；</w:t>
            </w:r>
          </w:p>
          <w:p w14:paraId="03855053">
            <w:pPr>
              <w:pStyle w:val="69"/>
              <w:rPr>
                <w:color w:val="auto"/>
              </w:rPr>
            </w:pPr>
            <w:r>
              <w:rPr>
                <w:rFonts w:hint="eastAsia"/>
                <w:color w:val="auto"/>
              </w:rPr>
              <w:t>2、吸收剂要求高，直接影响吸收效果。</w:t>
            </w:r>
          </w:p>
        </w:tc>
        <w:tc>
          <w:tcPr>
            <w:tcW w:w="1090" w:type="dxa"/>
            <w:vAlign w:val="center"/>
          </w:tcPr>
          <w:p w14:paraId="0A3077DA">
            <w:pPr>
              <w:pStyle w:val="69"/>
              <w:rPr>
                <w:color w:val="auto"/>
              </w:rPr>
            </w:pPr>
            <w:r>
              <w:rPr>
                <w:rFonts w:hint="eastAsia"/>
                <w:color w:val="auto"/>
              </w:rPr>
              <w:t>1、适用于低浓度大风量的有机废气；</w:t>
            </w:r>
          </w:p>
          <w:p w14:paraId="0618C867">
            <w:pPr>
              <w:pStyle w:val="69"/>
              <w:rPr>
                <w:color w:val="auto"/>
              </w:rPr>
            </w:pPr>
            <w:r>
              <w:rPr>
                <w:rFonts w:hint="eastAsia"/>
                <w:color w:val="auto"/>
              </w:rPr>
              <w:t>2、存在一定安全隐患。</w:t>
            </w:r>
          </w:p>
        </w:tc>
        <w:tc>
          <w:tcPr>
            <w:tcW w:w="1081" w:type="dxa"/>
            <w:vAlign w:val="center"/>
          </w:tcPr>
          <w:p w14:paraId="69EA5C77">
            <w:pPr>
              <w:pStyle w:val="69"/>
              <w:rPr>
                <w:color w:val="auto"/>
              </w:rPr>
            </w:pPr>
            <w:r>
              <w:rPr>
                <w:rFonts w:hint="eastAsia"/>
                <w:color w:val="auto"/>
              </w:rPr>
              <w:t>1、治理效率波动范围较大；</w:t>
            </w:r>
          </w:p>
          <w:p w14:paraId="7FB4CBDA">
            <w:pPr>
              <w:pStyle w:val="69"/>
              <w:rPr>
                <w:color w:val="auto"/>
              </w:rPr>
            </w:pPr>
            <w:r>
              <w:rPr>
                <w:rFonts w:hint="eastAsia"/>
                <w:color w:val="auto"/>
              </w:rPr>
              <w:t>2、可能存在二次VOCs污染。</w:t>
            </w:r>
          </w:p>
        </w:tc>
        <w:tc>
          <w:tcPr>
            <w:tcW w:w="1172" w:type="dxa"/>
            <w:vAlign w:val="center"/>
          </w:tcPr>
          <w:p w14:paraId="5278CC6E">
            <w:pPr>
              <w:pStyle w:val="69"/>
              <w:rPr>
                <w:color w:val="auto"/>
              </w:rPr>
            </w:pPr>
            <w:r>
              <w:rPr>
                <w:rFonts w:hint="eastAsia"/>
                <w:color w:val="auto"/>
              </w:rPr>
              <w:t>1、受污染物成分影响，治理效率波动范围较大；</w:t>
            </w:r>
          </w:p>
          <w:p w14:paraId="465E211D">
            <w:pPr>
              <w:pStyle w:val="69"/>
              <w:rPr>
                <w:color w:val="auto"/>
              </w:rPr>
            </w:pPr>
            <w:r>
              <w:rPr>
                <w:rFonts w:hint="eastAsia"/>
                <w:color w:val="auto"/>
              </w:rPr>
              <w:t>2、催化剂易失活。</w:t>
            </w:r>
          </w:p>
        </w:tc>
        <w:tc>
          <w:tcPr>
            <w:tcW w:w="1315" w:type="dxa"/>
            <w:vAlign w:val="center"/>
          </w:tcPr>
          <w:p w14:paraId="25CDDADC">
            <w:pPr>
              <w:pStyle w:val="69"/>
              <w:rPr>
                <w:color w:val="auto"/>
              </w:rPr>
            </w:pPr>
            <w:r>
              <w:rPr>
                <w:rFonts w:hint="eastAsia"/>
                <w:color w:val="auto"/>
              </w:rPr>
              <w:t>1、适用于低浓度有机废气；</w:t>
            </w:r>
          </w:p>
          <w:p w14:paraId="664DEC49">
            <w:pPr>
              <w:pStyle w:val="69"/>
              <w:rPr>
                <w:color w:val="auto"/>
              </w:rPr>
            </w:pPr>
            <w:r>
              <w:rPr>
                <w:rFonts w:hint="eastAsia"/>
                <w:color w:val="auto"/>
              </w:rPr>
              <w:t>2、对废气的选择性较强；</w:t>
            </w:r>
          </w:p>
          <w:p w14:paraId="20936C52">
            <w:pPr>
              <w:pStyle w:val="69"/>
              <w:rPr>
                <w:color w:val="auto"/>
              </w:rPr>
            </w:pPr>
            <w:r>
              <w:rPr>
                <w:rFonts w:hint="eastAsia"/>
                <w:color w:val="auto"/>
              </w:rPr>
              <w:t>3、设备占地面积大，运行阻力大，能耗大。</w:t>
            </w:r>
          </w:p>
        </w:tc>
        <w:tc>
          <w:tcPr>
            <w:tcW w:w="1315" w:type="dxa"/>
          </w:tcPr>
          <w:p w14:paraId="208B660E">
            <w:pPr>
              <w:pStyle w:val="69"/>
              <w:rPr>
                <w:color w:val="auto"/>
              </w:rPr>
            </w:pPr>
            <w:r>
              <w:rPr>
                <w:rFonts w:hint="eastAsia"/>
                <w:color w:val="auto"/>
              </w:rPr>
              <w:t>1、初次投入成本和运行费用较高</w:t>
            </w:r>
          </w:p>
          <w:p w14:paraId="56C62257">
            <w:pPr>
              <w:pStyle w:val="69"/>
              <w:rPr>
                <w:color w:val="auto"/>
              </w:rPr>
            </w:pPr>
            <w:r>
              <w:rPr>
                <w:rFonts w:hint="eastAsia"/>
                <w:color w:val="auto"/>
              </w:rPr>
              <w:t>2、回收溶剂回用率有待提高</w:t>
            </w:r>
          </w:p>
          <w:p w14:paraId="2F6D3399">
            <w:pPr>
              <w:pStyle w:val="69"/>
              <w:rPr>
                <w:color w:val="auto"/>
              </w:rPr>
            </w:pPr>
            <w:r>
              <w:rPr>
                <w:rFonts w:hint="eastAsia"/>
                <w:color w:val="auto"/>
              </w:rPr>
              <w:t>3、对覆膜二段、三段废气无明显经济效益</w:t>
            </w:r>
          </w:p>
        </w:tc>
      </w:tr>
      <w:tr w14:paraId="75EA3F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88" w:type="dxa"/>
            <w:gridSpan w:val="8"/>
            <w:vAlign w:val="center"/>
          </w:tcPr>
          <w:p w14:paraId="3E8E2110">
            <w:pPr>
              <w:pStyle w:val="69"/>
              <w:rPr>
                <w:color w:val="auto"/>
              </w:rPr>
            </w:pPr>
            <w:r>
              <w:rPr>
                <w:rFonts w:hint="eastAsia"/>
                <w:color w:val="auto"/>
              </w:rPr>
              <w:t>备注：上述分析基于以下典型工况：废气量，30000m</w:t>
            </w:r>
            <w:r>
              <w:rPr>
                <w:rFonts w:hint="eastAsia"/>
                <w:color w:val="auto"/>
                <w:vertAlign w:val="superscript"/>
              </w:rPr>
              <w:t>3</w:t>
            </w:r>
            <w:r>
              <w:rPr>
                <w:rFonts w:hint="eastAsia"/>
                <w:color w:val="auto"/>
              </w:rPr>
              <w:t>/h；废气浓度：100mg/m</w:t>
            </w:r>
            <w:r>
              <w:rPr>
                <w:rFonts w:hint="eastAsia"/>
                <w:color w:val="auto"/>
                <w:vertAlign w:val="superscript"/>
              </w:rPr>
              <w:t>3</w:t>
            </w:r>
            <w:r>
              <w:rPr>
                <w:rFonts w:hint="eastAsia"/>
                <w:color w:val="auto"/>
              </w:rPr>
              <w:t>；VOCs成分：苯、甲苯、乙苯、苯乙烯、邻-二甲苯、间对-二甲苯、丙酮、丁醇、异丙酮、乙酸丁酯等。</w:t>
            </w:r>
          </w:p>
        </w:tc>
      </w:tr>
    </w:tbl>
    <w:p w14:paraId="06DC529D">
      <w:pPr>
        <w:ind w:firstLine="480"/>
        <w:rPr>
          <w:color w:val="auto"/>
        </w:rPr>
      </w:pPr>
      <w:r>
        <w:rPr>
          <w:rFonts w:ascii="宋体" w:hAnsi="宋体" w:eastAsia="宋体" w:cs="宋体"/>
          <w:spacing w:val="5"/>
          <w:sz w:val="24"/>
          <w:szCs w:val="24"/>
        </w:rPr>
        <w:t>根据上述各种处理方法的特性和本项目有机废气的特点，分为高</w:t>
      </w:r>
      <w:r>
        <w:rPr>
          <w:rFonts w:ascii="宋体" w:hAnsi="宋体" w:eastAsia="宋体" w:cs="宋体"/>
          <w:spacing w:val="4"/>
          <w:sz w:val="24"/>
          <w:szCs w:val="24"/>
        </w:rPr>
        <w:t>浓度的烘干</w:t>
      </w:r>
      <w:r>
        <w:rPr>
          <w:rFonts w:ascii="宋体" w:hAnsi="宋体" w:eastAsia="宋体" w:cs="宋体"/>
          <w:spacing w:val="5"/>
          <w:sz w:val="24"/>
          <w:szCs w:val="24"/>
        </w:rPr>
        <w:t>废气和低浓度的印刷、调墨</w:t>
      </w:r>
      <w:r>
        <w:rPr>
          <w:rFonts w:hint="eastAsia" w:ascii="宋体" w:hAnsi="宋体" w:eastAsia="宋体" w:cs="宋体"/>
          <w:spacing w:val="5"/>
          <w:sz w:val="24"/>
          <w:szCs w:val="24"/>
          <w:lang w:eastAsia="zh-CN"/>
        </w:rPr>
        <w:t>、</w:t>
      </w:r>
      <w:r>
        <w:rPr>
          <w:rFonts w:hint="eastAsia" w:ascii="宋体" w:hAnsi="宋体" w:eastAsia="宋体" w:cs="宋体"/>
          <w:spacing w:val="5"/>
          <w:sz w:val="24"/>
          <w:szCs w:val="24"/>
          <w:lang w:val="en-US" w:eastAsia="zh-CN"/>
        </w:rPr>
        <w:t>洗机、危废贮存</w:t>
      </w:r>
      <w:r>
        <w:rPr>
          <w:rFonts w:ascii="宋体" w:hAnsi="宋体" w:eastAsia="宋体" w:cs="宋体"/>
          <w:spacing w:val="5"/>
          <w:sz w:val="24"/>
          <w:szCs w:val="24"/>
        </w:rPr>
        <w:t>废气，低浓度</w:t>
      </w:r>
      <w:r>
        <w:rPr>
          <w:rFonts w:ascii="宋体" w:hAnsi="宋体" w:eastAsia="宋体" w:cs="宋体"/>
          <w:spacing w:val="4"/>
          <w:sz w:val="24"/>
          <w:szCs w:val="24"/>
        </w:rPr>
        <w:t>废气可作为新风补充进入印刷线</w:t>
      </w:r>
      <w:r>
        <w:rPr>
          <w:rFonts w:ascii="宋体" w:hAnsi="宋体" w:eastAsia="宋体" w:cs="宋体"/>
          <w:spacing w:val="1"/>
          <w:sz w:val="24"/>
          <w:szCs w:val="24"/>
        </w:rPr>
        <w:t>的烘箱，故本项目印刷烘干废气经减风增浓后与“干式过滤</w:t>
      </w:r>
      <w:r>
        <w:rPr>
          <w:rFonts w:ascii="Times New Roman" w:hAnsi="Times New Roman" w:eastAsia="Times New Roman" w:cs="Times New Roman"/>
          <w:spacing w:val="1"/>
          <w:sz w:val="24"/>
          <w:szCs w:val="24"/>
        </w:rPr>
        <w:t>+</w:t>
      </w:r>
      <w:r>
        <w:rPr>
          <w:rFonts w:ascii="宋体" w:hAnsi="宋体" w:eastAsia="宋体" w:cs="宋体"/>
          <w:spacing w:val="1"/>
          <w:sz w:val="24"/>
          <w:szCs w:val="24"/>
        </w:rPr>
        <w:t>沸石转轮吸附浓缩”的浓</w:t>
      </w:r>
      <w:r>
        <w:rPr>
          <w:rFonts w:ascii="宋体" w:hAnsi="宋体" w:eastAsia="宋体" w:cs="宋体"/>
          <w:spacing w:val="-1"/>
          <w:sz w:val="24"/>
          <w:szCs w:val="24"/>
        </w:rPr>
        <w:t xml:space="preserve">缩废气和臭气经收集后引入 </w:t>
      </w:r>
      <w:r>
        <w:rPr>
          <w:rFonts w:ascii="Times New Roman" w:hAnsi="Times New Roman" w:eastAsia="Times New Roman" w:cs="Times New Roman"/>
          <w:spacing w:val="-1"/>
          <w:sz w:val="24"/>
          <w:szCs w:val="24"/>
        </w:rPr>
        <w:t>RTO</w:t>
      </w:r>
      <w:r>
        <w:rPr>
          <w:rFonts w:ascii="Times New Roman" w:hAnsi="Times New Roman" w:eastAsia="Times New Roman" w:cs="Times New Roman"/>
          <w:spacing w:val="36"/>
          <w:sz w:val="24"/>
          <w:szCs w:val="24"/>
        </w:rPr>
        <w:t xml:space="preserve"> </w:t>
      </w:r>
      <w:r>
        <w:rPr>
          <w:rFonts w:ascii="宋体" w:hAnsi="宋体" w:eastAsia="宋体" w:cs="宋体"/>
          <w:spacing w:val="-1"/>
          <w:sz w:val="24"/>
          <w:szCs w:val="24"/>
        </w:rPr>
        <w:t>废气治理设施进行处理。大风量、低浓度的有机废气</w:t>
      </w:r>
      <w:r>
        <w:rPr>
          <w:rFonts w:ascii="宋体" w:hAnsi="宋体" w:eastAsia="宋体" w:cs="宋体"/>
          <w:spacing w:val="5"/>
          <w:sz w:val="24"/>
          <w:szCs w:val="24"/>
        </w:rPr>
        <w:t>的燃烧或回收，不仅需要非常大规模的设备，而且会</w:t>
      </w:r>
      <w:r>
        <w:rPr>
          <w:rFonts w:ascii="宋体" w:hAnsi="宋体" w:eastAsia="宋体" w:cs="宋体"/>
          <w:spacing w:val="4"/>
          <w:sz w:val="24"/>
          <w:szCs w:val="24"/>
        </w:rPr>
        <w:t>造成巨额运行成本，通过使用减</w:t>
      </w:r>
      <w:r>
        <w:rPr>
          <w:rFonts w:ascii="宋体" w:hAnsi="宋体" w:eastAsia="宋体" w:cs="宋体"/>
          <w:spacing w:val="5"/>
          <w:sz w:val="24"/>
          <w:szCs w:val="24"/>
        </w:rPr>
        <w:t>风增浓装置可以将低浓度大风量的有机废气浓缩成高浓</w:t>
      </w:r>
      <w:r>
        <w:rPr>
          <w:rFonts w:ascii="宋体" w:hAnsi="宋体" w:eastAsia="宋体" w:cs="宋体"/>
          <w:spacing w:val="4"/>
          <w:sz w:val="24"/>
          <w:szCs w:val="24"/>
        </w:rPr>
        <w:t>度小风量，从而减低设备投资</w:t>
      </w:r>
      <w:r>
        <w:rPr>
          <w:rFonts w:ascii="宋体" w:hAnsi="宋体" w:eastAsia="宋体" w:cs="宋体"/>
          <w:spacing w:val="-1"/>
          <w:sz w:val="24"/>
          <w:szCs w:val="24"/>
        </w:rPr>
        <w:t>费用和运行成本，从而实现经济有效有机废气处理。</w:t>
      </w:r>
    </w:p>
    <w:p w14:paraId="01565168">
      <w:pPr>
        <w:bidi w:val="0"/>
      </w:pPr>
      <w:r>
        <w:t>1 、RTO 装置</w:t>
      </w:r>
    </w:p>
    <w:p w14:paraId="01C38D84">
      <w:pPr>
        <w:bidi w:val="0"/>
      </w:pPr>
      <w:r>
        <w:t>蓄热式热氧化炉（RTO）是一种运行能耗最低、去除率很高的中低浓度有机废气治理设备。与传统的催化燃烧、直燃式热氧化炉（TO）相比，具有热效率高(≥ 95%）、运行成本低、能处理大风量低浓度废气等特点，浓度稍高时，还可进行二次余热回收，大大降低生产运营成本。</w:t>
      </w:r>
    </w:p>
    <w:p w14:paraId="473CE085">
      <w:pPr>
        <w:bidi w:val="0"/>
      </w:pPr>
      <w:r>
        <w:t>废气治理设施 RTO 采用天然气助燃，天然气在 RTO 燃烧室内燃烧后直接通过排气筒排放，故废气治理设施燃料助燃废气全部有组织排放。根据《印刷工业污染防治可行技术指南》（HJ1089-2020），溶剂型凹版印刷、溶剂型凸版印刷、干式复合及涂布的烘干工序产生的有组织废气，宜采用减风增浓技术，以减小废气排风量、提高废气污染物浓度、降低末端治理设施的投资和运行成本，采用燃烧法 VOCs 治理技术产生的高温废气宜进行热能回收。</w:t>
      </w:r>
    </w:p>
    <w:p w14:paraId="3EB60918">
      <w:pPr>
        <w:bidi w:val="0"/>
      </w:pPr>
      <w:r>
        <w:t>有机废气净化的燃烧氧化法是基于废气中有机化合物可以燃烧氧化的特性，其目的是：通过燃烧氧化将废气中可以氧化的组分转化为无害物质，在废气中含碳氢化合物的情况下，即转化为 CO</w:t>
      </w:r>
      <w:r>
        <w:rPr>
          <w:vertAlign w:val="subscript"/>
        </w:rPr>
        <w:t xml:space="preserve">2 </w:t>
      </w:r>
      <w:r>
        <w:t>和 H</w:t>
      </w:r>
      <w:r>
        <w:rPr>
          <w:vertAlign w:val="subscript"/>
        </w:rPr>
        <w:t>2</w:t>
      </w:r>
      <w:r>
        <w:t>O，并释放出热量。蓄热氧化技术 RTO 把有机废气加热到 760℃以上，使废气中的挥发性有机物在燃烧室中氧化分解成 CO2 和 H2O。氧化产生的高温气体流经特制的陶瓷蓄热体，使陶瓷体升温而“蓄热”，下个过程是废气从已经“蓄热”的陶瓷经过，将陶瓷的热量传递给废气，有机废气通过陶瓷作为换热器载体，反复进行热交换，从而节省废气升温的燃料消耗，降低运行成本，热回收效率高达 95%。在中高浓度的条件下，RTO 可以对外输出余热，通过蒸汽、热风、热水等形式加以利用，在满足环保目标的同时，实现经济效益。</w:t>
      </w:r>
    </w:p>
    <w:p w14:paraId="31B251A5">
      <w:pPr>
        <w:bidi w:val="0"/>
      </w:pPr>
      <w:r>
        <w:t>本项目采用的 RTO 设备为三室 RTO 设备，主要由燃烧室、蓄热室、换向阀、系统风机、燃烧机等部分组成，其主要工艺示意图如下图所示。</w:t>
      </w:r>
    </w:p>
    <w:p w14:paraId="1D988042">
      <w:pPr>
        <w:pStyle w:val="62"/>
        <w:bidi w:val="0"/>
      </w:pPr>
      <w:r>
        <w:drawing>
          <wp:inline distT="0" distB="0" distL="0" distR="0">
            <wp:extent cx="5610225" cy="3038475"/>
            <wp:effectExtent l="0" t="0" r="0" b="0"/>
            <wp:docPr id="239" name="IM 206"/>
            <wp:cNvGraphicFramePr/>
            <a:graphic xmlns:a="http://schemas.openxmlformats.org/drawingml/2006/main">
              <a:graphicData uri="http://schemas.openxmlformats.org/drawingml/2006/picture">
                <pic:pic xmlns:pic="http://schemas.openxmlformats.org/drawingml/2006/picture">
                  <pic:nvPicPr>
                    <pic:cNvPr id="239" name="IM 206"/>
                    <pic:cNvPicPr/>
                  </pic:nvPicPr>
                  <pic:blipFill>
                    <a:blip r:embed="rId128"/>
                    <a:stretch>
                      <a:fillRect/>
                    </a:stretch>
                  </pic:blipFill>
                  <pic:spPr>
                    <a:xfrm>
                      <a:off x="0" y="0"/>
                      <a:ext cx="5610229" cy="3038479"/>
                    </a:xfrm>
                    <a:prstGeom prst="rect">
                      <a:avLst/>
                    </a:prstGeom>
                  </pic:spPr>
                </pic:pic>
              </a:graphicData>
            </a:graphic>
          </wp:inline>
        </w:drawing>
      </w:r>
    </w:p>
    <w:p w14:paraId="78023FE2">
      <w:pPr>
        <w:pStyle w:val="62"/>
        <w:numPr>
          <w:ilvl w:val="0"/>
          <w:numId w:val="52"/>
        </w:numPr>
        <w:bidi w:val="0"/>
        <w:ind w:left="0" w:leftChars="0" w:firstLine="0" w:firstLineChars="0"/>
      </w:pPr>
      <w:r>
        <w:t>三室 RTO 工艺示意图</w:t>
      </w:r>
    </w:p>
    <w:p w14:paraId="568CD514">
      <w:pPr>
        <w:pStyle w:val="62"/>
        <w:numPr>
          <w:ilvl w:val="0"/>
          <w:numId w:val="51"/>
        </w:numPr>
        <w:bidi w:val="0"/>
        <w:ind w:left="0" w:leftChars="0" w:firstLine="0" w:firstLineChars="0"/>
        <w:rPr>
          <w:rFonts w:ascii="Times New Roman" w:hAnsi="Times New Roman" w:eastAsia="宋体" w:cs="Times New Roman"/>
        </w:rPr>
      </w:pPr>
      <w:r>
        <w:rPr>
          <w:rFonts w:ascii="Times New Roman" w:hAnsi="Times New Roman" w:eastAsia="宋体" w:cs="Times New Roman"/>
        </w:rPr>
        <w:t>RTO 设施基本参数一览表</w:t>
      </w:r>
    </w:p>
    <w:p w14:paraId="7EAA2C9C">
      <w:pPr>
        <w:spacing w:line="145" w:lineRule="exact"/>
      </w:pPr>
    </w:p>
    <w:tbl>
      <w:tblPr>
        <w:tblStyle w:val="105"/>
        <w:tblW w:w="9087"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1666"/>
        <w:gridCol w:w="4188"/>
        <w:gridCol w:w="2276"/>
      </w:tblGrid>
      <w:tr w14:paraId="20331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blHeader/>
        </w:trPr>
        <w:tc>
          <w:tcPr>
            <w:tcW w:w="957" w:type="dxa"/>
            <w:tcBorders>
              <w:top w:val="single" w:color="000000" w:sz="16" w:space="0"/>
              <w:left w:val="nil"/>
            </w:tcBorders>
            <w:vAlign w:val="center"/>
          </w:tcPr>
          <w:p w14:paraId="0DAEF0FB">
            <w:pPr>
              <w:pStyle w:val="59"/>
              <w:bidi w:val="0"/>
              <w:jc w:val="center"/>
            </w:pPr>
            <w:r>
              <w:t>序号</w:t>
            </w:r>
          </w:p>
        </w:tc>
        <w:tc>
          <w:tcPr>
            <w:tcW w:w="1666" w:type="dxa"/>
            <w:tcBorders>
              <w:top w:val="single" w:color="000000" w:sz="16" w:space="0"/>
            </w:tcBorders>
            <w:vAlign w:val="center"/>
          </w:tcPr>
          <w:p w14:paraId="081E0723">
            <w:pPr>
              <w:pStyle w:val="59"/>
              <w:bidi w:val="0"/>
              <w:jc w:val="center"/>
            </w:pPr>
            <w:r>
              <w:t>部件名称</w:t>
            </w:r>
          </w:p>
        </w:tc>
        <w:tc>
          <w:tcPr>
            <w:tcW w:w="4188" w:type="dxa"/>
            <w:tcBorders>
              <w:top w:val="single" w:color="000000" w:sz="16" w:space="0"/>
            </w:tcBorders>
            <w:vAlign w:val="center"/>
          </w:tcPr>
          <w:p w14:paraId="43BB8B08">
            <w:pPr>
              <w:pStyle w:val="59"/>
              <w:bidi w:val="0"/>
              <w:jc w:val="center"/>
            </w:pPr>
            <w:r>
              <w:t>规格参数</w:t>
            </w:r>
          </w:p>
        </w:tc>
        <w:tc>
          <w:tcPr>
            <w:tcW w:w="2276" w:type="dxa"/>
            <w:tcBorders>
              <w:top w:val="single" w:color="000000" w:sz="16" w:space="0"/>
              <w:right w:val="nil"/>
            </w:tcBorders>
            <w:vAlign w:val="center"/>
          </w:tcPr>
          <w:p w14:paraId="5E1A8AB0">
            <w:pPr>
              <w:pStyle w:val="59"/>
              <w:bidi w:val="0"/>
              <w:jc w:val="center"/>
            </w:pPr>
            <w:r>
              <w:t>HJ1093-2020 基本要</w:t>
            </w:r>
          </w:p>
          <w:p w14:paraId="004A5439">
            <w:pPr>
              <w:pStyle w:val="59"/>
              <w:bidi w:val="0"/>
              <w:jc w:val="center"/>
            </w:pPr>
            <w:r>
              <w:t>求</w:t>
            </w:r>
          </w:p>
        </w:tc>
      </w:tr>
      <w:tr w14:paraId="03309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957" w:type="dxa"/>
            <w:tcBorders>
              <w:left w:val="nil"/>
            </w:tcBorders>
            <w:vAlign w:val="center"/>
          </w:tcPr>
          <w:p w14:paraId="438B3DCD">
            <w:pPr>
              <w:pStyle w:val="59"/>
              <w:bidi w:val="0"/>
              <w:jc w:val="center"/>
            </w:pPr>
            <w:r>
              <w:t>1</w:t>
            </w:r>
          </w:p>
        </w:tc>
        <w:tc>
          <w:tcPr>
            <w:tcW w:w="1666" w:type="dxa"/>
            <w:vAlign w:val="center"/>
          </w:tcPr>
          <w:p w14:paraId="2371B825">
            <w:pPr>
              <w:pStyle w:val="59"/>
              <w:bidi w:val="0"/>
              <w:jc w:val="center"/>
            </w:pPr>
            <w:r>
              <w:t>燃烧室</w:t>
            </w:r>
          </w:p>
        </w:tc>
        <w:tc>
          <w:tcPr>
            <w:tcW w:w="4188" w:type="dxa"/>
            <w:vAlign w:val="center"/>
          </w:tcPr>
          <w:p w14:paraId="500FAE39">
            <w:pPr>
              <w:pStyle w:val="59"/>
              <w:bidi w:val="0"/>
              <w:jc w:val="center"/>
            </w:pPr>
            <w:r>
              <w:t>处理风量：3</w:t>
            </w:r>
            <w:r>
              <w:rPr>
                <w:rFonts w:hint="eastAsia"/>
                <w:lang w:val="en-US" w:eastAsia="zh-CN"/>
              </w:rPr>
              <w:t>0</w:t>
            </w:r>
            <w:r>
              <w:t>000m</w:t>
            </w:r>
            <w:r>
              <w:rPr>
                <w:vertAlign w:val="superscript"/>
              </w:rPr>
              <w:t>3</w:t>
            </w:r>
            <w:r>
              <w:t>/h</w:t>
            </w:r>
          </w:p>
          <w:p w14:paraId="7B8CBADF">
            <w:pPr>
              <w:pStyle w:val="59"/>
              <w:bidi w:val="0"/>
              <w:jc w:val="center"/>
            </w:pPr>
            <w:r>
              <w:t>设计运行温度：800℃</w:t>
            </w:r>
          </w:p>
          <w:p w14:paraId="0686973E">
            <w:pPr>
              <w:pStyle w:val="59"/>
              <w:bidi w:val="0"/>
              <w:jc w:val="center"/>
            </w:pPr>
            <w:r>
              <w:t>废气停留时间：≥1s</w:t>
            </w:r>
          </w:p>
        </w:tc>
        <w:tc>
          <w:tcPr>
            <w:tcW w:w="2276" w:type="dxa"/>
            <w:tcBorders>
              <w:right w:val="nil"/>
            </w:tcBorders>
            <w:vAlign w:val="center"/>
          </w:tcPr>
          <w:p w14:paraId="53376881">
            <w:pPr>
              <w:pStyle w:val="59"/>
              <w:bidi w:val="0"/>
              <w:jc w:val="center"/>
            </w:pPr>
            <w:r>
              <w:t>燃烧温度不低于760℃；废气停留时间不低于 1s</w:t>
            </w:r>
          </w:p>
        </w:tc>
      </w:tr>
      <w:tr w14:paraId="155DA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5" w:hRule="atLeast"/>
        </w:trPr>
        <w:tc>
          <w:tcPr>
            <w:tcW w:w="957" w:type="dxa"/>
            <w:tcBorders>
              <w:left w:val="nil"/>
            </w:tcBorders>
            <w:vAlign w:val="center"/>
          </w:tcPr>
          <w:p w14:paraId="15C2CBCA">
            <w:pPr>
              <w:pStyle w:val="59"/>
              <w:bidi w:val="0"/>
              <w:jc w:val="center"/>
            </w:pPr>
            <w:r>
              <w:t>2</w:t>
            </w:r>
          </w:p>
        </w:tc>
        <w:tc>
          <w:tcPr>
            <w:tcW w:w="1666" w:type="dxa"/>
            <w:vAlign w:val="center"/>
          </w:tcPr>
          <w:p w14:paraId="36241E94">
            <w:pPr>
              <w:pStyle w:val="59"/>
              <w:bidi w:val="0"/>
              <w:jc w:val="center"/>
            </w:pPr>
            <w:r>
              <w:t>蓄热室</w:t>
            </w:r>
          </w:p>
        </w:tc>
        <w:tc>
          <w:tcPr>
            <w:tcW w:w="4188" w:type="dxa"/>
            <w:vAlign w:val="center"/>
          </w:tcPr>
          <w:p w14:paraId="71BD89A7">
            <w:pPr>
              <w:pStyle w:val="59"/>
              <w:bidi w:val="0"/>
              <w:jc w:val="center"/>
            </w:pPr>
            <w:r>
              <w:t>陶瓷蓄热体填装层数：13 层热回收效率：≥95%</w:t>
            </w:r>
          </w:p>
        </w:tc>
        <w:tc>
          <w:tcPr>
            <w:tcW w:w="2276" w:type="dxa"/>
            <w:tcBorders>
              <w:right w:val="nil"/>
            </w:tcBorders>
            <w:vAlign w:val="center"/>
          </w:tcPr>
          <w:p w14:paraId="437028C0">
            <w:pPr>
              <w:pStyle w:val="59"/>
              <w:bidi w:val="0"/>
              <w:jc w:val="center"/>
            </w:pPr>
            <w:r>
              <w:t>热回收效率不宜低于90%</w:t>
            </w:r>
          </w:p>
        </w:tc>
      </w:tr>
      <w:tr w14:paraId="43490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957" w:type="dxa"/>
            <w:tcBorders>
              <w:left w:val="nil"/>
            </w:tcBorders>
            <w:vAlign w:val="center"/>
          </w:tcPr>
          <w:p w14:paraId="6E958DEA">
            <w:pPr>
              <w:pStyle w:val="59"/>
              <w:bidi w:val="0"/>
              <w:jc w:val="center"/>
            </w:pPr>
            <w:r>
              <w:t>3</w:t>
            </w:r>
          </w:p>
        </w:tc>
        <w:tc>
          <w:tcPr>
            <w:tcW w:w="1666" w:type="dxa"/>
            <w:vAlign w:val="center"/>
          </w:tcPr>
          <w:p w14:paraId="61C39672">
            <w:pPr>
              <w:pStyle w:val="59"/>
              <w:bidi w:val="0"/>
              <w:jc w:val="center"/>
            </w:pPr>
            <w:r>
              <w:t>换向阀</w:t>
            </w:r>
          </w:p>
        </w:tc>
        <w:tc>
          <w:tcPr>
            <w:tcW w:w="4188" w:type="dxa"/>
            <w:vAlign w:val="center"/>
          </w:tcPr>
          <w:p w14:paraId="1F7873EA">
            <w:pPr>
              <w:pStyle w:val="59"/>
              <w:bidi w:val="0"/>
              <w:jc w:val="center"/>
            </w:pPr>
            <w:r>
              <w:t>RTO 专用硬密封平推阀</w:t>
            </w:r>
          </w:p>
        </w:tc>
        <w:tc>
          <w:tcPr>
            <w:tcW w:w="2276" w:type="dxa"/>
            <w:tcBorders>
              <w:right w:val="nil"/>
            </w:tcBorders>
            <w:vAlign w:val="center"/>
          </w:tcPr>
          <w:p w14:paraId="5192206F">
            <w:pPr>
              <w:pStyle w:val="59"/>
              <w:bidi w:val="0"/>
              <w:jc w:val="center"/>
            </w:pPr>
            <w:r>
              <w:t>/</w:t>
            </w:r>
          </w:p>
        </w:tc>
      </w:tr>
      <w:tr w14:paraId="6161D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957" w:type="dxa"/>
            <w:tcBorders>
              <w:left w:val="nil"/>
            </w:tcBorders>
            <w:vAlign w:val="center"/>
          </w:tcPr>
          <w:p w14:paraId="0399B996">
            <w:pPr>
              <w:pStyle w:val="59"/>
              <w:bidi w:val="0"/>
              <w:jc w:val="center"/>
            </w:pPr>
            <w:r>
              <w:t>4</w:t>
            </w:r>
          </w:p>
        </w:tc>
        <w:tc>
          <w:tcPr>
            <w:tcW w:w="1666" w:type="dxa"/>
            <w:vAlign w:val="center"/>
          </w:tcPr>
          <w:p w14:paraId="6CD6BA35">
            <w:pPr>
              <w:pStyle w:val="59"/>
              <w:bidi w:val="0"/>
              <w:jc w:val="center"/>
            </w:pPr>
            <w:r>
              <w:t>燃烧机</w:t>
            </w:r>
          </w:p>
        </w:tc>
        <w:tc>
          <w:tcPr>
            <w:tcW w:w="4188" w:type="dxa"/>
            <w:vAlign w:val="center"/>
          </w:tcPr>
          <w:p w14:paraId="3DD0C9A1">
            <w:pPr>
              <w:pStyle w:val="59"/>
              <w:bidi w:val="0"/>
              <w:jc w:val="center"/>
            </w:pPr>
            <w:r>
              <w:t>低压头比例调节燃气燃烧器，8500kcal/m</w:t>
            </w:r>
            <w:r>
              <w:rPr>
                <w:vertAlign w:val="superscript"/>
              </w:rPr>
              <w:t>3</w:t>
            </w:r>
          </w:p>
        </w:tc>
        <w:tc>
          <w:tcPr>
            <w:tcW w:w="2276" w:type="dxa"/>
            <w:tcBorders>
              <w:right w:val="nil"/>
            </w:tcBorders>
            <w:vAlign w:val="center"/>
          </w:tcPr>
          <w:p w14:paraId="5D045727">
            <w:pPr>
              <w:pStyle w:val="59"/>
              <w:bidi w:val="0"/>
              <w:jc w:val="center"/>
            </w:pPr>
            <w:r>
              <w:t>/</w:t>
            </w:r>
          </w:p>
        </w:tc>
      </w:tr>
      <w:tr w14:paraId="71AC6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957" w:type="dxa"/>
            <w:tcBorders>
              <w:left w:val="nil"/>
              <w:bottom w:val="single" w:color="000000" w:sz="16" w:space="0"/>
            </w:tcBorders>
            <w:vAlign w:val="center"/>
          </w:tcPr>
          <w:p w14:paraId="61D07AB8">
            <w:pPr>
              <w:pStyle w:val="59"/>
              <w:bidi w:val="0"/>
              <w:jc w:val="center"/>
            </w:pPr>
            <w:r>
              <w:t>5</w:t>
            </w:r>
          </w:p>
        </w:tc>
        <w:tc>
          <w:tcPr>
            <w:tcW w:w="1666" w:type="dxa"/>
            <w:tcBorders>
              <w:bottom w:val="single" w:color="000000" w:sz="16" w:space="0"/>
            </w:tcBorders>
            <w:vAlign w:val="center"/>
          </w:tcPr>
          <w:p w14:paraId="1FB8DBFE">
            <w:pPr>
              <w:pStyle w:val="59"/>
              <w:bidi w:val="0"/>
              <w:jc w:val="center"/>
            </w:pPr>
            <w:r>
              <w:t>余热利用系统</w:t>
            </w:r>
          </w:p>
        </w:tc>
        <w:tc>
          <w:tcPr>
            <w:tcW w:w="4188" w:type="dxa"/>
            <w:tcBorders>
              <w:bottom w:val="single" w:color="000000" w:sz="16" w:space="0"/>
            </w:tcBorders>
            <w:vAlign w:val="center"/>
          </w:tcPr>
          <w:p w14:paraId="38E66108">
            <w:pPr>
              <w:pStyle w:val="59"/>
              <w:bidi w:val="0"/>
              <w:jc w:val="center"/>
            </w:pPr>
            <w:r>
              <w:t>包括气水换热器、水箱、取热循环泵及配</w:t>
            </w:r>
          </w:p>
          <w:p w14:paraId="1261A2CC">
            <w:pPr>
              <w:pStyle w:val="59"/>
              <w:bidi w:val="0"/>
              <w:jc w:val="center"/>
            </w:pPr>
            <w:r>
              <w:t>套阀门、循环管道及保温、软化水处理装</w:t>
            </w:r>
          </w:p>
          <w:p w14:paraId="23314A26">
            <w:pPr>
              <w:pStyle w:val="59"/>
              <w:bidi w:val="0"/>
              <w:jc w:val="center"/>
            </w:pPr>
            <w:r>
              <w:t>置等</w:t>
            </w:r>
          </w:p>
        </w:tc>
        <w:tc>
          <w:tcPr>
            <w:tcW w:w="2276" w:type="dxa"/>
            <w:tcBorders>
              <w:bottom w:val="single" w:color="000000" w:sz="16" w:space="0"/>
              <w:right w:val="nil"/>
            </w:tcBorders>
            <w:vAlign w:val="center"/>
          </w:tcPr>
          <w:p w14:paraId="07930067">
            <w:pPr>
              <w:pStyle w:val="59"/>
              <w:bidi w:val="0"/>
              <w:jc w:val="center"/>
            </w:pPr>
          </w:p>
          <w:p w14:paraId="22678420">
            <w:pPr>
              <w:pStyle w:val="59"/>
              <w:bidi w:val="0"/>
              <w:jc w:val="center"/>
            </w:pPr>
            <w:r>
              <w:t>/</w:t>
            </w:r>
          </w:p>
        </w:tc>
      </w:tr>
    </w:tbl>
    <w:p w14:paraId="751E17A5">
      <w:pPr>
        <w:bidi w:val="0"/>
      </w:pPr>
      <w:r>
        <w:t>主要部件简介：</w:t>
      </w:r>
    </w:p>
    <w:p w14:paraId="4D31C803">
      <w:pPr>
        <w:bidi w:val="0"/>
      </w:pPr>
      <w:r>
        <w:t>（1）燃烧室</w:t>
      </w:r>
    </w:p>
    <w:p w14:paraId="253CC818">
      <w:pPr>
        <w:bidi w:val="0"/>
      </w:pPr>
      <w:r>
        <w:t>燃烧室也称为氧化室，是处理有机废气主要反应场所，设计运行温度为 800℃左右，有机废气在氧化室中反应生成 CO</w:t>
      </w:r>
      <w:r>
        <w:rPr>
          <w:vertAlign w:val="subscript"/>
        </w:rPr>
        <w:t xml:space="preserve">2 </w:t>
      </w:r>
      <w:r>
        <w:t>和 H</w:t>
      </w:r>
      <w:r>
        <w:rPr>
          <w:vertAlign w:val="subscript"/>
        </w:rPr>
        <w:t>2</w:t>
      </w:r>
      <w:r>
        <w:t>O；燃烧室设计最高使用温度为 950℃,当进气浓度较低，燃烧器自动开启，使烟温达到设计要求。燃烧室内采用陶瓷纤维保温，保温厚度为 300mm，其中含二层陶瓷纤维毡及一层陶瓷纤维模块，陶瓷纤维模块内设置耐热钢骨架，用锚固件固定在炉体壳体上，正常使用时，燃烧室的外壁温度不高于环境+40℃, 燃烧室在操作面设置气密与绝热良好的检修孔，供内部检修和陶瓷维护更换时使用，室体前段设有操作平台。炉体上方设有安全自动泄压口，当炉内压力超高时自动泄压。氧化室设计根据 3T（温度、时间、湍流）原则设计，使废气在氧化室达到合适的温度、停留时间和流体状态，让废气在氧化室内充分氧化、分解。</w:t>
      </w:r>
    </w:p>
    <w:p w14:paraId="1799F791">
      <w:pPr>
        <w:bidi w:val="0"/>
      </w:pPr>
      <w:r>
        <w:t>（2）蓄热室</w:t>
      </w:r>
    </w:p>
    <w:p w14:paraId="60368B1B">
      <w:pPr>
        <w:bidi w:val="0"/>
      </w:pPr>
      <w:r>
        <w:t>蓄热室作用是将烟气大部分热量储存起来，用于废气预热，可以显著节约燃料，降低运行费用。蓄热室体钢板采用连续焊接而成，保证气体在内部循环的密封性，室体内采用陶瓷纤维保温，保温厚度为 250mm，其中含二层陶瓷纤维毡及一层陶瓷纤维模块，陶瓷纤维模块内设置耐热钢骨架，用锚固件固定在炉体壳体上，正常使用时，蓄热室的外壁温度不高于环境温度 40℃, 室内装有高效率的陶瓷蓄热填料，蓄热体主要用于储蓄热量，并将热量用于加热进气，可以有效节约燃料，本项目陶瓷蓄热体采用板片式。</w:t>
      </w:r>
    </w:p>
    <w:p w14:paraId="68EDA8A2">
      <w:pPr>
        <w:bidi w:val="0"/>
      </w:pPr>
      <w:r>
        <w:t>（3）换向阀</w:t>
      </w:r>
    </w:p>
    <w:p w14:paraId="19A09958">
      <w:pPr>
        <w:bidi w:val="0"/>
      </w:pPr>
      <w:r>
        <w:t>主切换阀采用 RTO 专用 硬密封平推阀，阀门密封严密，泄露量小，各阀门均有位置接近开关，用以检测阀门的实际动作是否到位，确保系统运行安全。</w:t>
      </w:r>
    </w:p>
    <w:p w14:paraId="18626815">
      <w:pPr>
        <w:bidi w:val="0"/>
      </w:pPr>
      <w:r>
        <w:t>（4）燃烧机</w:t>
      </w:r>
    </w:p>
    <w:p w14:paraId="7B82E0E5">
      <w:pPr>
        <w:bidi w:val="0"/>
      </w:pPr>
      <w:r>
        <w:t>燃烧机采用低压头比例调节燃气燃烧器能实现连续比例调节，调节范围 10:1 燃料为天然气，燃烧系统含助燃风机、高压点火变压器、比例调节阀、UV 火焰探测器等，比例调节阀能根据炉膛所需的温度变化来调节其开度，节省燃料；燃料和助燃空气同步变化，稳定燃烧。</w:t>
      </w:r>
    </w:p>
    <w:p w14:paraId="37FD459B">
      <w:pPr>
        <w:bidi w:val="0"/>
      </w:pPr>
      <w:r>
        <w:t>（4）余热回收系统</w:t>
      </w:r>
    </w:p>
    <w:p w14:paraId="0640FC6E">
      <w:pPr>
        <w:bidi w:val="0"/>
        <w:rPr>
          <w:lang w:val="zh-CN"/>
        </w:rPr>
      </w:pPr>
      <w:r>
        <w:t>RTO 后配置余热回收系统，包括气水换热器、水箱、取热循环泵及配套设备。余热利用是利用从 RTO 排放的高温气体（约 190℃),经过一个水-气换热器，经过水-气换热器后的废气温度约 80℃,再通过烟囱排放，被加热的水可以通过水泵抽到印刷设备的单元换热器，用于印刷烘干工序，替代电加热，从而达到节能的目的。</w:t>
      </w:r>
    </w:p>
    <w:p w14:paraId="1C2FBF89">
      <w:pPr>
        <w:bidi w:val="0"/>
      </w:pPr>
      <w:r>
        <w:t>2 、旋转式分子筛（沸石转轮）装置</w:t>
      </w:r>
    </w:p>
    <w:p w14:paraId="3DFD7886">
      <w:pPr>
        <w:bidi w:val="0"/>
      </w:pPr>
      <w:r>
        <w:t>沸石转轮工作原理：</w:t>
      </w:r>
    </w:p>
    <w:p w14:paraId="17B88F13">
      <w:pPr>
        <w:bidi w:val="0"/>
      </w:pPr>
      <w:r>
        <w:t>大风量、低浓度的有机废气的燃烧或回收，不仅需要非常大规模的设备，而且会造成巨额运行成本。对于该问题，通过使用沸石分子筛吸附浓缩装置可以将低浓度大风量的有机废气浓缩成高浓度小风量，从而减低设备投资费用和运行成本，从而实现经济有效有机废气处理。本项目采用干式过滤对废气进行除尘等预处理，可满足以沸石为吸附材料时入口废气应满足颗粒物不大于 1 mg/m3 ，相对湿度（RH）小于等于80%、温度小于等于 40℃等条件。</w:t>
      </w:r>
    </w:p>
    <w:p w14:paraId="45A3FE8E">
      <w:pPr>
        <w:bidi w:val="0"/>
      </w:pPr>
      <w:r>
        <w:t>沸石分子筛转轮吸附浓缩系统利用吸附-脱附浓缩-冷却这一连续性过程，对 VOCs废气进行吸附浓缩，其基本原理如下：</w:t>
      </w:r>
    </w:p>
    <w:p w14:paraId="20898A71">
      <w:pPr>
        <w:bidi w:val="0"/>
      </w:pPr>
      <w:r>
        <w:t>沸石分子筛转轮分为吸附区、脱附区和冷却区三个功能区域，各区域由耐热、耐溶剂的密封材料分隔开来。沸石分子筛转轮在各个功能区域内连续运转。废气通过前置的过滤器后，送至沸石分子筛转轮的吸附区。在吸附区（吸附区面积为 S1）有机废气中VOCs 被沸石分子筛吸附除去，有机废气被净化后从沸石分子筛转轮处理区排出。吸附在分子筛转轮中的 VOCs，在脱附区（脱附区面积为 S2）经过约 200℃小风量的热风处理而被脱附、浓缩，浓缩倍数一般为 5~25 倍。再生后的沸石分子筛转轮在冷却区被冷却。经过冷却区的空气，经过加热后作为再生空气使用，达到节能的效果。沸石分子筛转轮的特点有：①高性能、高效率，将吸附性能极好的疏水性分子筛作为吸附剂使用，对于范围广泛的 VOC 种类，不同的各种运转条件，都可以充分提供足够的性能。@高沸点溶剂的处理，使用疏水性沸石分子筛，利用不燃性、高耐热性的特点可以在高温条件下再生。因此，对于使用活性炭时因为有再生温度的限制而无法处理的高沸点 VOC，也能够处理。</w:t>
      </w:r>
    </w:p>
    <w:p w14:paraId="0ECAB5F3">
      <w:pPr>
        <w:pStyle w:val="62"/>
        <w:bidi w:val="0"/>
      </w:pPr>
      <w:r>
        <w:drawing>
          <wp:inline distT="0" distB="0" distL="0" distR="0">
            <wp:extent cx="5829935" cy="2272030"/>
            <wp:effectExtent l="0" t="0" r="8890" b="4445"/>
            <wp:docPr id="240" name="IM 208"/>
            <wp:cNvGraphicFramePr/>
            <a:graphic xmlns:a="http://schemas.openxmlformats.org/drawingml/2006/main">
              <a:graphicData uri="http://schemas.openxmlformats.org/drawingml/2006/picture">
                <pic:pic xmlns:pic="http://schemas.openxmlformats.org/drawingml/2006/picture">
                  <pic:nvPicPr>
                    <pic:cNvPr id="240" name="IM 208"/>
                    <pic:cNvPicPr/>
                  </pic:nvPicPr>
                  <pic:blipFill>
                    <a:blip r:embed="rId129"/>
                    <a:stretch>
                      <a:fillRect/>
                    </a:stretch>
                  </pic:blipFill>
                  <pic:spPr>
                    <a:xfrm>
                      <a:off x="0" y="0"/>
                      <a:ext cx="5829935" cy="2272283"/>
                    </a:xfrm>
                    <a:prstGeom prst="rect">
                      <a:avLst/>
                    </a:prstGeom>
                  </pic:spPr>
                </pic:pic>
              </a:graphicData>
            </a:graphic>
          </wp:inline>
        </w:drawing>
      </w:r>
    </w:p>
    <w:p w14:paraId="1BFEE6C2">
      <w:pPr>
        <w:pStyle w:val="62"/>
        <w:numPr>
          <w:ilvl w:val="0"/>
          <w:numId w:val="52"/>
        </w:numPr>
        <w:bidi w:val="0"/>
        <w:ind w:left="0" w:leftChars="0" w:firstLine="0" w:firstLineChars="0"/>
        <w:rPr>
          <w:rFonts w:ascii="Times New Roman" w:hAnsi="Times New Roman" w:eastAsia="宋体" w:cs="Times New Roman"/>
        </w:rPr>
      </w:pPr>
      <w:r>
        <w:rPr>
          <w:rFonts w:ascii="Times New Roman" w:hAnsi="Times New Roman" w:eastAsia="宋体" w:cs="Times New Roman"/>
        </w:rPr>
        <w:t>旋转式分子筛（沸石转轮）原理图</w:t>
      </w:r>
    </w:p>
    <w:p w14:paraId="5EA43667">
      <w:pPr>
        <w:pStyle w:val="64"/>
        <w:numPr>
          <w:ilvl w:val="2"/>
          <w:numId w:val="8"/>
        </w:numPr>
        <w:bidi w:val="0"/>
        <w:ind w:left="709" w:leftChars="0" w:hanging="709" w:firstLineChars="0"/>
        <w:rPr>
          <w:color w:val="auto"/>
        </w:rPr>
      </w:pPr>
      <w:r>
        <w:rPr>
          <w:rFonts w:hint="eastAsia"/>
          <w:color w:val="auto"/>
          <w:lang w:val="en-US" w:eastAsia="zh-CN"/>
        </w:rPr>
        <w:t>合掌机、定型机</w:t>
      </w:r>
      <w:r>
        <w:rPr>
          <w:rFonts w:hint="eastAsia" w:ascii="Times New Roman" w:hAnsi="Times New Roman" w:eastAsia="宋体" w:cs="Times New Roman"/>
          <w:color w:val="auto"/>
          <w:lang w:val="en-US" w:eastAsia="zh-CN"/>
        </w:rPr>
        <w:t>末端治理措施</w:t>
      </w:r>
    </w:p>
    <w:p w14:paraId="40FAC302">
      <w:pPr>
        <w:pStyle w:val="65"/>
        <w:bidi w:val="0"/>
      </w:pPr>
      <w:r>
        <w:rPr>
          <w:rFonts w:hint="eastAsia"/>
        </w:rPr>
        <w:t>1、废气收集方案</w:t>
      </w:r>
    </w:p>
    <w:p w14:paraId="07CE0C87">
      <w:pPr>
        <w:ind w:firstLine="480"/>
        <w:rPr>
          <w:rFonts w:hint="eastAsia"/>
          <w:color w:val="auto"/>
        </w:rPr>
      </w:pPr>
      <w:r>
        <w:rPr>
          <w:rFonts w:hint="eastAsia"/>
          <w:color w:val="auto"/>
          <w:lang w:val="en-US" w:eastAsia="zh-CN"/>
        </w:rPr>
        <w:t>合掌机、定型机</w:t>
      </w:r>
      <w:r>
        <w:rPr>
          <w:rFonts w:hint="eastAsia"/>
          <w:color w:val="auto"/>
        </w:rPr>
        <w:t>上方设置集气罩+垂帘，根据《三废处理工程技术手册 废气卷》，上部伞形罩排风量计算公式如下：</w:t>
      </w:r>
    </w:p>
    <w:p w14:paraId="0B897FE0">
      <w:pPr>
        <w:autoSpaceDE w:val="0"/>
        <w:ind w:firstLine="480"/>
        <w:jc w:val="center"/>
        <w:rPr>
          <w:rFonts w:ascii="Times New Roman" w:hAnsi="Times New Roman" w:cs="Times New Roman"/>
          <w:color w:val="auto"/>
        </w:rPr>
      </w:pPr>
      <w:r>
        <w:rPr>
          <w:rFonts w:hint="eastAsia" w:ascii="Times New Roman" w:hAnsi="Times New Roman" w:cs="Times New Roman"/>
          <w:color w:val="auto"/>
          <w:lang w:bidi="ar"/>
        </w:rPr>
        <w:t>Q=1.4phVx*3600</w:t>
      </w:r>
    </w:p>
    <w:p w14:paraId="76849B48">
      <w:pPr>
        <w:autoSpaceDE w:val="0"/>
        <w:ind w:firstLine="480"/>
        <w:rPr>
          <w:rFonts w:hint="eastAsia" w:ascii="Times New Roman" w:hAnsi="Times New Roman" w:cs="Times New Roman"/>
          <w:color w:val="auto"/>
        </w:rPr>
      </w:pPr>
      <w:r>
        <w:rPr>
          <w:rFonts w:hint="eastAsia" w:ascii="Times New Roman" w:hAnsi="Times New Roman" w:cs="宋体"/>
          <w:color w:val="auto"/>
          <w:lang w:bidi="ar"/>
        </w:rPr>
        <w:t>式中：</w:t>
      </w:r>
      <w:r>
        <w:rPr>
          <w:rFonts w:hint="eastAsia" w:ascii="Times New Roman" w:hAnsi="Times New Roman" w:cs="Times New Roman"/>
          <w:color w:val="auto"/>
          <w:lang w:bidi="ar"/>
        </w:rPr>
        <w:t>Q</w:t>
      </w:r>
      <w:r>
        <w:rPr>
          <w:rFonts w:hint="eastAsia" w:ascii="Times New Roman" w:hAnsi="Times New Roman" w:cs="宋体"/>
          <w:color w:val="auto"/>
          <w:lang w:bidi="ar"/>
        </w:rPr>
        <w:t>—排风量，</w:t>
      </w:r>
      <w:r>
        <w:rPr>
          <w:rFonts w:ascii="Times New Roman" w:hAnsi="Times New Roman" w:cs="Times New Roman"/>
          <w:color w:val="auto"/>
          <w:lang w:bidi="ar"/>
        </w:rPr>
        <w:t>m</w:t>
      </w:r>
      <w:r>
        <w:rPr>
          <w:rFonts w:hint="eastAsia" w:ascii="Times New Roman" w:hAnsi="Times New Roman" w:cs="Times New Roman"/>
          <w:color w:val="auto"/>
          <w:vertAlign w:val="superscript"/>
          <w:lang w:bidi="ar"/>
        </w:rPr>
        <w:t>3</w:t>
      </w:r>
      <w:r>
        <w:rPr>
          <w:rFonts w:hint="eastAsia" w:ascii="Times New Roman" w:hAnsi="Times New Roman" w:cs="Times New Roman"/>
          <w:color w:val="auto"/>
          <w:lang w:bidi="ar"/>
        </w:rPr>
        <w:t>/h</w:t>
      </w:r>
      <w:r>
        <w:rPr>
          <w:rFonts w:hint="eastAsia" w:ascii="Times New Roman" w:hAnsi="Times New Roman" w:cs="宋体"/>
          <w:color w:val="auto"/>
          <w:lang w:bidi="ar"/>
        </w:rPr>
        <w:t>；</w:t>
      </w:r>
    </w:p>
    <w:p w14:paraId="303A2EA4">
      <w:pPr>
        <w:autoSpaceDE w:val="0"/>
        <w:ind w:firstLine="1200" w:firstLineChars="500"/>
        <w:rPr>
          <w:rFonts w:ascii="Times New Roman" w:hAnsi="Times New Roman" w:cs="Times New Roman"/>
          <w:color w:val="auto"/>
          <w:lang w:bidi="ar"/>
        </w:rPr>
      </w:pPr>
      <w:r>
        <w:rPr>
          <w:rFonts w:hint="eastAsia" w:ascii="Times New Roman" w:hAnsi="Times New Roman" w:cs="Times New Roman"/>
          <w:color w:val="auto"/>
          <w:lang w:bidi="ar"/>
        </w:rPr>
        <w:t>p</w:t>
      </w:r>
      <w:r>
        <w:rPr>
          <w:rFonts w:hint="eastAsia" w:ascii="Times New Roman" w:hAnsi="Times New Roman" w:cs="宋体"/>
          <w:color w:val="auto"/>
          <w:lang w:bidi="ar"/>
        </w:rPr>
        <w:t>—罩口周长，m</w:t>
      </w:r>
    </w:p>
    <w:p w14:paraId="75783513">
      <w:pPr>
        <w:autoSpaceDE w:val="0"/>
        <w:ind w:firstLine="1200" w:firstLineChars="500"/>
        <w:rPr>
          <w:rFonts w:hint="eastAsia" w:ascii="Times New Roman" w:hAnsi="Times New Roman" w:cs="宋体"/>
          <w:color w:val="auto"/>
          <w:lang w:bidi="ar"/>
        </w:rPr>
      </w:pPr>
      <w:r>
        <w:rPr>
          <w:rFonts w:hint="eastAsia" w:ascii="Times New Roman" w:hAnsi="Times New Roman" w:cs="Times New Roman"/>
          <w:color w:val="auto"/>
          <w:lang w:bidi="ar"/>
        </w:rPr>
        <w:t>h</w:t>
      </w:r>
      <w:r>
        <w:rPr>
          <w:rFonts w:hint="eastAsia" w:ascii="Times New Roman" w:hAnsi="Times New Roman" w:cs="宋体"/>
          <w:color w:val="auto"/>
          <w:lang w:bidi="ar"/>
        </w:rPr>
        <w:t>—污染源至罩口的距离，</w:t>
      </w:r>
      <w:r>
        <w:rPr>
          <w:rFonts w:ascii="Times New Roman" w:hAnsi="Times New Roman" w:cs="Times New Roman"/>
          <w:color w:val="auto"/>
          <w:lang w:bidi="ar"/>
        </w:rPr>
        <w:t>m</w:t>
      </w:r>
      <w:r>
        <w:rPr>
          <w:rFonts w:hint="eastAsia" w:ascii="Times New Roman" w:hAnsi="Times New Roman" w:cs="宋体"/>
          <w:color w:val="auto"/>
          <w:lang w:bidi="ar"/>
        </w:rPr>
        <w:t>；</w:t>
      </w:r>
    </w:p>
    <w:p w14:paraId="4C632230">
      <w:pPr>
        <w:pStyle w:val="48"/>
        <w:ind w:firstLine="1200" w:firstLineChars="500"/>
        <w:rPr>
          <w:rFonts w:hint="eastAsia" w:ascii="Times New Roman" w:hAnsi="Times New Roman" w:cs="Times New Roman"/>
          <w:color w:val="auto"/>
          <w:kern w:val="0"/>
          <w:lang w:bidi="ar"/>
        </w:rPr>
      </w:pPr>
      <w:r>
        <w:rPr>
          <w:rFonts w:hint="eastAsia" w:ascii="Times New Roman" w:hAnsi="Times New Roman" w:cs="宋体"/>
          <w:color w:val="auto"/>
          <w:kern w:val="0"/>
          <w:lang w:bidi="ar"/>
        </w:rPr>
        <w:t>Vx—控制点的吸入速度，</w:t>
      </w:r>
      <w:r>
        <w:rPr>
          <w:rFonts w:ascii="Times New Roman" w:hAnsi="Times New Roman" w:cs="Times New Roman"/>
          <w:color w:val="auto"/>
          <w:kern w:val="0"/>
          <w:lang w:bidi="ar"/>
        </w:rPr>
        <w:t>m</w:t>
      </w:r>
      <w:r>
        <w:rPr>
          <w:rFonts w:hint="eastAsia" w:ascii="Times New Roman" w:hAnsi="Times New Roman" w:cs="Times New Roman"/>
          <w:color w:val="auto"/>
          <w:kern w:val="0"/>
          <w:lang w:bidi="ar"/>
        </w:rPr>
        <w:t>/s</w:t>
      </w:r>
    </w:p>
    <w:p w14:paraId="714B7920">
      <w:pPr>
        <w:pStyle w:val="62"/>
        <w:numPr>
          <w:ilvl w:val="0"/>
          <w:numId w:val="51"/>
        </w:numPr>
        <w:bidi w:val="0"/>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排风量计算一览表</w:t>
      </w:r>
    </w:p>
    <w:tbl>
      <w:tblPr>
        <w:tblStyle w:val="3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344"/>
        <w:gridCol w:w="1026"/>
        <w:gridCol w:w="1272"/>
        <w:gridCol w:w="1272"/>
        <w:gridCol w:w="1272"/>
        <w:gridCol w:w="1272"/>
        <w:gridCol w:w="1276"/>
      </w:tblGrid>
      <w:tr w14:paraId="54CAE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8" w:type="pct"/>
            <w:noWrap w:val="0"/>
            <w:vAlign w:val="center"/>
          </w:tcPr>
          <w:p w14:paraId="69F8001F">
            <w:pPr>
              <w:pStyle w:val="69"/>
              <w:rPr>
                <w:rFonts w:hint="eastAsia"/>
                <w:color w:val="auto"/>
              </w:rPr>
            </w:pPr>
            <w:r>
              <w:rPr>
                <w:rFonts w:hint="eastAsia"/>
                <w:color w:val="auto"/>
              </w:rPr>
              <w:t>序号</w:t>
            </w:r>
          </w:p>
        </w:tc>
        <w:tc>
          <w:tcPr>
            <w:tcW w:w="723" w:type="pct"/>
            <w:noWrap w:val="0"/>
            <w:vAlign w:val="center"/>
          </w:tcPr>
          <w:p w14:paraId="48817656">
            <w:pPr>
              <w:pStyle w:val="69"/>
              <w:rPr>
                <w:rFonts w:hint="eastAsia"/>
                <w:color w:val="auto"/>
              </w:rPr>
            </w:pPr>
            <w:r>
              <w:rPr>
                <w:rFonts w:hint="eastAsia"/>
                <w:color w:val="auto"/>
              </w:rPr>
              <w:t>设备名称</w:t>
            </w:r>
          </w:p>
        </w:tc>
        <w:tc>
          <w:tcPr>
            <w:tcW w:w="552" w:type="pct"/>
            <w:noWrap w:val="0"/>
            <w:vAlign w:val="center"/>
          </w:tcPr>
          <w:p w14:paraId="27610E97">
            <w:pPr>
              <w:pStyle w:val="69"/>
              <w:rPr>
                <w:rFonts w:hint="eastAsia"/>
                <w:color w:val="auto"/>
              </w:rPr>
            </w:pPr>
            <w:r>
              <w:rPr>
                <w:rFonts w:hint="eastAsia"/>
                <w:color w:val="auto"/>
              </w:rPr>
              <w:t>数量</w:t>
            </w:r>
          </w:p>
        </w:tc>
        <w:tc>
          <w:tcPr>
            <w:tcW w:w="684" w:type="pct"/>
            <w:noWrap/>
            <w:vAlign w:val="center"/>
          </w:tcPr>
          <w:p w14:paraId="3B9CD3F1">
            <w:pPr>
              <w:pStyle w:val="69"/>
              <w:rPr>
                <w:color w:val="auto"/>
              </w:rPr>
            </w:pPr>
            <w:r>
              <w:rPr>
                <w:color w:val="auto"/>
              </w:rPr>
              <w:t>p</w:t>
            </w:r>
            <w:r>
              <w:rPr>
                <w:rFonts w:hint="eastAsia"/>
                <w:color w:val="auto"/>
              </w:rPr>
              <w:t>—罩口周长，</w:t>
            </w:r>
            <w:r>
              <w:rPr>
                <w:color w:val="auto"/>
              </w:rPr>
              <w:t>m</w:t>
            </w:r>
          </w:p>
        </w:tc>
        <w:tc>
          <w:tcPr>
            <w:tcW w:w="684" w:type="pct"/>
            <w:noWrap/>
            <w:vAlign w:val="center"/>
          </w:tcPr>
          <w:p w14:paraId="3CE09E70">
            <w:pPr>
              <w:pStyle w:val="69"/>
              <w:rPr>
                <w:color w:val="auto"/>
              </w:rPr>
            </w:pPr>
            <w:r>
              <w:rPr>
                <w:color w:val="auto"/>
              </w:rPr>
              <w:t>h</w:t>
            </w:r>
            <w:r>
              <w:rPr>
                <w:rFonts w:hint="eastAsia"/>
                <w:color w:val="auto"/>
              </w:rPr>
              <w:t>—污染源至罩口的距离，</w:t>
            </w:r>
            <w:r>
              <w:rPr>
                <w:color w:val="auto"/>
              </w:rPr>
              <w:t>m</w:t>
            </w:r>
          </w:p>
        </w:tc>
        <w:tc>
          <w:tcPr>
            <w:tcW w:w="684" w:type="pct"/>
            <w:noWrap/>
            <w:vAlign w:val="center"/>
          </w:tcPr>
          <w:p w14:paraId="6B4F7A2B">
            <w:pPr>
              <w:pStyle w:val="69"/>
              <w:rPr>
                <w:color w:val="auto"/>
              </w:rPr>
            </w:pPr>
            <w:r>
              <w:rPr>
                <w:color w:val="auto"/>
              </w:rPr>
              <w:t>Vx</w:t>
            </w:r>
            <w:r>
              <w:rPr>
                <w:rFonts w:hint="eastAsia"/>
                <w:color w:val="auto"/>
              </w:rPr>
              <w:t>—控制点的吸入速度</w:t>
            </w:r>
            <w:r>
              <w:rPr>
                <w:color w:val="auto"/>
              </w:rPr>
              <w:t>m/s</w:t>
            </w:r>
          </w:p>
        </w:tc>
        <w:tc>
          <w:tcPr>
            <w:tcW w:w="684" w:type="pct"/>
            <w:noWrap/>
            <w:vAlign w:val="center"/>
          </w:tcPr>
          <w:p w14:paraId="30DF1551">
            <w:pPr>
              <w:pStyle w:val="69"/>
              <w:rPr>
                <w:rFonts w:hint="eastAsia"/>
                <w:color w:val="auto"/>
              </w:rPr>
            </w:pPr>
            <w:r>
              <w:rPr>
                <w:rFonts w:hint="eastAsia"/>
                <w:color w:val="auto"/>
              </w:rPr>
              <w:t>排气罩数量</w:t>
            </w:r>
          </w:p>
        </w:tc>
        <w:tc>
          <w:tcPr>
            <w:tcW w:w="686" w:type="pct"/>
            <w:noWrap/>
            <w:vAlign w:val="center"/>
          </w:tcPr>
          <w:p w14:paraId="359DE261">
            <w:pPr>
              <w:pStyle w:val="69"/>
              <w:rPr>
                <w:color w:val="auto"/>
              </w:rPr>
            </w:pPr>
            <w:r>
              <w:rPr>
                <w:color w:val="auto"/>
              </w:rPr>
              <w:t>Q—</w:t>
            </w:r>
            <w:r>
              <w:rPr>
                <w:rFonts w:hint="eastAsia"/>
                <w:color w:val="auto"/>
              </w:rPr>
              <w:t>排风量</w:t>
            </w:r>
            <w:r>
              <w:rPr>
                <w:color w:val="auto"/>
              </w:rPr>
              <w:t>m</w:t>
            </w:r>
            <w:r>
              <w:rPr>
                <w:color w:val="auto"/>
                <w:vertAlign w:val="superscript"/>
              </w:rPr>
              <w:t>3</w:t>
            </w:r>
            <w:r>
              <w:rPr>
                <w:color w:val="auto"/>
              </w:rPr>
              <w:t>/h</w:t>
            </w:r>
          </w:p>
        </w:tc>
      </w:tr>
      <w:tr w14:paraId="59D09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8" w:type="pct"/>
            <w:noWrap w:val="0"/>
            <w:vAlign w:val="center"/>
          </w:tcPr>
          <w:p w14:paraId="1F1DD42E">
            <w:pPr>
              <w:pStyle w:val="69"/>
              <w:numPr>
                <w:ilvl w:val="0"/>
                <w:numId w:val="53"/>
              </w:numPr>
              <w:rPr>
                <w:color w:val="auto"/>
              </w:rPr>
            </w:pPr>
          </w:p>
        </w:tc>
        <w:tc>
          <w:tcPr>
            <w:tcW w:w="1344" w:type="dxa"/>
            <w:noWrap w:val="0"/>
            <w:vAlign w:val="center"/>
          </w:tcPr>
          <w:p w14:paraId="35E5E115">
            <w:pPr>
              <w:pStyle w:val="69"/>
              <w:bidi w:val="0"/>
              <w:rPr>
                <w:rFonts w:hint="eastAsia"/>
              </w:rPr>
            </w:pPr>
            <w:r>
              <w:rPr>
                <w:rFonts w:hint="eastAsia"/>
                <w:lang w:val="en-US" w:eastAsia="zh-CN"/>
              </w:rPr>
              <w:t>合掌机</w:t>
            </w:r>
          </w:p>
        </w:tc>
        <w:tc>
          <w:tcPr>
            <w:tcW w:w="1026" w:type="dxa"/>
            <w:noWrap w:val="0"/>
            <w:vAlign w:val="center"/>
          </w:tcPr>
          <w:p w14:paraId="03E32AC6">
            <w:pPr>
              <w:pStyle w:val="69"/>
              <w:bidi w:val="0"/>
            </w:pPr>
            <w:r>
              <w:rPr>
                <w:rFonts w:hint="default"/>
                <w:lang w:val="en-US" w:eastAsia="zh-CN"/>
              </w:rPr>
              <w:t>5</w:t>
            </w:r>
          </w:p>
        </w:tc>
        <w:tc>
          <w:tcPr>
            <w:tcW w:w="1272" w:type="dxa"/>
            <w:noWrap/>
            <w:vAlign w:val="center"/>
          </w:tcPr>
          <w:p w14:paraId="68F0E151">
            <w:pPr>
              <w:pStyle w:val="69"/>
              <w:bidi w:val="0"/>
            </w:pPr>
            <w:r>
              <w:rPr>
                <w:rFonts w:hint="default"/>
                <w:lang w:val="en-US" w:eastAsia="zh-CN"/>
              </w:rPr>
              <w:t>1.6</w:t>
            </w:r>
          </w:p>
        </w:tc>
        <w:tc>
          <w:tcPr>
            <w:tcW w:w="1272" w:type="dxa"/>
            <w:noWrap/>
            <w:vAlign w:val="center"/>
          </w:tcPr>
          <w:p w14:paraId="45209C58">
            <w:pPr>
              <w:pStyle w:val="69"/>
              <w:bidi w:val="0"/>
            </w:pPr>
            <w:r>
              <w:rPr>
                <w:rFonts w:hint="default"/>
                <w:lang w:val="en-US" w:eastAsia="zh-CN"/>
              </w:rPr>
              <w:t>0.3</w:t>
            </w:r>
          </w:p>
        </w:tc>
        <w:tc>
          <w:tcPr>
            <w:tcW w:w="1272" w:type="dxa"/>
            <w:noWrap/>
            <w:vAlign w:val="center"/>
          </w:tcPr>
          <w:p w14:paraId="12D6FB65">
            <w:pPr>
              <w:pStyle w:val="69"/>
              <w:bidi w:val="0"/>
            </w:pPr>
            <w:r>
              <w:rPr>
                <w:rFonts w:hint="default"/>
                <w:lang w:val="en-US" w:eastAsia="zh-CN"/>
              </w:rPr>
              <w:t>0.3</w:t>
            </w:r>
          </w:p>
        </w:tc>
        <w:tc>
          <w:tcPr>
            <w:tcW w:w="1272" w:type="dxa"/>
            <w:noWrap/>
            <w:vAlign w:val="center"/>
          </w:tcPr>
          <w:p w14:paraId="61B2A50F">
            <w:pPr>
              <w:pStyle w:val="69"/>
              <w:bidi w:val="0"/>
            </w:pPr>
            <w:r>
              <w:rPr>
                <w:rFonts w:hint="default"/>
                <w:lang w:val="en-US" w:eastAsia="zh-CN"/>
              </w:rPr>
              <w:t>5</w:t>
            </w:r>
          </w:p>
        </w:tc>
        <w:tc>
          <w:tcPr>
            <w:tcW w:w="1276" w:type="dxa"/>
            <w:noWrap/>
            <w:vAlign w:val="center"/>
          </w:tcPr>
          <w:p w14:paraId="345FB27F">
            <w:pPr>
              <w:pStyle w:val="69"/>
              <w:bidi w:val="0"/>
            </w:pPr>
            <w:r>
              <w:rPr>
                <w:rFonts w:hint="default"/>
                <w:lang w:val="en-US" w:eastAsia="zh-CN"/>
              </w:rPr>
              <w:t>3628.8</w:t>
            </w:r>
          </w:p>
        </w:tc>
      </w:tr>
      <w:tr w14:paraId="414B3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8" w:type="pct"/>
            <w:noWrap/>
            <w:vAlign w:val="center"/>
          </w:tcPr>
          <w:p w14:paraId="6B8EA96A">
            <w:pPr>
              <w:pStyle w:val="69"/>
              <w:numPr>
                <w:ilvl w:val="0"/>
                <w:numId w:val="53"/>
              </w:numPr>
              <w:rPr>
                <w:rFonts w:hint="eastAsia"/>
                <w:color w:val="auto"/>
              </w:rPr>
            </w:pPr>
          </w:p>
        </w:tc>
        <w:tc>
          <w:tcPr>
            <w:tcW w:w="1344" w:type="dxa"/>
            <w:noWrap w:val="0"/>
            <w:vAlign w:val="center"/>
          </w:tcPr>
          <w:p w14:paraId="48A23675">
            <w:pPr>
              <w:pStyle w:val="69"/>
              <w:bidi w:val="0"/>
              <w:rPr>
                <w:rFonts w:hint="eastAsia"/>
              </w:rPr>
            </w:pPr>
            <w:r>
              <w:rPr>
                <w:rFonts w:hint="eastAsia"/>
                <w:lang w:val="en-US" w:eastAsia="zh-CN"/>
              </w:rPr>
              <w:t>定型机</w:t>
            </w:r>
          </w:p>
        </w:tc>
        <w:tc>
          <w:tcPr>
            <w:tcW w:w="1026" w:type="dxa"/>
            <w:noWrap w:val="0"/>
            <w:vAlign w:val="center"/>
          </w:tcPr>
          <w:p w14:paraId="574871C9">
            <w:pPr>
              <w:pStyle w:val="69"/>
              <w:bidi w:val="0"/>
            </w:pPr>
            <w:r>
              <w:rPr>
                <w:rFonts w:hint="default"/>
                <w:lang w:val="en-US" w:eastAsia="zh-CN"/>
              </w:rPr>
              <w:t>5</w:t>
            </w:r>
          </w:p>
        </w:tc>
        <w:tc>
          <w:tcPr>
            <w:tcW w:w="1272" w:type="dxa"/>
            <w:noWrap/>
            <w:vAlign w:val="center"/>
          </w:tcPr>
          <w:p w14:paraId="0BC44875">
            <w:pPr>
              <w:pStyle w:val="69"/>
              <w:bidi w:val="0"/>
            </w:pPr>
            <w:r>
              <w:rPr>
                <w:rFonts w:hint="default"/>
                <w:lang w:val="en-US" w:eastAsia="zh-CN"/>
              </w:rPr>
              <w:t>4</w:t>
            </w:r>
          </w:p>
        </w:tc>
        <w:tc>
          <w:tcPr>
            <w:tcW w:w="1272" w:type="dxa"/>
            <w:noWrap/>
            <w:vAlign w:val="center"/>
          </w:tcPr>
          <w:p w14:paraId="10DCC214">
            <w:pPr>
              <w:pStyle w:val="69"/>
              <w:bidi w:val="0"/>
            </w:pPr>
            <w:r>
              <w:rPr>
                <w:rFonts w:hint="default"/>
                <w:lang w:val="en-US" w:eastAsia="zh-CN"/>
              </w:rPr>
              <w:t>0.3</w:t>
            </w:r>
          </w:p>
        </w:tc>
        <w:tc>
          <w:tcPr>
            <w:tcW w:w="1272" w:type="dxa"/>
            <w:noWrap/>
            <w:vAlign w:val="center"/>
          </w:tcPr>
          <w:p w14:paraId="19BF241F">
            <w:pPr>
              <w:pStyle w:val="69"/>
              <w:bidi w:val="0"/>
            </w:pPr>
            <w:r>
              <w:rPr>
                <w:rFonts w:hint="default"/>
                <w:lang w:val="en-US" w:eastAsia="zh-CN"/>
              </w:rPr>
              <w:t>0.3</w:t>
            </w:r>
          </w:p>
        </w:tc>
        <w:tc>
          <w:tcPr>
            <w:tcW w:w="1272" w:type="dxa"/>
            <w:noWrap/>
            <w:vAlign w:val="center"/>
          </w:tcPr>
          <w:p w14:paraId="0BCD02C4">
            <w:pPr>
              <w:pStyle w:val="69"/>
              <w:bidi w:val="0"/>
            </w:pPr>
            <w:r>
              <w:rPr>
                <w:rFonts w:hint="default"/>
                <w:lang w:val="en-US" w:eastAsia="zh-CN"/>
              </w:rPr>
              <w:t>5</w:t>
            </w:r>
          </w:p>
        </w:tc>
        <w:tc>
          <w:tcPr>
            <w:tcW w:w="1276" w:type="dxa"/>
            <w:noWrap/>
            <w:vAlign w:val="center"/>
          </w:tcPr>
          <w:p w14:paraId="74141960">
            <w:pPr>
              <w:pStyle w:val="69"/>
              <w:bidi w:val="0"/>
            </w:pPr>
            <w:r>
              <w:rPr>
                <w:rFonts w:hint="default"/>
                <w:lang w:val="en-US" w:eastAsia="zh-CN"/>
              </w:rPr>
              <w:t>9072</w:t>
            </w:r>
          </w:p>
        </w:tc>
      </w:tr>
      <w:tr w14:paraId="6BBD6A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8" w:type="pct"/>
            <w:noWrap w:val="0"/>
            <w:vAlign w:val="center"/>
          </w:tcPr>
          <w:p w14:paraId="5061230A">
            <w:pPr>
              <w:pStyle w:val="69"/>
              <w:rPr>
                <w:color w:val="auto"/>
              </w:rPr>
            </w:pPr>
          </w:p>
        </w:tc>
        <w:tc>
          <w:tcPr>
            <w:tcW w:w="1344" w:type="dxa"/>
            <w:noWrap w:val="0"/>
            <w:vAlign w:val="center"/>
          </w:tcPr>
          <w:p w14:paraId="798D75D0">
            <w:pPr>
              <w:pStyle w:val="69"/>
              <w:bidi w:val="0"/>
              <w:rPr>
                <w:rFonts w:hint="eastAsia"/>
              </w:rPr>
            </w:pPr>
            <w:r>
              <w:rPr>
                <w:rFonts w:hint="eastAsia"/>
                <w:lang w:val="en-US" w:eastAsia="zh-CN"/>
              </w:rPr>
              <w:t>合计</w:t>
            </w:r>
          </w:p>
        </w:tc>
        <w:tc>
          <w:tcPr>
            <w:tcW w:w="1026" w:type="dxa"/>
            <w:noWrap w:val="0"/>
            <w:vAlign w:val="center"/>
          </w:tcPr>
          <w:p w14:paraId="4D670F65">
            <w:pPr>
              <w:pStyle w:val="69"/>
              <w:bidi w:val="0"/>
            </w:pPr>
          </w:p>
        </w:tc>
        <w:tc>
          <w:tcPr>
            <w:tcW w:w="1272" w:type="dxa"/>
            <w:noWrap w:val="0"/>
            <w:vAlign w:val="center"/>
          </w:tcPr>
          <w:p w14:paraId="04ADA157">
            <w:pPr>
              <w:pStyle w:val="69"/>
              <w:bidi w:val="0"/>
              <w:rPr>
                <w:rFonts w:hint="eastAsia"/>
              </w:rPr>
            </w:pPr>
          </w:p>
        </w:tc>
        <w:tc>
          <w:tcPr>
            <w:tcW w:w="1272" w:type="dxa"/>
            <w:noWrap w:val="0"/>
            <w:vAlign w:val="center"/>
          </w:tcPr>
          <w:p w14:paraId="5F76B1C9">
            <w:pPr>
              <w:pStyle w:val="69"/>
              <w:bidi w:val="0"/>
              <w:rPr>
                <w:rFonts w:hint="eastAsia"/>
              </w:rPr>
            </w:pPr>
          </w:p>
        </w:tc>
        <w:tc>
          <w:tcPr>
            <w:tcW w:w="1272" w:type="dxa"/>
            <w:noWrap/>
            <w:vAlign w:val="center"/>
          </w:tcPr>
          <w:p w14:paraId="6B39CE30">
            <w:pPr>
              <w:pStyle w:val="69"/>
              <w:bidi w:val="0"/>
              <w:rPr>
                <w:rFonts w:hint="eastAsia"/>
              </w:rPr>
            </w:pPr>
          </w:p>
        </w:tc>
        <w:tc>
          <w:tcPr>
            <w:tcW w:w="1272" w:type="dxa"/>
            <w:noWrap/>
            <w:vAlign w:val="center"/>
          </w:tcPr>
          <w:p w14:paraId="1C94B15F">
            <w:pPr>
              <w:pStyle w:val="69"/>
              <w:bidi w:val="0"/>
            </w:pPr>
          </w:p>
        </w:tc>
        <w:tc>
          <w:tcPr>
            <w:tcW w:w="1276" w:type="dxa"/>
            <w:noWrap/>
            <w:vAlign w:val="center"/>
          </w:tcPr>
          <w:p w14:paraId="14154FBB">
            <w:pPr>
              <w:pStyle w:val="69"/>
              <w:bidi w:val="0"/>
              <w:rPr>
                <w:rFonts w:hint="default"/>
                <w:lang w:val="en-US"/>
              </w:rPr>
            </w:pPr>
            <w:r>
              <w:rPr>
                <w:rFonts w:hint="default"/>
                <w:lang w:val="en-US" w:eastAsia="zh-CN"/>
              </w:rPr>
              <w:t>12700.8</w:t>
            </w:r>
          </w:p>
        </w:tc>
      </w:tr>
    </w:tbl>
    <w:p w14:paraId="15B60BB4">
      <w:pPr>
        <w:bidi w:val="0"/>
        <w:rPr>
          <w:rFonts w:hint="eastAsia"/>
        </w:rPr>
      </w:pPr>
      <w:r>
        <w:rPr>
          <w:rFonts w:hint="eastAsia"/>
          <w:lang w:val="en-US" w:eastAsia="zh-CN"/>
        </w:rPr>
        <w:t>综合考虑管道风压损失，实际风量按1.2倍设计，即风量设计为15000m³/h，废气经</w:t>
      </w:r>
      <w:r>
        <w:rPr>
          <w:rFonts w:hint="eastAsia"/>
          <w:lang w:eastAsia="zh-CN"/>
        </w:rPr>
        <w:t>活性炭</w:t>
      </w:r>
      <w:r>
        <w:rPr>
          <w:rFonts w:hint="eastAsia"/>
        </w:rPr>
        <w:t>吸附装置处理达标后</w:t>
      </w:r>
      <w:r>
        <w:rPr>
          <w:rFonts w:hint="eastAsia"/>
          <w:lang w:val="en-US" w:eastAsia="zh-CN"/>
        </w:rPr>
        <w:t>经2</w:t>
      </w:r>
      <w:r>
        <w:rPr>
          <w:rFonts w:hint="eastAsia"/>
        </w:rPr>
        <w:t>5</w:t>
      </w:r>
      <w:r>
        <w:t>m</w:t>
      </w:r>
      <w:r>
        <w:rPr>
          <w:rFonts w:hint="eastAsia"/>
        </w:rPr>
        <w:t>高排气筒排放（编号DA00</w:t>
      </w:r>
      <w:r>
        <w:rPr>
          <w:rFonts w:hint="eastAsia"/>
          <w:lang w:val="en-US" w:eastAsia="zh-CN"/>
        </w:rPr>
        <w:t>2</w:t>
      </w:r>
      <w:r>
        <w:rPr>
          <w:rFonts w:hint="eastAsia"/>
        </w:rPr>
        <w:t>）。</w:t>
      </w:r>
    </w:p>
    <w:p w14:paraId="5ABE3D1C">
      <w:pPr>
        <w:pStyle w:val="65"/>
        <w:ind w:left="480" w:leftChars="200"/>
        <w:rPr>
          <w:color w:val="auto"/>
        </w:rPr>
      </w:pPr>
      <w:r>
        <w:rPr>
          <w:rFonts w:hint="eastAsia"/>
          <w:color w:val="auto"/>
        </w:rPr>
        <w:t>2、废气处理工艺选择</w:t>
      </w:r>
    </w:p>
    <w:p w14:paraId="41719031">
      <w:pPr>
        <w:bidi w:val="0"/>
        <w:rPr>
          <w:rFonts w:hint="default" w:eastAsia="宋体"/>
          <w:color w:val="auto"/>
          <w:lang w:val="en-US" w:eastAsia="zh-CN"/>
        </w:rPr>
      </w:pPr>
      <w:r>
        <w:rPr>
          <w:rFonts w:hint="eastAsia"/>
          <w:color w:val="auto"/>
          <w:lang w:val="en-US" w:eastAsia="zh-CN"/>
        </w:rPr>
        <w:t>合掌机、定型机废气含有氯化物、呋喃类有机废气，采用燃烧法容易产生二噁英，因此该废气采用</w:t>
      </w:r>
      <w:r>
        <w:rPr>
          <w:rFonts w:hint="eastAsia"/>
          <w:lang w:eastAsia="zh-CN"/>
        </w:rPr>
        <w:t>活性炭</w:t>
      </w:r>
      <w:r>
        <w:rPr>
          <w:rFonts w:hint="eastAsia"/>
        </w:rPr>
        <w:t>吸附装置</w:t>
      </w:r>
      <w:r>
        <w:rPr>
          <w:rFonts w:hint="eastAsia"/>
          <w:lang w:val="en-US" w:eastAsia="zh-CN"/>
        </w:rPr>
        <w:t>进行处理。</w:t>
      </w:r>
    </w:p>
    <w:p w14:paraId="47975DD5">
      <w:pPr>
        <w:bidi w:val="0"/>
        <w:rPr>
          <w:rFonts w:hint="eastAsia"/>
          <w:color w:val="auto"/>
          <w:lang w:val="en-US" w:eastAsia="zh-CN"/>
        </w:rPr>
      </w:pPr>
      <w:r>
        <w:rPr>
          <w:rFonts w:hint="eastAsia"/>
          <w:color w:val="auto"/>
          <w:lang w:val="en-US" w:eastAsia="zh-CN"/>
        </w:rPr>
        <w:t>根据《</w:t>
      </w:r>
      <w:r>
        <w:rPr>
          <w:rFonts w:hint="eastAsia"/>
          <w:color w:val="auto"/>
          <w:lang w:eastAsia="zh-CN"/>
        </w:rPr>
        <w:t>关于印发江门市202</w:t>
      </w:r>
      <w:r>
        <w:rPr>
          <w:rFonts w:hint="eastAsia"/>
          <w:color w:val="auto"/>
          <w:lang w:val="en-US" w:eastAsia="zh-CN"/>
        </w:rPr>
        <w:t>6</w:t>
      </w:r>
      <w:r>
        <w:rPr>
          <w:rFonts w:hint="eastAsia"/>
          <w:color w:val="auto"/>
          <w:lang w:eastAsia="zh-CN"/>
        </w:rPr>
        <w:t>年细颗粒物和臭氧污染协同防控工作方案的通知</w:t>
      </w:r>
      <w:r>
        <w:rPr>
          <w:rFonts w:hint="eastAsia"/>
          <w:color w:val="auto"/>
          <w:lang w:val="en-US" w:eastAsia="zh-CN"/>
        </w:rPr>
        <w:t>》（</w:t>
      </w:r>
      <w:r>
        <w:rPr>
          <w:rFonts w:hint="eastAsia"/>
          <w:color w:val="auto"/>
          <w:lang w:eastAsia="zh-CN"/>
        </w:rPr>
        <w:t>江环〔202</w:t>
      </w:r>
      <w:r>
        <w:rPr>
          <w:rFonts w:hint="eastAsia"/>
          <w:color w:val="auto"/>
          <w:lang w:val="en-US" w:eastAsia="zh-CN"/>
        </w:rPr>
        <w:t>6</w:t>
      </w:r>
      <w:r>
        <w:rPr>
          <w:rFonts w:hint="eastAsia"/>
          <w:color w:val="auto"/>
          <w:lang w:eastAsia="zh-CN"/>
        </w:rPr>
        <w:t>〕</w:t>
      </w:r>
      <w:r>
        <w:rPr>
          <w:rFonts w:hint="eastAsia"/>
          <w:color w:val="auto"/>
          <w:lang w:val="en-US" w:eastAsia="zh-CN"/>
        </w:rPr>
        <w:t>21</w:t>
      </w:r>
      <w:r>
        <w:rPr>
          <w:rFonts w:hint="eastAsia"/>
          <w:color w:val="auto"/>
          <w:lang w:eastAsia="zh-CN"/>
        </w:rPr>
        <w:t>号）</w:t>
      </w:r>
      <w:r>
        <w:rPr>
          <w:rFonts w:hint="eastAsia"/>
          <w:color w:val="auto"/>
          <w:lang w:val="en-US" w:eastAsia="zh-CN"/>
        </w:rPr>
        <w:t>，蜂窝</w:t>
      </w:r>
      <w:r>
        <w:rPr>
          <w:color w:val="auto"/>
        </w:rPr>
        <w:t>状活性炭箱气体流速宜低于</w:t>
      </w:r>
      <w:r>
        <w:rPr>
          <w:rFonts w:hint="eastAsia"/>
          <w:color w:val="auto"/>
          <w:lang w:val="en-US" w:eastAsia="zh-CN"/>
        </w:rPr>
        <w:t>1.2</w:t>
      </w:r>
      <w:r>
        <w:rPr>
          <w:color w:val="auto"/>
        </w:rPr>
        <w:t>m/s</w:t>
      </w:r>
      <w:r>
        <w:rPr>
          <w:rFonts w:hint="eastAsia"/>
          <w:color w:val="auto"/>
          <w:lang w:eastAsia="zh-CN"/>
        </w:rPr>
        <w:t>，</w:t>
      </w:r>
      <w:r>
        <w:rPr>
          <w:color w:val="auto"/>
        </w:rPr>
        <w:t>废气停留时间不低于0.5s；</w:t>
      </w:r>
      <w:r>
        <w:rPr>
          <w:rFonts w:hint="eastAsia"/>
          <w:color w:val="auto"/>
          <w:lang w:val="en-US" w:eastAsia="zh-CN"/>
        </w:rPr>
        <w:t>蜂窝</w:t>
      </w:r>
      <w:r>
        <w:rPr>
          <w:color w:val="auto"/>
        </w:rPr>
        <w:t>状</w:t>
      </w:r>
      <w:r>
        <w:rPr>
          <w:rFonts w:hint="eastAsia"/>
          <w:color w:val="auto"/>
          <w:lang w:val="en-US" w:eastAsia="zh-CN"/>
        </w:rPr>
        <w:t>活性炭</w:t>
      </w:r>
      <w:r>
        <w:rPr>
          <w:color w:val="auto"/>
        </w:rPr>
        <w:t>装填厚度不宜低于</w:t>
      </w:r>
      <w:r>
        <w:rPr>
          <w:rFonts w:hint="eastAsia"/>
          <w:color w:val="auto"/>
          <w:lang w:val="en-US" w:eastAsia="zh-CN"/>
        </w:rPr>
        <w:t>6</w:t>
      </w:r>
      <w:r>
        <w:rPr>
          <w:color w:val="auto"/>
        </w:rPr>
        <w:t>00mm</w:t>
      </w:r>
      <w:r>
        <w:rPr>
          <w:rFonts w:hint="eastAsia"/>
          <w:color w:val="auto"/>
          <w:lang w:eastAsia="zh-CN"/>
        </w:rPr>
        <w:t>，</w:t>
      </w:r>
      <w:r>
        <w:rPr>
          <w:rFonts w:hint="eastAsia"/>
          <w:color w:val="auto"/>
          <w:lang w:val="en-US" w:eastAsia="zh-CN"/>
        </w:rPr>
        <w:t>装碳重量见下表 ：</w:t>
      </w:r>
    </w:p>
    <w:p w14:paraId="7B39A871">
      <w:pPr>
        <w:pStyle w:val="62"/>
        <w:numPr>
          <w:ilvl w:val="0"/>
          <w:numId w:val="51"/>
        </w:numPr>
        <w:bidi w:val="0"/>
        <w:ind w:left="0" w:leftChars="0" w:firstLine="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装碳量计算一览表</w:t>
      </w:r>
    </w:p>
    <w:tbl>
      <w:tblPr>
        <w:tblStyle w:val="38"/>
        <w:tblW w:w="4998"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642"/>
        <w:gridCol w:w="4642"/>
      </w:tblGrid>
      <w:tr w14:paraId="2B1BBBA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500" w:type="pct"/>
            <w:tcBorders>
              <w:top w:val="single" w:color="000000" w:sz="12" w:space="0"/>
              <w:left w:val="nil"/>
              <w:tl2br w:val="nil"/>
            </w:tcBorders>
            <w:shd w:val="clear" w:color="auto" w:fill="FFFFFF"/>
            <w:noWrap/>
            <w:vAlign w:val="center"/>
          </w:tcPr>
          <w:p w14:paraId="2665EABB">
            <w:pPr>
              <w:pStyle w:val="59"/>
              <w:bidi w:val="0"/>
            </w:pPr>
            <w:r>
              <w:rPr>
                <w:rFonts w:hint="eastAsia"/>
                <w:lang w:val="en-US" w:eastAsia="zh-CN"/>
              </w:rPr>
              <w:t>设计风量</w:t>
            </w:r>
            <w:r>
              <w:rPr>
                <w:rFonts w:hint="default"/>
                <w:lang w:val="en-US" w:eastAsia="zh-CN"/>
              </w:rPr>
              <w:t>m</w:t>
            </w:r>
            <w:r>
              <w:rPr>
                <w:vertAlign w:val="superscript"/>
                <w:lang w:val="en-US" w:eastAsia="zh-CN"/>
              </w:rPr>
              <w:t>3</w:t>
            </w:r>
            <w:r>
              <w:rPr>
                <w:rFonts w:hint="default"/>
                <w:lang w:val="en-US" w:eastAsia="zh-CN"/>
              </w:rPr>
              <w:t>/h</w:t>
            </w:r>
          </w:p>
        </w:tc>
        <w:tc>
          <w:tcPr>
            <w:tcW w:w="2500" w:type="pct"/>
            <w:tcBorders>
              <w:top w:val="single" w:color="000000" w:sz="12" w:space="0"/>
              <w:right w:val="nil"/>
            </w:tcBorders>
            <w:shd w:val="clear" w:color="auto" w:fill="FFFFFF"/>
            <w:noWrap/>
            <w:vAlign w:val="center"/>
          </w:tcPr>
          <w:p w14:paraId="6AFE05F6">
            <w:pPr>
              <w:pStyle w:val="59"/>
              <w:bidi w:val="0"/>
              <w:rPr>
                <w:rFonts w:hint="eastAsia"/>
              </w:rPr>
            </w:pPr>
            <w:r>
              <w:rPr>
                <w:rFonts w:hint="eastAsia"/>
                <w:lang w:val="en-US" w:eastAsia="zh-CN"/>
              </w:rPr>
              <w:t>15000</w:t>
            </w:r>
          </w:p>
        </w:tc>
      </w:tr>
      <w:tr w14:paraId="76EE74C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629B0187">
            <w:pPr>
              <w:pStyle w:val="59"/>
              <w:bidi w:val="0"/>
              <w:rPr>
                <w:rFonts w:hint="eastAsia"/>
              </w:rPr>
            </w:pPr>
            <w:r>
              <w:rPr>
                <w:rFonts w:hint="eastAsia"/>
                <w:lang w:val="en-US" w:eastAsia="zh-CN"/>
              </w:rPr>
              <w:t>填充</w:t>
            </w:r>
          </w:p>
        </w:tc>
        <w:tc>
          <w:tcPr>
            <w:tcW w:w="2500" w:type="pct"/>
            <w:tcBorders>
              <w:right w:val="nil"/>
            </w:tcBorders>
            <w:shd w:val="clear" w:color="auto" w:fill="FFFFFF"/>
            <w:noWrap/>
            <w:vAlign w:val="center"/>
          </w:tcPr>
          <w:p w14:paraId="495455EB">
            <w:pPr>
              <w:pStyle w:val="59"/>
              <w:bidi w:val="0"/>
              <w:rPr>
                <w:rFonts w:hint="eastAsia"/>
              </w:rPr>
            </w:pPr>
            <w:r>
              <w:rPr>
                <w:rFonts w:hint="eastAsia"/>
                <w:lang w:val="en-US" w:eastAsia="zh-CN"/>
              </w:rPr>
              <w:t>蜂窝炭</w:t>
            </w:r>
          </w:p>
        </w:tc>
      </w:tr>
      <w:tr w14:paraId="00995BD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30CD226C">
            <w:pPr>
              <w:pStyle w:val="59"/>
              <w:bidi w:val="0"/>
              <w:rPr>
                <w:rFonts w:hint="eastAsia"/>
              </w:rPr>
            </w:pPr>
            <w:r>
              <w:rPr>
                <w:rFonts w:hint="eastAsia"/>
                <w:lang w:val="en-US" w:eastAsia="zh-CN"/>
              </w:rPr>
              <w:t>碘值</w:t>
            </w:r>
          </w:p>
        </w:tc>
        <w:tc>
          <w:tcPr>
            <w:tcW w:w="2500" w:type="pct"/>
            <w:tcBorders>
              <w:right w:val="nil"/>
            </w:tcBorders>
            <w:shd w:val="clear" w:color="auto" w:fill="FFFFFF"/>
            <w:noWrap/>
            <w:vAlign w:val="center"/>
          </w:tcPr>
          <w:p w14:paraId="5CA5F84B">
            <w:pPr>
              <w:pStyle w:val="59"/>
              <w:bidi w:val="0"/>
              <w:rPr>
                <w:rFonts w:hint="eastAsia"/>
              </w:rPr>
            </w:pPr>
            <w:r>
              <w:rPr>
                <w:rFonts w:hint="eastAsia"/>
                <w:lang w:val="en-US" w:eastAsia="zh-CN"/>
              </w:rPr>
              <w:t>650</w:t>
            </w:r>
          </w:p>
        </w:tc>
      </w:tr>
      <w:tr w14:paraId="030AAA1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4E0B2114">
            <w:pPr>
              <w:pStyle w:val="59"/>
              <w:bidi w:val="0"/>
              <w:rPr>
                <w:rFonts w:hint="eastAsia"/>
              </w:rPr>
            </w:pPr>
            <w:r>
              <w:rPr>
                <w:rFonts w:hint="eastAsia"/>
                <w:lang w:val="en-US" w:eastAsia="zh-CN"/>
              </w:rPr>
              <w:t>活性炭箱气体流速</w:t>
            </w:r>
            <w:r>
              <w:rPr>
                <w:rFonts w:hint="default"/>
                <w:lang w:val="en-US" w:eastAsia="zh-CN"/>
              </w:rPr>
              <w:t>m/s</w:t>
            </w:r>
          </w:p>
        </w:tc>
        <w:tc>
          <w:tcPr>
            <w:tcW w:w="2500" w:type="pct"/>
            <w:tcBorders>
              <w:right w:val="nil"/>
            </w:tcBorders>
            <w:shd w:val="clear" w:color="auto" w:fill="FFFFFF"/>
            <w:noWrap/>
            <w:vAlign w:val="center"/>
          </w:tcPr>
          <w:p w14:paraId="05CFE897">
            <w:pPr>
              <w:pStyle w:val="59"/>
              <w:bidi w:val="0"/>
              <w:rPr>
                <w:rFonts w:hint="eastAsia"/>
              </w:rPr>
            </w:pPr>
            <w:r>
              <w:rPr>
                <w:rFonts w:hint="eastAsia"/>
                <w:lang w:val="en-US" w:eastAsia="zh-CN"/>
              </w:rPr>
              <w:t>1.2</w:t>
            </w:r>
          </w:p>
        </w:tc>
      </w:tr>
      <w:tr w14:paraId="6400D44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5C7A2036">
            <w:pPr>
              <w:pStyle w:val="59"/>
              <w:bidi w:val="0"/>
              <w:rPr>
                <w:rFonts w:hint="eastAsia"/>
              </w:rPr>
            </w:pPr>
            <w:r>
              <w:rPr>
                <w:rFonts w:hint="eastAsia"/>
                <w:lang w:val="en-US" w:eastAsia="zh-CN"/>
              </w:rPr>
              <w:t>活性炭</w:t>
            </w:r>
            <w:r>
              <w:rPr>
                <w:lang w:val="en-US" w:eastAsia="zh-CN"/>
              </w:rPr>
              <w:t>装填厚度</w:t>
            </w:r>
            <w:r>
              <w:rPr>
                <w:rFonts w:hint="default"/>
                <w:lang w:val="en-US" w:eastAsia="zh-CN"/>
              </w:rPr>
              <w:t>mm</w:t>
            </w:r>
          </w:p>
        </w:tc>
        <w:tc>
          <w:tcPr>
            <w:tcW w:w="2500" w:type="pct"/>
            <w:tcBorders>
              <w:right w:val="nil"/>
            </w:tcBorders>
            <w:shd w:val="clear" w:color="auto" w:fill="FFFFFF"/>
            <w:noWrap/>
            <w:vAlign w:val="center"/>
          </w:tcPr>
          <w:p w14:paraId="0FECC977">
            <w:pPr>
              <w:pStyle w:val="59"/>
              <w:bidi w:val="0"/>
              <w:rPr>
                <w:rFonts w:hint="eastAsia"/>
              </w:rPr>
            </w:pPr>
            <w:r>
              <w:rPr>
                <w:rFonts w:hint="eastAsia"/>
                <w:lang w:val="en-US" w:eastAsia="zh-CN"/>
              </w:rPr>
              <w:t>600</w:t>
            </w:r>
          </w:p>
        </w:tc>
      </w:tr>
      <w:tr w14:paraId="3E9D8CA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54A434DD">
            <w:pPr>
              <w:pStyle w:val="59"/>
              <w:bidi w:val="0"/>
              <w:rPr>
                <w:rFonts w:hint="eastAsia"/>
              </w:rPr>
            </w:pPr>
            <w:r>
              <w:rPr>
                <w:rFonts w:hint="eastAsia"/>
                <w:lang w:val="en-US" w:eastAsia="zh-CN"/>
              </w:rPr>
              <w:t>过炭面积（吸附截面积）m</w:t>
            </w:r>
            <w:r>
              <w:rPr>
                <w:rFonts w:hint="eastAsia"/>
                <w:vertAlign w:val="superscript"/>
                <w:lang w:val="en-US" w:eastAsia="zh-CN"/>
              </w:rPr>
              <w:t>2</w:t>
            </w:r>
          </w:p>
        </w:tc>
        <w:tc>
          <w:tcPr>
            <w:tcW w:w="2500" w:type="pct"/>
            <w:tcBorders>
              <w:right w:val="nil"/>
            </w:tcBorders>
            <w:shd w:val="clear" w:color="auto" w:fill="FFFFFF"/>
            <w:noWrap/>
            <w:vAlign w:val="center"/>
          </w:tcPr>
          <w:p w14:paraId="63FE585C">
            <w:pPr>
              <w:pStyle w:val="59"/>
              <w:bidi w:val="0"/>
              <w:rPr>
                <w:rFonts w:hint="eastAsia"/>
              </w:rPr>
            </w:pPr>
            <w:r>
              <w:rPr>
                <w:rFonts w:hint="eastAsia"/>
                <w:lang w:val="en-US" w:eastAsia="zh-CN"/>
              </w:rPr>
              <w:t xml:space="preserve">3.47 </w:t>
            </w:r>
          </w:p>
        </w:tc>
      </w:tr>
      <w:tr w14:paraId="3BBF0AB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3C738D66">
            <w:pPr>
              <w:pStyle w:val="59"/>
              <w:bidi w:val="0"/>
              <w:rPr>
                <w:rFonts w:hint="eastAsia"/>
              </w:rPr>
            </w:pPr>
            <w:r>
              <w:rPr>
                <w:rFonts w:hint="eastAsia"/>
                <w:lang w:val="en-US" w:eastAsia="zh-CN"/>
              </w:rPr>
              <w:t>理论装碳量m</w:t>
            </w:r>
            <w:r>
              <w:rPr>
                <w:rFonts w:hint="eastAsia"/>
                <w:vertAlign w:val="superscript"/>
                <w:lang w:val="en-US" w:eastAsia="zh-CN"/>
              </w:rPr>
              <w:t>3</w:t>
            </w:r>
          </w:p>
        </w:tc>
        <w:tc>
          <w:tcPr>
            <w:tcW w:w="2500" w:type="pct"/>
            <w:tcBorders>
              <w:right w:val="nil"/>
            </w:tcBorders>
            <w:shd w:val="clear" w:color="auto" w:fill="FFFFFF"/>
            <w:noWrap/>
            <w:vAlign w:val="center"/>
          </w:tcPr>
          <w:p w14:paraId="68AE1F3A">
            <w:pPr>
              <w:pStyle w:val="59"/>
              <w:bidi w:val="0"/>
              <w:rPr>
                <w:rFonts w:hint="eastAsia"/>
              </w:rPr>
            </w:pPr>
            <w:r>
              <w:rPr>
                <w:rFonts w:hint="eastAsia"/>
                <w:lang w:val="en-US" w:eastAsia="zh-CN"/>
              </w:rPr>
              <w:t xml:space="preserve">2.08 </w:t>
            </w:r>
          </w:p>
        </w:tc>
      </w:tr>
      <w:tr w14:paraId="2CEAC14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4D3C4905">
            <w:pPr>
              <w:pStyle w:val="59"/>
              <w:bidi w:val="0"/>
              <w:rPr>
                <w:rFonts w:hint="eastAsia"/>
              </w:rPr>
            </w:pPr>
            <w:r>
              <w:rPr>
                <w:rFonts w:hint="eastAsia"/>
                <w:lang w:val="en-US" w:eastAsia="zh-CN"/>
              </w:rPr>
              <w:t>理论抽屉数量</w:t>
            </w:r>
          </w:p>
        </w:tc>
        <w:tc>
          <w:tcPr>
            <w:tcW w:w="2500" w:type="pct"/>
            <w:tcBorders>
              <w:right w:val="nil"/>
            </w:tcBorders>
            <w:shd w:val="clear" w:color="auto" w:fill="FFFFFF"/>
            <w:noWrap/>
            <w:vAlign w:val="center"/>
          </w:tcPr>
          <w:p w14:paraId="3F11334D">
            <w:pPr>
              <w:pStyle w:val="59"/>
              <w:bidi w:val="0"/>
              <w:rPr>
                <w:rFonts w:hint="eastAsia"/>
              </w:rPr>
            </w:pPr>
            <w:r>
              <w:rPr>
                <w:rFonts w:hint="eastAsia"/>
                <w:lang w:val="en-US" w:eastAsia="zh-CN"/>
              </w:rPr>
              <w:t xml:space="preserve">35 </w:t>
            </w:r>
          </w:p>
        </w:tc>
      </w:tr>
      <w:tr w14:paraId="45BDAF4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0BE6DD85">
            <w:pPr>
              <w:pStyle w:val="59"/>
              <w:bidi w:val="0"/>
              <w:rPr>
                <w:rFonts w:hint="eastAsia"/>
              </w:rPr>
            </w:pPr>
            <w:r>
              <w:rPr>
                <w:rFonts w:hint="eastAsia"/>
                <w:lang w:val="en-US" w:eastAsia="zh-CN"/>
              </w:rPr>
              <w:t>实际抽屉数量</w:t>
            </w:r>
          </w:p>
        </w:tc>
        <w:tc>
          <w:tcPr>
            <w:tcW w:w="2500" w:type="pct"/>
            <w:tcBorders>
              <w:right w:val="nil"/>
            </w:tcBorders>
            <w:shd w:val="clear" w:color="auto" w:fill="FFFFFF"/>
            <w:noWrap/>
            <w:vAlign w:val="center"/>
          </w:tcPr>
          <w:p w14:paraId="786EBF86">
            <w:pPr>
              <w:pStyle w:val="59"/>
              <w:bidi w:val="0"/>
              <w:rPr>
                <w:rFonts w:hint="eastAsia"/>
              </w:rPr>
            </w:pPr>
            <w:r>
              <w:rPr>
                <w:rFonts w:hint="eastAsia"/>
                <w:lang w:val="en-US" w:eastAsia="zh-CN"/>
              </w:rPr>
              <w:t>36</w:t>
            </w:r>
          </w:p>
        </w:tc>
      </w:tr>
      <w:tr w14:paraId="33BD0E4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559129E2">
            <w:pPr>
              <w:pStyle w:val="59"/>
              <w:bidi w:val="0"/>
              <w:rPr>
                <w:rFonts w:hint="default"/>
                <w:lang w:val="en-US"/>
              </w:rPr>
            </w:pPr>
            <w:r>
              <w:rPr>
                <w:rFonts w:hint="eastAsia"/>
                <w:lang w:val="en-US" w:eastAsia="zh-CN"/>
              </w:rPr>
              <w:t>抽屉尺寸mm</w:t>
            </w:r>
          </w:p>
        </w:tc>
        <w:tc>
          <w:tcPr>
            <w:tcW w:w="2500" w:type="pct"/>
            <w:tcBorders>
              <w:right w:val="nil"/>
            </w:tcBorders>
            <w:shd w:val="clear" w:color="auto" w:fill="FFFFFF"/>
            <w:noWrap/>
            <w:vAlign w:val="center"/>
          </w:tcPr>
          <w:p w14:paraId="20FE2588">
            <w:pPr>
              <w:pStyle w:val="59"/>
              <w:bidi w:val="0"/>
              <w:rPr>
                <w:rFonts w:hint="eastAsia"/>
              </w:rPr>
            </w:pPr>
            <w:r>
              <w:rPr>
                <w:rFonts w:hint="eastAsia"/>
                <w:lang w:val="en-US" w:eastAsia="zh-CN"/>
              </w:rPr>
              <w:t>500*600</w:t>
            </w:r>
          </w:p>
        </w:tc>
      </w:tr>
      <w:tr w14:paraId="1344E28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78CF791A">
            <w:pPr>
              <w:pStyle w:val="59"/>
              <w:bidi w:val="0"/>
              <w:rPr>
                <w:rFonts w:hint="eastAsia"/>
              </w:rPr>
            </w:pPr>
            <w:r>
              <w:rPr>
                <w:rFonts w:hint="eastAsia"/>
                <w:lang w:val="en-US" w:eastAsia="zh-CN"/>
              </w:rPr>
              <w:t>本次设计装碳量</w:t>
            </w:r>
            <w:r>
              <w:rPr>
                <w:rFonts w:hint="default"/>
                <w:lang w:val="en-US" w:eastAsia="zh-CN"/>
              </w:rPr>
              <w:t>m</w:t>
            </w:r>
            <w:r>
              <w:rPr>
                <w:rFonts w:hint="default"/>
                <w:vertAlign w:val="superscript"/>
                <w:lang w:val="en-US" w:eastAsia="zh-CN"/>
              </w:rPr>
              <w:t>3</w:t>
            </w:r>
          </w:p>
        </w:tc>
        <w:tc>
          <w:tcPr>
            <w:tcW w:w="2500" w:type="pct"/>
            <w:tcBorders>
              <w:right w:val="nil"/>
            </w:tcBorders>
            <w:shd w:val="clear" w:color="auto" w:fill="FFFFFF"/>
            <w:noWrap/>
            <w:vAlign w:val="center"/>
          </w:tcPr>
          <w:p w14:paraId="11D0E11E">
            <w:pPr>
              <w:pStyle w:val="59"/>
              <w:bidi w:val="0"/>
              <w:rPr>
                <w:rFonts w:hint="eastAsia"/>
              </w:rPr>
            </w:pPr>
            <w:r>
              <w:rPr>
                <w:rFonts w:hint="eastAsia"/>
                <w:lang w:val="en-US" w:eastAsia="zh-CN"/>
              </w:rPr>
              <w:t>2.16</w:t>
            </w:r>
          </w:p>
        </w:tc>
      </w:tr>
      <w:tr w14:paraId="4C1138E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tcBorders>
            <w:shd w:val="clear" w:color="auto" w:fill="FFFFFF"/>
            <w:noWrap/>
            <w:vAlign w:val="center"/>
          </w:tcPr>
          <w:p w14:paraId="7A41BF2D">
            <w:pPr>
              <w:pStyle w:val="59"/>
              <w:bidi w:val="0"/>
              <w:rPr>
                <w:rFonts w:hint="eastAsia"/>
              </w:rPr>
            </w:pPr>
            <w:r>
              <w:rPr>
                <w:rFonts w:hint="eastAsia"/>
                <w:lang w:val="en-US" w:eastAsia="zh-CN"/>
              </w:rPr>
              <w:t>活性炭</w:t>
            </w:r>
            <w:r>
              <w:rPr>
                <w:lang w:val="en-US" w:eastAsia="zh-CN"/>
              </w:rPr>
              <w:t>密度</w:t>
            </w:r>
            <w:r>
              <w:rPr>
                <w:rFonts w:hint="default"/>
                <w:lang w:val="en-US" w:eastAsia="zh-CN"/>
              </w:rPr>
              <w:t>kg/m³</w:t>
            </w:r>
          </w:p>
        </w:tc>
        <w:tc>
          <w:tcPr>
            <w:tcW w:w="2500" w:type="pct"/>
            <w:tcBorders>
              <w:right w:val="nil"/>
            </w:tcBorders>
            <w:shd w:val="clear" w:color="auto" w:fill="FFFFFF"/>
            <w:noWrap/>
            <w:vAlign w:val="center"/>
          </w:tcPr>
          <w:p w14:paraId="7F8129B5">
            <w:pPr>
              <w:pStyle w:val="59"/>
              <w:bidi w:val="0"/>
              <w:rPr>
                <w:rFonts w:hint="eastAsia"/>
              </w:rPr>
            </w:pPr>
            <w:r>
              <w:rPr>
                <w:rFonts w:hint="eastAsia"/>
                <w:lang w:val="en-US" w:eastAsia="zh-CN"/>
              </w:rPr>
              <w:t>350</w:t>
            </w:r>
          </w:p>
        </w:tc>
      </w:tr>
      <w:tr w14:paraId="55CA76B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tcBorders>
              <w:left w:val="nil"/>
              <w:bottom w:val="single" w:color="000000" w:sz="12" w:space="0"/>
            </w:tcBorders>
            <w:shd w:val="clear" w:color="auto" w:fill="FFFFFF"/>
            <w:noWrap/>
            <w:vAlign w:val="center"/>
          </w:tcPr>
          <w:p w14:paraId="3C97FFD9">
            <w:pPr>
              <w:pStyle w:val="59"/>
              <w:bidi w:val="0"/>
              <w:rPr>
                <w:rFonts w:hint="eastAsia"/>
              </w:rPr>
            </w:pPr>
            <w:r>
              <w:rPr>
                <w:rFonts w:hint="eastAsia"/>
                <w:lang w:val="en-US" w:eastAsia="zh-CN"/>
              </w:rPr>
              <w:t>装碳量t</w:t>
            </w:r>
          </w:p>
        </w:tc>
        <w:tc>
          <w:tcPr>
            <w:tcW w:w="2500" w:type="pct"/>
            <w:tcBorders>
              <w:bottom w:val="single" w:color="000000" w:sz="12" w:space="0"/>
              <w:right w:val="nil"/>
            </w:tcBorders>
            <w:shd w:val="clear" w:color="auto" w:fill="FFFFFF"/>
            <w:noWrap/>
            <w:vAlign w:val="center"/>
          </w:tcPr>
          <w:p w14:paraId="3C2A2444">
            <w:pPr>
              <w:pStyle w:val="59"/>
              <w:bidi w:val="0"/>
              <w:rPr>
                <w:rFonts w:hint="eastAsia"/>
              </w:rPr>
            </w:pPr>
            <w:r>
              <w:rPr>
                <w:rFonts w:hint="eastAsia"/>
                <w:lang w:val="en-US" w:eastAsia="zh-CN"/>
              </w:rPr>
              <w:t>0.756</w:t>
            </w:r>
          </w:p>
        </w:tc>
      </w:tr>
    </w:tbl>
    <w:p w14:paraId="5FD46A04">
      <w:pPr>
        <w:bidi w:val="0"/>
        <w:rPr>
          <w:rFonts w:hint="eastAsia" w:eastAsia="宋体"/>
          <w:b w:val="0"/>
          <w:bCs w:val="0"/>
          <w:color w:val="auto"/>
          <w:lang w:val="en-US" w:eastAsia="zh-CN"/>
        </w:rPr>
      </w:pPr>
      <w:r>
        <w:rPr>
          <w:rFonts w:hint="eastAsia"/>
          <w:b w:val="0"/>
          <w:bCs w:val="0"/>
          <w:color w:val="auto"/>
        </w:rPr>
        <w:t>根据《广东省生态环境厅关于印发工业源挥发性有机物和氮氧化物减排量核算方法的通知》（粤环函〔2023〕538号），吸附比例建议取值15%</w:t>
      </w:r>
      <w:r>
        <w:rPr>
          <w:rFonts w:hint="eastAsia"/>
          <w:b w:val="0"/>
          <w:bCs w:val="0"/>
          <w:color w:val="auto"/>
          <w:lang w:eastAsia="zh-CN"/>
        </w:rPr>
        <w:t>，</w:t>
      </w:r>
      <w:r>
        <w:rPr>
          <w:rFonts w:hint="eastAsia"/>
          <w:b w:val="0"/>
          <w:bCs w:val="0"/>
          <w:color w:val="auto"/>
        </w:rPr>
        <w:t>本项目对挥发性有机物的设计处理效率取80%，因此活性炭削减VOCs</w:t>
      </w:r>
      <w:r>
        <w:rPr>
          <w:rFonts w:hint="eastAsia"/>
          <w:b w:val="0"/>
          <w:bCs w:val="0"/>
          <w:color w:val="auto"/>
          <w:lang w:val="en-US" w:eastAsia="zh-CN"/>
        </w:rPr>
        <w:t>量</w:t>
      </w:r>
      <w:r>
        <w:rPr>
          <w:rFonts w:hint="eastAsia"/>
          <w:b w:val="0"/>
          <w:bCs w:val="0"/>
          <w:color w:val="auto"/>
        </w:rPr>
        <w:t>为</w:t>
      </w:r>
      <w:r>
        <w:rPr>
          <w:rFonts w:hint="eastAsia"/>
          <w:b w:val="0"/>
          <w:bCs w:val="0"/>
          <w:color w:val="auto"/>
          <w:lang w:val="en-US" w:eastAsia="zh-CN"/>
        </w:rPr>
        <w:t>0919t/a</w:t>
      </w:r>
      <w:r>
        <w:rPr>
          <w:rFonts w:hint="eastAsia"/>
          <w:b w:val="0"/>
          <w:bCs w:val="0"/>
          <w:color w:val="auto"/>
        </w:rPr>
        <w:t>。</w:t>
      </w:r>
      <w:r>
        <w:rPr>
          <w:rFonts w:hint="eastAsia"/>
          <w:b w:val="0"/>
          <w:bCs w:val="0"/>
          <w:color w:val="auto"/>
          <w:lang w:val="en-US" w:eastAsia="zh-CN"/>
        </w:rPr>
        <w:t>理论</w:t>
      </w:r>
      <w:r>
        <w:rPr>
          <w:rFonts w:hint="eastAsia"/>
          <w:b w:val="0"/>
          <w:bCs w:val="0"/>
          <w:color w:val="auto"/>
        </w:rPr>
        <w:t>年更换次数</w:t>
      </w:r>
      <w:r>
        <w:rPr>
          <w:rFonts w:hint="eastAsia"/>
          <w:b w:val="0"/>
          <w:bCs w:val="0"/>
          <w:color w:val="auto"/>
          <w:lang w:val="en-US" w:eastAsia="zh-CN"/>
        </w:rPr>
        <w:t>=</w:t>
      </w:r>
      <w:r>
        <w:rPr>
          <w:rFonts w:hint="eastAsia"/>
          <w:b w:val="0"/>
          <w:bCs w:val="0"/>
          <w:color w:val="auto"/>
        </w:rPr>
        <w:t>活性炭削减VOCs</w:t>
      </w:r>
      <w:r>
        <w:rPr>
          <w:rFonts w:hint="eastAsia"/>
          <w:b w:val="0"/>
          <w:bCs w:val="0"/>
          <w:color w:val="auto"/>
          <w:lang w:val="en-US" w:eastAsia="zh-CN"/>
        </w:rPr>
        <w:t>量/</w:t>
      </w:r>
      <w:r>
        <w:rPr>
          <w:rFonts w:hint="eastAsia"/>
          <w:b w:val="0"/>
          <w:bCs w:val="0"/>
          <w:color w:val="auto"/>
        </w:rPr>
        <w:t>活性炭用量</w:t>
      </w:r>
      <w:r>
        <w:rPr>
          <w:rFonts w:hint="eastAsia"/>
          <w:b w:val="0"/>
          <w:bCs w:val="0"/>
          <w:color w:val="auto"/>
          <w:lang w:val="en-US" w:eastAsia="zh-CN"/>
        </w:rPr>
        <w:t>/</w:t>
      </w:r>
      <w:r>
        <w:rPr>
          <w:rFonts w:hint="eastAsia"/>
          <w:b w:val="0"/>
          <w:bCs w:val="0"/>
          <w:color w:val="auto"/>
        </w:rPr>
        <w:t>动态吸附量</w:t>
      </w:r>
      <w:r>
        <w:rPr>
          <w:rFonts w:hint="eastAsia"/>
          <w:b w:val="0"/>
          <w:bCs w:val="0"/>
          <w:color w:val="auto"/>
          <w:lang w:eastAsia="zh-CN"/>
        </w:rPr>
        <w:t>：</w:t>
      </w:r>
    </w:p>
    <w:p w14:paraId="32D56D24">
      <w:pPr>
        <w:pStyle w:val="62"/>
        <w:numPr>
          <w:ilvl w:val="0"/>
          <w:numId w:val="51"/>
        </w:numPr>
        <w:bidi w:val="0"/>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活性炭更换周期表</w:t>
      </w:r>
    </w:p>
    <w:tbl>
      <w:tblPr>
        <w:tblStyle w:val="38"/>
        <w:tblW w:w="8876" w:type="dxa"/>
        <w:tblInd w:w="102" w:type="dxa"/>
        <w:tblLayout w:type="fixed"/>
        <w:tblCellMar>
          <w:top w:w="0" w:type="dxa"/>
          <w:left w:w="108" w:type="dxa"/>
          <w:bottom w:w="0" w:type="dxa"/>
          <w:right w:w="108" w:type="dxa"/>
        </w:tblCellMar>
      </w:tblPr>
      <w:tblGrid>
        <w:gridCol w:w="986"/>
        <w:gridCol w:w="986"/>
        <w:gridCol w:w="986"/>
        <w:gridCol w:w="986"/>
        <w:gridCol w:w="986"/>
        <w:gridCol w:w="986"/>
        <w:gridCol w:w="986"/>
        <w:gridCol w:w="986"/>
        <w:gridCol w:w="988"/>
      </w:tblGrid>
      <w:tr w14:paraId="0E043C54">
        <w:tblPrEx>
          <w:tblCellMar>
            <w:top w:w="0" w:type="dxa"/>
            <w:left w:w="108" w:type="dxa"/>
            <w:bottom w:w="0" w:type="dxa"/>
            <w:right w:w="108" w:type="dxa"/>
          </w:tblCellMar>
        </w:tblPrEx>
        <w:trPr>
          <w:trHeight w:val="397" w:hRule="atLeast"/>
        </w:trPr>
        <w:tc>
          <w:tcPr>
            <w:tcW w:w="986" w:type="dxa"/>
            <w:tcBorders>
              <w:top w:val="single" w:color="auto" w:sz="12" w:space="0"/>
              <w:left w:val="nil"/>
              <w:bottom w:val="single" w:color="auto" w:sz="4" w:space="0"/>
              <w:right w:val="single" w:color="auto" w:sz="4" w:space="0"/>
            </w:tcBorders>
            <w:noWrap/>
            <w:vAlign w:val="center"/>
          </w:tcPr>
          <w:p w14:paraId="0EBE475B">
            <w:pPr>
              <w:pStyle w:val="59"/>
              <w:bidi w:val="0"/>
            </w:pPr>
            <w:r>
              <w:rPr>
                <w:rFonts w:hint="eastAsia"/>
              </w:rPr>
              <w:t>风量（</w:t>
            </w:r>
            <w:r>
              <w:t>Q</w:t>
            </w:r>
            <w:r>
              <w:rPr>
                <w:rFonts w:hint="eastAsia"/>
              </w:rPr>
              <w:t>）Nm</w:t>
            </w:r>
            <w:r>
              <w:rPr>
                <w:rFonts w:hint="eastAsia"/>
                <w:vertAlign w:val="superscript"/>
              </w:rPr>
              <w:t>3</w:t>
            </w:r>
            <w:r>
              <w:rPr>
                <w:rFonts w:hint="eastAsia"/>
              </w:rPr>
              <w:t>/h</w:t>
            </w:r>
          </w:p>
        </w:tc>
        <w:tc>
          <w:tcPr>
            <w:tcW w:w="986" w:type="dxa"/>
            <w:tcBorders>
              <w:top w:val="single" w:color="auto" w:sz="12" w:space="0"/>
              <w:left w:val="single" w:color="auto" w:sz="4" w:space="0"/>
              <w:bottom w:val="single" w:color="auto" w:sz="4" w:space="0"/>
              <w:right w:val="single" w:color="auto" w:sz="4" w:space="0"/>
            </w:tcBorders>
            <w:noWrap w:val="0"/>
            <w:vAlign w:val="center"/>
          </w:tcPr>
          <w:p w14:paraId="4DBE1ADF">
            <w:pPr>
              <w:pStyle w:val="59"/>
              <w:bidi w:val="0"/>
              <w:rPr>
                <w:rFonts w:hint="eastAsia"/>
              </w:rPr>
            </w:pPr>
            <w:r>
              <w:rPr>
                <w:rFonts w:hint="eastAsia"/>
              </w:rPr>
              <w:t>动态吸附量</w:t>
            </w:r>
          </w:p>
        </w:tc>
        <w:tc>
          <w:tcPr>
            <w:tcW w:w="986" w:type="dxa"/>
            <w:tcBorders>
              <w:top w:val="single" w:color="auto" w:sz="12" w:space="0"/>
              <w:left w:val="single" w:color="auto" w:sz="4" w:space="0"/>
              <w:bottom w:val="single" w:color="auto" w:sz="4" w:space="0"/>
              <w:right w:val="single" w:color="auto" w:sz="4" w:space="0"/>
            </w:tcBorders>
            <w:noWrap w:val="0"/>
            <w:vAlign w:val="center"/>
          </w:tcPr>
          <w:p w14:paraId="51B424B7">
            <w:pPr>
              <w:pStyle w:val="59"/>
              <w:bidi w:val="0"/>
            </w:pPr>
            <w:r>
              <w:rPr>
                <w:rFonts w:hint="eastAsia"/>
              </w:rPr>
              <w:t>活性炭削减VOCs</w:t>
            </w:r>
            <w:r>
              <w:rPr>
                <w:rFonts w:hint="eastAsia"/>
                <w:lang w:val="en-US" w:eastAsia="zh-CN"/>
              </w:rPr>
              <w:t>量</w:t>
            </w:r>
            <w:r>
              <w:rPr>
                <w:rFonts w:hint="eastAsia"/>
              </w:rPr>
              <w:t>（</w:t>
            </w:r>
            <w:r>
              <w:rPr>
                <w:rFonts w:hint="eastAsia"/>
                <w:lang w:val="en-US" w:eastAsia="zh-CN"/>
              </w:rPr>
              <w:t>t/a</w:t>
            </w:r>
            <w:r>
              <w:rPr>
                <w:rFonts w:hint="eastAsia"/>
              </w:rPr>
              <w:t>）</w:t>
            </w:r>
          </w:p>
        </w:tc>
        <w:tc>
          <w:tcPr>
            <w:tcW w:w="986" w:type="dxa"/>
            <w:tcBorders>
              <w:top w:val="single" w:color="auto" w:sz="12" w:space="0"/>
              <w:left w:val="single" w:color="auto" w:sz="4" w:space="0"/>
              <w:bottom w:val="single" w:color="auto" w:sz="4" w:space="0"/>
              <w:right w:val="single" w:color="auto" w:sz="4" w:space="0"/>
            </w:tcBorders>
            <w:noWrap w:val="0"/>
            <w:vAlign w:val="center"/>
          </w:tcPr>
          <w:p w14:paraId="46286DEB">
            <w:pPr>
              <w:pStyle w:val="59"/>
              <w:bidi w:val="0"/>
              <w:rPr>
                <w:rFonts w:hint="eastAsia"/>
              </w:rPr>
            </w:pPr>
            <w:r>
              <w:rPr>
                <w:rFonts w:hint="eastAsia"/>
              </w:rPr>
              <w:t>活性炭</w:t>
            </w:r>
            <w:r>
              <w:rPr>
                <w:rFonts w:hint="eastAsia"/>
                <w:lang w:val="en-US" w:eastAsia="zh-CN"/>
              </w:rPr>
              <w:t>填充</w:t>
            </w:r>
            <w:r>
              <w:rPr>
                <w:rFonts w:hint="eastAsia"/>
              </w:rPr>
              <w:t>量（</w:t>
            </w:r>
            <w:r>
              <w:rPr>
                <w:rFonts w:hint="eastAsia"/>
                <w:lang w:val="en-US" w:eastAsia="zh-CN"/>
              </w:rPr>
              <w:t>t</w:t>
            </w:r>
            <w:r>
              <w:rPr>
                <w:rFonts w:hint="eastAsia"/>
              </w:rPr>
              <w:t>）</w:t>
            </w:r>
          </w:p>
        </w:tc>
        <w:tc>
          <w:tcPr>
            <w:tcW w:w="986" w:type="dxa"/>
            <w:tcBorders>
              <w:top w:val="single" w:color="auto" w:sz="12" w:space="0"/>
              <w:left w:val="single" w:color="auto" w:sz="4" w:space="0"/>
              <w:bottom w:val="single" w:color="auto" w:sz="4" w:space="0"/>
              <w:right w:val="single" w:color="auto" w:sz="4" w:space="0"/>
            </w:tcBorders>
            <w:noWrap w:val="0"/>
            <w:vAlign w:val="center"/>
          </w:tcPr>
          <w:p w14:paraId="37B69DBA">
            <w:pPr>
              <w:pStyle w:val="59"/>
              <w:bidi w:val="0"/>
              <w:rPr>
                <w:rFonts w:hint="eastAsia"/>
              </w:rPr>
            </w:pPr>
            <w:r>
              <w:rPr>
                <w:rFonts w:hint="eastAsia"/>
              </w:rPr>
              <w:t>运行时间</w:t>
            </w:r>
            <w:r>
              <w:rPr>
                <w:rFonts w:hint="eastAsia"/>
              </w:rPr>
              <w:br w:type="textWrapping"/>
            </w:r>
            <w:r>
              <w:rPr>
                <w:rFonts w:hint="eastAsia"/>
              </w:rPr>
              <w:t>（h/d)</w:t>
            </w:r>
          </w:p>
        </w:tc>
        <w:tc>
          <w:tcPr>
            <w:tcW w:w="986" w:type="dxa"/>
            <w:tcBorders>
              <w:top w:val="single" w:color="auto" w:sz="12" w:space="0"/>
              <w:left w:val="single" w:color="auto" w:sz="4" w:space="0"/>
              <w:bottom w:val="single" w:color="auto" w:sz="4" w:space="0"/>
              <w:right w:val="nil"/>
            </w:tcBorders>
            <w:noWrap/>
            <w:vAlign w:val="center"/>
          </w:tcPr>
          <w:p w14:paraId="070640BD">
            <w:pPr>
              <w:pStyle w:val="59"/>
              <w:bidi w:val="0"/>
              <w:rPr>
                <w:rFonts w:hint="eastAsia"/>
              </w:rPr>
            </w:pPr>
            <w:r>
              <w:rPr>
                <w:rFonts w:hint="eastAsia"/>
              </w:rPr>
              <w:t>更换周期（天）</w:t>
            </w:r>
          </w:p>
        </w:tc>
        <w:tc>
          <w:tcPr>
            <w:tcW w:w="986" w:type="dxa"/>
            <w:tcBorders>
              <w:top w:val="single" w:color="auto" w:sz="12" w:space="0"/>
              <w:left w:val="single" w:color="auto" w:sz="4" w:space="0"/>
              <w:bottom w:val="single" w:color="auto" w:sz="4" w:space="0"/>
              <w:right w:val="nil"/>
            </w:tcBorders>
            <w:noWrap/>
            <w:vAlign w:val="center"/>
          </w:tcPr>
          <w:p w14:paraId="3C2E74C7">
            <w:pPr>
              <w:pStyle w:val="59"/>
              <w:bidi w:val="0"/>
              <w:rPr>
                <w:rFonts w:hint="eastAsia"/>
              </w:rPr>
            </w:pPr>
            <w:r>
              <w:rPr>
                <w:rFonts w:hint="eastAsia"/>
              </w:rPr>
              <w:t>年更换次数（次）</w:t>
            </w:r>
          </w:p>
        </w:tc>
        <w:tc>
          <w:tcPr>
            <w:tcW w:w="986" w:type="dxa"/>
            <w:tcBorders>
              <w:top w:val="single" w:color="auto" w:sz="12" w:space="0"/>
              <w:left w:val="single" w:color="auto" w:sz="4" w:space="0"/>
              <w:bottom w:val="single" w:color="auto" w:sz="4" w:space="0"/>
              <w:right w:val="nil"/>
            </w:tcBorders>
            <w:noWrap/>
            <w:vAlign w:val="center"/>
          </w:tcPr>
          <w:p w14:paraId="7EB7AF8B">
            <w:pPr>
              <w:pStyle w:val="59"/>
              <w:bidi w:val="0"/>
              <w:rPr>
                <w:rFonts w:hint="eastAsia"/>
              </w:rPr>
            </w:pPr>
            <w:r>
              <w:t>活性炭使用量</w:t>
            </w:r>
            <w:r>
              <w:rPr>
                <w:rFonts w:hint="eastAsia"/>
                <w:lang w:val="en-US" w:eastAsia="zh-CN"/>
              </w:rPr>
              <w:t>t/a</w:t>
            </w:r>
          </w:p>
        </w:tc>
        <w:tc>
          <w:tcPr>
            <w:tcW w:w="988" w:type="dxa"/>
            <w:tcBorders>
              <w:top w:val="single" w:color="auto" w:sz="12" w:space="0"/>
              <w:left w:val="single" w:color="auto" w:sz="4" w:space="0"/>
              <w:bottom w:val="single" w:color="auto" w:sz="4" w:space="0"/>
              <w:right w:val="nil"/>
            </w:tcBorders>
            <w:noWrap/>
            <w:vAlign w:val="center"/>
          </w:tcPr>
          <w:p w14:paraId="399FA34E">
            <w:pPr>
              <w:pStyle w:val="59"/>
              <w:bidi w:val="0"/>
              <w:rPr>
                <w:rFonts w:hint="default"/>
                <w:lang w:val="en-US" w:eastAsia="zh-CN"/>
              </w:rPr>
            </w:pPr>
            <w:r>
              <w:rPr>
                <w:rFonts w:hint="eastAsia"/>
              </w:rPr>
              <w:t>废饱和活性炭</w:t>
            </w:r>
            <w:r>
              <w:rPr>
                <w:rFonts w:hint="eastAsia"/>
                <w:lang w:val="en-US" w:eastAsia="zh-CN"/>
              </w:rPr>
              <w:t>产生量t/a</w:t>
            </w:r>
          </w:p>
        </w:tc>
      </w:tr>
      <w:tr w14:paraId="7DA4CE9F">
        <w:tblPrEx>
          <w:tblCellMar>
            <w:top w:w="0" w:type="dxa"/>
            <w:left w:w="108" w:type="dxa"/>
            <w:bottom w:w="0" w:type="dxa"/>
            <w:right w:w="108" w:type="dxa"/>
          </w:tblCellMar>
        </w:tblPrEx>
        <w:trPr>
          <w:trHeight w:val="397" w:hRule="atLeast"/>
        </w:trPr>
        <w:tc>
          <w:tcPr>
            <w:tcW w:w="986" w:type="dxa"/>
            <w:tcBorders>
              <w:top w:val="single" w:color="auto" w:sz="4" w:space="0"/>
              <w:left w:val="nil"/>
              <w:bottom w:val="single" w:color="auto" w:sz="12" w:space="0"/>
              <w:right w:val="single" w:color="auto" w:sz="4" w:space="0"/>
            </w:tcBorders>
            <w:noWrap/>
            <w:vAlign w:val="center"/>
          </w:tcPr>
          <w:p w14:paraId="032BF95D">
            <w:pPr>
              <w:pStyle w:val="59"/>
              <w:bidi w:val="0"/>
              <w:rPr>
                <w:rFonts w:hint="eastAsia"/>
              </w:rPr>
            </w:pPr>
            <w:r>
              <w:rPr>
                <w:rFonts w:hint="default"/>
                <w:lang w:val="en-US" w:eastAsia="zh-CN"/>
              </w:rPr>
              <w:t>15000</w:t>
            </w:r>
          </w:p>
        </w:tc>
        <w:tc>
          <w:tcPr>
            <w:tcW w:w="986" w:type="dxa"/>
            <w:tcBorders>
              <w:top w:val="single" w:color="auto" w:sz="4" w:space="0"/>
              <w:left w:val="single" w:color="auto" w:sz="4" w:space="0"/>
              <w:bottom w:val="single" w:color="auto" w:sz="12" w:space="0"/>
              <w:right w:val="single" w:color="auto" w:sz="4" w:space="0"/>
            </w:tcBorders>
            <w:noWrap/>
            <w:vAlign w:val="center"/>
          </w:tcPr>
          <w:p w14:paraId="3FD0E3BE">
            <w:pPr>
              <w:pStyle w:val="59"/>
              <w:bidi w:val="0"/>
              <w:rPr>
                <w:rFonts w:hint="default"/>
                <w:lang w:val="en-US"/>
              </w:rPr>
            </w:pPr>
            <w:r>
              <w:rPr>
                <w:rFonts w:hint="default"/>
                <w:lang w:val="en-US" w:eastAsia="zh-CN"/>
              </w:rPr>
              <w:t>0.15</w:t>
            </w:r>
          </w:p>
        </w:tc>
        <w:tc>
          <w:tcPr>
            <w:tcW w:w="986" w:type="dxa"/>
            <w:tcBorders>
              <w:top w:val="single" w:color="auto" w:sz="4" w:space="0"/>
              <w:left w:val="single" w:color="auto" w:sz="4" w:space="0"/>
              <w:bottom w:val="single" w:color="auto" w:sz="12" w:space="0"/>
              <w:right w:val="single" w:color="auto" w:sz="4" w:space="0"/>
            </w:tcBorders>
            <w:noWrap/>
            <w:vAlign w:val="center"/>
          </w:tcPr>
          <w:p w14:paraId="3B0E51D7">
            <w:pPr>
              <w:pStyle w:val="59"/>
              <w:bidi w:val="0"/>
              <w:rPr>
                <w:rFonts w:hint="default"/>
                <w:lang w:val="en-US" w:eastAsia="zh-CN"/>
              </w:rPr>
            </w:pPr>
            <w:r>
              <w:rPr>
                <w:rFonts w:hint="default"/>
                <w:lang w:val="en-US" w:eastAsia="zh-CN"/>
              </w:rPr>
              <w:t xml:space="preserve">0.919 </w:t>
            </w:r>
          </w:p>
        </w:tc>
        <w:tc>
          <w:tcPr>
            <w:tcW w:w="986" w:type="dxa"/>
            <w:tcBorders>
              <w:top w:val="single" w:color="auto" w:sz="4" w:space="0"/>
              <w:left w:val="single" w:color="auto" w:sz="4" w:space="0"/>
              <w:bottom w:val="single" w:color="auto" w:sz="12" w:space="0"/>
              <w:right w:val="single" w:color="auto" w:sz="4" w:space="0"/>
            </w:tcBorders>
            <w:noWrap/>
            <w:vAlign w:val="center"/>
          </w:tcPr>
          <w:p w14:paraId="594A558F">
            <w:pPr>
              <w:pStyle w:val="59"/>
              <w:bidi w:val="0"/>
              <w:rPr>
                <w:rFonts w:hint="default"/>
                <w:lang w:val="en-US"/>
              </w:rPr>
            </w:pPr>
            <w:r>
              <w:rPr>
                <w:rFonts w:hint="default"/>
                <w:lang w:val="en-US" w:eastAsia="zh-CN"/>
              </w:rPr>
              <w:t>0.756</w:t>
            </w:r>
          </w:p>
        </w:tc>
        <w:tc>
          <w:tcPr>
            <w:tcW w:w="986" w:type="dxa"/>
            <w:tcBorders>
              <w:top w:val="single" w:color="auto" w:sz="4" w:space="0"/>
              <w:left w:val="single" w:color="auto" w:sz="4" w:space="0"/>
              <w:bottom w:val="single" w:color="auto" w:sz="12" w:space="0"/>
              <w:right w:val="single" w:color="auto" w:sz="4" w:space="0"/>
            </w:tcBorders>
            <w:noWrap/>
            <w:vAlign w:val="center"/>
          </w:tcPr>
          <w:p w14:paraId="0ED7DDD9">
            <w:pPr>
              <w:pStyle w:val="59"/>
              <w:bidi w:val="0"/>
              <w:rPr>
                <w:rFonts w:hint="default"/>
                <w:lang w:val="en-US"/>
              </w:rPr>
            </w:pPr>
            <w:r>
              <w:rPr>
                <w:rFonts w:hint="default"/>
                <w:lang w:val="en-US" w:eastAsia="zh-CN"/>
              </w:rPr>
              <w:t xml:space="preserve">6.4 </w:t>
            </w:r>
          </w:p>
        </w:tc>
        <w:tc>
          <w:tcPr>
            <w:tcW w:w="986" w:type="dxa"/>
            <w:tcBorders>
              <w:top w:val="single" w:color="auto" w:sz="4" w:space="0"/>
              <w:left w:val="single" w:color="auto" w:sz="4" w:space="0"/>
              <w:bottom w:val="single" w:color="auto" w:sz="12" w:space="0"/>
              <w:right w:val="nil"/>
            </w:tcBorders>
            <w:noWrap/>
            <w:vAlign w:val="center"/>
          </w:tcPr>
          <w:p w14:paraId="415D3C46">
            <w:pPr>
              <w:pStyle w:val="59"/>
              <w:bidi w:val="0"/>
              <w:rPr>
                <w:rFonts w:hint="default"/>
                <w:lang w:val="en-US"/>
              </w:rPr>
            </w:pPr>
            <w:r>
              <w:rPr>
                <w:rFonts w:hint="default"/>
                <w:lang w:val="en-US" w:eastAsia="zh-CN"/>
              </w:rPr>
              <w:t xml:space="preserve">37 </w:t>
            </w:r>
          </w:p>
        </w:tc>
        <w:tc>
          <w:tcPr>
            <w:tcW w:w="986" w:type="dxa"/>
            <w:tcBorders>
              <w:top w:val="single" w:color="auto" w:sz="4" w:space="0"/>
              <w:left w:val="single" w:color="auto" w:sz="4" w:space="0"/>
              <w:bottom w:val="single" w:color="auto" w:sz="12" w:space="0"/>
              <w:right w:val="nil"/>
            </w:tcBorders>
            <w:noWrap/>
            <w:vAlign w:val="center"/>
          </w:tcPr>
          <w:p w14:paraId="4AFAC730">
            <w:pPr>
              <w:pStyle w:val="59"/>
              <w:bidi w:val="0"/>
              <w:rPr>
                <w:rFonts w:hint="eastAsia"/>
              </w:rPr>
            </w:pPr>
            <w:r>
              <w:rPr>
                <w:rFonts w:hint="default"/>
                <w:lang w:val="en-US" w:eastAsia="zh-CN"/>
              </w:rPr>
              <w:t xml:space="preserve">8.1 </w:t>
            </w:r>
          </w:p>
        </w:tc>
        <w:tc>
          <w:tcPr>
            <w:tcW w:w="986" w:type="dxa"/>
            <w:tcBorders>
              <w:top w:val="single" w:color="auto" w:sz="4" w:space="0"/>
              <w:left w:val="single" w:color="auto" w:sz="4" w:space="0"/>
              <w:bottom w:val="single" w:color="auto" w:sz="12" w:space="0"/>
              <w:right w:val="nil"/>
            </w:tcBorders>
            <w:noWrap/>
            <w:vAlign w:val="center"/>
          </w:tcPr>
          <w:p w14:paraId="161C8A08">
            <w:pPr>
              <w:pStyle w:val="59"/>
              <w:bidi w:val="0"/>
              <w:rPr>
                <w:rFonts w:hint="default"/>
                <w:lang w:val="en-US" w:eastAsia="zh-CN"/>
              </w:rPr>
            </w:pPr>
            <w:r>
              <w:rPr>
                <w:rFonts w:hint="default"/>
                <w:lang w:val="en-US" w:eastAsia="zh-CN"/>
              </w:rPr>
              <w:t xml:space="preserve">6.126 </w:t>
            </w:r>
          </w:p>
        </w:tc>
        <w:tc>
          <w:tcPr>
            <w:tcW w:w="988" w:type="dxa"/>
            <w:tcBorders>
              <w:top w:val="single" w:color="auto" w:sz="4" w:space="0"/>
              <w:left w:val="single" w:color="auto" w:sz="4" w:space="0"/>
              <w:bottom w:val="single" w:color="auto" w:sz="12" w:space="0"/>
              <w:right w:val="nil"/>
            </w:tcBorders>
            <w:noWrap/>
            <w:vAlign w:val="center"/>
          </w:tcPr>
          <w:p w14:paraId="499FDD74">
            <w:pPr>
              <w:pStyle w:val="59"/>
              <w:bidi w:val="0"/>
              <w:rPr>
                <w:rFonts w:hint="eastAsia"/>
                <w:lang w:val="en-US" w:eastAsia="zh-CN"/>
              </w:rPr>
            </w:pPr>
            <w:r>
              <w:rPr>
                <w:rFonts w:hint="default"/>
                <w:lang w:val="en-US" w:eastAsia="zh-CN"/>
              </w:rPr>
              <w:t xml:space="preserve">7.045 </w:t>
            </w:r>
          </w:p>
        </w:tc>
      </w:tr>
    </w:tbl>
    <w:p w14:paraId="38717174">
      <w:pPr>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color w:val="auto"/>
        </w:rPr>
      </w:pPr>
      <w:r>
        <w:rPr>
          <w:rFonts w:hint="eastAsia"/>
          <w:color w:val="auto"/>
        </w:rPr>
        <w:t>建设单位</w:t>
      </w:r>
      <w:r>
        <w:rPr>
          <w:color w:val="auto"/>
        </w:rPr>
        <w:t>应做好活性炭吸附装置运行状况、设施维护、</w:t>
      </w:r>
      <w:r>
        <w:rPr>
          <w:rFonts w:hint="eastAsia"/>
          <w:color w:val="auto"/>
        </w:rPr>
        <w:t xml:space="preserve">活性炭更换记录，建立管理台账，相关记录至少保存三年，现场保留不少于一个月的台账记录。主要记录内容包括： </w:t>
      </w:r>
    </w:p>
    <w:p w14:paraId="7FA27B9B">
      <w:pPr>
        <w:ind w:firstLine="480"/>
        <w:rPr>
          <w:color w:val="auto"/>
        </w:rPr>
      </w:pPr>
      <w:r>
        <w:rPr>
          <w:color w:val="auto"/>
        </w:rPr>
        <w:t>a</w:t>
      </w:r>
      <w:r>
        <w:rPr>
          <w:rFonts w:hint="eastAsia"/>
          <w:color w:val="auto"/>
        </w:rPr>
        <w:t xml:space="preserve">）活性炭吸附装置的启动、停止时间； </w:t>
      </w:r>
    </w:p>
    <w:p w14:paraId="4E75E483">
      <w:pPr>
        <w:ind w:firstLine="480"/>
        <w:rPr>
          <w:color w:val="auto"/>
        </w:rPr>
      </w:pPr>
      <w:r>
        <w:rPr>
          <w:color w:val="auto"/>
        </w:rPr>
        <w:t>b</w:t>
      </w:r>
      <w:r>
        <w:rPr>
          <w:rFonts w:hint="eastAsia"/>
          <w:color w:val="auto"/>
        </w:rPr>
        <w:t xml:space="preserve">）活性炭的质量分析数据、采购量、使用量、更换量与更换时间。 </w:t>
      </w:r>
    </w:p>
    <w:p w14:paraId="067836F9">
      <w:pPr>
        <w:ind w:firstLine="480"/>
        <w:rPr>
          <w:color w:val="auto"/>
        </w:rPr>
      </w:pPr>
      <w:r>
        <w:rPr>
          <w:color w:val="auto"/>
        </w:rPr>
        <w:t>c</w:t>
      </w:r>
      <w:r>
        <w:rPr>
          <w:rFonts w:hint="eastAsia"/>
          <w:color w:val="auto"/>
        </w:rPr>
        <w:t xml:space="preserve">）活性炭吸附装置运行工艺控制参数，至少包括设备进、出口浓度和吸附装置内温度； </w:t>
      </w:r>
    </w:p>
    <w:p w14:paraId="255ECC2E">
      <w:pPr>
        <w:bidi w:val="0"/>
      </w:pPr>
      <w:r>
        <w:t>d</w:t>
      </w:r>
      <w:r>
        <w:rPr>
          <w:rFonts w:hint="eastAsia"/>
        </w:rPr>
        <w:t xml:space="preserve">）主要设备维修情况，运行事故及维修情况； </w:t>
      </w:r>
    </w:p>
    <w:p w14:paraId="5F8DC669">
      <w:pPr>
        <w:bidi w:val="0"/>
        <w:rPr>
          <w:rFonts w:hint="eastAsia"/>
        </w:rPr>
      </w:pPr>
      <w:r>
        <w:t>e</w:t>
      </w:r>
      <w:r>
        <w:rPr>
          <w:rFonts w:hint="eastAsia"/>
        </w:rPr>
        <w:t>）定期检验、评价及评估情况。</w:t>
      </w:r>
    </w:p>
    <w:p w14:paraId="2AE4B760">
      <w:pPr>
        <w:pStyle w:val="64"/>
        <w:numPr>
          <w:ilvl w:val="2"/>
          <w:numId w:val="8"/>
        </w:numPr>
        <w:bidi w:val="0"/>
        <w:ind w:left="709" w:leftChars="0" w:hanging="709" w:firstLineChars="0"/>
        <w:rPr>
          <w:color w:val="auto"/>
        </w:rPr>
      </w:pPr>
      <w:r>
        <w:rPr>
          <w:rFonts w:hint="eastAsia"/>
          <w:color w:val="auto"/>
          <w:lang w:val="en-US" w:eastAsia="zh-CN"/>
        </w:rPr>
        <w:t>技术</w:t>
      </w:r>
      <w:r>
        <w:rPr>
          <w:rFonts w:hint="eastAsia"/>
          <w:color w:val="auto"/>
        </w:rPr>
        <w:t>可行性分析</w:t>
      </w:r>
    </w:p>
    <w:p w14:paraId="212C6CC4">
      <w:pPr>
        <w:bidi w:val="0"/>
      </w:pPr>
      <w:r>
        <w:rPr>
          <w:b/>
          <w:bCs/>
        </w:rPr>
        <w:t>调墨、印刷</w:t>
      </w:r>
      <w:r>
        <w:rPr>
          <w:rFonts w:hint="eastAsia"/>
          <w:b/>
          <w:bCs/>
          <w:lang w:eastAsia="zh-CN"/>
        </w:rPr>
        <w:t>、</w:t>
      </w:r>
      <w:r>
        <w:rPr>
          <w:rFonts w:hint="eastAsia"/>
          <w:b/>
          <w:bCs/>
          <w:lang w:val="en-US" w:eastAsia="zh-CN"/>
        </w:rPr>
        <w:t>烘干</w:t>
      </w:r>
      <w:r>
        <w:rPr>
          <w:b/>
          <w:bCs/>
        </w:rPr>
        <w:t>、</w:t>
      </w:r>
      <w:r>
        <w:rPr>
          <w:rFonts w:hint="eastAsia"/>
          <w:b/>
          <w:bCs/>
          <w:lang w:val="en-US" w:eastAsia="zh-CN"/>
        </w:rPr>
        <w:t>洗机、危废贮存</w:t>
      </w:r>
      <w:r>
        <w:rPr>
          <w:b/>
          <w:bCs/>
        </w:rPr>
        <w:t>废气</w:t>
      </w:r>
      <w:r>
        <w:rPr>
          <w:rFonts w:hint="eastAsia"/>
          <w:b/>
          <w:bCs/>
          <w:lang w:eastAsia="zh-CN"/>
        </w:rPr>
        <w:t>：</w:t>
      </w:r>
      <w:r>
        <w:t>根据《印刷工业污染防治可行技术指南》（HJ1089-2020）</w:t>
      </w:r>
      <w:r>
        <w:rPr>
          <w:rFonts w:hint="eastAsia"/>
          <w:lang w:eastAsia="zh-CN"/>
        </w:rPr>
        <w:t>：“</w:t>
      </w:r>
      <w:r>
        <w:t>烘箱有组织废气与其他无组织废气混合后治理，或无组织废气收集后单独治理，典型治理技术路线为“旋转式分子筛吸附浓缩+RTO/CO ”，根据《排污许可证申请与核发技术规范 印刷工业》（HJ 1066-2019），热力氧化属于印刷等生产单元的可行性技术，因此，本项目采取的工艺为可行性技术。采取以上措施处理后，废气中总 VOCs 有组织排放可达到广东省地方标准《印刷行业挥发性有机化合物排放标准》（DB44/815-2010）中表 2 排气筒 VOCs 排放限值中凹版印刷第Ⅱ时段标准；NMHC 有组织排放可达到《印刷工业大气污染物排放标准》 （GB 41616-2022）中表 1 有组织排放控制要求；厂界臭气浓度执行《恶臭污染物排放标准》（GB14554-93）表 1 二级新扩改建标准限值。因此，本项目调墨、印刷</w:t>
      </w:r>
      <w:r>
        <w:rPr>
          <w:rFonts w:hint="eastAsia"/>
          <w:lang w:eastAsia="zh-CN"/>
        </w:rPr>
        <w:t>、</w:t>
      </w:r>
      <w:r>
        <w:rPr>
          <w:rFonts w:hint="eastAsia"/>
          <w:lang w:val="en-US" w:eastAsia="zh-CN"/>
        </w:rPr>
        <w:t>烘干</w:t>
      </w:r>
      <w:r>
        <w:t>、</w:t>
      </w:r>
      <w:r>
        <w:rPr>
          <w:rFonts w:hint="eastAsia"/>
          <w:lang w:val="en-US" w:eastAsia="zh-CN"/>
        </w:rPr>
        <w:t>洗机、危废贮存</w:t>
      </w:r>
      <w:r>
        <w:t>废气拟采取的防治措施从技术上而言是可行的。</w:t>
      </w:r>
    </w:p>
    <w:p w14:paraId="3948C423">
      <w:pPr>
        <w:bidi w:val="0"/>
        <w:rPr>
          <w:rFonts w:hint="eastAsia"/>
          <w:lang w:eastAsia="zh-CN"/>
        </w:rPr>
      </w:pPr>
      <w:r>
        <w:rPr>
          <w:rFonts w:hint="eastAsia"/>
          <w:b/>
          <w:bCs/>
          <w:lang w:val="en-US" w:eastAsia="zh-CN"/>
        </w:rPr>
        <w:t>定型废气：</w:t>
      </w:r>
      <w:r>
        <w:rPr>
          <w:rFonts w:hint="eastAsia"/>
        </w:rPr>
        <w:t>根据《排污许可证申请与核发技术规范 橡胶和塑料制品工业》（</w:t>
      </w:r>
      <w:r>
        <w:t>HJ1122—2020</w:t>
      </w:r>
      <w:r>
        <w:rPr>
          <w:rFonts w:hint="eastAsia"/>
        </w:rPr>
        <w:t>）表A.2塑料制品工业排污单位废气污染防治可行技术参考表，“产排污环节：塑料板、管、型材制造，废气；污染物种类：非甲烷总烃，可行技术：吸附；污染物种类：臭气浓度，吸附”，本项目使用</w:t>
      </w:r>
      <w:r>
        <w:rPr>
          <w:rFonts w:hint="eastAsia"/>
          <w:lang w:eastAsia="zh-CN"/>
        </w:rPr>
        <w:t>活性炭</w:t>
      </w:r>
      <w:r>
        <w:rPr>
          <w:rFonts w:hint="eastAsia"/>
        </w:rPr>
        <w:t>吸附装置处理</w:t>
      </w:r>
      <w:r>
        <w:rPr>
          <w:rFonts w:hint="eastAsia"/>
          <w:lang w:val="en-US" w:eastAsia="zh-CN"/>
        </w:rPr>
        <w:t>合掌、定型</w:t>
      </w:r>
      <w:r>
        <w:rPr>
          <w:rFonts w:hint="eastAsia"/>
        </w:rPr>
        <w:t>产生的NMHC</w:t>
      </w:r>
      <w:r>
        <w:rPr>
          <w:rFonts w:hint="eastAsia"/>
          <w:lang w:eastAsia="zh-CN"/>
        </w:rPr>
        <w:t>、</w:t>
      </w:r>
      <w:r>
        <w:rPr>
          <w:rFonts w:hint="eastAsia"/>
          <w:lang w:val="en-US" w:eastAsia="zh-CN"/>
        </w:rPr>
        <w:t>总VOCs</w:t>
      </w:r>
      <w:r>
        <w:rPr>
          <w:rFonts w:hint="eastAsia"/>
        </w:rPr>
        <w:t>，符合排污许可技术规范中可行技术，产生污染物均可达标排放</w:t>
      </w:r>
      <w:r>
        <w:rPr>
          <w:rFonts w:hint="eastAsia"/>
          <w:lang w:eastAsia="zh-CN"/>
        </w:rPr>
        <w:t>。</w:t>
      </w:r>
    </w:p>
    <w:p w14:paraId="033E44FF">
      <w:pPr>
        <w:pStyle w:val="64"/>
        <w:numPr>
          <w:ilvl w:val="2"/>
          <w:numId w:val="8"/>
        </w:numPr>
        <w:bidi w:val="0"/>
        <w:ind w:left="709" w:leftChars="0" w:hanging="709"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经济可行性分析</w:t>
      </w:r>
    </w:p>
    <w:p w14:paraId="5696AC47">
      <w:pPr>
        <w:bidi w:val="0"/>
      </w:pPr>
      <w:r>
        <w:rPr>
          <w:rFonts w:hint="eastAsia"/>
          <w:color w:val="auto"/>
          <w:lang w:val="en-US" w:eastAsia="zh-CN"/>
        </w:rPr>
        <w:t>烘干废气经密闭收集后经减风增浓后引入RTO 废气治理设施进行处理，调墨、印刷、洗机、危废贮存废气先经“干式过滤+旋转式分子筛吸附-脱附”处理后再引入RTO 废气治理设施进行处理，处理后与</w:t>
      </w:r>
      <w:r>
        <w:rPr>
          <w:color w:val="auto"/>
        </w:rPr>
        <w:t xml:space="preserve"> RTO 燃料废气一起排放，</w:t>
      </w:r>
      <w:r>
        <w:rPr>
          <w:rFonts w:hint="eastAsia"/>
          <w:color w:val="auto"/>
          <w:lang w:val="en-US" w:eastAsia="zh-CN"/>
        </w:rPr>
        <w:t>同时</w:t>
      </w:r>
      <w:r>
        <w:t>，进行余热回收，有机废气分解产生多余热量可作为印刷机烘箱提供热能，一定程度上减少项目生产过程中的能耗，使废气治理实现经济效益。</w:t>
      </w:r>
    </w:p>
    <w:p w14:paraId="205066D7">
      <w:pPr>
        <w:bidi w:val="0"/>
      </w:pPr>
      <w:r>
        <w:t>根据建设单位提供的废气治理方案，废气治理设施蓄热式热氧化器采用热氧化法处理中高浓度的有机废气，用陶瓷蓄热床换热器回收热量可使热能得到最大限度的回收，热回收率大于95%，可以节省废气升温的燃料消耗，降低运行成本，当废气浓度高时，RTO 可以对外输出余热，通过热水等形式加以利用，在满足环保目标的同时，可实现经济回收效益。另外，本项目的废气污染物组分主要为乙酸乙酯、乙酸丙酯、异丙醇和乙酸丁酯等易燃成分，当废气污染物产生浓度高时，污染物可以自持燃烧，</w:t>
      </w:r>
    </w:p>
    <w:p w14:paraId="39EB69EB">
      <w:pPr>
        <w:bidi w:val="0"/>
      </w:pPr>
      <w:r>
        <w:t>仅依靠废气中可燃物燃烧所释放出来的热量维持 RTO 在设定温度下正常运行，可减少燃烧天然气供热，降低废气治理的能耗，本项目有机废气污染物产生浓度在正常生产情况下的废气治理基本不需要持续燃烧天然气，仅在冷炉启动、焖炉启动、换版待机和少次非满载生产的时候燃用天然气供热，使炉内升温至废气治理要求温度 800℃左右，本项目 RTO  炉氧化室及蓄热室内保温采用耐火陶瓷纤维， 耐热≥ 1260 ℃,容重 220kg/m³,氧化室保温厚度 300mm，蓄热室保温厚度 250mm，可达到《蓄热燃烧法工业有机废气治理工程技术规范》（HJ1093-2020）中设备保温设施的要求，并且在交接班焖炉的时候，所有阀门紧闭可减少热能损耗。本项目采取的 RTO 治理设施在冷炉启动、焖炉启动、换版待机和少量非满载生产的时候需要消耗电能和天然气，在设备正常运行过程需要消耗电能，在本项目建成后正常生产情况下，RTO 治理设施在运行费用预计为 130 万/年。</w:t>
      </w:r>
    </w:p>
    <w:p w14:paraId="7E70B0FC">
      <w:pPr>
        <w:bidi w:val="0"/>
        <w:sectPr>
          <w:pgSz w:w="11906" w:h="16838"/>
          <w:pgMar w:top="1417" w:right="1417" w:bottom="1417" w:left="1417" w:header="851" w:footer="992" w:gutter="0"/>
          <w:pgNumType w:fmt="decimal"/>
          <w:cols w:space="720" w:num="1"/>
          <w:docGrid w:type="lines" w:linePitch="333" w:charSpace="0"/>
        </w:sectPr>
      </w:pPr>
      <w:r>
        <w:t>本项目废气治理设施投资约</w:t>
      </w:r>
      <w:r>
        <w:rPr>
          <w:rFonts w:hint="eastAsia"/>
          <w:lang w:val="en-US" w:eastAsia="zh-CN"/>
        </w:rPr>
        <w:t>190</w:t>
      </w:r>
      <w:r>
        <w:t>万元，占项目总投资（</w:t>
      </w:r>
      <w:r>
        <w:rPr>
          <w:rFonts w:hint="eastAsia"/>
          <w:lang w:val="en-US" w:eastAsia="zh-CN"/>
        </w:rPr>
        <w:t>25</w:t>
      </w:r>
      <w:r>
        <w:t>00万元）的</w:t>
      </w:r>
      <w:r>
        <w:rPr>
          <w:rFonts w:hint="eastAsia"/>
          <w:lang w:val="en-US" w:eastAsia="zh-CN"/>
        </w:rPr>
        <w:t>7.6</w:t>
      </w:r>
      <w:r>
        <w:t>0%，比例较小。因此，本项目大气污染防治措施从经济角度考虑，是可以接受的，在经济上具有可行性；本项目在正常生产下污染物可以自持燃烧，废气治理过程天然气消耗不大，仅在冷炉启动、焖炉启动、换版待机和少次非满载生产的需要消耗天然气供热，在设备正常运行过程需要消耗电能，另外，废气治理产生的余热通过热水等形式回用于印刷机的烘箱，废气治理设施运行费用预计为130万/年，占总投资的</w:t>
      </w:r>
      <w:r>
        <w:rPr>
          <w:rFonts w:hint="eastAsia"/>
          <w:lang w:val="en-US" w:eastAsia="zh-CN"/>
        </w:rPr>
        <w:t>5.2</w:t>
      </w:r>
      <w:r>
        <w:t>%，废气治理运行成本不大，所占比例较合理。</w:t>
      </w:r>
    </w:p>
    <w:p w14:paraId="67B6FB63">
      <w:pPr>
        <w:pStyle w:val="64"/>
        <w:numPr>
          <w:ilvl w:val="2"/>
          <w:numId w:val="8"/>
        </w:numPr>
        <w:bidi w:val="0"/>
        <w:ind w:left="709" w:leftChars="0" w:hanging="709" w:firstLineChars="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废气产排污节点、污染物及污染治理设施信息表</w:t>
      </w:r>
    </w:p>
    <w:p w14:paraId="3559D05D">
      <w:pPr>
        <w:ind w:firstLine="480"/>
        <w:rPr>
          <w:color w:val="auto"/>
        </w:rPr>
      </w:pPr>
      <w:r>
        <w:rPr>
          <w:rFonts w:hint="eastAsia"/>
          <w:color w:val="auto"/>
        </w:rPr>
        <w:t>废气</w:t>
      </w:r>
      <w:r>
        <w:rPr>
          <w:color w:val="auto"/>
        </w:rPr>
        <w:t>产排污节点、污染物及污染治理设施</w:t>
      </w:r>
      <w:r>
        <w:rPr>
          <w:rFonts w:hint="eastAsia"/>
          <w:color w:val="auto"/>
        </w:rPr>
        <w:t>见下表：</w:t>
      </w:r>
    </w:p>
    <w:p w14:paraId="05566F46">
      <w:pPr>
        <w:pStyle w:val="62"/>
        <w:numPr>
          <w:ilvl w:val="0"/>
          <w:numId w:val="51"/>
        </w:numPr>
        <w:bidi w:val="0"/>
        <w:ind w:left="0" w:leftChars="0"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废气产排污节点、污染物及污染治理设施信息表</w:t>
      </w:r>
    </w:p>
    <w:tbl>
      <w:tblPr>
        <w:tblStyle w:val="38"/>
        <w:tblW w:w="1427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45"/>
        <w:gridCol w:w="1822"/>
        <w:gridCol w:w="1343"/>
        <w:gridCol w:w="1155"/>
        <w:gridCol w:w="945"/>
        <w:gridCol w:w="827"/>
        <w:gridCol w:w="1520"/>
        <w:gridCol w:w="900"/>
        <w:gridCol w:w="735"/>
        <w:gridCol w:w="660"/>
        <w:gridCol w:w="780"/>
        <w:gridCol w:w="1054"/>
        <w:gridCol w:w="667"/>
        <w:gridCol w:w="823"/>
      </w:tblGrid>
      <w:tr w14:paraId="0C30EF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045" w:type="dxa"/>
            <w:vMerge w:val="restart"/>
            <w:shd w:val="clear" w:color="auto" w:fill="FFFFFF"/>
            <w:vAlign w:val="center"/>
          </w:tcPr>
          <w:p w14:paraId="1EAE25CB">
            <w:pPr>
              <w:pStyle w:val="59"/>
              <w:bidi w:val="0"/>
              <w:jc w:val="center"/>
              <w:rPr>
                <w:color w:val="auto"/>
              </w:rPr>
            </w:pPr>
            <w:r>
              <w:rPr>
                <w:rFonts w:hint="eastAsia"/>
                <w:color w:val="auto"/>
              </w:rPr>
              <w:t>车间</w:t>
            </w:r>
          </w:p>
        </w:tc>
        <w:tc>
          <w:tcPr>
            <w:tcW w:w="1822" w:type="dxa"/>
            <w:vMerge w:val="restart"/>
            <w:shd w:val="clear" w:color="auto" w:fill="FFFFFF"/>
            <w:vAlign w:val="center"/>
          </w:tcPr>
          <w:p w14:paraId="20FF6B20">
            <w:pPr>
              <w:pStyle w:val="59"/>
              <w:bidi w:val="0"/>
              <w:jc w:val="center"/>
              <w:rPr>
                <w:color w:val="auto"/>
              </w:rPr>
            </w:pPr>
            <w:r>
              <w:rPr>
                <w:rFonts w:hint="eastAsia"/>
                <w:color w:val="auto"/>
              </w:rPr>
              <w:t>产污</w:t>
            </w:r>
            <w:r>
              <w:rPr>
                <w:color w:val="auto"/>
              </w:rPr>
              <w:t>设施</w:t>
            </w:r>
            <w:r>
              <w:rPr>
                <w:rFonts w:hint="eastAsia"/>
                <w:color w:val="auto"/>
              </w:rPr>
              <w:t>名称</w:t>
            </w:r>
          </w:p>
        </w:tc>
        <w:tc>
          <w:tcPr>
            <w:tcW w:w="1343" w:type="dxa"/>
            <w:vMerge w:val="restart"/>
            <w:shd w:val="clear" w:color="auto" w:fill="FFFFFF"/>
            <w:vAlign w:val="center"/>
          </w:tcPr>
          <w:p w14:paraId="20E45C7E">
            <w:pPr>
              <w:pStyle w:val="59"/>
              <w:bidi w:val="0"/>
              <w:jc w:val="center"/>
              <w:rPr>
                <w:color w:val="auto"/>
              </w:rPr>
            </w:pPr>
            <w:r>
              <w:rPr>
                <w:color w:val="auto"/>
              </w:rPr>
              <w:t>对应产污环节名称</w:t>
            </w:r>
          </w:p>
        </w:tc>
        <w:tc>
          <w:tcPr>
            <w:tcW w:w="1155" w:type="dxa"/>
            <w:vMerge w:val="restart"/>
            <w:shd w:val="clear" w:color="auto" w:fill="FFFFFF"/>
            <w:vAlign w:val="center"/>
          </w:tcPr>
          <w:p w14:paraId="59D8B7EF">
            <w:pPr>
              <w:pStyle w:val="59"/>
              <w:bidi w:val="0"/>
              <w:jc w:val="center"/>
              <w:rPr>
                <w:color w:val="auto"/>
              </w:rPr>
            </w:pPr>
            <w:r>
              <w:rPr>
                <w:color w:val="auto"/>
              </w:rPr>
              <w:t>污染物种类</w:t>
            </w:r>
          </w:p>
        </w:tc>
        <w:tc>
          <w:tcPr>
            <w:tcW w:w="945" w:type="dxa"/>
            <w:vMerge w:val="restart"/>
            <w:shd w:val="clear" w:color="auto" w:fill="FFFFFF"/>
            <w:vAlign w:val="center"/>
          </w:tcPr>
          <w:p w14:paraId="4FE35DC5">
            <w:pPr>
              <w:pStyle w:val="59"/>
              <w:bidi w:val="0"/>
              <w:jc w:val="center"/>
              <w:rPr>
                <w:color w:val="auto"/>
              </w:rPr>
            </w:pPr>
            <w:r>
              <w:rPr>
                <w:color w:val="auto"/>
              </w:rPr>
              <w:t>排放形式</w:t>
            </w:r>
          </w:p>
        </w:tc>
        <w:tc>
          <w:tcPr>
            <w:tcW w:w="4642" w:type="dxa"/>
            <w:gridSpan w:val="5"/>
            <w:shd w:val="clear" w:color="auto" w:fill="FFFFFF"/>
            <w:vAlign w:val="center"/>
          </w:tcPr>
          <w:p w14:paraId="4E5ACF6D">
            <w:pPr>
              <w:pStyle w:val="59"/>
              <w:bidi w:val="0"/>
              <w:jc w:val="center"/>
              <w:rPr>
                <w:color w:val="auto"/>
              </w:rPr>
            </w:pPr>
            <w:r>
              <w:rPr>
                <w:rFonts w:hint="eastAsia"/>
                <w:color w:val="auto"/>
              </w:rPr>
              <w:t>污染治理设施</w:t>
            </w:r>
          </w:p>
        </w:tc>
        <w:tc>
          <w:tcPr>
            <w:tcW w:w="780" w:type="dxa"/>
            <w:vMerge w:val="restart"/>
            <w:shd w:val="clear" w:color="auto" w:fill="FFFFFF"/>
            <w:vAlign w:val="center"/>
          </w:tcPr>
          <w:p w14:paraId="355BE7DB">
            <w:pPr>
              <w:pStyle w:val="59"/>
              <w:bidi w:val="0"/>
              <w:jc w:val="center"/>
              <w:rPr>
                <w:color w:val="auto"/>
              </w:rPr>
            </w:pPr>
            <w:r>
              <w:rPr>
                <w:rFonts w:hint="eastAsia"/>
                <w:color w:val="auto"/>
              </w:rPr>
              <w:t>有组织排放口</w:t>
            </w:r>
            <w:r>
              <w:rPr>
                <w:color w:val="auto"/>
              </w:rPr>
              <w:t>编号</w:t>
            </w:r>
          </w:p>
        </w:tc>
        <w:tc>
          <w:tcPr>
            <w:tcW w:w="1054" w:type="dxa"/>
            <w:vMerge w:val="restart"/>
            <w:shd w:val="clear" w:color="auto" w:fill="FFFFFF"/>
            <w:vAlign w:val="center"/>
          </w:tcPr>
          <w:p w14:paraId="0B474566">
            <w:pPr>
              <w:pStyle w:val="59"/>
              <w:bidi w:val="0"/>
              <w:jc w:val="center"/>
              <w:rPr>
                <w:color w:val="auto"/>
              </w:rPr>
            </w:pPr>
            <w:r>
              <w:rPr>
                <w:color w:val="auto"/>
              </w:rPr>
              <w:t>有组织排放口</w:t>
            </w:r>
            <w:r>
              <w:rPr>
                <w:rFonts w:hint="eastAsia"/>
                <w:color w:val="auto"/>
              </w:rPr>
              <w:t>名称</w:t>
            </w:r>
          </w:p>
        </w:tc>
        <w:tc>
          <w:tcPr>
            <w:tcW w:w="667" w:type="dxa"/>
            <w:vMerge w:val="restart"/>
            <w:shd w:val="clear" w:color="auto" w:fill="FFFFFF"/>
            <w:vAlign w:val="center"/>
          </w:tcPr>
          <w:p w14:paraId="577E1283">
            <w:pPr>
              <w:pStyle w:val="59"/>
              <w:bidi w:val="0"/>
              <w:jc w:val="center"/>
              <w:rPr>
                <w:color w:val="auto"/>
              </w:rPr>
            </w:pPr>
            <w:r>
              <w:rPr>
                <w:rFonts w:hint="eastAsia"/>
                <w:color w:val="auto"/>
              </w:rPr>
              <w:t>排放口高度m</w:t>
            </w:r>
          </w:p>
        </w:tc>
        <w:tc>
          <w:tcPr>
            <w:tcW w:w="823" w:type="dxa"/>
            <w:vMerge w:val="restart"/>
            <w:tcBorders>
              <w:right w:val="nil"/>
            </w:tcBorders>
            <w:shd w:val="clear" w:color="auto" w:fill="FFFFFF"/>
            <w:vAlign w:val="center"/>
          </w:tcPr>
          <w:p w14:paraId="18B358A0">
            <w:pPr>
              <w:pStyle w:val="59"/>
              <w:bidi w:val="0"/>
              <w:jc w:val="center"/>
              <w:rPr>
                <w:color w:val="auto"/>
              </w:rPr>
            </w:pPr>
            <w:r>
              <w:rPr>
                <w:rFonts w:hint="eastAsia"/>
                <w:color w:val="auto"/>
              </w:rPr>
              <w:t>排放口类型</w:t>
            </w:r>
          </w:p>
        </w:tc>
      </w:tr>
      <w:tr w14:paraId="40C90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045" w:type="dxa"/>
            <w:vMerge w:val="continue"/>
            <w:shd w:val="clear" w:color="auto" w:fill="FFFFFF"/>
            <w:vAlign w:val="center"/>
          </w:tcPr>
          <w:p w14:paraId="53B75606">
            <w:pPr>
              <w:pStyle w:val="59"/>
              <w:bidi w:val="0"/>
              <w:jc w:val="center"/>
              <w:rPr>
                <w:color w:val="auto"/>
              </w:rPr>
            </w:pPr>
          </w:p>
        </w:tc>
        <w:tc>
          <w:tcPr>
            <w:tcW w:w="1822" w:type="dxa"/>
            <w:vMerge w:val="continue"/>
            <w:shd w:val="clear" w:color="auto" w:fill="FFFFFF"/>
            <w:vAlign w:val="center"/>
          </w:tcPr>
          <w:p w14:paraId="536164A8">
            <w:pPr>
              <w:pStyle w:val="59"/>
              <w:bidi w:val="0"/>
              <w:jc w:val="center"/>
              <w:rPr>
                <w:color w:val="auto"/>
              </w:rPr>
            </w:pPr>
          </w:p>
        </w:tc>
        <w:tc>
          <w:tcPr>
            <w:tcW w:w="1343" w:type="dxa"/>
            <w:vMerge w:val="continue"/>
            <w:shd w:val="clear" w:color="auto" w:fill="FFFFFF"/>
            <w:vAlign w:val="center"/>
          </w:tcPr>
          <w:p w14:paraId="25182B7E">
            <w:pPr>
              <w:pStyle w:val="59"/>
              <w:bidi w:val="0"/>
              <w:jc w:val="center"/>
              <w:rPr>
                <w:color w:val="auto"/>
              </w:rPr>
            </w:pPr>
          </w:p>
        </w:tc>
        <w:tc>
          <w:tcPr>
            <w:tcW w:w="1155" w:type="dxa"/>
            <w:vMerge w:val="continue"/>
            <w:shd w:val="clear" w:color="auto" w:fill="FFFFFF"/>
            <w:vAlign w:val="center"/>
          </w:tcPr>
          <w:p w14:paraId="02A1023B">
            <w:pPr>
              <w:pStyle w:val="59"/>
              <w:bidi w:val="0"/>
              <w:jc w:val="center"/>
              <w:rPr>
                <w:color w:val="auto"/>
              </w:rPr>
            </w:pPr>
          </w:p>
        </w:tc>
        <w:tc>
          <w:tcPr>
            <w:tcW w:w="945" w:type="dxa"/>
            <w:vMerge w:val="continue"/>
            <w:shd w:val="clear" w:color="auto" w:fill="FFFFFF"/>
            <w:vAlign w:val="center"/>
          </w:tcPr>
          <w:p w14:paraId="1654BADC">
            <w:pPr>
              <w:pStyle w:val="59"/>
              <w:bidi w:val="0"/>
              <w:jc w:val="center"/>
              <w:rPr>
                <w:color w:val="auto"/>
              </w:rPr>
            </w:pPr>
          </w:p>
        </w:tc>
        <w:tc>
          <w:tcPr>
            <w:tcW w:w="827" w:type="dxa"/>
            <w:shd w:val="clear" w:color="auto" w:fill="FFFFFF"/>
            <w:vAlign w:val="center"/>
          </w:tcPr>
          <w:p w14:paraId="6BC7A1C1">
            <w:pPr>
              <w:pStyle w:val="59"/>
              <w:bidi w:val="0"/>
              <w:jc w:val="center"/>
              <w:rPr>
                <w:color w:val="auto"/>
              </w:rPr>
            </w:pPr>
            <w:r>
              <w:rPr>
                <w:rFonts w:hint="eastAsia"/>
                <w:color w:val="auto"/>
              </w:rPr>
              <w:t>污染治理设施编号</w:t>
            </w:r>
          </w:p>
        </w:tc>
        <w:tc>
          <w:tcPr>
            <w:tcW w:w="1520" w:type="dxa"/>
            <w:shd w:val="clear" w:color="auto" w:fill="FFFFFF"/>
            <w:vAlign w:val="center"/>
          </w:tcPr>
          <w:p w14:paraId="15BB5692">
            <w:pPr>
              <w:pStyle w:val="59"/>
              <w:bidi w:val="0"/>
              <w:jc w:val="center"/>
              <w:rPr>
                <w:color w:val="auto"/>
              </w:rPr>
            </w:pPr>
            <w:r>
              <w:rPr>
                <w:color w:val="auto"/>
              </w:rPr>
              <w:t>污染治理设施名称</w:t>
            </w:r>
            <w:r>
              <w:rPr>
                <w:rFonts w:hint="eastAsia"/>
                <w:color w:val="auto"/>
              </w:rPr>
              <w:t>/工艺</w:t>
            </w:r>
          </w:p>
        </w:tc>
        <w:tc>
          <w:tcPr>
            <w:tcW w:w="900" w:type="dxa"/>
            <w:shd w:val="clear" w:color="auto" w:fill="FFFFFF"/>
            <w:vAlign w:val="center"/>
          </w:tcPr>
          <w:p w14:paraId="2CE2FB3D">
            <w:pPr>
              <w:pStyle w:val="59"/>
              <w:bidi w:val="0"/>
              <w:jc w:val="center"/>
              <w:rPr>
                <w:color w:val="auto"/>
              </w:rPr>
            </w:pPr>
            <w:r>
              <w:rPr>
                <w:rFonts w:hint="eastAsia"/>
                <w:color w:val="auto"/>
              </w:rPr>
              <w:t>设计风量</w:t>
            </w:r>
          </w:p>
          <w:p w14:paraId="31D18C98">
            <w:pPr>
              <w:pStyle w:val="59"/>
              <w:bidi w:val="0"/>
              <w:jc w:val="center"/>
              <w:rPr>
                <w:color w:val="auto"/>
              </w:rPr>
            </w:pPr>
            <w:r>
              <w:rPr>
                <w:rFonts w:hint="eastAsia"/>
                <w:color w:val="auto"/>
              </w:rPr>
              <w:t>m³/h</w:t>
            </w:r>
          </w:p>
        </w:tc>
        <w:tc>
          <w:tcPr>
            <w:tcW w:w="735" w:type="dxa"/>
            <w:shd w:val="clear" w:color="auto" w:fill="FFFFFF"/>
            <w:vAlign w:val="center"/>
          </w:tcPr>
          <w:p w14:paraId="1E18A20D">
            <w:pPr>
              <w:pStyle w:val="59"/>
              <w:bidi w:val="0"/>
              <w:jc w:val="center"/>
              <w:rPr>
                <w:color w:val="auto"/>
              </w:rPr>
            </w:pPr>
            <w:r>
              <w:rPr>
                <w:rFonts w:hint="eastAsia"/>
                <w:color w:val="auto"/>
              </w:rPr>
              <w:t>设计处理效率</w:t>
            </w:r>
          </w:p>
        </w:tc>
        <w:tc>
          <w:tcPr>
            <w:tcW w:w="660" w:type="dxa"/>
            <w:shd w:val="clear" w:color="auto" w:fill="FFFFFF"/>
            <w:vAlign w:val="center"/>
          </w:tcPr>
          <w:p w14:paraId="3E55B269">
            <w:pPr>
              <w:pStyle w:val="59"/>
              <w:bidi w:val="0"/>
              <w:jc w:val="center"/>
              <w:rPr>
                <w:color w:val="auto"/>
              </w:rPr>
            </w:pPr>
            <w:r>
              <w:rPr>
                <w:rFonts w:hint="eastAsia"/>
                <w:color w:val="auto"/>
              </w:rPr>
              <w:t>是否为可行技术</w:t>
            </w:r>
          </w:p>
        </w:tc>
        <w:tc>
          <w:tcPr>
            <w:tcW w:w="780" w:type="dxa"/>
            <w:vMerge w:val="continue"/>
            <w:shd w:val="clear" w:color="auto" w:fill="FFFFFF"/>
            <w:vAlign w:val="center"/>
          </w:tcPr>
          <w:p w14:paraId="515BF342">
            <w:pPr>
              <w:pStyle w:val="59"/>
              <w:bidi w:val="0"/>
              <w:jc w:val="center"/>
              <w:rPr>
                <w:color w:val="auto"/>
              </w:rPr>
            </w:pPr>
          </w:p>
        </w:tc>
        <w:tc>
          <w:tcPr>
            <w:tcW w:w="1054" w:type="dxa"/>
            <w:vMerge w:val="continue"/>
            <w:shd w:val="clear" w:color="auto" w:fill="FFFFFF"/>
            <w:vAlign w:val="center"/>
          </w:tcPr>
          <w:p w14:paraId="7729B91E">
            <w:pPr>
              <w:pStyle w:val="59"/>
              <w:bidi w:val="0"/>
              <w:jc w:val="center"/>
              <w:rPr>
                <w:color w:val="auto"/>
              </w:rPr>
            </w:pPr>
          </w:p>
        </w:tc>
        <w:tc>
          <w:tcPr>
            <w:tcW w:w="667" w:type="dxa"/>
            <w:vMerge w:val="continue"/>
            <w:shd w:val="clear" w:color="auto" w:fill="FFFFFF"/>
            <w:vAlign w:val="center"/>
          </w:tcPr>
          <w:p w14:paraId="7487B712">
            <w:pPr>
              <w:pStyle w:val="59"/>
              <w:bidi w:val="0"/>
              <w:jc w:val="center"/>
              <w:rPr>
                <w:color w:val="auto"/>
              </w:rPr>
            </w:pPr>
          </w:p>
        </w:tc>
        <w:tc>
          <w:tcPr>
            <w:tcW w:w="823" w:type="dxa"/>
            <w:vMerge w:val="continue"/>
            <w:tcBorders>
              <w:right w:val="nil"/>
            </w:tcBorders>
            <w:shd w:val="clear" w:color="auto" w:fill="FFFFFF"/>
            <w:vAlign w:val="center"/>
          </w:tcPr>
          <w:p w14:paraId="0D2999E4">
            <w:pPr>
              <w:pStyle w:val="59"/>
              <w:bidi w:val="0"/>
              <w:jc w:val="center"/>
              <w:rPr>
                <w:color w:val="auto"/>
              </w:rPr>
            </w:pPr>
          </w:p>
        </w:tc>
      </w:tr>
      <w:tr w14:paraId="46473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45" w:type="dxa"/>
            <w:shd w:val="clear" w:color="auto" w:fill="FFFFFF"/>
            <w:vAlign w:val="center"/>
          </w:tcPr>
          <w:p w14:paraId="67AAE7CE">
            <w:pPr>
              <w:pStyle w:val="59"/>
              <w:bidi w:val="0"/>
              <w:jc w:val="center"/>
              <w:rPr>
                <w:rFonts w:hint="default" w:eastAsia="宋体"/>
                <w:color w:val="auto"/>
                <w:lang w:val="en-US" w:eastAsia="zh-CN"/>
              </w:rPr>
            </w:pPr>
            <w:r>
              <w:rPr>
                <w:rFonts w:hint="eastAsia"/>
                <w:color w:val="auto"/>
                <w:lang w:val="en-US" w:eastAsia="zh-CN"/>
              </w:rPr>
              <w:t>印刷车间、危废贮存间</w:t>
            </w:r>
          </w:p>
        </w:tc>
        <w:tc>
          <w:tcPr>
            <w:tcW w:w="1822" w:type="dxa"/>
            <w:shd w:val="clear" w:color="auto" w:fill="FFFFFF"/>
            <w:vAlign w:val="center"/>
          </w:tcPr>
          <w:p w14:paraId="6175D2BD">
            <w:pPr>
              <w:pStyle w:val="59"/>
              <w:bidi w:val="0"/>
              <w:jc w:val="center"/>
              <w:rPr>
                <w:rFonts w:hint="default"/>
                <w:color w:val="auto"/>
                <w:lang w:val="en-US" w:eastAsia="zh-CN"/>
              </w:rPr>
            </w:pPr>
            <w:r>
              <w:rPr>
                <w:rFonts w:hint="eastAsia"/>
                <w:color w:val="auto"/>
                <w:lang w:val="en-US" w:eastAsia="zh-CN"/>
              </w:rPr>
              <w:t>印刷机</w:t>
            </w:r>
          </w:p>
        </w:tc>
        <w:tc>
          <w:tcPr>
            <w:tcW w:w="1343" w:type="dxa"/>
            <w:shd w:val="clear" w:color="auto" w:fill="FFFFFF"/>
            <w:vAlign w:val="center"/>
          </w:tcPr>
          <w:p w14:paraId="3FD3C858">
            <w:pPr>
              <w:pStyle w:val="59"/>
              <w:bidi w:val="0"/>
              <w:jc w:val="center"/>
              <w:rPr>
                <w:rFonts w:hint="default"/>
                <w:color w:val="auto"/>
                <w:lang w:val="en-US" w:eastAsia="zh-CN"/>
              </w:rPr>
            </w:pPr>
            <w:r>
              <w:rPr>
                <w:rFonts w:hint="default"/>
                <w:color w:val="auto"/>
                <w:lang w:val="en-US" w:eastAsia="zh-CN"/>
              </w:rPr>
              <w:t>调墨、印刷、</w:t>
            </w:r>
            <w:r>
              <w:rPr>
                <w:rFonts w:hint="eastAsia"/>
                <w:color w:val="auto"/>
                <w:lang w:val="en-US" w:eastAsia="zh-CN"/>
              </w:rPr>
              <w:t>洗机、</w:t>
            </w:r>
            <w:r>
              <w:rPr>
                <w:rFonts w:hint="default"/>
                <w:color w:val="auto"/>
                <w:lang w:val="en-US" w:eastAsia="zh-CN"/>
              </w:rPr>
              <w:t>危废贮存</w:t>
            </w:r>
          </w:p>
        </w:tc>
        <w:tc>
          <w:tcPr>
            <w:tcW w:w="1155" w:type="dxa"/>
            <w:shd w:val="clear" w:color="auto" w:fill="FFFFFF"/>
            <w:vAlign w:val="center"/>
          </w:tcPr>
          <w:p w14:paraId="60B566FC">
            <w:pPr>
              <w:pStyle w:val="59"/>
              <w:bidi w:val="0"/>
              <w:ind w:firstLine="0" w:firstLineChars="0"/>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总VOCs、NMHC</w:t>
            </w:r>
          </w:p>
        </w:tc>
        <w:tc>
          <w:tcPr>
            <w:tcW w:w="945" w:type="dxa"/>
            <w:shd w:val="clear" w:color="auto" w:fill="FFFFFF"/>
            <w:vAlign w:val="center"/>
          </w:tcPr>
          <w:p w14:paraId="151687FC">
            <w:pPr>
              <w:pStyle w:val="59"/>
              <w:bidi w:val="0"/>
              <w:ind w:firstLine="0" w:firstLineChars="0"/>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有组织</w:t>
            </w:r>
          </w:p>
        </w:tc>
        <w:tc>
          <w:tcPr>
            <w:tcW w:w="827" w:type="dxa"/>
            <w:shd w:val="clear" w:color="auto" w:fill="FFFFFF"/>
            <w:vAlign w:val="center"/>
          </w:tcPr>
          <w:p w14:paraId="06003F67">
            <w:pPr>
              <w:pStyle w:val="59"/>
              <w:bidi w:val="0"/>
              <w:rPr>
                <w:rFonts w:hint="default"/>
                <w:lang w:val="en-US" w:eastAsia="zh-CN"/>
              </w:rPr>
            </w:pPr>
            <w:r>
              <w:rPr>
                <w:rFonts w:hint="eastAsia"/>
                <w:lang w:val="en-US" w:eastAsia="zh-CN"/>
              </w:rPr>
              <w:t>TA001</w:t>
            </w:r>
          </w:p>
        </w:tc>
        <w:tc>
          <w:tcPr>
            <w:tcW w:w="1520" w:type="dxa"/>
            <w:shd w:val="clear" w:color="auto" w:fill="FFFFFF"/>
            <w:vAlign w:val="center"/>
          </w:tcPr>
          <w:p w14:paraId="2841FA07">
            <w:pPr>
              <w:pStyle w:val="59"/>
              <w:bidi w:val="0"/>
              <w:rPr>
                <w:rFonts w:hint="eastAsia"/>
                <w:lang w:val="en-US" w:eastAsia="zh-CN"/>
              </w:rPr>
            </w:pPr>
            <w:r>
              <w:t>减风增浓+RTO</w:t>
            </w:r>
          </w:p>
        </w:tc>
        <w:tc>
          <w:tcPr>
            <w:tcW w:w="900" w:type="dxa"/>
            <w:shd w:val="clear" w:color="auto" w:fill="FFFFFF"/>
            <w:vAlign w:val="center"/>
          </w:tcPr>
          <w:p w14:paraId="2DD0A50A">
            <w:pPr>
              <w:pStyle w:val="59"/>
              <w:bidi w:val="0"/>
              <w:rPr>
                <w:rFonts w:hint="default"/>
                <w:lang w:val="en-US" w:eastAsia="zh-CN"/>
              </w:rPr>
            </w:pPr>
            <w:r>
              <w:rPr>
                <w:rFonts w:hint="eastAsia"/>
                <w:lang w:val="en-US" w:eastAsia="zh-CN"/>
              </w:rPr>
              <w:t>30000</w:t>
            </w:r>
          </w:p>
        </w:tc>
        <w:tc>
          <w:tcPr>
            <w:tcW w:w="735" w:type="dxa"/>
            <w:shd w:val="clear" w:color="auto" w:fill="FFFFFF"/>
            <w:vAlign w:val="center"/>
          </w:tcPr>
          <w:p w14:paraId="09E0D881">
            <w:pPr>
              <w:pStyle w:val="59"/>
              <w:bidi w:val="0"/>
              <w:rPr>
                <w:rFonts w:hint="default"/>
                <w:lang w:val="en-US" w:eastAsia="zh-CN"/>
              </w:rPr>
            </w:pPr>
            <w:r>
              <w:rPr>
                <w:rFonts w:hint="eastAsia"/>
                <w:lang w:val="en-US" w:eastAsia="zh-CN"/>
              </w:rPr>
              <w:t>90%</w:t>
            </w:r>
          </w:p>
        </w:tc>
        <w:tc>
          <w:tcPr>
            <w:tcW w:w="660" w:type="dxa"/>
            <w:shd w:val="clear" w:color="auto" w:fill="FFFFFF"/>
            <w:vAlign w:val="center"/>
          </w:tcPr>
          <w:p w14:paraId="29728630">
            <w:pPr>
              <w:pStyle w:val="59"/>
              <w:bidi w:val="0"/>
              <w:ind w:firstLine="0" w:firstLineChars="0"/>
              <w:jc w:val="center"/>
              <w:rPr>
                <w:rFonts w:hint="eastAsia" w:ascii="Times New Roman" w:hAnsi="Times New Roman" w:eastAsia="宋体" w:cs="Times New Roman"/>
                <w:color w:val="auto"/>
                <w:kern w:val="0"/>
                <w:sz w:val="21"/>
                <w:szCs w:val="20"/>
                <w:lang w:val="en-US" w:eastAsia="zh-CN" w:bidi="ar-SA"/>
              </w:rPr>
            </w:pPr>
            <w:r>
              <w:rPr>
                <w:rFonts w:hint="eastAsia"/>
                <w:color w:val="auto"/>
              </w:rPr>
              <w:t>是</w:t>
            </w:r>
          </w:p>
        </w:tc>
        <w:tc>
          <w:tcPr>
            <w:tcW w:w="780" w:type="dxa"/>
            <w:vMerge w:val="restart"/>
            <w:shd w:val="clear" w:color="auto" w:fill="FFFFFF"/>
            <w:vAlign w:val="center"/>
          </w:tcPr>
          <w:p w14:paraId="0FD26B48">
            <w:pPr>
              <w:pStyle w:val="59"/>
              <w:bidi w:val="0"/>
              <w:ind w:firstLine="0" w:firstLineChars="0"/>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DA001</w:t>
            </w:r>
          </w:p>
        </w:tc>
        <w:tc>
          <w:tcPr>
            <w:tcW w:w="1054" w:type="dxa"/>
            <w:vMerge w:val="restart"/>
            <w:shd w:val="clear" w:color="auto" w:fill="FFFFFF"/>
            <w:vAlign w:val="center"/>
          </w:tcPr>
          <w:p w14:paraId="00A40794">
            <w:pPr>
              <w:pStyle w:val="59"/>
              <w:bidi w:val="0"/>
              <w:ind w:firstLine="0" w:firstLineChars="0"/>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印刷废气排放口</w:t>
            </w:r>
          </w:p>
        </w:tc>
        <w:tc>
          <w:tcPr>
            <w:tcW w:w="667" w:type="dxa"/>
            <w:vMerge w:val="restart"/>
            <w:shd w:val="clear" w:color="auto" w:fill="FFFFFF"/>
            <w:vAlign w:val="center"/>
          </w:tcPr>
          <w:p w14:paraId="61F30595">
            <w:pPr>
              <w:pStyle w:val="59"/>
              <w:bidi w:val="0"/>
              <w:ind w:firstLine="0" w:firstLineChars="0"/>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25</w:t>
            </w:r>
          </w:p>
        </w:tc>
        <w:tc>
          <w:tcPr>
            <w:tcW w:w="823" w:type="dxa"/>
            <w:vMerge w:val="restart"/>
            <w:tcBorders>
              <w:right w:val="nil"/>
            </w:tcBorders>
            <w:shd w:val="clear" w:color="auto" w:fill="FFFFFF"/>
            <w:vAlign w:val="center"/>
          </w:tcPr>
          <w:p w14:paraId="0EB5F65B">
            <w:pPr>
              <w:pStyle w:val="59"/>
              <w:bidi w:val="0"/>
              <w:ind w:firstLine="0" w:firstLineChars="0"/>
              <w:jc w:val="center"/>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主要排放口</w:t>
            </w:r>
          </w:p>
        </w:tc>
      </w:tr>
      <w:tr w14:paraId="480711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45" w:type="dxa"/>
            <w:shd w:val="clear" w:color="auto" w:fill="FFFFFF"/>
            <w:vAlign w:val="center"/>
          </w:tcPr>
          <w:p w14:paraId="7E985C73">
            <w:pPr>
              <w:pStyle w:val="59"/>
              <w:bidi w:val="0"/>
              <w:jc w:val="center"/>
              <w:rPr>
                <w:color w:val="auto"/>
              </w:rPr>
            </w:pPr>
            <w:r>
              <w:rPr>
                <w:rFonts w:hint="eastAsia"/>
                <w:color w:val="auto"/>
                <w:lang w:val="en-US" w:eastAsia="zh-CN"/>
              </w:rPr>
              <w:t>印刷车间</w:t>
            </w:r>
          </w:p>
        </w:tc>
        <w:tc>
          <w:tcPr>
            <w:tcW w:w="1822" w:type="dxa"/>
            <w:shd w:val="clear" w:color="auto" w:fill="FFFFFF"/>
            <w:vAlign w:val="center"/>
          </w:tcPr>
          <w:p w14:paraId="678D606E">
            <w:pPr>
              <w:pStyle w:val="59"/>
              <w:bidi w:val="0"/>
              <w:jc w:val="center"/>
              <w:rPr>
                <w:rFonts w:hint="default" w:eastAsia="宋体"/>
                <w:color w:val="auto"/>
                <w:lang w:val="en-US" w:eastAsia="zh-CN"/>
              </w:rPr>
            </w:pPr>
            <w:r>
              <w:rPr>
                <w:rFonts w:hint="eastAsia"/>
                <w:color w:val="auto"/>
                <w:lang w:val="en-US" w:eastAsia="zh-CN"/>
              </w:rPr>
              <w:t>印刷机配套的烘箱</w:t>
            </w:r>
          </w:p>
        </w:tc>
        <w:tc>
          <w:tcPr>
            <w:tcW w:w="1343" w:type="dxa"/>
            <w:shd w:val="clear" w:color="auto" w:fill="FFFFFF"/>
            <w:vAlign w:val="center"/>
          </w:tcPr>
          <w:p w14:paraId="1E93F97E">
            <w:pPr>
              <w:pStyle w:val="59"/>
              <w:bidi w:val="0"/>
              <w:jc w:val="center"/>
              <w:rPr>
                <w:color w:val="auto"/>
              </w:rPr>
            </w:pPr>
            <w:r>
              <w:rPr>
                <w:rFonts w:hint="eastAsia"/>
                <w:color w:val="auto"/>
                <w:lang w:val="en-US" w:eastAsia="zh-CN"/>
              </w:rPr>
              <w:t>烘干</w:t>
            </w:r>
          </w:p>
        </w:tc>
        <w:tc>
          <w:tcPr>
            <w:tcW w:w="1155" w:type="dxa"/>
            <w:shd w:val="clear" w:color="auto" w:fill="FFFFFF"/>
            <w:vAlign w:val="center"/>
          </w:tcPr>
          <w:p w14:paraId="5D16FC83">
            <w:pPr>
              <w:pStyle w:val="59"/>
              <w:bidi w:val="0"/>
              <w:jc w:val="center"/>
              <w:rPr>
                <w:color w:val="auto"/>
              </w:rPr>
            </w:pPr>
            <w:r>
              <w:rPr>
                <w:rFonts w:hint="eastAsia" w:cs="Times New Roman"/>
                <w:color w:val="auto"/>
                <w:kern w:val="0"/>
                <w:sz w:val="21"/>
                <w:szCs w:val="20"/>
                <w:lang w:val="en-US" w:eastAsia="zh-CN" w:bidi="ar-SA"/>
              </w:rPr>
              <w:t>总VOCs、NMHC</w:t>
            </w:r>
          </w:p>
        </w:tc>
        <w:tc>
          <w:tcPr>
            <w:tcW w:w="945" w:type="dxa"/>
            <w:shd w:val="clear" w:color="auto" w:fill="FFFFFF"/>
            <w:vAlign w:val="center"/>
          </w:tcPr>
          <w:p w14:paraId="59B400BA">
            <w:pPr>
              <w:pStyle w:val="59"/>
              <w:bidi w:val="0"/>
              <w:jc w:val="center"/>
              <w:rPr>
                <w:rFonts w:hint="default"/>
                <w:color w:val="auto"/>
                <w:lang w:val="en-US" w:eastAsia="zh-CN"/>
              </w:rPr>
            </w:pPr>
            <w:r>
              <w:rPr>
                <w:rFonts w:hint="eastAsia" w:cs="Times New Roman"/>
                <w:color w:val="auto"/>
                <w:kern w:val="0"/>
                <w:sz w:val="21"/>
                <w:szCs w:val="20"/>
                <w:lang w:val="en-US" w:eastAsia="zh-CN" w:bidi="ar-SA"/>
              </w:rPr>
              <w:t>有组织</w:t>
            </w:r>
          </w:p>
        </w:tc>
        <w:tc>
          <w:tcPr>
            <w:tcW w:w="827" w:type="dxa"/>
            <w:shd w:val="clear" w:color="auto" w:fill="FFFFFF"/>
            <w:vAlign w:val="center"/>
          </w:tcPr>
          <w:p w14:paraId="3D978620">
            <w:pPr>
              <w:pStyle w:val="59"/>
              <w:bidi w:val="0"/>
              <w:rPr>
                <w:rFonts w:hint="default"/>
                <w:lang w:val="en-US" w:eastAsia="zh-CN"/>
              </w:rPr>
            </w:pPr>
            <w:r>
              <w:rPr>
                <w:rFonts w:hint="eastAsia"/>
                <w:lang w:val="en-US" w:eastAsia="zh-CN"/>
              </w:rPr>
              <w:t>TA001</w:t>
            </w:r>
          </w:p>
        </w:tc>
        <w:tc>
          <w:tcPr>
            <w:tcW w:w="1520" w:type="dxa"/>
            <w:shd w:val="clear" w:color="auto" w:fill="FFFFFF"/>
            <w:vAlign w:val="center"/>
          </w:tcPr>
          <w:p w14:paraId="01B4B913">
            <w:pPr>
              <w:pStyle w:val="59"/>
              <w:bidi w:val="0"/>
              <w:rPr>
                <w:rFonts w:hint="eastAsia"/>
                <w:lang w:eastAsia="zh-CN"/>
              </w:rPr>
            </w:pPr>
            <w:r>
              <w:t>旋转式分子筛吸附浓缩+RTO</w:t>
            </w:r>
          </w:p>
        </w:tc>
        <w:tc>
          <w:tcPr>
            <w:tcW w:w="900" w:type="dxa"/>
            <w:shd w:val="clear" w:color="auto" w:fill="FFFFFF"/>
            <w:vAlign w:val="center"/>
          </w:tcPr>
          <w:p w14:paraId="2B9272E2">
            <w:pPr>
              <w:pStyle w:val="59"/>
              <w:bidi w:val="0"/>
              <w:rPr>
                <w:rFonts w:hint="default"/>
                <w:lang w:val="en-US" w:eastAsia="zh-CN"/>
              </w:rPr>
            </w:pPr>
            <w:r>
              <w:rPr>
                <w:rFonts w:hint="eastAsia"/>
                <w:lang w:val="en-US" w:eastAsia="zh-CN"/>
              </w:rPr>
              <w:t>30000</w:t>
            </w:r>
          </w:p>
        </w:tc>
        <w:tc>
          <w:tcPr>
            <w:tcW w:w="735" w:type="dxa"/>
            <w:shd w:val="clear" w:color="auto" w:fill="FFFFFF"/>
            <w:vAlign w:val="center"/>
          </w:tcPr>
          <w:p w14:paraId="0B940AD5">
            <w:pPr>
              <w:pStyle w:val="59"/>
              <w:bidi w:val="0"/>
              <w:rPr>
                <w:rFonts w:hint="default"/>
                <w:lang w:val="en-US" w:eastAsia="zh-CN"/>
              </w:rPr>
            </w:pPr>
            <w:r>
              <w:rPr>
                <w:rFonts w:hint="eastAsia"/>
                <w:lang w:val="en-US" w:eastAsia="zh-CN"/>
              </w:rPr>
              <w:t>85%</w:t>
            </w:r>
          </w:p>
        </w:tc>
        <w:tc>
          <w:tcPr>
            <w:tcW w:w="660" w:type="dxa"/>
            <w:shd w:val="clear" w:color="auto" w:fill="FFFFFF"/>
            <w:vAlign w:val="center"/>
          </w:tcPr>
          <w:p w14:paraId="3B5E9863">
            <w:pPr>
              <w:pStyle w:val="59"/>
              <w:bidi w:val="0"/>
              <w:jc w:val="center"/>
              <w:rPr>
                <w:color w:val="auto"/>
              </w:rPr>
            </w:pPr>
            <w:r>
              <w:rPr>
                <w:rFonts w:hint="eastAsia"/>
                <w:color w:val="auto"/>
              </w:rPr>
              <w:t>是</w:t>
            </w:r>
          </w:p>
        </w:tc>
        <w:tc>
          <w:tcPr>
            <w:tcW w:w="780" w:type="dxa"/>
            <w:vMerge w:val="continue"/>
            <w:shd w:val="clear" w:color="auto" w:fill="FFFFFF"/>
            <w:vAlign w:val="center"/>
          </w:tcPr>
          <w:p w14:paraId="0FB70E0F">
            <w:pPr>
              <w:pStyle w:val="59"/>
              <w:bidi w:val="0"/>
              <w:jc w:val="center"/>
              <w:rPr>
                <w:rFonts w:hint="default"/>
                <w:color w:val="auto"/>
                <w:lang w:val="en-US"/>
              </w:rPr>
            </w:pPr>
          </w:p>
        </w:tc>
        <w:tc>
          <w:tcPr>
            <w:tcW w:w="1054" w:type="dxa"/>
            <w:vMerge w:val="continue"/>
            <w:shd w:val="clear" w:color="auto" w:fill="FFFFFF"/>
            <w:vAlign w:val="center"/>
          </w:tcPr>
          <w:p w14:paraId="15B79C9E">
            <w:pPr>
              <w:pStyle w:val="59"/>
              <w:bidi w:val="0"/>
              <w:jc w:val="center"/>
              <w:rPr>
                <w:rFonts w:hint="default" w:eastAsia="宋体"/>
                <w:color w:val="auto"/>
                <w:lang w:val="en-US" w:eastAsia="zh-CN"/>
              </w:rPr>
            </w:pPr>
          </w:p>
        </w:tc>
        <w:tc>
          <w:tcPr>
            <w:tcW w:w="667" w:type="dxa"/>
            <w:vMerge w:val="continue"/>
            <w:shd w:val="clear" w:color="auto" w:fill="FFFFFF"/>
            <w:vAlign w:val="center"/>
          </w:tcPr>
          <w:p w14:paraId="38C71577">
            <w:pPr>
              <w:pStyle w:val="59"/>
              <w:bidi w:val="0"/>
              <w:ind w:firstLine="0" w:firstLineChars="0"/>
              <w:jc w:val="center"/>
              <w:rPr>
                <w:rFonts w:hint="default" w:ascii="Times New Roman" w:hAnsi="Times New Roman" w:eastAsia="宋体" w:cs="Times New Roman"/>
                <w:color w:val="auto"/>
                <w:kern w:val="0"/>
                <w:sz w:val="21"/>
                <w:szCs w:val="20"/>
                <w:lang w:val="en-US" w:eastAsia="zh-CN" w:bidi="ar-SA"/>
              </w:rPr>
            </w:pPr>
          </w:p>
        </w:tc>
        <w:tc>
          <w:tcPr>
            <w:tcW w:w="823" w:type="dxa"/>
            <w:vMerge w:val="continue"/>
            <w:tcBorders>
              <w:right w:val="nil"/>
            </w:tcBorders>
            <w:shd w:val="clear" w:color="auto" w:fill="FFFFFF"/>
            <w:vAlign w:val="center"/>
          </w:tcPr>
          <w:p w14:paraId="28AF8597">
            <w:pPr>
              <w:pStyle w:val="59"/>
              <w:bidi w:val="0"/>
              <w:ind w:firstLine="0" w:firstLineChars="0"/>
              <w:jc w:val="center"/>
              <w:rPr>
                <w:rFonts w:ascii="Times New Roman" w:hAnsi="Times New Roman" w:eastAsia="宋体" w:cs="Times New Roman"/>
                <w:color w:val="auto"/>
                <w:kern w:val="0"/>
                <w:sz w:val="21"/>
                <w:szCs w:val="20"/>
                <w:lang w:val="en-US" w:eastAsia="zh-CN" w:bidi="ar-SA"/>
              </w:rPr>
            </w:pPr>
          </w:p>
        </w:tc>
      </w:tr>
      <w:tr w14:paraId="1EFE2D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45" w:type="dxa"/>
            <w:shd w:val="clear" w:color="auto" w:fill="FFFFFF"/>
            <w:vAlign w:val="center"/>
          </w:tcPr>
          <w:p w14:paraId="4F4EA7F0">
            <w:pPr>
              <w:pStyle w:val="59"/>
              <w:bidi w:val="0"/>
              <w:jc w:val="center"/>
              <w:rPr>
                <w:rFonts w:hint="default" w:eastAsia="宋体"/>
                <w:color w:val="auto"/>
                <w:lang w:val="en-US" w:eastAsia="zh-CN"/>
              </w:rPr>
            </w:pPr>
            <w:r>
              <w:rPr>
                <w:rFonts w:hint="eastAsia"/>
                <w:color w:val="auto"/>
                <w:lang w:val="en-US" w:eastAsia="zh-CN"/>
              </w:rPr>
              <w:t>印后车间</w:t>
            </w:r>
          </w:p>
        </w:tc>
        <w:tc>
          <w:tcPr>
            <w:tcW w:w="1822" w:type="dxa"/>
            <w:shd w:val="clear" w:color="auto" w:fill="FFFFFF"/>
            <w:vAlign w:val="center"/>
          </w:tcPr>
          <w:p w14:paraId="26B6DCF9">
            <w:pPr>
              <w:pStyle w:val="59"/>
              <w:bidi w:val="0"/>
              <w:jc w:val="center"/>
              <w:rPr>
                <w:rFonts w:hint="default"/>
                <w:color w:val="auto"/>
                <w:lang w:val="en-US" w:eastAsia="zh-CN"/>
              </w:rPr>
            </w:pPr>
            <w:r>
              <w:rPr>
                <w:rFonts w:hint="eastAsia"/>
                <w:color w:val="auto"/>
                <w:lang w:val="en-US" w:eastAsia="zh-CN"/>
              </w:rPr>
              <w:t>合掌机、定型机</w:t>
            </w:r>
          </w:p>
        </w:tc>
        <w:tc>
          <w:tcPr>
            <w:tcW w:w="1343" w:type="dxa"/>
            <w:shd w:val="clear" w:color="auto" w:fill="FFFFFF"/>
            <w:vAlign w:val="center"/>
          </w:tcPr>
          <w:p w14:paraId="1C8DDDE1">
            <w:pPr>
              <w:pStyle w:val="59"/>
              <w:bidi w:val="0"/>
              <w:jc w:val="center"/>
              <w:rPr>
                <w:color w:val="auto"/>
              </w:rPr>
            </w:pPr>
            <w:r>
              <w:rPr>
                <w:rFonts w:hint="eastAsia"/>
                <w:color w:val="auto"/>
                <w:lang w:val="en-US" w:eastAsia="zh-CN"/>
              </w:rPr>
              <w:t>合掌、定型</w:t>
            </w:r>
          </w:p>
        </w:tc>
        <w:tc>
          <w:tcPr>
            <w:tcW w:w="1155" w:type="dxa"/>
            <w:shd w:val="clear" w:color="auto" w:fill="FFFFFF"/>
            <w:vAlign w:val="center"/>
          </w:tcPr>
          <w:p w14:paraId="18918645">
            <w:pPr>
              <w:pStyle w:val="59"/>
              <w:bidi w:val="0"/>
              <w:jc w:val="center"/>
              <w:rPr>
                <w:rFonts w:hint="default"/>
                <w:color w:val="auto"/>
                <w:lang w:val="en-US"/>
              </w:rPr>
            </w:pPr>
            <w:r>
              <w:rPr>
                <w:rFonts w:hint="eastAsia" w:cs="Times New Roman"/>
                <w:color w:val="auto"/>
                <w:kern w:val="0"/>
                <w:sz w:val="21"/>
                <w:szCs w:val="20"/>
                <w:lang w:val="en-US" w:eastAsia="zh-CN" w:bidi="ar-SA"/>
              </w:rPr>
              <w:t>总VOCs、NMHC、氯化氢、氯乙烯、苯、甲苯</w:t>
            </w:r>
          </w:p>
        </w:tc>
        <w:tc>
          <w:tcPr>
            <w:tcW w:w="945" w:type="dxa"/>
            <w:shd w:val="clear" w:color="auto" w:fill="FFFFFF"/>
            <w:vAlign w:val="center"/>
          </w:tcPr>
          <w:p w14:paraId="6CA58537">
            <w:pPr>
              <w:pStyle w:val="59"/>
              <w:bidi w:val="0"/>
              <w:jc w:val="center"/>
              <w:rPr>
                <w:color w:val="auto"/>
              </w:rPr>
            </w:pPr>
            <w:r>
              <w:rPr>
                <w:rFonts w:hint="eastAsia" w:cs="Times New Roman"/>
                <w:color w:val="auto"/>
                <w:kern w:val="0"/>
                <w:sz w:val="21"/>
                <w:szCs w:val="20"/>
                <w:lang w:val="en-US" w:eastAsia="zh-CN" w:bidi="ar-SA"/>
              </w:rPr>
              <w:t>有组织</w:t>
            </w:r>
          </w:p>
        </w:tc>
        <w:tc>
          <w:tcPr>
            <w:tcW w:w="827" w:type="dxa"/>
            <w:shd w:val="clear" w:color="auto" w:fill="FFFFFF"/>
            <w:vAlign w:val="center"/>
          </w:tcPr>
          <w:p w14:paraId="3A896F68">
            <w:pPr>
              <w:pStyle w:val="59"/>
              <w:bidi w:val="0"/>
              <w:rPr>
                <w:rFonts w:hint="default"/>
                <w:lang w:val="en-US"/>
              </w:rPr>
            </w:pPr>
            <w:r>
              <w:rPr>
                <w:rFonts w:hint="eastAsia"/>
                <w:lang w:val="en-US" w:eastAsia="zh-CN"/>
              </w:rPr>
              <w:t>TA002</w:t>
            </w:r>
          </w:p>
        </w:tc>
        <w:tc>
          <w:tcPr>
            <w:tcW w:w="1520" w:type="dxa"/>
            <w:shd w:val="clear" w:color="auto" w:fill="FFFFFF"/>
            <w:vAlign w:val="center"/>
          </w:tcPr>
          <w:p w14:paraId="17FFDDB0">
            <w:pPr>
              <w:pStyle w:val="59"/>
              <w:bidi w:val="0"/>
              <w:rPr>
                <w:rFonts w:hint="default" w:eastAsia="宋体"/>
                <w:lang w:val="en-US" w:eastAsia="zh-CN"/>
              </w:rPr>
            </w:pPr>
            <w:r>
              <w:rPr>
                <w:rFonts w:hint="eastAsia"/>
                <w:lang w:val="en-US" w:eastAsia="zh-CN"/>
              </w:rPr>
              <w:t>活性炭吸附</w:t>
            </w:r>
          </w:p>
        </w:tc>
        <w:tc>
          <w:tcPr>
            <w:tcW w:w="900" w:type="dxa"/>
            <w:shd w:val="clear" w:color="auto" w:fill="FFFFFF"/>
            <w:vAlign w:val="center"/>
          </w:tcPr>
          <w:p w14:paraId="39E9A53B">
            <w:pPr>
              <w:pStyle w:val="59"/>
              <w:bidi w:val="0"/>
              <w:rPr>
                <w:rFonts w:hint="default"/>
                <w:lang w:val="en-US" w:eastAsia="zh-CN"/>
              </w:rPr>
            </w:pPr>
            <w:r>
              <w:rPr>
                <w:rFonts w:hint="eastAsia"/>
                <w:lang w:val="en-US" w:eastAsia="zh-CN"/>
              </w:rPr>
              <w:t>15000</w:t>
            </w:r>
          </w:p>
        </w:tc>
        <w:tc>
          <w:tcPr>
            <w:tcW w:w="735" w:type="dxa"/>
            <w:shd w:val="clear" w:color="auto" w:fill="FFFFFF"/>
            <w:vAlign w:val="center"/>
          </w:tcPr>
          <w:p w14:paraId="23C78C5D">
            <w:pPr>
              <w:pStyle w:val="59"/>
              <w:bidi w:val="0"/>
              <w:rPr>
                <w:rFonts w:hint="default" w:eastAsia="宋体"/>
                <w:lang w:val="en-US" w:eastAsia="zh-CN"/>
              </w:rPr>
            </w:pPr>
            <w:r>
              <w:rPr>
                <w:rFonts w:hint="eastAsia"/>
                <w:lang w:val="en-US" w:eastAsia="zh-CN"/>
              </w:rPr>
              <w:t>80%</w:t>
            </w:r>
          </w:p>
        </w:tc>
        <w:tc>
          <w:tcPr>
            <w:tcW w:w="660" w:type="dxa"/>
            <w:shd w:val="clear" w:color="auto" w:fill="FFFFFF"/>
            <w:vAlign w:val="center"/>
          </w:tcPr>
          <w:p w14:paraId="6CCF9FB6">
            <w:pPr>
              <w:pStyle w:val="59"/>
              <w:bidi w:val="0"/>
              <w:jc w:val="center"/>
              <w:rPr>
                <w:color w:val="auto"/>
              </w:rPr>
            </w:pPr>
            <w:r>
              <w:rPr>
                <w:rFonts w:hint="eastAsia"/>
                <w:color w:val="auto"/>
              </w:rPr>
              <w:t>是</w:t>
            </w:r>
          </w:p>
        </w:tc>
        <w:tc>
          <w:tcPr>
            <w:tcW w:w="780" w:type="dxa"/>
            <w:shd w:val="clear" w:color="auto" w:fill="FFFFFF"/>
            <w:vAlign w:val="center"/>
          </w:tcPr>
          <w:p w14:paraId="0F40A629">
            <w:pPr>
              <w:pStyle w:val="59"/>
              <w:bidi w:val="0"/>
              <w:jc w:val="center"/>
              <w:rPr>
                <w:rFonts w:hint="default" w:eastAsia="宋体"/>
                <w:color w:val="auto"/>
                <w:lang w:val="en-US" w:eastAsia="zh-CN"/>
              </w:rPr>
            </w:pPr>
            <w:r>
              <w:rPr>
                <w:rFonts w:hint="eastAsia" w:cs="Times New Roman"/>
                <w:color w:val="auto"/>
                <w:kern w:val="0"/>
                <w:sz w:val="21"/>
                <w:szCs w:val="20"/>
                <w:lang w:val="en-US" w:eastAsia="zh-CN" w:bidi="ar-SA"/>
              </w:rPr>
              <w:t>DA002</w:t>
            </w:r>
          </w:p>
        </w:tc>
        <w:tc>
          <w:tcPr>
            <w:tcW w:w="1054" w:type="dxa"/>
            <w:shd w:val="clear" w:color="auto" w:fill="FFFFFF"/>
            <w:vAlign w:val="center"/>
          </w:tcPr>
          <w:p w14:paraId="4C833F09">
            <w:pPr>
              <w:pStyle w:val="59"/>
              <w:bidi w:val="0"/>
              <w:jc w:val="center"/>
              <w:rPr>
                <w:color w:val="auto"/>
              </w:rPr>
            </w:pPr>
            <w:r>
              <w:rPr>
                <w:rFonts w:hint="eastAsia"/>
                <w:color w:val="auto"/>
                <w:lang w:val="en-US" w:eastAsia="zh-CN"/>
              </w:rPr>
              <w:t>合掌、定型废气排放口</w:t>
            </w:r>
          </w:p>
        </w:tc>
        <w:tc>
          <w:tcPr>
            <w:tcW w:w="667" w:type="dxa"/>
            <w:shd w:val="clear" w:color="auto" w:fill="FFFFFF"/>
            <w:vAlign w:val="center"/>
          </w:tcPr>
          <w:p w14:paraId="7EFF1402">
            <w:pPr>
              <w:pStyle w:val="59"/>
              <w:bidi w:val="0"/>
              <w:jc w:val="center"/>
              <w:rPr>
                <w:rFonts w:hint="default" w:eastAsia="宋体"/>
                <w:color w:val="auto"/>
                <w:lang w:val="en-US" w:eastAsia="zh-CN"/>
              </w:rPr>
            </w:pPr>
            <w:r>
              <w:rPr>
                <w:rFonts w:hint="eastAsia"/>
                <w:color w:val="auto"/>
                <w:lang w:val="en-US" w:eastAsia="zh-CN"/>
              </w:rPr>
              <w:t>25</w:t>
            </w:r>
          </w:p>
        </w:tc>
        <w:tc>
          <w:tcPr>
            <w:tcW w:w="823" w:type="dxa"/>
            <w:tcBorders>
              <w:right w:val="nil"/>
            </w:tcBorders>
            <w:shd w:val="clear" w:color="auto" w:fill="FFFFFF"/>
            <w:vAlign w:val="center"/>
          </w:tcPr>
          <w:p w14:paraId="622C2B2F">
            <w:pPr>
              <w:pStyle w:val="59"/>
              <w:bidi w:val="0"/>
              <w:jc w:val="center"/>
              <w:rPr>
                <w:color w:val="auto"/>
              </w:rPr>
            </w:pPr>
            <w:r>
              <w:rPr>
                <w:rFonts w:hint="eastAsia"/>
                <w:color w:val="auto"/>
              </w:rPr>
              <w:t>一般排放口</w:t>
            </w:r>
          </w:p>
        </w:tc>
      </w:tr>
    </w:tbl>
    <w:p w14:paraId="76D27494">
      <w:pPr>
        <w:ind w:firstLine="480"/>
        <w:rPr>
          <w:color w:val="auto"/>
        </w:rPr>
        <w:sectPr>
          <w:pgSz w:w="16838" w:h="11906" w:orient="landscape"/>
          <w:pgMar w:top="1417" w:right="1417" w:bottom="1417" w:left="1417" w:header="851" w:footer="992" w:gutter="0"/>
          <w:pgNumType w:fmt="decimal"/>
          <w:cols w:space="720" w:num="1"/>
          <w:docGrid w:type="lines" w:linePitch="333" w:charSpace="0"/>
        </w:sectPr>
      </w:pPr>
    </w:p>
    <w:p w14:paraId="14E6B61E">
      <w:pPr>
        <w:pStyle w:val="67"/>
        <w:numPr>
          <w:ilvl w:val="1"/>
          <w:numId w:val="8"/>
        </w:numPr>
        <w:spacing w:before="166" w:beforeLines="0" w:after="166" w:afterLines="0"/>
        <w:ind w:left="567" w:leftChars="0" w:hanging="567" w:firstLineChars="0"/>
        <w:rPr>
          <w:color w:val="auto"/>
        </w:rPr>
      </w:pPr>
      <w:bookmarkStart w:id="197" w:name="_Toc20677"/>
      <w:r>
        <w:rPr>
          <w:rFonts w:hint="eastAsia"/>
          <w:color w:val="auto"/>
        </w:rPr>
        <w:t>噪声污染防治措施及可行性分析</w:t>
      </w:r>
      <w:bookmarkEnd w:id="197"/>
    </w:p>
    <w:p w14:paraId="21207DC3">
      <w:pPr>
        <w:pStyle w:val="64"/>
        <w:numPr>
          <w:ilvl w:val="2"/>
          <w:numId w:val="8"/>
        </w:numPr>
        <w:spacing w:before="166" w:beforeLines="0" w:after="166" w:afterLines="0"/>
        <w:ind w:left="709" w:leftChars="0" w:hanging="709" w:firstLineChars="0"/>
        <w:rPr>
          <w:color w:val="auto"/>
        </w:rPr>
      </w:pPr>
      <w:bookmarkStart w:id="198" w:name="_Toc238196986"/>
      <w:r>
        <w:rPr>
          <w:rFonts w:hint="eastAsia"/>
          <w:color w:val="auto"/>
        </w:rPr>
        <w:t>噪声污染防治措施分析</w:t>
      </w:r>
      <w:bookmarkEnd w:id="198"/>
    </w:p>
    <w:p w14:paraId="5DA7F43F">
      <w:pPr>
        <w:ind w:firstLine="480"/>
        <w:rPr>
          <w:color w:val="auto"/>
        </w:rPr>
      </w:pPr>
      <w:bookmarkStart w:id="199" w:name="_Toc238196987"/>
      <w:r>
        <w:rPr>
          <w:rFonts w:hint="eastAsia"/>
          <w:color w:val="auto"/>
        </w:rPr>
        <w:t>项目运营期的噪声主要来源于车间机械设备运行噪声以及各类风机、泵等产生的噪声，包括机械噪声和空气动力学噪声。针对项目运营期的噪声，采取以下措施可有效降低生产噪声的影响：</w:t>
      </w:r>
    </w:p>
    <w:p w14:paraId="492940B3">
      <w:pPr>
        <w:ind w:firstLine="480"/>
        <w:rPr>
          <w:color w:val="auto"/>
        </w:rPr>
      </w:pPr>
      <w:r>
        <w:rPr>
          <w:rFonts w:hint="eastAsia"/>
          <w:color w:val="auto"/>
        </w:rPr>
        <w:t>（1）选用低噪声型设备，源头降噪。</w:t>
      </w:r>
    </w:p>
    <w:p w14:paraId="4B35CC08">
      <w:pPr>
        <w:ind w:firstLine="480"/>
        <w:rPr>
          <w:color w:val="auto"/>
        </w:rPr>
      </w:pPr>
      <w:r>
        <w:rPr>
          <w:rFonts w:hint="eastAsia"/>
          <w:color w:val="auto"/>
        </w:rPr>
        <w:t>（2）高噪声设备（各类风机和泵等）的底座安装减振垫，降低振动产生的噪声。</w:t>
      </w:r>
    </w:p>
    <w:p w14:paraId="1568B0B3">
      <w:pPr>
        <w:ind w:firstLine="480"/>
        <w:rPr>
          <w:color w:val="auto"/>
        </w:rPr>
      </w:pPr>
      <w:r>
        <w:rPr>
          <w:rFonts w:hint="eastAsia"/>
          <w:color w:val="auto"/>
        </w:rPr>
        <w:t>（3）高噪声设备（各类风机和泵等）放置在车间内部或者专用房间内部，利用墙体的隔声作用降噪。</w:t>
      </w:r>
    </w:p>
    <w:p w14:paraId="163BA89A">
      <w:pPr>
        <w:ind w:firstLine="480"/>
        <w:rPr>
          <w:color w:val="auto"/>
        </w:rPr>
      </w:pPr>
      <w:r>
        <w:rPr>
          <w:rFonts w:hint="eastAsia"/>
          <w:color w:val="auto"/>
        </w:rPr>
        <w:t>（4）加强处理设施的日常维护，避免非正常工况突发噪声。</w:t>
      </w:r>
    </w:p>
    <w:p w14:paraId="22E03606">
      <w:pPr>
        <w:ind w:firstLine="480"/>
        <w:rPr>
          <w:color w:val="auto"/>
        </w:rPr>
      </w:pPr>
      <w:r>
        <w:rPr>
          <w:rFonts w:hint="eastAsia"/>
          <w:color w:val="auto"/>
        </w:rPr>
        <w:t>根据声环境影响预测结果，在采取以上措施后，</w:t>
      </w:r>
      <w:r>
        <w:rPr>
          <w:rFonts w:hint="eastAsia"/>
          <w:color w:val="auto"/>
          <w:lang w:val="en-US" w:eastAsia="zh-CN"/>
        </w:rPr>
        <w:t>厂界噪声达到</w:t>
      </w:r>
      <w:r>
        <w:rPr>
          <w:rFonts w:hint="eastAsia"/>
          <w:color w:val="auto"/>
        </w:rPr>
        <w:t>《工业企业厂界环境噪声排放标准》（GB12348-2008）3类标准</w:t>
      </w:r>
      <w:r>
        <w:rPr>
          <w:color w:val="auto"/>
        </w:rPr>
        <w:t>（昼间≤65dB(A)，夜间≤55dB(A)）</w:t>
      </w:r>
      <w:r>
        <w:rPr>
          <w:rFonts w:hint="eastAsia"/>
          <w:color w:val="auto"/>
        </w:rPr>
        <w:t>。因此，拟建项目采取的噪声污染防治措施是可行的。</w:t>
      </w:r>
    </w:p>
    <w:p w14:paraId="752DF879">
      <w:pPr>
        <w:pStyle w:val="64"/>
        <w:numPr>
          <w:ilvl w:val="2"/>
          <w:numId w:val="8"/>
        </w:numPr>
        <w:spacing w:before="166" w:beforeLines="0" w:after="166" w:afterLines="0"/>
        <w:ind w:left="709" w:leftChars="0" w:hanging="709" w:firstLineChars="0"/>
        <w:rPr>
          <w:color w:val="auto"/>
        </w:rPr>
      </w:pPr>
      <w:r>
        <w:rPr>
          <w:rFonts w:hint="eastAsia"/>
          <w:color w:val="auto"/>
        </w:rPr>
        <w:t>可行性分析</w:t>
      </w:r>
      <w:bookmarkEnd w:id="199"/>
    </w:p>
    <w:p w14:paraId="39419FDF">
      <w:pPr>
        <w:ind w:firstLine="480"/>
        <w:rPr>
          <w:color w:val="auto"/>
          <w:szCs w:val="18"/>
        </w:rPr>
      </w:pPr>
      <w:r>
        <w:rPr>
          <w:rFonts w:hint="eastAsia"/>
          <w:color w:val="auto"/>
          <w:szCs w:val="18"/>
        </w:rPr>
        <w:t>噪声的污染特点是物理性的，在环境中不积累，对人体的干扰和对环境污染是暂时性的，当声源停止发声时噪声立即停止。本项目针对噪声污染的特点，在防治措施上采用吸声棉、减震垫进行降噪隔声；其次是在噪声传播途径上采取封闭、加强绿化等措施加以控制。本项目所采用的噪声污染防治措施在国内外已经普遍应用，技术上成熟可靠、经济合理。</w:t>
      </w:r>
    </w:p>
    <w:p w14:paraId="17356142">
      <w:pPr>
        <w:pStyle w:val="67"/>
        <w:numPr>
          <w:ilvl w:val="1"/>
          <w:numId w:val="8"/>
        </w:numPr>
        <w:spacing w:before="166" w:beforeLines="0" w:after="166" w:afterLines="0"/>
        <w:ind w:left="567" w:leftChars="0" w:hanging="567" w:firstLineChars="0"/>
        <w:rPr>
          <w:color w:val="auto"/>
        </w:rPr>
      </w:pPr>
      <w:bookmarkStart w:id="200" w:name="_Toc238196988"/>
      <w:bookmarkStart w:id="201" w:name="_Toc21513"/>
      <w:bookmarkStart w:id="202" w:name="_Toc246655557"/>
      <w:r>
        <w:rPr>
          <w:rFonts w:hint="eastAsia"/>
          <w:color w:val="auto"/>
        </w:rPr>
        <w:t>固废污染防治措施及可行性分析</w:t>
      </w:r>
      <w:bookmarkEnd w:id="200"/>
      <w:bookmarkEnd w:id="201"/>
      <w:bookmarkEnd w:id="202"/>
    </w:p>
    <w:p w14:paraId="585412E3">
      <w:pPr>
        <w:pStyle w:val="64"/>
        <w:numPr>
          <w:ilvl w:val="2"/>
          <w:numId w:val="8"/>
        </w:numPr>
        <w:spacing w:before="166" w:after="166"/>
        <w:ind w:left="709" w:leftChars="0" w:hanging="709" w:firstLineChars="0"/>
        <w:rPr>
          <w:color w:val="auto"/>
        </w:rPr>
      </w:pPr>
      <w:r>
        <w:rPr>
          <w:color w:val="auto"/>
        </w:rPr>
        <w:t>生活垃圾</w:t>
      </w:r>
    </w:p>
    <w:p w14:paraId="3F4E1EEC">
      <w:pPr>
        <w:ind w:firstLine="480"/>
        <w:rPr>
          <w:color w:val="auto"/>
        </w:rPr>
      </w:pPr>
      <w:r>
        <w:rPr>
          <w:color w:val="auto"/>
        </w:rPr>
        <w:t>项目产生的生活垃圾来源于员工生活垃圾。项目生产车间放置生活垃圾分类收集箱，并定期交由环卫部门清运，经妥善处理后不会对周围环境产生明显的影响。</w:t>
      </w:r>
    </w:p>
    <w:p w14:paraId="05F821F5">
      <w:pPr>
        <w:pStyle w:val="64"/>
        <w:numPr>
          <w:ilvl w:val="2"/>
          <w:numId w:val="8"/>
        </w:numPr>
        <w:spacing w:before="166" w:after="166"/>
        <w:ind w:left="709" w:leftChars="0" w:hanging="709" w:firstLineChars="0"/>
        <w:rPr>
          <w:color w:val="auto"/>
        </w:rPr>
      </w:pPr>
      <w:r>
        <w:rPr>
          <w:color w:val="auto"/>
        </w:rPr>
        <w:t>一般工业固体废物</w:t>
      </w:r>
    </w:p>
    <w:p w14:paraId="608780DE">
      <w:pPr>
        <w:ind w:firstLine="480"/>
        <w:rPr>
          <w:color w:val="auto"/>
        </w:rPr>
      </w:pPr>
      <w:r>
        <w:rPr>
          <w:rFonts w:hint="eastAsia"/>
          <w:color w:val="auto"/>
        </w:rPr>
        <w:t>建设项目产生的一般固废有废普通包装物、</w:t>
      </w:r>
      <w:r>
        <w:rPr>
          <w:rFonts w:hint="eastAsia"/>
          <w:color w:val="auto"/>
          <w:lang w:val="en-US" w:eastAsia="zh-CN"/>
        </w:rPr>
        <w:t>次品、废边角料</w:t>
      </w:r>
      <w:r>
        <w:rPr>
          <w:rFonts w:hint="eastAsia"/>
          <w:color w:val="auto"/>
        </w:rPr>
        <w:t>。</w:t>
      </w:r>
      <w:r>
        <w:rPr>
          <w:color w:val="auto"/>
        </w:rPr>
        <w:t>统一收集暂存在废料区，并做好分类摆放，定期交由</w:t>
      </w:r>
      <w:r>
        <w:rPr>
          <w:rFonts w:hint="eastAsia"/>
          <w:color w:val="auto"/>
          <w:lang w:val="en-US" w:eastAsia="zh-CN"/>
        </w:rPr>
        <w:t>一般工业固废处理单位</w:t>
      </w:r>
      <w:r>
        <w:rPr>
          <w:rFonts w:hint="eastAsia"/>
          <w:color w:val="auto"/>
        </w:rPr>
        <w:t>或资源回收公司</w:t>
      </w:r>
      <w:r>
        <w:rPr>
          <w:color w:val="auto"/>
        </w:rPr>
        <w:t>进行处理；以上一般工业固体废物经妥善处理后不会对周围环境产生明显的影响。</w:t>
      </w:r>
    </w:p>
    <w:p w14:paraId="3642CE6F">
      <w:pPr>
        <w:ind w:firstLine="480"/>
        <w:rPr>
          <w:color w:val="auto"/>
        </w:rPr>
      </w:pPr>
      <w:r>
        <w:rPr>
          <w:rFonts w:hint="eastAsia"/>
          <w:color w:val="auto"/>
        </w:rPr>
        <w:t>一般工业固体废物(不含生活垃圾)的贮存仓库（台帐、标识）要求：</w:t>
      </w:r>
    </w:p>
    <w:p w14:paraId="3B6FF15E">
      <w:pPr>
        <w:ind w:firstLine="480"/>
        <w:rPr>
          <w:color w:val="auto"/>
        </w:rPr>
      </w:pPr>
      <w:r>
        <w:rPr>
          <w:rFonts w:hint="eastAsia"/>
          <w:color w:val="auto"/>
        </w:rPr>
        <w:t>（一）仓库室内悬挂每一种废物的《江门市工业固体废物台账记录本》。</w:t>
      </w:r>
    </w:p>
    <w:p w14:paraId="1C8DD39C">
      <w:pPr>
        <w:ind w:firstLine="480"/>
        <w:rPr>
          <w:color w:val="auto"/>
        </w:rPr>
      </w:pPr>
      <w:r>
        <w:rPr>
          <w:rFonts w:hint="eastAsia"/>
          <w:color w:val="auto"/>
        </w:rPr>
        <w:t>（二）仓库门口悬挂</w:t>
      </w:r>
      <w:r>
        <w:rPr>
          <w:rFonts w:hint="eastAsia"/>
          <w:color w:val="auto"/>
          <w:lang w:val="en-US" w:eastAsia="zh-CN"/>
        </w:rPr>
        <w:t>一般固体废物</w:t>
      </w:r>
      <w:r>
        <w:rPr>
          <w:rFonts w:hint="eastAsia"/>
          <w:color w:val="auto"/>
        </w:rPr>
        <w:t>标识。</w:t>
      </w:r>
    </w:p>
    <w:p w14:paraId="299B23C2">
      <w:pPr>
        <w:pStyle w:val="64"/>
        <w:numPr>
          <w:ilvl w:val="2"/>
          <w:numId w:val="8"/>
        </w:numPr>
        <w:spacing w:before="166" w:after="166"/>
        <w:ind w:left="709" w:leftChars="0" w:hanging="709" w:firstLineChars="0"/>
        <w:rPr>
          <w:color w:val="auto"/>
        </w:rPr>
      </w:pPr>
      <w:r>
        <w:rPr>
          <w:color w:val="auto"/>
        </w:rPr>
        <w:t xml:space="preserve">危险废物 </w:t>
      </w:r>
    </w:p>
    <w:p w14:paraId="7D510E21">
      <w:pPr>
        <w:ind w:firstLine="480"/>
        <w:rPr>
          <w:rFonts w:ascii="Times New Roman" w:hAnsi="Times New Roman"/>
          <w:color w:val="auto"/>
        </w:rPr>
      </w:pPr>
      <w:r>
        <w:rPr>
          <w:rFonts w:hint="eastAsia" w:ascii="Times New Roman" w:hAnsi="Times New Roman"/>
          <w:color w:val="auto"/>
        </w:rPr>
        <w:t>根据《中华人民共和国固体废物污染环境防治法》要求，建设单位应做好以下防治措施：</w:t>
      </w:r>
    </w:p>
    <w:p w14:paraId="464F2F9C">
      <w:pPr>
        <w:numPr>
          <w:ilvl w:val="0"/>
          <w:numId w:val="54"/>
        </w:numPr>
        <w:ind w:left="0" w:firstLine="480"/>
        <w:rPr>
          <w:rFonts w:hint="eastAsia" w:ascii="Times New Roman" w:hAnsi="Times New Roman"/>
          <w:color w:val="auto"/>
        </w:rPr>
      </w:pPr>
      <w:r>
        <w:rPr>
          <w:rFonts w:hint="eastAsia" w:ascii="Times New Roman" w:hAnsi="Times New Roman"/>
          <w:color w:val="auto"/>
        </w:rPr>
        <w:t>建设单位和个人应当依法在指定的地点分类投放生活垃圾。禁止随意倾倒、抛撒、堆放或者焚烧生活垃圾。</w:t>
      </w:r>
    </w:p>
    <w:p w14:paraId="21BA67E6">
      <w:pPr>
        <w:numPr>
          <w:ilvl w:val="0"/>
          <w:numId w:val="54"/>
        </w:numPr>
        <w:ind w:left="0" w:firstLine="480"/>
        <w:rPr>
          <w:rFonts w:hint="eastAsia" w:ascii="Times New Roman" w:hAnsi="Times New Roman"/>
          <w:color w:val="auto"/>
        </w:rPr>
      </w:pPr>
      <w:r>
        <w:rPr>
          <w:rFonts w:hint="eastAsia" w:ascii="Times New Roman" w:hAnsi="Times New Roman"/>
          <w:color w:val="auto"/>
        </w:rPr>
        <w:t>建设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0B80B54D">
      <w:pPr>
        <w:numPr>
          <w:ilvl w:val="0"/>
          <w:numId w:val="54"/>
        </w:numPr>
        <w:ind w:left="0" w:firstLine="480"/>
        <w:rPr>
          <w:rFonts w:ascii="Times New Roman" w:hAnsi="Times New Roman"/>
          <w:color w:val="auto"/>
        </w:rPr>
      </w:pPr>
      <w:r>
        <w:rPr>
          <w:rFonts w:hint="eastAsia" w:ascii="Times New Roman" w:hAnsi="Times New Roman"/>
          <w:color w:val="auto"/>
        </w:rPr>
        <w:t>禁止向生活垃圾收集设施中投放工业固体废物。</w:t>
      </w:r>
    </w:p>
    <w:p w14:paraId="70D70926">
      <w:pPr>
        <w:numPr>
          <w:ilvl w:val="0"/>
          <w:numId w:val="54"/>
        </w:numPr>
        <w:ind w:left="0" w:firstLine="480"/>
        <w:rPr>
          <w:rFonts w:ascii="Times New Roman" w:hAnsi="Times New Roman"/>
          <w:color w:val="auto"/>
        </w:rPr>
      </w:pPr>
      <w:r>
        <w:rPr>
          <w:rFonts w:hint="eastAsia" w:ascii="Times New Roman" w:hAnsi="Times New Roman"/>
          <w:color w:val="auto"/>
        </w:rPr>
        <w:t>建设单位委托他人运输、利用、处置工业固体废物的，应当对受托方的主体资格和技术能力进行核实，依法签订书面合同，在合同中约定污染防治要求。</w:t>
      </w:r>
    </w:p>
    <w:p w14:paraId="6F8C1E5D">
      <w:pPr>
        <w:numPr>
          <w:ilvl w:val="0"/>
          <w:numId w:val="54"/>
        </w:numPr>
        <w:ind w:left="0" w:firstLine="480"/>
        <w:rPr>
          <w:rFonts w:hint="eastAsia" w:ascii="Times New Roman" w:hAnsi="Times New Roman" w:cs="宋体"/>
          <w:bCs/>
          <w:color w:val="auto"/>
          <w:spacing w:val="-10"/>
          <w:szCs w:val="21"/>
        </w:rPr>
      </w:pPr>
      <w:r>
        <w:rPr>
          <w:rFonts w:hint="eastAsia" w:ascii="Times New Roman" w:hAnsi="Times New Roman"/>
          <w:color w:val="auto"/>
        </w:rPr>
        <w:t>建设单位应当向所在地生态环境主管部门提供工业固体废物的种类、数量、流向、贮存、利用、处置等有关资料，以及减少工业固体废物产生、促进综合利用的具体措施，并执行排污许可管理制度的相关规定。</w:t>
      </w:r>
    </w:p>
    <w:p w14:paraId="76A7594A">
      <w:pPr>
        <w:numPr>
          <w:ilvl w:val="0"/>
          <w:numId w:val="54"/>
        </w:numPr>
        <w:ind w:left="0" w:firstLine="480"/>
        <w:rPr>
          <w:rFonts w:hint="eastAsia" w:ascii="Times New Roman" w:hAnsi="Times New Roman"/>
          <w:color w:val="auto"/>
        </w:rPr>
      </w:pPr>
      <w:r>
        <w:rPr>
          <w:rFonts w:hint="eastAsia" w:ascii="Times New Roman" w:hAnsi="Times New Roman"/>
          <w:color w:val="auto"/>
        </w:rPr>
        <w:t>危险废物从产生、收集、贮运、转运、处置等各个环节都可能因管理不善而进入环境，因此在各个环节中，抛落、渗漏、丢弃等不完善问题都可能存在，为了使各种危险废物能更好的达到合法合理处置的目的，本评价拟按照《危险废物贮存污染控制标准》等国家相关法律，提出相应的治理措施，以进一步规范项目在收集、贮运、处置方式等操作过程。</w:t>
      </w:r>
    </w:p>
    <w:p w14:paraId="69BD5C01">
      <w:pPr>
        <w:ind w:firstLine="480"/>
        <w:rPr>
          <w:rFonts w:ascii="Times New Roman" w:hAnsi="Times New Roman"/>
          <w:color w:val="auto"/>
        </w:rPr>
      </w:pPr>
      <w:r>
        <w:rPr>
          <w:rFonts w:ascii="Times New Roman" w:hAnsi="Times New Roman"/>
          <w:color w:val="auto"/>
        </w:rPr>
        <w:t>①收集、贮存</w:t>
      </w:r>
    </w:p>
    <w:p w14:paraId="06A68CA3">
      <w:pPr>
        <w:bidi w:val="0"/>
        <w:rPr>
          <w:color w:val="auto"/>
        </w:rPr>
      </w:pPr>
      <w:r>
        <w:rPr>
          <w:rFonts w:ascii="Times New Roman" w:hAnsi="Times New Roman"/>
          <w:color w:val="auto"/>
        </w:rPr>
        <w:t>建设单位应根据废物特性设置符合《危险废物贮存污染控制标准》（GB18597-20</w:t>
      </w:r>
      <w:r>
        <w:rPr>
          <w:rFonts w:hint="eastAsia" w:ascii="Times New Roman" w:hAnsi="Times New Roman"/>
          <w:color w:val="auto"/>
        </w:rPr>
        <w:t>23</w:t>
      </w:r>
      <w:r>
        <w:rPr>
          <w:rFonts w:ascii="Times New Roman" w:hAnsi="Times New Roman"/>
          <w:color w:val="auto"/>
        </w:rPr>
        <w:t>）要求的危险废物暂存场所，且在暂存场所上空设有防雨淋设施，地面采取防渗措施，危险废物收集后分别临时贮存于废物储罐内；根据生产需要合理设置贮存量，尽量减少厂内的物料贮存量；严禁将危险废物混入生活垃圾；堆放危险废物的地方要有明显的标志，堆放点要防雨、防渗、防漏，应按要求进行包装贮存。</w:t>
      </w:r>
      <w:r>
        <w:rPr>
          <w:color w:val="auto"/>
        </w:rPr>
        <w:t xml:space="preserve"> </w:t>
      </w:r>
    </w:p>
    <w:p w14:paraId="3FA3B09D">
      <w:pPr>
        <w:pStyle w:val="62"/>
        <w:rPr>
          <w:color w:val="auto"/>
        </w:rPr>
      </w:pPr>
      <w:r>
        <w:rPr>
          <w:rFonts w:hint="eastAsia"/>
          <w:color w:val="auto"/>
          <w:lang w:val="en-US" w:eastAsia="zh-CN"/>
        </w:rPr>
        <w:t xml:space="preserve">表5.4-1  </w:t>
      </w:r>
      <w:r>
        <w:rPr>
          <w:color w:val="auto"/>
        </w:rPr>
        <w:t>项目危险废物贮存场所（设施）基本情况</w:t>
      </w:r>
    </w:p>
    <w:tbl>
      <w:tblPr>
        <w:tblStyle w:val="38"/>
        <w:tblW w:w="945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7"/>
        <w:gridCol w:w="720"/>
        <w:gridCol w:w="2193"/>
        <w:gridCol w:w="807"/>
        <w:gridCol w:w="1308"/>
        <w:gridCol w:w="611"/>
        <w:gridCol w:w="849"/>
        <w:gridCol w:w="1058"/>
        <w:gridCol w:w="794"/>
        <w:gridCol w:w="642"/>
      </w:tblGrid>
      <w:tr w14:paraId="4E73C1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77" w:type="dxa"/>
            <w:vMerge w:val="restart"/>
            <w:vAlign w:val="center"/>
          </w:tcPr>
          <w:p w14:paraId="43A01660">
            <w:pPr>
              <w:pStyle w:val="69"/>
              <w:rPr>
                <w:color w:val="auto"/>
              </w:rPr>
            </w:pPr>
            <w:r>
              <w:rPr>
                <w:color w:val="auto"/>
              </w:rPr>
              <w:t>序号</w:t>
            </w:r>
          </w:p>
        </w:tc>
        <w:tc>
          <w:tcPr>
            <w:tcW w:w="720" w:type="dxa"/>
            <w:vMerge w:val="restart"/>
            <w:vAlign w:val="center"/>
          </w:tcPr>
          <w:p w14:paraId="6ADE7064">
            <w:pPr>
              <w:pStyle w:val="69"/>
              <w:rPr>
                <w:color w:val="auto"/>
              </w:rPr>
            </w:pPr>
            <w:r>
              <w:rPr>
                <w:color w:val="auto"/>
              </w:rPr>
              <w:t>贮存场所</w:t>
            </w:r>
          </w:p>
        </w:tc>
        <w:tc>
          <w:tcPr>
            <w:tcW w:w="2193" w:type="dxa"/>
            <w:vMerge w:val="restart"/>
            <w:vAlign w:val="center"/>
          </w:tcPr>
          <w:p w14:paraId="0ABABDAE">
            <w:pPr>
              <w:pStyle w:val="69"/>
              <w:rPr>
                <w:color w:val="auto"/>
              </w:rPr>
            </w:pPr>
            <w:r>
              <w:rPr>
                <w:color w:val="auto"/>
              </w:rPr>
              <w:t>名称</w:t>
            </w:r>
          </w:p>
        </w:tc>
        <w:tc>
          <w:tcPr>
            <w:tcW w:w="807" w:type="dxa"/>
            <w:vMerge w:val="restart"/>
            <w:vAlign w:val="center"/>
          </w:tcPr>
          <w:p w14:paraId="158B62FE">
            <w:pPr>
              <w:pStyle w:val="69"/>
              <w:rPr>
                <w:color w:val="auto"/>
              </w:rPr>
            </w:pPr>
            <w:r>
              <w:rPr>
                <w:color w:val="auto"/>
              </w:rPr>
              <w:t>类别</w:t>
            </w:r>
          </w:p>
        </w:tc>
        <w:tc>
          <w:tcPr>
            <w:tcW w:w="1308" w:type="dxa"/>
            <w:vMerge w:val="restart"/>
            <w:vAlign w:val="center"/>
          </w:tcPr>
          <w:p w14:paraId="4048EE92">
            <w:pPr>
              <w:pStyle w:val="69"/>
              <w:rPr>
                <w:color w:val="auto"/>
              </w:rPr>
            </w:pPr>
            <w:r>
              <w:rPr>
                <w:color w:val="auto"/>
              </w:rPr>
              <w:t>代码</w:t>
            </w:r>
          </w:p>
        </w:tc>
        <w:tc>
          <w:tcPr>
            <w:tcW w:w="611" w:type="dxa"/>
            <w:vMerge w:val="restart"/>
            <w:vAlign w:val="center"/>
          </w:tcPr>
          <w:p w14:paraId="5492D7CD">
            <w:pPr>
              <w:pStyle w:val="69"/>
              <w:rPr>
                <w:color w:val="auto"/>
              </w:rPr>
            </w:pPr>
            <w:r>
              <w:rPr>
                <w:color w:val="auto"/>
              </w:rPr>
              <w:t>位置</w:t>
            </w:r>
          </w:p>
        </w:tc>
        <w:tc>
          <w:tcPr>
            <w:tcW w:w="849" w:type="dxa"/>
            <w:vMerge w:val="restart"/>
            <w:vAlign w:val="center"/>
          </w:tcPr>
          <w:p w14:paraId="1A871EFC">
            <w:pPr>
              <w:pStyle w:val="69"/>
              <w:rPr>
                <w:rFonts w:hint="default" w:eastAsia="宋体"/>
                <w:color w:val="auto"/>
                <w:lang w:val="en-US" w:eastAsia="zh-CN"/>
              </w:rPr>
            </w:pPr>
            <w:r>
              <w:rPr>
                <w:color w:val="auto"/>
              </w:rPr>
              <w:t>占地面积</w:t>
            </w:r>
            <w:r>
              <w:rPr>
                <w:rFonts w:hint="eastAsia"/>
                <w:color w:val="auto"/>
                <w:lang w:val="en-US" w:eastAsia="zh-CN"/>
              </w:rPr>
              <w:t>m</w:t>
            </w:r>
            <w:r>
              <w:rPr>
                <w:rFonts w:hint="eastAsia"/>
                <w:color w:val="auto"/>
                <w:vertAlign w:val="superscript"/>
                <w:lang w:val="en-US" w:eastAsia="zh-CN"/>
              </w:rPr>
              <w:t>2</w:t>
            </w:r>
          </w:p>
        </w:tc>
        <w:tc>
          <w:tcPr>
            <w:tcW w:w="2494" w:type="dxa"/>
            <w:gridSpan w:val="3"/>
            <w:vAlign w:val="center"/>
          </w:tcPr>
          <w:p w14:paraId="3BC16D3E">
            <w:pPr>
              <w:pStyle w:val="69"/>
              <w:rPr>
                <w:color w:val="auto"/>
              </w:rPr>
            </w:pPr>
            <w:r>
              <w:rPr>
                <w:color w:val="auto"/>
              </w:rPr>
              <w:t>贮存</w:t>
            </w:r>
          </w:p>
        </w:tc>
      </w:tr>
      <w:tr w14:paraId="6B6E0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77" w:type="dxa"/>
            <w:vMerge w:val="continue"/>
            <w:vAlign w:val="center"/>
          </w:tcPr>
          <w:p w14:paraId="4EA0EDCC">
            <w:pPr>
              <w:pStyle w:val="69"/>
              <w:rPr>
                <w:color w:val="auto"/>
              </w:rPr>
            </w:pPr>
          </w:p>
        </w:tc>
        <w:tc>
          <w:tcPr>
            <w:tcW w:w="720" w:type="dxa"/>
            <w:vMerge w:val="continue"/>
            <w:vAlign w:val="center"/>
          </w:tcPr>
          <w:p w14:paraId="3D67EB5C">
            <w:pPr>
              <w:pStyle w:val="69"/>
              <w:rPr>
                <w:color w:val="auto"/>
              </w:rPr>
            </w:pPr>
          </w:p>
        </w:tc>
        <w:tc>
          <w:tcPr>
            <w:tcW w:w="2193" w:type="dxa"/>
            <w:vMerge w:val="continue"/>
            <w:vAlign w:val="center"/>
          </w:tcPr>
          <w:p w14:paraId="1CE7889C">
            <w:pPr>
              <w:pStyle w:val="69"/>
              <w:rPr>
                <w:color w:val="auto"/>
              </w:rPr>
            </w:pPr>
          </w:p>
        </w:tc>
        <w:tc>
          <w:tcPr>
            <w:tcW w:w="807" w:type="dxa"/>
            <w:vMerge w:val="continue"/>
            <w:vAlign w:val="center"/>
          </w:tcPr>
          <w:p w14:paraId="4A64E6FD">
            <w:pPr>
              <w:pStyle w:val="69"/>
              <w:rPr>
                <w:color w:val="auto"/>
              </w:rPr>
            </w:pPr>
          </w:p>
        </w:tc>
        <w:tc>
          <w:tcPr>
            <w:tcW w:w="1308" w:type="dxa"/>
            <w:vMerge w:val="continue"/>
            <w:vAlign w:val="center"/>
          </w:tcPr>
          <w:p w14:paraId="6FCC4F6B">
            <w:pPr>
              <w:pStyle w:val="69"/>
              <w:rPr>
                <w:color w:val="auto"/>
              </w:rPr>
            </w:pPr>
          </w:p>
        </w:tc>
        <w:tc>
          <w:tcPr>
            <w:tcW w:w="611" w:type="dxa"/>
            <w:vMerge w:val="continue"/>
            <w:vAlign w:val="center"/>
          </w:tcPr>
          <w:p w14:paraId="5044DFD5">
            <w:pPr>
              <w:pStyle w:val="69"/>
              <w:rPr>
                <w:color w:val="auto"/>
              </w:rPr>
            </w:pPr>
          </w:p>
        </w:tc>
        <w:tc>
          <w:tcPr>
            <w:tcW w:w="849" w:type="dxa"/>
            <w:vMerge w:val="continue"/>
            <w:vAlign w:val="center"/>
          </w:tcPr>
          <w:p w14:paraId="69F57978">
            <w:pPr>
              <w:pStyle w:val="69"/>
              <w:rPr>
                <w:color w:val="auto"/>
              </w:rPr>
            </w:pPr>
          </w:p>
        </w:tc>
        <w:tc>
          <w:tcPr>
            <w:tcW w:w="1058" w:type="dxa"/>
            <w:vAlign w:val="center"/>
          </w:tcPr>
          <w:p w14:paraId="52E2ED24">
            <w:pPr>
              <w:pStyle w:val="69"/>
              <w:rPr>
                <w:color w:val="auto"/>
              </w:rPr>
            </w:pPr>
            <w:r>
              <w:rPr>
                <w:color w:val="auto"/>
              </w:rPr>
              <w:t>方式</w:t>
            </w:r>
          </w:p>
        </w:tc>
        <w:tc>
          <w:tcPr>
            <w:tcW w:w="794" w:type="dxa"/>
            <w:vAlign w:val="center"/>
          </w:tcPr>
          <w:p w14:paraId="20F2248A">
            <w:pPr>
              <w:pStyle w:val="69"/>
              <w:rPr>
                <w:color w:val="auto"/>
              </w:rPr>
            </w:pPr>
            <w:r>
              <w:rPr>
                <w:color w:val="auto"/>
              </w:rPr>
              <w:t>能力</w:t>
            </w:r>
          </w:p>
        </w:tc>
        <w:tc>
          <w:tcPr>
            <w:tcW w:w="642" w:type="dxa"/>
            <w:vAlign w:val="center"/>
          </w:tcPr>
          <w:p w14:paraId="272CE7BF">
            <w:pPr>
              <w:pStyle w:val="69"/>
              <w:rPr>
                <w:color w:val="auto"/>
              </w:rPr>
            </w:pPr>
            <w:r>
              <w:rPr>
                <w:color w:val="auto"/>
              </w:rPr>
              <w:t>周期</w:t>
            </w:r>
          </w:p>
        </w:tc>
      </w:tr>
      <w:tr w14:paraId="7EC06E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 w:type="dxa"/>
            <w:vAlign w:val="center"/>
          </w:tcPr>
          <w:p w14:paraId="317DCC92">
            <w:pPr>
              <w:pStyle w:val="69"/>
              <w:rPr>
                <w:color w:val="auto"/>
              </w:rPr>
            </w:pPr>
            <w:r>
              <w:rPr>
                <w:color w:val="auto"/>
              </w:rPr>
              <w:t>1</w:t>
            </w:r>
          </w:p>
        </w:tc>
        <w:tc>
          <w:tcPr>
            <w:tcW w:w="720" w:type="dxa"/>
            <w:vMerge w:val="restart"/>
            <w:vAlign w:val="center"/>
          </w:tcPr>
          <w:p w14:paraId="183F3256">
            <w:pPr>
              <w:pStyle w:val="69"/>
              <w:rPr>
                <w:color w:val="auto"/>
              </w:rPr>
            </w:pPr>
            <w:r>
              <w:rPr>
                <w:color w:val="auto"/>
              </w:rPr>
              <w:t>危废暂存间</w:t>
            </w:r>
          </w:p>
        </w:tc>
        <w:tc>
          <w:tcPr>
            <w:tcW w:w="2193" w:type="dxa"/>
            <w:shd w:val="clear" w:color="auto" w:fill="auto"/>
            <w:vAlign w:val="center"/>
          </w:tcPr>
          <w:p w14:paraId="00C2049B">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废包装桶</w:t>
            </w:r>
          </w:p>
        </w:tc>
        <w:tc>
          <w:tcPr>
            <w:tcW w:w="807" w:type="dxa"/>
            <w:shd w:val="clear" w:color="auto" w:fill="auto"/>
            <w:vAlign w:val="center"/>
          </w:tcPr>
          <w:p w14:paraId="01C1B81F">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308" w:type="dxa"/>
            <w:shd w:val="clear" w:color="auto" w:fill="auto"/>
            <w:vAlign w:val="center"/>
          </w:tcPr>
          <w:p w14:paraId="5CD810BC">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611" w:type="dxa"/>
            <w:vMerge w:val="restart"/>
            <w:vAlign w:val="center"/>
          </w:tcPr>
          <w:p w14:paraId="733880F6">
            <w:pPr>
              <w:pStyle w:val="69"/>
              <w:rPr>
                <w:rFonts w:hint="default" w:eastAsia="宋体"/>
                <w:color w:val="auto"/>
                <w:lang w:val="en-US" w:eastAsia="zh-CN"/>
              </w:rPr>
            </w:pPr>
            <w:r>
              <w:rPr>
                <w:rFonts w:hint="eastAsia"/>
                <w:color w:val="auto"/>
                <w:lang w:val="en-US" w:eastAsia="zh-CN"/>
              </w:rPr>
              <w:t>厂房内</w:t>
            </w:r>
          </w:p>
        </w:tc>
        <w:tc>
          <w:tcPr>
            <w:tcW w:w="849" w:type="dxa"/>
            <w:vAlign w:val="center"/>
          </w:tcPr>
          <w:p w14:paraId="33D0292E">
            <w:pPr>
              <w:pStyle w:val="69"/>
              <w:rPr>
                <w:rFonts w:hint="default" w:eastAsia="宋体"/>
                <w:color w:val="auto"/>
                <w:lang w:val="en-US" w:eastAsia="zh-CN"/>
              </w:rPr>
            </w:pPr>
            <w:r>
              <w:rPr>
                <w:rFonts w:hint="eastAsia"/>
                <w:color w:val="auto"/>
                <w:lang w:val="en-US" w:eastAsia="zh-CN"/>
              </w:rPr>
              <w:t>4</w:t>
            </w:r>
          </w:p>
        </w:tc>
        <w:tc>
          <w:tcPr>
            <w:tcW w:w="1058" w:type="dxa"/>
            <w:tcBorders>
              <w:top w:val="single" w:color="000000" w:sz="4" w:space="0"/>
              <w:bottom w:val="single" w:color="000000" w:sz="4" w:space="0"/>
            </w:tcBorders>
            <w:vAlign w:val="center"/>
          </w:tcPr>
          <w:p w14:paraId="31CFA184">
            <w:pPr>
              <w:pStyle w:val="69"/>
              <w:rPr>
                <w:color w:val="auto"/>
              </w:rPr>
            </w:pPr>
            <w:r>
              <w:rPr>
                <w:rFonts w:hint="eastAsia"/>
                <w:color w:val="auto"/>
                <w:lang w:val="en-US" w:eastAsia="zh-CN"/>
              </w:rPr>
              <w:t>防渗</w:t>
            </w:r>
            <w:r>
              <w:rPr>
                <w:rFonts w:hint="eastAsia"/>
                <w:color w:val="auto"/>
              </w:rPr>
              <w:t>袋装</w:t>
            </w:r>
          </w:p>
        </w:tc>
        <w:tc>
          <w:tcPr>
            <w:tcW w:w="794" w:type="dxa"/>
            <w:tcBorders>
              <w:top w:val="single" w:color="000000" w:sz="4" w:space="0"/>
              <w:bottom w:val="single" w:color="000000" w:sz="4" w:space="0"/>
            </w:tcBorders>
            <w:shd w:val="clear" w:color="auto" w:fill="auto"/>
            <w:vAlign w:val="center"/>
          </w:tcPr>
          <w:p w14:paraId="4D3673AA">
            <w:pPr>
              <w:pStyle w:val="69"/>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4</w:t>
            </w:r>
          </w:p>
        </w:tc>
        <w:tc>
          <w:tcPr>
            <w:tcW w:w="642" w:type="dxa"/>
            <w:vAlign w:val="center"/>
          </w:tcPr>
          <w:p w14:paraId="34B1A4CC">
            <w:pPr>
              <w:pStyle w:val="69"/>
              <w:rPr>
                <w:rFonts w:hint="eastAsia" w:eastAsia="宋体"/>
                <w:color w:val="auto"/>
                <w:lang w:eastAsia="zh-CN"/>
              </w:rPr>
            </w:pPr>
            <w:r>
              <w:rPr>
                <w:rFonts w:hint="eastAsia"/>
                <w:color w:val="auto"/>
                <w:lang w:val="en-US" w:eastAsia="zh-CN"/>
              </w:rPr>
              <w:t>半年</w:t>
            </w:r>
          </w:p>
        </w:tc>
      </w:tr>
      <w:tr w14:paraId="05154F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 w:type="dxa"/>
            <w:vAlign w:val="center"/>
          </w:tcPr>
          <w:p w14:paraId="7D29016E">
            <w:pPr>
              <w:pStyle w:val="69"/>
              <w:rPr>
                <w:color w:val="auto"/>
              </w:rPr>
            </w:pPr>
            <w:r>
              <w:rPr>
                <w:color w:val="auto"/>
              </w:rPr>
              <w:t>2</w:t>
            </w:r>
          </w:p>
        </w:tc>
        <w:tc>
          <w:tcPr>
            <w:tcW w:w="720" w:type="dxa"/>
            <w:vMerge w:val="continue"/>
            <w:vAlign w:val="center"/>
          </w:tcPr>
          <w:p w14:paraId="2FB704CC">
            <w:pPr>
              <w:pStyle w:val="69"/>
              <w:rPr>
                <w:color w:val="auto"/>
              </w:rPr>
            </w:pPr>
          </w:p>
        </w:tc>
        <w:tc>
          <w:tcPr>
            <w:tcW w:w="2193" w:type="dxa"/>
            <w:shd w:val="clear" w:color="auto" w:fill="auto"/>
            <w:vAlign w:val="center"/>
          </w:tcPr>
          <w:p w14:paraId="178472B3">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废油墨</w:t>
            </w:r>
          </w:p>
        </w:tc>
        <w:tc>
          <w:tcPr>
            <w:tcW w:w="807" w:type="dxa"/>
            <w:shd w:val="clear" w:color="auto" w:fill="auto"/>
            <w:vAlign w:val="center"/>
          </w:tcPr>
          <w:p w14:paraId="64AFE96E">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HW12</w:t>
            </w:r>
          </w:p>
        </w:tc>
        <w:tc>
          <w:tcPr>
            <w:tcW w:w="1308" w:type="dxa"/>
            <w:shd w:val="clear" w:color="auto" w:fill="auto"/>
            <w:vAlign w:val="center"/>
          </w:tcPr>
          <w:p w14:paraId="48C8A904">
            <w:pPr>
              <w:pStyle w:val="59"/>
              <w:bidi w:val="0"/>
              <w:ind w:firstLine="0" w:firstLineChars="0"/>
              <w:rPr>
                <w:rFonts w:ascii="Times New Roman" w:hAnsi="Times New Roman" w:eastAsia="宋体" w:cs="Times New Roman"/>
                <w:color w:val="auto"/>
                <w:kern w:val="0"/>
                <w:sz w:val="21"/>
                <w:szCs w:val="20"/>
                <w:lang w:val="en-US" w:eastAsia="zh-CN" w:bidi="ar-SA"/>
              </w:rPr>
            </w:pPr>
            <w:r>
              <w:t>264-013-12</w:t>
            </w:r>
          </w:p>
        </w:tc>
        <w:tc>
          <w:tcPr>
            <w:tcW w:w="611" w:type="dxa"/>
            <w:vMerge w:val="continue"/>
            <w:vAlign w:val="center"/>
          </w:tcPr>
          <w:p w14:paraId="54797EB6">
            <w:pPr>
              <w:pStyle w:val="69"/>
              <w:rPr>
                <w:color w:val="auto"/>
              </w:rPr>
            </w:pPr>
          </w:p>
        </w:tc>
        <w:tc>
          <w:tcPr>
            <w:tcW w:w="849" w:type="dxa"/>
            <w:vAlign w:val="center"/>
          </w:tcPr>
          <w:p w14:paraId="13726E1D">
            <w:pPr>
              <w:pStyle w:val="69"/>
              <w:rPr>
                <w:rFonts w:hint="default" w:eastAsia="宋体"/>
                <w:color w:val="auto"/>
                <w:lang w:val="en-US" w:eastAsia="zh-CN"/>
              </w:rPr>
            </w:pPr>
            <w:r>
              <w:rPr>
                <w:rFonts w:hint="eastAsia"/>
                <w:color w:val="auto"/>
                <w:lang w:val="en-US" w:eastAsia="zh-CN"/>
              </w:rPr>
              <w:t>1</w:t>
            </w:r>
          </w:p>
        </w:tc>
        <w:tc>
          <w:tcPr>
            <w:tcW w:w="1058" w:type="dxa"/>
            <w:vAlign w:val="center"/>
          </w:tcPr>
          <w:p w14:paraId="55DF95A3">
            <w:pPr>
              <w:pStyle w:val="69"/>
              <w:rPr>
                <w:rFonts w:hint="eastAsia" w:eastAsia="宋体"/>
                <w:color w:val="auto"/>
                <w:lang w:val="en-US" w:eastAsia="zh-CN"/>
              </w:rPr>
            </w:pPr>
            <w:r>
              <w:rPr>
                <w:rFonts w:hint="eastAsia"/>
                <w:color w:val="auto"/>
                <w:lang w:val="en-US" w:eastAsia="zh-CN"/>
              </w:rPr>
              <w:t>防渗</w:t>
            </w:r>
            <w:r>
              <w:rPr>
                <w:rFonts w:hint="eastAsia"/>
                <w:color w:val="auto"/>
              </w:rPr>
              <w:t>袋装</w:t>
            </w:r>
          </w:p>
        </w:tc>
        <w:tc>
          <w:tcPr>
            <w:tcW w:w="794" w:type="dxa"/>
            <w:shd w:val="clear" w:color="auto" w:fill="auto"/>
            <w:vAlign w:val="center"/>
          </w:tcPr>
          <w:p w14:paraId="39AAEA72">
            <w:pPr>
              <w:pStyle w:val="69"/>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642" w:type="dxa"/>
            <w:vAlign w:val="center"/>
          </w:tcPr>
          <w:p w14:paraId="16EB059A">
            <w:pPr>
              <w:pStyle w:val="69"/>
              <w:rPr>
                <w:color w:val="auto"/>
              </w:rPr>
            </w:pPr>
            <w:r>
              <w:rPr>
                <w:color w:val="auto"/>
              </w:rPr>
              <w:t>1年</w:t>
            </w:r>
          </w:p>
        </w:tc>
      </w:tr>
      <w:tr w14:paraId="0802B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 w:type="dxa"/>
            <w:vAlign w:val="center"/>
          </w:tcPr>
          <w:p w14:paraId="78D83759">
            <w:pPr>
              <w:pStyle w:val="69"/>
              <w:rPr>
                <w:color w:val="auto"/>
              </w:rPr>
            </w:pPr>
            <w:r>
              <w:rPr>
                <w:rFonts w:hint="eastAsia"/>
                <w:color w:val="auto"/>
              </w:rPr>
              <w:t>3</w:t>
            </w:r>
          </w:p>
        </w:tc>
        <w:tc>
          <w:tcPr>
            <w:tcW w:w="720" w:type="dxa"/>
            <w:vMerge w:val="continue"/>
            <w:vAlign w:val="center"/>
          </w:tcPr>
          <w:p w14:paraId="43C11240">
            <w:pPr>
              <w:pStyle w:val="69"/>
              <w:rPr>
                <w:color w:val="auto"/>
              </w:rPr>
            </w:pPr>
          </w:p>
        </w:tc>
        <w:tc>
          <w:tcPr>
            <w:tcW w:w="2193" w:type="dxa"/>
            <w:shd w:val="clear" w:color="auto" w:fill="auto"/>
            <w:vAlign w:val="center"/>
          </w:tcPr>
          <w:p w14:paraId="29527481">
            <w:pPr>
              <w:pStyle w:val="59"/>
              <w:bidi w:val="0"/>
              <w:ind w:firstLine="0" w:firstLineChars="0"/>
              <w:rPr>
                <w:rFonts w:ascii="Times New Roman" w:hAnsi="Times New Roman" w:eastAsia="宋体" w:cs="Times New Roman"/>
                <w:kern w:val="0"/>
                <w:sz w:val="21"/>
                <w:szCs w:val="20"/>
                <w:lang w:val="en-US" w:eastAsia="zh-CN" w:bidi="ar-SA"/>
              </w:rPr>
            </w:pPr>
            <w:r>
              <w:rPr>
                <w:rFonts w:hint="eastAsia"/>
                <w:lang w:val="en-US" w:eastAsia="zh-CN"/>
              </w:rPr>
              <w:t>废矿物油及其包装罐</w:t>
            </w:r>
          </w:p>
        </w:tc>
        <w:tc>
          <w:tcPr>
            <w:tcW w:w="807" w:type="dxa"/>
            <w:shd w:val="clear" w:color="auto" w:fill="auto"/>
            <w:vAlign w:val="center"/>
          </w:tcPr>
          <w:p w14:paraId="1AC6C132">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default"/>
                <w:color w:val="auto"/>
                <w:lang w:val="en-US" w:eastAsia="zh-CN"/>
              </w:rPr>
              <w:t>HW08</w:t>
            </w:r>
          </w:p>
        </w:tc>
        <w:tc>
          <w:tcPr>
            <w:tcW w:w="1308" w:type="dxa"/>
            <w:shd w:val="clear" w:color="auto" w:fill="auto"/>
            <w:vAlign w:val="center"/>
          </w:tcPr>
          <w:p w14:paraId="38BF7D40">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default"/>
                <w:color w:val="auto"/>
                <w:lang w:val="en-US" w:eastAsia="zh-CN"/>
              </w:rPr>
              <w:t>900-249-08</w:t>
            </w:r>
          </w:p>
        </w:tc>
        <w:tc>
          <w:tcPr>
            <w:tcW w:w="611" w:type="dxa"/>
            <w:vMerge w:val="continue"/>
            <w:vAlign w:val="center"/>
          </w:tcPr>
          <w:p w14:paraId="175EE4CA">
            <w:pPr>
              <w:pStyle w:val="69"/>
              <w:rPr>
                <w:color w:val="auto"/>
              </w:rPr>
            </w:pPr>
          </w:p>
        </w:tc>
        <w:tc>
          <w:tcPr>
            <w:tcW w:w="849" w:type="dxa"/>
            <w:vAlign w:val="center"/>
          </w:tcPr>
          <w:p w14:paraId="24EA766A">
            <w:pPr>
              <w:pStyle w:val="69"/>
              <w:rPr>
                <w:rFonts w:hint="default" w:eastAsia="宋体"/>
                <w:color w:val="auto"/>
                <w:lang w:val="en-US" w:eastAsia="zh-CN"/>
              </w:rPr>
            </w:pPr>
            <w:r>
              <w:rPr>
                <w:rFonts w:hint="eastAsia"/>
                <w:color w:val="auto"/>
                <w:lang w:val="en-US" w:eastAsia="zh-CN"/>
              </w:rPr>
              <w:t>1</w:t>
            </w:r>
          </w:p>
        </w:tc>
        <w:tc>
          <w:tcPr>
            <w:tcW w:w="1058" w:type="dxa"/>
            <w:vAlign w:val="center"/>
          </w:tcPr>
          <w:p w14:paraId="7A992BF4">
            <w:pPr>
              <w:pStyle w:val="69"/>
              <w:rPr>
                <w:color w:val="auto"/>
              </w:rPr>
            </w:pPr>
            <w:r>
              <w:rPr>
                <w:rFonts w:hint="eastAsia"/>
                <w:color w:val="auto"/>
                <w:lang w:val="en-US" w:eastAsia="zh-CN"/>
              </w:rPr>
              <w:t>防渗</w:t>
            </w:r>
            <w:r>
              <w:rPr>
                <w:rFonts w:hint="eastAsia"/>
                <w:color w:val="auto"/>
              </w:rPr>
              <w:t>袋装</w:t>
            </w:r>
          </w:p>
        </w:tc>
        <w:tc>
          <w:tcPr>
            <w:tcW w:w="794" w:type="dxa"/>
            <w:shd w:val="clear" w:color="auto" w:fill="auto"/>
            <w:vAlign w:val="center"/>
          </w:tcPr>
          <w:p w14:paraId="0095C6D9">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642" w:type="dxa"/>
            <w:vAlign w:val="center"/>
          </w:tcPr>
          <w:p w14:paraId="50E6910C">
            <w:pPr>
              <w:pStyle w:val="69"/>
              <w:rPr>
                <w:color w:val="auto"/>
              </w:rPr>
            </w:pPr>
            <w:r>
              <w:rPr>
                <w:color w:val="auto"/>
              </w:rPr>
              <w:t>1年</w:t>
            </w:r>
          </w:p>
        </w:tc>
      </w:tr>
      <w:tr w14:paraId="0BE0A5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 w:type="dxa"/>
            <w:vAlign w:val="center"/>
          </w:tcPr>
          <w:p w14:paraId="72F7D17C">
            <w:pPr>
              <w:pStyle w:val="69"/>
              <w:rPr>
                <w:rFonts w:hint="eastAsia" w:eastAsia="宋体"/>
                <w:color w:val="auto"/>
                <w:lang w:eastAsia="zh-CN"/>
              </w:rPr>
            </w:pPr>
            <w:r>
              <w:rPr>
                <w:rFonts w:hint="eastAsia"/>
                <w:color w:val="auto"/>
                <w:lang w:val="en-US" w:eastAsia="zh-CN"/>
              </w:rPr>
              <w:t>4</w:t>
            </w:r>
          </w:p>
        </w:tc>
        <w:tc>
          <w:tcPr>
            <w:tcW w:w="720" w:type="dxa"/>
            <w:vMerge w:val="continue"/>
            <w:vAlign w:val="center"/>
          </w:tcPr>
          <w:p w14:paraId="7F4D93E2">
            <w:pPr>
              <w:pStyle w:val="69"/>
              <w:rPr>
                <w:color w:val="auto"/>
              </w:rPr>
            </w:pPr>
          </w:p>
        </w:tc>
        <w:tc>
          <w:tcPr>
            <w:tcW w:w="2193" w:type="dxa"/>
            <w:shd w:val="clear" w:color="auto" w:fill="auto"/>
            <w:vAlign w:val="center"/>
          </w:tcPr>
          <w:p w14:paraId="6DC3A099">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废擦机布和手套</w:t>
            </w:r>
          </w:p>
        </w:tc>
        <w:tc>
          <w:tcPr>
            <w:tcW w:w="807" w:type="dxa"/>
            <w:shd w:val="clear" w:color="auto" w:fill="auto"/>
            <w:vAlign w:val="center"/>
          </w:tcPr>
          <w:p w14:paraId="68EFA399">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308" w:type="dxa"/>
            <w:shd w:val="clear" w:color="auto" w:fill="auto"/>
            <w:vAlign w:val="center"/>
          </w:tcPr>
          <w:p w14:paraId="67115BD0">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611" w:type="dxa"/>
            <w:vMerge w:val="continue"/>
            <w:vAlign w:val="center"/>
          </w:tcPr>
          <w:p w14:paraId="0786E7B8">
            <w:pPr>
              <w:pStyle w:val="69"/>
              <w:rPr>
                <w:color w:val="auto"/>
              </w:rPr>
            </w:pPr>
          </w:p>
        </w:tc>
        <w:tc>
          <w:tcPr>
            <w:tcW w:w="849" w:type="dxa"/>
            <w:vAlign w:val="center"/>
          </w:tcPr>
          <w:p w14:paraId="7F941ABD">
            <w:pPr>
              <w:pStyle w:val="69"/>
              <w:rPr>
                <w:rFonts w:hint="default" w:eastAsia="宋体"/>
                <w:color w:val="auto"/>
                <w:lang w:val="en-US" w:eastAsia="zh-CN"/>
              </w:rPr>
            </w:pPr>
            <w:r>
              <w:rPr>
                <w:rFonts w:hint="eastAsia"/>
                <w:color w:val="auto"/>
                <w:lang w:val="en-US" w:eastAsia="zh-CN"/>
              </w:rPr>
              <w:t>2</w:t>
            </w:r>
          </w:p>
        </w:tc>
        <w:tc>
          <w:tcPr>
            <w:tcW w:w="1058" w:type="dxa"/>
            <w:vAlign w:val="center"/>
          </w:tcPr>
          <w:p w14:paraId="00B849FE">
            <w:pPr>
              <w:pStyle w:val="69"/>
              <w:rPr>
                <w:rFonts w:hint="default" w:eastAsia="宋体"/>
                <w:color w:val="auto"/>
                <w:lang w:val="en-US" w:eastAsia="zh-CN"/>
              </w:rPr>
            </w:pPr>
            <w:r>
              <w:rPr>
                <w:rFonts w:hint="eastAsia"/>
                <w:color w:val="auto"/>
                <w:lang w:val="en-US" w:eastAsia="zh-CN"/>
              </w:rPr>
              <w:t>捆扎堆放</w:t>
            </w:r>
          </w:p>
        </w:tc>
        <w:tc>
          <w:tcPr>
            <w:tcW w:w="794" w:type="dxa"/>
            <w:shd w:val="clear" w:color="auto" w:fill="auto"/>
            <w:vAlign w:val="center"/>
          </w:tcPr>
          <w:p w14:paraId="4C98046A">
            <w:pPr>
              <w:pStyle w:val="69"/>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4</w:t>
            </w:r>
          </w:p>
        </w:tc>
        <w:tc>
          <w:tcPr>
            <w:tcW w:w="642" w:type="dxa"/>
            <w:vAlign w:val="center"/>
          </w:tcPr>
          <w:p w14:paraId="66C3F9B4">
            <w:pPr>
              <w:pStyle w:val="69"/>
              <w:rPr>
                <w:rFonts w:hint="eastAsia" w:eastAsia="宋体"/>
                <w:color w:val="auto"/>
                <w:lang w:eastAsia="zh-CN"/>
              </w:rPr>
            </w:pPr>
            <w:r>
              <w:rPr>
                <w:rFonts w:hint="eastAsia"/>
                <w:color w:val="auto"/>
                <w:lang w:val="en-US" w:eastAsia="zh-CN"/>
              </w:rPr>
              <w:t>半年</w:t>
            </w:r>
          </w:p>
        </w:tc>
      </w:tr>
      <w:tr w14:paraId="040B3B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 w:type="dxa"/>
            <w:vAlign w:val="center"/>
          </w:tcPr>
          <w:p w14:paraId="3D258910">
            <w:pPr>
              <w:pStyle w:val="69"/>
              <w:rPr>
                <w:rFonts w:hint="eastAsia" w:eastAsia="宋体"/>
                <w:color w:val="auto"/>
                <w:lang w:eastAsia="zh-CN"/>
              </w:rPr>
            </w:pPr>
            <w:r>
              <w:rPr>
                <w:rFonts w:hint="eastAsia"/>
                <w:color w:val="auto"/>
                <w:lang w:val="en-US" w:eastAsia="zh-CN"/>
              </w:rPr>
              <w:t>5</w:t>
            </w:r>
          </w:p>
        </w:tc>
        <w:tc>
          <w:tcPr>
            <w:tcW w:w="720" w:type="dxa"/>
            <w:vMerge w:val="continue"/>
            <w:vAlign w:val="center"/>
          </w:tcPr>
          <w:p w14:paraId="56932F4B">
            <w:pPr>
              <w:pStyle w:val="69"/>
              <w:rPr>
                <w:color w:val="auto"/>
              </w:rPr>
            </w:pPr>
          </w:p>
        </w:tc>
        <w:tc>
          <w:tcPr>
            <w:tcW w:w="2193" w:type="dxa"/>
            <w:shd w:val="clear" w:color="auto" w:fill="auto"/>
            <w:vAlign w:val="center"/>
          </w:tcPr>
          <w:p w14:paraId="49354A6B">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废过滤袋</w:t>
            </w:r>
          </w:p>
        </w:tc>
        <w:tc>
          <w:tcPr>
            <w:tcW w:w="807" w:type="dxa"/>
            <w:shd w:val="clear" w:color="auto" w:fill="auto"/>
            <w:vAlign w:val="center"/>
          </w:tcPr>
          <w:p w14:paraId="21B067E5">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308" w:type="dxa"/>
            <w:shd w:val="clear" w:color="auto" w:fill="auto"/>
            <w:vAlign w:val="center"/>
          </w:tcPr>
          <w:p w14:paraId="2DB86499">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611" w:type="dxa"/>
            <w:vMerge w:val="continue"/>
            <w:vAlign w:val="center"/>
          </w:tcPr>
          <w:p w14:paraId="609F92F7">
            <w:pPr>
              <w:pStyle w:val="69"/>
              <w:rPr>
                <w:color w:val="auto"/>
              </w:rPr>
            </w:pPr>
          </w:p>
        </w:tc>
        <w:tc>
          <w:tcPr>
            <w:tcW w:w="849" w:type="dxa"/>
            <w:vAlign w:val="center"/>
          </w:tcPr>
          <w:p w14:paraId="56C4A6FD">
            <w:pPr>
              <w:pStyle w:val="69"/>
              <w:rPr>
                <w:rFonts w:hint="default" w:eastAsia="宋体"/>
                <w:color w:val="auto"/>
                <w:lang w:val="en-US" w:eastAsia="zh-CN"/>
              </w:rPr>
            </w:pPr>
            <w:r>
              <w:rPr>
                <w:rFonts w:hint="eastAsia"/>
                <w:color w:val="auto"/>
                <w:lang w:val="en-US" w:eastAsia="zh-CN"/>
              </w:rPr>
              <w:t>1</w:t>
            </w:r>
          </w:p>
        </w:tc>
        <w:tc>
          <w:tcPr>
            <w:tcW w:w="1058" w:type="dxa"/>
            <w:vAlign w:val="center"/>
          </w:tcPr>
          <w:p w14:paraId="3F9D8B2D">
            <w:pPr>
              <w:pStyle w:val="69"/>
              <w:rPr>
                <w:color w:val="auto"/>
              </w:rPr>
            </w:pPr>
            <w:r>
              <w:rPr>
                <w:rFonts w:hint="eastAsia"/>
                <w:color w:val="auto"/>
                <w:lang w:val="en-US" w:eastAsia="zh-CN"/>
              </w:rPr>
              <w:t>防渗</w:t>
            </w:r>
            <w:r>
              <w:rPr>
                <w:rFonts w:hint="eastAsia"/>
                <w:color w:val="auto"/>
              </w:rPr>
              <w:t>袋装</w:t>
            </w:r>
          </w:p>
        </w:tc>
        <w:tc>
          <w:tcPr>
            <w:tcW w:w="794" w:type="dxa"/>
            <w:shd w:val="clear" w:color="auto" w:fill="auto"/>
            <w:vAlign w:val="center"/>
          </w:tcPr>
          <w:p w14:paraId="4DA42E79">
            <w:pPr>
              <w:pStyle w:val="69"/>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642" w:type="dxa"/>
            <w:vAlign w:val="center"/>
          </w:tcPr>
          <w:p w14:paraId="50FC82F6">
            <w:pPr>
              <w:pStyle w:val="69"/>
              <w:rPr>
                <w:color w:val="auto"/>
              </w:rPr>
            </w:pPr>
            <w:r>
              <w:rPr>
                <w:color w:val="auto"/>
              </w:rPr>
              <w:t>1年</w:t>
            </w:r>
          </w:p>
        </w:tc>
      </w:tr>
      <w:tr w14:paraId="2A697F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 w:type="dxa"/>
            <w:vAlign w:val="center"/>
          </w:tcPr>
          <w:p w14:paraId="72A618B8">
            <w:pPr>
              <w:pStyle w:val="69"/>
              <w:rPr>
                <w:rFonts w:hint="eastAsia" w:eastAsia="宋体"/>
                <w:color w:val="auto"/>
                <w:lang w:eastAsia="zh-CN"/>
              </w:rPr>
            </w:pPr>
            <w:r>
              <w:rPr>
                <w:rFonts w:hint="eastAsia"/>
                <w:color w:val="auto"/>
                <w:lang w:val="en-US" w:eastAsia="zh-CN"/>
              </w:rPr>
              <w:t>6</w:t>
            </w:r>
          </w:p>
        </w:tc>
        <w:tc>
          <w:tcPr>
            <w:tcW w:w="720" w:type="dxa"/>
            <w:vMerge w:val="continue"/>
            <w:vAlign w:val="center"/>
          </w:tcPr>
          <w:p w14:paraId="1C077D11">
            <w:pPr>
              <w:pStyle w:val="69"/>
              <w:rPr>
                <w:color w:val="auto"/>
              </w:rPr>
            </w:pPr>
          </w:p>
        </w:tc>
        <w:tc>
          <w:tcPr>
            <w:tcW w:w="2193" w:type="dxa"/>
            <w:shd w:val="clear" w:color="auto" w:fill="auto"/>
            <w:vAlign w:val="center"/>
          </w:tcPr>
          <w:p w14:paraId="1E6C9864">
            <w:pPr>
              <w:pStyle w:val="59"/>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废分子筛</w:t>
            </w:r>
          </w:p>
        </w:tc>
        <w:tc>
          <w:tcPr>
            <w:tcW w:w="807" w:type="dxa"/>
            <w:shd w:val="clear" w:color="auto" w:fill="auto"/>
            <w:vAlign w:val="center"/>
          </w:tcPr>
          <w:p w14:paraId="1D2845DA">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308" w:type="dxa"/>
            <w:shd w:val="clear" w:color="auto" w:fill="auto"/>
            <w:vAlign w:val="center"/>
          </w:tcPr>
          <w:p w14:paraId="005A438D">
            <w:pPr>
              <w:pStyle w:val="59"/>
              <w:bidi w:val="0"/>
              <w:ind w:firstLine="0" w:firstLineChars="0"/>
              <w:rPr>
                <w:rFonts w:ascii="Times New Roman" w:hAnsi="Times New Roman" w:eastAsia="宋体" w:cs="Times New Roman"/>
                <w:color w:val="auto"/>
                <w:kern w:val="0"/>
                <w:sz w:val="21"/>
                <w:szCs w:val="20"/>
                <w:lang w:val="en-US" w:eastAsia="zh-CN" w:bidi="ar-SA"/>
              </w:rPr>
            </w:pPr>
            <w:r>
              <w:rPr>
                <w:rFonts w:hint="default"/>
                <w:color w:val="auto"/>
                <w:lang w:val="en-US" w:eastAsia="zh-CN"/>
              </w:rPr>
              <w:t>900-041-49</w:t>
            </w:r>
          </w:p>
        </w:tc>
        <w:tc>
          <w:tcPr>
            <w:tcW w:w="611" w:type="dxa"/>
            <w:vMerge w:val="continue"/>
            <w:vAlign w:val="center"/>
          </w:tcPr>
          <w:p w14:paraId="3DB44D72">
            <w:pPr>
              <w:pStyle w:val="69"/>
              <w:rPr>
                <w:color w:val="auto"/>
              </w:rPr>
            </w:pPr>
          </w:p>
        </w:tc>
        <w:tc>
          <w:tcPr>
            <w:tcW w:w="849" w:type="dxa"/>
            <w:vAlign w:val="center"/>
          </w:tcPr>
          <w:p w14:paraId="60615184">
            <w:pPr>
              <w:pStyle w:val="69"/>
              <w:rPr>
                <w:rFonts w:hint="default" w:eastAsia="宋体"/>
                <w:color w:val="auto"/>
                <w:lang w:val="en-US" w:eastAsia="zh-CN"/>
              </w:rPr>
            </w:pPr>
            <w:r>
              <w:rPr>
                <w:rFonts w:hint="eastAsia"/>
                <w:color w:val="auto"/>
                <w:lang w:val="en-US" w:eastAsia="zh-CN"/>
              </w:rPr>
              <w:t>6</w:t>
            </w:r>
          </w:p>
        </w:tc>
        <w:tc>
          <w:tcPr>
            <w:tcW w:w="1058" w:type="dxa"/>
            <w:vAlign w:val="center"/>
          </w:tcPr>
          <w:p w14:paraId="3D1B55BC">
            <w:pPr>
              <w:pStyle w:val="69"/>
              <w:rPr>
                <w:color w:val="auto"/>
              </w:rPr>
            </w:pPr>
            <w:r>
              <w:rPr>
                <w:rFonts w:hint="eastAsia"/>
                <w:color w:val="auto"/>
                <w:lang w:val="en-US" w:eastAsia="zh-CN"/>
              </w:rPr>
              <w:t>防渗</w:t>
            </w:r>
            <w:r>
              <w:rPr>
                <w:rFonts w:hint="eastAsia"/>
                <w:color w:val="auto"/>
              </w:rPr>
              <w:t>袋装</w:t>
            </w:r>
          </w:p>
        </w:tc>
        <w:tc>
          <w:tcPr>
            <w:tcW w:w="794" w:type="dxa"/>
            <w:shd w:val="clear" w:color="auto" w:fill="auto"/>
            <w:vAlign w:val="center"/>
          </w:tcPr>
          <w:p w14:paraId="71A71819">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6</w:t>
            </w:r>
          </w:p>
        </w:tc>
        <w:tc>
          <w:tcPr>
            <w:tcW w:w="642" w:type="dxa"/>
            <w:vAlign w:val="center"/>
          </w:tcPr>
          <w:p w14:paraId="7E5325B4">
            <w:pPr>
              <w:pStyle w:val="69"/>
              <w:rPr>
                <w:rFonts w:hint="eastAsia" w:eastAsia="宋体"/>
                <w:color w:val="auto"/>
                <w:lang w:eastAsia="zh-CN"/>
              </w:rPr>
            </w:pPr>
            <w:r>
              <w:rPr>
                <w:rFonts w:hint="eastAsia"/>
                <w:color w:val="auto"/>
                <w:lang w:val="en-US" w:eastAsia="zh-CN"/>
              </w:rPr>
              <w:t>1年</w:t>
            </w:r>
          </w:p>
        </w:tc>
      </w:tr>
      <w:tr w14:paraId="44ACF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7" w:type="dxa"/>
            <w:vAlign w:val="center"/>
          </w:tcPr>
          <w:p w14:paraId="265012AC">
            <w:pPr>
              <w:pStyle w:val="69"/>
              <w:rPr>
                <w:rFonts w:hint="eastAsia" w:eastAsia="宋体"/>
                <w:color w:val="auto"/>
                <w:lang w:eastAsia="zh-CN"/>
              </w:rPr>
            </w:pPr>
            <w:r>
              <w:rPr>
                <w:rFonts w:hint="eastAsia"/>
                <w:color w:val="auto"/>
                <w:lang w:val="en-US" w:eastAsia="zh-CN"/>
              </w:rPr>
              <w:t>7</w:t>
            </w:r>
          </w:p>
        </w:tc>
        <w:tc>
          <w:tcPr>
            <w:tcW w:w="720" w:type="dxa"/>
            <w:vMerge w:val="continue"/>
            <w:vAlign w:val="center"/>
          </w:tcPr>
          <w:p w14:paraId="688A3589">
            <w:pPr>
              <w:pStyle w:val="69"/>
              <w:rPr>
                <w:color w:val="auto"/>
              </w:rPr>
            </w:pPr>
          </w:p>
        </w:tc>
        <w:tc>
          <w:tcPr>
            <w:tcW w:w="2193" w:type="dxa"/>
            <w:shd w:val="clear" w:color="auto" w:fill="auto"/>
            <w:vAlign w:val="center"/>
          </w:tcPr>
          <w:p w14:paraId="034065FF">
            <w:pPr>
              <w:pStyle w:val="59"/>
              <w:bidi w:val="0"/>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废饱和活性炭</w:t>
            </w:r>
          </w:p>
        </w:tc>
        <w:tc>
          <w:tcPr>
            <w:tcW w:w="807" w:type="dxa"/>
            <w:shd w:val="clear" w:color="auto" w:fill="auto"/>
            <w:vAlign w:val="center"/>
          </w:tcPr>
          <w:p w14:paraId="310A169E">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default"/>
                <w:color w:val="auto"/>
                <w:lang w:val="en-US" w:eastAsia="zh-CN"/>
              </w:rPr>
              <w:t>HW49</w:t>
            </w:r>
          </w:p>
        </w:tc>
        <w:tc>
          <w:tcPr>
            <w:tcW w:w="1308" w:type="dxa"/>
            <w:shd w:val="clear" w:color="auto" w:fill="auto"/>
            <w:vAlign w:val="center"/>
          </w:tcPr>
          <w:p w14:paraId="61C6F7CE">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default"/>
                <w:color w:val="auto"/>
                <w:lang w:val="en-US" w:eastAsia="zh-CN"/>
              </w:rPr>
              <w:t>900-0</w:t>
            </w:r>
            <w:r>
              <w:rPr>
                <w:rFonts w:hint="eastAsia"/>
                <w:color w:val="auto"/>
                <w:lang w:val="en-US" w:eastAsia="zh-CN"/>
              </w:rPr>
              <w:t>39</w:t>
            </w:r>
            <w:r>
              <w:rPr>
                <w:rFonts w:hint="default"/>
                <w:color w:val="auto"/>
                <w:lang w:val="en-US" w:eastAsia="zh-CN"/>
              </w:rPr>
              <w:t>-49</w:t>
            </w:r>
          </w:p>
        </w:tc>
        <w:tc>
          <w:tcPr>
            <w:tcW w:w="611" w:type="dxa"/>
            <w:vMerge w:val="continue"/>
            <w:vAlign w:val="center"/>
          </w:tcPr>
          <w:p w14:paraId="6FEFE080">
            <w:pPr>
              <w:pStyle w:val="69"/>
              <w:rPr>
                <w:color w:val="auto"/>
              </w:rPr>
            </w:pPr>
          </w:p>
        </w:tc>
        <w:tc>
          <w:tcPr>
            <w:tcW w:w="849" w:type="dxa"/>
            <w:vAlign w:val="center"/>
          </w:tcPr>
          <w:p w14:paraId="5A5C49D9">
            <w:pPr>
              <w:pStyle w:val="69"/>
              <w:rPr>
                <w:rFonts w:hint="default" w:eastAsia="宋体"/>
                <w:color w:val="auto"/>
                <w:lang w:val="en-US" w:eastAsia="zh-CN"/>
              </w:rPr>
            </w:pPr>
            <w:r>
              <w:rPr>
                <w:rFonts w:hint="eastAsia"/>
                <w:color w:val="auto"/>
                <w:lang w:val="en-US" w:eastAsia="zh-CN"/>
              </w:rPr>
              <w:t>4</w:t>
            </w:r>
          </w:p>
        </w:tc>
        <w:tc>
          <w:tcPr>
            <w:tcW w:w="1058" w:type="dxa"/>
            <w:vAlign w:val="center"/>
          </w:tcPr>
          <w:p w14:paraId="0F537FE8">
            <w:pPr>
              <w:pStyle w:val="69"/>
              <w:rPr>
                <w:rFonts w:hint="eastAsia" w:eastAsia="宋体"/>
                <w:color w:val="auto"/>
                <w:lang w:eastAsia="zh-CN"/>
              </w:rPr>
            </w:pPr>
            <w:r>
              <w:rPr>
                <w:rFonts w:hint="eastAsia"/>
                <w:color w:val="auto"/>
                <w:lang w:val="en-US" w:eastAsia="zh-CN"/>
              </w:rPr>
              <w:t>桶装</w:t>
            </w:r>
          </w:p>
        </w:tc>
        <w:tc>
          <w:tcPr>
            <w:tcW w:w="794" w:type="dxa"/>
            <w:shd w:val="clear" w:color="auto" w:fill="auto"/>
            <w:vAlign w:val="center"/>
          </w:tcPr>
          <w:p w14:paraId="13554818">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w:t>
            </w:r>
          </w:p>
        </w:tc>
        <w:tc>
          <w:tcPr>
            <w:tcW w:w="642" w:type="dxa"/>
            <w:vAlign w:val="center"/>
          </w:tcPr>
          <w:p w14:paraId="5A0E0624">
            <w:pPr>
              <w:pStyle w:val="69"/>
              <w:rPr>
                <w:rFonts w:hint="eastAsia" w:eastAsia="宋体"/>
                <w:color w:val="auto"/>
                <w:lang w:eastAsia="zh-CN"/>
              </w:rPr>
            </w:pPr>
            <w:r>
              <w:rPr>
                <w:rFonts w:hint="eastAsia"/>
                <w:color w:val="auto"/>
                <w:lang w:val="en-US" w:eastAsia="zh-CN"/>
              </w:rPr>
              <w:t>半年</w:t>
            </w:r>
          </w:p>
        </w:tc>
      </w:tr>
    </w:tbl>
    <w:p w14:paraId="7FB9C79E">
      <w:pPr>
        <w:ind w:firstLine="482"/>
        <w:rPr>
          <w:b/>
          <w:bCs/>
          <w:color w:val="auto"/>
        </w:rPr>
      </w:pPr>
      <w:r>
        <w:rPr>
          <w:rFonts w:hint="eastAsia"/>
          <w:b/>
          <w:bCs/>
          <w:color w:val="auto"/>
        </w:rPr>
        <w:t>2、危险废物贮存仓库的规范要求</w:t>
      </w:r>
    </w:p>
    <w:p w14:paraId="33D58B5B">
      <w:pPr>
        <w:numPr>
          <w:ilvl w:val="0"/>
          <w:numId w:val="55"/>
        </w:numPr>
        <w:ind w:left="0" w:leftChars="0" w:firstLine="480" w:firstLineChars="200"/>
        <w:rPr>
          <w:color w:val="auto"/>
        </w:rPr>
      </w:pPr>
      <w:r>
        <w:rPr>
          <w:rFonts w:hint="eastAsia"/>
          <w:color w:val="auto"/>
        </w:rPr>
        <w:t>仓库为独立的建筑/场所/区域，专用于贮存危险废物。</w:t>
      </w:r>
    </w:p>
    <w:p w14:paraId="45EF5AAE">
      <w:pPr>
        <w:numPr>
          <w:ilvl w:val="0"/>
          <w:numId w:val="55"/>
        </w:numPr>
        <w:ind w:left="0" w:leftChars="0" w:firstLine="480" w:firstLineChars="200"/>
        <w:rPr>
          <w:rFonts w:hint="eastAsia"/>
          <w:color w:val="auto"/>
        </w:rPr>
      </w:pPr>
      <w:r>
        <w:rPr>
          <w:rFonts w:hint="eastAsia"/>
          <w:color w:val="auto"/>
        </w:rPr>
        <w:t>仓库门口必须设置标识（警告标识+《危险废物信息公开栏》）</w:t>
      </w:r>
    </w:p>
    <w:p w14:paraId="2BE33520">
      <w:pPr>
        <w:numPr>
          <w:ilvl w:val="0"/>
          <w:numId w:val="55"/>
        </w:numPr>
        <w:bidi w:val="0"/>
        <w:ind w:left="0" w:leftChars="0" w:firstLine="480" w:firstLineChars="200"/>
        <w:rPr>
          <w:rFonts w:hint="eastAsia"/>
          <w:color w:val="auto"/>
        </w:rPr>
      </w:pPr>
      <w:r>
        <w:rPr>
          <w:rFonts w:hint="eastAsia"/>
          <w:color w:val="auto"/>
        </w:rPr>
        <w:t>贮存设施应根据危险废物的形态、物理化学性质、包装形式和污染物迁移途径，采取必要的防风、防晒、防雨、防漏、防渗、防腐以及其他环境污染防治措施，不应露天堆放危险废物。</w:t>
      </w:r>
    </w:p>
    <w:p w14:paraId="3013A64E">
      <w:pPr>
        <w:numPr>
          <w:ilvl w:val="0"/>
          <w:numId w:val="55"/>
        </w:numPr>
        <w:bidi w:val="0"/>
        <w:ind w:left="0" w:leftChars="0" w:firstLine="480" w:firstLineChars="200"/>
        <w:rPr>
          <w:rFonts w:hint="eastAsia"/>
          <w:color w:val="auto"/>
        </w:rPr>
      </w:pPr>
      <w:r>
        <w:rPr>
          <w:rFonts w:hint="eastAsia"/>
          <w:color w:val="auto"/>
        </w:rPr>
        <w:t>贮存设施应根据危险废物的类别、数量、形态、物理化学性质和污染防治等要求设置必要的贮存分区，避免不相容的危险废物接触、混合。</w:t>
      </w:r>
    </w:p>
    <w:p w14:paraId="4174B0BA">
      <w:pPr>
        <w:numPr>
          <w:ilvl w:val="0"/>
          <w:numId w:val="55"/>
        </w:numPr>
        <w:bidi w:val="0"/>
        <w:ind w:left="0" w:leftChars="0" w:firstLine="480" w:firstLineChars="200"/>
        <w:rPr>
          <w:rFonts w:hint="eastAsia"/>
          <w:color w:val="auto"/>
        </w:rPr>
      </w:pPr>
      <w:r>
        <w:rPr>
          <w:rFonts w:hint="eastAsia"/>
          <w:color w:val="auto"/>
        </w:rPr>
        <w:t>贮存设施或贮存分区内地面、墙面裙脚、堵截泄漏的围堰、接触危险废物的隔板和墙体等应采用坚固的材料建造，表面无裂缝。</w:t>
      </w:r>
    </w:p>
    <w:p w14:paraId="0E717051">
      <w:pPr>
        <w:numPr>
          <w:ilvl w:val="0"/>
          <w:numId w:val="55"/>
        </w:numPr>
        <w:bidi w:val="0"/>
        <w:ind w:left="0" w:leftChars="0" w:firstLine="480" w:firstLineChars="200"/>
        <w:rPr>
          <w:rFonts w:hint="eastAsia"/>
          <w:color w:val="auto"/>
        </w:rPr>
      </w:pPr>
      <w:r>
        <w:rPr>
          <w:rFonts w:hint="eastAsia"/>
          <w:color w:val="auto"/>
        </w:rPr>
        <w:t>贮存库内不同贮存分区之间应采取隔离措施。隔离措施可根据危险废物特性采用过道、隔板或隔墙等方式。</w:t>
      </w:r>
    </w:p>
    <w:p w14:paraId="3FF97B12">
      <w:pPr>
        <w:numPr>
          <w:ilvl w:val="0"/>
          <w:numId w:val="55"/>
        </w:numPr>
        <w:bidi w:val="0"/>
        <w:ind w:left="0" w:leftChars="0" w:firstLine="480" w:firstLineChars="200"/>
        <w:rPr>
          <w:rFonts w:hint="eastAsia"/>
          <w:color w:val="auto"/>
        </w:rPr>
      </w:pPr>
      <w:r>
        <w:rPr>
          <w:rFonts w:hint="eastAsia"/>
          <w:color w:val="auto"/>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 厚黏土层（渗透系数不大于10</w:t>
      </w:r>
      <w:r>
        <w:rPr>
          <w:rFonts w:hint="eastAsia"/>
          <w:color w:val="auto"/>
          <w:vertAlign w:val="superscript"/>
        </w:rPr>
        <w:t xml:space="preserve">-7 </w:t>
      </w:r>
      <w:r>
        <w:rPr>
          <w:rFonts w:hint="eastAsia"/>
          <w:color w:val="auto"/>
        </w:rPr>
        <w:t>cm/s），或至少2 mm 厚高密度聚乙烯膜等人工防渗材料（渗透系数不大于10</w:t>
      </w:r>
      <w:r>
        <w:rPr>
          <w:rFonts w:hint="eastAsia"/>
          <w:color w:val="auto"/>
          <w:vertAlign w:val="superscript"/>
        </w:rPr>
        <w:t>-10</w:t>
      </w:r>
      <w:r>
        <w:rPr>
          <w:rFonts w:hint="eastAsia"/>
          <w:color w:val="auto"/>
        </w:rPr>
        <w:t xml:space="preserve"> cm/s），或其他防渗性能等效的材料。</w:t>
      </w:r>
    </w:p>
    <w:p w14:paraId="7424F3D0">
      <w:pPr>
        <w:numPr>
          <w:ilvl w:val="0"/>
          <w:numId w:val="55"/>
        </w:numPr>
        <w:bidi w:val="0"/>
        <w:ind w:left="0" w:leftChars="0" w:firstLine="480" w:firstLineChars="200"/>
        <w:rPr>
          <w:rFonts w:hint="eastAsia"/>
          <w:color w:val="auto"/>
        </w:rPr>
      </w:pPr>
      <w:r>
        <w:rPr>
          <w:rFonts w:hint="eastAsia"/>
          <w:color w:val="auto"/>
        </w:rPr>
        <w:t>同一贮存设施宜采用相同的防渗、防腐工艺（包括防渗、防腐结构或材料），防渗、防腐材料应覆盖所有可能与废物及其渗滤液、渗漏液等接触的构筑物表面；采用不同防渗、防腐工艺应分别建设贮存分区。</w:t>
      </w:r>
    </w:p>
    <w:p w14:paraId="16D2C672">
      <w:pPr>
        <w:numPr>
          <w:ilvl w:val="0"/>
          <w:numId w:val="55"/>
        </w:numPr>
        <w:bidi w:val="0"/>
        <w:ind w:left="0" w:leftChars="0" w:firstLine="480" w:firstLineChars="200"/>
        <w:rPr>
          <w:rFonts w:hint="eastAsia"/>
          <w:color w:val="auto"/>
        </w:rPr>
      </w:pPr>
      <w:r>
        <w:rPr>
          <w:rFonts w:hint="eastAsia"/>
          <w:color w:val="auto"/>
        </w:rPr>
        <w:t>贮存设施应采取技术和管理措施防止无关人员进入。</w:t>
      </w:r>
    </w:p>
    <w:p w14:paraId="6C17A303">
      <w:pPr>
        <w:numPr>
          <w:ilvl w:val="0"/>
          <w:numId w:val="55"/>
        </w:numPr>
        <w:bidi w:val="0"/>
        <w:ind w:left="0" w:leftChars="0" w:firstLine="480" w:firstLineChars="200"/>
        <w:rPr>
          <w:rFonts w:hint="eastAsia"/>
          <w:color w:val="auto"/>
        </w:rPr>
      </w:pPr>
      <w:r>
        <w:rPr>
          <w:rFonts w:hint="eastAsia"/>
          <w:color w:val="auto"/>
        </w:rPr>
        <w:t>在贮存库内通过贮存分区方式贮存液态危险废物，应具有液体泄漏堵截设施，堵截设施最小容积不应低于对应贮存区域最大液态废物容器容积或液态废物总储量1/10（二者取较大者）</w:t>
      </w:r>
      <w:r>
        <w:rPr>
          <w:rFonts w:hint="eastAsia"/>
          <w:color w:val="auto"/>
          <w:lang w:eastAsia="zh-CN"/>
        </w:rPr>
        <w:t>，</w:t>
      </w:r>
      <w:r>
        <w:rPr>
          <w:rFonts w:hint="eastAsia"/>
          <w:color w:val="auto"/>
          <w:lang w:val="en-US" w:eastAsia="zh-CN"/>
        </w:rPr>
        <w:t>项目</w:t>
      </w:r>
      <w:r>
        <w:rPr>
          <w:rFonts w:hint="eastAsia"/>
          <w:color w:val="auto"/>
        </w:rPr>
        <w:t>贮存区域最大液态废物容器容积</w:t>
      </w:r>
      <w:r>
        <w:rPr>
          <w:rFonts w:hint="eastAsia"/>
          <w:color w:val="auto"/>
          <w:lang w:val="en-US" w:eastAsia="zh-CN"/>
        </w:rPr>
        <w:t>为1吨桶，</w:t>
      </w:r>
      <w:r>
        <w:rPr>
          <w:rFonts w:hint="eastAsia"/>
          <w:color w:val="auto"/>
        </w:rPr>
        <w:t>液态废物总储量1/10</w:t>
      </w:r>
      <w:r>
        <w:rPr>
          <w:rFonts w:hint="eastAsia"/>
          <w:color w:val="auto"/>
          <w:lang w:val="en-US" w:eastAsia="zh-CN"/>
        </w:rPr>
        <w:t>为15m³，危废暂存处面积为20㎡，因此应设围堰5cm</w:t>
      </w:r>
      <w:r>
        <w:rPr>
          <w:rFonts w:hint="eastAsia"/>
          <w:color w:val="auto"/>
        </w:rPr>
        <w:t>；用于贮存可能产生渗滤液的危险废物的贮存库或贮存分区应设计渗滤液收集设施，收集设施容积应满足渗滤液的收集要求。</w:t>
      </w:r>
    </w:p>
    <w:p w14:paraId="7950E1BE">
      <w:pPr>
        <w:numPr>
          <w:ilvl w:val="0"/>
          <w:numId w:val="55"/>
        </w:numPr>
        <w:ind w:left="0" w:leftChars="0" w:firstLine="480" w:firstLineChars="200"/>
        <w:rPr>
          <w:rFonts w:hint="eastAsia"/>
          <w:color w:val="auto"/>
        </w:rPr>
      </w:pPr>
      <w:r>
        <w:rPr>
          <w:rFonts w:hint="eastAsia"/>
          <w:color w:val="auto"/>
        </w:rPr>
        <w:t>贮存易产生粉尘、VOCs、有毒有害大气污染物和刺激性气味气体的危险废物贮存库，应设置气体收集装置和气体净化设施；气体净化设施的排气筒高度应符合GB 16297 要求。</w:t>
      </w:r>
    </w:p>
    <w:p w14:paraId="042021AA">
      <w:pPr>
        <w:numPr>
          <w:ilvl w:val="0"/>
          <w:numId w:val="55"/>
        </w:numPr>
        <w:ind w:left="0" w:leftChars="0"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危险废物必须进行包装（袋装、桶装</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罐装</w:t>
      </w:r>
      <w:r>
        <w:rPr>
          <w:rFonts w:hint="eastAsia" w:ascii="Times New Roman" w:hAnsi="Times New Roman" w:eastAsia="宋体" w:cs="Times New Roman"/>
          <w:color w:val="auto"/>
        </w:rPr>
        <w:t>），不得散装。容器应完好无损。产生气味或VOC</w:t>
      </w:r>
      <w:r>
        <w:rPr>
          <w:rFonts w:hint="eastAsia" w:ascii="Times New Roman" w:hAnsi="Times New Roman" w:eastAsia="宋体" w:cs="Times New Roman"/>
          <w:color w:val="auto"/>
          <w:lang w:val="en-US" w:eastAsia="zh-CN"/>
        </w:rPr>
        <w:t>s</w:t>
      </w:r>
      <w:r>
        <w:rPr>
          <w:rFonts w:hint="eastAsia" w:ascii="Times New Roman" w:hAnsi="Times New Roman" w:eastAsia="宋体" w:cs="Times New Roman"/>
          <w:color w:val="auto"/>
        </w:rPr>
        <w:t>的废物应实行密闭包装。每一个包装桶（袋）均须悬挂或张贴危险废物标签（20×20或10×10）。</w:t>
      </w:r>
    </w:p>
    <w:p w14:paraId="346A5302">
      <w:pPr>
        <w:numPr>
          <w:ilvl w:val="0"/>
          <w:numId w:val="55"/>
        </w:numPr>
        <w:ind w:left="0" w:leftChars="0"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仓库室内须悬挂《</w:t>
      </w:r>
      <w:r>
        <w:rPr>
          <w:rFonts w:hint="eastAsia" w:cs="Times New Roman"/>
          <w:color w:val="auto"/>
          <w:lang w:eastAsia="zh-CN"/>
        </w:rPr>
        <w:t>鹤山市衍鹏印刷有限公司</w:t>
      </w:r>
      <w:r>
        <w:rPr>
          <w:rFonts w:hint="eastAsia" w:ascii="Times New Roman" w:hAnsi="Times New Roman" w:eastAsia="宋体" w:cs="Times New Roman"/>
          <w:color w:val="auto"/>
        </w:rPr>
        <w:t>危险废物污染防治责任制度》、每一种废物的《江门市工业固体废物台账记录本》。</w:t>
      </w:r>
    </w:p>
    <w:p w14:paraId="1F897F99">
      <w:pPr>
        <w:ind w:firstLine="482"/>
        <w:rPr>
          <w:b/>
          <w:bCs/>
          <w:color w:val="auto"/>
        </w:rPr>
      </w:pPr>
      <w:r>
        <w:rPr>
          <w:rFonts w:hint="eastAsia"/>
          <w:b/>
          <w:bCs/>
          <w:color w:val="auto"/>
        </w:rPr>
        <w:t>3、</w:t>
      </w:r>
      <w:r>
        <w:rPr>
          <w:b/>
          <w:bCs/>
          <w:color w:val="auto"/>
        </w:rPr>
        <w:t>运输</w:t>
      </w:r>
    </w:p>
    <w:p w14:paraId="26A0D14F">
      <w:pPr>
        <w:ind w:firstLine="480"/>
        <w:rPr>
          <w:color w:val="auto"/>
        </w:rPr>
      </w:pPr>
      <w:r>
        <w:rPr>
          <w:color w:val="auto"/>
        </w:rPr>
        <w:t>对危险废物的运输要求安全可靠，要严格按照危险废物运输的管理规定进行危险废物的运输，减少运输过程中的二次污染和可能造成的环境风险，运输车辆需有特殊标志。</w:t>
      </w:r>
      <w:r>
        <w:rPr>
          <w:rFonts w:hint="eastAsia"/>
          <w:color w:val="auto"/>
        </w:rPr>
        <w:t>另外，建设单位应做好工业固体废物入厂/接收台账记录，见下表：</w:t>
      </w:r>
    </w:p>
    <w:p w14:paraId="79112DCA">
      <w:pPr>
        <w:pStyle w:val="62"/>
        <w:rPr>
          <w:color w:val="auto"/>
        </w:rPr>
      </w:pPr>
      <w:r>
        <w:rPr>
          <w:rFonts w:hint="eastAsia"/>
          <w:color w:val="auto"/>
          <w:lang w:eastAsia="zh-CN"/>
        </w:rPr>
        <w:t>表</w:t>
      </w:r>
      <w:r>
        <w:rPr>
          <w:rFonts w:hint="eastAsia"/>
          <w:color w:val="auto"/>
          <w:lang w:val="en-US" w:eastAsia="zh-CN"/>
        </w:rPr>
        <w:t>5</w:t>
      </w:r>
      <w:r>
        <w:rPr>
          <w:rFonts w:hint="eastAsia"/>
          <w:color w:val="auto"/>
        </w:rPr>
        <w:t>.4-</w:t>
      </w:r>
      <w:r>
        <w:rPr>
          <w:rFonts w:hint="eastAsia"/>
          <w:color w:val="auto"/>
          <w:lang w:val="en-US" w:eastAsia="zh-CN"/>
        </w:rPr>
        <w:t>3</w:t>
      </w:r>
      <w:r>
        <w:rPr>
          <w:rFonts w:hint="eastAsia"/>
          <w:color w:val="auto"/>
        </w:rPr>
        <w:t xml:space="preserve">  工业固体废物入厂/接收台账记录</w:t>
      </w:r>
    </w:p>
    <w:tbl>
      <w:tblPr>
        <w:tblStyle w:val="38"/>
        <w:tblW w:w="92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2"/>
        <w:gridCol w:w="706"/>
        <w:gridCol w:w="916"/>
        <w:gridCol w:w="834"/>
        <w:gridCol w:w="749"/>
        <w:gridCol w:w="920"/>
        <w:gridCol w:w="916"/>
        <w:gridCol w:w="1083"/>
        <w:gridCol w:w="587"/>
        <w:gridCol w:w="1083"/>
        <w:gridCol w:w="806"/>
      </w:tblGrid>
      <w:tr w14:paraId="421D8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tcBorders>
              <w:top w:val="single" w:color="auto" w:sz="12" w:space="0"/>
              <w:left w:val="nil"/>
            </w:tcBorders>
            <w:vAlign w:val="center"/>
          </w:tcPr>
          <w:p w14:paraId="5C90DBF2">
            <w:pPr>
              <w:pStyle w:val="69"/>
              <w:rPr>
                <w:color w:val="auto"/>
              </w:rPr>
            </w:pPr>
            <w:r>
              <w:rPr>
                <w:rFonts w:hint="eastAsia"/>
                <w:color w:val="auto"/>
              </w:rPr>
              <w:t>入厂/接收</w:t>
            </w:r>
          </w:p>
          <w:p w14:paraId="53A2A359">
            <w:pPr>
              <w:pStyle w:val="69"/>
              <w:rPr>
                <w:color w:val="auto"/>
              </w:rPr>
            </w:pPr>
            <w:r>
              <w:rPr>
                <w:rFonts w:hint="eastAsia"/>
                <w:color w:val="auto"/>
              </w:rPr>
              <w:t>日期</w:t>
            </w:r>
          </w:p>
        </w:tc>
        <w:tc>
          <w:tcPr>
            <w:tcW w:w="706" w:type="dxa"/>
            <w:vMerge w:val="restart"/>
            <w:tcBorders>
              <w:top w:val="single" w:color="auto" w:sz="12" w:space="0"/>
            </w:tcBorders>
            <w:vAlign w:val="center"/>
          </w:tcPr>
          <w:p w14:paraId="11B037B3">
            <w:pPr>
              <w:pStyle w:val="69"/>
              <w:rPr>
                <w:color w:val="auto"/>
              </w:rPr>
            </w:pPr>
            <w:r>
              <w:rPr>
                <w:rFonts w:hint="eastAsia"/>
                <w:color w:val="auto"/>
              </w:rPr>
              <w:t>入厂/接收</w:t>
            </w:r>
          </w:p>
          <w:p w14:paraId="141681A3">
            <w:pPr>
              <w:pStyle w:val="69"/>
              <w:rPr>
                <w:color w:val="auto"/>
              </w:rPr>
            </w:pPr>
            <w:r>
              <w:rPr>
                <w:rFonts w:hint="eastAsia"/>
                <w:color w:val="auto"/>
              </w:rPr>
              <w:t>时间</w:t>
            </w:r>
          </w:p>
        </w:tc>
        <w:tc>
          <w:tcPr>
            <w:tcW w:w="916" w:type="dxa"/>
            <w:vMerge w:val="restart"/>
            <w:tcBorders>
              <w:top w:val="single" w:color="auto" w:sz="12" w:space="0"/>
            </w:tcBorders>
            <w:vAlign w:val="center"/>
          </w:tcPr>
          <w:p w14:paraId="1206AA5C">
            <w:pPr>
              <w:pStyle w:val="69"/>
              <w:rPr>
                <w:color w:val="auto"/>
              </w:rPr>
            </w:pPr>
            <w:r>
              <w:rPr>
                <w:rFonts w:hint="eastAsia"/>
                <w:color w:val="auto"/>
              </w:rPr>
              <w:t>企业内部纸质</w:t>
            </w:r>
          </w:p>
          <w:p w14:paraId="638840D2">
            <w:pPr>
              <w:pStyle w:val="69"/>
              <w:rPr>
                <w:color w:val="auto"/>
              </w:rPr>
            </w:pPr>
            <w:r>
              <w:rPr>
                <w:rFonts w:hint="eastAsia"/>
                <w:color w:val="auto"/>
              </w:rPr>
              <w:t>收运单编号</w:t>
            </w:r>
          </w:p>
        </w:tc>
        <w:tc>
          <w:tcPr>
            <w:tcW w:w="2503" w:type="dxa"/>
            <w:gridSpan w:val="3"/>
            <w:tcBorders>
              <w:top w:val="single" w:color="auto" w:sz="12" w:space="0"/>
            </w:tcBorders>
            <w:vAlign w:val="center"/>
          </w:tcPr>
          <w:p w14:paraId="4D643D3A">
            <w:pPr>
              <w:pStyle w:val="69"/>
              <w:rPr>
                <w:color w:val="auto"/>
              </w:rPr>
            </w:pPr>
            <w:r>
              <w:rPr>
                <w:rFonts w:hint="eastAsia"/>
                <w:color w:val="auto"/>
              </w:rPr>
              <w:t>运输情况</w:t>
            </w:r>
          </w:p>
        </w:tc>
        <w:tc>
          <w:tcPr>
            <w:tcW w:w="2586" w:type="dxa"/>
            <w:gridSpan w:val="3"/>
            <w:tcBorders>
              <w:top w:val="single" w:color="auto" w:sz="12" w:space="0"/>
            </w:tcBorders>
            <w:vAlign w:val="center"/>
          </w:tcPr>
          <w:p w14:paraId="1E2E20F6">
            <w:pPr>
              <w:pStyle w:val="69"/>
              <w:rPr>
                <w:color w:val="auto"/>
              </w:rPr>
            </w:pPr>
            <w:r>
              <w:rPr>
                <w:rFonts w:hint="eastAsia"/>
                <w:color w:val="auto"/>
              </w:rPr>
              <w:t>固体废物具体信息</w:t>
            </w:r>
          </w:p>
        </w:tc>
        <w:tc>
          <w:tcPr>
            <w:tcW w:w="1889" w:type="dxa"/>
            <w:gridSpan w:val="2"/>
            <w:tcBorders>
              <w:top w:val="single" w:color="auto" w:sz="12" w:space="0"/>
              <w:right w:val="nil"/>
            </w:tcBorders>
            <w:vAlign w:val="center"/>
          </w:tcPr>
          <w:p w14:paraId="48D3C7CD">
            <w:pPr>
              <w:pStyle w:val="69"/>
              <w:rPr>
                <w:color w:val="auto"/>
              </w:rPr>
            </w:pPr>
            <w:r>
              <w:rPr>
                <w:rFonts w:hint="eastAsia"/>
                <w:color w:val="auto"/>
              </w:rPr>
              <w:t>交接人签名</w:t>
            </w:r>
          </w:p>
        </w:tc>
      </w:tr>
      <w:tr w14:paraId="53CCE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tcBorders>
              <w:left w:val="nil"/>
            </w:tcBorders>
            <w:vAlign w:val="center"/>
          </w:tcPr>
          <w:p w14:paraId="25CEAC07">
            <w:pPr>
              <w:pStyle w:val="69"/>
              <w:rPr>
                <w:color w:val="auto"/>
              </w:rPr>
            </w:pPr>
          </w:p>
        </w:tc>
        <w:tc>
          <w:tcPr>
            <w:tcW w:w="706" w:type="dxa"/>
            <w:vMerge w:val="continue"/>
            <w:vAlign w:val="center"/>
          </w:tcPr>
          <w:p w14:paraId="762C483C">
            <w:pPr>
              <w:pStyle w:val="69"/>
              <w:rPr>
                <w:color w:val="auto"/>
              </w:rPr>
            </w:pPr>
          </w:p>
        </w:tc>
        <w:tc>
          <w:tcPr>
            <w:tcW w:w="916" w:type="dxa"/>
            <w:vMerge w:val="continue"/>
            <w:vAlign w:val="center"/>
          </w:tcPr>
          <w:p w14:paraId="60E81E83">
            <w:pPr>
              <w:pStyle w:val="69"/>
              <w:rPr>
                <w:color w:val="auto"/>
              </w:rPr>
            </w:pPr>
          </w:p>
        </w:tc>
        <w:tc>
          <w:tcPr>
            <w:tcW w:w="834" w:type="dxa"/>
            <w:vAlign w:val="center"/>
          </w:tcPr>
          <w:p w14:paraId="2BA33336">
            <w:pPr>
              <w:pStyle w:val="69"/>
              <w:rPr>
                <w:color w:val="auto"/>
              </w:rPr>
            </w:pPr>
            <w:r>
              <w:rPr>
                <w:rFonts w:hint="eastAsia"/>
                <w:color w:val="auto"/>
              </w:rPr>
              <w:t>车牌号码</w:t>
            </w:r>
          </w:p>
        </w:tc>
        <w:tc>
          <w:tcPr>
            <w:tcW w:w="749" w:type="dxa"/>
            <w:vAlign w:val="center"/>
          </w:tcPr>
          <w:p w14:paraId="19CABFE5">
            <w:pPr>
              <w:pStyle w:val="69"/>
              <w:rPr>
                <w:color w:val="auto"/>
              </w:rPr>
            </w:pPr>
            <w:r>
              <w:rPr>
                <w:rFonts w:hint="eastAsia"/>
                <w:color w:val="auto"/>
              </w:rPr>
              <w:t>司机姓名</w:t>
            </w:r>
          </w:p>
        </w:tc>
        <w:tc>
          <w:tcPr>
            <w:tcW w:w="920" w:type="dxa"/>
            <w:vAlign w:val="center"/>
          </w:tcPr>
          <w:p w14:paraId="772D3024">
            <w:pPr>
              <w:pStyle w:val="69"/>
              <w:rPr>
                <w:color w:val="auto"/>
              </w:rPr>
            </w:pPr>
            <w:r>
              <w:rPr>
                <w:rFonts w:hint="eastAsia"/>
                <w:color w:val="auto"/>
              </w:rPr>
              <w:t>司机手机号</w:t>
            </w:r>
          </w:p>
        </w:tc>
        <w:tc>
          <w:tcPr>
            <w:tcW w:w="916" w:type="dxa"/>
            <w:vAlign w:val="center"/>
          </w:tcPr>
          <w:p w14:paraId="306C0AAE">
            <w:pPr>
              <w:pStyle w:val="69"/>
              <w:rPr>
                <w:color w:val="auto"/>
              </w:rPr>
            </w:pPr>
            <w:r>
              <w:rPr>
                <w:rFonts w:hint="eastAsia"/>
                <w:color w:val="auto"/>
              </w:rPr>
              <w:t>废物产生单位</w:t>
            </w:r>
          </w:p>
        </w:tc>
        <w:tc>
          <w:tcPr>
            <w:tcW w:w="1083" w:type="dxa"/>
            <w:vAlign w:val="center"/>
          </w:tcPr>
          <w:p w14:paraId="1A02BC29">
            <w:pPr>
              <w:pStyle w:val="69"/>
              <w:rPr>
                <w:color w:val="auto"/>
              </w:rPr>
            </w:pPr>
            <w:r>
              <w:rPr>
                <w:rFonts w:hint="eastAsia"/>
                <w:color w:val="auto"/>
              </w:rPr>
              <w:t>废物类别及名称</w:t>
            </w:r>
          </w:p>
        </w:tc>
        <w:tc>
          <w:tcPr>
            <w:tcW w:w="587" w:type="dxa"/>
            <w:vAlign w:val="center"/>
          </w:tcPr>
          <w:p w14:paraId="175B2566">
            <w:pPr>
              <w:pStyle w:val="69"/>
              <w:rPr>
                <w:color w:val="auto"/>
              </w:rPr>
            </w:pPr>
            <w:r>
              <w:rPr>
                <w:rFonts w:hint="eastAsia"/>
                <w:color w:val="auto"/>
              </w:rPr>
              <w:t>重量(吨)</w:t>
            </w:r>
          </w:p>
        </w:tc>
        <w:tc>
          <w:tcPr>
            <w:tcW w:w="1083" w:type="dxa"/>
            <w:vAlign w:val="center"/>
          </w:tcPr>
          <w:p w14:paraId="6807F0EA">
            <w:pPr>
              <w:pStyle w:val="69"/>
              <w:rPr>
                <w:color w:val="auto"/>
              </w:rPr>
            </w:pPr>
            <w:r>
              <w:rPr>
                <w:rFonts w:hint="eastAsia"/>
                <w:color w:val="auto"/>
              </w:rPr>
              <w:t>司机</w:t>
            </w:r>
          </w:p>
          <w:p w14:paraId="39E4F53A">
            <w:pPr>
              <w:pStyle w:val="69"/>
              <w:rPr>
                <w:color w:val="auto"/>
              </w:rPr>
            </w:pPr>
            <w:r>
              <w:rPr>
                <w:color w:val="auto"/>
              </w:rPr>
              <w:t>（签字）</w:t>
            </w:r>
          </w:p>
        </w:tc>
        <w:tc>
          <w:tcPr>
            <w:tcW w:w="806" w:type="dxa"/>
            <w:tcBorders>
              <w:right w:val="nil"/>
            </w:tcBorders>
            <w:vAlign w:val="center"/>
          </w:tcPr>
          <w:p w14:paraId="0D247EC1">
            <w:pPr>
              <w:pStyle w:val="69"/>
              <w:rPr>
                <w:color w:val="auto"/>
              </w:rPr>
            </w:pPr>
            <w:r>
              <w:rPr>
                <w:rFonts w:hint="eastAsia"/>
                <w:color w:val="auto"/>
              </w:rPr>
              <w:t>确认</w:t>
            </w:r>
            <w:r>
              <w:rPr>
                <w:color w:val="auto"/>
              </w:rPr>
              <w:t>人</w:t>
            </w:r>
          </w:p>
          <w:p w14:paraId="759BEC85">
            <w:pPr>
              <w:pStyle w:val="69"/>
              <w:rPr>
                <w:color w:val="auto"/>
              </w:rPr>
            </w:pPr>
            <w:r>
              <w:rPr>
                <w:color w:val="auto"/>
              </w:rPr>
              <w:t>（签字）</w:t>
            </w:r>
          </w:p>
        </w:tc>
      </w:tr>
      <w:tr w14:paraId="51108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Borders>
              <w:left w:val="nil"/>
            </w:tcBorders>
            <w:vAlign w:val="center"/>
          </w:tcPr>
          <w:p w14:paraId="49CAE486">
            <w:pPr>
              <w:pStyle w:val="69"/>
              <w:rPr>
                <w:color w:val="auto"/>
              </w:rPr>
            </w:pPr>
          </w:p>
        </w:tc>
        <w:tc>
          <w:tcPr>
            <w:tcW w:w="706" w:type="dxa"/>
            <w:vAlign w:val="center"/>
          </w:tcPr>
          <w:p w14:paraId="27C40B59">
            <w:pPr>
              <w:pStyle w:val="69"/>
              <w:rPr>
                <w:color w:val="auto"/>
              </w:rPr>
            </w:pPr>
          </w:p>
        </w:tc>
        <w:tc>
          <w:tcPr>
            <w:tcW w:w="916" w:type="dxa"/>
            <w:vAlign w:val="center"/>
          </w:tcPr>
          <w:p w14:paraId="62E557E5">
            <w:pPr>
              <w:pStyle w:val="69"/>
              <w:rPr>
                <w:color w:val="auto"/>
              </w:rPr>
            </w:pPr>
          </w:p>
        </w:tc>
        <w:tc>
          <w:tcPr>
            <w:tcW w:w="834" w:type="dxa"/>
            <w:vAlign w:val="center"/>
          </w:tcPr>
          <w:p w14:paraId="13028E2F">
            <w:pPr>
              <w:pStyle w:val="69"/>
              <w:rPr>
                <w:color w:val="auto"/>
              </w:rPr>
            </w:pPr>
          </w:p>
        </w:tc>
        <w:tc>
          <w:tcPr>
            <w:tcW w:w="749" w:type="dxa"/>
            <w:vAlign w:val="center"/>
          </w:tcPr>
          <w:p w14:paraId="07D02B1D">
            <w:pPr>
              <w:pStyle w:val="69"/>
              <w:rPr>
                <w:color w:val="auto"/>
              </w:rPr>
            </w:pPr>
          </w:p>
        </w:tc>
        <w:tc>
          <w:tcPr>
            <w:tcW w:w="920" w:type="dxa"/>
            <w:vAlign w:val="center"/>
          </w:tcPr>
          <w:p w14:paraId="707D2B4E">
            <w:pPr>
              <w:pStyle w:val="69"/>
              <w:rPr>
                <w:color w:val="auto"/>
              </w:rPr>
            </w:pPr>
          </w:p>
        </w:tc>
        <w:tc>
          <w:tcPr>
            <w:tcW w:w="916" w:type="dxa"/>
            <w:vAlign w:val="center"/>
          </w:tcPr>
          <w:p w14:paraId="0DEA2C15">
            <w:pPr>
              <w:pStyle w:val="69"/>
              <w:rPr>
                <w:color w:val="auto"/>
              </w:rPr>
            </w:pPr>
          </w:p>
        </w:tc>
        <w:tc>
          <w:tcPr>
            <w:tcW w:w="1083" w:type="dxa"/>
            <w:vAlign w:val="center"/>
          </w:tcPr>
          <w:p w14:paraId="66B69107">
            <w:pPr>
              <w:pStyle w:val="69"/>
              <w:rPr>
                <w:color w:val="auto"/>
              </w:rPr>
            </w:pPr>
          </w:p>
        </w:tc>
        <w:tc>
          <w:tcPr>
            <w:tcW w:w="587" w:type="dxa"/>
            <w:vAlign w:val="center"/>
          </w:tcPr>
          <w:p w14:paraId="103353EC">
            <w:pPr>
              <w:pStyle w:val="69"/>
              <w:rPr>
                <w:color w:val="auto"/>
              </w:rPr>
            </w:pPr>
          </w:p>
        </w:tc>
        <w:tc>
          <w:tcPr>
            <w:tcW w:w="1083" w:type="dxa"/>
            <w:vAlign w:val="center"/>
          </w:tcPr>
          <w:p w14:paraId="7671286E">
            <w:pPr>
              <w:pStyle w:val="69"/>
              <w:rPr>
                <w:color w:val="auto"/>
              </w:rPr>
            </w:pPr>
          </w:p>
        </w:tc>
        <w:tc>
          <w:tcPr>
            <w:tcW w:w="806" w:type="dxa"/>
            <w:tcBorders>
              <w:right w:val="nil"/>
            </w:tcBorders>
            <w:vAlign w:val="center"/>
          </w:tcPr>
          <w:p w14:paraId="79817065">
            <w:pPr>
              <w:pStyle w:val="69"/>
              <w:rPr>
                <w:color w:val="auto"/>
              </w:rPr>
            </w:pPr>
          </w:p>
        </w:tc>
      </w:tr>
      <w:tr w14:paraId="47230A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Borders>
              <w:left w:val="nil"/>
            </w:tcBorders>
            <w:vAlign w:val="center"/>
          </w:tcPr>
          <w:p w14:paraId="63A3C230">
            <w:pPr>
              <w:pStyle w:val="69"/>
              <w:rPr>
                <w:color w:val="auto"/>
              </w:rPr>
            </w:pPr>
          </w:p>
        </w:tc>
        <w:tc>
          <w:tcPr>
            <w:tcW w:w="706" w:type="dxa"/>
            <w:vAlign w:val="center"/>
          </w:tcPr>
          <w:p w14:paraId="0421D50C">
            <w:pPr>
              <w:pStyle w:val="69"/>
              <w:rPr>
                <w:color w:val="auto"/>
              </w:rPr>
            </w:pPr>
          </w:p>
        </w:tc>
        <w:tc>
          <w:tcPr>
            <w:tcW w:w="916" w:type="dxa"/>
            <w:vAlign w:val="center"/>
          </w:tcPr>
          <w:p w14:paraId="761CFFB1">
            <w:pPr>
              <w:pStyle w:val="69"/>
              <w:rPr>
                <w:color w:val="auto"/>
              </w:rPr>
            </w:pPr>
          </w:p>
        </w:tc>
        <w:tc>
          <w:tcPr>
            <w:tcW w:w="834" w:type="dxa"/>
            <w:vAlign w:val="center"/>
          </w:tcPr>
          <w:p w14:paraId="41B64475">
            <w:pPr>
              <w:pStyle w:val="69"/>
              <w:rPr>
                <w:color w:val="auto"/>
              </w:rPr>
            </w:pPr>
          </w:p>
        </w:tc>
        <w:tc>
          <w:tcPr>
            <w:tcW w:w="749" w:type="dxa"/>
            <w:vAlign w:val="center"/>
          </w:tcPr>
          <w:p w14:paraId="7DB14382">
            <w:pPr>
              <w:pStyle w:val="69"/>
              <w:rPr>
                <w:color w:val="auto"/>
              </w:rPr>
            </w:pPr>
          </w:p>
        </w:tc>
        <w:tc>
          <w:tcPr>
            <w:tcW w:w="920" w:type="dxa"/>
            <w:vAlign w:val="center"/>
          </w:tcPr>
          <w:p w14:paraId="4F9142B8">
            <w:pPr>
              <w:pStyle w:val="69"/>
              <w:rPr>
                <w:color w:val="auto"/>
              </w:rPr>
            </w:pPr>
          </w:p>
        </w:tc>
        <w:tc>
          <w:tcPr>
            <w:tcW w:w="916" w:type="dxa"/>
            <w:vAlign w:val="center"/>
          </w:tcPr>
          <w:p w14:paraId="2A84EC6A">
            <w:pPr>
              <w:pStyle w:val="69"/>
              <w:rPr>
                <w:color w:val="auto"/>
              </w:rPr>
            </w:pPr>
          </w:p>
        </w:tc>
        <w:tc>
          <w:tcPr>
            <w:tcW w:w="1083" w:type="dxa"/>
            <w:vAlign w:val="center"/>
          </w:tcPr>
          <w:p w14:paraId="60FE21B5">
            <w:pPr>
              <w:pStyle w:val="69"/>
              <w:rPr>
                <w:color w:val="auto"/>
              </w:rPr>
            </w:pPr>
          </w:p>
        </w:tc>
        <w:tc>
          <w:tcPr>
            <w:tcW w:w="587" w:type="dxa"/>
            <w:vAlign w:val="center"/>
          </w:tcPr>
          <w:p w14:paraId="648E9A99">
            <w:pPr>
              <w:pStyle w:val="69"/>
              <w:rPr>
                <w:color w:val="auto"/>
              </w:rPr>
            </w:pPr>
          </w:p>
        </w:tc>
        <w:tc>
          <w:tcPr>
            <w:tcW w:w="1083" w:type="dxa"/>
            <w:vAlign w:val="center"/>
          </w:tcPr>
          <w:p w14:paraId="4E442253">
            <w:pPr>
              <w:pStyle w:val="69"/>
              <w:rPr>
                <w:color w:val="auto"/>
              </w:rPr>
            </w:pPr>
          </w:p>
        </w:tc>
        <w:tc>
          <w:tcPr>
            <w:tcW w:w="806" w:type="dxa"/>
            <w:tcBorders>
              <w:right w:val="nil"/>
            </w:tcBorders>
            <w:vAlign w:val="center"/>
          </w:tcPr>
          <w:p w14:paraId="3CCB32B3">
            <w:pPr>
              <w:pStyle w:val="69"/>
              <w:rPr>
                <w:color w:val="auto"/>
              </w:rPr>
            </w:pPr>
          </w:p>
        </w:tc>
      </w:tr>
      <w:tr w14:paraId="621A5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Borders>
              <w:left w:val="nil"/>
              <w:bottom w:val="single" w:color="auto" w:sz="12" w:space="0"/>
            </w:tcBorders>
            <w:vAlign w:val="center"/>
          </w:tcPr>
          <w:p w14:paraId="2C7223C1">
            <w:pPr>
              <w:pStyle w:val="69"/>
              <w:rPr>
                <w:color w:val="auto"/>
              </w:rPr>
            </w:pPr>
          </w:p>
        </w:tc>
        <w:tc>
          <w:tcPr>
            <w:tcW w:w="706" w:type="dxa"/>
            <w:tcBorders>
              <w:bottom w:val="single" w:color="auto" w:sz="12" w:space="0"/>
            </w:tcBorders>
            <w:vAlign w:val="center"/>
          </w:tcPr>
          <w:p w14:paraId="427A4744">
            <w:pPr>
              <w:pStyle w:val="69"/>
              <w:rPr>
                <w:color w:val="auto"/>
              </w:rPr>
            </w:pPr>
          </w:p>
        </w:tc>
        <w:tc>
          <w:tcPr>
            <w:tcW w:w="916" w:type="dxa"/>
            <w:tcBorders>
              <w:bottom w:val="single" w:color="auto" w:sz="12" w:space="0"/>
            </w:tcBorders>
            <w:vAlign w:val="center"/>
          </w:tcPr>
          <w:p w14:paraId="7C7AF223">
            <w:pPr>
              <w:pStyle w:val="69"/>
              <w:rPr>
                <w:color w:val="auto"/>
              </w:rPr>
            </w:pPr>
          </w:p>
        </w:tc>
        <w:tc>
          <w:tcPr>
            <w:tcW w:w="834" w:type="dxa"/>
            <w:tcBorders>
              <w:bottom w:val="single" w:color="auto" w:sz="12" w:space="0"/>
            </w:tcBorders>
            <w:vAlign w:val="center"/>
          </w:tcPr>
          <w:p w14:paraId="7343B044">
            <w:pPr>
              <w:pStyle w:val="69"/>
              <w:rPr>
                <w:color w:val="auto"/>
              </w:rPr>
            </w:pPr>
          </w:p>
        </w:tc>
        <w:tc>
          <w:tcPr>
            <w:tcW w:w="749" w:type="dxa"/>
            <w:tcBorders>
              <w:bottom w:val="single" w:color="auto" w:sz="12" w:space="0"/>
            </w:tcBorders>
            <w:vAlign w:val="center"/>
          </w:tcPr>
          <w:p w14:paraId="0E34BFBE">
            <w:pPr>
              <w:pStyle w:val="69"/>
              <w:rPr>
                <w:color w:val="auto"/>
              </w:rPr>
            </w:pPr>
          </w:p>
        </w:tc>
        <w:tc>
          <w:tcPr>
            <w:tcW w:w="920" w:type="dxa"/>
            <w:tcBorders>
              <w:bottom w:val="single" w:color="auto" w:sz="12" w:space="0"/>
            </w:tcBorders>
            <w:vAlign w:val="center"/>
          </w:tcPr>
          <w:p w14:paraId="5912D348">
            <w:pPr>
              <w:pStyle w:val="69"/>
              <w:rPr>
                <w:color w:val="auto"/>
              </w:rPr>
            </w:pPr>
          </w:p>
        </w:tc>
        <w:tc>
          <w:tcPr>
            <w:tcW w:w="916" w:type="dxa"/>
            <w:tcBorders>
              <w:bottom w:val="single" w:color="auto" w:sz="12" w:space="0"/>
            </w:tcBorders>
            <w:vAlign w:val="center"/>
          </w:tcPr>
          <w:p w14:paraId="09180855">
            <w:pPr>
              <w:pStyle w:val="69"/>
              <w:rPr>
                <w:color w:val="auto"/>
              </w:rPr>
            </w:pPr>
          </w:p>
        </w:tc>
        <w:tc>
          <w:tcPr>
            <w:tcW w:w="1083" w:type="dxa"/>
            <w:tcBorders>
              <w:bottom w:val="single" w:color="auto" w:sz="12" w:space="0"/>
            </w:tcBorders>
            <w:vAlign w:val="center"/>
          </w:tcPr>
          <w:p w14:paraId="0D96121A">
            <w:pPr>
              <w:pStyle w:val="69"/>
              <w:rPr>
                <w:color w:val="auto"/>
              </w:rPr>
            </w:pPr>
          </w:p>
        </w:tc>
        <w:tc>
          <w:tcPr>
            <w:tcW w:w="587" w:type="dxa"/>
            <w:tcBorders>
              <w:bottom w:val="single" w:color="auto" w:sz="12" w:space="0"/>
            </w:tcBorders>
            <w:vAlign w:val="center"/>
          </w:tcPr>
          <w:p w14:paraId="1988E80A">
            <w:pPr>
              <w:pStyle w:val="69"/>
              <w:rPr>
                <w:color w:val="auto"/>
              </w:rPr>
            </w:pPr>
          </w:p>
        </w:tc>
        <w:tc>
          <w:tcPr>
            <w:tcW w:w="1083" w:type="dxa"/>
            <w:tcBorders>
              <w:bottom w:val="single" w:color="auto" w:sz="12" w:space="0"/>
            </w:tcBorders>
            <w:vAlign w:val="center"/>
          </w:tcPr>
          <w:p w14:paraId="44F1CBC5">
            <w:pPr>
              <w:pStyle w:val="69"/>
              <w:rPr>
                <w:color w:val="auto"/>
              </w:rPr>
            </w:pPr>
          </w:p>
        </w:tc>
        <w:tc>
          <w:tcPr>
            <w:tcW w:w="806" w:type="dxa"/>
            <w:tcBorders>
              <w:bottom w:val="single" w:color="auto" w:sz="12" w:space="0"/>
              <w:right w:val="nil"/>
            </w:tcBorders>
            <w:vAlign w:val="center"/>
          </w:tcPr>
          <w:p w14:paraId="778553A0">
            <w:pPr>
              <w:pStyle w:val="69"/>
              <w:rPr>
                <w:color w:val="auto"/>
              </w:rPr>
            </w:pPr>
          </w:p>
        </w:tc>
      </w:tr>
    </w:tbl>
    <w:p w14:paraId="4F6F38D6">
      <w:pPr>
        <w:ind w:firstLine="482"/>
        <w:rPr>
          <w:b/>
          <w:bCs/>
          <w:color w:val="auto"/>
        </w:rPr>
      </w:pPr>
      <w:r>
        <w:rPr>
          <w:rFonts w:hint="eastAsia"/>
          <w:b/>
          <w:bCs/>
          <w:color w:val="auto"/>
        </w:rPr>
        <w:t>4、</w:t>
      </w:r>
      <w:r>
        <w:rPr>
          <w:b/>
          <w:bCs/>
          <w:color w:val="auto"/>
        </w:rPr>
        <w:t>处置</w:t>
      </w:r>
    </w:p>
    <w:p w14:paraId="740DDBC2">
      <w:pPr>
        <w:ind w:firstLine="480"/>
        <w:rPr>
          <w:color w:val="auto"/>
        </w:rPr>
      </w:pPr>
      <w:r>
        <w:rPr>
          <w:color w:val="auto"/>
        </w:rPr>
        <w:t>建设单位拟将危险废物拟交由有危废处置资质单位处理</w:t>
      </w:r>
      <w:r>
        <w:rPr>
          <w:rFonts w:hint="eastAsia"/>
          <w:color w:val="auto"/>
        </w:rPr>
        <w:t>，并做好给台帐，见下表</w:t>
      </w:r>
      <w:r>
        <w:rPr>
          <w:color w:val="auto"/>
        </w:rPr>
        <w:t xml:space="preserve">。类比分析可知，本项目危险废物防治措施在技术经济上是可行的。 </w:t>
      </w:r>
    </w:p>
    <w:p w14:paraId="4BF2C708">
      <w:pPr>
        <w:ind w:firstLine="480"/>
        <w:rPr>
          <w:color w:val="auto"/>
        </w:rPr>
      </w:pPr>
      <w:r>
        <w:rPr>
          <w:color w:val="auto"/>
        </w:rPr>
        <w:t>根据《广东省危险废物产生单位危险废物规范化管理工作实施方案》，企业须根据管理台账和近年生产计划，制订危险废物管理计划，并报当地环保部门备案。台帐应如实记载产生危险废物的种类、数量、利用、贮存、处置、流向等信息，以此作为向当地环保部门申报危险废物管理计划的编制依据。产生的危险废物实行分类收集后置于贮存设施内，贮存时限一般不得超过一年，并设专人管理。盛装危险废物的容器和包装物以及产生、收集、贮存、运输、处置危险废物的场所，必须依法设置相应标识、警示标志和标签，标签上应注明贮存的废物类别、危害性以及开始贮存时间等内容。企业必须严格执行危险废物转移计划报批和依法运行危险废物转移联单，并通过信息系统登记转移计划和电子转移联单。</w:t>
      </w:r>
    </w:p>
    <w:p w14:paraId="42562CB9">
      <w:pPr>
        <w:ind w:firstLine="480"/>
        <w:rPr>
          <w:color w:val="auto"/>
        </w:rPr>
      </w:pPr>
      <w:r>
        <w:rPr>
          <w:color w:val="auto"/>
        </w:rPr>
        <w:t>危险废物转移报批程序如下：第一阶段：产废单位创建联单，填写好要转移的危险废物信息，提交后系统将发送给所选择的接收单位；第二阶段：接收单位确认产废单位填写的废物信息，并安排运输单位，提交后联单发送给运输单位。若接收单位发现信息有误，可以退回给产废单位修改；第三阶段：运输单位通过手机端App，填写运输信息进行二维码扫描操作，完成后联单提交给接收单位；第四阶段：接收单位收到废物后过磅，并在系统填写过磅值，确认无误后提交给产废单位确认；第五阶段：产废单位确认联单的全部内容，确认无误提交则流程结束，若发现数据有问题，可以选择回退给处置单位修改。</w:t>
      </w:r>
    </w:p>
    <w:p w14:paraId="594D5AE8">
      <w:pPr>
        <w:ind w:firstLine="480"/>
        <w:rPr>
          <w:color w:val="auto"/>
        </w:rPr>
      </w:pPr>
      <w:r>
        <w:rPr>
          <w:color w:val="auto"/>
        </w:rPr>
        <w:t>企业还需健全产生单位内部管理制度，包括落实危险废物产生信息公开制度，建立员工培训和固体废物管理员制度，完善危险废物相关档案管理制度。本项目危险废物采取上述防治措施后，危险废物均能得到妥善处置，对周围环境不会造成影响。</w:t>
      </w:r>
    </w:p>
    <w:p w14:paraId="3F982552">
      <w:pPr>
        <w:pStyle w:val="62"/>
        <w:rPr>
          <w:color w:val="auto"/>
        </w:rPr>
      </w:pPr>
      <w:r>
        <w:rPr>
          <w:rFonts w:hint="eastAsia"/>
          <w:color w:val="auto"/>
        </w:rPr>
        <w:t>固废台帐</w:t>
      </w:r>
    </w:p>
    <w:tbl>
      <w:tblPr>
        <w:tblStyle w:val="38"/>
        <w:tblW w:w="9288" w:type="dxa"/>
        <w:jc w:val="center"/>
        <w:tblLayout w:type="fixed"/>
        <w:tblCellMar>
          <w:top w:w="0" w:type="dxa"/>
          <w:left w:w="108" w:type="dxa"/>
          <w:bottom w:w="0" w:type="dxa"/>
          <w:right w:w="108" w:type="dxa"/>
        </w:tblCellMar>
      </w:tblPr>
      <w:tblGrid>
        <w:gridCol w:w="558"/>
        <w:gridCol w:w="621"/>
        <w:gridCol w:w="730"/>
        <w:gridCol w:w="1192"/>
        <w:gridCol w:w="728"/>
        <w:gridCol w:w="801"/>
        <w:gridCol w:w="1307"/>
        <w:gridCol w:w="1211"/>
        <w:gridCol w:w="1399"/>
        <w:gridCol w:w="741"/>
      </w:tblGrid>
      <w:tr w14:paraId="38FA28A0">
        <w:tblPrEx>
          <w:tblCellMar>
            <w:top w:w="0" w:type="dxa"/>
            <w:left w:w="108" w:type="dxa"/>
            <w:bottom w:w="0" w:type="dxa"/>
            <w:right w:w="108" w:type="dxa"/>
          </w:tblCellMar>
        </w:tblPrEx>
        <w:trPr>
          <w:trHeight w:val="505" w:hRule="atLeast"/>
          <w:jc w:val="center"/>
        </w:trPr>
        <w:tc>
          <w:tcPr>
            <w:tcW w:w="9288" w:type="dxa"/>
            <w:gridSpan w:val="10"/>
            <w:tcBorders>
              <w:top w:val="single" w:color="auto" w:sz="12" w:space="0"/>
              <w:left w:val="nil"/>
              <w:bottom w:val="nil"/>
              <w:right w:val="nil"/>
            </w:tcBorders>
            <w:noWrap/>
            <w:vAlign w:val="center"/>
          </w:tcPr>
          <w:p w14:paraId="39F5449B">
            <w:pPr>
              <w:pStyle w:val="69"/>
              <w:rPr>
                <w:color w:val="auto"/>
              </w:rPr>
            </w:pPr>
            <w:r>
              <w:rPr>
                <w:rFonts w:hint="eastAsia"/>
                <w:color w:val="auto"/>
              </w:rPr>
              <w:t>20____年  月</w:t>
            </w:r>
          </w:p>
        </w:tc>
      </w:tr>
      <w:tr w14:paraId="39666D19">
        <w:tblPrEx>
          <w:tblCellMar>
            <w:top w:w="0" w:type="dxa"/>
            <w:left w:w="108" w:type="dxa"/>
            <w:bottom w:w="0" w:type="dxa"/>
            <w:right w:w="108" w:type="dxa"/>
          </w:tblCellMar>
        </w:tblPrEx>
        <w:trPr>
          <w:trHeight w:val="505" w:hRule="atLeast"/>
          <w:jc w:val="center"/>
        </w:trPr>
        <w:tc>
          <w:tcPr>
            <w:tcW w:w="9288" w:type="dxa"/>
            <w:gridSpan w:val="10"/>
            <w:tcBorders>
              <w:top w:val="nil"/>
              <w:left w:val="nil"/>
              <w:bottom w:val="nil"/>
              <w:right w:val="nil"/>
            </w:tcBorders>
            <w:noWrap/>
            <w:vAlign w:val="center"/>
          </w:tcPr>
          <w:p w14:paraId="28429F83">
            <w:pPr>
              <w:pStyle w:val="69"/>
              <w:rPr>
                <w:color w:val="auto"/>
              </w:rPr>
            </w:pPr>
            <w:r>
              <w:rPr>
                <w:rFonts w:hint="eastAsia"/>
                <w:color w:val="auto"/>
              </w:rPr>
              <w:t>上月底原有库存量：___________（      ）                    每袋固态废物重量约_____千克(含水率____%)</w:t>
            </w:r>
          </w:p>
        </w:tc>
      </w:tr>
      <w:tr w14:paraId="647B02DF">
        <w:tblPrEx>
          <w:tblCellMar>
            <w:top w:w="0" w:type="dxa"/>
            <w:left w:w="108" w:type="dxa"/>
            <w:bottom w:w="0" w:type="dxa"/>
            <w:right w:w="108" w:type="dxa"/>
          </w:tblCellMar>
        </w:tblPrEx>
        <w:trPr>
          <w:trHeight w:val="339" w:hRule="atLeast"/>
          <w:jc w:val="center"/>
        </w:trPr>
        <w:tc>
          <w:tcPr>
            <w:tcW w:w="558" w:type="dxa"/>
            <w:vMerge w:val="restart"/>
            <w:tcBorders>
              <w:top w:val="single" w:color="auto" w:sz="4" w:space="0"/>
              <w:left w:val="nil"/>
              <w:right w:val="single" w:color="auto" w:sz="4" w:space="0"/>
            </w:tcBorders>
            <w:vAlign w:val="center"/>
          </w:tcPr>
          <w:p w14:paraId="52310363">
            <w:pPr>
              <w:pStyle w:val="69"/>
              <w:rPr>
                <w:color w:val="auto"/>
              </w:rPr>
            </w:pPr>
            <w:r>
              <w:rPr>
                <w:rFonts w:hint="eastAsia"/>
                <w:color w:val="auto"/>
              </w:rPr>
              <w:t>日期</w:t>
            </w:r>
          </w:p>
          <w:p w14:paraId="13E1BBAC">
            <w:pPr>
              <w:pStyle w:val="69"/>
              <w:rPr>
                <w:color w:val="auto"/>
              </w:rPr>
            </w:pPr>
            <w:r>
              <w:rPr>
                <w:rFonts w:hint="eastAsia"/>
                <w:color w:val="auto"/>
              </w:rPr>
              <w:t>(日)</w:t>
            </w:r>
          </w:p>
        </w:tc>
        <w:tc>
          <w:tcPr>
            <w:tcW w:w="1351" w:type="dxa"/>
            <w:gridSpan w:val="2"/>
            <w:tcBorders>
              <w:top w:val="single" w:color="auto" w:sz="4" w:space="0"/>
              <w:left w:val="nil"/>
              <w:bottom w:val="single" w:color="auto" w:sz="4" w:space="0"/>
              <w:right w:val="single" w:color="auto" w:sz="4" w:space="0"/>
            </w:tcBorders>
            <w:vAlign w:val="center"/>
          </w:tcPr>
          <w:p w14:paraId="634F501A">
            <w:pPr>
              <w:pStyle w:val="69"/>
              <w:rPr>
                <w:color w:val="auto"/>
              </w:rPr>
            </w:pPr>
            <w:r>
              <w:rPr>
                <w:rFonts w:hint="eastAsia"/>
                <w:color w:val="auto"/>
              </w:rPr>
              <w:t>产生/入库量</w:t>
            </w:r>
          </w:p>
        </w:tc>
        <w:tc>
          <w:tcPr>
            <w:tcW w:w="1192" w:type="dxa"/>
            <w:vMerge w:val="restart"/>
            <w:tcBorders>
              <w:top w:val="single" w:color="auto" w:sz="4" w:space="0"/>
              <w:left w:val="nil"/>
              <w:right w:val="single" w:color="auto" w:sz="4" w:space="0"/>
            </w:tcBorders>
            <w:vAlign w:val="center"/>
          </w:tcPr>
          <w:p w14:paraId="5A261186">
            <w:pPr>
              <w:pStyle w:val="69"/>
              <w:rPr>
                <w:color w:val="auto"/>
              </w:rPr>
            </w:pPr>
            <w:r>
              <w:rPr>
                <w:rFonts w:hint="eastAsia"/>
                <w:color w:val="auto"/>
              </w:rPr>
              <w:t>自行利用/减量/处置量</w:t>
            </w:r>
          </w:p>
          <w:p w14:paraId="26FDDEF3">
            <w:pPr>
              <w:pStyle w:val="69"/>
              <w:rPr>
                <w:color w:val="auto"/>
              </w:rPr>
            </w:pPr>
            <w:r>
              <w:rPr>
                <w:rFonts w:hint="eastAsia"/>
                <w:color w:val="auto"/>
              </w:rPr>
              <w:t>(袋/个/千克)</w:t>
            </w:r>
          </w:p>
        </w:tc>
        <w:tc>
          <w:tcPr>
            <w:tcW w:w="1529" w:type="dxa"/>
            <w:gridSpan w:val="2"/>
            <w:tcBorders>
              <w:top w:val="single" w:color="auto" w:sz="4" w:space="0"/>
              <w:left w:val="nil"/>
              <w:bottom w:val="single" w:color="auto" w:sz="4" w:space="0"/>
              <w:right w:val="single" w:color="auto" w:sz="4" w:space="0"/>
            </w:tcBorders>
            <w:vAlign w:val="center"/>
          </w:tcPr>
          <w:p w14:paraId="743F56B8">
            <w:pPr>
              <w:pStyle w:val="69"/>
              <w:rPr>
                <w:color w:val="auto"/>
              </w:rPr>
            </w:pPr>
            <w:r>
              <w:rPr>
                <w:rFonts w:hint="eastAsia"/>
                <w:color w:val="auto"/>
              </w:rPr>
              <w:t>出库量</w:t>
            </w:r>
          </w:p>
        </w:tc>
        <w:tc>
          <w:tcPr>
            <w:tcW w:w="1307" w:type="dxa"/>
            <w:vMerge w:val="restart"/>
            <w:tcBorders>
              <w:top w:val="single" w:color="auto" w:sz="4" w:space="0"/>
              <w:left w:val="nil"/>
              <w:right w:val="single" w:color="auto" w:sz="4" w:space="0"/>
            </w:tcBorders>
            <w:vAlign w:val="center"/>
          </w:tcPr>
          <w:p w14:paraId="38CD9F7B">
            <w:pPr>
              <w:pStyle w:val="69"/>
              <w:rPr>
                <w:color w:val="auto"/>
              </w:rPr>
            </w:pPr>
            <w:r>
              <w:rPr>
                <w:rFonts w:hint="eastAsia"/>
                <w:color w:val="auto"/>
              </w:rPr>
              <w:t>接收单位名称(多家均需列出)</w:t>
            </w:r>
          </w:p>
        </w:tc>
        <w:tc>
          <w:tcPr>
            <w:tcW w:w="1211" w:type="dxa"/>
            <w:vMerge w:val="restart"/>
            <w:tcBorders>
              <w:top w:val="single" w:color="auto" w:sz="4" w:space="0"/>
              <w:left w:val="nil"/>
              <w:right w:val="single" w:color="auto" w:sz="4" w:space="0"/>
            </w:tcBorders>
            <w:vAlign w:val="center"/>
          </w:tcPr>
          <w:p w14:paraId="73E243AB">
            <w:pPr>
              <w:pStyle w:val="69"/>
              <w:rPr>
                <w:color w:val="auto"/>
              </w:rPr>
            </w:pPr>
            <w:r>
              <w:rPr>
                <w:rFonts w:hint="eastAsia"/>
                <w:color w:val="auto"/>
              </w:rPr>
              <w:t>结余/库存量</w:t>
            </w:r>
          </w:p>
          <w:p w14:paraId="47657CBD">
            <w:pPr>
              <w:pStyle w:val="69"/>
              <w:rPr>
                <w:color w:val="auto"/>
              </w:rPr>
            </w:pPr>
            <w:r>
              <w:rPr>
                <w:rFonts w:hint="eastAsia"/>
                <w:color w:val="auto"/>
              </w:rPr>
              <w:t>(袋/个/千克)</w:t>
            </w:r>
          </w:p>
        </w:tc>
        <w:tc>
          <w:tcPr>
            <w:tcW w:w="1399" w:type="dxa"/>
            <w:vMerge w:val="restart"/>
            <w:tcBorders>
              <w:top w:val="single" w:color="auto" w:sz="4" w:space="0"/>
              <w:left w:val="nil"/>
              <w:right w:val="single" w:color="auto" w:sz="4" w:space="0"/>
            </w:tcBorders>
            <w:vAlign w:val="center"/>
          </w:tcPr>
          <w:p w14:paraId="7F74F68C">
            <w:pPr>
              <w:pStyle w:val="69"/>
              <w:rPr>
                <w:color w:val="auto"/>
              </w:rPr>
            </w:pPr>
            <w:r>
              <w:rPr>
                <w:rFonts w:hint="eastAsia"/>
                <w:color w:val="auto"/>
              </w:rPr>
              <w:t>仓管员/记录人</w:t>
            </w:r>
          </w:p>
          <w:p w14:paraId="2F56AA85">
            <w:pPr>
              <w:pStyle w:val="69"/>
              <w:rPr>
                <w:color w:val="auto"/>
              </w:rPr>
            </w:pPr>
            <w:r>
              <w:rPr>
                <w:rFonts w:hint="eastAsia"/>
                <w:color w:val="auto"/>
              </w:rPr>
              <w:t>(手写签名确认)</w:t>
            </w:r>
          </w:p>
        </w:tc>
        <w:tc>
          <w:tcPr>
            <w:tcW w:w="741" w:type="dxa"/>
            <w:vMerge w:val="restart"/>
            <w:tcBorders>
              <w:top w:val="single" w:color="auto" w:sz="4" w:space="0"/>
              <w:left w:val="nil"/>
              <w:right w:val="nil"/>
            </w:tcBorders>
            <w:vAlign w:val="center"/>
          </w:tcPr>
          <w:p w14:paraId="1B455EA9">
            <w:pPr>
              <w:pStyle w:val="69"/>
              <w:rPr>
                <w:color w:val="auto"/>
              </w:rPr>
            </w:pPr>
            <w:r>
              <w:rPr>
                <w:rFonts w:hint="eastAsia"/>
                <w:color w:val="auto"/>
              </w:rPr>
              <w:t>备注</w:t>
            </w:r>
          </w:p>
          <w:p w14:paraId="73BACBEE">
            <w:pPr>
              <w:pStyle w:val="69"/>
              <w:rPr>
                <w:color w:val="auto"/>
              </w:rPr>
            </w:pPr>
            <w:r>
              <w:rPr>
                <w:rFonts w:hint="eastAsia"/>
                <w:color w:val="auto"/>
              </w:rPr>
              <w:t>(停产等)</w:t>
            </w:r>
          </w:p>
        </w:tc>
      </w:tr>
      <w:tr w14:paraId="23CF32CD">
        <w:tblPrEx>
          <w:tblCellMar>
            <w:top w:w="0" w:type="dxa"/>
            <w:left w:w="108" w:type="dxa"/>
            <w:bottom w:w="0" w:type="dxa"/>
            <w:right w:w="108" w:type="dxa"/>
          </w:tblCellMar>
        </w:tblPrEx>
        <w:trPr>
          <w:trHeight w:val="284" w:hRule="atLeast"/>
          <w:jc w:val="center"/>
        </w:trPr>
        <w:tc>
          <w:tcPr>
            <w:tcW w:w="558" w:type="dxa"/>
            <w:vMerge w:val="continue"/>
            <w:tcBorders>
              <w:left w:val="nil"/>
              <w:bottom w:val="single" w:color="auto" w:sz="4" w:space="0"/>
              <w:right w:val="single" w:color="auto" w:sz="4" w:space="0"/>
            </w:tcBorders>
            <w:vAlign w:val="center"/>
          </w:tcPr>
          <w:p w14:paraId="10428094">
            <w:pPr>
              <w:pStyle w:val="69"/>
              <w:rPr>
                <w:color w:val="auto"/>
              </w:rPr>
            </w:pPr>
          </w:p>
        </w:tc>
        <w:tc>
          <w:tcPr>
            <w:tcW w:w="621" w:type="dxa"/>
            <w:tcBorders>
              <w:top w:val="single" w:color="auto" w:sz="4" w:space="0"/>
              <w:left w:val="nil"/>
              <w:bottom w:val="single" w:color="auto" w:sz="4" w:space="0"/>
              <w:right w:val="single" w:color="auto" w:sz="4" w:space="0"/>
            </w:tcBorders>
            <w:vAlign w:val="center"/>
          </w:tcPr>
          <w:p w14:paraId="69BE2092">
            <w:pPr>
              <w:pStyle w:val="69"/>
              <w:rPr>
                <w:color w:val="auto"/>
              </w:rPr>
            </w:pPr>
            <w:r>
              <w:rPr>
                <w:rFonts w:hint="eastAsia"/>
                <w:color w:val="auto"/>
              </w:rPr>
              <w:t>袋/个</w:t>
            </w:r>
          </w:p>
        </w:tc>
        <w:tc>
          <w:tcPr>
            <w:tcW w:w="730" w:type="dxa"/>
            <w:tcBorders>
              <w:top w:val="single" w:color="auto" w:sz="4" w:space="0"/>
              <w:left w:val="nil"/>
              <w:bottom w:val="single" w:color="auto" w:sz="4" w:space="0"/>
              <w:right w:val="single" w:color="auto" w:sz="4" w:space="0"/>
            </w:tcBorders>
            <w:vAlign w:val="center"/>
          </w:tcPr>
          <w:p w14:paraId="370A8FC6">
            <w:pPr>
              <w:pStyle w:val="69"/>
              <w:rPr>
                <w:color w:val="auto"/>
              </w:rPr>
            </w:pPr>
            <w:r>
              <w:rPr>
                <w:rFonts w:hint="eastAsia"/>
                <w:color w:val="auto"/>
              </w:rPr>
              <w:t>千克</w:t>
            </w:r>
          </w:p>
        </w:tc>
        <w:tc>
          <w:tcPr>
            <w:tcW w:w="1192" w:type="dxa"/>
            <w:vMerge w:val="continue"/>
            <w:tcBorders>
              <w:left w:val="nil"/>
              <w:bottom w:val="single" w:color="auto" w:sz="4" w:space="0"/>
              <w:right w:val="single" w:color="auto" w:sz="4" w:space="0"/>
            </w:tcBorders>
            <w:vAlign w:val="center"/>
          </w:tcPr>
          <w:p w14:paraId="24C3C53C">
            <w:pPr>
              <w:pStyle w:val="69"/>
              <w:rPr>
                <w:color w:val="auto"/>
              </w:rPr>
            </w:pPr>
          </w:p>
        </w:tc>
        <w:tc>
          <w:tcPr>
            <w:tcW w:w="728" w:type="dxa"/>
            <w:tcBorders>
              <w:top w:val="single" w:color="auto" w:sz="4" w:space="0"/>
              <w:left w:val="nil"/>
              <w:bottom w:val="single" w:color="auto" w:sz="4" w:space="0"/>
              <w:right w:val="single" w:color="auto" w:sz="4" w:space="0"/>
            </w:tcBorders>
            <w:vAlign w:val="center"/>
          </w:tcPr>
          <w:p w14:paraId="570B3EB3">
            <w:pPr>
              <w:pStyle w:val="69"/>
              <w:rPr>
                <w:color w:val="auto"/>
              </w:rPr>
            </w:pPr>
            <w:r>
              <w:rPr>
                <w:rFonts w:hint="eastAsia"/>
                <w:color w:val="auto"/>
              </w:rPr>
              <w:t>袋/个</w:t>
            </w:r>
          </w:p>
        </w:tc>
        <w:tc>
          <w:tcPr>
            <w:tcW w:w="801" w:type="dxa"/>
            <w:tcBorders>
              <w:top w:val="single" w:color="auto" w:sz="4" w:space="0"/>
              <w:left w:val="nil"/>
              <w:bottom w:val="single" w:color="auto" w:sz="4" w:space="0"/>
              <w:right w:val="single" w:color="auto" w:sz="4" w:space="0"/>
            </w:tcBorders>
            <w:vAlign w:val="center"/>
          </w:tcPr>
          <w:p w14:paraId="5CBD6249">
            <w:pPr>
              <w:pStyle w:val="69"/>
              <w:rPr>
                <w:color w:val="auto"/>
              </w:rPr>
            </w:pPr>
            <w:r>
              <w:rPr>
                <w:rFonts w:hint="eastAsia"/>
                <w:color w:val="auto"/>
              </w:rPr>
              <w:t>千克</w:t>
            </w:r>
          </w:p>
        </w:tc>
        <w:tc>
          <w:tcPr>
            <w:tcW w:w="1307" w:type="dxa"/>
            <w:vMerge w:val="continue"/>
            <w:tcBorders>
              <w:left w:val="nil"/>
              <w:bottom w:val="single" w:color="auto" w:sz="4" w:space="0"/>
              <w:right w:val="single" w:color="auto" w:sz="4" w:space="0"/>
            </w:tcBorders>
            <w:vAlign w:val="center"/>
          </w:tcPr>
          <w:p w14:paraId="5FDC030F">
            <w:pPr>
              <w:pStyle w:val="69"/>
              <w:rPr>
                <w:color w:val="auto"/>
              </w:rPr>
            </w:pPr>
          </w:p>
        </w:tc>
        <w:tc>
          <w:tcPr>
            <w:tcW w:w="1211" w:type="dxa"/>
            <w:vMerge w:val="continue"/>
            <w:tcBorders>
              <w:left w:val="nil"/>
              <w:bottom w:val="single" w:color="auto" w:sz="4" w:space="0"/>
              <w:right w:val="single" w:color="auto" w:sz="4" w:space="0"/>
            </w:tcBorders>
            <w:vAlign w:val="center"/>
          </w:tcPr>
          <w:p w14:paraId="59F403E3">
            <w:pPr>
              <w:pStyle w:val="69"/>
              <w:rPr>
                <w:color w:val="auto"/>
              </w:rPr>
            </w:pPr>
          </w:p>
        </w:tc>
        <w:tc>
          <w:tcPr>
            <w:tcW w:w="1399" w:type="dxa"/>
            <w:vMerge w:val="continue"/>
            <w:tcBorders>
              <w:left w:val="nil"/>
              <w:bottom w:val="single" w:color="auto" w:sz="4" w:space="0"/>
              <w:right w:val="single" w:color="auto" w:sz="4" w:space="0"/>
            </w:tcBorders>
            <w:vAlign w:val="center"/>
          </w:tcPr>
          <w:p w14:paraId="18C44856">
            <w:pPr>
              <w:pStyle w:val="69"/>
              <w:rPr>
                <w:color w:val="auto"/>
              </w:rPr>
            </w:pPr>
          </w:p>
        </w:tc>
        <w:tc>
          <w:tcPr>
            <w:tcW w:w="741" w:type="dxa"/>
            <w:vMerge w:val="continue"/>
            <w:tcBorders>
              <w:left w:val="nil"/>
              <w:bottom w:val="single" w:color="auto" w:sz="4" w:space="0"/>
              <w:right w:val="nil"/>
            </w:tcBorders>
            <w:vAlign w:val="center"/>
          </w:tcPr>
          <w:p w14:paraId="0EDF4239">
            <w:pPr>
              <w:pStyle w:val="69"/>
              <w:rPr>
                <w:color w:val="auto"/>
              </w:rPr>
            </w:pPr>
          </w:p>
        </w:tc>
      </w:tr>
      <w:tr w14:paraId="5395BB6A">
        <w:tblPrEx>
          <w:tblCellMar>
            <w:top w:w="0" w:type="dxa"/>
            <w:left w:w="108" w:type="dxa"/>
            <w:bottom w:w="0" w:type="dxa"/>
            <w:right w:w="108" w:type="dxa"/>
          </w:tblCellMar>
        </w:tblPrEx>
        <w:trPr>
          <w:trHeight w:val="362" w:hRule="atLeast"/>
          <w:jc w:val="center"/>
        </w:trPr>
        <w:tc>
          <w:tcPr>
            <w:tcW w:w="558" w:type="dxa"/>
            <w:tcBorders>
              <w:top w:val="nil"/>
              <w:left w:val="nil"/>
              <w:bottom w:val="single" w:color="auto" w:sz="4" w:space="0"/>
              <w:right w:val="single" w:color="auto" w:sz="4" w:space="0"/>
            </w:tcBorders>
            <w:noWrap/>
            <w:vAlign w:val="center"/>
          </w:tcPr>
          <w:p w14:paraId="5DE67879">
            <w:pPr>
              <w:pStyle w:val="69"/>
              <w:rPr>
                <w:color w:val="auto"/>
              </w:rPr>
            </w:pPr>
            <w:r>
              <w:rPr>
                <w:rFonts w:hint="eastAsia"/>
                <w:color w:val="auto"/>
              </w:rPr>
              <w:t>1</w:t>
            </w:r>
          </w:p>
        </w:tc>
        <w:tc>
          <w:tcPr>
            <w:tcW w:w="621" w:type="dxa"/>
            <w:tcBorders>
              <w:top w:val="nil"/>
              <w:left w:val="nil"/>
              <w:bottom w:val="single" w:color="auto" w:sz="4" w:space="0"/>
              <w:right w:val="single" w:color="auto" w:sz="4" w:space="0"/>
            </w:tcBorders>
            <w:noWrap/>
            <w:vAlign w:val="center"/>
          </w:tcPr>
          <w:p w14:paraId="1D9AA53F">
            <w:pPr>
              <w:pStyle w:val="69"/>
              <w:rPr>
                <w:color w:val="auto"/>
              </w:rPr>
            </w:pPr>
          </w:p>
        </w:tc>
        <w:tc>
          <w:tcPr>
            <w:tcW w:w="730" w:type="dxa"/>
            <w:tcBorders>
              <w:top w:val="nil"/>
              <w:left w:val="nil"/>
              <w:bottom w:val="single" w:color="auto" w:sz="4" w:space="0"/>
              <w:right w:val="single" w:color="auto" w:sz="4" w:space="0"/>
            </w:tcBorders>
            <w:vAlign w:val="center"/>
          </w:tcPr>
          <w:p w14:paraId="119076FB">
            <w:pPr>
              <w:pStyle w:val="69"/>
              <w:rPr>
                <w:color w:val="auto"/>
              </w:rPr>
            </w:pPr>
          </w:p>
        </w:tc>
        <w:tc>
          <w:tcPr>
            <w:tcW w:w="1192" w:type="dxa"/>
            <w:tcBorders>
              <w:top w:val="nil"/>
              <w:left w:val="nil"/>
              <w:bottom w:val="single" w:color="auto" w:sz="4" w:space="0"/>
              <w:right w:val="single" w:color="auto" w:sz="4" w:space="0"/>
            </w:tcBorders>
            <w:noWrap/>
            <w:vAlign w:val="center"/>
          </w:tcPr>
          <w:p w14:paraId="1A0D4EB8">
            <w:pPr>
              <w:pStyle w:val="69"/>
              <w:rPr>
                <w:color w:val="auto"/>
              </w:rPr>
            </w:pPr>
          </w:p>
        </w:tc>
        <w:tc>
          <w:tcPr>
            <w:tcW w:w="728" w:type="dxa"/>
            <w:tcBorders>
              <w:top w:val="nil"/>
              <w:left w:val="nil"/>
              <w:bottom w:val="single" w:color="auto" w:sz="4" w:space="0"/>
              <w:right w:val="single" w:color="auto" w:sz="4" w:space="0"/>
            </w:tcBorders>
            <w:noWrap/>
            <w:vAlign w:val="center"/>
          </w:tcPr>
          <w:p w14:paraId="1E034EB1">
            <w:pPr>
              <w:pStyle w:val="69"/>
              <w:rPr>
                <w:color w:val="auto"/>
              </w:rPr>
            </w:pPr>
          </w:p>
        </w:tc>
        <w:tc>
          <w:tcPr>
            <w:tcW w:w="801" w:type="dxa"/>
            <w:tcBorders>
              <w:top w:val="nil"/>
              <w:left w:val="nil"/>
              <w:bottom w:val="single" w:color="auto" w:sz="4" w:space="0"/>
              <w:right w:val="single" w:color="auto" w:sz="4" w:space="0"/>
            </w:tcBorders>
            <w:noWrap/>
            <w:vAlign w:val="center"/>
          </w:tcPr>
          <w:p w14:paraId="098FA513">
            <w:pPr>
              <w:pStyle w:val="69"/>
              <w:rPr>
                <w:color w:val="auto"/>
              </w:rPr>
            </w:pPr>
          </w:p>
        </w:tc>
        <w:tc>
          <w:tcPr>
            <w:tcW w:w="1307" w:type="dxa"/>
            <w:tcBorders>
              <w:top w:val="nil"/>
              <w:left w:val="nil"/>
              <w:bottom w:val="single" w:color="auto" w:sz="4" w:space="0"/>
              <w:right w:val="single" w:color="auto" w:sz="4" w:space="0"/>
            </w:tcBorders>
            <w:vAlign w:val="center"/>
          </w:tcPr>
          <w:p w14:paraId="2C2C2FA8">
            <w:pPr>
              <w:pStyle w:val="69"/>
              <w:rPr>
                <w:color w:val="auto"/>
              </w:rPr>
            </w:pPr>
          </w:p>
        </w:tc>
        <w:tc>
          <w:tcPr>
            <w:tcW w:w="1211" w:type="dxa"/>
            <w:tcBorders>
              <w:top w:val="nil"/>
              <w:left w:val="nil"/>
              <w:bottom w:val="single" w:color="auto" w:sz="4" w:space="0"/>
              <w:right w:val="single" w:color="auto" w:sz="4" w:space="0"/>
            </w:tcBorders>
            <w:noWrap/>
            <w:vAlign w:val="center"/>
          </w:tcPr>
          <w:p w14:paraId="20FFDB1E">
            <w:pPr>
              <w:pStyle w:val="69"/>
              <w:rPr>
                <w:color w:val="auto"/>
              </w:rPr>
            </w:pPr>
          </w:p>
        </w:tc>
        <w:tc>
          <w:tcPr>
            <w:tcW w:w="1399" w:type="dxa"/>
            <w:tcBorders>
              <w:top w:val="nil"/>
              <w:left w:val="nil"/>
              <w:bottom w:val="single" w:color="auto" w:sz="4" w:space="0"/>
              <w:right w:val="single" w:color="auto" w:sz="4" w:space="0"/>
            </w:tcBorders>
            <w:vAlign w:val="center"/>
          </w:tcPr>
          <w:p w14:paraId="5EDA7412">
            <w:pPr>
              <w:pStyle w:val="69"/>
              <w:rPr>
                <w:color w:val="auto"/>
              </w:rPr>
            </w:pPr>
          </w:p>
        </w:tc>
        <w:tc>
          <w:tcPr>
            <w:tcW w:w="741" w:type="dxa"/>
            <w:tcBorders>
              <w:top w:val="nil"/>
              <w:left w:val="nil"/>
              <w:bottom w:val="single" w:color="auto" w:sz="4" w:space="0"/>
              <w:right w:val="nil"/>
            </w:tcBorders>
            <w:vAlign w:val="center"/>
          </w:tcPr>
          <w:p w14:paraId="690AF07E">
            <w:pPr>
              <w:pStyle w:val="69"/>
              <w:rPr>
                <w:color w:val="auto"/>
              </w:rPr>
            </w:pPr>
          </w:p>
        </w:tc>
      </w:tr>
      <w:tr w14:paraId="4E422D1A">
        <w:tblPrEx>
          <w:tblCellMar>
            <w:top w:w="0" w:type="dxa"/>
            <w:left w:w="108" w:type="dxa"/>
            <w:bottom w:w="0" w:type="dxa"/>
            <w:right w:w="108" w:type="dxa"/>
          </w:tblCellMar>
        </w:tblPrEx>
        <w:trPr>
          <w:trHeight w:val="362" w:hRule="atLeast"/>
          <w:jc w:val="center"/>
        </w:trPr>
        <w:tc>
          <w:tcPr>
            <w:tcW w:w="558" w:type="dxa"/>
            <w:tcBorders>
              <w:top w:val="nil"/>
              <w:left w:val="nil"/>
              <w:bottom w:val="single" w:color="auto" w:sz="4" w:space="0"/>
              <w:right w:val="single" w:color="auto" w:sz="4" w:space="0"/>
            </w:tcBorders>
            <w:noWrap/>
            <w:vAlign w:val="center"/>
          </w:tcPr>
          <w:p w14:paraId="563FA347">
            <w:pPr>
              <w:pStyle w:val="69"/>
              <w:rPr>
                <w:color w:val="auto"/>
              </w:rPr>
            </w:pPr>
            <w:r>
              <w:rPr>
                <w:rFonts w:hint="eastAsia"/>
                <w:color w:val="auto"/>
              </w:rPr>
              <w:t>2</w:t>
            </w:r>
          </w:p>
        </w:tc>
        <w:tc>
          <w:tcPr>
            <w:tcW w:w="621" w:type="dxa"/>
            <w:tcBorders>
              <w:top w:val="nil"/>
              <w:left w:val="nil"/>
              <w:bottom w:val="single" w:color="auto" w:sz="4" w:space="0"/>
              <w:right w:val="single" w:color="auto" w:sz="4" w:space="0"/>
            </w:tcBorders>
            <w:noWrap/>
            <w:vAlign w:val="center"/>
          </w:tcPr>
          <w:p w14:paraId="1A727C2A">
            <w:pPr>
              <w:pStyle w:val="69"/>
              <w:rPr>
                <w:color w:val="auto"/>
              </w:rPr>
            </w:pPr>
          </w:p>
        </w:tc>
        <w:tc>
          <w:tcPr>
            <w:tcW w:w="730" w:type="dxa"/>
            <w:tcBorders>
              <w:top w:val="nil"/>
              <w:left w:val="nil"/>
              <w:bottom w:val="single" w:color="auto" w:sz="4" w:space="0"/>
              <w:right w:val="single" w:color="auto" w:sz="4" w:space="0"/>
            </w:tcBorders>
            <w:vAlign w:val="center"/>
          </w:tcPr>
          <w:p w14:paraId="79A52D4B">
            <w:pPr>
              <w:pStyle w:val="69"/>
              <w:rPr>
                <w:color w:val="auto"/>
              </w:rPr>
            </w:pPr>
          </w:p>
        </w:tc>
        <w:tc>
          <w:tcPr>
            <w:tcW w:w="1192" w:type="dxa"/>
            <w:tcBorders>
              <w:top w:val="nil"/>
              <w:left w:val="nil"/>
              <w:bottom w:val="single" w:color="auto" w:sz="4" w:space="0"/>
              <w:right w:val="single" w:color="auto" w:sz="4" w:space="0"/>
            </w:tcBorders>
            <w:noWrap/>
            <w:vAlign w:val="center"/>
          </w:tcPr>
          <w:p w14:paraId="4D4396C2">
            <w:pPr>
              <w:pStyle w:val="69"/>
              <w:rPr>
                <w:color w:val="auto"/>
              </w:rPr>
            </w:pPr>
          </w:p>
        </w:tc>
        <w:tc>
          <w:tcPr>
            <w:tcW w:w="728" w:type="dxa"/>
            <w:tcBorders>
              <w:top w:val="nil"/>
              <w:left w:val="nil"/>
              <w:bottom w:val="single" w:color="auto" w:sz="4" w:space="0"/>
              <w:right w:val="single" w:color="auto" w:sz="4" w:space="0"/>
            </w:tcBorders>
            <w:noWrap/>
            <w:vAlign w:val="center"/>
          </w:tcPr>
          <w:p w14:paraId="6EF03928">
            <w:pPr>
              <w:pStyle w:val="69"/>
              <w:rPr>
                <w:color w:val="auto"/>
              </w:rPr>
            </w:pPr>
          </w:p>
        </w:tc>
        <w:tc>
          <w:tcPr>
            <w:tcW w:w="801" w:type="dxa"/>
            <w:tcBorders>
              <w:top w:val="nil"/>
              <w:left w:val="nil"/>
              <w:bottom w:val="single" w:color="auto" w:sz="4" w:space="0"/>
              <w:right w:val="single" w:color="auto" w:sz="4" w:space="0"/>
            </w:tcBorders>
            <w:noWrap/>
            <w:vAlign w:val="center"/>
          </w:tcPr>
          <w:p w14:paraId="0C3B5D61">
            <w:pPr>
              <w:pStyle w:val="69"/>
              <w:rPr>
                <w:color w:val="auto"/>
              </w:rPr>
            </w:pPr>
          </w:p>
        </w:tc>
        <w:tc>
          <w:tcPr>
            <w:tcW w:w="1307" w:type="dxa"/>
            <w:tcBorders>
              <w:top w:val="nil"/>
              <w:left w:val="nil"/>
              <w:bottom w:val="single" w:color="auto" w:sz="4" w:space="0"/>
              <w:right w:val="single" w:color="auto" w:sz="4" w:space="0"/>
            </w:tcBorders>
            <w:vAlign w:val="center"/>
          </w:tcPr>
          <w:p w14:paraId="146BC597">
            <w:pPr>
              <w:pStyle w:val="69"/>
              <w:rPr>
                <w:color w:val="auto"/>
              </w:rPr>
            </w:pPr>
          </w:p>
        </w:tc>
        <w:tc>
          <w:tcPr>
            <w:tcW w:w="1211" w:type="dxa"/>
            <w:tcBorders>
              <w:top w:val="nil"/>
              <w:left w:val="nil"/>
              <w:bottom w:val="single" w:color="auto" w:sz="4" w:space="0"/>
              <w:right w:val="single" w:color="auto" w:sz="4" w:space="0"/>
            </w:tcBorders>
            <w:noWrap/>
            <w:vAlign w:val="center"/>
          </w:tcPr>
          <w:p w14:paraId="01B68B8E">
            <w:pPr>
              <w:pStyle w:val="69"/>
              <w:rPr>
                <w:color w:val="auto"/>
              </w:rPr>
            </w:pPr>
          </w:p>
        </w:tc>
        <w:tc>
          <w:tcPr>
            <w:tcW w:w="1399" w:type="dxa"/>
            <w:tcBorders>
              <w:top w:val="nil"/>
              <w:left w:val="nil"/>
              <w:bottom w:val="single" w:color="auto" w:sz="4" w:space="0"/>
              <w:right w:val="single" w:color="auto" w:sz="4" w:space="0"/>
            </w:tcBorders>
            <w:vAlign w:val="center"/>
          </w:tcPr>
          <w:p w14:paraId="08EA70B0">
            <w:pPr>
              <w:pStyle w:val="69"/>
              <w:rPr>
                <w:color w:val="auto"/>
              </w:rPr>
            </w:pPr>
          </w:p>
        </w:tc>
        <w:tc>
          <w:tcPr>
            <w:tcW w:w="741" w:type="dxa"/>
            <w:tcBorders>
              <w:top w:val="nil"/>
              <w:left w:val="nil"/>
              <w:bottom w:val="single" w:color="auto" w:sz="4" w:space="0"/>
              <w:right w:val="nil"/>
            </w:tcBorders>
            <w:vAlign w:val="center"/>
          </w:tcPr>
          <w:p w14:paraId="79830CAF">
            <w:pPr>
              <w:pStyle w:val="69"/>
              <w:rPr>
                <w:color w:val="auto"/>
              </w:rPr>
            </w:pPr>
          </w:p>
        </w:tc>
      </w:tr>
      <w:tr w14:paraId="0F37901E">
        <w:tblPrEx>
          <w:tblCellMar>
            <w:top w:w="0" w:type="dxa"/>
            <w:left w:w="108" w:type="dxa"/>
            <w:bottom w:w="0" w:type="dxa"/>
            <w:right w:w="108" w:type="dxa"/>
          </w:tblCellMar>
        </w:tblPrEx>
        <w:trPr>
          <w:trHeight w:val="362" w:hRule="atLeast"/>
          <w:jc w:val="center"/>
        </w:trPr>
        <w:tc>
          <w:tcPr>
            <w:tcW w:w="558" w:type="dxa"/>
            <w:tcBorders>
              <w:top w:val="nil"/>
              <w:left w:val="nil"/>
              <w:bottom w:val="single" w:color="auto" w:sz="4" w:space="0"/>
              <w:right w:val="single" w:color="auto" w:sz="4" w:space="0"/>
            </w:tcBorders>
            <w:noWrap/>
            <w:vAlign w:val="center"/>
          </w:tcPr>
          <w:p w14:paraId="4E70DB08">
            <w:pPr>
              <w:pStyle w:val="69"/>
              <w:rPr>
                <w:color w:val="auto"/>
              </w:rPr>
            </w:pPr>
            <w:r>
              <w:rPr>
                <w:rFonts w:hint="eastAsia"/>
                <w:color w:val="auto"/>
              </w:rPr>
              <w:t>3</w:t>
            </w:r>
          </w:p>
        </w:tc>
        <w:tc>
          <w:tcPr>
            <w:tcW w:w="621" w:type="dxa"/>
            <w:tcBorders>
              <w:top w:val="nil"/>
              <w:left w:val="nil"/>
              <w:bottom w:val="single" w:color="auto" w:sz="4" w:space="0"/>
              <w:right w:val="single" w:color="auto" w:sz="4" w:space="0"/>
            </w:tcBorders>
            <w:noWrap/>
            <w:vAlign w:val="center"/>
          </w:tcPr>
          <w:p w14:paraId="2ED41886">
            <w:pPr>
              <w:pStyle w:val="69"/>
              <w:rPr>
                <w:color w:val="auto"/>
              </w:rPr>
            </w:pPr>
          </w:p>
        </w:tc>
        <w:tc>
          <w:tcPr>
            <w:tcW w:w="730" w:type="dxa"/>
            <w:tcBorders>
              <w:top w:val="nil"/>
              <w:left w:val="nil"/>
              <w:bottom w:val="single" w:color="auto" w:sz="4" w:space="0"/>
              <w:right w:val="single" w:color="auto" w:sz="4" w:space="0"/>
            </w:tcBorders>
            <w:vAlign w:val="center"/>
          </w:tcPr>
          <w:p w14:paraId="29878865">
            <w:pPr>
              <w:pStyle w:val="69"/>
              <w:rPr>
                <w:color w:val="auto"/>
              </w:rPr>
            </w:pPr>
          </w:p>
        </w:tc>
        <w:tc>
          <w:tcPr>
            <w:tcW w:w="1192" w:type="dxa"/>
            <w:tcBorders>
              <w:top w:val="nil"/>
              <w:left w:val="nil"/>
              <w:bottom w:val="single" w:color="auto" w:sz="4" w:space="0"/>
              <w:right w:val="single" w:color="auto" w:sz="4" w:space="0"/>
            </w:tcBorders>
            <w:noWrap/>
            <w:vAlign w:val="center"/>
          </w:tcPr>
          <w:p w14:paraId="5A5F2074">
            <w:pPr>
              <w:pStyle w:val="69"/>
              <w:rPr>
                <w:color w:val="auto"/>
              </w:rPr>
            </w:pPr>
          </w:p>
        </w:tc>
        <w:tc>
          <w:tcPr>
            <w:tcW w:w="728" w:type="dxa"/>
            <w:tcBorders>
              <w:top w:val="nil"/>
              <w:left w:val="nil"/>
              <w:bottom w:val="single" w:color="auto" w:sz="4" w:space="0"/>
              <w:right w:val="single" w:color="auto" w:sz="4" w:space="0"/>
            </w:tcBorders>
            <w:noWrap/>
            <w:vAlign w:val="center"/>
          </w:tcPr>
          <w:p w14:paraId="2C8D4308">
            <w:pPr>
              <w:pStyle w:val="69"/>
              <w:rPr>
                <w:color w:val="auto"/>
              </w:rPr>
            </w:pPr>
          </w:p>
        </w:tc>
        <w:tc>
          <w:tcPr>
            <w:tcW w:w="801" w:type="dxa"/>
            <w:tcBorders>
              <w:top w:val="nil"/>
              <w:left w:val="nil"/>
              <w:bottom w:val="single" w:color="auto" w:sz="4" w:space="0"/>
              <w:right w:val="single" w:color="auto" w:sz="4" w:space="0"/>
            </w:tcBorders>
            <w:noWrap/>
            <w:vAlign w:val="center"/>
          </w:tcPr>
          <w:p w14:paraId="68373197">
            <w:pPr>
              <w:pStyle w:val="69"/>
              <w:rPr>
                <w:color w:val="auto"/>
              </w:rPr>
            </w:pPr>
          </w:p>
        </w:tc>
        <w:tc>
          <w:tcPr>
            <w:tcW w:w="1307" w:type="dxa"/>
            <w:tcBorders>
              <w:top w:val="nil"/>
              <w:left w:val="nil"/>
              <w:bottom w:val="single" w:color="auto" w:sz="4" w:space="0"/>
              <w:right w:val="single" w:color="auto" w:sz="4" w:space="0"/>
            </w:tcBorders>
            <w:vAlign w:val="center"/>
          </w:tcPr>
          <w:p w14:paraId="669A0020">
            <w:pPr>
              <w:pStyle w:val="69"/>
              <w:rPr>
                <w:color w:val="auto"/>
              </w:rPr>
            </w:pPr>
          </w:p>
        </w:tc>
        <w:tc>
          <w:tcPr>
            <w:tcW w:w="1211" w:type="dxa"/>
            <w:tcBorders>
              <w:top w:val="nil"/>
              <w:left w:val="nil"/>
              <w:bottom w:val="single" w:color="auto" w:sz="4" w:space="0"/>
              <w:right w:val="single" w:color="auto" w:sz="4" w:space="0"/>
            </w:tcBorders>
            <w:noWrap/>
            <w:vAlign w:val="center"/>
          </w:tcPr>
          <w:p w14:paraId="76512253">
            <w:pPr>
              <w:pStyle w:val="69"/>
              <w:rPr>
                <w:color w:val="auto"/>
              </w:rPr>
            </w:pPr>
          </w:p>
        </w:tc>
        <w:tc>
          <w:tcPr>
            <w:tcW w:w="1399" w:type="dxa"/>
            <w:tcBorders>
              <w:top w:val="nil"/>
              <w:left w:val="nil"/>
              <w:bottom w:val="single" w:color="auto" w:sz="4" w:space="0"/>
              <w:right w:val="single" w:color="auto" w:sz="4" w:space="0"/>
            </w:tcBorders>
            <w:vAlign w:val="center"/>
          </w:tcPr>
          <w:p w14:paraId="498E4CF9">
            <w:pPr>
              <w:pStyle w:val="69"/>
              <w:rPr>
                <w:color w:val="auto"/>
              </w:rPr>
            </w:pPr>
          </w:p>
        </w:tc>
        <w:tc>
          <w:tcPr>
            <w:tcW w:w="741" w:type="dxa"/>
            <w:tcBorders>
              <w:top w:val="nil"/>
              <w:left w:val="nil"/>
              <w:bottom w:val="single" w:color="auto" w:sz="4" w:space="0"/>
              <w:right w:val="nil"/>
            </w:tcBorders>
            <w:vAlign w:val="center"/>
          </w:tcPr>
          <w:p w14:paraId="6639B9EA">
            <w:pPr>
              <w:pStyle w:val="69"/>
              <w:rPr>
                <w:color w:val="auto"/>
              </w:rPr>
            </w:pPr>
          </w:p>
        </w:tc>
      </w:tr>
      <w:tr w14:paraId="0C4C1D24">
        <w:tblPrEx>
          <w:tblCellMar>
            <w:top w:w="0" w:type="dxa"/>
            <w:left w:w="108" w:type="dxa"/>
            <w:bottom w:w="0" w:type="dxa"/>
            <w:right w:w="108" w:type="dxa"/>
          </w:tblCellMar>
        </w:tblPrEx>
        <w:trPr>
          <w:trHeight w:val="362" w:hRule="atLeast"/>
          <w:jc w:val="center"/>
        </w:trPr>
        <w:tc>
          <w:tcPr>
            <w:tcW w:w="558" w:type="dxa"/>
            <w:tcBorders>
              <w:top w:val="nil"/>
              <w:left w:val="nil"/>
              <w:bottom w:val="single" w:color="auto" w:sz="4" w:space="0"/>
              <w:right w:val="single" w:color="auto" w:sz="4" w:space="0"/>
            </w:tcBorders>
            <w:noWrap/>
            <w:vAlign w:val="center"/>
          </w:tcPr>
          <w:p w14:paraId="2B2C83C4">
            <w:pPr>
              <w:pStyle w:val="69"/>
              <w:rPr>
                <w:color w:val="auto"/>
              </w:rPr>
            </w:pPr>
            <w:r>
              <w:rPr>
                <w:rFonts w:hint="eastAsia"/>
                <w:color w:val="auto"/>
              </w:rPr>
              <w:t>4</w:t>
            </w:r>
          </w:p>
        </w:tc>
        <w:tc>
          <w:tcPr>
            <w:tcW w:w="621" w:type="dxa"/>
            <w:tcBorders>
              <w:top w:val="nil"/>
              <w:left w:val="nil"/>
              <w:bottom w:val="single" w:color="auto" w:sz="4" w:space="0"/>
              <w:right w:val="single" w:color="auto" w:sz="4" w:space="0"/>
            </w:tcBorders>
            <w:noWrap/>
            <w:vAlign w:val="center"/>
          </w:tcPr>
          <w:p w14:paraId="62B48D7F">
            <w:pPr>
              <w:pStyle w:val="69"/>
              <w:rPr>
                <w:color w:val="auto"/>
              </w:rPr>
            </w:pPr>
          </w:p>
        </w:tc>
        <w:tc>
          <w:tcPr>
            <w:tcW w:w="730" w:type="dxa"/>
            <w:tcBorders>
              <w:top w:val="nil"/>
              <w:left w:val="nil"/>
              <w:bottom w:val="single" w:color="auto" w:sz="4" w:space="0"/>
              <w:right w:val="single" w:color="auto" w:sz="4" w:space="0"/>
            </w:tcBorders>
            <w:vAlign w:val="center"/>
          </w:tcPr>
          <w:p w14:paraId="5A20240E">
            <w:pPr>
              <w:pStyle w:val="69"/>
              <w:rPr>
                <w:color w:val="auto"/>
              </w:rPr>
            </w:pPr>
          </w:p>
        </w:tc>
        <w:tc>
          <w:tcPr>
            <w:tcW w:w="1192" w:type="dxa"/>
            <w:tcBorders>
              <w:top w:val="nil"/>
              <w:left w:val="nil"/>
              <w:bottom w:val="single" w:color="auto" w:sz="4" w:space="0"/>
              <w:right w:val="single" w:color="auto" w:sz="4" w:space="0"/>
            </w:tcBorders>
            <w:noWrap/>
            <w:vAlign w:val="center"/>
          </w:tcPr>
          <w:p w14:paraId="3B9BA82C">
            <w:pPr>
              <w:pStyle w:val="69"/>
              <w:rPr>
                <w:color w:val="auto"/>
              </w:rPr>
            </w:pPr>
          </w:p>
        </w:tc>
        <w:tc>
          <w:tcPr>
            <w:tcW w:w="728" w:type="dxa"/>
            <w:tcBorders>
              <w:top w:val="nil"/>
              <w:left w:val="nil"/>
              <w:bottom w:val="single" w:color="auto" w:sz="4" w:space="0"/>
              <w:right w:val="single" w:color="auto" w:sz="4" w:space="0"/>
            </w:tcBorders>
            <w:noWrap/>
            <w:vAlign w:val="center"/>
          </w:tcPr>
          <w:p w14:paraId="75829D70">
            <w:pPr>
              <w:pStyle w:val="69"/>
              <w:rPr>
                <w:color w:val="auto"/>
              </w:rPr>
            </w:pPr>
          </w:p>
        </w:tc>
        <w:tc>
          <w:tcPr>
            <w:tcW w:w="801" w:type="dxa"/>
            <w:tcBorders>
              <w:top w:val="nil"/>
              <w:left w:val="nil"/>
              <w:bottom w:val="single" w:color="auto" w:sz="4" w:space="0"/>
              <w:right w:val="single" w:color="auto" w:sz="4" w:space="0"/>
            </w:tcBorders>
            <w:noWrap/>
            <w:vAlign w:val="center"/>
          </w:tcPr>
          <w:p w14:paraId="1435F6D6">
            <w:pPr>
              <w:pStyle w:val="69"/>
              <w:rPr>
                <w:color w:val="auto"/>
              </w:rPr>
            </w:pPr>
          </w:p>
        </w:tc>
        <w:tc>
          <w:tcPr>
            <w:tcW w:w="1307" w:type="dxa"/>
            <w:tcBorders>
              <w:top w:val="nil"/>
              <w:left w:val="nil"/>
              <w:bottom w:val="single" w:color="auto" w:sz="4" w:space="0"/>
              <w:right w:val="single" w:color="auto" w:sz="4" w:space="0"/>
            </w:tcBorders>
            <w:vAlign w:val="center"/>
          </w:tcPr>
          <w:p w14:paraId="5A6F0D21">
            <w:pPr>
              <w:pStyle w:val="69"/>
              <w:rPr>
                <w:color w:val="auto"/>
              </w:rPr>
            </w:pPr>
          </w:p>
        </w:tc>
        <w:tc>
          <w:tcPr>
            <w:tcW w:w="1211" w:type="dxa"/>
            <w:tcBorders>
              <w:top w:val="nil"/>
              <w:left w:val="nil"/>
              <w:bottom w:val="single" w:color="auto" w:sz="4" w:space="0"/>
              <w:right w:val="single" w:color="auto" w:sz="4" w:space="0"/>
            </w:tcBorders>
            <w:noWrap/>
            <w:vAlign w:val="center"/>
          </w:tcPr>
          <w:p w14:paraId="11D6019D">
            <w:pPr>
              <w:pStyle w:val="69"/>
              <w:rPr>
                <w:color w:val="auto"/>
              </w:rPr>
            </w:pPr>
          </w:p>
        </w:tc>
        <w:tc>
          <w:tcPr>
            <w:tcW w:w="1399" w:type="dxa"/>
            <w:tcBorders>
              <w:top w:val="nil"/>
              <w:left w:val="nil"/>
              <w:bottom w:val="single" w:color="auto" w:sz="4" w:space="0"/>
              <w:right w:val="single" w:color="auto" w:sz="4" w:space="0"/>
            </w:tcBorders>
            <w:vAlign w:val="center"/>
          </w:tcPr>
          <w:p w14:paraId="51D654F7">
            <w:pPr>
              <w:pStyle w:val="69"/>
              <w:rPr>
                <w:color w:val="auto"/>
              </w:rPr>
            </w:pPr>
          </w:p>
        </w:tc>
        <w:tc>
          <w:tcPr>
            <w:tcW w:w="741" w:type="dxa"/>
            <w:tcBorders>
              <w:top w:val="nil"/>
              <w:left w:val="nil"/>
              <w:bottom w:val="single" w:color="auto" w:sz="4" w:space="0"/>
              <w:right w:val="nil"/>
            </w:tcBorders>
            <w:vAlign w:val="center"/>
          </w:tcPr>
          <w:p w14:paraId="14428C70">
            <w:pPr>
              <w:pStyle w:val="69"/>
              <w:rPr>
                <w:color w:val="auto"/>
              </w:rPr>
            </w:pPr>
          </w:p>
        </w:tc>
      </w:tr>
      <w:tr w14:paraId="275DF9A0">
        <w:tblPrEx>
          <w:tblCellMar>
            <w:top w:w="0" w:type="dxa"/>
            <w:left w:w="108" w:type="dxa"/>
            <w:bottom w:w="0" w:type="dxa"/>
            <w:right w:w="108" w:type="dxa"/>
          </w:tblCellMar>
        </w:tblPrEx>
        <w:trPr>
          <w:trHeight w:val="362" w:hRule="atLeast"/>
          <w:jc w:val="center"/>
        </w:trPr>
        <w:tc>
          <w:tcPr>
            <w:tcW w:w="558" w:type="dxa"/>
            <w:tcBorders>
              <w:top w:val="nil"/>
              <w:left w:val="nil"/>
              <w:bottom w:val="single" w:color="auto" w:sz="12" w:space="0"/>
              <w:right w:val="single" w:color="auto" w:sz="4" w:space="0"/>
            </w:tcBorders>
            <w:noWrap/>
            <w:vAlign w:val="center"/>
          </w:tcPr>
          <w:p w14:paraId="43676ADE">
            <w:pPr>
              <w:pStyle w:val="69"/>
              <w:rPr>
                <w:color w:val="auto"/>
              </w:rPr>
            </w:pPr>
            <w:r>
              <w:rPr>
                <w:rFonts w:hint="eastAsia"/>
                <w:color w:val="auto"/>
              </w:rPr>
              <w:t>5</w:t>
            </w:r>
          </w:p>
        </w:tc>
        <w:tc>
          <w:tcPr>
            <w:tcW w:w="621" w:type="dxa"/>
            <w:tcBorders>
              <w:top w:val="nil"/>
              <w:left w:val="nil"/>
              <w:bottom w:val="single" w:color="auto" w:sz="12" w:space="0"/>
              <w:right w:val="single" w:color="auto" w:sz="4" w:space="0"/>
            </w:tcBorders>
            <w:noWrap/>
            <w:vAlign w:val="center"/>
          </w:tcPr>
          <w:p w14:paraId="1B7D1C09">
            <w:pPr>
              <w:pStyle w:val="69"/>
              <w:rPr>
                <w:color w:val="auto"/>
              </w:rPr>
            </w:pPr>
          </w:p>
        </w:tc>
        <w:tc>
          <w:tcPr>
            <w:tcW w:w="730" w:type="dxa"/>
            <w:tcBorders>
              <w:top w:val="nil"/>
              <w:left w:val="nil"/>
              <w:bottom w:val="single" w:color="auto" w:sz="12" w:space="0"/>
              <w:right w:val="single" w:color="auto" w:sz="4" w:space="0"/>
            </w:tcBorders>
            <w:vAlign w:val="center"/>
          </w:tcPr>
          <w:p w14:paraId="5FABBB39">
            <w:pPr>
              <w:pStyle w:val="69"/>
              <w:rPr>
                <w:color w:val="auto"/>
              </w:rPr>
            </w:pPr>
          </w:p>
        </w:tc>
        <w:tc>
          <w:tcPr>
            <w:tcW w:w="1192" w:type="dxa"/>
            <w:tcBorders>
              <w:top w:val="nil"/>
              <w:left w:val="nil"/>
              <w:bottom w:val="single" w:color="auto" w:sz="12" w:space="0"/>
              <w:right w:val="single" w:color="auto" w:sz="4" w:space="0"/>
            </w:tcBorders>
            <w:noWrap/>
            <w:vAlign w:val="center"/>
          </w:tcPr>
          <w:p w14:paraId="177185F2">
            <w:pPr>
              <w:pStyle w:val="69"/>
              <w:rPr>
                <w:color w:val="auto"/>
              </w:rPr>
            </w:pPr>
          </w:p>
        </w:tc>
        <w:tc>
          <w:tcPr>
            <w:tcW w:w="728" w:type="dxa"/>
            <w:tcBorders>
              <w:top w:val="nil"/>
              <w:left w:val="nil"/>
              <w:bottom w:val="single" w:color="auto" w:sz="12" w:space="0"/>
              <w:right w:val="single" w:color="auto" w:sz="4" w:space="0"/>
            </w:tcBorders>
            <w:noWrap/>
            <w:vAlign w:val="center"/>
          </w:tcPr>
          <w:p w14:paraId="4CC96E69">
            <w:pPr>
              <w:pStyle w:val="69"/>
              <w:rPr>
                <w:color w:val="auto"/>
              </w:rPr>
            </w:pPr>
          </w:p>
        </w:tc>
        <w:tc>
          <w:tcPr>
            <w:tcW w:w="801" w:type="dxa"/>
            <w:tcBorders>
              <w:top w:val="nil"/>
              <w:left w:val="nil"/>
              <w:bottom w:val="single" w:color="auto" w:sz="12" w:space="0"/>
              <w:right w:val="single" w:color="auto" w:sz="4" w:space="0"/>
            </w:tcBorders>
            <w:noWrap/>
            <w:vAlign w:val="center"/>
          </w:tcPr>
          <w:p w14:paraId="7F993BD4">
            <w:pPr>
              <w:pStyle w:val="69"/>
              <w:rPr>
                <w:color w:val="auto"/>
              </w:rPr>
            </w:pPr>
          </w:p>
        </w:tc>
        <w:tc>
          <w:tcPr>
            <w:tcW w:w="1307" w:type="dxa"/>
            <w:tcBorders>
              <w:top w:val="nil"/>
              <w:left w:val="nil"/>
              <w:bottom w:val="single" w:color="auto" w:sz="12" w:space="0"/>
              <w:right w:val="single" w:color="auto" w:sz="4" w:space="0"/>
            </w:tcBorders>
            <w:vAlign w:val="center"/>
          </w:tcPr>
          <w:p w14:paraId="48845878">
            <w:pPr>
              <w:pStyle w:val="69"/>
              <w:rPr>
                <w:color w:val="auto"/>
              </w:rPr>
            </w:pPr>
          </w:p>
        </w:tc>
        <w:tc>
          <w:tcPr>
            <w:tcW w:w="1211" w:type="dxa"/>
            <w:tcBorders>
              <w:top w:val="nil"/>
              <w:left w:val="nil"/>
              <w:bottom w:val="single" w:color="auto" w:sz="12" w:space="0"/>
              <w:right w:val="single" w:color="auto" w:sz="4" w:space="0"/>
            </w:tcBorders>
            <w:noWrap/>
            <w:vAlign w:val="center"/>
          </w:tcPr>
          <w:p w14:paraId="7BB02741">
            <w:pPr>
              <w:pStyle w:val="69"/>
              <w:rPr>
                <w:color w:val="auto"/>
              </w:rPr>
            </w:pPr>
          </w:p>
        </w:tc>
        <w:tc>
          <w:tcPr>
            <w:tcW w:w="1399" w:type="dxa"/>
            <w:tcBorders>
              <w:top w:val="nil"/>
              <w:left w:val="nil"/>
              <w:bottom w:val="single" w:color="auto" w:sz="12" w:space="0"/>
              <w:right w:val="single" w:color="auto" w:sz="4" w:space="0"/>
            </w:tcBorders>
            <w:vAlign w:val="center"/>
          </w:tcPr>
          <w:p w14:paraId="2B224D9C">
            <w:pPr>
              <w:pStyle w:val="69"/>
              <w:rPr>
                <w:color w:val="auto"/>
              </w:rPr>
            </w:pPr>
          </w:p>
        </w:tc>
        <w:tc>
          <w:tcPr>
            <w:tcW w:w="741" w:type="dxa"/>
            <w:tcBorders>
              <w:top w:val="nil"/>
              <w:left w:val="nil"/>
              <w:bottom w:val="single" w:color="auto" w:sz="12" w:space="0"/>
              <w:right w:val="nil"/>
            </w:tcBorders>
            <w:vAlign w:val="center"/>
          </w:tcPr>
          <w:p w14:paraId="440D3E0C">
            <w:pPr>
              <w:pStyle w:val="69"/>
              <w:rPr>
                <w:color w:val="auto"/>
              </w:rPr>
            </w:pPr>
          </w:p>
        </w:tc>
      </w:tr>
    </w:tbl>
    <w:p w14:paraId="0D40CBEF">
      <w:pPr>
        <w:pStyle w:val="67"/>
        <w:numPr>
          <w:ilvl w:val="1"/>
          <w:numId w:val="8"/>
        </w:numPr>
        <w:spacing w:before="166" w:beforeLines="0" w:after="166" w:afterLines="0"/>
        <w:ind w:left="567" w:leftChars="0" w:hanging="567" w:firstLineChars="0"/>
        <w:rPr>
          <w:color w:val="auto"/>
        </w:rPr>
      </w:pPr>
      <w:bookmarkStart w:id="203" w:name="_Toc18207"/>
      <w:r>
        <w:rPr>
          <w:rFonts w:hint="eastAsia"/>
          <w:color w:val="auto"/>
        </w:rPr>
        <w:t>地下水污染防治措施及可行性分析</w:t>
      </w:r>
      <w:bookmarkEnd w:id="203"/>
    </w:p>
    <w:p w14:paraId="4B1FE3B8">
      <w:pPr>
        <w:pStyle w:val="64"/>
        <w:numPr>
          <w:ilvl w:val="2"/>
          <w:numId w:val="8"/>
        </w:numPr>
        <w:spacing w:before="166" w:after="16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源头控制</w:t>
      </w:r>
    </w:p>
    <w:p w14:paraId="481648CA">
      <w:pPr>
        <w:ind w:firstLine="480"/>
        <w:jc w:val="left"/>
        <w:rPr>
          <w:rFonts w:ascii="宋体" w:hAnsi="宋体"/>
          <w:color w:val="auto"/>
        </w:rPr>
      </w:pPr>
      <w:r>
        <w:rPr>
          <w:rFonts w:hint="eastAsia" w:ascii="宋体" w:hAnsi="宋体"/>
          <w:color w:val="auto"/>
        </w:rPr>
        <w:t>源头控制措施是《中华人民共和国水污染防治法》的基本要求，坚持预防为主，防治结合，综合治理的原则，通过减少清洁水的使用量，减少污水排放，从源头上减少地下水污染源的产生，是符合地下水水污染防治的基本措施。</w:t>
      </w:r>
    </w:p>
    <w:p w14:paraId="5C3223ED">
      <w:pPr>
        <w:numPr>
          <w:ilvl w:val="0"/>
          <w:numId w:val="56"/>
        </w:numPr>
        <w:ind w:firstLine="480"/>
        <w:rPr>
          <w:color w:val="auto"/>
        </w:rPr>
      </w:pPr>
      <w:r>
        <w:rPr>
          <w:color w:val="auto"/>
        </w:rPr>
        <w:t>对管道、设备及相关构筑物采取相应的措施，以防止和降低废水及原料的跑、冒、滴、漏，将泄漏的环境风险事故降低到最低程度；管线敷设尽量采用</w:t>
      </w:r>
      <w:r>
        <w:rPr>
          <w:color w:val="auto"/>
          <w:lang w:val="zh-CN"/>
        </w:rPr>
        <w:t xml:space="preserve">“可视 </w:t>
      </w:r>
      <w:r>
        <w:rPr>
          <w:color w:val="auto"/>
        </w:rPr>
        <w:t>化</w:t>
      </w:r>
      <w:r>
        <w:rPr>
          <w:color w:val="auto"/>
          <w:lang w:val="zh-CN"/>
        </w:rPr>
        <w:t>”原则</w:t>
      </w:r>
      <w:r>
        <w:rPr>
          <w:color w:val="auto"/>
        </w:rPr>
        <w:t>，做到污染物</w:t>
      </w:r>
      <w:r>
        <w:rPr>
          <w:color w:val="auto"/>
          <w:lang w:val="zh-CN"/>
        </w:rPr>
        <w:t>“早</w:t>
      </w:r>
      <w:r>
        <w:rPr>
          <w:color w:val="auto"/>
        </w:rPr>
        <w:t>发现、早处理”。尽量减少污水管道的埋地敷设，尽量减少 管道接口，提高埋地污水管道的管材选用标准及接口连接形式要求。加强埋地污水 管道的内外防腐设计。输送污水压力管道尽量采用地上敷设，重力收集管道宜采用埋地敷设，禁止在重力排水的污水管线上使用倒虹吸管。所有穿过污水处理构筑物 壁的管道预先设置防水套管，防水套管的环缝隙采用不透水的柔性材料填塞。</w:t>
      </w:r>
    </w:p>
    <w:p w14:paraId="306D90B4">
      <w:pPr>
        <w:numPr>
          <w:ilvl w:val="0"/>
          <w:numId w:val="56"/>
        </w:numPr>
        <w:ind w:firstLine="480"/>
        <w:rPr>
          <w:color w:val="auto"/>
        </w:rPr>
      </w:pPr>
      <w:r>
        <w:rPr>
          <w:color w:val="auto"/>
        </w:rPr>
        <w:t>切实贯彻执行</w:t>
      </w:r>
      <w:r>
        <w:rPr>
          <w:rFonts w:hint="eastAsia"/>
          <w:color w:val="auto"/>
          <w:lang w:val="zh-CN"/>
        </w:rPr>
        <w:t>“</w:t>
      </w:r>
      <w:r>
        <w:rPr>
          <w:color w:val="auto"/>
          <w:lang w:val="zh-CN"/>
        </w:rPr>
        <w:t>预防</w:t>
      </w:r>
      <w:r>
        <w:rPr>
          <w:color w:val="auto"/>
        </w:rPr>
        <w:t>为主、防治结合</w:t>
      </w:r>
      <w:r>
        <w:rPr>
          <w:rFonts w:hint="eastAsia"/>
          <w:color w:val="auto"/>
        </w:rPr>
        <w:t>”</w:t>
      </w:r>
      <w:r>
        <w:rPr>
          <w:color w:val="auto"/>
        </w:rPr>
        <w:t>的方针，重点防渗区域全部硬化和密封，严禁下渗污染。按“先地下、后地上，先基础、后主体</w:t>
      </w:r>
      <w:r>
        <w:rPr>
          <w:color w:val="auto"/>
          <w:lang w:val="zh-CN"/>
        </w:rPr>
        <w:t>”的</w:t>
      </w:r>
      <w:r>
        <w:rPr>
          <w:color w:val="auto"/>
        </w:rPr>
        <w:t>原则，通过规划布局调整结构来控制污染，对控制新污染源的产生有重要的作用。</w:t>
      </w:r>
    </w:p>
    <w:p w14:paraId="62830FCC">
      <w:pPr>
        <w:pStyle w:val="64"/>
        <w:numPr>
          <w:ilvl w:val="2"/>
          <w:numId w:val="8"/>
        </w:numPr>
        <w:spacing w:before="166" w:after="166"/>
        <w:ind w:left="709" w:leftChars="0" w:hanging="709"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分区防治措施</w:t>
      </w:r>
    </w:p>
    <w:p w14:paraId="31455515">
      <w:pPr>
        <w:ind w:firstLine="480"/>
        <w:rPr>
          <w:color w:val="auto"/>
        </w:rPr>
      </w:pPr>
      <w:r>
        <w:rPr>
          <w:rFonts w:hint="eastAsia"/>
          <w:color w:val="auto"/>
        </w:rPr>
        <w:t>①重点污染防治区</w:t>
      </w:r>
    </w:p>
    <w:p w14:paraId="6A52BD52">
      <w:pPr>
        <w:ind w:firstLine="480"/>
        <w:rPr>
          <w:rFonts w:hint="eastAsia"/>
          <w:color w:val="auto"/>
        </w:rPr>
      </w:pPr>
      <w:r>
        <w:rPr>
          <w:rFonts w:hint="eastAsia"/>
          <w:color w:val="auto"/>
        </w:rPr>
        <w:t>主要为</w:t>
      </w:r>
      <w:r>
        <w:rPr>
          <w:rFonts w:hint="eastAsia"/>
          <w:color w:val="auto"/>
          <w:lang w:val="en-US" w:eastAsia="zh-CN"/>
        </w:rPr>
        <w:t>溶剂仓库、油墨仓库、印刷车间</w:t>
      </w:r>
      <w:r>
        <w:rPr>
          <w:rFonts w:hint="eastAsia"/>
          <w:color w:val="auto"/>
        </w:rPr>
        <w:t>，重点防治区域防渗措施参照《危险废物填埋污染控制标准》（GB18598-2001）进行设计，地面应采用复合衬层</w:t>
      </w:r>
      <w:r>
        <w:rPr>
          <w:rFonts w:hint="eastAsia"/>
          <w:color w:val="auto"/>
          <w:lang w:eastAsia="zh-CN"/>
        </w:rPr>
        <w:t>，</w:t>
      </w:r>
      <w:r>
        <w:rPr>
          <w:rFonts w:hint="eastAsia"/>
          <w:color w:val="auto"/>
        </w:rPr>
        <w:t>防渗要求应达到等效黏土防渗层Mb≥6.0m，K≤1×10</w:t>
      </w:r>
      <w:r>
        <w:rPr>
          <w:rFonts w:hint="eastAsia"/>
          <w:color w:val="auto"/>
          <w:vertAlign w:val="superscript"/>
        </w:rPr>
        <w:t>-7</w:t>
      </w:r>
      <w:r>
        <w:rPr>
          <w:rFonts w:hint="eastAsia"/>
          <w:color w:val="auto"/>
        </w:rPr>
        <w:t>cm/s。</w:t>
      </w:r>
    </w:p>
    <w:p w14:paraId="3D660EEC">
      <w:pPr>
        <w:pStyle w:val="48"/>
        <w:rPr>
          <w:rFonts w:hint="eastAsia" w:eastAsia="宋体"/>
          <w:color w:val="auto"/>
          <w:lang w:eastAsia="zh-CN"/>
        </w:rPr>
      </w:pPr>
      <w:r>
        <w:rPr>
          <w:rFonts w:hint="eastAsia"/>
          <w:color w:val="auto"/>
          <w:lang w:val="en-US" w:eastAsia="zh-CN"/>
        </w:rPr>
        <w:t>危废暂存处防渗措施执行</w:t>
      </w:r>
      <w:r>
        <w:rPr>
          <w:rFonts w:hint="eastAsia"/>
          <w:color w:val="auto"/>
        </w:rPr>
        <w:t>《危险废物贮存污染控制标准》（GB 18597-20</w:t>
      </w:r>
      <w:r>
        <w:rPr>
          <w:rFonts w:hint="eastAsia"/>
          <w:color w:val="auto"/>
          <w:lang w:val="en-US" w:eastAsia="zh-CN"/>
        </w:rPr>
        <w:t>23</w:t>
      </w:r>
      <w:r>
        <w:rPr>
          <w:rFonts w:hint="eastAsia"/>
          <w:color w:val="auto"/>
        </w:rPr>
        <w:t>）</w:t>
      </w:r>
      <w:r>
        <w:rPr>
          <w:rFonts w:hint="eastAsia"/>
          <w:color w:val="auto"/>
          <w:lang w:eastAsia="zh-CN"/>
        </w:rPr>
        <w:t>：“</w:t>
      </w:r>
      <w:r>
        <w:rPr>
          <w:rFonts w:hint="eastAsia"/>
          <w:color w:val="auto"/>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 厚黏土层（渗透系数不大于10</w:t>
      </w:r>
      <w:r>
        <w:rPr>
          <w:rFonts w:hint="eastAsia"/>
          <w:color w:val="auto"/>
          <w:vertAlign w:val="superscript"/>
        </w:rPr>
        <w:t xml:space="preserve">-7 </w:t>
      </w:r>
      <w:r>
        <w:rPr>
          <w:rFonts w:hint="eastAsia"/>
          <w:color w:val="auto"/>
        </w:rPr>
        <w:t>cm/s），或至少2 mm 厚高密度聚乙烯膜等人工防渗材料（渗透系数不大于10</w:t>
      </w:r>
      <w:r>
        <w:rPr>
          <w:rFonts w:hint="eastAsia"/>
          <w:color w:val="auto"/>
          <w:vertAlign w:val="superscript"/>
        </w:rPr>
        <w:t>-10</w:t>
      </w:r>
      <w:r>
        <w:rPr>
          <w:rFonts w:hint="eastAsia"/>
          <w:color w:val="auto"/>
        </w:rPr>
        <w:t xml:space="preserve"> cm/s），或其他防渗性能等效的材料。</w:t>
      </w:r>
      <w:r>
        <w:rPr>
          <w:rFonts w:hint="eastAsia"/>
          <w:color w:val="auto"/>
          <w:lang w:eastAsia="zh-CN"/>
        </w:rPr>
        <w:t>”</w:t>
      </w:r>
    </w:p>
    <w:p w14:paraId="0D05C32E">
      <w:pPr>
        <w:ind w:firstLine="480"/>
        <w:rPr>
          <w:color w:val="auto"/>
        </w:rPr>
      </w:pPr>
      <w:r>
        <w:rPr>
          <w:rFonts w:hint="eastAsia"/>
          <w:color w:val="auto"/>
        </w:rPr>
        <w:t>②一般污染防治区</w:t>
      </w:r>
    </w:p>
    <w:p w14:paraId="56423D7F">
      <w:pPr>
        <w:ind w:firstLine="480"/>
        <w:rPr>
          <w:color w:val="auto"/>
        </w:rPr>
      </w:pPr>
      <w:r>
        <w:rPr>
          <w:rFonts w:hint="eastAsia"/>
          <w:color w:val="auto"/>
        </w:rPr>
        <w:t>一般污染防治区主要为</w:t>
      </w:r>
      <w:r>
        <w:rPr>
          <w:rFonts w:hint="eastAsia"/>
          <w:color w:val="auto"/>
          <w:lang w:val="en-US" w:eastAsia="zh-CN"/>
        </w:rPr>
        <w:t>危废暂存间、</w:t>
      </w:r>
      <w:r>
        <w:rPr>
          <w:rFonts w:hint="eastAsia"/>
          <w:color w:val="auto"/>
        </w:rPr>
        <w:t>一般工业固体废物暂存区、</w:t>
      </w:r>
      <w:r>
        <w:rPr>
          <w:rFonts w:hint="eastAsia"/>
          <w:color w:val="auto"/>
          <w:lang w:val="en-US" w:eastAsia="zh-CN"/>
        </w:rPr>
        <w:t>合掌区域、复合车间</w:t>
      </w:r>
      <w:r>
        <w:rPr>
          <w:rFonts w:hint="eastAsia"/>
          <w:color w:val="auto"/>
        </w:rPr>
        <w:t>等区域。上述区域对地下水污染的可能性较小，地面防渗要求达到等效黏土防渗层Mb≥1.5m，K≤1×10</w:t>
      </w:r>
      <w:r>
        <w:rPr>
          <w:rFonts w:hint="eastAsia"/>
          <w:color w:val="auto"/>
          <w:vertAlign w:val="superscript"/>
        </w:rPr>
        <w:t>-7</w:t>
      </w:r>
      <w:r>
        <w:rPr>
          <w:rFonts w:hint="eastAsia"/>
          <w:color w:val="auto"/>
        </w:rPr>
        <w:t>cm/s。</w:t>
      </w:r>
    </w:p>
    <w:p w14:paraId="3D159174">
      <w:pPr>
        <w:ind w:firstLine="480"/>
        <w:rPr>
          <w:color w:val="auto"/>
        </w:rPr>
      </w:pPr>
      <w:r>
        <w:rPr>
          <w:rFonts w:hint="eastAsia"/>
          <w:color w:val="auto"/>
        </w:rPr>
        <w:t>③简单防渗区</w:t>
      </w:r>
    </w:p>
    <w:p w14:paraId="6490949A">
      <w:pPr>
        <w:ind w:firstLine="480"/>
        <w:rPr>
          <w:color w:val="auto"/>
        </w:rPr>
      </w:pPr>
      <w:r>
        <w:rPr>
          <w:rFonts w:hint="eastAsia"/>
          <w:color w:val="auto"/>
        </w:rPr>
        <w:t>简单防渗区是指不会对地下水环境造成污染或者可能会产生轻微污染的其它建筑区。拟建项目办公室、厂区道路等，划为非污染防控区。</w:t>
      </w:r>
    </w:p>
    <w:p w14:paraId="2D720649">
      <w:pPr>
        <w:ind w:firstLine="480"/>
        <w:rPr>
          <w:color w:val="auto"/>
        </w:rPr>
      </w:pPr>
      <w:r>
        <w:rPr>
          <w:rFonts w:hint="eastAsia"/>
          <w:color w:val="auto"/>
        </w:rPr>
        <w:t>拟建项目各区域具体防渗分区布置，见</w:t>
      </w:r>
      <w:r>
        <w:rPr>
          <w:rFonts w:hint="eastAsia"/>
          <w:color w:val="auto"/>
          <w:lang w:val="en-US" w:eastAsia="zh-CN"/>
        </w:rPr>
        <w:t>6</w:t>
      </w:r>
      <w:r>
        <w:rPr>
          <w:rFonts w:hint="eastAsia"/>
          <w:color w:val="auto"/>
        </w:rPr>
        <w:t>.5-1。</w:t>
      </w:r>
    </w:p>
    <w:p w14:paraId="5CB8DB25">
      <w:pPr>
        <w:pStyle w:val="62"/>
        <w:rPr>
          <w:color w:val="auto"/>
        </w:rPr>
      </w:pPr>
      <w:r>
        <w:rPr>
          <w:rFonts w:hint="eastAsia"/>
          <w:color w:val="auto"/>
          <w:lang w:eastAsia="zh-CN"/>
        </w:rPr>
        <w:t>表6</w:t>
      </w:r>
      <w:r>
        <w:rPr>
          <w:rFonts w:hint="eastAsia"/>
          <w:color w:val="auto"/>
        </w:rPr>
        <w:t>.5-1  项目防渗措施一览表</w:t>
      </w:r>
    </w:p>
    <w:tbl>
      <w:tblPr>
        <w:tblStyle w:val="38"/>
        <w:tblW w:w="928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4070"/>
        <w:gridCol w:w="3800"/>
      </w:tblGrid>
      <w:tr w14:paraId="0C37CE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418" w:type="dxa"/>
            <w:tcBorders>
              <w:top w:val="single" w:color="auto" w:sz="12" w:space="0"/>
              <w:left w:val="nil"/>
              <w:bottom w:val="single" w:color="auto" w:sz="4" w:space="0"/>
              <w:right w:val="single" w:color="auto" w:sz="4" w:space="0"/>
            </w:tcBorders>
            <w:vAlign w:val="center"/>
          </w:tcPr>
          <w:p w14:paraId="6952C3BD">
            <w:pPr>
              <w:pStyle w:val="69"/>
              <w:rPr>
                <w:color w:val="auto"/>
              </w:rPr>
            </w:pPr>
            <w:r>
              <w:rPr>
                <w:rFonts w:hint="eastAsia"/>
                <w:color w:val="auto"/>
              </w:rPr>
              <w:t>分类</w:t>
            </w:r>
          </w:p>
        </w:tc>
        <w:tc>
          <w:tcPr>
            <w:tcW w:w="4070" w:type="dxa"/>
            <w:tcBorders>
              <w:top w:val="single" w:color="auto" w:sz="12" w:space="0"/>
              <w:left w:val="single" w:color="auto" w:sz="4" w:space="0"/>
              <w:bottom w:val="single" w:color="auto" w:sz="4" w:space="0"/>
              <w:right w:val="single" w:color="auto" w:sz="4" w:space="0"/>
            </w:tcBorders>
            <w:vAlign w:val="center"/>
          </w:tcPr>
          <w:p w14:paraId="32710FA7">
            <w:pPr>
              <w:pStyle w:val="69"/>
              <w:rPr>
                <w:color w:val="auto"/>
              </w:rPr>
            </w:pPr>
            <w:r>
              <w:rPr>
                <w:rFonts w:hint="eastAsia"/>
                <w:color w:val="auto"/>
              </w:rPr>
              <w:t>防渗措施</w:t>
            </w:r>
          </w:p>
        </w:tc>
        <w:tc>
          <w:tcPr>
            <w:tcW w:w="3800" w:type="dxa"/>
            <w:tcBorders>
              <w:top w:val="single" w:color="auto" w:sz="12" w:space="0"/>
              <w:left w:val="single" w:color="auto" w:sz="4" w:space="0"/>
              <w:bottom w:val="single" w:color="auto" w:sz="4" w:space="0"/>
              <w:right w:val="nil"/>
            </w:tcBorders>
            <w:vAlign w:val="center"/>
          </w:tcPr>
          <w:p w14:paraId="561FEF6B">
            <w:pPr>
              <w:pStyle w:val="69"/>
              <w:rPr>
                <w:color w:val="auto"/>
              </w:rPr>
            </w:pPr>
            <w:r>
              <w:rPr>
                <w:rFonts w:hint="eastAsia"/>
                <w:color w:val="auto"/>
              </w:rPr>
              <w:t>具体区域</w:t>
            </w:r>
          </w:p>
        </w:tc>
      </w:tr>
      <w:tr w14:paraId="1CCB7D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18" w:type="dxa"/>
            <w:tcBorders>
              <w:top w:val="single" w:color="auto" w:sz="4" w:space="0"/>
              <w:left w:val="nil"/>
              <w:right w:val="single" w:color="auto" w:sz="4" w:space="0"/>
            </w:tcBorders>
            <w:vAlign w:val="center"/>
          </w:tcPr>
          <w:p w14:paraId="7B873317">
            <w:pPr>
              <w:pStyle w:val="69"/>
              <w:rPr>
                <w:color w:val="auto"/>
              </w:rPr>
            </w:pPr>
            <w:r>
              <w:rPr>
                <w:rFonts w:hint="eastAsia"/>
                <w:color w:val="auto"/>
              </w:rPr>
              <w:t>重点污染防治区</w:t>
            </w:r>
          </w:p>
        </w:tc>
        <w:tc>
          <w:tcPr>
            <w:tcW w:w="4070" w:type="dxa"/>
            <w:tcBorders>
              <w:top w:val="single" w:color="auto" w:sz="4" w:space="0"/>
              <w:left w:val="single" w:color="auto" w:sz="4" w:space="0"/>
              <w:bottom w:val="single" w:color="auto" w:sz="4" w:space="0"/>
              <w:right w:val="single" w:color="auto" w:sz="4" w:space="0"/>
            </w:tcBorders>
            <w:vAlign w:val="center"/>
          </w:tcPr>
          <w:p w14:paraId="42114676">
            <w:pPr>
              <w:pStyle w:val="69"/>
              <w:rPr>
                <w:color w:val="auto"/>
              </w:rPr>
            </w:pPr>
            <w:r>
              <w:rPr>
                <w:rFonts w:hint="eastAsia"/>
                <w:color w:val="auto"/>
              </w:rPr>
              <w:t>防渗措施的防渗性能不低于6.0m厚渗透系数为1.0×10</w:t>
            </w:r>
            <w:r>
              <w:rPr>
                <w:rFonts w:hint="eastAsia"/>
                <w:color w:val="auto"/>
                <w:vertAlign w:val="superscript"/>
              </w:rPr>
              <w:t>-7</w:t>
            </w:r>
            <w:r>
              <w:rPr>
                <w:rFonts w:hint="eastAsia"/>
                <w:color w:val="auto"/>
              </w:rPr>
              <w:t>cm/s的黏土层的防渗性能</w:t>
            </w:r>
          </w:p>
        </w:tc>
        <w:tc>
          <w:tcPr>
            <w:tcW w:w="3800" w:type="dxa"/>
            <w:tcBorders>
              <w:top w:val="single" w:color="auto" w:sz="4" w:space="0"/>
              <w:left w:val="single" w:color="auto" w:sz="4" w:space="0"/>
              <w:bottom w:val="single" w:color="auto" w:sz="4" w:space="0"/>
              <w:right w:val="nil"/>
            </w:tcBorders>
            <w:vAlign w:val="center"/>
          </w:tcPr>
          <w:p w14:paraId="657681FD">
            <w:pPr>
              <w:pStyle w:val="69"/>
              <w:rPr>
                <w:rFonts w:hint="default"/>
                <w:color w:val="auto"/>
                <w:lang w:val="en-US"/>
              </w:rPr>
            </w:pPr>
            <w:r>
              <w:rPr>
                <w:rFonts w:hint="eastAsia"/>
                <w:color w:val="auto"/>
                <w:lang w:val="en-US" w:eastAsia="zh-CN"/>
              </w:rPr>
              <w:t>溶剂仓库、油墨仓库、印刷车间</w:t>
            </w:r>
          </w:p>
        </w:tc>
      </w:tr>
      <w:tr w14:paraId="56A286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18" w:type="dxa"/>
            <w:vMerge w:val="restart"/>
            <w:tcBorders>
              <w:left w:val="nil"/>
              <w:right w:val="single" w:color="auto" w:sz="4" w:space="0"/>
            </w:tcBorders>
            <w:vAlign w:val="center"/>
          </w:tcPr>
          <w:p w14:paraId="13756FA6">
            <w:pPr>
              <w:pStyle w:val="69"/>
              <w:rPr>
                <w:color w:val="auto"/>
              </w:rPr>
            </w:pPr>
            <w:r>
              <w:rPr>
                <w:rFonts w:hint="eastAsia"/>
                <w:color w:val="auto"/>
              </w:rPr>
              <w:t>一般污染防治区</w:t>
            </w:r>
          </w:p>
        </w:tc>
        <w:tc>
          <w:tcPr>
            <w:tcW w:w="4070" w:type="dxa"/>
            <w:tcBorders>
              <w:top w:val="single" w:color="auto" w:sz="4" w:space="0"/>
              <w:left w:val="single" w:color="auto" w:sz="4" w:space="0"/>
              <w:bottom w:val="single" w:color="auto" w:sz="4" w:space="0"/>
              <w:right w:val="single" w:color="auto" w:sz="4" w:space="0"/>
            </w:tcBorders>
            <w:vAlign w:val="center"/>
          </w:tcPr>
          <w:p w14:paraId="7B77B9F9">
            <w:pPr>
              <w:pStyle w:val="69"/>
              <w:rPr>
                <w:rFonts w:hint="eastAsia"/>
                <w:color w:val="auto"/>
              </w:rPr>
            </w:pPr>
            <w:r>
              <w:rPr>
                <w:rFonts w:hint="eastAsia"/>
                <w:color w:val="auto"/>
              </w:rPr>
              <w:t>进行基础防渗，防渗层为至少1 m 厚黏土层（渗透系数不大于10</w:t>
            </w:r>
            <w:r>
              <w:rPr>
                <w:rFonts w:hint="eastAsia"/>
                <w:color w:val="auto"/>
                <w:vertAlign w:val="superscript"/>
              </w:rPr>
              <w:t xml:space="preserve">-7 </w:t>
            </w:r>
            <w:r>
              <w:rPr>
                <w:rFonts w:hint="eastAsia"/>
                <w:color w:val="auto"/>
              </w:rPr>
              <w:t>cm/s），或至少2 mm 厚高密度聚乙烯膜等人工防渗材料（渗透系数不大于10</w:t>
            </w:r>
            <w:r>
              <w:rPr>
                <w:rFonts w:hint="eastAsia"/>
                <w:color w:val="auto"/>
                <w:vertAlign w:val="superscript"/>
              </w:rPr>
              <w:t>-10</w:t>
            </w:r>
            <w:r>
              <w:rPr>
                <w:rFonts w:hint="eastAsia"/>
                <w:color w:val="auto"/>
              </w:rPr>
              <w:t xml:space="preserve"> cm/s），或其他防渗性能等效的材料</w:t>
            </w:r>
          </w:p>
        </w:tc>
        <w:tc>
          <w:tcPr>
            <w:tcW w:w="3800" w:type="dxa"/>
            <w:tcBorders>
              <w:top w:val="single" w:color="auto" w:sz="4" w:space="0"/>
              <w:left w:val="single" w:color="auto" w:sz="4" w:space="0"/>
              <w:bottom w:val="single" w:color="auto" w:sz="4" w:space="0"/>
              <w:right w:val="nil"/>
            </w:tcBorders>
            <w:vAlign w:val="center"/>
          </w:tcPr>
          <w:p w14:paraId="051B52F4">
            <w:pPr>
              <w:pStyle w:val="69"/>
              <w:rPr>
                <w:rFonts w:hint="default"/>
                <w:color w:val="auto"/>
                <w:lang w:val="en-US"/>
              </w:rPr>
            </w:pPr>
            <w:r>
              <w:rPr>
                <w:rFonts w:hint="eastAsia"/>
                <w:color w:val="auto"/>
                <w:lang w:val="en-US" w:eastAsia="zh-CN"/>
              </w:rPr>
              <w:t>危废暂存间</w:t>
            </w:r>
          </w:p>
        </w:tc>
      </w:tr>
      <w:tr w14:paraId="440CC2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18" w:type="dxa"/>
            <w:vMerge w:val="continue"/>
            <w:tcBorders>
              <w:left w:val="nil"/>
              <w:bottom w:val="single" w:color="auto" w:sz="4" w:space="0"/>
              <w:right w:val="single" w:color="auto" w:sz="4" w:space="0"/>
            </w:tcBorders>
            <w:vAlign w:val="center"/>
          </w:tcPr>
          <w:p w14:paraId="4CE05254">
            <w:pPr>
              <w:pStyle w:val="69"/>
              <w:rPr>
                <w:color w:val="auto"/>
              </w:rPr>
            </w:pPr>
          </w:p>
        </w:tc>
        <w:tc>
          <w:tcPr>
            <w:tcW w:w="4070" w:type="dxa"/>
            <w:tcBorders>
              <w:top w:val="single" w:color="auto" w:sz="4" w:space="0"/>
              <w:left w:val="single" w:color="auto" w:sz="4" w:space="0"/>
              <w:bottom w:val="single" w:color="auto" w:sz="4" w:space="0"/>
              <w:right w:val="single" w:color="auto" w:sz="4" w:space="0"/>
            </w:tcBorders>
            <w:vAlign w:val="center"/>
          </w:tcPr>
          <w:p w14:paraId="00321BA4">
            <w:pPr>
              <w:pStyle w:val="69"/>
              <w:rPr>
                <w:color w:val="auto"/>
              </w:rPr>
            </w:pPr>
            <w:r>
              <w:rPr>
                <w:rFonts w:hint="eastAsia"/>
                <w:color w:val="auto"/>
              </w:rPr>
              <w:t>防渗措施的防渗性能不低于1.5m厚渗透系数为1.0×10</w:t>
            </w:r>
            <w:r>
              <w:rPr>
                <w:rFonts w:hint="eastAsia"/>
                <w:color w:val="auto"/>
                <w:vertAlign w:val="superscript"/>
              </w:rPr>
              <w:t>-7</w:t>
            </w:r>
            <w:r>
              <w:rPr>
                <w:rFonts w:hint="eastAsia"/>
                <w:color w:val="auto"/>
              </w:rPr>
              <w:t>cm/s的黏土层的防渗性能</w:t>
            </w:r>
          </w:p>
        </w:tc>
        <w:tc>
          <w:tcPr>
            <w:tcW w:w="3800" w:type="dxa"/>
            <w:tcBorders>
              <w:top w:val="single" w:color="auto" w:sz="4" w:space="0"/>
              <w:left w:val="single" w:color="auto" w:sz="4" w:space="0"/>
              <w:bottom w:val="single" w:color="auto" w:sz="4" w:space="0"/>
              <w:right w:val="nil"/>
            </w:tcBorders>
            <w:vAlign w:val="center"/>
          </w:tcPr>
          <w:p w14:paraId="58CD4D86">
            <w:pPr>
              <w:pStyle w:val="69"/>
              <w:rPr>
                <w:rFonts w:hint="default" w:eastAsia="宋体"/>
                <w:color w:val="auto"/>
                <w:lang w:val="en-US" w:eastAsia="zh-CN"/>
              </w:rPr>
            </w:pPr>
            <w:r>
              <w:rPr>
                <w:rFonts w:hint="eastAsia"/>
                <w:color w:val="auto"/>
              </w:rPr>
              <w:t>一般工业固体废物暂存区、</w:t>
            </w:r>
            <w:r>
              <w:rPr>
                <w:rFonts w:hint="eastAsia"/>
                <w:color w:val="auto"/>
                <w:lang w:val="en-US" w:eastAsia="zh-CN"/>
              </w:rPr>
              <w:t>合掌区域、复合车间</w:t>
            </w:r>
          </w:p>
        </w:tc>
      </w:tr>
      <w:tr w14:paraId="2DEDFF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18" w:type="dxa"/>
            <w:tcBorders>
              <w:top w:val="single" w:color="auto" w:sz="4" w:space="0"/>
              <w:left w:val="nil"/>
              <w:bottom w:val="single" w:color="auto" w:sz="12" w:space="0"/>
              <w:right w:val="single" w:color="auto" w:sz="4" w:space="0"/>
            </w:tcBorders>
            <w:vAlign w:val="center"/>
          </w:tcPr>
          <w:p w14:paraId="0B31465F">
            <w:pPr>
              <w:pStyle w:val="69"/>
              <w:rPr>
                <w:color w:val="auto"/>
              </w:rPr>
            </w:pPr>
            <w:r>
              <w:rPr>
                <w:rFonts w:hint="eastAsia"/>
                <w:color w:val="auto"/>
              </w:rPr>
              <w:t>简单防渗区</w:t>
            </w:r>
          </w:p>
        </w:tc>
        <w:tc>
          <w:tcPr>
            <w:tcW w:w="4070" w:type="dxa"/>
            <w:tcBorders>
              <w:top w:val="single" w:color="auto" w:sz="4" w:space="0"/>
              <w:left w:val="single" w:color="auto" w:sz="4" w:space="0"/>
              <w:bottom w:val="single" w:color="auto" w:sz="12" w:space="0"/>
              <w:right w:val="single" w:color="auto" w:sz="4" w:space="0"/>
            </w:tcBorders>
            <w:vAlign w:val="center"/>
          </w:tcPr>
          <w:p w14:paraId="30B132B9">
            <w:pPr>
              <w:pStyle w:val="69"/>
              <w:rPr>
                <w:color w:val="auto"/>
              </w:rPr>
            </w:pPr>
            <w:r>
              <w:rPr>
                <w:rFonts w:hint="eastAsia"/>
                <w:color w:val="auto"/>
              </w:rPr>
              <w:t>一般地面硬化</w:t>
            </w:r>
          </w:p>
        </w:tc>
        <w:tc>
          <w:tcPr>
            <w:tcW w:w="3800" w:type="dxa"/>
            <w:tcBorders>
              <w:top w:val="single" w:color="auto" w:sz="4" w:space="0"/>
              <w:left w:val="single" w:color="auto" w:sz="4" w:space="0"/>
              <w:bottom w:val="single" w:color="auto" w:sz="12" w:space="0"/>
              <w:right w:val="nil"/>
            </w:tcBorders>
            <w:vAlign w:val="center"/>
          </w:tcPr>
          <w:p w14:paraId="7202ED90">
            <w:pPr>
              <w:pStyle w:val="69"/>
              <w:rPr>
                <w:rFonts w:hint="default" w:eastAsia="宋体"/>
                <w:color w:val="auto"/>
                <w:lang w:val="en-US" w:eastAsia="zh-CN"/>
              </w:rPr>
            </w:pPr>
            <w:r>
              <w:rPr>
                <w:rFonts w:hint="eastAsia"/>
                <w:color w:val="auto"/>
              </w:rPr>
              <w:t>办公楼、厂区道路</w:t>
            </w:r>
            <w:r>
              <w:rPr>
                <w:rFonts w:hint="eastAsia"/>
                <w:color w:val="auto"/>
                <w:lang w:eastAsia="zh-CN"/>
              </w:rPr>
              <w:t>、</w:t>
            </w:r>
            <w:r>
              <w:rPr>
                <w:rFonts w:hint="eastAsia"/>
                <w:color w:val="auto"/>
                <w:lang w:val="en-US" w:eastAsia="zh-CN"/>
              </w:rPr>
              <w:t>其余生产区</w:t>
            </w:r>
          </w:p>
        </w:tc>
      </w:tr>
    </w:tbl>
    <w:p w14:paraId="057D9F60">
      <w:pPr>
        <w:pStyle w:val="62"/>
        <w:rPr>
          <w:rFonts w:eastAsia="仿宋_GB2312"/>
          <w:color w:val="auto"/>
        </w:rPr>
        <w:sectPr>
          <w:pgSz w:w="11906" w:h="16838"/>
          <w:pgMar w:top="1417" w:right="1417" w:bottom="1417" w:left="1417" w:header="851" w:footer="992" w:gutter="0"/>
          <w:pgNumType w:fmt="decimal"/>
          <w:cols w:space="720" w:num="1"/>
          <w:docGrid w:type="lines" w:linePitch="333" w:charSpace="0"/>
        </w:sectPr>
      </w:pPr>
    </w:p>
    <w:p w14:paraId="5EA976B9">
      <w:pPr>
        <w:pStyle w:val="62"/>
        <w:bidi w:val="0"/>
      </w:pPr>
      <w:r>
        <w:rPr>
          <w:rFonts w:ascii="Times New Roman" w:hAnsi="Times New Roman" w:cs="Times New Roman"/>
        </w:rPr>
        <w:object>
          <v:shape id="_x0000_i1040" o:spt="75" type="#_x0000_t75" style="height:390.1pt;width:678.1pt;" o:ole="t" filled="f" o:preferrelative="t" stroked="f" coordsize="21600,21600">
            <v:path/>
            <v:fill on="f" focussize="0,0"/>
            <v:stroke on="f"/>
            <v:imagedata r:id="rId131" o:title=""/>
            <o:lock v:ext="edit" aspectratio="f"/>
            <w10:wrap type="none"/>
            <w10:anchorlock/>
          </v:shape>
          <o:OLEObject Type="Embed" ProgID="Visio.Drawing.15" ShapeID="_x0000_i1040" DrawAspect="Content" ObjectID="_1468075740" r:id="rId130">
            <o:LockedField>false</o:LockedField>
          </o:OLEObject>
        </w:object>
      </w:r>
      <w:r>
        <w:rPr>
          <w:sz w:val="24"/>
        </w:rPr>
        <mc:AlternateContent>
          <mc:Choice Requires="wps">
            <w:drawing>
              <wp:anchor distT="0" distB="0" distL="114300" distR="114300" simplePos="0" relativeHeight="251712512" behindDoc="0" locked="0" layoutInCell="1" allowOverlap="1">
                <wp:simplePos x="0" y="0"/>
                <wp:positionH relativeFrom="column">
                  <wp:posOffset>7519035</wp:posOffset>
                </wp:positionH>
                <wp:positionV relativeFrom="paragraph">
                  <wp:posOffset>889635</wp:posOffset>
                </wp:positionV>
                <wp:extent cx="363220" cy="414020"/>
                <wp:effectExtent l="9525" t="9525" r="17780" b="14605"/>
                <wp:wrapNone/>
                <wp:docPr id="302" name="矩形 302"/>
                <wp:cNvGraphicFramePr/>
                <a:graphic xmlns:a="http://schemas.openxmlformats.org/drawingml/2006/main">
                  <a:graphicData uri="http://schemas.microsoft.com/office/word/2010/wordprocessingShape">
                    <wps:wsp>
                      <wps:cNvSpPr/>
                      <wps:spPr>
                        <a:xfrm>
                          <a:off x="0" y="0"/>
                          <a:ext cx="363220" cy="414020"/>
                        </a:xfrm>
                        <a:prstGeom prst="rect">
                          <a:avLst/>
                        </a:prstGeom>
                        <a:noFill/>
                        <a:ln w="19050" cmpd="sng">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2.05pt;margin-top:70.05pt;height:32.6pt;width:28.6pt;z-index:251712512;v-text-anchor:middle;mso-width-relative:page;mso-height-relative:page;" filled="f" stroked="t" coordsize="21600,21600" o:gfxdata="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wL+lrbAAAADQEAAA8AAAAAAAAAAQAgAAAAIgAAAGRycy9kb3ducmV2LnhtbFBLAQIUABQAAAAI&#10;AIdO4kAhmXlZXAIAALYEAAAOAAAAAAAAAAEAIAAAACoBAABkcnMvZTJvRG9jLnhtbFBLBQYAAAAA&#10;BgAGAFkBAAD4BQAAAAA=&#10;">
                <v:fill on="f" focussize="0,0"/>
                <v:stroke weight="1.5pt" color="#000000 [3213]" joinstyle="round" dashstyle="dash"/>
                <v:imagedata o:title=""/>
                <o:lock v:ext="edit" aspectratio="f"/>
              </v:rect>
            </w:pict>
          </mc:Fallback>
        </mc:AlternateContent>
      </w:r>
      <w:r>
        <w:pict>
          <v:shape id="_x0000_s2091" o:spid="_x0000_s2091" o:spt="136" type="#_x0000_t136" style="position:absolute;left:0pt;margin-left:536.8pt;margin-top:28.9pt;height:9.65pt;width:32.7pt;z-index:-251606016;mso-width-relative:page;mso-height-relative:page;" filled="f" stroked="t" coordsize="21600,21600" adj="10800">
            <v:path/>
            <v:fill on="f" focussize="0,0"/>
            <v:stroke color="#000000"/>
            <v:imagedata o:title=""/>
            <o:lock v:ext="edit" aspectratio="f"/>
            <v:textpath on="t" fitshape="t" fitpath="t" trim="t" xscale="f" string="品检机" style="font-family:宋体;font-size:10pt;v-rotate-letters:f;v-same-letter-heights:f;v-text-align:center;"/>
          </v:shape>
        </w:pict>
      </w:r>
    </w:p>
    <w:p w14:paraId="5D73549A">
      <w:pPr>
        <w:pStyle w:val="62"/>
        <w:bidi w:val="0"/>
        <w:rPr>
          <w:color w:val="auto"/>
        </w:rPr>
      </w:pPr>
      <w:r>
        <w:rPr>
          <w:sz w:val="24"/>
        </w:rPr>
        <mc:AlternateContent>
          <mc:Choice Requires="wps">
            <w:drawing>
              <wp:anchor distT="0" distB="0" distL="114300" distR="114300" simplePos="0" relativeHeight="251713536" behindDoc="0" locked="0" layoutInCell="1" allowOverlap="1">
                <wp:simplePos x="0" y="0"/>
                <wp:positionH relativeFrom="column">
                  <wp:posOffset>3176905</wp:posOffset>
                </wp:positionH>
                <wp:positionV relativeFrom="paragraph">
                  <wp:posOffset>1089660</wp:posOffset>
                </wp:positionV>
                <wp:extent cx="352425" cy="247650"/>
                <wp:effectExtent l="0" t="0" r="0" b="0"/>
                <wp:wrapNone/>
                <wp:docPr id="320" name="矩形 320"/>
                <wp:cNvGraphicFramePr/>
                <a:graphic xmlns:a="http://schemas.openxmlformats.org/drawingml/2006/main">
                  <a:graphicData uri="http://schemas.microsoft.com/office/word/2010/wordprocessingShape">
                    <wps:wsp>
                      <wps:cNvSpPr/>
                      <wps:spPr>
                        <a:xfrm>
                          <a:off x="4076700" y="3970655"/>
                          <a:ext cx="352425" cy="247650"/>
                        </a:xfrm>
                        <a:prstGeom prst="rect">
                          <a:avLst/>
                        </a:prstGeom>
                        <a:solidFill>
                          <a:schemeClr val="lt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0.15pt;margin-top:85.8pt;height:19.5pt;width:27.75pt;z-index:251713536;v-text-anchor:middle;mso-width-relative:page;mso-height-relative:page;" fillcolor="#FFFFFF [3201]" filled="t" stroked="f" coordsize="21600,21600" o:gfxdata="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g6BXTZAAAACwEAAA8AAAAAAAAAAQAgAAAAIgAAAGRycy9kb3ducmV2Lnht&#10;bFBLAQIUABQAAAAIAIdO4kANu4+AagIAAMMEAAAOAAAAAAAAAAEAIAAAACgBAABkcnMvZTJvRG9j&#10;LnhtbFBLBQYAAAAABgAGAFkBAAAEBgAAAAA=&#10;">
                <v:fill on="t" focussize="0,0"/>
                <v:stroke on="f" weight="1pt"/>
                <v:imagedata o:title=""/>
                <o:lock v:ext="edit" aspectratio="f"/>
              </v:rect>
            </w:pict>
          </mc:Fallback>
        </mc:AlternateContent>
      </w:r>
      <w:r>
        <w:rPr>
          <w:rFonts w:hint="eastAsia"/>
          <w:color w:val="auto"/>
          <w:lang w:eastAsia="zh-CN"/>
        </w:rPr>
        <w:t>图</w:t>
      </w:r>
      <w:r>
        <w:rPr>
          <w:rFonts w:hint="eastAsia"/>
          <w:color w:val="auto"/>
          <w:lang w:val="en-US" w:eastAsia="zh-CN"/>
        </w:rPr>
        <w:t>5</w:t>
      </w:r>
      <w:r>
        <w:rPr>
          <w:rFonts w:hint="eastAsia"/>
          <w:color w:val="auto"/>
        </w:rPr>
        <w:t>.5-1  地下水分区防控图</w:t>
      </w:r>
    </w:p>
    <w:p w14:paraId="7BCB91E3">
      <w:pPr>
        <w:pStyle w:val="62"/>
        <w:rPr>
          <w:color w:val="auto"/>
        </w:rPr>
      </w:pPr>
      <w:r>
        <w:rPr>
          <w:color w:val="auto"/>
        </w:rPr>
        <mc:AlternateContent>
          <mc:Choice Requires="wps">
            <w:drawing>
              <wp:anchor distT="0" distB="0" distL="114300" distR="114300" simplePos="0" relativeHeight="251666432" behindDoc="0" locked="0" layoutInCell="1" allowOverlap="1">
                <wp:simplePos x="0" y="0"/>
                <wp:positionH relativeFrom="column">
                  <wp:posOffset>3710305</wp:posOffset>
                </wp:positionH>
                <wp:positionV relativeFrom="paragraph">
                  <wp:posOffset>82550</wp:posOffset>
                </wp:positionV>
                <wp:extent cx="186690" cy="125095"/>
                <wp:effectExtent l="6350" t="6350" r="6985" b="11430"/>
                <wp:wrapNone/>
                <wp:docPr id="69" name="矩形 172"/>
                <wp:cNvGraphicFramePr/>
                <a:graphic xmlns:a="http://schemas.openxmlformats.org/drawingml/2006/main">
                  <a:graphicData uri="http://schemas.microsoft.com/office/word/2010/wordprocessingShape">
                    <wps:wsp>
                      <wps:cNvSpPr/>
                      <wps:spPr>
                        <a:xfrm>
                          <a:off x="0" y="0"/>
                          <a:ext cx="186690" cy="125095"/>
                        </a:xfrm>
                        <a:prstGeom prst="rect">
                          <a:avLst/>
                        </a:prstGeom>
                        <a:solidFill>
                          <a:srgbClr val="FF0000">
                            <a:alpha val="50000"/>
                          </a:srgbClr>
                        </a:solidFill>
                        <a:ln w="12700" cap="flat" cmpd="sng">
                          <a:solidFill>
                            <a:srgbClr val="FF0000"/>
                          </a:solidFill>
                          <a:prstDash val="solid"/>
                          <a:miter/>
                          <a:headEnd type="none" w="med" len="med"/>
                          <a:tailEnd type="none" w="med" len="med"/>
                        </a:ln>
                      </wps:spPr>
                      <wps:bodyPr upright="1"/>
                    </wps:wsp>
                  </a:graphicData>
                </a:graphic>
              </wp:anchor>
            </w:drawing>
          </mc:Choice>
          <mc:Fallback>
            <w:pict>
              <v:rect id="矩形 172" o:spid="_x0000_s1026" o:spt="1" style="position:absolute;left:0pt;margin-left:292.15pt;margin-top:6.5pt;height:9.85pt;width:14.7pt;z-index:251666432;mso-width-relative:page;mso-height-relative:page;" fillcolor="#FF0000" filled="t" stroked="t" coordsize="21600,21600" o:gfxdata="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hydQn2QAAAAkBAAAPAAAAAAAAAAEAIAAA&#10;ACIAAABkcnMvZG93bnJldi54bWxQSwECFAAUAAAACACHTuJA7nr8PAsCAABCBAAADgAAAAAAAAAB&#10;ACAAAAAoAQAAZHJzL2Uyb0RvYy54bWxQSwUGAAAAAAYABgBZAQAApQUAAAAA&#10;">
                <v:fill on="t" opacity="32768f" focussize="0,0"/>
                <v:stroke weight="1pt" color="#FF0000" joinstyle="miter"/>
                <v:imagedata o:title=""/>
                <o:lock v:ext="edit" aspectratio="f"/>
              </v:rect>
            </w:pict>
          </mc:Fallback>
        </mc:AlternateContent>
      </w:r>
      <w:r>
        <w:rPr>
          <w:color w:val="auto"/>
        </w:rPr>
        <mc:AlternateContent>
          <mc:Choice Requires="wps">
            <w:drawing>
              <wp:anchor distT="0" distB="0" distL="114300" distR="114300" simplePos="0" relativeHeight="251667456" behindDoc="0" locked="0" layoutInCell="1" allowOverlap="1">
                <wp:simplePos x="0" y="0"/>
                <wp:positionH relativeFrom="column">
                  <wp:posOffset>2105660</wp:posOffset>
                </wp:positionH>
                <wp:positionV relativeFrom="paragraph">
                  <wp:posOffset>107950</wp:posOffset>
                </wp:positionV>
                <wp:extent cx="186690" cy="125095"/>
                <wp:effectExtent l="6350" t="6350" r="6985" b="11430"/>
                <wp:wrapNone/>
                <wp:docPr id="70" name="矩形 173"/>
                <wp:cNvGraphicFramePr/>
                <a:graphic xmlns:a="http://schemas.openxmlformats.org/drawingml/2006/main">
                  <a:graphicData uri="http://schemas.microsoft.com/office/word/2010/wordprocessingShape">
                    <wps:wsp>
                      <wps:cNvSpPr/>
                      <wps:spPr>
                        <a:xfrm>
                          <a:off x="0" y="0"/>
                          <a:ext cx="186690" cy="125095"/>
                        </a:xfrm>
                        <a:prstGeom prst="rect">
                          <a:avLst/>
                        </a:prstGeom>
                        <a:solidFill>
                          <a:srgbClr val="00B0F0">
                            <a:alpha val="50000"/>
                          </a:srgbClr>
                        </a:solidFill>
                        <a:ln w="12700" cap="flat" cmpd="sng">
                          <a:solidFill>
                            <a:srgbClr val="00B0F0"/>
                          </a:solidFill>
                          <a:prstDash val="solid"/>
                          <a:miter/>
                          <a:headEnd type="none" w="med" len="med"/>
                          <a:tailEnd type="none" w="med" len="med"/>
                        </a:ln>
                      </wps:spPr>
                      <wps:bodyPr upright="1"/>
                    </wps:wsp>
                  </a:graphicData>
                </a:graphic>
              </wp:anchor>
            </w:drawing>
          </mc:Choice>
          <mc:Fallback>
            <w:pict>
              <v:rect id="矩形 173" o:spid="_x0000_s1026" o:spt="1" style="position:absolute;left:0pt;margin-left:165.8pt;margin-top:8.5pt;height:9.85pt;width:14.7pt;z-index:251667456;mso-width-relative:page;mso-height-relative:page;" fillcolor="#00B0F0" filled="t" stroked="t" coordsize="21600,21600" o:gfxdata="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YZim1QAAAAkBAAAPAAAAAAAAAAEAIAAAACIA&#10;AABkcnMvZG93bnJldi54bWxQSwECFAAUAAAACACHTuJAgsktXgwCAABCBAAADgAAAAAAAAABACAA&#10;AAAkAQAAZHJzL2Uyb0RvYy54bWxQSwUGAAAAAAYABgBZAQAAogUAAAAA&#10;">
                <v:fill on="t" opacity="32768f" focussize="0,0"/>
                <v:stroke weight="1pt" color="#00B0F0" joinstyle="miter"/>
                <v:imagedata o:title=""/>
                <o:lock v:ext="edit" aspectratio="f"/>
              </v:rect>
            </w:pict>
          </mc:Fallback>
        </mc:AlternateContent>
      </w:r>
      <w:r>
        <w:rPr>
          <w:rFonts w:hint="eastAsia"/>
          <w:color w:val="auto"/>
        </w:rPr>
        <w:t>（   ：重点污染防治区，   ：一般污染防治区，其余部分为简单防渗区）</w:t>
      </w:r>
    </w:p>
    <w:p w14:paraId="0CCD58FA">
      <w:pPr>
        <w:pStyle w:val="67"/>
        <w:numPr>
          <w:ilvl w:val="1"/>
          <w:numId w:val="8"/>
        </w:numPr>
        <w:spacing w:before="166" w:after="166"/>
        <w:ind w:left="567" w:leftChars="0" w:hanging="567" w:firstLineChars="0"/>
        <w:rPr>
          <w:color w:val="auto"/>
        </w:rPr>
        <w:sectPr>
          <w:pgSz w:w="16838" w:h="11906" w:orient="landscape"/>
          <w:pgMar w:top="1417" w:right="1417" w:bottom="1417" w:left="1417" w:header="851" w:footer="992" w:gutter="0"/>
          <w:pgNumType w:fmt="decimal"/>
          <w:cols w:space="720" w:num="1"/>
          <w:docGrid w:type="lines" w:linePitch="333" w:charSpace="0"/>
        </w:sectPr>
      </w:pPr>
      <w:bookmarkStart w:id="204" w:name="_Toc1128"/>
    </w:p>
    <w:p w14:paraId="5B96E5CC">
      <w:pPr>
        <w:pStyle w:val="67"/>
        <w:numPr>
          <w:ilvl w:val="1"/>
          <w:numId w:val="8"/>
        </w:numPr>
        <w:spacing w:before="166" w:after="166"/>
        <w:ind w:left="567" w:leftChars="0" w:hanging="567" w:firstLineChars="0"/>
        <w:rPr>
          <w:color w:val="auto"/>
        </w:rPr>
      </w:pPr>
      <w:r>
        <w:rPr>
          <w:rFonts w:hint="eastAsia"/>
          <w:color w:val="auto"/>
        </w:rPr>
        <w:t>土壤污染防治措施分析</w:t>
      </w:r>
      <w:bookmarkEnd w:id="204"/>
    </w:p>
    <w:p w14:paraId="13FA4B41">
      <w:pPr>
        <w:ind w:firstLine="480"/>
        <w:rPr>
          <w:color w:val="auto"/>
        </w:rPr>
      </w:pPr>
      <w:r>
        <w:rPr>
          <w:color w:val="auto"/>
        </w:rPr>
        <w:t>①</w:t>
      </w:r>
      <w:r>
        <w:rPr>
          <w:rFonts w:hint="eastAsia"/>
          <w:color w:val="auto"/>
        </w:rPr>
        <w:t>根据地下水污染防治措施章节对生产区域</w:t>
      </w:r>
      <w:r>
        <w:rPr>
          <w:color w:val="auto"/>
        </w:rPr>
        <w:t>地面进行硬化</w:t>
      </w:r>
      <w:r>
        <w:rPr>
          <w:rFonts w:hint="eastAsia"/>
          <w:color w:val="auto"/>
        </w:rPr>
        <w:t>防渗。</w:t>
      </w:r>
    </w:p>
    <w:p w14:paraId="3E40CED8">
      <w:pPr>
        <w:ind w:firstLine="480"/>
        <w:rPr>
          <w:color w:val="auto"/>
        </w:rPr>
        <w:sectPr>
          <w:pgSz w:w="11906" w:h="16838"/>
          <w:pgMar w:top="1417" w:right="1417" w:bottom="1417" w:left="1417" w:header="851" w:footer="992" w:gutter="0"/>
          <w:pgNumType w:fmt="decimal"/>
          <w:cols w:space="720" w:num="1"/>
          <w:docGrid w:type="lines" w:linePitch="333" w:charSpace="0"/>
        </w:sectPr>
      </w:pPr>
      <w:r>
        <w:rPr>
          <w:color w:val="auto"/>
        </w:rPr>
        <w:t>②</w:t>
      </w:r>
      <w:r>
        <w:rPr>
          <w:rFonts w:hint="eastAsia"/>
          <w:color w:val="auto"/>
        </w:rPr>
        <w:t>项目对周边土壤影响</w:t>
      </w:r>
      <w:r>
        <w:rPr>
          <w:rFonts w:hint="eastAsia"/>
          <w:color w:val="auto"/>
          <w:lang w:val="en-US" w:eastAsia="zh-CN"/>
        </w:rPr>
        <w:t>还有一方面</w:t>
      </w:r>
      <w:r>
        <w:rPr>
          <w:rFonts w:hint="eastAsia"/>
          <w:color w:val="auto"/>
        </w:rPr>
        <w:t>是大气沉降。大气沉降对土壤影响是持续性，长期性的，通过大气污染控制措施，确保各污染物达标排放，杜绝事故排放的措施减轻大气沉降影响。</w:t>
      </w:r>
    </w:p>
    <w:p w14:paraId="505EBA29">
      <w:pPr>
        <w:pStyle w:val="66"/>
        <w:numPr>
          <w:ilvl w:val="0"/>
          <w:numId w:val="8"/>
        </w:numPr>
        <w:ind w:left="425" w:leftChars="0" w:hanging="425" w:firstLineChars="0"/>
        <w:rPr>
          <w:color w:val="auto"/>
        </w:rPr>
      </w:pPr>
      <w:bookmarkStart w:id="205" w:name="_Toc238197044"/>
      <w:bookmarkStart w:id="206" w:name="_Toc246655580"/>
      <w:r>
        <w:rPr>
          <w:rFonts w:hint="eastAsia"/>
          <w:color w:val="auto"/>
        </w:rPr>
        <w:t xml:space="preserve"> </w:t>
      </w:r>
      <w:bookmarkStart w:id="207" w:name="_Toc8539"/>
      <w:r>
        <w:rPr>
          <w:rFonts w:hint="eastAsia"/>
          <w:color w:val="auto"/>
        </w:rPr>
        <w:t>环境管理与监测计划</w:t>
      </w:r>
      <w:bookmarkEnd w:id="205"/>
      <w:bookmarkEnd w:id="206"/>
      <w:bookmarkEnd w:id="207"/>
    </w:p>
    <w:p w14:paraId="4B7E8B9E">
      <w:pPr>
        <w:pStyle w:val="67"/>
        <w:numPr>
          <w:ilvl w:val="1"/>
          <w:numId w:val="8"/>
        </w:numPr>
        <w:spacing w:before="156" w:after="156"/>
        <w:ind w:left="567" w:leftChars="0" w:hanging="567" w:firstLineChars="0"/>
        <w:rPr>
          <w:color w:val="auto"/>
        </w:rPr>
      </w:pPr>
      <w:bookmarkStart w:id="208" w:name="_Toc246655581"/>
      <w:bookmarkStart w:id="209" w:name="_Toc238197045"/>
      <w:bookmarkStart w:id="210" w:name="_Toc168907185"/>
      <w:bookmarkStart w:id="211" w:name="_Toc17098"/>
      <w:r>
        <w:rPr>
          <w:rFonts w:hint="eastAsia"/>
          <w:color w:val="auto"/>
        </w:rPr>
        <w:t>概述</w:t>
      </w:r>
      <w:bookmarkEnd w:id="208"/>
      <w:bookmarkEnd w:id="209"/>
      <w:bookmarkEnd w:id="210"/>
      <w:bookmarkEnd w:id="211"/>
    </w:p>
    <w:p w14:paraId="048F6052">
      <w:pPr>
        <w:ind w:firstLine="480"/>
        <w:rPr>
          <w:color w:val="auto"/>
        </w:rPr>
      </w:pPr>
      <w:r>
        <w:rPr>
          <w:rFonts w:hint="eastAsia"/>
          <w:color w:val="auto"/>
        </w:rPr>
        <w:t>由于建设项目在运行过程中会产出一定数量的污染物，对当地水、空气环境质量可能造成一定的影响。因此，为保证建设项目的所有环保措施都能正常运行，本评价报告根据建设单位拟采取的环境管理和监测的措施，对照有关的标准和规范进行评述，提出合理化建议供建设单位参考，并利于环境保护管理部门的监督和管理。</w:t>
      </w:r>
    </w:p>
    <w:p w14:paraId="00360C4C">
      <w:pPr>
        <w:pStyle w:val="67"/>
        <w:numPr>
          <w:ilvl w:val="1"/>
          <w:numId w:val="8"/>
        </w:numPr>
        <w:spacing w:before="156" w:after="156"/>
        <w:ind w:left="567" w:leftChars="0" w:hanging="567" w:firstLineChars="0"/>
        <w:rPr>
          <w:color w:val="auto"/>
        </w:rPr>
      </w:pPr>
      <w:bookmarkStart w:id="212" w:name="_Toc246655583"/>
      <w:bookmarkStart w:id="213" w:name="_Toc20891"/>
      <w:bookmarkStart w:id="214" w:name="_Toc238197049"/>
      <w:bookmarkStart w:id="215" w:name="_Toc168907187"/>
      <w:r>
        <w:rPr>
          <w:rFonts w:hint="eastAsia"/>
          <w:color w:val="auto"/>
        </w:rPr>
        <w:t>营运期环境管理与监测计划</w:t>
      </w:r>
      <w:bookmarkEnd w:id="212"/>
      <w:bookmarkEnd w:id="213"/>
      <w:bookmarkEnd w:id="214"/>
      <w:bookmarkEnd w:id="215"/>
    </w:p>
    <w:p w14:paraId="69F30963">
      <w:pPr>
        <w:pStyle w:val="64"/>
        <w:numPr>
          <w:ilvl w:val="2"/>
          <w:numId w:val="8"/>
        </w:numPr>
        <w:spacing w:before="156" w:after="156"/>
        <w:ind w:left="709" w:leftChars="0" w:hanging="709" w:firstLineChars="0"/>
        <w:rPr>
          <w:color w:val="auto"/>
        </w:rPr>
      </w:pPr>
      <w:bookmarkStart w:id="216" w:name="_Toc238197050"/>
      <w:r>
        <w:rPr>
          <w:rFonts w:hint="eastAsia"/>
          <w:color w:val="auto"/>
        </w:rPr>
        <w:t>环境管理制度</w:t>
      </w:r>
      <w:bookmarkEnd w:id="216"/>
    </w:p>
    <w:p w14:paraId="301DF3C6">
      <w:pPr>
        <w:pStyle w:val="65"/>
        <w:numPr>
          <w:ilvl w:val="3"/>
          <w:numId w:val="8"/>
        </w:numPr>
        <w:ind w:left="850" w:leftChars="0" w:hanging="850" w:firstLineChars="0"/>
        <w:rPr>
          <w:color w:val="auto"/>
        </w:rPr>
      </w:pPr>
      <w:r>
        <w:rPr>
          <w:color w:val="auto"/>
        </w:rPr>
        <w:t>环境管理的基本任务</w:t>
      </w:r>
    </w:p>
    <w:p w14:paraId="4B8005CF">
      <w:pPr>
        <w:ind w:firstLine="480"/>
        <w:rPr>
          <w:color w:val="auto"/>
        </w:rPr>
      </w:pPr>
      <w:r>
        <w:rPr>
          <w:rFonts w:hint="eastAsia"/>
          <w:color w:val="auto"/>
        </w:rPr>
        <w:t>对于项目来说，环境管理的基本任务是：控制污染物排放量，避免污染物对环境质量的损害。</w:t>
      </w:r>
    </w:p>
    <w:p w14:paraId="7C74E385">
      <w:pPr>
        <w:ind w:firstLine="480"/>
        <w:rPr>
          <w:color w:val="auto"/>
        </w:rPr>
      </w:pPr>
      <w:r>
        <w:rPr>
          <w:rFonts w:hint="eastAsia"/>
          <w:color w:val="auto"/>
        </w:rPr>
        <w:t>为了控制污染物的排放，就需要加强计划、生产、技术、质量、设备、劳动、财务等方面的管理，把环境管理渗透到整个企业管理中，将环境管理溶合在一起，以减少从生产过程中各环节排出的污染物。</w:t>
      </w:r>
    </w:p>
    <w:p w14:paraId="00DD2EE7">
      <w:pPr>
        <w:ind w:firstLine="480"/>
        <w:rPr>
          <w:color w:val="auto"/>
        </w:rPr>
      </w:pPr>
      <w:r>
        <w:rPr>
          <w:rFonts w:hint="eastAsia"/>
          <w:color w:val="auto"/>
        </w:rPr>
        <w:t>项目应该将环境管理作为工业企业管理的重要组成部分，建立环境污染管理系统、制度、环境规划、协调发展生产保护环境的关系，使生产管理系统、制度、环境污染规划协调生产与保护环境的关系，使生产目标与环境目标统一起来，经济效益与环境效益统一起来。</w:t>
      </w:r>
    </w:p>
    <w:p w14:paraId="08D4855E">
      <w:pPr>
        <w:pStyle w:val="65"/>
        <w:numPr>
          <w:ilvl w:val="3"/>
          <w:numId w:val="8"/>
        </w:numPr>
        <w:ind w:left="850" w:leftChars="0" w:hanging="850" w:firstLineChars="0"/>
        <w:rPr>
          <w:color w:val="auto"/>
        </w:rPr>
      </w:pPr>
      <w:r>
        <w:rPr>
          <w:color w:val="auto"/>
        </w:rPr>
        <w:t>环境管理机构</w:t>
      </w:r>
    </w:p>
    <w:p w14:paraId="3C58E610">
      <w:pPr>
        <w:ind w:firstLine="480"/>
        <w:rPr>
          <w:color w:val="auto"/>
        </w:rPr>
      </w:pPr>
      <w:r>
        <w:rPr>
          <w:rFonts w:hint="eastAsia"/>
          <w:color w:val="auto"/>
        </w:rPr>
        <w:t>环境污染问题是由自然、社会、经济和技术等多种因素引起的，情况十分复杂。因此必须对损害和破坏环境的活动施加影响，以达到控制、保护和改善环境的目的。要达到这个目的，则需要在环境容量允许的前提下，本着“以防为主、综合治理、以管促治、管治结合”的原则，以环境科学的理论为基础，用技术的、经济的、教育的和行政的手段，对项目经营活动进行科学管理，协调社会经济发展和保护环境的关系，使人们具有一个良好的生活、工作环境，从而达到经济效益、社会效益和环境效益的三统一。项目建成后，建设单位配备专（兼）职环保人员数名，负责环境监督管理工作，管理机构附属于生产部或工程部。负责对公司的环境保护进行全面管理，特别是对各污染源的控制与环保设施进行监督检查。</w:t>
      </w:r>
    </w:p>
    <w:p w14:paraId="1F7C03B1">
      <w:pPr>
        <w:pStyle w:val="65"/>
        <w:numPr>
          <w:ilvl w:val="3"/>
          <w:numId w:val="8"/>
        </w:numPr>
        <w:ind w:left="850" w:leftChars="0" w:hanging="850" w:firstLineChars="0"/>
        <w:rPr>
          <w:color w:val="auto"/>
        </w:rPr>
      </w:pPr>
      <w:r>
        <w:rPr>
          <w:color w:val="auto"/>
        </w:rPr>
        <w:t>环境保护管理机构的职责</w:t>
      </w:r>
    </w:p>
    <w:p w14:paraId="3E21AE48">
      <w:pPr>
        <w:ind w:firstLine="480"/>
        <w:rPr>
          <w:color w:val="auto"/>
        </w:rPr>
      </w:pPr>
      <w:r>
        <w:rPr>
          <w:rFonts w:hint="eastAsia"/>
          <w:color w:val="auto"/>
        </w:rPr>
        <w:t>1、环境管理部门除负责公司内有关环保工作外，还应接受环境保护行政主管部门的领导检查与监督；</w:t>
      </w:r>
    </w:p>
    <w:p w14:paraId="12F7CBAE">
      <w:pPr>
        <w:ind w:firstLine="480"/>
        <w:rPr>
          <w:color w:val="auto"/>
        </w:rPr>
      </w:pPr>
      <w:r>
        <w:rPr>
          <w:rFonts w:hint="eastAsia"/>
          <w:color w:val="auto"/>
        </w:rPr>
        <w:t>2、贯彻执行各项环保法规和各项标准；</w:t>
      </w:r>
    </w:p>
    <w:p w14:paraId="3AF9ABE5">
      <w:pPr>
        <w:ind w:firstLine="480"/>
        <w:rPr>
          <w:color w:val="auto"/>
        </w:rPr>
      </w:pPr>
      <w:r>
        <w:rPr>
          <w:rFonts w:hint="eastAsia"/>
          <w:color w:val="auto"/>
        </w:rPr>
        <w:t>3、组织制定和修改企业的环境污染保护管理体制规章制度，并监督执行；</w:t>
      </w:r>
    </w:p>
    <w:p w14:paraId="3AF4BCC9">
      <w:pPr>
        <w:ind w:firstLine="480"/>
        <w:rPr>
          <w:color w:val="auto"/>
        </w:rPr>
      </w:pPr>
      <w:r>
        <w:rPr>
          <w:rFonts w:hint="eastAsia"/>
          <w:color w:val="auto"/>
        </w:rPr>
        <w:t>4、制定并组织实施环境保护规划和标准；</w:t>
      </w:r>
    </w:p>
    <w:p w14:paraId="6FB02AB2">
      <w:pPr>
        <w:ind w:firstLine="480"/>
        <w:rPr>
          <w:color w:val="auto"/>
        </w:rPr>
      </w:pPr>
      <w:r>
        <w:rPr>
          <w:rFonts w:hint="eastAsia"/>
          <w:color w:val="auto"/>
        </w:rPr>
        <w:t>5、检查企业环境保护规划和计划；</w:t>
      </w:r>
    </w:p>
    <w:p w14:paraId="251B0527">
      <w:pPr>
        <w:ind w:firstLine="480"/>
        <w:rPr>
          <w:color w:val="auto"/>
        </w:rPr>
      </w:pPr>
      <w:r>
        <w:rPr>
          <w:rFonts w:hint="eastAsia"/>
          <w:color w:val="auto"/>
        </w:rPr>
        <w:t>6、建立资料库。管理污染源监测数据及资料的收集与存档；</w:t>
      </w:r>
    </w:p>
    <w:p w14:paraId="583B432C">
      <w:pPr>
        <w:ind w:firstLine="480"/>
        <w:rPr>
          <w:color w:val="auto"/>
        </w:rPr>
      </w:pPr>
      <w:r>
        <w:rPr>
          <w:rFonts w:hint="eastAsia"/>
          <w:color w:val="auto"/>
        </w:rPr>
        <w:t>7、加强对污染防治设施的监督管理，安排专人负责设施的具体运作，确保设施正常运行，保证污染物达标排放；</w:t>
      </w:r>
    </w:p>
    <w:p w14:paraId="0AAD581F">
      <w:pPr>
        <w:ind w:firstLine="480"/>
        <w:rPr>
          <w:color w:val="auto"/>
        </w:rPr>
      </w:pPr>
      <w:r>
        <w:rPr>
          <w:rFonts w:hint="eastAsia"/>
          <w:color w:val="auto"/>
        </w:rPr>
        <w:t>8、防范风险事故发生，协助环境保护行政主管部门、企业内的应急反应中心或生产安全部门处理各种事故；</w:t>
      </w:r>
    </w:p>
    <w:p w14:paraId="44C9F0A9">
      <w:pPr>
        <w:ind w:firstLine="480"/>
        <w:rPr>
          <w:color w:val="auto"/>
        </w:rPr>
      </w:pPr>
      <w:r>
        <w:rPr>
          <w:rFonts w:hint="eastAsia"/>
          <w:color w:val="auto"/>
        </w:rPr>
        <w:t>9、开展环保知识教育，组织开展本企业的环保技术培训，提高员工的素质水平；领导和组织本企业的环境监测工作。</w:t>
      </w:r>
    </w:p>
    <w:p w14:paraId="4ADC36B3">
      <w:pPr>
        <w:pStyle w:val="65"/>
        <w:numPr>
          <w:ilvl w:val="3"/>
          <w:numId w:val="8"/>
        </w:numPr>
        <w:ind w:left="850" w:leftChars="0" w:hanging="850" w:firstLineChars="0"/>
        <w:rPr>
          <w:color w:val="auto"/>
        </w:rPr>
      </w:pPr>
      <w:r>
        <w:rPr>
          <w:color w:val="auto"/>
        </w:rPr>
        <w:t>环保管理制度的建立</w:t>
      </w:r>
    </w:p>
    <w:p w14:paraId="47EF062C">
      <w:pPr>
        <w:ind w:firstLine="480"/>
        <w:rPr>
          <w:color w:val="auto"/>
        </w:rPr>
      </w:pPr>
      <w:r>
        <w:rPr>
          <w:rFonts w:hint="eastAsia"/>
          <w:color w:val="auto"/>
        </w:rPr>
        <w:t>1、报告制度</w:t>
      </w:r>
    </w:p>
    <w:p w14:paraId="416AD992">
      <w:pPr>
        <w:ind w:firstLine="480"/>
        <w:rPr>
          <w:color w:val="auto"/>
        </w:rPr>
      </w:pPr>
      <w:r>
        <w:rPr>
          <w:rFonts w:hint="eastAsia"/>
          <w:color w:val="auto"/>
        </w:rPr>
        <w:t>按《建设项目环境保护管理条例》中第二十条和二十三条规定，本项目在正式投产前，应向负责审批的环保部门提交“环境保护设施竣工验收报告”，经验收合格并发给“环境保护设施验收合格证”后，方可正式投入生产。</w:t>
      </w:r>
    </w:p>
    <w:p w14:paraId="4120EE97">
      <w:pPr>
        <w:ind w:firstLine="480"/>
        <w:rPr>
          <w:color w:val="auto"/>
        </w:rPr>
      </w:pPr>
      <w:r>
        <w:rPr>
          <w:rFonts w:hint="eastAsia"/>
          <w:color w:val="auto"/>
        </w:rPr>
        <w:t>项目建成后应严格执行环境污染月报制度。即每月向当地环保部门报告污染治理设施运行情况、污染物排放情况以及污染事故、污染纠纷等情况。</w:t>
      </w:r>
    </w:p>
    <w:p w14:paraId="6BC89178">
      <w:pPr>
        <w:ind w:firstLine="480"/>
        <w:rPr>
          <w:color w:val="auto"/>
        </w:rPr>
      </w:pPr>
      <w:r>
        <w:rPr>
          <w:rFonts w:hint="eastAsia"/>
          <w:color w:val="auto"/>
        </w:rPr>
        <w:t>企业排污发生重大变化、污染治理设施改变或生产运行计划改变等都必须向当地环保部门申报，经审批同意后方可实施。</w:t>
      </w:r>
    </w:p>
    <w:p w14:paraId="74802D64">
      <w:pPr>
        <w:ind w:firstLine="480"/>
        <w:rPr>
          <w:color w:val="auto"/>
        </w:rPr>
      </w:pPr>
      <w:r>
        <w:rPr>
          <w:rFonts w:hint="eastAsia"/>
          <w:color w:val="auto"/>
        </w:rPr>
        <w:t>2、污染处理设施的管理制度</w:t>
      </w:r>
    </w:p>
    <w:p w14:paraId="5034E511">
      <w:pPr>
        <w:ind w:firstLine="480"/>
        <w:rPr>
          <w:color w:val="auto"/>
        </w:rPr>
      </w:pPr>
      <w:r>
        <w:rPr>
          <w:rFonts w:hint="eastAsia"/>
          <w:color w:val="auto"/>
        </w:rPr>
        <w:t>对污染治理设施和管理必须与生产经营活动一起纳入企业的日常管理中，要建立岗位责任制，制定操作规程，建立管理台帐。</w:t>
      </w:r>
    </w:p>
    <w:p w14:paraId="4822AEAC">
      <w:pPr>
        <w:ind w:firstLine="480"/>
        <w:rPr>
          <w:color w:val="auto"/>
        </w:rPr>
      </w:pPr>
      <w:r>
        <w:rPr>
          <w:rFonts w:hint="eastAsia"/>
          <w:color w:val="auto"/>
        </w:rPr>
        <w:t>3、奖惩制度</w:t>
      </w:r>
    </w:p>
    <w:p w14:paraId="526279D2">
      <w:pPr>
        <w:ind w:firstLine="480"/>
        <w:rPr>
          <w:color w:val="auto"/>
        </w:rPr>
      </w:pPr>
      <w:r>
        <w:rPr>
          <w:rFonts w:hint="eastAsia"/>
          <w:color w:val="auto"/>
        </w:rPr>
        <w:t>企业应设置环境保护奖惩制度，对爱护环保设施，节能降耗、改善环境者给予奖励；对不按环保要求管理，造成环保设施损坏、环境污染和资源、能源浪费者予以重罚。</w:t>
      </w:r>
    </w:p>
    <w:p w14:paraId="5316D818">
      <w:pPr>
        <w:pStyle w:val="65"/>
        <w:numPr>
          <w:ilvl w:val="3"/>
          <w:numId w:val="8"/>
        </w:numPr>
        <w:ind w:left="850" w:leftChars="0" w:hanging="850" w:firstLineChars="0"/>
        <w:rPr>
          <w:color w:val="auto"/>
        </w:rPr>
      </w:pPr>
      <w:r>
        <w:rPr>
          <w:color w:val="auto"/>
        </w:rPr>
        <w:t>环境管理建议</w:t>
      </w:r>
    </w:p>
    <w:p w14:paraId="700891D9">
      <w:pPr>
        <w:autoSpaceDE w:val="0"/>
        <w:autoSpaceDN w:val="0"/>
        <w:adjustRightInd w:val="0"/>
        <w:ind w:firstLine="480"/>
        <w:jc w:val="left"/>
        <w:rPr>
          <w:color w:val="auto"/>
        </w:rPr>
      </w:pPr>
      <w:r>
        <w:rPr>
          <w:rFonts w:hint="eastAsia"/>
          <w:color w:val="auto"/>
        </w:rPr>
        <w:t>建设单位</w:t>
      </w:r>
      <w:r>
        <w:rPr>
          <w:color w:val="auto"/>
        </w:rPr>
        <w:t>应加强项目的环境管理，按照本报告提出的污染防治措施和对策，制定出切实可行的环境污染防治办法和措施；做好环境教育和宣传工作，提高各级管理人员和操作人员的环境保护意识，加强员工对环境污染防治的责任性，自觉遵守和执行各项环境保护的规章制度；定期对环境保护设施进行维护和保养，确保环境保护设施的正常运行，防止污染事故的发生；加强与环境保护管理部门的沟通，主动接受环境保护主管部门的管理、指导和监督。</w:t>
      </w:r>
    </w:p>
    <w:p w14:paraId="2BA2713E">
      <w:pPr>
        <w:pStyle w:val="65"/>
        <w:numPr>
          <w:ilvl w:val="3"/>
          <w:numId w:val="8"/>
        </w:numPr>
        <w:ind w:left="850" w:leftChars="0" w:hanging="850" w:firstLineChars="0"/>
        <w:rPr>
          <w:color w:val="auto"/>
        </w:rPr>
      </w:pPr>
      <w:r>
        <w:rPr>
          <w:rFonts w:hint="eastAsia"/>
          <w:color w:val="auto"/>
        </w:rPr>
        <w:t>建设单位自主开展建设项目竣工环境保护验收的要求</w:t>
      </w:r>
    </w:p>
    <w:p w14:paraId="325329AB">
      <w:pPr>
        <w:ind w:firstLine="480"/>
        <w:rPr>
          <w:color w:val="auto"/>
        </w:rPr>
      </w:pPr>
      <w:r>
        <w:rPr>
          <w:rFonts w:hint="eastAsia"/>
          <w:color w:val="auto"/>
        </w:rPr>
        <w:t>（1）报送相关信息，申领排污许可证。</w:t>
      </w:r>
    </w:p>
    <w:p w14:paraId="505536AE">
      <w:pPr>
        <w:ind w:firstLine="480"/>
        <w:rPr>
          <w:color w:val="auto"/>
        </w:rPr>
      </w:pPr>
      <w:r>
        <w:rPr>
          <w:rFonts w:hint="eastAsia"/>
          <w:color w:val="auto"/>
        </w:rPr>
        <w:t>建设单位应当在建设项目环境保护设施竣工后、调试前，向项目所在地环境保护部门报送竣工日期和调试起止日期，并向社会公开。根据环境保护部《固定污染源排污许可分类管理名录（2019年版）》，纳入排污许可管理的建设项目，排污单位应当在项目产生实际污染物排放之前，按照国家排污许可有关管理规定要求，申领排污许可证。其中，项目环评审批文件要求安装污染物排放自动监控设施的，建设单位应当向所在地环境保护部门提交联网信息资料，并按《水污染源在线监测系统验收技术规范(试行)》（HJ/T 354-2007）或《固定污染源烟气（SO</w:t>
      </w:r>
      <w:r>
        <w:rPr>
          <w:rFonts w:hint="eastAsia"/>
          <w:color w:val="auto"/>
          <w:vertAlign w:val="subscript"/>
        </w:rPr>
        <w:t>2</w:t>
      </w:r>
      <w:r>
        <w:rPr>
          <w:rFonts w:hint="eastAsia"/>
          <w:color w:val="auto"/>
        </w:rPr>
        <w:t>、NO</w:t>
      </w:r>
      <w:r>
        <w:rPr>
          <w:rFonts w:hint="eastAsia"/>
          <w:color w:val="auto"/>
          <w:vertAlign w:val="subscript"/>
        </w:rPr>
        <w:t>X</w:t>
      </w:r>
      <w:r>
        <w:rPr>
          <w:rFonts w:hint="eastAsia"/>
          <w:color w:val="auto"/>
        </w:rPr>
        <w:t>、颗粒物）排放连续监测技术规范》（HJ 75-2017）等规范要求与环保部门监控平台联网。</w:t>
      </w:r>
    </w:p>
    <w:p w14:paraId="0D314AF6">
      <w:pPr>
        <w:ind w:firstLine="480"/>
        <w:rPr>
          <w:color w:val="auto"/>
        </w:rPr>
      </w:pPr>
      <w:r>
        <w:rPr>
          <w:rFonts w:hint="eastAsia"/>
          <w:color w:val="auto"/>
        </w:rPr>
        <w:t>（2）开展验收监测（调查），编制验收监测（调查）报告。</w:t>
      </w:r>
    </w:p>
    <w:p w14:paraId="004CAB9B">
      <w:pPr>
        <w:ind w:firstLine="480"/>
        <w:rPr>
          <w:color w:val="auto"/>
        </w:rPr>
      </w:pPr>
      <w:r>
        <w:rPr>
          <w:rFonts w:hint="eastAsia"/>
          <w:color w:val="auto"/>
        </w:rPr>
        <w:t>建设项目竣工后，建设单位应当如实查验、监测、记载建设项目环境保护设施的建设和调试情况，开展验收监测（调查），并编制验收监测（调查）报告。</w:t>
      </w:r>
    </w:p>
    <w:p w14:paraId="44C6092C">
      <w:pPr>
        <w:ind w:firstLine="480"/>
        <w:rPr>
          <w:color w:val="auto"/>
        </w:rPr>
      </w:pPr>
      <w:r>
        <w:rPr>
          <w:rFonts w:hint="eastAsia"/>
          <w:color w:val="auto"/>
        </w:rPr>
        <w:t>（3）项目环评审批文件要求安装污染物排放自动监控设施的，建设单位应开展污染物排放自动监控设施联网验收，根据《水污染源在线监测系统验收技术规范(试行)》（HJ/T 354-2007）或《固定污染源烟气（SO</w:t>
      </w:r>
      <w:r>
        <w:rPr>
          <w:rFonts w:hint="eastAsia"/>
          <w:color w:val="auto"/>
          <w:vertAlign w:val="subscript"/>
        </w:rPr>
        <w:t>2</w:t>
      </w:r>
      <w:r>
        <w:rPr>
          <w:rFonts w:hint="eastAsia"/>
          <w:color w:val="auto"/>
        </w:rPr>
        <w:t>、NO</w:t>
      </w:r>
      <w:r>
        <w:rPr>
          <w:rFonts w:hint="eastAsia"/>
          <w:color w:val="auto"/>
          <w:vertAlign w:val="subscript"/>
        </w:rPr>
        <w:t>X</w:t>
      </w:r>
      <w:r>
        <w:rPr>
          <w:rFonts w:hint="eastAsia"/>
          <w:color w:val="auto"/>
        </w:rPr>
        <w:t>、颗粒物）排放连续监测技术规范》（HJ 75-2017）等要求，编写联网验收检测材料。</w:t>
      </w:r>
    </w:p>
    <w:p w14:paraId="20193BC9">
      <w:pPr>
        <w:ind w:firstLine="480"/>
        <w:rPr>
          <w:color w:val="auto"/>
        </w:rPr>
      </w:pPr>
      <w:r>
        <w:rPr>
          <w:rFonts w:hint="eastAsia"/>
          <w:color w:val="auto"/>
        </w:rPr>
        <w:t>（4）组织验收，提出验收意见。</w:t>
      </w:r>
    </w:p>
    <w:p w14:paraId="7CADA1CF">
      <w:pPr>
        <w:ind w:firstLine="480"/>
        <w:rPr>
          <w:color w:val="auto"/>
        </w:rPr>
      </w:pPr>
      <w:r>
        <w:rPr>
          <w:rFonts w:hint="eastAsia"/>
          <w:color w:val="auto"/>
        </w:rPr>
        <w:t>验收监测（调查）报告编制完成后，建设单位应当根据验收监测（调查）报告结论，逐一检查是否存在《暂行办法》第八条所列验收不合格的情形。存在问题的，建设单位应当进行整改，整改完成后方可组织验收，提出验收意见，并形成验收报告。编制环境影响报告书的建设项目，由建设单位组织设计单位、施工单位、环境影响报告编制机构、验收监测（调查）报告编制机构等单位代表及专业技术专家组成验收工作组，采取现场检查、资料审阅、召开验收会议等方式开展验收；编制环境影响报告表的建设项目，由建设单位组织本单位负责环境保护设施建设、运行的有关人员组成验收工作组，开展验收工作。验收工作组人数由建设单位自行确定。</w:t>
      </w:r>
    </w:p>
    <w:p w14:paraId="06A5C082">
      <w:pPr>
        <w:ind w:firstLine="480"/>
        <w:rPr>
          <w:color w:val="auto"/>
        </w:rPr>
      </w:pPr>
      <w:r>
        <w:rPr>
          <w:rFonts w:hint="eastAsia"/>
          <w:color w:val="auto"/>
        </w:rPr>
        <w:t>（5）公开验收报告。</w:t>
      </w:r>
    </w:p>
    <w:p w14:paraId="054162D7">
      <w:pPr>
        <w:ind w:firstLine="480"/>
        <w:rPr>
          <w:color w:val="auto"/>
        </w:rPr>
      </w:pPr>
      <w:r>
        <w:rPr>
          <w:rFonts w:hint="eastAsia"/>
          <w:color w:val="auto"/>
        </w:rPr>
        <w:t>建设单位应当在验收报告编制完成后5个工作日内，通过其网站或当地新闻媒体，公开验收报告，公示的期限不得少于20个工作日。同时，向项目所在地和项目环境影响报告审批的环保部门报送相关信息，并接受监督检查。</w:t>
      </w:r>
    </w:p>
    <w:p w14:paraId="5DBB5368">
      <w:pPr>
        <w:ind w:firstLine="480"/>
        <w:rPr>
          <w:color w:val="auto"/>
        </w:rPr>
      </w:pPr>
      <w:r>
        <w:rPr>
          <w:rFonts w:hint="eastAsia"/>
          <w:color w:val="auto"/>
        </w:rPr>
        <w:t>（6）登录全国建设项目竣工环境保护验收信息平台。</w:t>
      </w:r>
    </w:p>
    <w:p w14:paraId="2F3DA856">
      <w:pPr>
        <w:ind w:firstLine="480"/>
        <w:rPr>
          <w:color w:val="auto"/>
        </w:rPr>
      </w:pPr>
      <w:r>
        <w:rPr>
          <w:rFonts w:hint="eastAsia"/>
          <w:color w:val="auto"/>
        </w:rPr>
        <w:t>建设单位应当在验收报告公示期满后5个工作日内，登录全国建设项目竣工环境保护验收信息平台，填报建设项目基本信息、环境保护设施验收情况等相关信息，环境保护主管部门对上述信息予以公开。</w:t>
      </w:r>
    </w:p>
    <w:p w14:paraId="61DF23AA">
      <w:pPr>
        <w:pStyle w:val="65"/>
        <w:numPr>
          <w:ilvl w:val="3"/>
          <w:numId w:val="8"/>
        </w:numPr>
        <w:ind w:left="850" w:leftChars="0" w:hanging="850" w:firstLineChars="0"/>
        <w:rPr>
          <w:color w:val="auto"/>
        </w:rPr>
      </w:pPr>
      <w:r>
        <w:rPr>
          <w:rFonts w:hint="eastAsia"/>
          <w:color w:val="auto"/>
        </w:rPr>
        <w:t>建设项目排污许可管理类型及相关管理要求</w:t>
      </w:r>
    </w:p>
    <w:p w14:paraId="186DECAA">
      <w:pPr>
        <w:ind w:firstLine="480"/>
        <w:rPr>
          <w:color w:val="auto"/>
        </w:rPr>
      </w:pPr>
      <w:r>
        <w:rPr>
          <w:rFonts w:hint="eastAsia"/>
          <w:color w:val="auto"/>
        </w:rPr>
        <w:t>根据《固定污染源排污许可分类管理名录(2019年版)》，项目属于“</w:t>
      </w:r>
      <w:r>
        <w:rPr>
          <w:rFonts w:hint="eastAsia"/>
          <w:color w:val="auto"/>
          <w:lang w:val="en-US" w:eastAsia="zh-CN"/>
        </w:rPr>
        <w:t>十八、印刷和记录媒介复制业23</w:t>
      </w:r>
      <w:r>
        <w:rPr>
          <w:rFonts w:hint="eastAsia"/>
          <w:color w:val="auto"/>
        </w:rPr>
        <w:t>”、“</w:t>
      </w:r>
      <w:r>
        <w:rPr>
          <w:rFonts w:hint="eastAsia"/>
          <w:color w:val="auto"/>
          <w:lang w:val="en-US" w:eastAsia="zh-CN"/>
        </w:rPr>
        <w:t>39印刷231</w:t>
      </w:r>
      <w:r>
        <w:rPr>
          <w:rFonts w:hint="eastAsia"/>
          <w:color w:val="auto"/>
        </w:rPr>
        <w:t>”</w:t>
      </w:r>
      <w:r>
        <w:rPr>
          <w:rFonts w:hint="eastAsia"/>
          <w:color w:val="auto"/>
          <w:lang w:eastAsia="zh-CN"/>
        </w:rPr>
        <w:t>、“</w:t>
      </w:r>
      <w:r>
        <w:rPr>
          <w:rFonts w:hint="eastAsia"/>
          <w:color w:val="auto"/>
          <w:lang w:val="en-US" w:eastAsia="zh-CN"/>
        </w:rPr>
        <w:t>除重点管理以外的年使用80吨及以上溶剂型油墨、涂料或者10吨及以上溶剂型稀释剂的包装装潢印刷</w:t>
      </w:r>
      <w:r>
        <w:rPr>
          <w:rFonts w:hint="eastAsia"/>
          <w:color w:val="auto"/>
          <w:lang w:eastAsia="zh-CN"/>
        </w:rPr>
        <w:t>”</w:t>
      </w:r>
      <w:r>
        <w:rPr>
          <w:rFonts w:hint="eastAsia"/>
          <w:color w:val="auto"/>
        </w:rPr>
        <w:t>，因此项目排污许可管理类型属于“简化管理”类型。</w:t>
      </w:r>
    </w:p>
    <w:p w14:paraId="62B4047C">
      <w:pPr>
        <w:ind w:firstLine="480"/>
        <w:rPr>
          <w:color w:val="auto"/>
        </w:rPr>
      </w:pPr>
      <w:r>
        <w:rPr>
          <w:rFonts w:hint="eastAsia"/>
          <w:color w:val="auto"/>
        </w:rPr>
        <w:t>建设单位投产后，应参照《排污许可证申请与核发技术规范 总则》（HJ942-2018）登录全国排污许可证管理信息平台http://permit.mee.gov.cn/permitExt/defaults/default-index!getInformation.action依法申请排污许可证，并做好日常的监督检查：</w:t>
      </w:r>
    </w:p>
    <w:p w14:paraId="00B7742D">
      <w:pPr>
        <w:ind w:firstLine="482"/>
        <w:rPr>
          <w:b/>
          <w:bCs/>
          <w:color w:val="auto"/>
        </w:rPr>
      </w:pPr>
      <w:r>
        <w:rPr>
          <w:rFonts w:hint="eastAsia"/>
          <w:b/>
          <w:bCs/>
          <w:color w:val="auto"/>
        </w:rPr>
        <w:t>1、</w:t>
      </w:r>
      <w:r>
        <w:rPr>
          <w:b/>
          <w:bCs/>
          <w:color w:val="auto"/>
        </w:rPr>
        <w:t>建立企业管理台帐</w:t>
      </w:r>
    </w:p>
    <w:p w14:paraId="6406ACC3">
      <w:pPr>
        <w:ind w:firstLine="480"/>
        <w:rPr>
          <w:color w:val="auto"/>
        </w:rPr>
      </w:pPr>
      <w:r>
        <w:rPr>
          <w:color w:val="auto"/>
        </w:rPr>
        <w:t>建立</w:t>
      </w:r>
      <w:r>
        <w:rPr>
          <w:rFonts w:hint="eastAsia"/>
          <w:color w:val="auto"/>
        </w:rPr>
        <w:t>企业</w:t>
      </w:r>
      <w:r>
        <w:rPr>
          <w:color w:val="auto"/>
        </w:rPr>
        <w:t>运行台帐，</w:t>
      </w:r>
      <w:r>
        <w:rPr>
          <w:rFonts w:hint="eastAsia"/>
          <w:color w:val="auto"/>
        </w:rPr>
        <w:t>并按年度更新。企业单位应当充分结合自身的实际情况，与生产记录相衔接、建立内部固废管理机制和流程，明确各部门职责，真实记录固废的产生、贮存、利用、处置等信息，保证建立固废台账制度的良好运行。特别是要确保所有原始单据或凭证应当交由专人（如台账管理员）汇总。台账应当分类装订成册，由专人管理，防止遗失。如有条件，建议采用信息软件辅助管理。</w:t>
      </w:r>
    </w:p>
    <w:p w14:paraId="3FF3AF99">
      <w:pPr>
        <w:pStyle w:val="62"/>
        <w:rPr>
          <w:color w:val="auto"/>
        </w:rPr>
      </w:pPr>
      <w:r>
        <w:rPr>
          <w:rFonts w:hint="eastAsia"/>
          <w:color w:val="auto"/>
          <w:lang w:eastAsia="zh-CN"/>
        </w:rPr>
        <w:t>表</w:t>
      </w:r>
      <w:r>
        <w:rPr>
          <w:rFonts w:hint="eastAsia"/>
          <w:color w:val="auto"/>
          <w:lang w:val="en-US" w:eastAsia="zh-CN"/>
        </w:rPr>
        <w:t>6</w:t>
      </w:r>
      <w:r>
        <w:rPr>
          <w:rFonts w:hint="eastAsia"/>
          <w:color w:val="auto"/>
        </w:rPr>
        <w:t>.</w:t>
      </w:r>
      <w:r>
        <w:rPr>
          <w:rFonts w:hint="eastAsia"/>
          <w:color w:val="auto"/>
          <w:lang w:val="en-US" w:eastAsia="zh-CN"/>
        </w:rPr>
        <w:t>2</w:t>
      </w:r>
      <w:r>
        <w:rPr>
          <w:rFonts w:hint="eastAsia"/>
          <w:color w:val="auto"/>
        </w:rPr>
        <w:t>-1  台帐记录要求</w:t>
      </w:r>
    </w:p>
    <w:tbl>
      <w:tblPr>
        <w:tblStyle w:val="38"/>
        <w:tblW w:w="9281"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7"/>
        <w:gridCol w:w="4113"/>
        <w:gridCol w:w="2295"/>
        <w:gridCol w:w="825"/>
        <w:gridCol w:w="1051"/>
      </w:tblGrid>
      <w:tr w14:paraId="47525B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997" w:type="dxa"/>
            <w:vAlign w:val="center"/>
          </w:tcPr>
          <w:p w14:paraId="7091033E">
            <w:pPr>
              <w:pStyle w:val="69"/>
              <w:rPr>
                <w:color w:val="auto"/>
              </w:rPr>
            </w:pPr>
            <w:r>
              <w:rPr>
                <w:rFonts w:hint="eastAsia"/>
                <w:color w:val="auto"/>
              </w:rPr>
              <w:t>类别</w:t>
            </w:r>
          </w:p>
        </w:tc>
        <w:tc>
          <w:tcPr>
            <w:tcW w:w="4113" w:type="dxa"/>
            <w:vAlign w:val="center"/>
          </w:tcPr>
          <w:p w14:paraId="76AD99CE">
            <w:pPr>
              <w:pStyle w:val="69"/>
              <w:rPr>
                <w:color w:val="auto"/>
              </w:rPr>
            </w:pPr>
            <w:r>
              <w:rPr>
                <w:rFonts w:hint="eastAsia"/>
                <w:color w:val="auto"/>
              </w:rPr>
              <w:t>记录内容</w:t>
            </w:r>
          </w:p>
        </w:tc>
        <w:tc>
          <w:tcPr>
            <w:tcW w:w="2295" w:type="dxa"/>
            <w:vAlign w:val="center"/>
          </w:tcPr>
          <w:p w14:paraId="2D3708EB">
            <w:pPr>
              <w:pStyle w:val="69"/>
              <w:rPr>
                <w:color w:val="auto"/>
              </w:rPr>
            </w:pPr>
            <w:r>
              <w:rPr>
                <w:rFonts w:hint="eastAsia"/>
                <w:color w:val="auto"/>
              </w:rPr>
              <w:t>记录频次</w:t>
            </w:r>
          </w:p>
        </w:tc>
        <w:tc>
          <w:tcPr>
            <w:tcW w:w="825" w:type="dxa"/>
            <w:vAlign w:val="center"/>
          </w:tcPr>
          <w:p w14:paraId="36000D8D">
            <w:pPr>
              <w:pStyle w:val="69"/>
              <w:rPr>
                <w:color w:val="auto"/>
              </w:rPr>
            </w:pPr>
            <w:r>
              <w:rPr>
                <w:rFonts w:hint="eastAsia"/>
                <w:color w:val="auto"/>
              </w:rPr>
              <w:t>记录形式</w:t>
            </w:r>
          </w:p>
        </w:tc>
        <w:tc>
          <w:tcPr>
            <w:tcW w:w="1051" w:type="dxa"/>
            <w:vAlign w:val="center"/>
          </w:tcPr>
          <w:p w14:paraId="33F3FCD0">
            <w:pPr>
              <w:pStyle w:val="69"/>
              <w:rPr>
                <w:color w:val="auto"/>
              </w:rPr>
            </w:pPr>
            <w:r>
              <w:rPr>
                <w:rFonts w:hint="eastAsia"/>
                <w:color w:val="auto"/>
              </w:rPr>
              <w:t>其他信息</w:t>
            </w:r>
          </w:p>
        </w:tc>
      </w:tr>
      <w:tr w14:paraId="48F313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7" w:type="dxa"/>
            <w:vAlign w:val="center"/>
          </w:tcPr>
          <w:p w14:paraId="09353339">
            <w:pPr>
              <w:pStyle w:val="69"/>
              <w:rPr>
                <w:color w:val="auto"/>
              </w:rPr>
            </w:pPr>
            <w:r>
              <w:rPr>
                <w:rFonts w:hint="eastAsia"/>
                <w:color w:val="auto"/>
              </w:rPr>
              <w:t>基本信息</w:t>
            </w:r>
          </w:p>
        </w:tc>
        <w:tc>
          <w:tcPr>
            <w:tcW w:w="4113" w:type="dxa"/>
            <w:vAlign w:val="center"/>
          </w:tcPr>
          <w:p w14:paraId="1EF9CB64">
            <w:pPr>
              <w:pStyle w:val="69"/>
              <w:rPr>
                <w:color w:val="auto"/>
              </w:rPr>
            </w:pPr>
            <w:r>
              <w:rPr>
                <w:rFonts w:hint="eastAsia"/>
                <w:color w:val="auto"/>
              </w:rPr>
              <w:t>包括排污单位生产设施基本信息、污染防治设施基本信息。</w:t>
            </w:r>
          </w:p>
          <w:p w14:paraId="65EE6F21">
            <w:pPr>
              <w:pStyle w:val="69"/>
              <w:rPr>
                <w:color w:val="auto"/>
              </w:rPr>
            </w:pPr>
            <w:r>
              <w:rPr>
                <w:rFonts w:hint="eastAsia"/>
                <w:color w:val="auto"/>
              </w:rPr>
              <w:t>a）生产设施基本信息：主要技术参数及设计值等。</w:t>
            </w:r>
          </w:p>
          <w:p w14:paraId="644B77B0">
            <w:pPr>
              <w:pStyle w:val="69"/>
              <w:rPr>
                <w:color w:val="auto"/>
              </w:rPr>
            </w:pPr>
            <w:r>
              <w:rPr>
                <w:rFonts w:hint="eastAsia"/>
                <w:color w:val="auto"/>
              </w:rPr>
              <w:t>b）污染防治设施基本信息：主要技术参数及设计值；对于防渗漏、防泄漏等污染防治措施，还应记录落实情况及问题整改情况等。</w:t>
            </w:r>
          </w:p>
        </w:tc>
        <w:tc>
          <w:tcPr>
            <w:tcW w:w="2295" w:type="dxa"/>
            <w:vAlign w:val="center"/>
          </w:tcPr>
          <w:p w14:paraId="1DF43005">
            <w:pPr>
              <w:pStyle w:val="69"/>
              <w:rPr>
                <w:color w:val="auto"/>
              </w:rPr>
            </w:pPr>
            <w:r>
              <w:rPr>
                <w:rFonts w:hint="eastAsia"/>
                <w:color w:val="auto"/>
              </w:rPr>
              <w:t>对于未发生变化的基本信息，按年记录，1 次/年；对于发生变化的基本信息，在发生变化时记录1 次。</w:t>
            </w:r>
          </w:p>
        </w:tc>
        <w:tc>
          <w:tcPr>
            <w:tcW w:w="825" w:type="dxa"/>
            <w:vAlign w:val="center"/>
          </w:tcPr>
          <w:p w14:paraId="1AF6DE94">
            <w:pPr>
              <w:pStyle w:val="69"/>
              <w:rPr>
                <w:color w:val="auto"/>
              </w:rPr>
            </w:pPr>
            <w:r>
              <w:rPr>
                <w:rFonts w:hint="eastAsia"/>
                <w:color w:val="auto"/>
              </w:rPr>
              <w:t>电子台账+纸质台账</w:t>
            </w:r>
          </w:p>
        </w:tc>
        <w:tc>
          <w:tcPr>
            <w:tcW w:w="1051" w:type="dxa"/>
            <w:vAlign w:val="center"/>
          </w:tcPr>
          <w:p w14:paraId="1129908C">
            <w:pPr>
              <w:pStyle w:val="69"/>
              <w:rPr>
                <w:color w:val="auto"/>
              </w:rPr>
            </w:pPr>
            <w:r>
              <w:rPr>
                <w:rFonts w:hint="eastAsia"/>
                <w:color w:val="auto"/>
              </w:rPr>
              <w:t>台账记录保存不少于三年</w:t>
            </w:r>
          </w:p>
        </w:tc>
      </w:tr>
      <w:tr w14:paraId="3961C5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7" w:type="dxa"/>
            <w:vAlign w:val="center"/>
          </w:tcPr>
          <w:p w14:paraId="16FC5B3A">
            <w:pPr>
              <w:pStyle w:val="69"/>
              <w:rPr>
                <w:color w:val="auto"/>
              </w:rPr>
            </w:pPr>
            <w:r>
              <w:rPr>
                <w:rFonts w:hint="eastAsia"/>
                <w:color w:val="auto"/>
              </w:rPr>
              <w:t>生产设施运行管理信息</w:t>
            </w:r>
          </w:p>
        </w:tc>
        <w:tc>
          <w:tcPr>
            <w:tcW w:w="4113" w:type="dxa"/>
            <w:vAlign w:val="center"/>
          </w:tcPr>
          <w:p w14:paraId="0E71A58F">
            <w:pPr>
              <w:pStyle w:val="69"/>
              <w:rPr>
                <w:color w:val="auto"/>
              </w:rPr>
            </w:pPr>
            <w:r>
              <w:rPr>
                <w:rFonts w:hint="eastAsia"/>
                <w:color w:val="auto"/>
              </w:rPr>
              <w:t>包括主体工程、公用工程、辅助工程、储运工程等单元的生产设施运行管理信息。</w:t>
            </w:r>
          </w:p>
          <w:p w14:paraId="4D458C20">
            <w:pPr>
              <w:pStyle w:val="69"/>
              <w:rPr>
                <w:color w:val="auto"/>
              </w:rPr>
            </w:pPr>
            <w:r>
              <w:rPr>
                <w:rFonts w:hint="eastAsia"/>
                <w:color w:val="auto"/>
              </w:rPr>
              <w:t>a）正常工况：运行状态、生产负荷、主要产品产量、原辅料及燃料等。</w:t>
            </w:r>
          </w:p>
          <w:p w14:paraId="73980688">
            <w:pPr>
              <w:pStyle w:val="69"/>
              <w:rPr>
                <w:color w:val="auto"/>
              </w:rPr>
            </w:pPr>
            <w:r>
              <w:rPr>
                <w:rFonts w:hint="eastAsia"/>
                <w:color w:val="auto"/>
              </w:rPr>
              <w:t>1）运行状态：是否正常运行主要参数名称及数值。</w:t>
            </w:r>
          </w:p>
          <w:p w14:paraId="20CFF70E">
            <w:pPr>
              <w:pStyle w:val="69"/>
              <w:rPr>
                <w:color w:val="auto"/>
              </w:rPr>
            </w:pPr>
            <w:r>
              <w:rPr>
                <w:rFonts w:hint="eastAsia"/>
                <w:color w:val="auto"/>
              </w:rPr>
              <w:t>2）生产负荷：主要产品产量与设计生产能力之比。</w:t>
            </w:r>
          </w:p>
          <w:p w14:paraId="4883F6F8">
            <w:pPr>
              <w:pStyle w:val="69"/>
              <w:rPr>
                <w:color w:val="auto"/>
              </w:rPr>
            </w:pPr>
            <w:r>
              <w:rPr>
                <w:rFonts w:hint="eastAsia"/>
                <w:color w:val="auto"/>
              </w:rPr>
              <w:t>3）主要产品产量：名称、产量。</w:t>
            </w:r>
          </w:p>
          <w:p w14:paraId="11BC1671">
            <w:pPr>
              <w:pStyle w:val="69"/>
              <w:rPr>
                <w:color w:val="auto"/>
              </w:rPr>
            </w:pPr>
            <w:r>
              <w:rPr>
                <w:rFonts w:hint="eastAsia"/>
                <w:color w:val="auto"/>
              </w:rPr>
              <w:t>4）原辅料：名称、用量、硫元素占比、有毒有害物质及成分占比（如有）。</w:t>
            </w:r>
          </w:p>
          <w:p w14:paraId="023D3CD1">
            <w:pPr>
              <w:pStyle w:val="69"/>
              <w:rPr>
                <w:color w:val="auto"/>
              </w:rPr>
            </w:pPr>
            <w:r>
              <w:rPr>
                <w:rFonts w:hint="eastAsia"/>
                <w:color w:val="auto"/>
              </w:rPr>
              <w:t>5）燃料：名称、用量、硫元素占比、热值等。</w:t>
            </w:r>
          </w:p>
          <w:p w14:paraId="1AD691E7">
            <w:pPr>
              <w:pStyle w:val="69"/>
              <w:rPr>
                <w:color w:val="auto"/>
              </w:rPr>
            </w:pPr>
            <w:r>
              <w:rPr>
                <w:rFonts w:hint="eastAsia"/>
                <w:color w:val="auto"/>
              </w:rPr>
              <w:t>6）其他：用电量等。</w:t>
            </w:r>
          </w:p>
          <w:p w14:paraId="537D6074">
            <w:pPr>
              <w:pStyle w:val="69"/>
              <w:rPr>
                <w:color w:val="auto"/>
              </w:rPr>
            </w:pPr>
            <w:r>
              <w:rPr>
                <w:rFonts w:hint="eastAsia"/>
                <w:color w:val="auto"/>
              </w:rPr>
              <w:t>b）非正常工况：起止时间、产品产量、原辅料及燃料消耗量、事件原因、应对措施、</w:t>
            </w:r>
          </w:p>
          <w:p w14:paraId="3D5AACD9">
            <w:pPr>
              <w:pStyle w:val="69"/>
              <w:rPr>
                <w:color w:val="auto"/>
              </w:rPr>
            </w:pPr>
            <w:r>
              <w:rPr>
                <w:rFonts w:hint="eastAsia"/>
                <w:color w:val="auto"/>
              </w:rPr>
              <w:t>是否报告等。</w:t>
            </w:r>
          </w:p>
          <w:p w14:paraId="53879FF3">
            <w:pPr>
              <w:pStyle w:val="69"/>
              <w:rPr>
                <w:color w:val="auto"/>
              </w:rPr>
            </w:pPr>
            <w:r>
              <w:rPr>
                <w:rFonts w:hint="eastAsia"/>
                <w:color w:val="auto"/>
              </w:rPr>
              <w:t>对于无实际产品、燃料消耗、非正常工况的辅助工程及储运工程的相关生产设施，仅记录正常工况下的运行状态和生产负荷信息。</w:t>
            </w:r>
          </w:p>
        </w:tc>
        <w:tc>
          <w:tcPr>
            <w:tcW w:w="2295" w:type="dxa"/>
            <w:vAlign w:val="center"/>
          </w:tcPr>
          <w:p w14:paraId="389EB572">
            <w:pPr>
              <w:pStyle w:val="69"/>
              <w:rPr>
                <w:color w:val="auto"/>
              </w:rPr>
            </w:pPr>
            <w:r>
              <w:rPr>
                <w:rFonts w:hint="eastAsia"/>
                <w:color w:val="auto"/>
              </w:rPr>
              <w:t>a）正常工况：</w:t>
            </w:r>
          </w:p>
          <w:p w14:paraId="41A34FFD">
            <w:pPr>
              <w:pStyle w:val="69"/>
              <w:rPr>
                <w:color w:val="auto"/>
              </w:rPr>
            </w:pPr>
            <w:r>
              <w:rPr>
                <w:rFonts w:hint="eastAsia"/>
                <w:color w:val="auto"/>
              </w:rPr>
              <w:t>1）运行状态：一般按日或批次记录，1 次/日或批次。</w:t>
            </w:r>
          </w:p>
          <w:p w14:paraId="7B5F731D">
            <w:pPr>
              <w:pStyle w:val="69"/>
              <w:rPr>
                <w:color w:val="auto"/>
              </w:rPr>
            </w:pPr>
            <w:r>
              <w:rPr>
                <w:rFonts w:hint="eastAsia"/>
                <w:color w:val="auto"/>
              </w:rPr>
              <w:t>2）生产负荷：一般按日或批次记录，1 次/日或批次。</w:t>
            </w:r>
          </w:p>
          <w:p w14:paraId="6BDC06F1">
            <w:pPr>
              <w:pStyle w:val="69"/>
              <w:rPr>
                <w:color w:val="auto"/>
              </w:rPr>
            </w:pPr>
            <w:r>
              <w:rPr>
                <w:rFonts w:hint="eastAsia"/>
                <w:color w:val="auto"/>
              </w:rPr>
              <w:t>3）产品产量：连续生产的，按日记录，1 次/日。非连续生产的，按照生产周期记录，</w:t>
            </w:r>
          </w:p>
          <w:p w14:paraId="5BE53C7E">
            <w:pPr>
              <w:pStyle w:val="69"/>
              <w:rPr>
                <w:color w:val="auto"/>
              </w:rPr>
            </w:pPr>
            <w:r>
              <w:rPr>
                <w:rFonts w:hint="eastAsia"/>
                <w:color w:val="auto"/>
              </w:rPr>
              <w:t>1 次/周期；周期小于1 天的，按日记录，1 次/日。</w:t>
            </w:r>
          </w:p>
          <w:p w14:paraId="79054044">
            <w:pPr>
              <w:pStyle w:val="69"/>
              <w:rPr>
                <w:color w:val="auto"/>
              </w:rPr>
            </w:pPr>
            <w:r>
              <w:rPr>
                <w:rFonts w:hint="eastAsia"/>
                <w:color w:val="auto"/>
              </w:rPr>
              <w:t>4）原辅料：按照采购批次记录，1 次/批。</w:t>
            </w:r>
          </w:p>
          <w:p w14:paraId="78F53E6E">
            <w:pPr>
              <w:pStyle w:val="69"/>
              <w:rPr>
                <w:color w:val="auto"/>
              </w:rPr>
            </w:pPr>
            <w:r>
              <w:rPr>
                <w:rFonts w:hint="eastAsia"/>
                <w:color w:val="auto"/>
              </w:rPr>
              <w:t>5）燃料：按照采购批次记录，1 次/批。</w:t>
            </w:r>
          </w:p>
          <w:p w14:paraId="531C56D1">
            <w:pPr>
              <w:pStyle w:val="69"/>
              <w:rPr>
                <w:color w:val="auto"/>
              </w:rPr>
            </w:pPr>
            <w:r>
              <w:rPr>
                <w:rFonts w:hint="eastAsia"/>
                <w:color w:val="auto"/>
              </w:rPr>
              <w:t>b）非正常工况：按照工况期记录，1 次/工况期。</w:t>
            </w:r>
          </w:p>
        </w:tc>
        <w:tc>
          <w:tcPr>
            <w:tcW w:w="825" w:type="dxa"/>
            <w:vAlign w:val="center"/>
          </w:tcPr>
          <w:p w14:paraId="0A26B50B">
            <w:pPr>
              <w:pStyle w:val="69"/>
              <w:rPr>
                <w:color w:val="auto"/>
              </w:rPr>
            </w:pPr>
            <w:r>
              <w:rPr>
                <w:rFonts w:hint="eastAsia"/>
                <w:color w:val="auto"/>
              </w:rPr>
              <w:t>电子台账+纸质台账</w:t>
            </w:r>
          </w:p>
        </w:tc>
        <w:tc>
          <w:tcPr>
            <w:tcW w:w="1051" w:type="dxa"/>
            <w:vAlign w:val="center"/>
          </w:tcPr>
          <w:p w14:paraId="37A29F22">
            <w:pPr>
              <w:pStyle w:val="69"/>
              <w:rPr>
                <w:color w:val="auto"/>
              </w:rPr>
            </w:pPr>
            <w:r>
              <w:rPr>
                <w:rFonts w:hint="eastAsia"/>
                <w:color w:val="auto"/>
              </w:rPr>
              <w:t>台账记录保存不少于三年</w:t>
            </w:r>
          </w:p>
        </w:tc>
      </w:tr>
      <w:tr w14:paraId="1B9E6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7" w:type="dxa"/>
            <w:vAlign w:val="center"/>
          </w:tcPr>
          <w:p w14:paraId="70C9AA8C">
            <w:pPr>
              <w:pStyle w:val="69"/>
              <w:rPr>
                <w:color w:val="auto"/>
              </w:rPr>
            </w:pPr>
            <w:r>
              <w:rPr>
                <w:rFonts w:hint="eastAsia"/>
                <w:color w:val="auto"/>
              </w:rPr>
              <w:t>污染防治设施运行管理信息</w:t>
            </w:r>
          </w:p>
        </w:tc>
        <w:tc>
          <w:tcPr>
            <w:tcW w:w="4113" w:type="dxa"/>
            <w:vAlign w:val="center"/>
          </w:tcPr>
          <w:p w14:paraId="0565CBFD">
            <w:pPr>
              <w:pStyle w:val="69"/>
              <w:rPr>
                <w:color w:val="auto"/>
              </w:rPr>
            </w:pPr>
            <w:r>
              <w:rPr>
                <w:rFonts w:hint="eastAsia"/>
                <w:color w:val="auto"/>
              </w:rPr>
              <w:t>a）正常情况：运行情况、主要药剂添加情况等。</w:t>
            </w:r>
          </w:p>
          <w:p w14:paraId="5481995D">
            <w:pPr>
              <w:pStyle w:val="69"/>
              <w:rPr>
                <w:color w:val="auto"/>
              </w:rPr>
            </w:pPr>
            <w:r>
              <w:rPr>
                <w:rFonts w:hint="eastAsia"/>
                <w:color w:val="auto"/>
              </w:rPr>
              <w:t>1）运行情况：是否正常运行；治理效率、副产物产生量等。</w:t>
            </w:r>
          </w:p>
          <w:p w14:paraId="6CB6E975">
            <w:pPr>
              <w:pStyle w:val="69"/>
              <w:rPr>
                <w:color w:val="auto"/>
              </w:rPr>
            </w:pPr>
            <w:r>
              <w:rPr>
                <w:rFonts w:hint="eastAsia"/>
                <w:color w:val="auto"/>
              </w:rPr>
              <w:t>2）主要药剂（吸附剂）添加情况：添加（更换）时间、添加量等。</w:t>
            </w:r>
          </w:p>
          <w:p w14:paraId="0673E0E0">
            <w:pPr>
              <w:pStyle w:val="69"/>
              <w:rPr>
                <w:color w:val="auto"/>
              </w:rPr>
            </w:pPr>
            <w:r>
              <w:rPr>
                <w:rFonts w:hint="eastAsia"/>
                <w:color w:val="auto"/>
              </w:rPr>
              <w:t>3）涉及DCS 系统的，还应记录DCS 曲线图。DCS 曲线图应按不同污染物分别记录，至少包括烟气量、污染物进出口浓度等。</w:t>
            </w:r>
          </w:p>
          <w:p w14:paraId="457235AA">
            <w:pPr>
              <w:pStyle w:val="69"/>
              <w:rPr>
                <w:color w:val="auto"/>
              </w:rPr>
            </w:pPr>
            <w:r>
              <w:rPr>
                <w:rFonts w:hint="eastAsia"/>
                <w:color w:val="auto"/>
              </w:rPr>
              <w:t>b）异常情况：起止时间、污染物排放浓度、异常原因、应对措施、是否报告等。</w:t>
            </w:r>
          </w:p>
        </w:tc>
        <w:tc>
          <w:tcPr>
            <w:tcW w:w="2295" w:type="dxa"/>
            <w:vAlign w:val="center"/>
          </w:tcPr>
          <w:p w14:paraId="3238F054">
            <w:pPr>
              <w:pStyle w:val="69"/>
              <w:rPr>
                <w:color w:val="auto"/>
              </w:rPr>
            </w:pPr>
            <w:r>
              <w:rPr>
                <w:rFonts w:hint="eastAsia"/>
                <w:color w:val="auto"/>
              </w:rPr>
              <w:t>a）正常情况：</w:t>
            </w:r>
          </w:p>
          <w:p w14:paraId="5B5B5B7F">
            <w:pPr>
              <w:pStyle w:val="69"/>
              <w:rPr>
                <w:color w:val="auto"/>
              </w:rPr>
            </w:pPr>
            <w:r>
              <w:rPr>
                <w:rFonts w:hint="eastAsia"/>
                <w:color w:val="auto"/>
              </w:rPr>
              <w:t>1）运行情况：按日记录，1 次/日。</w:t>
            </w:r>
          </w:p>
          <w:p w14:paraId="48EBD376">
            <w:pPr>
              <w:pStyle w:val="69"/>
              <w:rPr>
                <w:color w:val="auto"/>
              </w:rPr>
            </w:pPr>
            <w:r>
              <w:rPr>
                <w:rFonts w:hint="eastAsia"/>
                <w:color w:val="auto"/>
              </w:rPr>
              <w:t>2）主要药剂添加情况：按日或批次记录，1 次/日或批次。</w:t>
            </w:r>
          </w:p>
          <w:p w14:paraId="3A15170E">
            <w:pPr>
              <w:pStyle w:val="69"/>
              <w:rPr>
                <w:color w:val="auto"/>
              </w:rPr>
            </w:pPr>
            <w:r>
              <w:rPr>
                <w:rFonts w:hint="eastAsia"/>
                <w:color w:val="auto"/>
              </w:rPr>
              <w:t>b）异常情况：按照异常情况期记录，1 次/异常情况期。</w:t>
            </w:r>
          </w:p>
        </w:tc>
        <w:tc>
          <w:tcPr>
            <w:tcW w:w="825" w:type="dxa"/>
            <w:vAlign w:val="center"/>
          </w:tcPr>
          <w:p w14:paraId="34DB9AA4">
            <w:pPr>
              <w:pStyle w:val="69"/>
              <w:rPr>
                <w:color w:val="auto"/>
              </w:rPr>
            </w:pPr>
            <w:r>
              <w:rPr>
                <w:rFonts w:hint="eastAsia"/>
                <w:color w:val="auto"/>
              </w:rPr>
              <w:t>电子台账+纸质台账</w:t>
            </w:r>
          </w:p>
        </w:tc>
        <w:tc>
          <w:tcPr>
            <w:tcW w:w="1051" w:type="dxa"/>
            <w:vAlign w:val="center"/>
          </w:tcPr>
          <w:p w14:paraId="23D289E2">
            <w:pPr>
              <w:pStyle w:val="69"/>
              <w:rPr>
                <w:color w:val="auto"/>
              </w:rPr>
            </w:pPr>
            <w:r>
              <w:rPr>
                <w:rFonts w:hint="eastAsia"/>
                <w:color w:val="auto"/>
              </w:rPr>
              <w:t>台账记录保存不少于三年</w:t>
            </w:r>
          </w:p>
        </w:tc>
      </w:tr>
      <w:tr w14:paraId="05620C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7" w:type="dxa"/>
            <w:vAlign w:val="center"/>
          </w:tcPr>
          <w:p w14:paraId="142263FC">
            <w:pPr>
              <w:pStyle w:val="69"/>
              <w:rPr>
                <w:color w:val="auto"/>
              </w:rPr>
            </w:pPr>
            <w:r>
              <w:rPr>
                <w:rFonts w:hint="eastAsia"/>
                <w:color w:val="auto"/>
              </w:rPr>
              <w:t>监测记录信息</w:t>
            </w:r>
          </w:p>
        </w:tc>
        <w:tc>
          <w:tcPr>
            <w:tcW w:w="4113" w:type="dxa"/>
            <w:vAlign w:val="center"/>
          </w:tcPr>
          <w:p w14:paraId="5DF0803A">
            <w:pPr>
              <w:pStyle w:val="69"/>
              <w:rPr>
                <w:color w:val="auto"/>
              </w:rPr>
            </w:pPr>
            <w:r>
              <w:rPr>
                <w:rFonts w:hint="eastAsia"/>
                <w:color w:val="auto"/>
              </w:rPr>
              <w:t>按照HJ 819 及自行监测要求进行，包括采样日期、采样时间、采样点位、混合取样的样品数量、采样器名称、样品保存方式、样品传输交接记录、分析日期、样品处理方式、分析方法、质控措施、分析结果、分析人姓名等。</w:t>
            </w:r>
          </w:p>
        </w:tc>
        <w:tc>
          <w:tcPr>
            <w:tcW w:w="2295" w:type="dxa"/>
            <w:vAlign w:val="center"/>
          </w:tcPr>
          <w:p w14:paraId="363CDD26">
            <w:pPr>
              <w:pStyle w:val="69"/>
              <w:rPr>
                <w:color w:val="auto"/>
              </w:rPr>
            </w:pPr>
            <w:r>
              <w:rPr>
                <w:rFonts w:hint="eastAsia"/>
                <w:color w:val="auto"/>
              </w:rPr>
              <w:t>与监测频次一致</w:t>
            </w:r>
          </w:p>
        </w:tc>
        <w:tc>
          <w:tcPr>
            <w:tcW w:w="825" w:type="dxa"/>
            <w:vAlign w:val="center"/>
          </w:tcPr>
          <w:p w14:paraId="320665C2">
            <w:pPr>
              <w:pStyle w:val="69"/>
              <w:rPr>
                <w:color w:val="auto"/>
              </w:rPr>
            </w:pPr>
            <w:r>
              <w:rPr>
                <w:rFonts w:hint="eastAsia"/>
                <w:color w:val="auto"/>
              </w:rPr>
              <w:t>电子台账+纸质台账</w:t>
            </w:r>
          </w:p>
        </w:tc>
        <w:tc>
          <w:tcPr>
            <w:tcW w:w="1051" w:type="dxa"/>
            <w:vAlign w:val="center"/>
          </w:tcPr>
          <w:p w14:paraId="378FC227">
            <w:pPr>
              <w:pStyle w:val="69"/>
              <w:rPr>
                <w:color w:val="auto"/>
              </w:rPr>
            </w:pPr>
            <w:r>
              <w:rPr>
                <w:rFonts w:hint="eastAsia"/>
                <w:color w:val="auto"/>
              </w:rPr>
              <w:t>台账记录保存不少于三年</w:t>
            </w:r>
          </w:p>
        </w:tc>
      </w:tr>
      <w:tr w14:paraId="110FBE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7" w:type="dxa"/>
            <w:vAlign w:val="center"/>
          </w:tcPr>
          <w:p w14:paraId="4600FB08">
            <w:pPr>
              <w:pStyle w:val="69"/>
              <w:rPr>
                <w:color w:val="auto"/>
              </w:rPr>
            </w:pPr>
            <w:r>
              <w:rPr>
                <w:rFonts w:hint="eastAsia"/>
                <w:color w:val="auto"/>
              </w:rPr>
              <w:t>其他环境管理信息</w:t>
            </w:r>
          </w:p>
        </w:tc>
        <w:tc>
          <w:tcPr>
            <w:tcW w:w="4113" w:type="dxa"/>
            <w:vAlign w:val="center"/>
          </w:tcPr>
          <w:p w14:paraId="4A2DD43E">
            <w:pPr>
              <w:pStyle w:val="69"/>
              <w:rPr>
                <w:color w:val="auto"/>
              </w:rPr>
            </w:pPr>
            <w:r>
              <w:rPr>
                <w:rFonts w:hint="eastAsia"/>
                <w:color w:val="auto"/>
              </w:rPr>
              <w:t>无组织废气污染防治措施管理维护信息：管理维护时间及主要内容等。</w:t>
            </w:r>
          </w:p>
          <w:p w14:paraId="20670F0E">
            <w:pPr>
              <w:pStyle w:val="69"/>
              <w:rPr>
                <w:color w:val="auto"/>
              </w:rPr>
            </w:pPr>
            <w:r>
              <w:rPr>
                <w:rFonts w:hint="eastAsia"/>
                <w:color w:val="auto"/>
              </w:rPr>
              <w:t>特殊时段环境管理信息：具体管理要求及其执行情况。</w:t>
            </w:r>
          </w:p>
          <w:p w14:paraId="6412EC49">
            <w:pPr>
              <w:pStyle w:val="69"/>
              <w:rPr>
                <w:color w:val="auto"/>
              </w:rPr>
            </w:pPr>
            <w:r>
              <w:rPr>
                <w:rFonts w:hint="eastAsia"/>
                <w:color w:val="auto"/>
              </w:rPr>
              <w:t>其他信息：法律法规、标准规范确定的其他信息，企业自主记录的环境管理信息。</w:t>
            </w:r>
          </w:p>
        </w:tc>
        <w:tc>
          <w:tcPr>
            <w:tcW w:w="2295" w:type="dxa"/>
            <w:vAlign w:val="center"/>
          </w:tcPr>
          <w:p w14:paraId="28B725E7">
            <w:pPr>
              <w:pStyle w:val="69"/>
              <w:rPr>
                <w:color w:val="auto"/>
              </w:rPr>
            </w:pPr>
            <w:r>
              <w:rPr>
                <w:rFonts w:hint="eastAsia"/>
                <w:color w:val="auto"/>
              </w:rPr>
              <w:t>废气无组织污染防治措施管理信息：按日记录，1 次/日。</w:t>
            </w:r>
          </w:p>
          <w:p w14:paraId="2178ACC5">
            <w:pPr>
              <w:pStyle w:val="69"/>
              <w:rPr>
                <w:color w:val="auto"/>
              </w:rPr>
            </w:pPr>
            <w:r>
              <w:rPr>
                <w:rFonts w:hint="eastAsia"/>
                <w:color w:val="auto"/>
              </w:rPr>
              <w:t>特殊时段环境管理信息：按照规定频次记录；对于停产或错峰生产的，原则</w:t>
            </w:r>
          </w:p>
          <w:p w14:paraId="0519BB14">
            <w:pPr>
              <w:pStyle w:val="69"/>
              <w:rPr>
                <w:color w:val="auto"/>
              </w:rPr>
            </w:pPr>
            <w:r>
              <w:rPr>
                <w:rFonts w:hint="eastAsia"/>
                <w:color w:val="auto"/>
              </w:rPr>
              <w:t>上仅对停产或错峰生产的起止日期各记录1 次。</w:t>
            </w:r>
          </w:p>
          <w:p w14:paraId="1872E91C">
            <w:pPr>
              <w:pStyle w:val="69"/>
              <w:rPr>
                <w:color w:val="auto"/>
              </w:rPr>
            </w:pPr>
            <w:r>
              <w:rPr>
                <w:rFonts w:hint="eastAsia"/>
                <w:color w:val="auto"/>
              </w:rPr>
              <w:t>其他信息：依据法律法规、标准规范或实际生产运行规律等确定记录频次。</w:t>
            </w:r>
          </w:p>
        </w:tc>
        <w:tc>
          <w:tcPr>
            <w:tcW w:w="825" w:type="dxa"/>
            <w:vAlign w:val="center"/>
          </w:tcPr>
          <w:p w14:paraId="2F94640F">
            <w:pPr>
              <w:pStyle w:val="69"/>
              <w:rPr>
                <w:color w:val="auto"/>
              </w:rPr>
            </w:pPr>
            <w:r>
              <w:rPr>
                <w:rFonts w:hint="eastAsia"/>
                <w:color w:val="auto"/>
              </w:rPr>
              <w:t>电子台账+纸质台账</w:t>
            </w:r>
          </w:p>
        </w:tc>
        <w:tc>
          <w:tcPr>
            <w:tcW w:w="1051" w:type="dxa"/>
            <w:vAlign w:val="center"/>
          </w:tcPr>
          <w:p w14:paraId="6881CEAF">
            <w:pPr>
              <w:pStyle w:val="69"/>
              <w:rPr>
                <w:color w:val="auto"/>
              </w:rPr>
            </w:pPr>
            <w:r>
              <w:rPr>
                <w:rFonts w:hint="eastAsia"/>
                <w:color w:val="auto"/>
              </w:rPr>
              <w:t>台账记录保存不少于三年</w:t>
            </w:r>
          </w:p>
        </w:tc>
      </w:tr>
    </w:tbl>
    <w:p w14:paraId="6E2F067F">
      <w:pPr>
        <w:pStyle w:val="62"/>
        <w:rPr>
          <w:color w:val="auto"/>
        </w:rPr>
      </w:pPr>
    </w:p>
    <w:p w14:paraId="2260FBF3">
      <w:pPr>
        <w:pStyle w:val="62"/>
        <w:rPr>
          <w:color w:val="auto"/>
        </w:rPr>
      </w:pPr>
      <w:r>
        <w:rPr>
          <w:rFonts w:hint="eastAsia"/>
          <w:color w:val="auto"/>
          <w:lang w:eastAsia="zh-CN"/>
        </w:rPr>
        <w:t>表</w:t>
      </w:r>
      <w:r>
        <w:rPr>
          <w:rFonts w:hint="eastAsia"/>
          <w:color w:val="auto"/>
          <w:lang w:val="en-US" w:eastAsia="zh-CN"/>
        </w:rPr>
        <w:t>6</w:t>
      </w:r>
      <w:r>
        <w:rPr>
          <w:rFonts w:hint="eastAsia"/>
          <w:color w:val="auto"/>
        </w:rPr>
        <w:t>.</w:t>
      </w:r>
      <w:r>
        <w:rPr>
          <w:rFonts w:hint="eastAsia"/>
          <w:color w:val="auto"/>
          <w:lang w:val="en-US" w:eastAsia="zh-CN"/>
        </w:rPr>
        <w:t>2</w:t>
      </w:r>
      <w:r>
        <w:rPr>
          <w:rFonts w:hint="eastAsia"/>
          <w:color w:val="auto"/>
        </w:rPr>
        <w:t>-2  污染治理设施运行情况记录表</w:t>
      </w:r>
    </w:p>
    <w:tbl>
      <w:tblPr>
        <w:tblStyle w:val="38"/>
        <w:tblW w:w="9282" w:type="dxa"/>
        <w:tblInd w:w="0" w:type="dxa"/>
        <w:tblLayout w:type="fixed"/>
        <w:tblCellMar>
          <w:top w:w="0" w:type="dxa"/>
          <w:left w:w="108" w:type="dxa"/>
          <w:bottom w:w="0" w:type="dxa"/>
          <w:right w:w="108" w:type="dxa"/>
        </w:tblCellMar>
      </w:tblPr>
      <w:tblGrid>
        <w:gridCol w:w="426"/>
        <w:gridCol w:w="508"/>
        <w:gridCol w:w="504"/>
        <w:gridCol w:w="502"/>
        <w:gridCol w:w="502"/>
        <w:gridCol w:w="418"/>
        <w:gridCol w:w="420"/>
        <w:gridCol w:w="422"/>
        <w:gridCol w:w="502"/>
        <w:gridCol w:w="502"/>
        <w:gridCol w:w="426"/>
        <w:gridCol w:w="625"/>
        <w:gridCol w:w="846"/>
        <w:gridCol w:w="846"/>
        <w:gridCol w:w="610"/>
        <w:gridCol w:w="668"/>
        <w:gridCol w:w="555"/>
      </w:tblGrid>
      <w:tr w14:paraId="1D497A5C">
        <w:tblPrEx>
          <w:tblCellMar>
            <w:top w:w="0" w:type="dxa"/>
            <w:left w:w="108" w:type="dxa"/>
            <w:bottom w:w="0" w:type="dxa"/>
            <w:right w:w="108" w:type="dxa"/>
          </w:tblCellMar>
        </w:tblPrEx>
        <w:trPr>
          <w:trHeight w:val="397" w:hRule="atLeast"/>
        </w:trPr>
        <w:tc>
          <w:tcPr>
            <w:tcW w:w="426" w:type="dxa"/>
            <w:vMerge w:val="restart"/>
            <w:tcBorders>
              <w:top w:val="single" w:color="auto" w:sz="12" w:space="0"/>
              <w:left w:val="nil"/>
              <w:bottom w:val="single" w:color="auto" w:sz="4" w:space="0"/>
              <w:right w:val="single" w:color="auto" w:sz="4" w:space="0"/>
            </w:tcBorders>
            <w:vAlign w:val="center"/>
          </w:tcPr>
          <w:p w14:paraId="535D450E">
            <w:pPr>
              <w:pStyle w:val="59"/>
              <w:rPr>
                <w:color w:val="auto"/>
              </w:rPr>
            </w:pPr>
            <w:r>
              <w:rPr>
                <w:rFonts w:hint="eastAsia"/>
                <w:color w:val="auto"/>
              </w:rPr>
              <w:t>日期</w:t>
            </w:r>
          </w:p>
        </w:tc>
        <w:tc>
          <w:tcPr>
            <w:tcW w:w="1012" w:type="dxa"/>
            <w:gridSpan w:val="2"/>
            <w:tcBorders>
              <w:top w:val="single" w:color="auto" w:sz="12" w:space="0"/>
              <w:left w:val="single" w:color="auto" w:sz="4" w:space="0"/>
              <w:bottom w:val="single" w:color="auto" w:sz="4" w:space="0"/>
              <w:right w:val="single" w:color="auto" w:sz="4" w:space="0"/>
            </w:tcBorders>
            <w:vAlign w:val="center"/>
          </w:tcPr>
          <w:p w14:paraId="63B59081">
            <w:pPr>
              <w:pStyle w:val="59"/>
              <w:rPr>
                <w:color w:val="auto"/>
              </w:rPr>
            </w:pPr>
            <w:r>
              <w:rPr>
                <w:rFonts w:hint="eastAsia"/>
                <w:color w:val="auto"/>
              </w:rPr>
              <w:t>污水泵</w:t>
            </w:r>
          </w:p>
        </w:tc>
        <w:tc>
          <w:tcPr>
            <w:tcW w:w="1004" w:type="dxa"/>
            <w:gridSpan w:val="2"/>
            <w:tcBorders>
              <w:top w:val="single" w:color="auto" w:sz="12" w:space="0"/>
              <w:left w:val="single" w:color="auto" w:sz="4" w:space="0"/>
              <w:bottom w:val="single" w:color="auto" w:sz="4" w:space="0"/>
              <w:right w:val="single" w:color="auto" w:sz="4" w:space="0"/>
            </w:tcBorders>
            <w:vAlign w:val="center"/>
          </w:tcPr>
          <w:p w14:paraId="2E05AB2B">
            <w:pPr>
              <w:pStyle w:val="59"/>
              <w:rPr>
                <w:color w:val="auto"/>
              </w:rPr>
            </w:pPr>
            <w:r>
              <w:rPr>
                <w:rFonts w:hint="eastAsia"/>
                <w:color w:val="auto"/>
              </w:rPr>
              <w:t>鼓风机</w:t>
            </w:r>
          </w:p>
        </w:tc>
        <w:tc>
          <w:tcPr>
            <w:tcW w:w="1260" w:type="dxa"/>
            <w:gridSpan w:val="3"/>
            <w:tcBorders>
              <w:top w:val="single" w:color="auto" w:sz="12" w:space="0"/>
              <w:left w:val="single" w:color="auto" w:sz="4" w:space="0"/>
              <w:bottom w:val="single" w:color="auto" w:sz="4" w:space="0"/>
              <w:right w:val="single" w:color="auto" w:sz="4" w:space="0"/>
            </w:tcBorders>
            <w:vAlign w:val="center"/>
          </w:tcPr>
          <w:p w14:paraId="05208991">
            <w:pPr>
              <w:pStyle w:val="59"/>
              <w:rPr>
                <w:color w:val="auto"/>
              </w:rPr>
            </w:pPr>
            <w:r>
              <w:rPr>
                <w:rFonts w:hint="eastAsia"/>
                <w:color w:val="auto"/>
              </w:rPr>
              <w:t>加药量（kg）</w:t>
            </w:r>
          </w:p>
        </w:tc>
        <w:tc>
          <w:tcPr>
            <w:tcW w:w="1430" w:type="dxa"/>
            <w:gridSpan w:val="3"/>
            <w:tcBorders>
              <w:top w:val="single" w:color="auto" w:sz="12" w:space="0"/>
              <w:left w:val="single" w:color="auto" w:sz="4" w:space="0"/>
              <w:bottom w:val="single" w:color="auto" w:sz="4" w:space="0"/>
              <w:right w:val="single" w:color="auto" w:sz="4" w:space="0"/>
            </w:tcBorders>
            <w:vAlign w:val="center"/>
          </w:tcPr>
          <w:p w14:paraId="579173E2">
            <w:pPr>
              <w:pStyle w:val="59"/>
              <w:rPr>
                <w:color w:val="auto"/>
              </w:rPr>
            </w:pPr>
            <w:r>
              <w:rPr>
                <w:rFonts w:hint="eastAsia"/>
                <w:color w:val="auto"/>
              </w:rPr>
              <w:t>当日结束读数(m</w:t>
            </w:r>
            <w:r>
              <w:rPr>
                <w:rFonts w:hint="eastAsia"/>
                <w:color w:val="auto"/>
                <w:vertAlign w:val="superscript"/>
              </w:rPr>
              <w:t>3</w:t>
            </w:r>
            <w:r>
              <w:rPr>
                <w:rFonts w:hint="eastAsia"/>
                <w:color w:val="auto"/>
              </w:rPr>
              <w:t>/度)</w:t>
            </w:r>
          </w:p>
        </w:tc>
        <w:tc>
          <w:tcPr>
            <w:tcW w:w="625" w:type="dxa"/>
            <w:vMerge w:val="restart"/>
            <w:tcBorders>
              <w:top w:val="single" w:color="auto" w:sz="12" w:space="0"/>
              <w:left w:val="single" w:color="auto" w:sz="4" w:space="0"/>
              <w:bottom w:val="single" w:color="auto" w:sz="4" w:space="0"/>
              <w:right w:val="single" w:color="auto" w:sz="4" w:space="0"/>
            </w:tcBorders>
            <w:vAlign w:val="center"/>
          </w:tcPr>
          <w:p w14:paraId="2066969B">
            <w:pPr>
              <w:pStyle w:val="59"/>
              <w:rPr>
                <w:color w:val="auto"/>
              </w:rPr>
            </w:pPr>
            <w:r>
              <w:rPr>
                <w:rFonts w:hint="eastAsia"/>
                <w:color w:val="auto"/>
              </w:rPr>
              <w:t>废水处理量(m3)</w:t>
            </w:r>
          </w:p>
        </w:tc>
        <w:tc>
          <w:tcPr>
            <w:tcW w:w="1692" w:type="dxa"/>
            <w:gridSpan w:val="2"/>
            <w:tcBorders>
              <w:top w:val="single" w:color="auto" w:sz="12" w:space="0"/>
              <w:left w:val="single" w:color="auto" w:sz="4" w:space="0"/>
              <w:bottom w:val="single" w:color="auto" w:sz="4" w:space="0"/>
              <w:right w:val="single" w:color="auto" w:sz="4" w:space="0"/>
            </w:tcBorders>
            <w:vAlign w:val="center"/>
          </w:tcPr>
          <w:p w14:paraId="5D550DE9">
            <w:pPr>
              <w:pStyle w:val="59"/>
              <w:rPr>
                <w:color w:val="auto"/>
              </w:rPr>
            </w:pPr>
            <w:r>
              <w:rPr>
                <w:rFonts w:hint="eastAsia"/>
                <w:color w:val="auto"/>
              </w:rPr>
              <w:t>污泥量</w:t>
            </w:r>
          </w:p>
        </w:tc>
        <w:tc>
          <w:tcPr>
            <w:tcW w:w="1278" w:type="dxa"/>
            <w:gridSpan w:val="2"/>
            <w:tcBorders>
              <w:top w:val="single" w:color="auto" w:sz="12" w:space="0"/>
              <w:left w:val="single" w:color="auto" w:sz="4" w:space="0"/>
              <w:bottom w:val="single" w:color="auto" w:sz="4" w:space="0"/>
              <w:right w:val="single" w:color="auto" w:sz="4" w:space="0"/>
            </w:tcBorders>
            <w:vAlign w:val="center"/>
          </w:tcPr>
          <w:p w14:paraId="4319ABF9">
            <w:pPr>
              <w:pStyle w:val="59"/>
              <w:rPr>
                <w:color w:val="auto"/>
              </w:rPr>
            </w:pPr>
            <w:r>
              <w:rPr>
                <w:rFonts w:hint="eastAsia"/>
                <w:color w:val="auto"/>
              </w:rPr>
              <w:t>值班人员签名</w:t>
            </w:r>
          </w:p>
        </w:tc>
        <w:tc>
          <w:tcPr>
            <w:tcW w:w="555" w:type="dxa"/>
            <w:vMerge w:val="restart"/>
            <w:tcBorders>
              <w:top w:val="single" w:color="auto" w:sz="12" w:space="0"/>
              <w:left w:val="single" w:color="auto" w:sz="4" w:space="0"/>
              <w:bottom w:val="single" w:color="auto" w:sz="4" w:space="0"/>
              <w:right w:val="nil"/>
            </w:tcBorders>
            <w:vAlign w:val="center"/>
          </w:tcPr>
          <w:p w14:paraId="46D66724">
            <w:pPr>
              <w:pStyle w:val="59"/>
              <w:rPr>
                <w:color w:val="auto"/>
              </w:rPr>
            </w:pPr>
            <w:r>
              <w:rPr>
                <w:rFonts w:hint="eastAsia"/>
                <w:color w:val="auto"/>
              </w:rPr>
              <w:t>备注</w:t>
            </w:r>
          </w:p>
        </w:tc>
      </w:tr>
      <w:tr w14:paraId="73FD996C">
        <w:tblPrEx>
          <w:tblCellMar>
            <w:top w:w="0" w:type="dxa"/>
            <w:left w:w="108" w:type="dxa"/>
            <w:bottom w:w="0" w:type="dxa"/>
            <w:right w:w="108" w:type="dxa"/>
          </w:tblCellMar>
        </w:tblPrEx>
        <w:trPr>
          <w:trHeight w:val="397" w:hRule="atLeast"/>
        </w:trPr>
        <w:tc>
          <w:tcPr>
            <w:tcW w:w="426" w:type="dxa"/>
            <w:vMerge w:val="continue"/>
            <w:tcBorders>
              <w:top w:val="single" w:color="auto" w:sz="4" w:space="0"/>
              <w:left w:val="nil"/>
              <w:bottom w:val="single" w:color="auto" w:sz="4" w:space="0"/>
              <w:right w:val="single" w:color="auto" w:sz="4" w:space="0"/>
            </w:tcBorders>
            <w:vAlign w:val="center"/>
          </w:tcPr>
          <w:p w14:paraId="5293E8C5">
            <w:pPr>
              <w:pStyle w:val="59"/>
              <w:rPr>
                <w:color w:val="auto"/>
              </w:rPr>
            </w:pPr>
          </w:p>
        </w:tc>
        <w:tc>
          <w:tcPr>
            <w:tcW w:w="508" w:type="dxa"/>
            <w:tcBorders>
              <w:top w:val="single" w:color="auto" w:sz="4" w:space="0"/>
              <w:left w:val="nil"/>
              <w:bottom w:val="single" w:color="auto" w:sz="4" w:space="0"/>
              <w:right w:val="single" w:color="auto" w:sz="4" w:space="0"/>
            </w:tcBorders>
            <w:vAlign w:val="center"/>
          </w:tcPr>
          <w:p w14:paraId="0B3D31AC">
            <w:pPr>
              <w:pStyle w:val="59"/>
              <w:rPr>
                <w:color w:val="auto"/>
              </w:rPr>
            </w:pPr>
            <w:r>
              <w:rPr>
                <w:rFonts w:hint="eastAsia"/>
                <w:color w:val="auto"/>
              </w:rPr>
              <w:t>开机时间</w:t>
            </w:r>
          </w:p>
        </w:tc>
        <w:tc>
          <w:tcPr>
            <w:tcW w:w="504" w:type="dxa"/>
            <w:tcBorders>
              <w:top w:val="single" w:color="auto" w:sz="4" w:space="0"/>
              <w:left w:val="nil"/>
              <w:bottom w:val="single" w:color="auto" w:sz="4" w:space="0"/>
              <w:right w:val="single" w:color="auto" w:sz="4" w:space="0"/>
            </w:tcBorders>
            <w:vAlign w:val="center"/>
          </w:tcPr>
          <w:p w14:paraId="1D755EE1">
            <w:pPr>
              <w:pStyle w:val="59"/>
              <w:rPr>
                <w:color w:val="auto"/>
              </w:rPr>
            </w:pPr>
            <w:r>
              <w:rPr>
                <w:rFonts w:hint="eastAsia"/>
                <w:color w:val="auto"/>
              </w:rPr>
              <w:t>关机时间</w:t>
            </w:r>
          </w:p>
        </w:tc>
        <w:tc>
          <w:tcPr>
            <w:tcW w:w="502" w:type="dxa"/>
            <w:tcBorders>
              <w:top w:val="single" w:color="auto" w:sz="4" w:space="0"/>
              <w:left w:val="nil"/>
              <w:bottom w:val="single" w:color="auto" w:sz="4" w:space="0"/>
              <w:right w:val="single" w:color="auto" w:sz="4" w:space="0"/>
            </w:tcBorders>
            <w:vAlign w:val="center"/>
          </w:tcPr>
          <w:p w14:paraId="4A4B0753">
            <w:pPr>
              <w:pStyle w:val="59"/>
              <w:rPr>
                <w:color w:val="auto"/>
              </w:rPr>
            </w:pPr>
            <w:r>
              <w:rPr>
                <w:rFonts w:hint="eastAsia"/>
                <w:color w:val="auto"/>
              </w:rPr>
              <w:t>开机时间</w:t>
            </w:r>
          </w:p>
        </w:tc>
        <w:tc>
          <w:tcPr>
            <w:tcW w:w="502" w:type="dxa"/>
            <w:tcBorders>
              <w:top w:val="single" w:color="auto" w:sz="4" w:space="0"/>
              <w:left w:val="nil"/>
              <w:bottom w:val="single" w:color="auto" w:sz="4" w:space="0"/>
              <w:right w:val="nil"/>
            </w:tcBorders>
            <w:vAlign w:val="center"/>
          </w:tcPr>
          <w:p w14:paraId="7B23F749">
            <w:pPr>
              <w:pStyle w:val="59"/>
              <w:rPr>
                <w:color w:val="auto"/>
              </w:rPr>
            </w:pPr>
            <w:r>
              <w:rPr>
                <w:rFonts w:hint="eastAsia"/>
                <w:color w:val="auto"/>
              </w:rPr>
              <w:t>关机时间</w:t>
            </w:r>
          </w:p>
        </w:tc>
        <w:tc>
          <w:tcPr>
            <w:tcW w:w="418" w:type="dxa"/>
            <w:tcBorders>
              <w:top w:val="single" w:color="auto" w:sz="4" w:space="0"/>
              <w:left w:val="single" w:color="auto" w:sz="4" w:space="0"/>
              <w:bottom w:val="single" w:color="auto" w:sz="4" w:space="0"/>
              <w:right w:val="single" w:color="auto" w:sz="4" w:space="0"/>
            </w:tcBorders>
            <w:vAlign w:val="center"/>
          </w:tcPr>
          <w:p w14:paraId="483AFF83">
            <w:pPr>
              <w:pStyle w:val="59"/>
              <w:rPr>
                <w:color w:val="auto"/>
              </w:rPr>
            </w:pPr>
          </w:p>
        </w:tc>
        <w:tc>
          <w:tcPr>
            <w:tcW w:w="420" w:type="dxa"/>
            <w:tcBorders>
              <w:top w:val="single" w:color="auto" w:sz="4" w:space="0"/>
              <w:left w:val="nil"/>
              <w:bottom w:val="single" w:color="auto" w:sz="4" w:space="0"/>
              <w:right w:val="single" w:color="auto" w:sz="4" w:space="0"/>
            </w:tcBorders>
            <w:vAlign w:val="center"/>
          </w:tcPr>
          <w:p w14:paraId="0B6059B9">
            <w:pPr>
              <w:pStyle w:val="59"/>
              <w:rPr>
                <w:color w:val="auto"/>
              </w:rPr>
            </w:pPr>
          </w:p>
        </w:tc>
        <w:tc>
          <w:tcPr>
            <w:tcW w:w="422" w:type="dxa"/>
            <w:tcBorders>
              <w:top w:val="single" w:color="auto" w:sz="4" w:space="0"/>
              <w:left w:val="nil"/>
              <w:bottom w:val="single" w:color="auto" w:sz="4" w:space="0"/>
              <w:right w:val="single" w:color="auto" w:sz="4" w:space="0"/>
            </w:tcBorders>
            <w:vAlign w:val="center"/>
          </w:tcPr>
          <w:p w14:paraId="3B93B615">
            <w:pPr>
              <w:pStyle w:val="59"/>
              <w:rPr>
                <w:color w:val="auto"/>
              </w:rPr>
            </w:pPr>
          </w:p>
        </w:tc>
        <w:tc>
          <w:tcPr>
            <w:tcW w:w="502" w:type="dxa"/>
            <w:tcBorders>
              <w:top w:val="single" w:color="auto" w:sz="4" w:space="0"/>
              <w:left w:val="nil"/>
              <w:bottom w:val="nil"/>
              <w:right w:val="single" w:color="auto" w:sz="4" w:space="0"/>
            </w:tcBorders>
            <w:vAlign w:val="center"/>
          </w:tcPr>
          <w:p w14:paraId="511C9EE2">
            <w:pPr>
              <w:pStyle w:val="59"/>
              <w:rPr>
                <w:color w:val="auto"/>
              </w:rPr>
            </w:pPr>
            <w:r>
              <w:rPr>
                <w:rFonts w:hint="eastAsia"/>
                <w:color w:val="auto"/>
              </w:rPr>
              <w:t>入水流量计</w:t>
            </w:r>
          </w:p>
        </w:tc>
        <w:tc>
          <w:tcPr>
            <w:tcW w:w="502" w:type="dxa"/>
            <w:tcBorders>
              <w:top w:val="single" w:color="auto" w:sz="4" w:space="0"/>
              <w:left w:val="nil"/>
              <w:bottom w:val="nil"/>
              <w:right w:val="single" w:color="auto" w:sz="4" w:space="0"/>
            </w:tcBorders>
            <w:vAlign w:val="center"/>
          </w:tcPr>
          <w:p w14:paraId="4578A2A7">
            <w:pPr>
              <w:pStyle w:val="59"/>
              <w:rPr>
                <w:color w:val="auto"/>
              </w:rPr>
            </w:pPr>
            <w:r>
              <w:rPr>
                <w:rFonts w:hint="eastAsia"/>
                <w:color w:val="auto"/>
              </w:rPr>
              <w:t>排污口流量计</w:t>
            </w:r>
          </w:p>
        </w:tc>
        <w:tc>
          <w:tcPr>
            <w:tcW w:w="426" w:type="dxa"/>
            <w:tcBorders>
              <w:top w:val="single" w:color="auto" w:sz="4" w:space="0"/>
              <w:left w:val="nil"/>
              <w:bottom w:val="nil"/>
              <w:right w:val="single" w:color="auto" w:sz="4" w:space="0"/>
            </w:tcBorders>
            <w:vAlign w:val="center"/>
          </w:tcPr>
          <w:p w14:paraId="6EE1E452">
            <w:pPr>
              <w:pStyle w:val="59"/>
              <w:rPr>
                <w:color w:val="auto"/>
              </w:rPr>
            </w:pPr>
            <w:r>
              <w:rPr>
                <w:rFonts w:hint="eastAsia"/>
                <w:color w:val="auto"/>
              </w:rPr>
              <w:t>电表</w:t>
            </w:r>
          </w:p>
        </w:tc>
        <w:tc>
          <w:tcPr>
            <w:tcW w:w="625" w:type="dxa"/>
            <w:vMerge w:val="continue"/>
            <w:tcBorders>
              <w:top w:val="single" w:color="auto" w:sz="4" w:space="0"/>
              <w:left w:val="single" w:color="auto" w:sz="4" w:space="0"/>
              <w:bottom w:val="single" w:color="auto" w:sz="4" w:space="0"/>
              <w:right w:val="single" w:color="auto" w:sz="4" w:space="0"/>
            </w:tcBorders>
            <w:vAlign w:val="center"/>
          </w:tcPr>
          <w:p w14:paraId="57175232">
            <w:pPr>
              <w:pStyle w:val="59"/>
              <w:rPr>
                <w:color w:val="auto"/>
              </w:rPr>
            </w:pPr>
          </w:p>
        </w:tc>
        <w:tc>
          <w:tcPr>
            <w:tcW w:w="846" w:type="dxa"/>
            <w:tcBorders>
              <w:top w:val="single" w:color="auto" w:sz="4" w:space="0"/>
              <w:left w:val="nil"/>
              <w:bottom w:val="nil"/>
              <w:right w:val="single" w:color="auto" w:sz="4" w:space="0"/>
            </w:tcBorders>
            <w:vAlign w:val="center"/>
          </w:tcPr>
          <w:p w14:paraId="2B00345C">
            <w:pPr>
              <w:pStyle w:val="59"/>
              <w:rPr>
                <w:color w:val="auto"/>
              </w:rPr>
            </w:pPr>
            <w:r>
              <w:rPr>
                <w:rFonts w:hint="eastAsia"/>
                <w:color w:val="auto"/>
              </w:rPr>
              <w:t>重量（kg）</w:t>
            </w:r>
          </w:p>
        </w:tc>
        <w:tc>
          <w:tcPr>
            <w:tcW w:w="846" w:type="dxa"/>
            <w:tcBorders>
              <w:top w:val="single" w:color="auto" w:sz="4" w:space="0"/>
              <w:left w:val="nil"/>
              <w:bottom w:val="nil"/>
              <w:right w:val="single" w:color="auto" w:sz="4" w:space="0"/>
            </w:tcBorders>
            <w:vAlign w:val="center"/>
          </w:tcPr>
          <w:p w14:paraId="5B0963D9">
            <w:pPr>
              <w:pStyle w:val="59"/>
              <w:rPr>
                <w:color w:val="auto"/>
              </w:rPr>
            </w:pPr>
            <w:r>
              <w:rPr>
                <w:rFonts w:hint="eastAsia"/>
                <w:color w:val="auto"/>
              </w:rPr>
              <w:t>袋数（袋）</w:t>
            </w:r>
          </w:p>
        </w:tc>
        <w:tc>
          <w:tcPr>
            <w:tcW w:w="610" w:type="dxa"/>
            <w:tcBorders>
              <w:top w:val="single" w:color="auto" w:sz="4" w:space="0"/>
              <w:left w:val="nil"/>
              <w:bottom w:val="single" w:color="auto" w:sz="4" w:space="0"/>
              <w:right w:val="single" w:color="auto" w:sz="4" w:space="0"/>
            </w:tcBorders>
            <w:vAlign w:val="center"/>
          </w:tcPr>
          <w:p w14:paraId="1FEAEBE4">
            <w:pPr>
              <w:pStyle w:val="59"/>
              <w:rPr>
                <w:color w:val="auto"/>
              </w:rPr>
            </w:pPr>
            <w:r>
              <w:rPr>
                <w:rFonts w:hint="eastAsia"/>
                <w:color w:val="auto"/>
              </w:rPr>
              <w:t>日班</w:t>
            </w:r>
          </w:p>
        </w:tc>
        <w:tc>
          <w:tcPr>
            <w:tcW w:w="668" w:type="dxa"/>
            <w:tcBorders>
              <w:top w:val="single" w:color="auto" w:sz="4" w:space="0"/>
              <w:left w:val="nil"/>
              <w:bottom w:val="single" w:color="auto" w:sz="4" w:space="0"/>
              <w:right w:val="single" w:color="auto" w:sz="4" w:space="0"/>
            </w:tcBorders>
            <w:vAlign w:val="center"/>
          </w:tcPr>
          <w:p w14:paraId="1005843F">
            <w:pPr>
              <w:pStyle w:val="59"/>
              <w:rPr>
                <w:color w:val="auto"/>
              </w:rPr>
            </w:pPr>
            <w:r>
              <w:rPr>
                <w:rFonts w:hint="eastAsia"/>
                <w:color w:val="auto"/>
              </w:rPr>
              <w:t>夜班</w:t>
            </w:r>
          </w:p>
        </w:tc>
        <w:tc>
          <w:tcPr>
            <w:tcW w:w="555" w:type="dxa"/>
            <w:vMerge w:val="continue"/>
            <w:tcBorders>
              <w:top w:val="single" w:color="auto" w:sz="4" w:space="0"/>
              <w:left w:val="single" w:color="auto" w:sz="4" w:space="0"/>
              <w:bottom w:val="single" w:color="000000" w:sz="4" w:space="0"/>
              <w:right w:val="nil"/>
            </w:tcBorders>
            <w:vAlign w:val="center"/>
          </w:tcPr>
          <w:p w14:paraId="0E2B9D6C">
            <w:pPr>
              <w:pStyle w:val="59"/>
              <w:rPr>
                <w:color w:val="auto"/>
              </w:rPr>
            </w:pPr>
          </w:p>
        </w:tc>
      </w:tr>
      <w:tr w14:paraId="40DD9D45">
        <w:tblPrEx>
          <w:tblCellMar>
            <w:top w:w="0" w:type="dxa"/>
            <w:left w:w="108" w:type="dxa"/>
            <w:bottom w:w="0" w:type="dxa"/>
            <w:right w:w="108" w:type="dxa"/>
          </w:tblCellMar>
        </w:tblPrEx>
        <w:trPr>
          <w:trHeight w:val="397" w:hRule="atLeast"/>
        </w:trPr>
        <w:tc>
          <w:tcPr>
            <w:tcW w:w="426" w:type="dxa"/>
            <w:tcBorders>
              <w:top w:val="nil"/>
              <w:left w:val="nil"/>
              <w:bottom w:val="single" w:color="auto" w:sz="4" w:space="0"/>
              <w:right w:val="single" w:color="auto" w:sz="4" w:space="0"/>
            </w:tcBorders>
            <w:noWrap/>
            <w:vAlign w:val="center"/>
          </w:tcPr>
          <w:p w14:paraId="7649680D">
            <w:pPr>
              <w:pStyle w:val="59"/>
              <w:rPr>
                <w:color w:val="auto"/>
              </w:rPr>
            </w:pPr>
            <w:r>
              <w:rPr>
                <w:rFonts w:hint="eastAsia"/>
                <w:color w:val="auto"/>
              </w:rPr>
              <w:t>1</w:t>
            </w:r>
          </w:p>
        </w:tc>
        <w:tc>
          <w:tcPr>
            <w:tcW w:w="508" w:type="dxa"/>
            <w:tcBorders>
              <w:top w:val="nil"/>
              <w:left w:val="nil"/>
              <w:bottom w:val="single" w:color="auto" w:sz="4" w:space="0"/>
              <w:right w:val="single" w:color="auto" w:sz="4" w:space="0"/>
            </w:tcBorders>
            <w:noWrap/>
            <w:vAlign w:val="center"/>
          </w:tcPr>
          <w:p w14:paraId="47AA322B">
            <w:pPr>
              <w:pStyle w:val="59"/>
              <w:rPr>
                <w:color w:val="auto"/>
              </w:rPr>
            </w:pPr>
          </w:p>
        </w:tc>
        <w:tc>
          <w:tcPr>
            <w:tcW w:w="504" w:type="dxa"/>
            <w:tcBorders>
              <w:top w:val="nil"/>
              <w:left w:val="nil"/>
              <w:bottom w:val="single" w:color="auto" w:sz="4" w:space="0"/>
              <w:right w:val="single" w:color="auto" w:sz="4" w:space="0"/>
            </w:tcBorders>
            <w:noWrap/>
            <w:vAlign w:val="center"/>
          </w:tcPr>
          <w:p w14:paraId="69010E59">
            <w:pPr>
              <w:pStyle w:val="59"/>
              <w:rPr>
                <w:color w:val="auto"/>
              </w:rPr>
            </w:pPr>
          </w:p>
        </w:tc>
        <w:tc>
          <w:tcPr>
            <w:tcW w:w="502" w:type="dxa"/>
            <w:tcBorders>
              <w:top w:val="nil"/>
              <w:left w:val="nil"/>
              <w:bottom w:val="single" w:color="auto" w:sz="4" w:space="0"/>
              <w:right w:val="single" w:color="auto" w:sz="4" w:space="0"/>
            </w:tcBorders>
            <w:noWrap/>
            <w:vAlign w:val="center"/>
          </w:tcPr>
          <w:p w14:paraId="72EC5788">
            <w:pPr>
              <w:pStyle w:val="59"/>
              <w:rPr>
                <w:color w:val="auto"/>
              </w:rPr>
            </w:pPr>
          </w:p>
        </w:tc>
        <w:tc>
          <w:tcPr>
            <w:tcW w:w="502" w:type="dxa"/>
            <w:tcBorders>
              <w:top w:val="nil"/>
              <w:left w:val="nil"/>
              <w:bottom w:val="single" w:color="auto" w:sz="4" w:space="0"/>
              <w:right w:val="single" w:color="auto" w:sz="4" w:space="0"/>
            </w:tcBorders>
            <w:noWrap/>
            <w:vAlign w:val="center"/>
          </w:tcPr>
          <w:p w14:paraId="36FF2E59">
            <w:pPr>
              <w:pStyle w:val="59"/>
              <w:rPr>
                <w:color w:val="auto"/>
              </w:rPr>
            </w:pPr>
          </w:p>
        </w:tc>
        <w:tc>
          <w:tcPr>
            <w:tcW w:w="418" w:type="dxa"/>
            <w:tcBorders>
              <w:top w:val="nil"/>
              <w:left w:val="nil"/>
              <w:bottom w:val="single" w:color="auto" w:sz="4" w:space="0"/>
              <w:right w:val="single" w:color="auto" w:sz="4" w:space="0"/>
            </w:tcBorders>
            <w:noWrap/>
            <w:vAlign w:val="center"/>
          </w:tcPr>
          <w:p w14:paraId="366CF28C">
            <w:pPr>
              <w:pStyle w:val="59"/>
              <w:rPr>
                <w:color w:val="auto"/>
              </w:rPr>
            </w:pPr>
          </w:p>
        </w:tc>
        <w:tc>
          <w:tcPr>
            <w:tcW w:w="420" w:type="dxa"/>
            <w:tcBorders>
              <w:top w:val="nil"/>
              <w:left w:val="nil"/>
              <w:bottom w:val="single" w:color="auto" w:sz="4" w:space="0"/>
              <w:right w:val="single" w:color="auto" w:sz="4" w:space="0"/>
            </w:tcBorders>
            <w:noWrap/>
            <w:vAlign w:val="center"/>
          </w:tcPr>
          <w:p w14:paraId="574A32DB">
            <w:pPr>
              <w:pStyle w:val="59"/>
              <w:rPr>
                <w:color w:val="auto"/>
              </w:rPr>
            </w:pPr>
          </w:p>
        </w:tc>
        <w:tc>
          <w:tcPr>
            <w:tcW w:w="422" w:type="dxa"/>
            <w:tcBorders>
              <w:top w:val="nil"/>
              <w:left w:val="nil"/>
              <w:bottom w:val="single" w:color="auto" w:sz="4" w:space="0"/>
              <w:right w:val="single" w:color="auto" w:sz="4" w:space="0"/>
            </w:tcBorders>
            <w:noWrap/>
            <w:vAlign w:val="center"/>
          </w:tcPr>
          <w:p w14:paraId="6E5C45A3">
            <w:pPr>
              <w:pStyle w:val="59"/>
              <w:rPr>
                <w:color w:val="auto"/>
              </w:rPr>
            </w:pPr>
          </w:p>
        </w:tc>
        <w:tc>
          <w:tcPr>
            <w:tcW w:w="502" w:type="dxa"/>
            <w:tcBorders>
              <w:top w:val="single" w:color="auto" w:sz="4" w:space="0"/>
              <w:left w:val="nil"/>
              <w:bottom w:val="single" w:color="auto" w:sz="4" w:space="0"/>
              <w:right w:val="single" w:color="auto" w:sz="4" w:space="0"/>
            </w:tcBorders>
            <w:noWrap/>
            <w:vAlign w:val="center"/>
          </w:tcPr>
          <w:p w14:paraId="481DB27A">
            <w:pPr>
              <w:pStyle w:val="59"/>
              <w:rPr>
                <w:color w:val="auto"/>
              </w:rPr>
            </w:pPr>
          </w:p>
        </w:tc>
        <w:tc>
          <w:tcPr>
            <w:tcW w:w="502" w:type="dxa"/>
            <w:tcBorders>
              <w:top w:val="single" w:color="auto" w:sz="4" w:space="0"/>
              <w:left w:val="nil"/>
              <w:bottom w:val="single" w:color="auto" w:sz="4" w:space="0"/>
              <w:right w:val="single" w:color="auto" w:sz="4" w:space="0"/>
            </w:tcBorders>
            <w:noWrap/>
            <w:vAlign w:val="center"/>
          </w:tcPr>
          <w:p w14:paraId="75D85345">
            <w:pPr>
              <w:pStyle w:val="59"/>
              <w:rPr>
                <w:color w:val="auto"/>
              </w:rPr>
            </w:pPr>
          </w:p>
        </w:tc>
        <w:tc>
          <w:tcPr>
            <w:tcW w:w="426" w:type="dxa"/>
            <w:tcBorders>
              <w:top w:val="single" w:color="auto" w:sz="4" w:space="0"/>
              <w:left w:val="nil"/>
              <w:bottom w:val="single" w:color="auto" w:sz="4" w:space="0"/>
              <w:right w:val="single" w:color="auto" w:sz="4" w:space="0"/>
            </w:tcBorders>
            <w:noWrap/>
            <w:vAlign w:val="center"/>
          </w:tcPr>
          <w:p w14:paraId="0DB4264A">
            <w:pPr>
              <w:pStyle w:val="59"/>
              <w:rPr>
                <w:color w:val="auto"/>
              </w:rPr>
            </w:pPr>
          </w:p>
        </w:tc>
        <w:tc>
          <w:tcPr>
            <w:tcW w:w="625" w:type="dxa"/>
            <w:tcBorders>
              <w:top w:val="nil"/>
              <w:left w:val="nil"/>
              <w:bottom w:val="single" w:color="auto" w:sz="4" w:space="0"/>
              <w:right w:val="single" w:color="auto" w:sz="4" w:space="0"/>
            </w:tcBorders>
            <w:noWrap/>
            <w:vAlign w:val="center"/>
          </w:tcPr>
          <w:p w14:paraId="2594FB2A">
            <w:pPr>
              <w:pStyle w:val="59"/>
              <w:rPr>
                <w:color w:val="auto"/>
              </w:rPr>
            </w:pPr>
          </w:p>
        </w:tc>
        <w:tc>
          <w:tcPr>
            <w:tcW w:w="846" w:type="dxa"/>
            <w:tcBorders>
              <w:top w:val="single" w:color="auto" w:sz="4" w:space="0"/>
              <w:left w:val="nil"/>
              <w:bottom w:val="single" w:color="auto" w:sz="4" w:space="0"/>
              <w:right w:val="single" w:color="auto" w:sz="4" w:space="0"/>
            </w:tcBorders>
            <w:noWrap/>
            <w:vAlign w:val="center"/>
          </w:tcPr>
          <w:p w14:paraId="3ECFFC70">
            <w:pPr>
              <w:pStyle w:val="59"/>
              <w:rPr>
                <w:color w:val="auto"/>
              </w:rPr>
            </w:pPr>
          </w:p>
        </w:tc>
        <w:tc>
          <w:tcPr>
            <w:tcW w:w="846" w:type="dxa"/>
            <w:tcBorders>
              <w:top w:val="single" w:color="auto" w:sz="4" w:space="0"/>
              <w:left w:val="nil"/>
              <w:bottom w:val="single" w:color="auto" w:sz="4" w:space="0"/>
              <w:right w:val="single" w:color="auto" w:sz="4" w:space="0"/>
            </w:tcBorders>
            <w:noWrap/>
            <w:vAlign w:val="center"/>
          </w:tcPr>
          <w:p w14:paraId="0E0CDC8D">
            <w:pPr>
              <w:pStyle w:val="59"/>
              <w:rPr>
                <w:color w:val="auto"/>
              </w:rPr>
            </w:pPr>
          </w:p>
        </w:tc>
        <w:tc>
          <w:tcPr>
            <w:tcW w:w="610" w:type="dxa"/>
            <w:tcBorders>
              <w:top w:val="nil"/>
              <w:left w:val="nil"/>
              <w:bottom w:val="single" w:color="auto" w:sz="4" w:space="0"/>
              <w:right w:val="single" w:color="auto" w:sz="4" w:space="0"/>
            </w:tcBorders>
            <w:noWrap/>
            <w:vAlign w:val="center"/>
          </w:tcPr>
          <w:p w14:paraId="0FCB6A7E">
            <w:pPr>
              <w:pStyle w:val="59"/>
              <w:rPr>
                <w:color w:val="auto"/>
              </w:rPr>
            </w:pPr>
          </w:p>
        </w:tc>
        <w:tc>
          <w:tcPr>
            <w:tcW w:w="668" w:type="dxa"/>
            <w:tcBorders>
              <w:top w:val="nil"/>
              <w:left w:val="nil"/>
              <w:bottom w:val="single" w:color="auto" w:sz="4" w:space="0"/>
              <w:right w:val="single" w:color="auto" w:sz="4" w:space="0"/>
            </w:tcBorders>
            <w:noWrap/>
            <w:vAlign w:val="center"/>
          </w:tcPr>
          <w:p w14:paraId="280A80CF">
            <w:pPr>
              <w:pStyle w:val="59"/>
              <w:rPr>
                <w:color w:val="auto"/>
              </w:rPr>
            </w:pPr>
          </w:p>
        </w:tc>
        <w:tc>
          <w:tcPr>
            <w:tcW w:w="555" w:type="dxa"/>
            <w:tcBorders>
              <w:top w:val="nil"/>
              <w:left w:val="nil"/>
              <w:bottom w:val="single" w:color="auto" w:sz="4" w:space="0"/>
              <w:right w:val="nil"/>
            </w:tcBorders>
            <w:noWrap/>
            <w:vAlign w:val="center"/>
          </w:tcPr>
          <w:p w14:paraId="62D5B88E">
            <w:pPr>
              <w:pStyle w:val="59"/>
              <w:rPr>
                <w:color w:val="auto"/>
              </w:rPr>
            </w:pPr>
          </w:p>
        </w:tc>
      </w:tr>
      <w:tr w14:paraId="7445235F">
        <w:tblPrEx>
          <w:tblCellMar>
            <w:top w:w="0" w:type="dxa"/>
            <w:left w:w="108" w:type="dxa"/>
            <w:bottom w:w="0" w:type="dxa"/>
            <w:right w:w="108" w:type="dxa"/>
          </w:tblCellMar>
        </w:tblPrEx>
        <w:trPr>
          <w:trHeight w:val="397" w:hRule="atLeast"/>
        </w:trPr>
        <w:tc>
          <w:tcPr>
            <w:tcW w:w="426" w:type="dxa"/>
            <w:tcBorders>
              <w:top w:val="nil"/>
              <w:left w:val="nil"/>
              <w:bottom w:val="single" w:color="auto" w:sz="4" w:space="0"/>
              <w:right w:val="single" w:color="auto" w:sz="4" w:space="0"/>
            </w:tcBorders>
            <w:noWrap/>
            <w:vAlign w:val="center"/>
          </w:tcPr>
          <w:p w14:paraId="6FE2CE04">
            <w:pPr>
              <w:pStyle w:val="59"/>
              <w:rPr>
                <w:color w:val="auto"/>
              </w:rPr>
            </w:pPr>
            <w:r>
              <w:rPr>
                <w:rFonts w:hint="eastAsia"/>
                <w:color w:val="auto"/>
              </w:rPr>
              <w:t>2</w:t>
            </w:r>
          </w:p>
        </w:tc>
        <w:tc>
          <w:tcPr>
            <w:tcW w:w="508" w:type="dxa"/>
            <w:tcBorders>
              <w:top w:val="nil"/>
              <w:left w:val="nil"/>
              <w:bottom w:val="single" w:color="auto" w:sz="4" w:space="0"/>
              <w:right w:val="single" w:color="auto" w:sz="4" w:space="0"/>
            </w:tcBorders>
            <w:noWrap/>
            <w:vAlign w:val="center"/>
          </w:tcPr>
          <w:p w14:paraId="53D07AD1">
            <w:pPr>
              <w:pStyle w:val="59"/>
              <w:rPr>
                <w:color w:val="auto"/>
              </w:rPr>
            </w:pPr>
          </w:p>
        </w:tc>
        <w:tc>
          <w:tcPr>
            <w:tcW w:w="504" w:type="dxa"/>
            <w:tcBorders>
              <w:top w:val="nil"/>
              <w:left w:val="nil"/>
              <w:bottom w:val="single" w:color="auto" w:sz="4" w:space="0"/>
              <w:right w:val="single" w:color="auto" w:sz="4" w:space="0"/>
            </w:tcBorders>
            <w:noWrap/>
            <w:vAlign w:val="center"/>
          </w:tcPr>
          <w:p w14:paraId="06F280DC">
            <w:pPr>
              <w:pStyle w:val="59"/>
              <w:rPr>
                <w:color w:val="auto"/>
              </w:rPr>
            </w:pPr>
          </w:p>
        </w:tc>
        <w:tc>
          <w:tcPr>
            <w:tcW w:w="502" w:type="dxa"/>
            <w:tcBorders>
              <w:top w:val="nil"/>
              <w:left w:val="nil"/>
              <w:bottom w:val="single" w:color="auto" w:sz="4" w:space="0"/>
              <w:right w:val="single" w:color="auto" w:sz="4" w:space="0"/>
            </w:tcBorders>
            <w:noWrap/>
            <w:vAlign w:val="center"/>
          </w:tcPr>
          <w:p w14:paraId="4CFCE875">
            <w:pPr>
              <w:pStyle w:val="59"/>
              <w:rPr>
                <w:color w:val="auto"/>
              </w:rPr>
            </w:pPr>
          </w:p>
        </w:tc>
        <w:tc>
          <w:tcPr>
            <w:tcW w:w="502" w:type="dxa"/>
            <w:tcBorders>
              <w:top w:val="nil"/>
              <w:left w:val="nil"/>
              <w:bottom w:val="single" w:color="auto" w:sz="4" w:space="0"/>
              <w:right w:val="single" w:color="auto" w:sz="4" w:space="0"/>
            </w:tcBorders>
            <w:noWrap/>
            <w:vAlign w:val="center"/>
          </w:tcPr>
          <w:p w14:paraId="6038E7B2">
            <w:pPr>
              <w:pStyle w:val="59"/>
              <w:rPr>
                <w:color w:val="auto"/>
              </w:rPr>
            </w:pPr>
          </w:p>
        </w:tc>
        <w:tc>
          <w:tcPr>
            <w:tcW w:w="418" w:type="dxa"/>
            <w:tcBorders>
              <w:top w:val="nil"/>
              <w:left w:val="nil"/>
              <w:bottom w:val="single" w:color="auto" w:sz="4" w:space="0"/>
              <w:right w:val="single" w:color="auto" w:sz="4" w:space="0"/>
            </w:tcBorders>
            <w:noWrap/>
            <w:vAlign w:val="center"/>
          </w:tcPr>
          <w:p w14:paraId="33F11867">
            <w:pPr>
              <w:pStyle w:val="59"/>
              <w:rPr>
                <w:color w:val="auto"/>
              </w:rPr>
            </w:pPr>
          </w:p>
        </w:tc>
        <w:tc>
          <w:tcPr>
            <w:tcW w:w="420" w:type="dxa"/>
            <w:tcBorders>
              <w:top w:val="nil"/>
              <w:left w:val="nil"/>
              <w:bottom w:val="single" w:color="auto" w:sz="4" w:space="0"/>
              <w:right w:val="single" w:color="auto" w:sz="4" w:space="0"/>
            </w:tcBorders>
            <w:noWrap/>
            <w:vAlign w:val="center"/>
          </w:tcPr>
          <w:p w14:paraId="3634D1E0">
            <w:pPr>
              <w:pStyle w:val="59"/>
              <w:rPr>
                <w:color w:val="auto"/>
              </w:rPr>
            </w:pPr>
          </w:p>
        </w:tc>
        <w:tc>
          <w:tcPr>
            <w:tcW w:w="422" w:type="dxa"/>
            <w:tcBorders>
              <w:top w:val="nil"/>
              <w:left w:val="nil"/>
              <w:bottom w:val="single" w:color="auto" w:sz="4" w:space="0"/>
              <w:right w:val="single" w:color="auto" w:sz="4" w:space="0"/>
            </w:tcBorders>
            <w:noWrap/>
            <w:vAlign w:val="center"/>
          </w:tcPr>
          <w:p w14:paraId="13A01DBE">
            <w:pPr>
              <w:pStyle w:val="59"/>
              <w:rPr>
                <w:color w:val="auto"/>
              </w:rPr>
            </w:pPr>
          </w:p>
        </w:tc>
        <w:tc>
          <w:tcPr>
            <w:tcW w:w="502" w:type="dxa"/>
            <w:tcBorders>
              <w:top w:val="nil"/>
              <w:left w:val="nil"/>
              <w:bottom w:val="single" w:color="auto" w:sz="4" w:space="0"/>
              <w:right w:val="single" w:color="auto" w:sz="4" w:space="0"/>
            </w:tcBorders>
            <w:noWrap/>
            <w:vAlign w:val="center"/>
          </w:tcPr>
          <w:p w14:paraId="0E812F13">
            <w:pPr>
              <w:pStyle w:val="59"/>
              <w:rPr>
                <w:color w:val="auto"/>
              </w:rPr>
            </w:pPr>
          </w:p>
        </w:tc>
        <w:tc>
          <w:tcPr>
            <w:tcW w:w="502" w:type="dxa"/>
            <w:tcBorders>
              <w:top w:val="nil"/>
              <w:left w:val="nil"/>
              <w:bottom w:val="single" w:color="auto" w:sz="4" w:space="0"/>
              <w:right w:val="single" w:color="auto" w:sz="4" w:space="0"/>
            </w:tcBorders>
            <w:noWrap/>
            <w:vAlign w:val="center"/>
          </w:tcPr>
          <w:p w14:paraId="392C1CF8">
            <w:pPr>
              <w:pStyle w:val="59"/>
              <w:rPr>
                <w:color w:val="auto"/>
              </w:rPr>
            </w:pPr>
          </w:p>
        </w:tc>
        <w:tc>
          <w:tcPr>
            <w:tcW w:w="426" w:type="dxa"/>
            <w:tcBorders>
              <w:top w:val="nil"/>
              <w:left w:val="nil"/>
              <w:bottom w:val="single" w:color="auto" w:sz="4" w:space="0"/>
              <w:right w:val="single" w:color="auto" w:sz="4" w:space="0"/>
            </w:tcBorders>
            <w:noWrap/>
            <w:vAlign w:val="center"/>
          </w:tcPr>
          <w:p w14:paraId="750BD4CA">
            <w:pPr>
              <w:pStyle w:val="59"/>
              <w:rPr>
                <w:color w:val="auto"/>
              </w:rPr>
            </w:pPr>
          </w:p>
        </w:tc>
        <w:tc>
          <w:tcPr>
            <w:tcW w:w="625" w:type="dxa"/>
            <w:tcBorders>
              <w:top w:val="nil"/>
              <w:left w:val="nil"/>
              <w:bottom w:val="single" w:color="auto" w:sz="4" w:space="0"/>
              <w:right w:val="single" w:color="auto" w:sz="4" w:space="0"/>
            </w:tcBorders>
            <w:noWrap/>
            <w:vAlign w:val="center"/>
          </w:tcPr>
          <w:p w14:paraId="51D894FC">
            <w:pPr>
              <w:pStyle w:val="59"/>
              <w:rPr>
                <w:color w:val="auto"/>
              </w:rPr>
            </w:pPr>
          </w:p>
        </w:tc>
        <w:tc>
          <w:tcPr>
            <w:tcW w:w="846" w:type="dxa"/>
            <w:tcBorders>
              <w:top w:val="nil"/>
              <w:left w:val="nil"/>
              <w:bottom w:val="single" w:color="auto" w:sz="4" w:space="0"/>
              <w:right w:val="single" w:color="auto" w:sz="4" w:space="0"/>
            </w:tcBorders>
            <w:noWrap/>
            <w:vAlign w:val="center"/>
          </w:tcPr>
          <w:p w14:paraId="332D8FC0">
            <w:pPr>
              <w:pStyle w:val="59"/>
              <w:rPr>
                <w:color w:val="auto"/>
              </w:rPr>
            </w:pPr>
          </w:p>
        </w:tc>
        <w:tc>
          <w:tcPr>
            <w:tcW w:w="846" w:type="dxa"/>
            <w:tcBorders>
              <w:top w:val="nil"/>
              <w:left w:val="nil"/>
              <w:bottom w:val="single" w:color="auto" w:sz="4" w:space="0"/>
              <w:right w:val="single" w:color="auto" w:sz="4" w:space="0"/>
            </w:tcBorders>
            <w:noWrap/>
            <w:vAlign w:val="center"/>
          </w:tcPr>
          <w:p w14:paraId="4BB6F88A">
            <w:pPr>
              <w:pStyle w:val="59"/>
              <w:rPr>
                <w:color w:val="auto"/>
              </w:rPr>
            </w:pPr>
          </w:p>
        </w:tc>
        <w:tc>
          <w:tcPr>
            <w:tcW w:w="610" w:type="dxa"/>
            <w:tcBorders>
              <w:top w:val="nil"/>
              <w:left w:val="nil"/>
              <w:bottom w:val="single" w:color="auto" w:sz="4" w:space="0"/>
              <w:right w:val="single" w:color="auto" w:sz="4" w:space="0"/>
            </w:tcBorders>
            <w:noWrap/>
            <w:vAlign w:val="center"/>
          </w:tcPr>
          <w:p w14:paraId="7166CBA3">
            <w:pPr>
              <w:pStyle w:val="59"/>
              <w:rPr>
                <w:color w:val="auto"/>
              </w:rPr>
            </w:pPr>
          </w:p>
        </w:tc>
        <w:tc>
          <w:tcPr>
            <w:tcW w:w="668" w:type="dxa"/>
            <w:tcBorders>
              <w:top w:val="nil"/>
              <w:left w:val="nil"/>
              <w:bottom w:val="single" w:color="auto" w:sz="4" w:space="0"/>
              <w:right w:val="single" w:color="auto" w:sz="4" w:space="0"/>
            </w:tcBorders>
            <w:noWrap/>
            <w:vAlign w:val="center"/>
          </w:tcPr>
          <w:p w14:paraId="0C27B207">
            <w:pPr>
              <w:pStyle w:val="59"/>
              <w:rPr>
                <w:color w:val="auto"/>
              </w:rPr>
            </w:pPr>
          </w:p>
        </w:tc>
        <w:tc>
          <w:tcPr>
            <w:tcW w:w="555" w:type="dxa"/>
            <w:tcBorders>
              <w:top w:val="nil"/>
              <w:left w:val="nil"/>
              <w:bottom w:val="single" w:color="auto" w:sz="4" w:space="0"/>
              <w:right w:val="nil"/>
            </w:tcBorders>
            <w:noWrap/>
            <w:vAlign w:val="center"/>
          </w:tcPr>
          <w:p w14:paraId="7790DCE1">
            <w:pPr>
              <w:pStyle w:val="59"/>
              <w:rPr>
                <w:color w:val="auto"/>
              </w:rPr>
            </w:pPr>
          </w:p>
        </w:tc>
      </w:tr>
      <w:tr w14:paraId="2ED7A3FE">
        <w:tblPrEx>
          <w:tblCellMar>
            <w:top w:w="0" w:type="dxa"/>
            <w:left w:w="108" w:type="dxa"/>
            <w:bottom w:w="0" w:type="dxa"/>
            <w:right w:w="108" w:type="dxa"/>
          </w:tblCellMar>
        </w:tblPrEx>
        <w:trPr>
          <w:trHeight w:val="397" w:hRule="atLeast"/>
        </w:trPr>
        <w:tc>
          <w:tcPr>
            <w:tcW w:w="426" w:type="dxa"/>
            <w:tcBorders>
              <w:top w:val="nil"/>
              <w:left w:val="nil"/>
              <w:bottom w:val="single" w:color="auto" w:sz="4" w:space="0"/>
              <w:right w:val="single" w:color="auto" w:sz="4" w:space="0"/>
            </w:tcBorders>
            <w:noWrap/>
            <w:vAlign w:val="center"/>
          </w:tcPr>
          <w:p w14:paraId="35100533">
            <w:pPr>
              <w:pStyle w:val="59"/>
              <w:rPr>
                <w:color w:val="auto"/>
              </w:rPr>
            </w:pPr>
            <w:r>
              <w:rPr>
                <w:rFonts w:hint="eastAsia"/>
                <w:color w:val="auto"/>
              </w:rPr>
              <w:t>3</w:t>
            </w:r>
          </w:p>
        </w:tc>
        <w:tc>
          <w:tcPr>
            <w:tcW w:w="508" w:type="dxa"/>
            <w:tcBorders>
              <w:top w:val="nil"/>
              <w:left w:val="nil"/>
              <w:bottom w:val="single" w:color="auto" w:sz="4" w:space="0"/>
              <w:right w:val="single" w:color="auto" w:sz="4" w:space="0"/>
            </w:tcBorders>
            <w:noWrap/>
            <w:vAlign w:val="center"/>
          </w:tcPr>
          <w:p w14:paraId="49F32B31">
            <w:pPr>
              <w:pStyle w:val="59"/>
              <w:rPr>
                <w:color w:val="auto"/>
              </w:rPr>
            </w:pPr>
          </w:p>
        </w:tc>
        <w:tc>
          <w:tcPr>
            <w:tcW w:w="504" w:type="dxa"/>
            <w:tcBorders>
              <w:top w:val="nil"/>
              <w:left w:val="nil"/>
              <w:bottom w:val="single" w:color="auto" w:sz="4" w:space="0"/>
              <w:right w:val="single" w:color="auto" w:sz="4" w:space="0"/>
            </w:tcBorders>
            <w:noWrap/>
            <w:vAlign w:val="center"/>
          </w:tcPr>
          <w:p w14:paraId="2739AD07">
            <w:pPr>
              <w:pStyle w:val="59"/>
              <w:rPr>
                <w:color w:val="auto"/>
              </w:rPr>
            </w:pPr>
          </w:p>
        </w:tc>
        <w:tc>
          <w:tcPr>
            <w:tcW w:w="502" w:type="dxa"/>
            <w:tcBorders>
              <w:top w:val="nil"/>
              <w:left w:val="nil"/>
              <w:bottom w:val="single" w:color="auto" w:sz="4" w:space="0"/>
              <w:right w:val="single" w:color="auto" w:sz="4" w:space="0"/>
            </w:tcBorders>
            <w:noWrap/>
            <w:vAlign w:val="center"/>
          </w:tcPr>
          <w:p w14:paraId="46776346">
            <w:pPr>
              <w:pStyle w:val="59"/>
              <w:rPr>
                <w:color w:val="auto"/>
              </w:rPr>
            </w:pPr>
          </w:p>
        </w:tc>
        <w:tc>
          <w:tcPr>
            <w:tcW w:w="502" w:type="dxa"/>
            <w:tcBorders>
              <w:top w:val="nil"/>
              <w:left w:val="nil"/>
              <w:bottom w:val="single" w:color="auto" w:sz="4" w:space="0"/>
              <w:right w:val="single" w:color="auto" w:sz="4" w:space="0"/>
            </w:tcBorders>
            <w:noWrap/>
            <w:vAlign w:val="center"/>
          </w:tcPr>
          <w:p w14:paraId="4F4D06EA">
            <w:pPr>
              <w:pStyle w:val="59"/>
              <w:rPr>
                <w:color w:val="auto"/>
              </w:rPr>
            </w:pPr>
          </w:p>
        </w:tc>
        <w:tc>
          <w:tcPr>
            <w:tcW w:w="418" w:type="dxa"/>
            <w:tcBorders>
              <w:top w:val="nil"/>
              <w:left w:val="nil"/>
              <w:bottom w:val="single" w:color="auto" w:sz="4" w:space="0"/>
              <w:right w:val="single" w:color="auto" w:sz="4" w:space="0"/>
            </w:tcBorders>
            <w:noWrap/>
            <w:vAlign w:val="center"/>
          </w:tcPr>
          <w:p w14:paraId="11B1D976">
            <w:pPr>
              <w:pStyle w:val="59"/>
              <w:rPr>
                <w:color w:val="auto"/>
              </w:rPr>
            </w:pPr>
          </w:p>
        </w:tc>
        <w:tc>
          <w:tcPr>
            <w:tcW w:w="420" w:type="dxa"/>
            <w:tcBorders>
              <w:top w:val="nil"/>
              <w:left w:val="nil"/>
              <w:bottom w:val="single" w:color="auto" w:sz="4" w:space="0"/>
              <w:right w:val="single" w:color="auto" w:sz="4" w:space="0"/>
            </w:tcBorders>
            <w:noWrap/>
            <w:vAlign w:val="center"/>
          </w:tcPr>
          <w:p w14:paraId="563E4DA7">
            <w:pPr>
              <w:pStyle w:val="59"/>
              <w:rPr>
                <w:color w:val="auto"/>
              </w:rPr>
            </w:pPr>
          </w:p>
        </w:tc>
        <w:tc>
          <w:tcPr>
            <w:tcW w:w="422" w:type="dxa"/>
            <w:tcBorders>
              <w:top w:val="nil"/>
              <w:left w:val="nil"/>
              <w:bottom w:val="single" w:color="auto" w:sz="4" w:space="0"/>
              <w:right w:val="single" w:color="auto" w:sz="4" w:space="0"/>
            </w:tcBorders>
            <w:noWrap/>
            <w:vAlign w:val="center"/>
          </w:tcPr>
          <w:p w14:paraId="3898AB84">
            <w:pPr>
              <w:pStyle w:val="59"/>
              <w:rPr>
                <w:color w:val="auto"/>
              </w:rPr>
            </w:pPr>
          </w:p>
        </w:tc>
        <w:tc>
          <w:tcPr>
            <w:tcW w:w="502" w:type="dxa"/>
            <w:tcBorders>
              <w:top w:val="nil"/>
              <w:left w:val="nil"/>
              <w:bottom w:val="single" w:color="auto" w:sz="4" w:space="0"/>
              <w:right w:val="single" w:color="auto" w:sz="4" w:space="0"/>
            </w:tcBorders>
            <w:noWrap/>
            <w:vAlign w:val="center"/>
          </w:tcPr>
          <w:p w14:paraId="76D0BCCF">
            <w:pPr>
              <w:pStyle w:val="59"/>
              <w:rPr>
                <w:color w:val="auto"/>
              </w:rPr>
            </w:pPr>
          </w:p>
        </w:tc>
        <w:tc>
          <w:tcPr>
            <w:tcW w:w="502" w:type="dxa"/>
            <w:tcBorders>
              <w:top w:val="nil"/>
              <w:left w:val="nil"/>
              <w:bottom w:val="single" w:color="auto" w:sz="4" w:space="0"/>
              <w:right w:val="single" w:color="auto" w:sz="4" w:space="0"/>
            </w:tcBorders>
            <w:noWrap/>
            <w:vAlign w:val="center"/>
          </w:tcPr>
          <w:p w14:paraId="17BEB4BD">
            <w:pPr>
              <w:pStyle w:val="59"/>
              <w:rPr>
                <w:color w:val="auto"/>
              </w:rPr>
            </w:pPr>
          </w:p>
        </w:tc>
        <w:tc>
          <w:tcPr>
            <w:tcW w:w="426" w:type="dxa"/>
            <w:tcBorders>
              <w:top w:val="nil"/>
              <w:left w:val="nil"/>
              <w:bottom w:val="single" w:color="auto" w:sz="4" w:space="0"/>
              <w:right w:val="single" w:color="auto" w:sz="4" w:space="0"/>
            </w:tcBorders>
            <w:noWrap/>
            <w:vAlign w:val="center"/>
          </w:tcPr>
          <w:p w14:paraId="641E65F6">
            <w:pPr>
              <w:pStyle w:val="59"/>
              <w:rPr>
                <w:color w:val="auto"/>
              </w:rPr>
            </w:pPr>
          </w:p>
        </w:tc>
        <w:tc>
          <w:tcPr>
            <w:tcW w:w="625" w:type="dxa"/>
            <w:tcBorders>
              <w:top w:val="nil"/>
              <w:left w:val="nil"/>
              <w:bottom w:val="single" w:color="auto" w:sz="4" w:space="0"/>
              <w:right w:val="single" w:color="auto" w:sz="4" w:space="0"/>
            </w:tcBorders>
            <w:noWrap/>
            <w:vAlign w:val="center"/>
          </w:tcPr>
          <w:p w14:paraId="60D297FA">
            <w:pPr>
              <w:pStyle w:val="59"/>
              <w:rPr>
                <w:color w:val="auto"/>
              </w:rPr>
            </w:pPr>
          </w:p>
        </w:tc>
        <w:tc>
          <w:tcPr>
            <w:tcW w:w="846" w:type="dxa"/>
            <w:tcBorders>
              <w:top w:val="nil"/>
              <w:left w:val="nil"/>
              <w:bottom w:val="single" w:color="auto" w:sz="4" w:space="0"/>
              <w:right w:val="single" w:color="auto" w:sz="4" w:space="0"/>
            </w:tcBorders>
            <w:noWrap/>
            <w:vAlign w:val="center"/>
          </w:tcPr>
          <w:p w14:paraId="58299312">
            <w:pPr>
              <w:pStyle w:val="59"/>
              <w:rPr>
                <w:color w:val="auto"/>
              </w:rPr>
            </w:pPr>
          </w:p>
        </w:tc>
        <w:tc>
          <w:tcPr>
            <w:tcW w:w="846" w:type="dxa"/>
            <w:tcBorders>
              <w:top w:val="nil"/>
              <w:left w:val="nil"/>
              <w:bottom w:val="single" w:color="auto" w:sz="4" w:space="0"/>
              <w:right w:val="single" w:color="auto" w:sz="4" w:space="0"/>
            </w:tcBorders>
            <w:noWrap/>
            <w:vAlign w:val="center"/>
          </w:tcPr>
          <w:p w14:paraId="6423048E">
            <w:pPr>
              <w:pStyle w:val="59"/>
              <w:rPr>
                <w:color w:val="auto"/>
              </w:rPr>
            </w:pPr>
          </w:p>
        </w:tc>
        <w:tc>
          <w:tcPr>
            <w:tcW w:w="610" w:type="dxa"/>
            <w:tcBorders>
              <w:top w:val="nil"/>
              <w:left w:val="nil"/>
              <w:bottom w:val="single" w:color="auto" w:sz="4" w:space="0"/>
              <w:right w:val="single" w:color="auto" w:sz="4" w:space="0"/>
            </w:tcBorders>
            <w:noWrap/>
            <w:vAlign w:val="center"/>
          </w:tcPr>
          <w:p w14:paraId="2FD8BDDE">
            <w:pPr>
              <w:pStyle w:val="59"/>
              <w:rPr>
                <w:color w:val="auto"/>
              </w:rPr>
            </w:pPr>
          </w:p>
        </w:tc>
        <w:tc>
          <w:tcPr>
            <w:tcW w:w="668" w:type="dxa"/>
            <w:tcBorders>
              <w:top w:val="nil"/>
              <w:left w:val="nil"/>
              <w:bottom w:val="single" w:color="auto" w:sz="4" w:space="0"/>
              <w:right w:val="single" w:color="auto" w:sz="4" w:space="0"/>
            </w:tcBorders>
            <w:noWrap/>
            <w:vAlign w:val="center"/>
          </w:tcPr>
          <w:p w14:paraId="050B2C62">
            <w:pPr>
              <w:pStyle w:val="59"/>
              <w:rPr>
                <w:color w:val="auto"/>
              </w:rPr>
            </w:pPr>
          </w:p>
        </w:tc>
        <w:tc>
          <w:tcPr>
            <w:tcW w:w="555" w:type="dxa"/>
            <w:tcBorders>
              <w:top w:val="nil"/>
              <w:left w:val="nil"/>
              <w:bottom w:val="single" w:color="auto" w:sz="4" w:space="0"/>
              <w:right w:val="nil"/>
            </w:tcBorders>
            <w:noWrap/>
            <w:vAlign w:val="center"/>
          </w:tcPr>
          <w:p w14:paraId="5D1FDF87">
            <w:pPr>
              <w:pStyle w:val="59"/>
              <w:rPr>
                <w:color w:val="auto"/>
              </w:rPr>
            </w:pPr>
          </w:p>
        </w:tc>
      </w:tr>
      <w:tr w14:paraId="205F4EF9">
        <w:tblPrEx>
          <w:tblCellMar>
            <w:top w:w="0" w:type="dxa"/>
            <w:left w:w="108" w:type="dxa"/>
            <w:bottom w:w="0" w:type="dxa"/>
            <w:right w:w="108" w:type="dxa"/>
          </w:tblCellMar>
        </w:tblPrEx>
        <w:trPr>
          <w:trHeight w:val="397" w:hRule="atLeast"/>
        </w:trPr>
        <w:tc>
          <w:tcPr>
            <w:tcW w:w="426" w:type="dxa"/>
            <w:tcBorders>
              <w:top w:val="nil"/>
              <w:left w:val="nil"/>
              <w:bottom w:val="single" w:color="auto" w:sz="4" w:space="0"/>
              <w:right w:val="single" w:color="auto" w:sz="4" w:space="0"/>
            </w:tcBorders>
            <w:noWrap/>
            <w:vAlign w:val="center"/>
          </w:tcPr>
          <w:p w14:paraId="4874DDDB">
            <w:pPr>
              <w:pStyle w:val="59"/>
              <w:rPr>
                <w:color w:val="auto"/>
              </w:rPr>
            </w:pPr>
            <w:r>
              <w:rPr>
                <w:rFonts w:hint="eastAsia"/>
                <w:color w:val="auto"/>
              </w:rPr>
              <w:t>4</w:t>
            </w:r>
          </w:p>
        </w:tc>
        <w:tc>
          <w:tcPr>
            <w:tcW w:w="508" w:type="dxa"/>
            <w:tcBorders>
              <w:top w:val="nil"/>
              <w:left w:val="nil"/>
              <w:bottom w:val="single" w:color="auto" w:sz="4" w:space="0"/>
              <w:right w:val="single" w:color="auto" w:sz="4" w:space="0"/>
            </w:tcBorders>
            <w:noWrap/>
            <w:vAlign w:val="center"/>
          </w:tcPr>
          <w:p w14:paraId="7DC97098">
            <w:pPr>
              <w:pStyle w:val="59"/>
              <w:rPr>
                <w:color w:val="auto"/>
              </w:rPr>
            </w:pPr>
          </w:p>
        </w:tc>
        <w:tc>
          <w:tcPr>
            <w:tcW w:w="504" w:type="dxa"/>
            <w:tcBorders>
              <w:top w:val="nil"/>
              <w:left w:val="nil"/>
              <w:bottom w:val="single" w:color="auto" w:sz="4" w:space="0"/>
              <w:right w:val="single" w:color="auto" w:sz="4" w:space="0"/>
            </w:tcBorders>
            <w:noWrap/>
            <w:vAlign w:val="center"/>
          </w:tcPr>
          <w:p w14:paraId="36DD16F2">
            <w:pPr>
              <w:pStyle w:val="59"/>
              <w:rPr>
                <w:color w:val="auto"/>
              </w:rPr>
            </w:pPr>
          </w:p>
        </w:tc>
        <w:tc>
          <w:tcPr>
            <w:tcW w:w="502" w:type="dxa"/>
            <w:tcBorders>
              <w:top w:val="nil"/>
              <w:left w:val="nil"/>
              <w:bottom w:val="single" w:color="auto" w:sz="4" w:space="0"/>
              <w:right w:val="single" w:color="auto" w:sz="4" w:space="0"/>
            </w:tcBorders>
            <w:noWrap/>
            <w:vAlign w:val="center"/>
          </w:tcPr>
          <w:p w14:paraId="0614F843">
            <w:pPr>
              <w:pStyle w:val="59"/>
              <w:rPr>
                <w:color w:val="auto"/>
              </w:rPr>
            </w:pPr>
          </w:p>
        </w:tc>
        <w:tc>
          <w:tcPr>
            <w:tcW w:w="502" w:type="dxa"/>
            <w:tcBorders>
              <w:top w:val="nil"/>
              <w:left w:val="nil"/>
              <w:bottom w:val="single" w:color="auto" w:sz="4" w:space="0"/>
              <w:right w:val="single" w:color="auto" w:sz="4" w:space="0"/>
            </w:tcBorders>
            <w:noWrap/>
            <w:vAlign w:val="center"/>
          </w:tcPr>
          <w:p w14:paraId="4C8F78A9">
            <w:pPr>
              <w:pStyle w:val="59"/>
              <w:rPr>
                <w:color w:val="auto"/>
              </w:rPr>
            </w:pPr>
          </w:p>
        </w:tc>
        <w:tc>
          <w:tcPr>
            <w:tcW w:w="418" w:type="dxa"/>
            <w:tcBorders>
              <w:top w:val="nil"/>
              <w:left w:val="nil"/>
              <w:bottom w:val="single" w:color="auto" w:sz="4" w:space="0"/>
              <w:right w:val="single" w:color="auto" w:sz="4" w:space="0"/>
            </w:tcBorders>
            <w:noWrap/>
            <w:vAlign w:val="center"/>
          </w:tcPr>
          <w:p w14:paraId="6F1720FF">
            <w:pPr>
              <w:pStyle w:val="59"/>
              <w:rPr>
                <w:color w:val="auto"/>
              </w:rPr>
            </w:pPr>
          </w:p>
        </w:tc>
        <w:tc>
          <w:tcPr>
            <w:tcW w:w="420" w:type="dxa"/>
            <w:tcBorders>
              <w:top w:val="nil"/>
              <w:left w:val="nil"/>
              <w:bottom w:val="single" w:color="auto" w:sz="4" w:space="0"/>
              <w:right w:val="single" w:color="auto" w:sz="4" w:space="0"/>
            </w:tcBorders>
            <w:noWrap/>
            <w:vAlign w:val="center"/>
          </w:tcPr>
          <w:p w14:paraId="39302AC6">
            <w:pPr>
              <w:pStyle w:val="59"/>
              <w:rPr>
                <w:color w:val="auto"/>
              </w:rPr>
            </w:pPr>
          </w:p>
        </w:tc>
        <w:tc>
          <w:tcPr>
            <w:tcW w:w="422" w:type="dxa"/>
            <w:tcBorders>
              <w:top w:val="nil"/>
              <w:left w:val="nil"/>
              <w:bottom w:val="single" w:color="auto" w:sz="4" w:space="0"/>
              <w:right w:val="single" w:color="auto" w:sz="4" w:space="0"/>
            </w:tcBorders>
            <w:noWrap/>
            <w:vAlign w:val="center"/>
          </w:tcPr>
          <w:p w14:paraId="4160187A">
            <w:pPr>
              <w:pStyle w:val="59"/>
              <w:rPr>
                <w:color w:val="auto"/>
              </w:rPr>
            </w:pPr>
          </w:p>
        </w:tc>
        <w:tc>
          <w:tcPr>
            <w:tcW w:w="502" w:type="dxa"/>
            <w:tcBorders>
              <w:top w:val="nil"/>
              <w:left w:val="nil"/>
              <w:bottom w:val="single" w:color="auto" w:sz="4" w:space="0"/>
              <w:right w:val="single" w:color="auto" w:sz="4" w:space="0"/>
            </w:tcBorders>
            <w:noWrap/>
            <w:vAlign w:val="center"/>
          </w:tcPr>
          <w:p w14:paraId="3BD9C65D">
            <w:pPr>
              <w:pStyle w:val="59"/>
              <w:rPr>
                <w:color w:val="auto"/>
              </w:rPr>
            </w:pPr>
          </w:p>
        </w:tc>
        <w:tc>
          <w:tcPr>
            <w:tcW w:w="502" w:type="dxa"/>
            <w:tcBorders>
              <w:top w:val="nil"/>
              <w:left w:val="nil"/>
              <w:bottom w:val="single" w:color="auto" w:sz="4" w:space="0"/>
              <w:right w:val="single" w:color="auto" w:sz="4" w:space="0"/>
            </w:tcBorders>
            <w:noWrap/>
            <w:vAlign w:val="center"/>
          </w:tcPr>
          <w:p w14:paraId="64779E03">
            <w:pPr>
              <w:pStyle w:val="59"/>
              <w:rPr>
                <w:color w:val="auto"/>
              </w:rPr>
            </w:pPr>
          </w:p>
        </w:tc>
        <w:tc>
          <w:tcPr>
            <w:tcW w:w="426" w:type="dxa"/>
            <w:tcBorders>
              <w:top w:val="nil"/>
              <w:left w:val="nil"/>
              <w:bottom w:val="single" w:color="auto" w:sz="4" w:space="0"/>
              <w:right w:val="single" w:color="auto" w:sz="4" w:space="0"/>
            </w:tcBorders>
            <w:noWrap/>
            <w:vAlign w:val="center"/>
          </w:tcPr>
          <w:p w14:paraId="372CCAF3">
            <w:pPr>
              <w:pStyle w:val="59"/>
              <w:rPr>
                <w:color w:val="auto"/>
              </w:rPr>
            </w:pPr>
          </w:p>
        </w:tc>
        <w:tc>
          <w:tcPr>
            <w:tcW w:w="625" w:type="dxa"/>
            <w:tcBorders>
              <w:top w:val="nil"/>
              <w:left w:val="nil"/>
              <w:bottom w:val="single" w:color="auto" w:sz="4" w:space="0"/>
              <w:right w:val="single" w:color="auto" w:sz="4" w:space="0"/>
            </w:tcBorders>
            <w:noWrap/>
            <w:vAlign w:val="center"/>
          </w:tcPr>
          <w:p w14:paraId="549D375A">
            <w:pPr>
              <w:pStyle w:val="59"/>
              <w:rPr>
                <w:color w:val="auto"/>
              </w:rPr>
            </w:pPr>
          </w:p>
        </w:tc>
        <w:tc>
          <w:tcPr>
            <w:tcW w:w="846" w:type="dxa"/>
            <w:tcBorders>
              <w:top w:val="nil"/>
              <w:left w:val="nil"/>
              <w:bottom w:val="single" w:color="auto" w:sz="4" w:space="0"/>
              <w:right w:val="single" w:color="auto" w:sz="4" w:space="0"/>
            </w:tcBorders>
            <w:noWrap/>
            <w:vAlign w:val="center"/>
          </w:tcPr>
          <w:p w14:paraId="100B3A71">
            <w:pPr>
              <w:pStyle w:val="59"/>
              <w:rPr>
                <w:color w:val="auto"/>
              </w:rPr>
            </w:pPr>
          </w:p>
        </w:tc>
        <w:tc>
          <w:tcPr>
            <w:tcW w:w="846" w:type="dxa"/>
            <w:tcBorders>
              <w:top w:val="nil"/>
              <w:left w:val="nil"/>
              <w:bottom w:val="single" w:color="auto" w:sz="4" w:space="0"/>
              <w:right w:val="single" w:color="auto" w:sz="4" w:space="0"/>
            </w:tcBorders>
            <w:noWrap/>
            <w:vAlign w:val="center"/>
          </w:tcPr>
          <w:p w14:paraId="5EA5FCFE">
            <w:pPr>
              <w:pStyle w:val="59"/>
              <w:rPr>
                <w:color w:val="auto"/>
              </w:rPr>
            </w:pPr>
          </w:p>
        </w:tc>
        <w:tc>
          <w:tcPr>
            <w:tcW w:w="610" w:type="dxa"/>
            <w:tcBorders>
              <w:top w:val="nil"/>
              <w:left w:val="nil"/>
              <w:bottom w:val="single" w:color="auto" w:sz="4" w:space="0"/>
              <w:right w:val="single" w:color="auto" w:sz="4" w:space="0"/>
            </w:tcBorders>
            <w:noWrap/>
            <w:vAlign w:val="center"/>
          </w:tcPr>
          <w:p w14:paraId="5E39CCCC">
            <w:pPr>
              <w:pStyle w:val="59"/>
              <w:rPr>
                <w:color w:val="auto"/>
              </w:rPr>
            </w:pPr>
          </w:p>
        </w:tc>
        <w:tc>
          <w:tcPr>
            <w:tcW w:w="668" w:type="dxa"/>
            <w:tcBorders>
              <w:top w:val="nil"/>
              <w:left w:val="nil"/>
              <w:bottom w:val="single" w:color="auto" w:sz="4" w:space="0"/>
              <w:right w:val="single" w:color="auto" w:sz="4" w:space="0"/>
            </w:tcBorders>
            <w:noWrap/>
            <w:vAlign w:val="center"/>
          </w:tcPr>
          <w:p w14:paraId="279C93F6">
            <w:pPr>
              <w:pStyle w:val="59"/>
              <w:rPr>
                <w:color w:val="auto"/>
              </w:rPr>
            </w:pPr>
          </w:p>
        </w:tc>
        <w:tc>
          <w:tcPr>
            <w:tcW w:w="555" w:type="dxa"/>
            <w:tcBorders>
              <w:top w:val="nil"/>
              <w:left w:val="nil"/>
              <w:bottom w:val="single" w:color="auto" w:sz="4" w:space="0"/>
              <w:right w:val="nil"/>
            </w:tcBorders>
            <w:noWrap/>
            <w:vAlign w:val="center"/>
          </w:tcPr>
          <w:p w14:paraId="713D42FE">
            <w:pPr>
              <w:pStyle w:val="59"/>
              <w:rPr>
                <w:color w:val="auto"/>
              </w:rPr>
            </w:pPr>
          </w:p>
        </w:tc>
      </w:tr>
      <w:tr w14:paraId="516CB223">
        <w:tblPrEx>
          <w:tblCellMar>
            <w:top w:w="0" w:type="dxa"/>
            <w:left w:w="108" w:type="dxa"/>
            <w:bottom w:w="0" w:type="dxa"/>
            <w:right w:w="108" w:type="dxa"/>
          </w:tblCellMar>
        </w:tblPrEx>
        <w:trPr>
          <w:trHeight w:val="397" w:hRule="atLeast"/>
        </w:trPr>
        <w:tc>
          <w:tcPr>
            <w:tcW w:w="426" w:type="dxa"/>
            <w:tcBorders>
              <w:top w:val="nil"/>
              <w:left w:val="nil"/>
              <w:bottom w:val="single" w:color="auto" w:sz="4" w:space="0"/>
              <w:right w:val="single" w:color="auto" w:sz="4" w:space="0"/>
            </w:tcBorders>
            <w:noWrap/>
            <w:vAlign w:val="center"/>
          </w:tcPr>
          <w:p w14:paraId="0CC48990">
            <w:pPr>
              <w:pStyle w:val="59"/>
              <w:rPr>
                <w:color w:val="auto"/>
              </w:rPr>
            </w:pPr>
            <w:r>
              <w:rPr>
                <w:rFonts w:hint="eastAsia"/>
                <w:color w:val="auto"/>
              </w:rPr>
              <w:t>5</w:t>
            </w:r>
          </w:p>
        </w:tc>
        <w:tc>
          <w:tcPr>
            <w:tcW w:w="508" w:type="dxa"/>
            <w:tcBorders>
              <w:top w:val="nil"/>
              <w:left w:val="nil"/>
              <w:bottom w:val="single" w:color="auto" w:sz="4" w:space="0"/>
              <w:right w:val="single" w:color="auto" w:sz="4" w:space="0"/>
            </w:tcBorders>
            <w:noWrap/>
            <w:vAlign w:val="center"/>
          </w:tcPr>
          <w:p w14:paraId="2A555E4D">
            <w:pPr>
              <w:pStyle w:val="59"/>
              <w:rPr>
                <w:color w:val="auto"/>
              </w:rPr>
            </w:pPr>
          </w:p>
        </w:tc>
        <w:tc>
          <w:tcPr>
            <w:tcW w:w="504" w:type="dxa"/>
            <w:tcBorders>
              <w:top w:val="nil"/>
              <w:left w:val="nil"/>
              <w:bottom w:val="single" w:color="auto" w:sz="4" w:space="0"/>
              <w:right w:val="single" w:color="auto" w:sz="4" w:space="0"/>
            </w:tcBorders>
            <w:noWrap/>
            <w:vAlign w:val="center"/>
          </w:tcPr>
          <w:p w14:paraId="03A2F797">
            <w:pPr>
              <w:pStyle w:val="59"/>
              <w:rPr>
                <w:color w:val="auto"/>
              </w:rPr>
            </w:pPr>
          </w:p>
        </w:tc>
        <w:tc>
          <w:tcPr>
            <w:tcW w:w="502" w:type="dxa"/>
            <w:tcBorders>
              <w:top w:val="nil"/>
              <w:left w:val="nil"/>
              <w:bottom w:val="single" w:color="auto" w:sz="4" w:space="0"/>
              <w:right w:val="single" w:color="auto" w:sz="4" w:space="0"/>
            </w:tcBorders>
            <w:noWrap/>
            <w:vAlign w:val="center"/>
          </w:tcPr>
          <w:p w14:paraId="6F8248F4">
            <w:pPr>
              <w:pStyle w:val="59"/>
              <w:rPr>
                <w:color w:val="auto"/>
              </w:rPr>
            </w:pPr>
          </w:p>
        </w:tc>
        <w:tc>
          <w:tcPr>
            <w:tcW w:w="502" w:type="dxa"/>
            <w:tcBorders>
              <w:top w:val="nil"/>
              <w:left w:val="nil"/>
              <w:bottom w:val="single" w:color="auto" w:sz="4" w:space="0"/>
              <w:right w:val="single" w:color="auto" w:sz="4" w:space="0"/>
            </w:tcBorders>
            <w:noWrap/>
            <w:vAlign w:val="center"/>
          </w:tcPr>
          <w:p w14:paraId="2ACEEB43">
            <w:pPr>
              <w:pStyle w:val="59"/>
              <w:rPr>
                <w:color w:val="auto"/>
              </w:rPr>
            </w:pPr>
          </w:p>
        </w:tc>
        <w:tc>
          <w:tcPr>
            <w:tcW w:w="418" w:type="dxa"/>
            <w:tcBorders>
              <w:top w:val="nil"/>
              <w:left w:val="nil"/>
              <w:bottom w:val="single" w:color="auto" w:sz="4" w:space="0"/>
              <w:right w:val="single" w:color="auto" w:sz="4" w:space="0"/>
            </w:tcBorders>
            <w:noWrap/>
            <w:vAlign w:val="center"/>
          </w:tcPr>
          <w:p w14:paraId="2EA5979D">
            <w:pPr>
              <w:pStyle w:val="59"/>
              <w:rPr>
                <w:color w:val="auto"/>
              </w:rPr>
            </w:pPr>
          </w:p>
        </w:tc>
        <w:tc>
          <w:tcPr>
            <w:tcW w:w="420" w:type="dxa"/>
            <w:tcBorders>
              <w:top w:val="nil"/>
              <w:left w:val="nil"/>
              <w:bottom w:val="single" w:color="auto" w:sz="4" w:space="0"/>
              <w:right w:val="single" w:color="auto" w:sz="4" w:space="0"/>
            </w:tcBorders>
            <w:noWrap/>
            <w:vAlign w:val="center"/>
          </w:tcPr>
          <w:p w14:paraId="45554A22">
            <w:pPr>
              <w:pStyle w:val="59"/>
              <w:rPr>
                <w:color w:val="auto"/>
              </w:rPr>
            </w:pPr>
          </w:p>
        </w:tc>
        <w:tc>
          <w:tcPr>
            <w:tcW w:w="422" w:type="dxa"/>
            <w:tcBorders>
              <w:top w:val="nil"/>
              <w:left w:val="nil"/>
              <w:bottom w:val="single" w:color="auto" w:sz="4" w:space="0"/>
              <w:right w:val="single" w:color="auto" w:sz="4" w:space="0"/>
            </w:tcBorders>
            <w:noWrap/>
            <w:vAlign w:val="center"/>
          </w:tcPr>
          <w:p w14:paraId="6FB5FEC4">
            <w:pPr>
              <w:pStyle w:val="59"/>
              <w:rPr>
                <w:color w:val="auto"/>
              </w:rPr>
            </w:pPr>
          </w:p>
        </w:tc>
        <w:tc>
          <w:tcPr>
            <w:tcW w:w="502" w:type="dxa"/>
            <w:tcBorders>
              <w:top w:val="nil"/>
              <w:left w:val="nil"/>
              <w:bottom w:val="single" w:color="auto" w:sz="4" w:space="0"/>
              <w:right w:val="single" w:color="auto" w:sz="4" w:space="0"/>
            </w:tcBorders>
            <w:noWrap/>
            <w:vAlign w:val="center"/>
          </w:tcPr>
          <w:p w14:paraId="4F69ED8C">
            <w:pPr>
              <w:pStyle w:val="59"/>
              <w:rPr>
                <w:color w:val="auto"/>
              </w:rPr>
            </w:pPr>
          </w:p>
        </w:tc>
        <w:tc>
          <w:tcPr>
            <w:tcW w:w="502" w:type="dxa"/>
            <w:tcBorders>
              <w:top w:val="nil"/>
              <w:left w:val="nil"/>
              <w:bottom w:val="single" w:color="auto" w:sz="4" w:space="0"/>
              <w:right w:val="single" w:color="auto" w:sz="4" w:space="0"/>
            </w:tcBorders>
            <w:noWrap/>
            <w:vAlign w:val="center"/>
          </w:tcPr>
          <w:p w14:paraId="297558DA">
            <w:pPr>
              <w:pStyle w:val="59"/>
              <w:rPr>
                <w:color w:val="auto"/>
              </w:rPr>
            </w:pPr>
          </w:p>
        </w:tc>
        <w:tc>
          <w:tcPr>
            <w:tcW w:w="426" w:type="dxa"/>
            <w:tcBorders>
              <w:top w:val="nil"/>
              <w:left w:val="nil"/>
              <w:bottom w:val="single" w:color="auto" w:sz="4" w:space="0"/>
              <w:right w:val="single" w:color="auto" w:sz="4" w:space="0"/>
            </w:tcBorders>
            <w:noWrap/>
            <w:vAlign w:val="center"/>
          </w:tcPr>
          <w:p w14:paraId="4D83A5C7">
            <w:pPr>
              <w:pStyle w:val="59"/>
              <w:rPr>
                <w:color w:val="auto"/>
              </w:rPr>
            </w:pPr>
          </w:p>
        </w:tc>
        <w:tc>
          <w:tcPr>
            <w:tcW w:w="625" w:type="dxa"/>
            <w:tcBorders>
              <w:top w:val="nil"/>
              <w:left w:val="nil"/>
              <w:bottom w:val="single" w:color="auto" w:sz="4" w:space="0"/>
              <w:right w:val="single" w:color="auto" w:sz="4" w:space="0"/>
            </w:tcBorders>
            <w:noWrap/>
            <w:vAlign w:val="center"/>
          </w:tcPr>
          <w:p w14:paraId="7AB9A881">
            <w:pPr>
              <w:pStyle w:val="59"/>
              <w:rPr>
                <w:color w:val="auto"/>
              </w:rPr>
            </w:pPr>
          </w:p>
        </w:tc>
        <w:tc>
          <w:tcPr>
            <w:tcW w:w="846" w:type="dxa"/>
            <w:tcBorders>
              <w:top w:val="nil"/>
              <w:left w:val="nil"/>
              <w:bottom w:val="single" w:color="auto" w:sz="4" w:space="0"/>
              <w:right w:val="single" w:color="auto" w:sz="4" w:space="0"/>
            </w:tcBorders>
            <w:noWrap/>
            <w:vAlign w:val="center"/>
          </w:tcPr>
          <w:p w14:paraId="1AC911AA">
            <w:pPr>
              <w:pStyle w:val="59"/>
              <w:rPr>
                <w:color w:val="auto"/>
              </w:rPr>
            </w:pPr>
          </w:p>
        </w:tc>
        <w:tc>
          <w:tcPr>
            <w:tcW w:w="846" w:type="dxa"/>
            <w:tcBorders>
              <w:top w:val="nil"/>
              <w:left w:val="nil"/>
              <w:bottom w:val="single" w:color="auto" w:sz="4" w:space="0"/>
              <w:right w:val="single" w:color="auto" w:sz="4" w:space="0"/>
            </w:tcBorders>
            <w:noWrap/>
            <w:vAlign w:val="center"/>
          </w:tcPr>
          <w:p w14:paraId="597FAEE3">
            <w:pPr>
              <w:pStyle w:val="59"/>
              <w:rPr>
                <w:color w:val="auto"/>
              </w:rPr>
            </w:pPr>
          </w:p>
        </w:tc>
        <w:tc>
          <w:tcPr>
            <w:tcW w:w="610" w:type="dxa"/>
            <w:tcBorders>
              <w:top w:val="nil"/>
              <w:left w:val="nil"/>
              <w:bottom w:val="single" w:color="auto" w:sz="4" w:space="0"/>
              <w:right w:val="single" w:color="auto" w:sz="4" w:space="0"/>
            </w:tcBorders>
            <w:noWrap/>
            <w:vAlign w:val="center"/>
          </w:tcPr>
          <w:p w14:paraId="5531AF85">
            <w:pPr>
              <w:pStyle w:val="59"/>
              <w:rPr>
                <w:color w:val="auto"/>
              </w:rPr>
            </w:pPr>
          </w:p>
        </w:tc>
        <w:tc>
          <w:tcPr>
            <w:tcW w:w="668" w:type="dxa"/>
            <w:tcBorders>
              <w:top w:val="nil"/>
              <w:left w:val="nil"/>
              <w:bottom w:val="single" w:color="auto" w:sz="4" w:space="0"/>
              <w:right w:val="single" w:color="auto" w:sz="4" w:space="0"/>
            </w:tcBorders>
            <w:noWrap/>
            <w:vAlign w:val="center"/>
          </w:tcPr>
          <w:p w14:paraId="5D40CB13">
            <w:pPr>
              <w:pStyle w:val="59"/>
              <w:rPr>
                <w:color w:val="auto"/>
              </w:rPr>
            </w:pPr>
          </w:p>
        </w:tc>
        <w:tc>
          <w:tcPr>
            <w:tcW w:w="555" w:type="dxa"/>
            <w:tcBorders>
              <w:top w:val="nil"/>
              <w:left w:val="nil"/>
              <w:bottom w:val="single" w:color="auto" w:sz="4" w:space="0"/>
              <w:right w:val="nil"/>
            </w:tcBorders>
            <w:noWrap/>
            <w:vAlign w:val="center"/>
          </w:tcPr>
          <w:p w14:paraId="2966C10E">
            <w:pPr>
              <w:pStyle w:val="59"/>
              <w:rPr>
                <w:color w:val="auto"/>
              </w:rPr>
            </w:pPr>
          </w:p>
        </w:tc>
      </w:tr>
      <w:tr w14:paraId="76A21559">
        <w:tblPrEx>
          <w:tblCellMar>
            <w:top w:w="0" w:type="dxa"/>
            <w:left w:w="108" w:type="dxa"/>
            <w:bottom w:w="0" w:type="dxa"/>
            <w:right w:w="108" w:type="dxa"/>
          </w:tblCellMar>
        </w:tblPrEx>
        <w:trPr>
          <w:trHeight w:val="397" w:hRule="atLeast"/>
        </w:trPr>
        <w:tc>
          <w:tcPr>
            <w:tcW w:w="426" w:type="dxa"/>
            <w:tcBorders>
              <w:top w:val="nil"/>
              <w:left w:val="nil"/>
              <w:bottom w:val="single" w:color="auto" w:sz="4" w:space="0"/>
              <w:right w:val="single" w:color="auto" w:sz="4" w:space="0"/>
            </w:tcBorders>
            <w:noWrap/>
            <w:vAlign w:val="center"/>
          </w:tcPr>
          <w:p w14:paraId="3CC8F19B">
            <w:pPr>
              <w:pStyle w:val="59"/>
              <w:rPr>
                <w:color w:val="auto"/>
              </w:rPr>
            </w:pPr>
            <w:r>
              <w:rPr>
                <w:rFonts w:hint="eastAsia"/>
                <w:color w:val="auto"/>
              </w:rPr>
              <w:t>6</w:t>
            </w:r>
          </w:p>
        </w:tc>
        <w:tc>
          <w:tcPr>
            <w:tcW w:w="508" w:type="dxa"/>
            <w:tcBorders>
              <w:top w:val="nil"/>
              <w:left w:val="nil"/>
              <w:bottom w:val="single" w:color="auto" w:sz="4" w:space="0"/>
              <w:right w:val="single" w:color="auto" w:sz="4" w:space="0"/>
            </w:tcBorders>
            <w:noWrap/>
            <w:vAlign w:val="center"/>
          </w:tcPr>
          <w:p w14:paraId="76B6E8CF">
            <w:pPr>
              <w:pStyle w:val="59"/>
              <w:rPr>
                <w:color w:val="auto"/>
              </w:rPr>
            </w:pPr>
          </w:p>
        </w:tc>
        <w:tc>
          <w:tcPr>
            <w:tcW w:w="504" w:type="dxa"/>
            <w:tcBorders>
              <w:top w:val="nil"/>
              <w:left w:val="nil"/>
              <w:bottom w:val="single" w:color="auto" w:sz="4" w:space="0"/>
              <w:right w:val="single" w:color="auto" w:sz="4" w:space="0"/>
            </w:tcBorders>
            <w:noWrap/>
            <w:vAlign w:val="center"/>
          </w:tcPr>
          <w:p w14:paraId="424485A4">
            <w:pPr>
              <w:pStyle w:val="59"/>
              <w:rPr>
                <w:color w:val="auto"/>
              </w:rPr>
            </w:pPr>
          </w:p>
        </w:tc>
        <w:tc>
          <w:tcPr>
            <w:tcW w:w="502" w:type="dxa"/>
            <w:tcBorders>
              <w:top w:val="nil"/>
              <w:left w:val="nil"/>
              <w:bottom w:val="single" w:color="auto" w:sz="4" w:space="0"/>
              <w:right w:val="single" w:color="auto" w:sz="4" w:space="0"/>
            </w:tcBorders>
            <w:noWrap/>
            <w:vAlign w:val="center"/>
          </w:tcPr>
          <w:p w14:paraId="0843BEAE">
            <w:pPr>
              <w:pStyle w:val="59"/>
              <w:rPr>
                <w:color w:val="auto"/>
              </w:rPr>
            </w:pPr>
          </w:p>
        </w:tc>
        <w:tc>
          <w:tcPr>
            <w:tcW w:w="502" w:type="dxa"/>
            <w:tcBorders>
              <w:top w:val="nil"/>
              <w:left w:val="nil"/>
              <w:bottom w:val="single" w:color="auto" w:sz="4" w:space="0"/>
              <w:right w:val="single" w:color="auto" w:sz="4" w:space="0"/>
            </w:tcBorders>
            <w:noWrap/>
            <w:vAlign w:val="center"/>
          </w:tcPr>
          <w:p w14:paraId="63C143D2">
            <w:pPr>
              <w:pStyle w:val="59"/>
              <w:rPr>
                <w:color w:val="auto"/>
              </w:rPr>
            </w:pPr>
          </w:p>
        </w:tc>
        <w:tc>
          <w:tcPr>
            <w:tcW w:w="418" w:type="dxa"/>
            <w:tcBorders>
              <w:top w:val="nil"/>
              <w:left w:val="nil"/>
              <w:bottom w:val="single" w:color="auto" w:sz="4" w:space="0"/>
              <w:right w:val="single" w:color="auto" w:sz="4" w:space="0"/>
            </w:tcBorders>
            <w:noWrap/>
            <w:vAlign w:val="center"/>
          </w:tcPr>
          <w:p w14:paraId="1D93DF95">
            <w:pPr>
              <w:pStyle w:val="59"/>
              <w:rPr>
                <w:color w:val="auto"/>
              </w:rPr>
            </w:pPr>
          </w:p>
        </w:tc>
        <w:tc>
          <w:tcPr>
            <w:tcW w:w="420" w:type="dxa"/>
            <w:tcBorders>
              <w:top w:val="nil"/>
              <w:left w:val="nil"/>
              <w:bottom w:val="single" w:color="auto" w:sz="4" w:space="0"/>
              <w:right w:val="single" w:color="auto" w:sz="4" w:space="0"/>
            </w:tcBorders>
            <w:noWrap/>
            <w:vAlign w:val="center"/>
          </w:tcPr>
          <w:p w14:paraId="60001EF0">
            <w:pPr>
              <w:pStyle w:val="59"/>
              <w:rPr>
                <w:color w:val="auto"/>
              </w:rPr>
            </w:pPr>
          </w:p>
        </w:tc>
        <w:tc>
          <w:tcPr>
            <w:tcW w:w="422" w:type="dxa"/>
            <w:tcBorders>
              <w:top w:val="nil"/>
              <w:left w:val="nil"/>
              <w:bottom w:val="single" w:color="auto" w:sz="4" w:space="0"/>
              <w:right w:val="single" w:color="auto" w:sz="4" w:space="0"/>
            </w:tcBorders>
            <w:noWrap/>
            <w:vAlign w:val="center"/>
          </w:tcPr>
          <w:p w14:paraId="34926E41">
            <w:pPr>
              <w:pStyle w:val="59"/>
              <w:rPr>
                <w:color w:val="auto"/>
              </w:rPr>
            </w:pPr>
          </w:p>
        </w:tc>
        <w:tc>
          <w:tcPr>
            <w:tcW w:w="502" w:type="dxa"/>
            <w:tcBorders>
              <w:top w:val="nil"/>
              <w:left w:val="nil"/>
              <w:bottom w:val="single" w:color="auto" w:sz="4" w:space="0"/>
              <w:right w:val="single" w:color="auto" w:sz="4" w:space="0"/>
            </w:tcBorders>
            <w:noWrap/>
            <w:vAlign w:val="center"/>
          </w:tcPr>
          <w:p w14:paraId="414D1F03">
            <w:pPr>
              <w:pStyle w:val="59"/>
              <w:rPr>
                <w:color w:val="auto"/>
              </w:rPr>
            </w:pPr>
          </w:p>
        </w:tc>
        <w:tc>
          <w:tcPr>
            <w:tcW w:w="502" w:type="dxa"/>
            <w:tcBorders>
              <w:top w:val="nil"/>
              <w:left w:val="nil"/>
              <w:bottom w:val="single" w:color="auto" w:sz="4" w:space="0"/>
              <w:right w:val="single" w:color="auto" w:sz="4" w:space="0"/>
            </w:tcBorders>
            <w:noWrap/>
            <w:vAlign w:val="center"/>
          </w:tcPr>
          <w:p w14:paraId="4866E3FF">
            <w:pPr>
              <w:pStyle w:val="59"/>
              <w:rPr>
                <w:color w:val="auto"/>
              </w:rPr>
            </w:pPr>
          </w:p>
        </w:tc>
        <w:tc>
          <w:tcPr>
            <w:tcW w:w="426" w:type="dxa"/>
            <w:tcBorders>
              <w:top w:val="nil"/>
              <w:left w:val="nil"/>
              <w:bottom w:val="single" w:color="auto" w:sz="4" w:space="0"/>
              <w:right w:val="single" w:color="auto" w:sz="4" w:space="0"/>
            </w:tcBorders>
            <w:noWrap/>
            <w:vAlign w:val="center"/>
          </w:tcPr>
          <w:p w14:paraId="55F8A292">
            <w:pPr>
              <w:pStyle w:val="59"/>
              <w:rPr>
                <w:color w:val="auto"/>
              </w:rPr>
            </w:pPr>
          </w:p>
        </w:tc>
        <w:tc>
          <w:tcPr>
            <w:tcW w:w="625" w:type="dxa"/>
            <w:tcBorders>
              <w:top w:val="nil"/>
              <w:left w:val="nil"/>
              <w:bottom w:val="single" w:color="auto" w:sz="4" w:space="0"/>
              <w:right w:val="single" w:color="auto" w:sz="4" w:space="0"/>
            </w:tcBorders>
            <w:noWrap/>
            <w:vAlign w:val="center"/>
          </w:tcPr>
          <w:p w14:paraId="0EA356F4">
            <w:pPr>
              <w:pStyle w:val="59"/>
              <w:rPr>
                <w:color w:val="auto"/>
              </w:rPr>
            </w:pPr>
          </w:p>
        </w:tc>
        <w:tc>
          <w:tcPr>
            <w:tcW w:w="846" w:type="dxa"/>
            <w:tcBorders>
              <w:top w:val="nil"/>
              <w:left w:val="nil"/>
              <w:bottom w:val="single" w:color="auto" w:sz="4" w:space="0"/>
              <w:right w:val="single" w:color="auto" w:sz="4" w:space="0"/>
            </w:tcBorders>
            <w:noWrap/>
            <w:vAlign w:val="center"/>
          </w:tcPr>
          <w:p w14:paraId="1A8A8502">
            <w:pPr>
              <w:pStyle w:val="59"/>
              <w:rPr>
                <w:color w:val="auto"/>
              </w:rPr>
            </w:pPr>
          </w:p>
        </w:tc>
        <w:tc>
          <w:tcPr>
            <w:tcW w:w="846" w:type="dxa"/>
            <w:tcBorders>
              <w:top w:val="nil"/>
              <w:left w:val="nil"/>
              <w:bottom w:val="single" w:color="auto" w:sz="4" w:space="0"/>
              <w:right w:val="single" w:color="auto" w:sz="4" w:space="0"/>
            </w:tcBorders>
            <w:noWrap/>
            <w:vAlign w:val="center"/>
          </w:tcPr>
          <w:p w14:paraId="77BBF223">
            <w:pPr>
              <w:pStyle w:val="59"/>
              <w:rPr>
                <w:color w:val="auto"/>
              </w:rPr>
            </w:pPr>
          </w:p>
        </w:tc>
        <w:tc>
          <w:tcPr>
            <w:tcW w:w="610" w:type="dxa"/>
            <w:tcBorders>
              <w:top w:val="nil"/>
              <w:left w:val="nil"/>
              <w:bottom w:val="single" w:color="auto" w:sz="4" w:space="0"/>
              <w:right w:val="single" w:color="auto" w:sz="4" w:space="0"/>
            </w:tcBorders>
            <w:noWrap/>
            <w:vAlign w:val="center"/>
          </w:tcPr>
          <w:p w14:paraId="2EDC9F54">
            <w:pPr>
              <w:pStyle w:val="59"/>
              <w:rPr>
                <w:color w:val="auto"/>
              </w:rPr>
            </w:pPr>
          </w:p>
        </w:tc>
        <w:tc>
          <w:tcPr>
            <w:tcW w:w="668" w:type="dxa"/>
            <w:tcBorders>
              <w:top w:val="nil"/>
              <w:left w:val="nil"/>
              <w:bottom w:val="single" w:color="auto" w:sz="4" w:space="0"/>
              <w:right w:val="single" w:color="auto" w:sz="4" w:space="0"/>
            </w:tcBorders>
            <w:noWrap/>
            <w:vAlign w:val="center"/>
          </w:tcPr>
          <w:p w14:paraId="7D2FFE4E">
            <w:pPr>
              <w:pStyle w:val="59"/>
              <w:rPr>
                <w:color w:val="auto"/>
              </w:rPr>
            </w:pPr>
          </w:p>
        </w:tc>
        <w:tc>
          <w:tcPr>
            <w:tcW w:w="555" w:type="dxa"/>
            <w:tcBorders>
              <w:top w:val="nil"/>
              <w:left w:val="nil"/>
              <w:bottom w:val="single" w:color="auto" w:sz="4" w:space="0"/>
              <w:right w:val="nil"/>
            </w:tcBorders>
            <w:noWrap/>
            <w:vAlign w:val="center"/>
          </w:tcPr>
          <w:p w14:paraId="50B3D479">
            <w:pPr>
              <w:pStyle w:val="59"/>
              <w:rPr>
                <w:color w:val="auto"/>
              </w:rPr>
            </w:pPr>
          </w:p>
        </w:tc>
      </w:tr>
      <w:tr w14:paraId="713BB238">
        <w:tblPrEx>
          <w:tblCellMar>
            <w:top w:w="0" w:type="dxa"/>
            <w:left w:w="108" w:type="dxa"/>
            <w:bottom w:w="0" w:type="dxa"/>
            <w:right w:w="108" w:type="dxa"/>
          </w:tblCellMar>
        </w:tblPrEx>
        <w:trPr>
          <w:trHeight w:val="397" w:hRule="atLeast"/>
        </w:trPr>
        <w:tc>
          <w:tcPr>
            <w:tcW w:w="426" w:type="dxa"/>
            <w:tcBorders>
              <w:top w:val="nil"/>
              <w:left w:val="nil"/>
              <w:bottom w:val="single" w:color="auto" w:sz="12" w:space="0"/>
              <w:right w:val="single" w:color="auto" w:sz="4" w:space="0"/>
            </w:tcBorders>
            <w:noWrap/>
            <w:vAlign w:val="center"/>
          </w:tcPr>
          <w:p w14:paraId="42E4700B">
            <w:pPr>
              <w:pStyle w:val="59"/>
              <w:rPr>
                <w:color w:val="auto"/>
              </w:rPr>
            </w:pPr>
            <w:r>
              <w:rPr>
                <w:rFonts w:hint="eastAsia"/>
                <w:color w:val="auto"/>
              </w:rPr>
              <w:t>7</w:t>
            </w:r>
          </w:p>
        </w:tc>
        <w:tc>
          <w:tcPr>
            <w:tcW w:w="508" w:type="dxa"/>
            <w:tcBorders>
              <w:top w:val="nil"/>
              <w:left w:val="nil"/>
              <w:bottom w:val="single" w:color="auto" w:sz="12" w:space="0"/>
              <w:right w:val="single" w:color="auto" w:sz="4" w:space="0"/>
            </w:tcBorders>
            <w:noWrap/>
            <w:vAlign w:val="center"/>
          </w:tcPr>
          <w:p w14:paraId="190506C8">
            <w:pPr>
              <w:pStyle w:val="59"/>
              <w:rPr>
                <w:color w:val="auto"/>
              </w:rPr>
            </w:pPr>
          </w:p>
        </w:tc>
        <w:tc>
          <w:tcPr>
            <w:tcW w:w="504" w:type="dxa"/>
            <w:tcBorders>
              <w:top w:val="nil"/>
              <w:left w:val="nil"/>
              <w:bottom w:val="single" w:color="auto" w:sz="12" w:space="0"/>
              <w:right w:val="single" w:color="auto" w:sz="4" w:space="0"/>
            </w:tcBorders>
            <w:noWrap/>
            <w:vAlign w:val="center"/>
          </w:tcPr>
          <w:p w14:paraId="7186F182">
            <w:pPr>
              <w:pStyle w:val="59"/>
              <w:rPr>
                <w:color w:val="auto"/>
              </w:rPr>
            </w:pPr>
          </w:p>
        </w:tc>
        <w:tc>
          <w:tcPr>
            <w:tcW w:w="502" w:type="dxa"/>
            <w:tcBorders>
              <w:top w:val="nil"/>
              <w:left w:val="nil"/>
              <w:bottom w:val="single" w:color="auto" w:sz="12" w:space="0"/>
              <w:right w:val="single" w:color="auto" w:sz="4" w:space="0"/>
            </w:tcBorders>
            <w:noWrap/>
            <w:vAlign w:val="center"/>
          </w:tcPr>
          <w:p w14:paraId="5DB15680">
            <w:pPr>
              <w:pStyle w:val="59"/>
              <w:rPr>
                <w:color w:val="auto"/>
              </w:rPr>
            </w:pPr>
          </w:p>
        </w:tc>
        <w:tc>
          <w:tcPr>
            <w:tcW w:w="502" w:type="dxa"/>
            <w:tcBorders>
              <w:top w:val="nil"/>
              <w:left w:val="nil"/>
              <w:bottom w:val="single" w:color="auto" w:sz="12" w:space="0"/>
              <w:right w:val="single" w:color="auto" w:sz="4" w:space="0"/>
            </w:tcBorders>
            <w:noWrap/>
            <w:vAlign w:val="center"/>
          </w:tcPr>
          <w:p w14:paraId="5CE74EA9">
            <w:pPr>
              <w:pStyle w:val="59"/>
              <w:rPr>
                <w:color w:val="auto"/>
              </w:rPr>
            </w:pPr>
          </w:p>
        </w:tc>
        <w:tc>
          <w:tcPr>
            <w:tcW w:w="418" w:type="dxa"/>
            <w:tcBorders>
              <w:top w:val="nil"/>
              <w:left w:val="nil"/>
              <w:bottom w:val="single" w:color="auto" w:sz="12" w:space="0"/>
              <w:right w:val="single" w:color="auto" w:sz="4" w:space="0"/>
            </w:tcBorders>
            <w:noWrap/>
            <w:vAlign w:val="center"/>
          </w:tcPr>
          <w:p w14:paraId="424EE063">
            <w:pPr>
              <w:pStyle w:val="59"/>
              <w:rPr>
                <w:color w:val="auto"/>
              </w:rPr>
            </w:pPr>
          </w:p>
        </w:tc>
        <w:tc>
          <w:tcPr>
            <w:tcW w:w="420" w:type="dxa"/>
            <w:tcBorders>
              <w:top w:val="nil"/>
              <w:left w:val="nil"/>
              <w:bottom w:val="single" w:color="auto" w:sz="12" w:space="0"/>
              <w:right w:val="single" w:color="auto" w:sz="4" w:space="0"/>
            </w:tcBorders>
            <w:noWrap/>
            <w:vAlign w:val="center"/>
          </w:tcPr>
          <w:p w14:paraId="46C07C83">
            <w:pPr>
              <w:pStyle w:val="59"/>
              <w:rPr>
                <w:color w:val="auto"/>
              </w:rPr>
            </w:pPr>
          </w:p>
        </w:tc>
        <w:tc>
          <w:tcPr>
            <w:tcW w:w="422" w:type="dxa"/>
            <w:tcBorders>
              <w:top w:val="nil"/>
              <w:left w:val="nil"/>
              <w:bottom w:val="single" w:color="auto" w:sz="12" w:space="0"/>
              <w:right w:val="single" w:color="auto" w:sz="4" w:space="0"/>
            </w:tcBorders>
            <w:noWrap/>
            <w:vAlign w:val="center"/>
          </w:tcPr>
          <w:p w14:paraId="15871509">
            <w:pPr>
              <w:pStyle w:val="59"/>
              <w:rPr>
                <w:color w:val="auto"/>
              </w:rPr>
            </w:pPr>
          </w:p>
        </w:tc>
        <w:tc>
          <w:tcPr>
            <w:tcW w:w="502" w:type="dxa"/>
            <w:tcBorders>
              <w:top w:val="nil"/>
              <w:left w:val="nil"/>
              <w:bottom w:val="single" w:color="auto" w:sz="12" w:space="0"/>
              <w:right w:val="single" w:color="auto" w:sz="4" w:space="0"/>
            </w:tcBorders>
            <w:noWrap/>
            <w:vAlign w:val="center"/>
          </w:tcPr>
          <w:p w14:paraId="04C744C1">
            <w:pPr>
              <w:pStyle w:val="59"/>
              <w:rPr>
                <w:color w:val="auto"/>
              </w:rPr>
            </w:pPr>
          </w:p>
        </w:tc>
        <w:tc>
          <w:tcPr>
            <w:tcW w:w="502" w:type="dxa"/>
            <w:tcBorders>
              <w:top w:val="nil"/>
              <w:left w:val="nil"/>
              <w:bottom w:val="single" w:color="auto" w:sz="12" w:space="0"/>
              <w:right w:val="single" w:color="auto" w:sz="4" w:space="0"/>
            </w:tcBorders>
            <w:noWrap/>
            <w:vAlign w:val="center"/>
          </w:tcPr>
          <w:p w14:paraId="0C82F206">
            <w:pPr>
              <w:pStyle w:val="59"/>
              <w:rPr>
                <w:color w:val="auto"/>
              </w:rPr>
            </w:pPr>
          </w:p>
        </w:tc>
        <w:tc>
          <w:tcPr>
            <w:tcW w:w="426" w:type="dxa"/>
            <w:tcBorders>
              <w:top w:val="nil"/>
              <w:left w:val="nil"/>
              <w:bottom w:val="single" w:color="auto" w:sz="12" w:space="0"/>
              <w:right w:val="single" w:color="auto" w:sz="4" w:space="0"/>
            </w:tcBorders>
            <w:noWrap/>
            <w:vAlign w:val="center"/>
          </w:tcPr>
          <w:p w14:paraId="134FFDE0">
            <w:pPr>
              <w:pStyle w:val="59"/>
              <w:rPr>
                <w:color w:val="auto"/>
              </w:rPr>
            </w:pPr>
          </w:p>
        </w:tc>
        <w:tc>
          <w:tcPr>
            <w:tcW w:w="625" w:type="dxa"/>
            <w:tcBorders>
              <w:top w:val="nil"/>
              <w:left w:val="nil"/>
              <w:bottom w:val="single" w:color="auto" w:sz="12" w:space="0"/>
              <w:right w:val="single" w:color="auto" w:sz="4" w:space="0"/>
            </w:tcBorders>
            <w:noWrap/>
            <w:vAlign w:val="center"/>
          </w:tcPr>
          <w:p w14:paraId="78552FF0">
            <w:pPr>
              <w:pStyle w:val="59"/>
              <w:rPr>
                <w:color w:val="auto"/>
              </w:rPr>
            </w:pPr>
          </w:p>
        </w:tc>
        <w:tc>
          <w:tcPr>
            <w:tcW w:w="846" w:type="dxa"/>
            <w:tcBorders>
              <w:top w:val="nil"/>
              <w:left w:val="nil"/>
              <w:bottom w:val="single" w:color="auto" w:sz="12" w:space="0"/>
              <w:right w:val="single" w:color="auto" w:sz="4" w:space="0"/>
            </w:tcBorders>
            <w:noWrap/>
            <w:vAlign w:val="center"/>
          </w:tcPr>
          <w:p w14:paraId="4F1D8653">
            <w:pPr>
              <w:pStyle w:val="59"/>
              <w:rPr>
                <w:color w:val="auto"/>
              </w:rPr>
            </w:pPr>
          </w:p>
        </w:tc>
        <w:tc>
          <w:tcPr>
            <w:tcW w:w="846" w:type="dxa"/>
            <w:tcBorders>
              <w:top w:val="nil"/>
              <w:left w:val="nil"/>
              <w:bottom w:val="single" w:color="auto" w:sz="12" w:space="0"/>
              <w:right w:val="single" w:color="auto" w:sz="4" w:space="0"/>
            </w:tcBorders>
            <w:noWrap/>
            <w:vAlign w:val="center"/>
          </w:tcPr>
          <w:p w14:paraId="46C4F62B">
            <w:pPr>
              <w:pStyle w:val="59"/>
              <w:rPr>
                <w:color w:val="auto"/>
              </w:rPr>
            </w:pPr>
          </w:p>
        </w:tc>
        <w:tc>
          <w:tcPr>
            <w:tcW w:w="610" w:type="dxa"/>
            <w:tcBorders>
              <w:top w:val="nil"/>
              <w:left w:val="nil"/>
              <w:bottom w:val="single" w:color="auto" w:sz="12" w:space="0"/>
              <w:right w:val="single" w:color="auto" w:sz="4" w:space="0"/>
            </w:tcBorders>
            <w:noWrap/>
            <w:vAlign w:val="center"/>
          </w:tcPr>
          <w:p w14:paraId="21720B5D">
            <w:pPr>
              <w:pStyle w:val="59"/>
              <w:rPr>
                <w:color w:val="auto"/>
              </w:rPr>
            </w:pPr>
          </w:p>
        </w:tc>
        <w:tc>
          <w:tcPr>
            <w:tcW w:w="668" w:type="dxa"/>
            <w:tcBorders>
              <w:top w:val="nil"/>
              <w:left w:val="nil"/>
              <w:bottom w:val="single" w:color="auto" w:sz="12" w:space="0"/>
              <w:right w:val="single" w:color="auto" w:sz="4" w:space="0"/>
            </w:tcBorders>
            <w:noWrap/>
            <w:vAlign w:val="center"/>
          </w:tcPr>
          <w:p w14:paraId="1EDF3CFB">
            <w:pPr>
              <w:pStyle w:val="59"/>
              <w:rPr>
                <w:color w:val="auto"/>
              </w:rPr>
            </w:pPr>
          </w:p>
        </w:tc>
        <w:tc>
          <w:tcPr>
            <w:tcW w:w="555" w:type="dxa"/>
            <w:tcBorders>
              <w:top w:val="nil"/>
              <w:left w:val="nil"/>
              <w:bottom w:val="single" w:color="auto" w:sz="12" w:space="0"/>
              <w:right w:val="nil"/>
            </w:tcBorders>
            <w:noWrap/>
            <w:vAlign w:val="center"/>
          </w:tcPr>
          <w:p w14:paraId="7A1C5675">
            <w:pPr>
              <w:pStyle w:val="59"/>
              <w:rPr>
                <w:color w:val="auto"/>
              </w:rPr>
            </w:pPr>
          </w:p>
        </w:tc>
      </w:tr>
    </w:tbl>
    <w:p w14:paraId="375DCC03">
      <w:pPr>
        <w:pStyle w:val="62"/>
        <w:rPr>
          <w:rFonts w:hint="eastAsia"/>
          <w:color w:val="auto"/>
          <w:lang w:eastAsia="zh-CN"/>
        </w:rPr>
      </w:pPr>
    </w:p>
    <w:p w14:paraId="6236925C">
      <w:pPr>
        <w:pStyle w:val="62"/>
        <w:rPr>
          <w:rFonts w:hint="eastAsia"/>
          <w:color w:val="auto"/>
          <w:lang w:eastAsia="zh-CN"/>
        </w:rPr>
      </w:pPr>
    </w:p>
    <w:p w14:paraId="61403093">
      <w:pPr>
        <w:pStyle w:val="62"/>
        <w:rPr>
          <w:color w:val="auto"/>
        </w:rPr>
      </w:pPr>
      <w:r>
        <w:rPr>
          <w:rFonts w:hint="eastAsia"/>
          <w:color w:val="auto"/>
          <w:lang w:eastAsia="zh-CN"/>
        </w:rPr>
        <w:t>表</w:t>
      </w:r>
      <w:r>
        <w:rPr>
          <w:rFonts w:hint="eastAsia"/>
          <w:color w:val="auto"/>
          <w:lang w:val="en-US" w:eastAsia="zh-CN"/>
        </w:rPr>
        <w:t>6</w:t>
      </w:r>
      <w:r>
        <w:rPr>
          <w:rFonts w:hint="eastAsia"/>
          <w:color w:val="auto"/>
        </w:rPr>
        <w:t>.</w:t>
      </w:r>
      <w:r>
        <w:rPr>
          <w:rFonts w:hint="eastAsia"/>
          <w:color w:val="auto"/>
          <w:lang w:val="en-US" w:eastAsia="zh-CN"/>
        </w:rPr>
        <w:t>2</w:t>
      </w:r>
      <w:r>
        <w:rPr>
          <w:rFonts w:hint="eastAsia"/>
          <w:color w:val="auto"/>
        </w:rPr>
        <w:t>-3  环保设备日常维修记录表</w:t>
      </w:r>
    </w:p>
    <w:tbl>
      <w:tblPr>
        <w:tblStyle w:val="38"/>
        <w:tblW w:w="9102" w:type="dxa"/>
        <w:tblInd w:w="0" w:type="dxa"/>
        <w:tblLayout w:type="fixed"/>
        <w:tblCellMar>
          <w:top w:w="0" w:type="dxa"/>
          <w:left w:w="0" w:type="dxa"/>
          <w:bottom w:w="0" w:type="dxa"/>
          <w:right w:w="0" w:type="dxa"/>
        </w:tblCellMar>
      </w:tblPr>
      <w:tblGrid>
        <w:gridCol w:w="778"/>
        <w:gridCol w:w="778"/>
        <w:gridCol w:w="1507"/>
        <w:gridCol w:w="1871"/>
        <w:gridCol w:w="2237"/>
        <w:gridCol w:w="1144"/>
        <w:gridCol w:w="787"/>
      </w:tblGrid>
      <w:tr w14:paraId="7D61DFF8">
        <w:tblPrEx>
          <w:tblCellMar>
            <w:top w:w="0" w:type="dxa"/>
            <w:left w:w="0" w:type="dxa"/>
            <w:bottom w:w="0" w:type="dxa"/>
            <w:right w:w="0" w:type="dxa"/>
          </w:tblCellMar>
        </w:tblPrEx>
        <w:trPr>
          <w:trHeight w:val="397" w:hRule="atLeast"/>
        </w:trPr>
        <w:tc>
          <w:tcPr>
            <w:tcW w:w="778" w:type="dxa"/>
            <w:tcBorders>
              <w:top w:val="single" w:color="auto" w:sz="12" w:space="0"/>
              <w:left w:val="nil"/>
              <w:bottom w:val="single" w:color="000000" w:sz="4" w:space="0"/>
              <w:right w:val="single" w:color="000000" w:sz="4" w:space="0"/>
            </w:tcBorders>
            <w:noWrap/>
            <w:tcMar>
              <w:top w:w="15" w:type="dxa"/>
              <w:left w:w="15" w:type="dxa"/>
              <w:right w:w="15" w:type="dxa"/>
            </w:tcMar>
            <w:vAlign w:val="center"/>
          </w:tcPr>
          <w:p w14:paraId="354495A1">
            <w:pPr>
              <w:pStyle w:val="69"/>
              <w:rPr>
                <w:color w:val="auto"/>
              </w:rPr>
            </w:pPr>
            <w:r>
              <w:rPr>
                <w:rFonts w:hint="eastAsia"/>
                <w:color w:val="auto"/>
              </w:rPr>
              <w:t>序号</w:t>
            </w:r>
          </w:p>
        </w:tc>
        <w:tc>
          <w:tcPr>
            <w:tcW w:w="778" w:type="dxa"/>
            <w:tcBorders>
              <w:top w:val="single" w:color="auto" w:sz="12" w:space="0"/>
              <w:left w:val="single" w:color="000000" w:sz="4" w:space="0"/>
              <w:bottom w:val="single" w:color="000000" w:sz="4" w:space="0"/>
              <w:right w:val="single" w:color="000000" w:sz="4" w:space="0"/>
            </w:tcBorders>
            <w:noWrap/>
            <w:tcMar>
              <w:top w:w="15" w:type="dxa"/>
              <w:left w:w="15" w:type="dxa"/>
              <w:right w:w="15" w:type="dxa"/>
            </w:tcMar>
            <w:vAlign w:val="center"/>
          </w:tcPr>
          <w:p w14:paraId="423377B5">
            <w:pPr>
              <w:pStyle w:val="69"/>
              <w:rPr>
                <w:color w:val="auto"/>
              </w:rPr>
            </w:pPr>
            <w:r>
              <w:rPr>
                <w:rFonts w:hint="eastAsia"/>
                <w:color w:val="auto"/>
              </w:rPr>
              <w:t>日期</w:t>
            </w:r>
          </w:p>
        </w:tc>
        <w:tc>
          <w:tcPr>
            <w:tcW w:w="1507" w:type="dxa"/>
            <w:tcBorders>
              <w:top w:val="single" w:color="auto" w:sz="12" w:space="0"/>
              <w:left w:val="single" w:color="000000" w:sz="4" w:space="0"/>
              <w:bottom w:val="single" w:color="000000" w:sz="4" w:space="0"/>
              <w:right w:val="single" w:color="000000" w:sz="4" w:space="0"/>
            </w:tcBorders>
            <w:noWrap/>
            <w:tcMar>
              <w:top w:w="15" w:type="dxa"/>
              <w:left w:w="15" w:type="dxa"/>
              <w:right w:w="15" w:type="dxa"/>
            </w:tcMar>
            <w:vAlign w:val="center"/>
          </w:tcPr>
          <w:p w14:paraId="506391B9">
            <w:pPr>
              <w:pStyle w:val="69"/>
              <w:rPr>
                <w:color w:val="auto"/>
              </w:rPr>
            </w:pPr>
            <w:r>
              <w:rPr>
                <w:rFonts w:hint="eastAsia"/>
                <w:color w:val="auto"/>
              </w:rPr>
              <w:t>维保事项</w:t>
            </w:r>
          </w:p>
        </w:tc>
        <w:tc>
          <w:tcPr>
            <w:tcW w:w="1871" w:type="dxa"/>
            <w:tcBorders>
              <w:top w:val="single" w:color="auto" w:sz="12" w:space="0"/>
              <w:left w:val="single" w:color="000000" w:sz="4" w:space="0"/>
              <w:bottom w:val="single" w:color="000000" w:sz="4" w:space="0"/>
              <w:right w:val="single" w:color="000000" w:sz="4" w:space="0"/>
            </w:tcBorders>
            <w:noWrap/>
            <w:tcMar>
              <w:top w:w="15" w:type="dxa"/>
              <w:left w:w="15" w:type="dxa"/>
              <w:right w:w="15" w:type="dxa"/>
            </w:tcMar>
            <w:vAlign w:val="center"/>
          </w:tcPr>
          <w:p w14:paraId="30418733">
            <w:pPr>
              <w:pStyle w:val="69"/>
              <w:rPr>
                <w:color w:val="auto"/>
              </w:rPr>
            </w:pPr>
            <w:r>
              <w:rPr>
                <w:rFonts w:hint="eastAsia"/>
                <w:color w:val="auto"/>
              </w:rPr>
              <w:t>机修负责人</w:t>
            </w:r>
          </w:p>
        </w:tc>
        <w:tc>
          <w:tcPr>
            <w:tcW w:w="2237" w:type="dxa"/>
            <w:tcBorders>
              <w:top w:val="single" w:color="auto" w:sz="12" w:space="0"/>
              <w:left w:val="single" w:color="000000" w:sz="4" w:space="0"/>
              <w:bottom w:val="single" w:color="000000" w:sz="4" w:space="0"/>
              <w:right w:val="single" w:color="000000" w:sz="4" w:space="0"/>
            </w:tcBorders>
            <w:noWrap/>
            <w:tcMar>
              <w:top w:w="15" w:type="dxa"/>
              <w:left w:w="15" w:type="dxa"/>
              <w:right w:w="15" w:type="dxa"/>
            </w:tcMar>
            <w:vAlign w:val="center"/>
          </w:tcPr>
          <w:p w14:paraId="08FE5A05">
            <w:pPr>
              <w:pStyle w:val="69"/>
              <w:rPr>
                <w:color w:val="auto"/>
              </w:rPr>
            </w:pPr>
            <w:r>
              <w:rPr>
                <w:rFonts w:hint="eastAsia"/>
                <w:color w:val="auto"/>
              </w:rPr>
              <w:t>实际完成时间</w:t>
            </w:r>
          </w:p>
        </w:tc>
        <w:tc>
          <w:tcPr>
            <w:tcW w:w="1144" w:type="dxa"/>
            <w:tcBorders>
              <w:top w:val="single" w:color="auto" w:sz="12" w:space="0"/>
              <w:left w:val="single" w:color="000000" w:sz="4" w:space="0"/>
              <w:bottom w:val="single" w:color="000000" w:sz="4" w:space="0"/>
              <w:right w:val="single" w:color="000000" w:sz="4" w:space="0"/>
            </w:tcBorders>
            <w:noWrap/>
            <w:tcMar>
              <w:top w:w="15" w:type="dxa"/>
              <w:left w:w="15" w:type="dxa"/>
              <w:right w:w="15" w:type="dxa"/>
            </w:tcMar>
            <w:vAlign w:val="center"/>
          </w:tcPr>
          <w:p w14:paraId="453CAAB0">
            <w:pPr>
              <w:pStyle w:val="69"/>
              <w:rPr>
                <w:color w:val="auto"/>
              </w:rPr>
            </w:pPr>
            <w:r>
              <w:rPr>
                <w:rFonts w:hint="eastAsia"/>
                <w:color w:val="auto"/>
              </w:rPr>
              <w:t>监督人</w:t>
            </w:r>
          </w:p>
        </w:tc>
        <w:tc>
          <w:tcPr>
            <w:tcW w:w="787" w:type="dxa"/>
            <w:tcBorders>
              <w:top w:val="single" w:color="auto" w:sz="12" w:space="0"/>
              <w:left w:val="single" w:color="000000" w:sz="4" w:space="0"/>
              <w:bottom w:val="single" w:color="000000" w:sz="4" w:space="0"/>
              <w:right w:val="nil"/>
            </w:tcBorders>
            <w:noWrap/>
            <w:tcMar>
              <w:top w:w="15" w:type="dxa"/>
              <w:left w:w="15" w:type="dxa"/>
              <w:right w:w="15" w:type="dxa"/>
            </w:tcMar>
            <w:vAlign w:val="center"/>
          </w:tcPr>
          <w:p w14:paraId="4221DE21">
            <w:pPr>
              <w:pStyle w:val="69"/>
              <w:rPr>
                <w:color w:val="auto"/>
              </w:rPr>
            </w:pPr>
            <w:r>
              <w:rPr>
                <w:rFonts w:hint="eastAsia"/>
                <w:color w:val="auto"/>
              </w:rPr>
              <w:t>备注</w:t>
            </w:r>
          </w:p>
        </w:tc>
      </w:tr>
      <w:tr w14:paraId="1A05A480">
        <w:tblPrEx>
          <w:tblCellMar>
            <w:top w:w="0" w:type="dxa"/>
            <w:left w:w="0" w:type="dxa"/>
            <w:bottom w:w="0" w:type="dxa"/>
            <w:right w:w="0" w:type="dxa"/>
          </w:tblCellMar>
        </w:tblPrEx>
        <w:trPr>
          <w:trHeight w:val="397" w:hRule="atLeast"/>
        </w:trPr>
        <w:tc>
          <w:tcPr>
            <w:tcW w:w="778"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3779A034">
            <w:pPr>
              <w:pStyle w:val="69"/>
              <w:rPr>
                <w:color w:val="auto"/>
              </w:rPr>
            </w:pPr>
            <w:r>
              <w:rPr>
                <w:color w:val="auto"/>
              </w:rPr>
              <w:t>1</w:t>
            </w:r>
          </w:p>
        </w:tc>
        <w:tc>
          <w:tcPr>
            <w:tcW w:w="7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8FDF79">
            <w:pPr>
              <w:pStyle w:val="69"/>
              <w:rPr>
                <w:color w:val="auto"/>
              </w:rPr>
            </w:pPr>
          </w:p>
        </w:tc>
        <w:tc>
          <w:tcPr>
            <w:tcW w:w="15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06C696">
            <w:pPr>
              <w:pStyle w:val="69"/>
              <w:rPr>
                <w:color w:val="auto"/>
              </w:rPr>
            </w:pPr>
          </w:p>
        </w:tc>
        <w:tc>
          <w:tcPr>
            <w:tcW w:w="1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A33215">
            <w:pPr>
              <w:pStyle w:val="69"/>
              <w:rPr>
                <w:color w:val="auto"/>
              </w:rPr>
            </w:pPr>
          </w:p>
        </w:tc>
        <w:tc>
          <w:tcPr>
            <w:tcW w:w="22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9B7B2C">
            <w:pPr>
              <w:pStyle w:val="69"/>
              <w:rPr>
                <w:color w:val="auto"/>
              </w:rPr>
            </w:pPr>
          </w:p>
        </w:tc>
        <w:tc>
          <w:tcPr>
            <w:tcW w:w="1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C7B683">
            <w:pPr>
              <w:pStyle w:val="69"/>
              <w:rPr>
                <w:color w:val="auto"/>
              </w:rPr>
            </w:pPr>
          </w:p>
        </w:tc>
        <w:tc>
          <w:tcPr>
            <w:tcW w:w="787" w:type="dxa"/>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4B56F742">
            <w:pPr>
              <w:pStyle w:val="69"/>
              <w:rPr>
                <w:color w:val="auto"/>
              </w:rPr>
            </w:pPr>
          </w:p>
        </w:tc>
      </w:tr>
      <w:tr w14:paraId="5DA6E443">
        <w:tblPrEx>
          <w:tblCellMar>
            <w:top w:w="0" w:type="dxa"/>
            <w:left w:w="0" w:type="dxa"/>
            <w:bottom w:w="0" w:type="dxa"/>
            <w:right w:w="0" w:type="dxa"/>
          </w:tblCellMar>
        </w:tblPrEx>
        <w:trPr>
          <w:trHeight w:val="397" w:hRule="atLeast"/>
        </w:trPr>
        <w:tc>
          <w:tcPr>
            <w:tcW w:w="778"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765C0948">
            <w:pPr>
              <w:pStyle w:val="69"/>
              <w:rPr>
                <w:color w:val="auto"/>
              </w:rPr>
            </w:pPr>
            <w:r>
              <w:rPr>
                <w:color w:val="auto"/>
              </w:rPr>
              <w:t>2</w:t>
            </w:r>
          </w:p>
        </w:tc>
        <w:tc>
          <w:tcPr>
            <w:tcW w:w="7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948686">
            <w:pPr>
              <w:pStyle w:val="69"/>
              <w:rPr>
                <w:color w:val="auto"/>
              </w:rPr>
            </w:pPr>
          </w:p>
        </w:tc>
        <w:tc>
          <w:tcPr>
            <w:tcW w:w="15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F126D4">
            <w:pPr>
              <w:pStyle w:val="69"/>
              <w:rPr>
                <w:color w:val="auto"/>
              </w:rPr>
            </w:pPr>
          </w:p>
        </w:tc>
        <w:tc>
          <w:tcPr>
            <w:tcW w:w="1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788739">
            <w:pPr>
              <w:pStyle w:val="69"/>
              <w:rPr>
                <w:color w:val="auto"/>
              </w:rPr>
            </w:pPr>
          </w:p>
        </w:tc>
        <w:tc>
          <w:tcPr>
            <w:tcW w:w="22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A2B233">
            <w:pPr>
              <w:pStyle w:val="69"/>
              <w:rPr>
                <w:color w:val="auto"/>
              </w:rPr>
            </w:pPr>
          </w:p>
        </w:tc>
        <w:tc>
          <w:tcPr>
            <w:tcW w:w="1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E201F7">
            <w:pPr>
              <w:pStyle w:val="69"/>
              <w:rPr>
                <w:color w:val="auto"/>
              </w:rPr>
            </w:pPr>
          </w:p>
        </w:tc>
        <w:tc>
          <w:tcPr>
            <w:tcW w:w="787" w:type="dxa"/>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025CECCA">
            <w:pPr>
              <w:pStyle w:val="69"/>
              <w:rPr>
                <w:color w:val="auto"/>
              </w:rPr>
            </w:pPr>
          </w:p>
        </w:tc>
      </w:tr>
      <w:tr w14:paraId="3708189B">
        <w:tblPrEx>
          <w:tblCellMar>
            <w:top w:w="0" w:type="dxa"/>
            <w:left w:w="0" w:type="dxa"/>
            <w:bottom w:w="0" w:type="dxa"/>
            <w:right w:w="0" w:type="dxa"/>
          </w:tblCellMar>
        </w:tblPrEx>
        <w:trPr>
          <w:trHeight w:val="397" w:hRule="atLeast"/>
        </w:trPr>
        <w:tc>
          <w:tcPr>
            <w:tcW w:w="778"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56F27803">
            <w:pPr>
              <w:pStyle w:val="69"/>
              <w:rPr>
                <w:color w:val="auto"/>
              </w:rPr>
            </w:pPr>
            <w:r>
              <w:rPr>
                <w:color w:val="auto"/>
              </w:rPr>
              <w:t>3</w:t>
            </w:r>
          </w:p>
        </w:tc>
        <w:tc>
          <w:tcPr>
            <w:tcW w:w="7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AF5B15">
            <w:pPr>
              <w:pStyle w:val="69"/>
              <w:rPr>
                <w:color w:val="auto"/>
              </w:rPr>
            </w:pPr>
          </w:p>
        </w:tc>
        <w:tc>
          <w:tcPr>
            <w:tcW w:w="15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70A85E">
            <w:pPr>
              <w:pStyle w:val="69"/>
              <w:rPr>
                <w:color w:val="auto"/>
              </w:rPr>
            </w:pPr>
          </w:p>
        </w:tc>
        <w:tc>
          <w:tcPr>
            <w:tcW w:w="1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4E2EA5">
            <w:pPr>
              <w:pStyle w:val="69"/>
              <w:rPr>
                <w:color w:val="auto"/>
              </w:rPr>
            </w:pPr>
          </w:p>
        </w:tc>
        <w:tc>
          <w:tcPr>
            <w:tcW w:w="22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F8698C">
            <w:pPr>
              <w:pStyle w:val="69"/>
              <w:rPr>
                <w:color w:val="auto"/>
              </w:rPr>
            </w:pPr>
          </w:p>
        </w:tc>
        <w:tc>
          <w:tcPr>
            <w:tcW w:w="1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9172AD">
            <w:pPr>
              <w:pStyle w:val="69"/>
              <w:rPr>
                <w:color w:val="auto"/>
              </w:rPr>
            </w:pPr>
          </w:p>
        </w:tc>
        <w:tc>
          <w:tcPr>
            <w:tcW w:w="787" w:type="dxa"/>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0D31CB60">
            <w:pPr>
              <w:pStyle w:val="69"/>
              <w:rPr>
                <w:color w:val="auto"/>
              </w:rPr>
            </w:pPr>
          </w:p>
        </w:tc>
      </w:tr>
      <w:tr w14:paraId="3F0D9528">
        <w:tblPrEx>
          <w:tblCellMar>
            <w:top w:w="0" w:type="dxa"/>
            <w:left w:w="0" w:type="dxa"/>
            <w:bottom w:w="0" w:type="dxa"/>
            <w:right w:w="0" w:type="dxa"/>
          </w:tblCellMar>
        </w:tblPrEx>
        <w:trPr>
          <w:trHeight w:val="397" w:hRule="atLeast"/>
        </w:trPr>
        <w:tc>
          <w:tcPr>
            <w:tcW w:w="778"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14:paraId="792E29A9">
            <w:pPr>
              <w:pStyle w:val="69"/>
              <w:rPr>
                <w:color w:val="auto"/>
              </w:rPr>
            </w:pPr>
            <w:r>
              <w:rPr>
                <w:color w:val="auto"/>
              </w:rPr>
              <w:t>4</w:t>
            </w:r>
          </w:p>
        </w:tc>
        <w:tc>
          <w:tcPr>
            <w:tcW w:w="7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E2718F">
            <w:pPr>
              <w:pStyle w:val="69"/>
              <w:rPr>
                <w:color w:val="auto"/>
              </w:rPr>
            </w:pPr>
          </w:p>
        </w:tc>
        <w:tc>
          <w:tcPr>
            <w:tcW w:w="15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3EF1D8">
            <w:pPr>
              <w:pStyle w:val="69"/>
              <w:rPr>
                <w:color w:val="auto"/>
              </w:rPr>
            </w:pPr>
          </w:p>
        </w:tc>
        <w:tc>
          <w:tcPr>
            <w:tcW w:w="18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135F1F">
            <w:pPr>
              <w:pStyle w:val="69"/>
              <w:rPr>
                <w:color w:val="auto"/>
              </w:rPr>
            </w:pPr>
          </w:p>
        </w:tc>
        <w:tc>
          <w:tcPr>
            <w:tcW w:w="22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3A721">
            <w:pPr>
              <w:pStyle w:val="69"/>
              <w:rPr>
                <w:color w:val="auto"/>
              </w:rPr>
            </w:pPr>
          </w:p>
        </w:tc>
        <w:tc>
          <w:tcPr>
            <w:tcW w:w="1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9D522E">
            <w:pPr>
              <w:pStyle w:val="69"/>
              <w:rPr>
                <w:color w:val="auto"/>
              </w:rPr>
            </w:pPr>
          </w:p>
        </w:tc>
        <w:tc>
          <w:tcPr>
            <w:tcW w:w="787" w:type="dxa"/>
            <w:tcBorders>
              <w:top w:val="single" w:color="000000" w:sz="4" w:space="0"/>
              <w:left w:val="single" w:color="000000" w:sz="4" w:space="0"/>
              <w:bottom w:val="single" w:color="000000" w:sz="4" w:space="0"/>
              <w:right w:val="nil"/>
            </w:tcBorders>
            <w:noWrap/>
            <w:tcMar>
              <w:top w:w="15" w:type="dxa"/>
              <w:left w:w="15" w:type="dxa"/>
              <w:right w:w="15" w:type="dxa"/>
            </w:tcMar>
            <w:vAlign w:val="center"/>
          </w:tcPr>
          <w:p w14:paraId="69B080FC">
            <w:pPr>
              <w:pStyle w:val="69"/>
              <w:rPr>
                <w:color w:val="auto"/>
              </w:rPr>
            </w:pPr>
          </w:p>
        </w:tc>
      </w:tr>
      <w:tr w14:paraId="2728F654">
        <w:tblPrEx>
          <w:tblCellMar>
            <w:top w:w="0" w:type="dxa"/>
            <w:left w:w="0" w:type="dxa"/>
            <w:bottom w:w="0" w:type="dxa"/>
            <w:right w:w="0" w:type="dxa"/>
          </w:tblCellMar>
        </w:tblPrEx>
        <w:trPr>
          <w:trHeight w:val="397" w:hRule="atLeast"/>
        </w:trPr>
        <w:tc>
          <w:tcPr>
            <w:tcW w:w="778" w:type="dxa"/>
            <w:tcBorders>
              <w:top w:val="single" w:color="000000" w:sz="4" w:space="0"/>
              <w:left w:val="nil"/>
              <w:bottom w:val="single" w:color="auto" w:sz="12" w:space="0"/>
              <w:right w:val="single" w:color="000000" w:sz="4" w:space="0"/>
            </w:tcBorders>
            <w:noWrap/>
            <w:tcMar>
              <w:top w:w="15" w:type="dxa"/>
              <w:left w:w="15" w:type="dxa"/>
              <w:right w:w="15" w:type="dxa"/>
            </w:tcMar>
            <w:vAlign w:val="center"/>
          </w:tcPr>
          <w:p w14:paraId="72CDDDCF">
            <w:pPr>
              <w:pStyle w:val="69"/>
              <w:rPr>
                <w:color w:val="auto"/>
              </w:rPr>
            </w:pPr>
            <w:r>
              <w:rPr>
                <w:color w:val="auto"/>
              </w:rPr>
              <w:t>5</w:t>
            </w:r>
          </w:p>
        </w:tc>
        <w:tc>
          <w:tcPr>
            <w:tcW w:w="778" w:type="dxa"/>
            <w:tcBorders>
              <w:top w:val="single" w:color="000000" w:sz="4" w:space="0"/>
              <w:left w:val="single" w:color="000000" w:sz="4" w:space="0"/>
              <w:bottom w:val="single" w:color="auto" w:sz="12" w:space="0"/>
              <w:right w:val="single" w:color="000000" w:sz="4" w:space="0"/>
            </w:tcBorders>
            <w:noWrap/>
            <w:tcMar>
              <w:top w:w="15" w:type="dxa"/>
              <w:left w:w="15" w:type="dxa"/>
              <w:right w:w="15" w:type="dxa"/>
            </w:tcMar>
            <w:vAlign w:val="center"/>
          </w:tcPr>
          <w:p w14:paraId="0422B59A">
            <w:pPr>
              <w:pStyle w:val="69"/>
              <w:rPr>
                <w:color w:val="auto"/>
              </w:rPr>
            </w:pPr>
          </w:p>
        </w:tc>
        <w:tc>
          <w:tcPr>
            <w:tcW w:w="1507" w:type="dxa"/>
            <w:tcBorders>
              <w:top w:val="single" w:color="000000" w:sz="4" w:space="0"/>
              <w:left w:val="single" w:color="000000" w:sz="4" w:space="0"/>
              <w:bottom w:val="single" w:color="auto" w:sz="12" w:space="0"/>
              <w:right w:val="single" w:color="000000" w:sz="4" w:space="0"/>
            </w:tcBorders>
            <w:noWrap/>
            <w:tcMar>
              <w:top w:w="15" w:type="dxa"/>
              <w:left w:w="15" w:type="dxa"/>
              <w:right w:w="15" w:type="dxa"/>
            </w:tcMar>
            <w:vAlign w:val="center"/>
          </w:tcPr>
          <w:p w14:paraId="05F0E299">
            <w:pPr>
              <w:pStyle w:val="69"/>
              <w:rPr>
                <w:color w:val="auto"/>
              </w:rPr>
            </w:pPr>
          </w:p>
        </w:tc>
        <w:tc>
          <w:tcPr>
            <w:tcW w:w="1871" w:type="dxa"/>
            <w:tcBorders>
              <w:top w:val="single" w:color="000000" w:sz="4" w:space="0"/>
              <w:left w:val="single" w:color="000000" w:sz="4" w:space="0"/>
              <w:bottom w:val="single" w:color="auto" w:sz="12" w:space="0"/>
              <w:right w:val="single" w:color="000000" w:sz="4" w:space="0"/>
            </w:tcBorders>
            <w:noWrap/>
            <w:tcMar>
              <w:top w:w="15" w:type="dxa"/>
              <w:left w:w="15" w:type="dxa"/>
              <w:right w:w="15" w:type="dxa"/>
            </w:tcMar>
            <w:vAlign w:val="center"/>
          </w:tcPr>
          <w:p w14:paraId="7300B75A">
            <w:pPr>
              <w:pStyle w:val="69"/>
              <w:rPr>
                <w:color w:val="auto"/>
              </w:rPr>
            </w:pPr>
          </w:p>
        </w:tc>
        <w:tc>
          <w:tcPr>
            <w:tcW w:w="2237" w:type="dxa"/>
            <w:tcBorders>
              <w:top w:val="single" w:color="000000" w:sz="4" w:space="0"/>
              <w:left w:val="single" w:color="000000" w:sz="4" w:space="0"/>
              <w:bottom w:val="single" w:color="auto" w:sz="12" w:space="0"/>
              <w:right w:val="single" w:color="000000" w:sz="4" w:space="0"/>
            </w:tcBorders>
            <w:noWrap/>
            <w:tcMar>
              <w:top w:w="15" w:type="dxa"/>
              <w:left w:w="15" w:type="dxa"/>
              <w:right w:w="15" w:type="dxa"/>
            </w:tcMar>
            <w:vAlign w:val="center"/>
          </w:tcPr>
          <w:p w14:paraId="7EAEE3E6">
            <w:pPr>
              <w:pStyle w:val="69"/>
              <w:rPr>
                <w:color w:val="auto"/>
              </w:rPr>
            </w:pPr>
          </w:p>
        </w:tc>
        <w:tc>
          <w:tcPr>
            <w:tcW w:w="1144" w:type="dxa"/>
            <w:tcBorders>
              <w:top w:val="single" w:color="000000" w:sz="4" w:space="0"/>
              <w:left w:val="single" w:color="000000" w:sz="4" w:space="0"/>
              <w:bottom w:val="single" w:color="auto" w:sz="12" w:space="0"/>
              <w:right w:val="single" w:color="000000" w:sz="4" w:space="0"/>
            </w:tcBorders>
            <w:noWrap/>
            <w:tcMar>
              <w:top w:w="15" w:type="dxa"/>
              <w:left w:w="15" w:type="dxa"/>
              <w:right w:w="15" w:type="dxa"/>
            </w:tcMar>
            <w:vAlign w:val="center"/>
          </w:tcPr>
          <w:p w14:paraId="7D6EFA78">
            <w:pPr>
              <w:pStyle w:val="69"/>
              <w:rPr>
                <w:color w:val="auto"/>
              </w:rPr>
            </w:pPr>
          </w:p>
        </w:tc>
        <w:tc>
          <w:tcPr>
            <w:tcW w:w="787" w:type="dxa"/>
            <w:tcBorders>
              <w:top w:val="single" w:color="000000" w:sz="4" w:space="0"/>
              <w:left w:val="single" w:color="000000" w:sz="4" w:space="0"/>
              <w:bottom w:val="single" w:color="auto" w:sz="12" w:space="0"/>
              <w:right w:val="nil"/>
            </w:tcBorders>
            <w:noWrap/>
            <w:tcMar>
              <w:top w:w="15" w:type="dxa"/>
              <w:left w:w="15" w:type="dxa"/>
              <w:right w:w="15" w:type="dxa"/>
            </w:tcMar>
            <w:vAlign w:val="center"/>
          </w:tcPr>
          <w:p w14:paraId="46DF1B85">
            <w:pPr>
              <w:pStyle w:val="69"/>
              <w:rPr>
                <w:color w:val="auto"/>
              </w:rPr>
            </w:pPr>
          </w:p>
        </w:tc>
      </w:tr>
    </w:tbl>
    <w:p w14:paraId="0C8AAAD7">
      <w:pPr>
        <w:ind w:left="480" w:leftChars="200" w:firstLine="0" w:firstLineChars="0"/>
        <w:rPr>
          <w:b/>
          <w:bCs/>
          <w:color w:val="auto"/>
        </w:rPr>
      </w:pPr>
      <w:r>
        <w:rPr>
          <w:rFonts w:hint="eastAsia"/>
          <w:b/>
          <w:bCs/>
          <w:color w:val="auto"/>
        </w:rPr>
        <w:t>2、加强设施维护管理</w:t>
      </w:r>
    </w:p>
    <w:p w14:paraId="40D1E3C5">
      <w:pPr>
        <w:ind w:firstLine="480"/>
        <w:rPr>
          <w:color w:val="auto"/>
        </w:rPr>
      </w:pPr>
      <w:r>
        <w:rPr>
          <w:rFonts w:hint="eastAsia"/>
          <w:color w:val="auto"/>
        </w:rPr>
        <w:t>加强对废气治理设施、设备的管理工作，设备运行人员对废气治理设施进行管理，公司将建立废气治理设施运行记录，定期记录以下信息：治理装置的启动、停止时间；活性炭更换等相关数量与时间；设备维护与维修、定期检查等情况；设备突发故障等情况。建立健全废气治理设施、设备的管理台账并向环保部门申报和备案。</w:t>
      </w:r>
    </w:p>
    <w:p w14:paraId="77798F94">
      <w:pPr>
        <w:numPr>
          <w:ilvl w:val="0"/>
          <w:numId w:val="57"/>
        </w:numPr>
        <w:ind w:firstLine="480"/>
        <w:rPr>
          <w:color w:val="auto"/>
        </w:rPr>
      </w:pPr>
      <w:r>
        <w:rPr>
          <w:rFonts w:hint="eastAsia"/>
          <w:color w:val="auto"/>
        </w:rPr>
        <w:t>废气治理设施必须与所配套的生产系统或装置同步运行。</w:t>
      </w:r>
    </w:p>
    <w:p w14:paraId="069D4285">
      <w:pPr>
        <w:numPr>
          <w:ilvl w:val="0"/>
          <w:numId w:val="57"/>
        </w:numPr>
        <w:ind w:firstLine="480"/>
        <w:rPr>
          <w:color w:val="auto"/>
        </w:rPr>
      </w:pPr>
      <w:r>
        <w:rPr>
          <w:rFonts w:hint="eastAsia"/>
          <w:color w:val="auto"/>
        </w:rPr>
        <w:t>严格按照操作规程运行废气治理设施，其工艺运行控制指标和运行效果必须符合设施正常运行的条件，达到国家和地方环境保护部门的规定要求。</w:t>
      </w:r>
    </w:p>
    <w:p w14:paraId="44F67E66">
      <w:pPr>
        <w:numPr>
          <w:ilvl w:val="0"/>
          <w:numId w:val="57"/>
        </w:numPr>
        <w:ind w:firstLine="480"/>
        <w:rPr>
          <w:color w:val="auto"/>
        </w:rPr>
      </w:pPr>
      <w:r>
        <w:rPr>
          <w:rFonts w:hint="eastAsia"/>
          <w:color w:val="auto"/>
        </w:rPr>
        <w:t>应加强设备管理，确保其在良好状态下运行。对长周期运行或易发生故障的设施、设备、配件，应有备用的设施、设备和配件。</w:t>
      </w:r>
    </w:p>
    <w:p w14:paraId="12A59D30">
      <w:pPr>
        <w:numPr>
          <w:ilvl w:val="0"/>
          <w:numId w:val="57"/>
        </w:numPr>
        <w:ind w:firstLine="480"/>
        <w:rPr>
          <w:color w:val="auto"/>
        </w:rPr>
      </w:pPr>
      <w:r>
        <w:rPr>
          <w:rFonts w:hint="eastAsia"/>
          <w:color w:val="auto"/>
        </w:rPr>
        <w:t>应制定废气治理设施的应急预案，在废气治理设施、设备因故障或其它情况不能正常运行时，立即要向安保科和上级环保部门报告并采取有效的应急措施防治污染物超标排放。</w:t>
      </w:r>
    </w:p>
    <w:p w14:paraId="3900AE21">
      <w:pPr>
        <w:numPr>
          <w:ilvl w:val="0"/>
          <w:numId w:val="57"/>
        </w:numPr>
        <w:ind w:firstLine="480"/>
        <w:rPr>
          <w:color w:val="auto"/>
        </w:rPr>
      </w:pPr>
      <w:r>
        <w:rPr>
          <w:rFonts w:hint="eastAsia"/>
          <w:color w:val="auto"/>
        </w:rPr>
        <w:t>必须将废气治理设施的工艺流程、技术参数、操作规程等的内容制成图板，放在操作岗位或值班室的明显位置。</w:t>
      </w:r>
    </w:p>
    <w:p w14:paraId="240E036A">
      <w:pPr>
        <w:numPr>
          <w:ilvl w:val="0"/>
          <w:numId w:val="57"/>
        </w:numPr>
        <w:ind w:firstLine="480"/>
        <w:rPr>
          <w:color w:val="auto"/>
        </w:rPr>
      </w:pPr>
      <w:r>
        <w:rPr>
          <w:rFonts w:hint="eastAsia"/>
          <w:color w:val="auto"/>
        </w:rPr>
        <w:t>加强废气治理设施运行管理人员的培训工作，按时参加有关部门组织的技术业务培训，改进和完善治污设施的各项管理制度，不断提高治污的管理水平和操作人员的技术水平。</w:t>
      </w:r>
    </w:p>
    <w:p w14:paraId="3D91934B">
      <w:pPr>
        <w:pStyle w:val="64"/>
        <w:numPr>
          <w:ilvl w:val="2"/>
          <w:numId w:val="8"/>
        </w:numPr>
        <w:spacing w:before="156" w:after="156"/>
        <w:ind w:left="709" w:leftChars="0" w:hanging="709" w:firstLineChars="0"/>
        <w:rPr>
          <w:rFonts w:hint="eastAsia"/>
          <w:color w:val="auto"/>
        </w:rPr>
      </w:pPr>
      <w:bookmarkStart w:id="217" w:name="_Toc238197051"/>
      <w:r>
        <w:rPr>
          <w:rFonts w:hint="eastAsia"/>
          <w:color w:val="auto"/>
        </w:rPr>
        <w:t>环境监测制度</w:t>
      </w:r>
      <w:bookmarkEnd w:id="217"/>
    </w:p>
    <w:p w14:paraId="186D7D85">
      <w:pPr>
        <w:pStyle w:val="65"/>
        <w:numPr>
          <w:ilvl w:val="3"/>
          <w:numId w:val="8"/>
        </w:numPr>
        <w:ind w:left="850" w:leftChars="0" w:hanging="850" w:firstLineChars="0"/>
        <w:rPr>
          <w:color w:val="auto"/>
        </w:rPr>
      </w:pPr>
      <w:r>
        <w:rPr>
          <w:color w:val="auto"/>
        </w:rPr>
        <w:t>监测机构的建立</w:t>
      </w:r>
    </w:p>
    <w:p w14:paraId="6F1EA750">
      <w:pPr>
        <w:ind w:firstLine="480"/>
        <w:rPr>
          <w:color w:val="auto"/>
        </w:rPr>
      </w:pPr>
      <w:r>
        <w:rPr>
          <w:rFonts w:hint="eastAsia"/>
          <w:color w:val="auto"/>
        </w:rPr>
        <w:t>建立企业环保监测机构，配备专业环保技术人员，配置必备的仪器设备，具有定期自行监测的能力。</w:t>
      </w:r>
    </w:p>
    <w:p w14:paraId="3A38EA61">
      <w:pPr>
        <w:pStyle w:val="65"/>
        <w:numPr>
          <w:ilvl w:val="3"/>
          <w:numId w:val="8"/>
        </w:numPr>
        <w:ind w:left="850" w:leftChars="0" w:hanging="850" w:firstLineChars="0"/>
        <w:rPr>
          <w:color w:val="auto"/>
        </w:rPr>
      </w:pPr>
      <w:r>
        <w:rPr>
          <w:color w:val="auto"/>
        </w:rPr>
        <w:t>环境监测制度</w:t>
      </w:r>
    </w:p>
    <w:p w14:paraId="33E12467">
      <w:pPr>
        <w:ind w:firstLine="480"/>
        <w:rPr>
          <w:color w:val="auto"/>
        </w:rPr>
      </w:pPr>
      <w:r>
        <w:rPr>
          <w:rFonts w:hint="eastAsia"/>
          <w:color w:val="auto"/>
        </w:rPr>
        <w:t>环境监测的目的在于了解和掌握污染状况，一般包括以下几个方面：</w:t>
      </w:r>
    </w:p>
    <w:p w14:paraId="1EA1ED13">
      <w:pPr>
        <w:ind w:firstLine="480"/>
        <w:rPr>
          <w:color w:val="auto"/>
        </w:rPr>
      </w:pPr>
      <w:r>
        <w:rPr>
          <w:rFonts w:hint="eastAsia"/>
          <w:color w:val="auto"/>
        </w:rPr>
        <w:t>1、定期监测污染物排放浓度和排放量是否符合国家、省、市和行业规定的排放标准，确保污染物排放总量控制在允许的环境容量内；</w:t>
      </w:r>
    </w:p>
    <w:p w14:paraId="39AB83F4">
      <w:pPr>
        <w:ind w:firstLine="480"/>
        <w:rPr>
          <w:color w:val="auto"/>
        </w:rPr>
      </w:pPr>
      <w:r>
        <w:rPr>
          <w:rFonts w:hint="eastAsia"/>
          <w:color w:val="auto"/>
        </w:rPr>
        <w:t>2、分析所排污染物的变化规律和环境影响程度，为控制污染提供依据，加强污染物处理装置的日常维护使用，提高科学管理水平；</w:t>
      </w:r>
    </w:p>
    <w:p w14:paraId="5C42BA1F">
      <w:pPr>
        <w:ind w:firstLine="480"/>
        <w:rPr>
          <w:color w:val="auto"/>
        </w:rPr>
      </w:pPr>
      <w:r>
        <w:rPr>
          <w:rFonts w:hint="eastAsia"/>
          <w:color w:val="auto"/>
        </w:rPr>
        <w:t>3、协助环境保护行政主管部门对风险事故的监测、分析和报告。</w:t>
      </w:r>
    </w:p>
    <w:p w14:paraId="38506521">
      <w:pPr>
        <w:pStyle w:val="65"/>
        <w:numPr>
          <w:ilvl w:val="3"/>
          <w:numId w:val="8"/>
        </w:numPr>
        <w:ind w:left="850" w:leftChars="0" w:hanging="850" w:firstLineChars="0"/>
        <w:rPr>
          <w:color w:val="auto"/>
        </w:rPr>
      </w:pPr>
      <w:r>
        <w:rPr>
          <w:color w:val="auto"/>
        </w:rPr>
        <w:t>环境监测机构</w:t>
      </w:r>
    </w:p>
    <w:p w14:paraId="4270301E">
      <w:pPr>
        <w:ind w:firstLine="480"/>
        <w:rPr>
          <w:color w:val="auto"/>
        </w:rPr>
      </w:pPr>
      <w:r>
        <w:rPr>
          <w:rFonts w:hint="eastAsia"/>
          <w:color w:val="auto"/>
        </w:rPr>
        <w:t>为了及时了解和掌握建设项目营运期主要污染源污染物的排放状况，建设单位应定期委托有资质的环境监测部门对主要污染源的污染物排放情况进行监测。</w:t>
      </w:r>
    </w:p>
    <w:p w14:paraId="4342F7D1">
      <w:pPr>
        <w:pStyle w:val="65"/>
        <w:numPr>
          <w:ilvl w:val="3"/>
          <w:numId w:val="8"/>
        </w:numPr>
        <w:ind w:left="850" w:leftChars="0" w:hanging="850" w:firstLineChars="0"/>
        <w:rPr>
          <w:color w:val="auto"/>
        </w:rPr>
      </w:pPr>
      <w:bookmarkStart w:id="218" w:name="_Toc24155"/>
      <w:bookmarkStart w:id="219" w:name="_Toc150765478"/>
      <w:bookmarkStart w:id="220" w:name="_Toc150765263"/>
      <w:r>
        <w:rPr>
          <w:color w:val="auto"/>
        </w:rPr>
        <w:t>监测</w:t>
      </w:r>
      <w:bookmarkEnd w:id="218"/>
      <w:bookmarkEnd w:id="219"/>
      <w:bookmarkEnd w:id="220"/>
      <w:r>
        <w:rPr>
          <w:color w:val="auto"/>
        </w:rPr>
        <w:t>计划</w:t>
      </w:r>
    </w:p>
    <w:p w14:paraId="2A4A13F8">
      <w:pPr>
        <w:bidi w:val="0"/>
        <w:rPr>
          <w:color w:val="auto"/>
        </w:rPr>
      </w:pPr>
      <w:r>
        <w:rPr>
          <w:color w:val="auto"/>
        </w:rPr>
        <w:t>为及时了解和掌握建设项目营运期主要污染源污染物的排放状况，建设单位</w:t>
      </w:r>
      <w:r>
        <w:rPr>
          <w:rFonts w:hint="eastAsia"/>
          <w:color w:val="auto"/>
        </w:rPr>
        <w:t>根据</w:t>
      </w:r>
      <w:r>
        <w:rPr>
          <w:rFonts w:hint="eastAsia"/>
          <w:color w:val="auto"/>
          <w:lang w:eastAsia="zh-CN"/>
        </w:rPr>
        <w:t>《排污单位自行监测技术指南 印刷工业》（HJ 1246—2022）</w:t>
      </w:r>
      <w:r>
        <w:rPr>
          <w:color w:val="auto"/>
        </w:rPr>
        <w:t>委托有资质的环境监测</w:t>
      </w:r>
      <w:r>
        <w:rPr>
          <w:rFonts w:hint="eastAsia"/>
          <w:color w:val="auto"/>
          <w:lang w:val="en-US" w:eastAsia="zh-CN"/>
        </w:rPr>
        <w:t>单位</w:t>
      </w:r>
      <w:r>
        <w:rPr>
          <w:color w:val="auto"/>
        </w:rPr>
        <w:t>定期对本项目污染源排放的污染物进行监测。</w:t>
      </w:r>
    </w:p>
    <w:p w14:paraId="4269AC97">
      <w:pPr>
        <w:pStyle w:val="62"/>
        <w:rPr>
          <w:color w:val="auto"/>
        </w:rPr>
      </w:pPr>
      <w:bookmarkStart w:id="221" w:name="_Toc246655584"/>
      <w:bookmarkStart w:id="222" w:name="_Toc238197052"/>
      <w:bookmarkStart w:id="223" w:name="_Toc22575"/>
      <w:r>
        <w:rPr>
          <w:rFonts w:hint="eastAsia"/>
          <w:color w:val="auto"/>
          <w:lang w:eastAsia="zh-CN"/>
        </w:rPr>
        <w:t>表</w:t>
      </w:r>
      <w:r>
        <w:rPr>
          <w:rFonts w:hint="eastAsia"/>
          <w:color w:val="auto"/>
          <w:lang w:val="en-US" w:eastAsia="zh-CN"/>
        </w:rPr>
        <w:t>6</w:t>
      </w:r>
      <w:r>
        <w:rPr>
          <w:rFonts w:hint="eastAsia"/>
          <w:color w:val="auto"/>
        </w:rPr>
        <w:t>.</w:t>
      </w:r>
      <w:r>
        <w:rPr>
          <w:rFonts w:hint="eastAsia"/>
          <w:color w:val="auto"/>
          <w:lang w:val="en-US" w:eastAsia="zh-CN"/>
        </w:rPr>
        <w:t>2</w:t>
      </w:r>
      <w:r>
        <w:rPr>
          <w:rFonts w:hint="eastAsia"/>
          <w:color w:val="auto"/>
        </w:rPr>
        <w:t xml:space="preserve">-4  </w:t>
      </w:r>
      <w:r>
        <w:rPr>
          <w:rFonts w:hint="eastAsia"/>
          <w:color w:val="auto"/>
          <w:lang w:val="en-US" w:eastAsia="zh-CN"/>
        </w:rPr>
        <w:t>建设项目</w:t>
      </w:r>
      <w:r>
        <w:rPr>
          <w:rFonts w:hint="eastAsia"/>
          <w:color w:val="auto"/>
        </w:rPr>
        <w:t>自行监测计划表</w:t>
      </w:r>
    </w:p>
    <w:tbl>
      <w:tblPr>
        <w:tblStyle w:val="38"/>
        <w:tblW w:w="9284" w:type="dxa"/>
        <w:tblInd w:w="131"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664"/>
        <w:gridCol w:w="2017"/>
        <w:gridCol w:w="963"/>
        <w:gridCol w:w="3513"/>
      </w:tblGrid>
      <w:tr w14:paraId="011CD0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27" w:type="dxa"/>
            <w:vAlign w:val="center"/>
          </w:tcPr>
          <w:p w14:paraId="2519681F">
            <w:pPr>
              <w:pStyle w:val="69"/>
              <w:rPr>
                <w:color w:val="auto"/>
              </w:rPr>
            </w:pPr>
            <w:r>
              <w:rPr>
                <w:rFonts w:hint="eastAsia"/>
                <w:color w:val="auto"/>
              </w:rPr>
              <w:t>类别</w:t>
            </w:r>
          </w:p>
        </w:tc>
        <w:tc>
          <w:tcPr>
            <w:tcW w:w="1664" w:type="dxa"/>
            <w:vAlign w:val="center"/>
          </w:tcPr>
          <w:p w14:paraId="66735E9A">
            <w:pPr>
              <w:pStyle w:val="69"/>
              <w:rPr>
                <w:color w:val="auto"/>
              </w:rPr>
            </w:pPr>
            <w:r>
              <w:rPr>
                <w:rFonts w:hint="eastAsia"/>
                <w:color w:val="auto"/>
              </w:rPr>
              <w:t>监测点位</w:t>
            </w:r>
          </w:p>
        </w:tc>
        <w:tc>
          <w:tcPr>
            <w:tcW w:w="2017" w:type="dxa"/>
            <w:vAlign w:val="center"/>
          </w:tcPr>
          <w:p w14:paraId="7D553820">
            <w:pPr>
              <w:pStyle w:val="69"/>
              <w:rPr>
                <w:color w:val="auto"/>
              </w:rPr>
            </w:pPr>
            <w:r>
              <w:rPr>
                <w:rFonts w:hint="eastAsia"/>
                <w:color w:val="auto"/>
              </w:rPr>
              <w:t>监测指标</w:t>
            </w:r>
          </w:p>
        </w:tc>
        <w:tc>
          <w:tcPr>
            <w:tcW w:w="963" w:type="dxa"/>
            <w:vAlign w:val="center"/>
          </w:tcPr>
          <w:p w14:paraId="1DA90761">
            <w:pPr>
              <w:pStyle w:val="69"/>
              <w:rPr>
                <w:color w:val="auto"/>
              </w:rPr>
            </w:pPr>
            <w:r>
              <w:rPr>
                <w:rFonts w:hint="eastAsia"/>
                <w:color w:val="auto"/>
                <w:lang w:val="en-US" w:eastAsia="zh-CN"/>
              </w:rPr>
              <w:t>非重点排污单位</w:t>
            </w:r>
            <w:r>
              <w:rPr>
                <w:rFonts w:hint="eastAsia"/>
                <w:color w:val="auto"/>
              </w:rPr>
              <w:t>监测频次</w:t>
            </w:r>
          </w:p>
        </w:tc>
        <w:tc>
          <w:tcPr>
            <w:tcW w:w="3513" w:type="dxa"/>
            <w:vAlign w:val="center"/>
          </w:tcPr>
          <w:p w14:paraId="0DEBB405">
            <w:pPr>
              <w:pStyle w:val="69"/>
              <w:rPr>
                <w:color w:val="auto"/>
              </w:rPr>
            </w:pPr>
            <w:r>
              <w:rPr>
                <w:rFonts w:hint="eastAsia"/>
                <w:color w:val="auto"/>
              </w:rPr>
              <w:t>执行排放标准</w:t>
            </w:r>
          </w:p>
        </w:tc>
      </w:tr>
      <w:tr w14:paraId="790EBE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7" w:type="dxa"/>
            <w:vMerge w:val="restart"/>
            <w:vAlign w:val="center"/>
          </w:tcPr>
          <w:p w14:paraId="2C43398F">
            <w:pPr>
              <w:pStyle w:val="69"/>
              <w:rPr>
                <w:color w:val="auto"/>
              </w:rPr>
            </w:pPr>
            <w:r>
              <w:rPr>
                <w:rFonts w:hint="eastAsia"/>
                <w:color w:val="auto"/>
              </w:rPr>
              <w:t>有组织废气</w:t>
            </w:r>
          </w:p>
        </w:tc>
        <w:tc>
          <w:tcPr>
            <w:tcW w:w="1664" w:type="dxa"/>
            <w:vMerge w:val="restart"/>
            <w:vAlign w:val="center"/>
          </w:tcPr>
          <w:p w14:paraId="59ADB07C">
            <w:pPr>
              <w:pStyle w:val="69"/>
              <w:rPr>
                <w:rFonts w:hint="eastAsia"/>
                <w:color w:val="auto"/>
              </w:rPr>
            </w:pPr>
            <w:r>
              <w:rPr>
                <w:rFonts w:hint="eastAsia"/>
                <w:color w:val="auto"/>
              </w:rPr>
              <w:t>DA001排气筒</w:t>
            </w:r>
          </w:p>
        </w:tc>
        <w:tc>
          <w:tcPr>
            <w:tcW w:w="2017" w:type="dxa"/>
            <w:vAlign w:val="center"/>
          </w:tcPr>
          <w:p w14:paraId="4AD3EC52">
            <w:pPr>
              <w:pStyle w:val="69"/>
              <w:rPr>
                <w:rFonts w:hint="eastAsia"/>
                <w:color w:val="auto"/>
              </w:rPr>
            </w:pPr>
            <w:r>
              <w:rPr>
                <w:rFonts w:hint="eastAsia"/>
                <w:color w:val="auto"/>
              </w:rPr>
              <w:t>颗粒物</w:t>
            </w:r>
          </w:p>
        </w:tc>
        <w:tc>
          <w:tcPr>
            <w:tcW w:w="963" w:type="dxa"/>
            <w:vAlign w:val="center"/>
          </w:tcPr>
          <w:p w14:paraId="1EF1C023">
            <w:pPr>
              <w:pStyle w:val="69"/>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rPr>
              <w:t>年</w:t>
            </w:r>
          </w:p>
        </w:tc>
        <w:tc>
          <w:tcPr>
            <w:tcW w:w="3513" w:type="dxa"/>
            <w:vAlign w:val="center"/>
          </w:tcPr>
          <w:p w14:paraId="0304BBA3">
            <w:pPr>
              <w:pStyle w:val="69"/>
              <w:ind w:firstLine="0" w:firstLineChars="0"/>
              <w:rPr>
                <w:rFonts w:hint="eastAsia" w:ascii="Times New Roman" w:hAnsi="Times New Roman" w:eastAsia="宋体" w:cs="Times New Roman"/>
                <w:color w:val="auto"/>
                <w:kern w:val="2"/>
                <w:sz w:val="21"/>
                <w:szCs w:val="21"/>
                <w:lang w:val="en-US" w:eastAsia="zh-CN" w:bidi="ar-SA"/>
              </w:rPr>
            </w:pPr>
            <w:r>
              <w:t>参照</w:t>
            </w:r>
            <w:r>
              <w:rPr>
                <w:rFonts w:hint="eastAsia" w:ascii="Times New Roman" w:hAnsi="Times New Roman" w:cs="Times New Roman"/>
                <w:lang w:val="en-US" w:eastAsia="zh-CN"/>
              </w:rPr>
              <w:t>执行广东省地方标准《</w:t>
            </w:r>
            <w:r>
              <w:rPr>
                <w:rFonts w:hint="default" w:ascii="Times New Roman" w:hAnsi="Times New Roman" w:cs="Times New Roman"/>
                <w:lang w:val="en-US" w:eastAsia="zh-CN"/>
              </w:rPr>
              <w:t>大气污染物排放限值》（DB44/27-2001）中第二时段二级标准</w:t>
            </w:r>
            <w:r>
              <w:rPr>
                <w:rFonts w:hint="eastAsia" w:ascii="Times New Roman" w:hAnsi="Times New Roman" w:cs="Times New Roman"/>
                <w:lang w:val="en-US" w:eastAsia="zh-CN"/>
              </w:rPr>
              <w:t>及</w:t>
            </w:r>
            <w:r>
              <w:rPr>
                <w:rFonts w:hint="eastAsia" w:ascii="Times New Roman" w:hAnsi="Times New Roman" w:cs="Times New Roman"/>
                <w:lang w:eastAsia="zh-CN"/>
              </w:rPr>
              <w:t>《江门市工业炉窑大气污染综合治理方案》（江环函〔2020〕22号）（</w:t>
            </w:r>
            <w:r>
              <w:rPr>
                <w:rFonts w:hint="eastAsia" w:ascii="Times New Roman" w:hAnsi="Times New Roman" w:cs="Times New Roman"/>
                <w:lang w:val="zh-TW"/>
              </w:rPr>
              <w:t>原则上按照颗粒物不高于30毫克/立方米实施改造</w:t>
            </w:r>
            <w:r>
              <w:rPr>
                <w:rFonts w:hint="eastAsia" w:ascii="Times New Roman" w:hAnsi="Times New Roman" w:cs="Times New Roman"/>
                <w:lang w:eastAsia="zh-CN"/>
              </w:rPr>
              <w:t>）</w:t>
            </w:r>
            <w:r>
              <w:rPr>
                <w:rFonts w:hint="eastAsia" w:ascii="Times New Roman" w:hAnsi="Times New Roman" w:cs="Times New Roman"/>
                <w:lang w:val="en-US" w:eastAsia="zh-CN"/>
              </w:rPr>
              <w:t>的较严者</w:t>
            </w:r>
          </w:p>
        </w:tc>
      </w:tr>
      <w:tr w14:paraId="5CCFA1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7" w:type="dxa"/>
            <w:vMerge w:val="continue"/>
            <w:vAlign w:val="center"/>
          </w:tcPr>
          <w:p w14:paraId="602047D8">
            <w:pPr>
              <w:pStyle w:val="69"/>
              <w:rPr>
                <w:rFonts w:hint="eastAsia"/>
                <w:color w:val="auto"/>
              </w:rPr>
            </w:pPr>
          </w:p>
        </w:tc>
        <w:tc>
          <w:tcPr>
            <w:tcW w:w="1664" w:type="dxa"/>
            <w:vMerge w:val="continue"/>
            <w:vAlign w:val="center"/>
          </w:tcPr>
          <w:p w14:paraId="6F4D9F9D">
            <w:pPr>
              <w:pStyle w:val="69"/>
              <w:ind w:firstLine="0" w:firstLineChars="0"/>
              <w:rPr>
                <w:rFonts w:hint="eastAsia" w:ascii="Times New Roman" w:hAnsi="Times New Roman" w:eastAsia="宋体" w:cs="Times New Roman"/>
                <w:color w:val="auto"/>
                <w:kern w:val="2"/>
                <w:sz w:val="21"/>
                <w:szCs w:val="21"/>
                <w:lang w:val="en-US" w:eastAsia="zh-CN" w:bidi="ar-SA"/>
              </w:rPr>
            </w:pPr>
          </w:p>
        </w:tc>
        <w:tc>
          <w:tcPr>
            <w:tcW w:w="2017" w:type="dxa"/>
            <w:vAlign w:val="center"/>
          </w:tcPr>
          <w:p w14:paraId="027641D3">
            <w:pPr>
              <w:pStyle w:val="69"/>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rPr>
              <w:t>NMHC</w:t>
            </w:r>
            <w:r>
              <w:rPr>
                <w:rFonts w:hint="eastAsia"/>
                <w:color w:val="auto"/>
                <w:lang w:eastAsia="zh-CN"/>
              </w:rPr>
              <w:t>、</w:t>
            </w:r>
            <w:r>
              <w:rPr>
                <w:rFonts w:hint="eastAsia"/>
                <w:color w:val="auto"/>
                <w:lang w:val="en-US" w:eastAsia="zh-CN"/>
              </w:rPr>
              <w:t>二氧化硫、氮氧化物</w:t>
            </w:r>
          </w:p>
        </w:tc>
        <w:tc>
          <w:tcPr>
            <w:tcW w:w="963" w:type="dxa"/>
            <w:vAlign w:val="center"/>
          </w:tcPr>
          <w:p w14:paraId="26396F3F">
            <w:pPr>
              <w:pStyle w:val="69"/>
              <w:ind w:firstLine="0" w:firstLineChars="0"/>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半年</w:t>
            </w:r>
          </w:p>
        </w:tc>
        <w:tc>
          <w:tcPr>
            <w:tcW w:w="3513" w:type="dxa"/>
            <w:vAlign w:val="center"/>
          </w:tcPr>
          <w:p w14:paraId="79C86C46">
            <w:pPr>
              <w:pStyle w:val="69"/>
              <w:ind w:firstLine="0" w:firstLineChars="0"/>
              <w:rPr>
                <w:rFonts w:hint="eastAsia" w:ascii="Times New Roman" w:hAnsi="Times New Roman" w:eastAsia="宋体" w:cs="Times New Roman"/>
                <w:color w:val="auto"/>
                <w:kern w:val="2"/>
                <w:sz w:val="21"/>
                <w:szCs w:val="21"/>
                <w:lang w:val="en-US" w:eastAsia="zh-CN" w:bidi="ar-SA"/>
              </w:rPr>
            </w:pPr>
            <w:r>
              <w:t>《印刷工业大气污染物排放标准》</w:t>
            </w:r>
          </w:p>
        </w:tc>
      </w:tr>
      <w:tr w14:paraId="5200CD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7" w:type="dxa"/>
            <w:vMerge w:val="continue"/>
            <w:vAlign w:val="center"/>
          </w:tcPr>
          <w:p w14:paraId="17094390">
            <w:pPr>
              <w:pStyle w:val="69"/>
              <w:rPr>
                <w:color w:val="auto"/>
              </w:rPr>
            </w:pPr>
          </w:p>
        </w:tc>
        <w:tc>
          <w:tcPr>
            <w:tcW w:w="1664" w:type="dxa"/>
            <w:vMerge w:val="restart"/>
            <w:vAlign w:val="center"/>
          </w:tcPr>
          <w:p w14:paraId="1BFF8539">
            <w:pPr>
              <w:pStyle w:val="69"/>
              <w:rPr>
                <w:color w:val="auto"/>
              </w:rPr>
            </w:pPr>
            <w:r>
              <w:rPr>
                <w:rFonts w:hint="eastAsia"/>
                <w:color w:val="auto"/>
                <w:lang w:eastAsia="zh-CN"/>
              </w:rPr>
              <w:t>DA00</w:t>
            </w:r>
            <w:r>
              <w:rPr>
                <w:rFonts w:hint="eastAsia"/>
                <w:color w:val="auto"/>
                <w:lang w:val="en-US" w:eastAsia="zh-CN"/>
              </w:rPr>
              <w:t>2</w:t>
            </w:r>
            <w:r>
              <w:rPr>
                <w:rFonts w:hint="eastAsia"/>
                <w:color w:val="auto"/>
              </w:rPr>
              <w:t>排气筒</w:t>
            </w:r>
          </w:p>
        </w:tc>
        <w:tc>
          <w:tcPr>
            <w:tcW w:w="2017" w:type="dxa"/>
            <w:vAlign w:val="center"/>
          </w:tcPr>
          <w:p w14:paraId="0E3EF03F">
            <w:pPr>
              <w:pStyle w:val="69"/>
              <w:rPr>
                <w:rFonts w:hint="default" w:eastAsia="宋体"/>
                <w:color w:val="auto"/>
                <w:lang w:val="en-US" w:eastAsia="zh-CN"/>
              </w:rPr>
            </w:pPr>
            <w:r>
              <w:rPr>
                <w:rFonts w:hint="eastAsia"/>
                <w:color w:val="auto"/>
              </w:rPr>
              <w:t>NMHC</w:t>
            </w:r>
            <w:r>
              <w:rPr>
                <w:rFonts w:hint="eastAsia"/>
                <w:color w:val="auto"/>
                <w:lang w:eastAsia="zh-CN"/>
              </w:rPr>
              <w:t>、</w:t>
            </w:r>
            <w:r>
              <w:rPr>
                <w:rFonts w:hint="eastAsia"/>
                <w:color w:val="auto"/>
                <w:lang w:val="en-US" w:eastAsia="zh-CN"/>
              </w:rPr>
              <w:t>总VOCs</w:t>
            </w:r>
          </w:p>
        </w:tc>
        <w:tc>
          <w:tcPr>
            <w:tcW w:w="963" w:type="dxa"/>
            <w:vAlign w:val="center"/>
          </w:tcPr>
          <w:p w14:paraId="1D22467A">
            <w:pPr>
              <w:pStyle w:val="69"/>
              <w:rPr>
                <w:color w:val="auto"/>
              </w:rPr>
            </w:pPr>
            <w:r>
              <w:rPr>
                <w:rFonts w:hint="eastAsia" w:cs="Times New Roman"/>
                <w:color w:val="auto"/>
                <w:kern w:val="2"/>
                <w:sz w:val="21"/>
                <w:szCs w:val="21"/>
                <w:lang w:val="en-US" w:eastAsia="zh-CN" w:bidi="ar-SA"/>
              </w:rPr>
              <w:t>半年</w:t>
            </w:r>
          </w:p>
        </w:tc>
        <w:tc>
          <w:tcPr>
            <w:tcW w:w="3513" w:type="dxa"/>
            <w:vAlign w:val="center"/>
          </w:tcPr>
          <w:p w14:paraId="4F1E77BF">
            <w:pPr>
              <w:pStyle w:val="69"/>
              <w:ind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广东省地方标准</w:t>
            </w:r>
            <w:r>
              <w:rPr>
                <w:color w:val="auto"/>
              </w:rPr>
              <w:t>《</w:t>
            </w:r>
            <w:r>
              <w:rPr>
                <w:rFonts w:hint="eastAsia"/>
                <w:color w:val="auto"/>
              </w:rPr>
              <w:t>固定污染源挥发性有机物综合排放标准</w:t>
            </w:r>
            <w:r>
              <w:rPr>
                <w:color w:val="auto"/>
              </w:rPr>
              <w:t>》(</w:t>
            </w:r>
            <w:r>
              <w:rPr>
                <w:rFonts w:hint="eastAsia"/>
                <w:color w:val="auto"/>
              </w:rPr>
              <w:t>DB44/ 2367—2022</w:t>
            </w:r>
            <w:r>
              <w:rPr>
                <w:color w:val="auto"/>
              </w:rPr>
              <w:t>)</w:t>
            </w:r>
            <w:r>
              <w:rPr>
                <w:rFonts w:hint="eastAsia"/>
                <w:color w:val="auto"/>
              </w:rPr>
              <w:t>表1 挥发性有机物排放限值</w:t>
            </w:r>
          </w:p>
        </w:tc>
      </w:tr>
      <w:tr w14:paraId="2A0FA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7" w:type="dxa"/>
            <w:vMerge w:val="continue"/>
            <w:vAlign w:val="center"/>
          </w:tcPr>
          <w:p w14:paraId="30A768F7">
            <w:pPr>
              <w:pStyle w:val="69"/>
              <w:rPr>
                <w:rFonts w:hint="eastAsia"/>
                <w:color w:val="auto"/>
              </w:rPr>
            </w:pPr>
          </w:p>
        </w:tc>
        <w:tc>
          <w:tcPr>
            <w:tcW w:w="1664" w:type="dxa"/>
            <w:vMerge w:val="continue"/>
            <w:vAlign w:val="center"/>
          </w:tcPr>
          <w:p w14:paraId="12797996">
            <w:pPr>
              <w:pStyle w:val="69"/>
              <w:rPr>
                <w:rFonts w:hint="eastAsia"/>
                <w:color w:val="auto"/>
              </w:rPr>
            </w:pPr>
          </w:p>
        </w:tc>
        <w:tc>
          <w:tcPr>
            <w:tcW w:w="2017" w:type="dxa"/>
            <w:shd w:val="clear" w:color="auto" w:fill="auto"/>
            <w:vAlign w:val="center"/>
          </w:tcPr>
          <w:p w14:paraId="17C8440C">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颗粒物、氯化氢、氯乙烯</w:t>
            </w:r>
          </w:p>
        </w:tc>
        <w:tc>
          <w:tcPr>
            <w:tcW w:w="963" w:type="dxa"/>
            <w:vAlign w:val="center"/>
          </w:tcPr>
          <w:p w14:paraId="7F853B5E">
            <w:pPr>
              <w:pStyle w:val="69"/>
              <w:ind w:firstLine="0" w:firstLineChars="0"/>
              <w:rPr>
                <w:rFonts w:hint="eastAsia"/>
                <w:color w:val="auto"/>
              </w:rPr>
            </w:pPr>
            <w:r>
              <w:rPr>
                <w:rFonts w:hint="eastAsia" w:cs="Times New Roman"/>
                <w:color w:val="auto"/>
                <w:kern w:val="2"/>
                <w:sz w:val="21"/>
                <w:szCs w:val="21"/>
                <w:lang w:val="en-US" w:eastAsia="zh-CN" w:bidi="ar-SA"/>
              </w:rPr>
              <w:t>半年</w:t>
            </w:r>
          </w:p>
        </w:tc>
        <w:tc>
          <w:tcPr>
            <w:tcW w:w="3513" w:type="dxa"/>
            <w:vAlign w:val="center"/>
          </w:tcPr>
          <w:p w14:paraId="2F168C0E">
            <w:pPr>
              <w:pStyle w:val="69"/>
              <w:ind w:firstLine="0" w:firstLineChars="0"/>
              <w:rPr>
                <w:color w:val="auto"/>
              </w:rPr>
            </w:pPr>
            <w:r>
              <w:rPr>
                <w:rFonts w:hint="eastAsia"/>
                <w:color w:val="auto"/>
              </w:rPr>
              <w:t>广东省地方标准《大气污染物排放限值标准》（</w:t>
            </w:r>
            <w:r>
              <w:rPr>
                <w:color w:val="auto"/>
              </w:rPr>
              <w:t>DB44</w:t>
            </w:r>
            <w:r>
              <w:rPr>
                <w:rFonts w:hint="eastAsia"/>
                <w:color w:val="auto"/>
              </w:rPr>
              <w:t>/</w:t>
            </w:r>
            <w:r>
              <w:rPr>
                <w:color w:val="auto"/>
              </w:rPr>
              <w:t>27-2001</w:t>
            </w:r>
            <w:r>
              <w:rPr>
                <w:rFonts w:hint="eastAsia"/>
                <w:color w:val="auto"/>
              </w:rPr>
              <w:t>）的第二时段二级标准</w:t>
            </w:r>
          </w:p>
        </w:tc>
      </w:tr>
      <w:tr w14:paraId="3EC12D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7" w:type="dxa"/>
            <w:vMerge w:val="continue"/>
            <w:vAlign w:val="center"/>
          </w:tcPr>
          <w:p w14:paraId="0C8D2848">
            <w:pPr>
              <w:pStyle w:val="69"/>
              <w:rPr>
                <w:color w:val="auto"/>
              </w:rPr>
            </w:pPr>
          </w:p>
        </w:tc>
        <w:tc>
          <w:tcPr>
            <w:tcW w:w="1664" w:type="dxa"/>
            <w:vAlign w:val="center"/>
          </w:tcPr>
          <w:p w14:paraId="18E6331B">
            <w:pPr>
              <w:pStyle w:val="69"/>
              <w:rPr>
                <w:color w:val="auto"/>
              </w:rPr>
            </w:pPr>
            <w:r>
              <w:rPr>
                <w:rFonts w:hint="eastAsia"/>
                <w:color w:val="auto"/>
                <w:lang w:val="en-US" w:eastAsia="zh-CN"/>
              </w:rPr>
              <w:t>厂区内（</w:t>
            </w:r>
            <w:r>
              <w:rPr>
                <w:rFonts w:hint="eastAsia"/>
                <w:bCs/>
                <w:color w:val="auto"/>
                <w:szCs w:val="21"/>
                <w:lang w:val="en-US" w:eastAsia="zh-CN"/>
              </w:rPr>
              <w:t>厂房门窗或通风口、其他开口（孔）等排放口外1m，距离地面1.5m以上位置处</w:t>
            </w:r>
            <w:r>
              <w:rPr>
                <w:rFonts w:hint="eastAsia"/>
                <w:color w:val="auto"/>
                <w:lang w:val="en-US" w:eastAsia="zh-CN"/>
              </w:rPr>
              <w:t>）</w:t>
            </w:r>
          </w:p>
        </w:tc>
        <w:tc>
          <w:tcPr>
            <w:tcW w:w="2017" w:type="dxa"/>
            <w:vAlign w:val="center"/>
          </w:tcPr>
          <w:p w14:paraId="14EEB565">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NMHC</w:t>
            </w:r>
          </w:p>
        </w:tc>
        <w:tc>
          <w:tcPr>
            <w:tcW w:w="963" w:type="dxa"/>
            <w:vAlign w:val="center"/>
          </w:tcPr>
          <w:p w14:paraId="4D6C61EF">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半年</w:t>
            </w:r>
            <w:r>
              <w:rPr>
                <w:rFonts w:hint="eastAsia"/>
                <w:color w:val="auto"/>
              </w:rPr>
              <w:t>/次</w:t>
            </w:r>
          </w:p>
        </w:tc>
        <w:tc>
          <w:tcPr>
            <w:tcW w:w="3513" w:type="dxa"/>
            <w:vAlign w:val="center"/>
          </w:tcPr>
          <w:p w14:paraId="62CB052B">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广东省地方标准</w:t>
            </w:r>
            <w:r>
              <w:rPr>
                <w:color w:val="auto"/>
              </w:rPr>
              <w:t>《</w:t>
            </w:r>
            <w:r>
              <w:rPr>
                <w:rFonts w:hint="eastAsia"/>
                <w:color w:val="auto"/>
              </w:rPr>
              <w:t>固定污染源挥发性有机物综合排放标准</w:t>
            </w:r>
            <w:r>
              <w:rPr>
                <w:color w:val="auto"/>
              </w:rPr>
              <w:t>》</w:t>
            </w:r>
            <w:r>
              <w:rPr>
                <w:rFonts w:hint="eastAsia"/>
                <w:color w:val="auto"/>
                <w:lang w:eastAsia="zh-CN"/>
              </w:rPr>
              <w:t>（</w:t>
            </w:r>
            <w:r>
              <w:rPr>
                <w:rFonts w:hint="eastAsia"/>
                <w:color w:val="auto"/>
              </w:rPr>
              <w:t>DB44/ 2367—2022</w:t>
            </w:r>
            <w:r>
              <w:rPr>
                <w:rFonts w:hint="eastAsia"/>
                <w:color w:val="auto"/>
                <w:lang w:eastAsia="zh-CN"/>
              </w:rPr>
              <w:t>）</w:t>
            </w:r>
            <w:r>
              <w:rPr>
                <w:rFonts w:hint="eastAsia"/>
                <w:color w:val="auto"/>
              </w:rPr>
              <w:t>表3 厂区内VOCs 无组织排放限值</w:t>
            </w:r>
          </w:p>
        </w:tc>
      </w:tr>
      <w:tr w14:paraId="1603F3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7" w:type="dxa"/>
            <w:vAlign w:val="center"/>
          </w:tcPr>
          <w:p w14:paraId="50E88EA5">
            <w:pPr>
              <w:pStyle w:val="69"/>
              <w:rPr>
                <w:color w:val="auto"/>
              </w:rPr>
            </w:pPr>
            <w:r>
              <w:rPr>
                <w:rFonts w:hint="eastAsia"/>
                <w:color w:val="auto"/>
              </w:rPr>
              <w:t>噪声</w:t>
            </w:r>
          </w:p>
        </w:tc>
        <w:tc>
          <w:tcPr>
            <w:tcW w:w="1664" w:type="dxa"/>
            <w:vAlign w:val="center"/>
          </w:tcPr>
          <w:p w14:paraId="3DB22458">
            <w:pPr>
              <w:pStyle w:val="69"/>
              <w:rPr>
                <w:color w:val="auto"/>
              </w:rPr>
            </w:pPr>
            <w:r>
              <w:rPr>
                <w:rFonts w:hint="eastAsia"/>
                <w:color w:val="auto"/>
              </w:rPr>
              <w:t>厂界四周</w:t>
            </w:r>
          </w:p>
        </w:tc>
        <w:tc>
          <w:tcPr>
            <w:tcW w:w="2017" w:type="dxa"/>
            <w:vAlign w:val="center"/>
          </w:tcPr>
          <w:p w14:paraId="1CDD4CC1">
            <w:pPr>
              <w:pStyle w:val="69"/>
              <w:rPr>
                <w:color w:val="auto"/>
              </w:rPr>
            </w:pPr>
            <w:r>
              <w:rPr>
                <w:color w:val="auto"/>
              </w:rPr>
              <w:t>等效连续A声级</w:t>
            </w:r>
          </w:p>
        </w:tc>
        <w:tc>
          <w:tcPr>
            <w:tcW w:w="963" w:type="dxa"/>
            <w:vAlign w:val="center"/>
          </w:tcPr>
          <w:p w14:paraId="56362786">
            <w:pPr>
              <w:pStyle w:val="69"/>
              <w:rPr>
                <w:color w:val="auto"/>
              </w:rPr>
            </w:pPr>
            <w:r>
              <w:rPr>
                <w:rFonts w:hint="eastAsia"/>
                <w:color w:val="auto"/>
                <w:lang w:val="en-US" w:eastAsia="zh-CN"/>
              </w:rPr>
              <w:t>季度</w:t>
            </w:r>
          </w:p>
        </w:tc>
        <w:tc>
          <w:tcPr>
            <w:tcW w:w="3513" w:type="dxa"/>
            <w:vAlign w:val="center"/>
          </w:tcPr>
          <w:p w14:paraId="31A2F737">
            <w:pPr>
              <w:pStyle w:val="69"/>
              <w:rPr>
                <w:color w:val="auto"/>
              </w:rPr>
            </w:pPr>
            <w:r>
              <w:rPr>
                <w:rFonts w:hint="eastAsia"/>
                <w:color w:val="auto"/>
              </w:rPr>
              <w:t>《工业企业厂界环境噪声排放标准》（GB12348-2008）3类标准</w:t>
            </w:r>
          </w:p>
        </w:tc>
      </w:tr>
      <w:tr w14:paraId="42CA9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7" w:type="dxa"/>
            <w:vAlign w:val="center"/>
          </w:tcPr>
          <w:p w14:paraId="1C737CF4">
            <w:pPr>
              <w:pStyle w:val="69"/>
              <w:rPr>
                <w:rFonts w:hint="default" w:eastAsia="宋体"/>
                <w:color w:val="auto"/>
                <w:lang w:val="en-US" w:eastAsia="zh-CN"/>
              </w:rPr>
            </w:pPr>
            <w:r>
              <w:rPr>
                <w:rFonts w:hint="eastAsia"/>
                <w:color w:val="auto"/>
                <w:lang w:val="en-US" w:eastAsia="zh-CN"/>
              </w:rPr>
              <w:t>废水</w:t>
            </w:r>
          </w:p>
        </w:tc>
        <w:tc>
          <w:tcPr>
            <w:tcW w:w="1664" w:type="dxa"/>
            <w:vAlign w:val="center"/>
          </w:tcPr>
          <w:p w14:paraId="354144D3">
            <w:pPr>
              <w:pStyle w:val="69"/>
              <w:bidi w:val="0"/>
              <w:rPr>
                <w:rFonts w:hint="default" w:eastAsia="宋体"/>
                <w:color w:val="auto"/>
                <w:lang w:val="en-US" w:eastAsia="zh-CN"/>
              </w:rPr>
            </w:pPr>
            <w:r>
              <w:rPr>
                <w:rFonts w:hint="eastAsia"/>
                <w:color w:val="auto"/>
                <w:lang w:val="en-US" w:eastAsia="zh-CN"/>
              </w:rPr>
              <w:t>生活污水</w:t>
            </w:r>
          </w:p>
        </w:tc>
        <w:tc>
          <w:tcPr>
            <w:tcW w:w="2017" w:type="dxa"/>
            <w:vAlign w:val="center"/>
          </w:tcPr>
          <w:p w14:paraId="5B08283C">
            <w:pPr>
              <w:pStyle w:val="69"/>
              <w:bidi w:val="0"/>
              <w:rPr>
                <w:rFonts w:hint="default"/>
                <w:color w:val="auto"/>
                <w:lang w:val="en-US"/>
              </w:rPr>
            </w:pPr>
            <w:r>
              <w:rPr>
                <w:rFonts w:hint="eastAsia"/>
                <w:color w:val="auto"/>
                <w:lang w:val="en-US" w:eastAsia="zh-CN"/>
              </w:rPr>
              <w:t>pH值、COD、氨氮、SS、BOD</w:t>
            </w:r>
            <w:r>
              <w:rPr>
                <w:rFonts w:hint="eastAsia"/>
                <w:color w:val="auto"/>
                <w:vertAlign w:val="subscript"/>
                <w:lang w:val="en-US" w:eastAsia="zh-CN"/>
              </w:rPr>
              <w:t>5</w:t>
            </w:r>
            <w:r>
              <w:rPr>
                <w:rFonts w:hint="eastAsia"/>
                <w:color w:val="auto"/>
                <w:lang w:val="en-US" w:eastAsia="zh-CN"/>
              </w:rPr>
              <w:t>、TN、TP</w:t>
            </w:r>
          </w:p>
        </w:tc>
        <w:tc>
          <w:tcPr>
            <w:tcW w:w="963" w:type="dxa"/>
            <w:vAlign w:val="center"/>
          </w:tcPr>
          <w:p w14:paraId="0DEFA9ED">
            <w:pPr>
              <w:pStyle w:val="69"/>
              <w:bidi w:val="0"/>
              <w:rPr>
                <w:rFonts w:hint="eastAsia"/>
                <w:color w:val="auto"/>
              </w:rPr>
            </w:pPr>
            <w:r>
              <w:rPr>
                <w:rFonts w:hint="eastAsia"/>
                <w:color w:val="auto"/>
                <w:lang w:val="en-US" w:eastAsia="zh-CN"/>
              </w:rPr>
              <w:t>/</w:t>
            </w:r>
          </w:p>
        </w:tc>
        <w:tc>
          <w:tcPr>
            <w:tcW w:w="3513" w:type="dxa"/>
            <w:vAlign w:val="center"/>
          </w:tcPr>
          <w:p w14:paraId="1C5748D5">
            <w:pPr>
              <w:pStyle w:val="69"/>
              <w:bidi w:val="0"/>
              <w:rPr>
                <w:rFonts w:hint="default"/>
                <w:color w:val="auto"/>
                <w:lang w:val="en-US" w:eastAsia="zh-CN"/>
              </w:rPr>
            </w:pPr>
            <w:r>
              <w:rPr>
                <w:rFonts w:hint="eastAsia"/>
                <w:color w:val="auto"/>
                <w:lang w:val="en-US" w:eastAsia="zh-CN"/>
              </w:rPr>
              <w:t>不得检出</w:t>
            </w:r>
          </w:p>
        </w:tc>
      </w:tr>
    </w:tbl>
    <w:p w14:paraId="0D71F0EC">
      <w:pPr>
        <w:pStyle w:val="67"/>
        <w:numPr>
          <w:ilvl w:val="1"/>
          <w:numId w:val="8"/>
        </w:numPr>
        <w:spacing w:before="156" w:after="156"/>
        <w:ind w:left="567" w:leftChars="0" w:hanging="567" w:firstLineChars="0"/>
        <w:rPr>
          <w:color w:val="auto"/>
        </w:rPr>
      </w:pPr>
      <w:bookmarkStart w:id="224" w:name="_Toc30719"/>
      <w:r>
        <w:rPr>
          <w:rFonts w:hint="eastAsia"/>
          <w:color w:val="auto"/>
        </w:rPr>
        <w:t>规范排污口</w:t>
      </w:r>
      <w:bookmarkEnd w:id="221"/>
      <w:bookmarkEnd w:id="222"/>
      <w:bookmarkEnd w:id="224"/>
    </w:p>
    <w:p w14:paraId="58EF01CB">
      <w:pPr>
        <w:ind w:firstLine="480"/>
        <w:rPr>
          <w:color w:val="auto"/>
        </w:rPr>
      </w:pPr>
      <w:r>
        <w:rPr>
          <w:rFonts w:hint="eastAsia"/>
          <w:color w:val="auto"/>
        </w:rPr>
        <w:t>依据广东省环境保护局文件《广东省污染源排污口规范化设置导则》要求，所有广东省辖区内排放口均需按照要求申报登记排污口数量、位置以及所排放的主要污染物的种类、数量、浓度、排放去向等情况，并按规定设置与排污口相对应的环境保护图形标志牌。</w:t>
      </w:r>
    </w:p>
    <w:p w14:paraId="4CC75326">
      <w:pPr>
        <w:ind w:firstLine="480"/>
        <w:rPr>
          <w:color w:val="auto"/>
        </w:rPr>
      </w:pPr>
      <w:r>
        <w:rPr>
          <w:rFonts w:hint="eastAsia"/>
          <w:color w:val="auto"/>
        </w:rPr>
        <w:t>（1）废水排放口</w:t>
      </w:r>
    </w:p>
    <w:p w14:paraId="0ACB923D">
      <w:pPr>
        <w:ind w:firstLine="480"/>
        <w:rPr>
          <w:color w:val="auto"/>
        </w:rPr>
      </w:pPr>
      <w:r>
        <w:rPr>
          <w:rFonts w:hint="eastAsia"/>
          <w:color w:val="auto"/>
        </w:rPr>
        <w:t>设置1个</w:t>
      </w:r>
      <w:r>
        <w:rPr>
          <w:rFonts w:hint="eastAsia"/>
          <w:color w:val="auto"/>
          <w:lang w:val="en-US" w:eastAsia="zh-CN"/>
        </w:rPr>
        <w:t>生活污水</w:t>
      </w:r>
      <w:r>
        <w:rPr>
          <w:rFonts w:hint="eastAsia"/>
          <w:color w:val="auto"/>
        </w:rPr>
        <w:t>排放口。</w:t>
      </w:r>
    </w:p>
    <w:p w14:paraId="0953C727">
      <w:pPr>
        <w:ind w:firstLine="480"/>
        <w:rPr>
          <w:color w:val="auto"/>
        </w:rPr>
      </w:pPr>
      <w:r>
        <w:rPr>
          <w:rFonts w:hint="eastAsia"/>
          <w:color w:val="auto"/>
        </w:rPr>
        <w:t>（2）废气排放口</w:t>
      </w:r>
    </w:p>
    <w:p w14:paraId="3CE6D015">
      <w:pPr>
        <w:ind w:firstLine="480"/>
        <w:rPr>
          <w:color w:val="auto"/>
        </w:rPr>
      </w:pPr>
      <w:r>
        <w:rPr>
          <w:rFonts w:hint="eastAsia"/>
          <w:color w:val="auto"/>
        </w:rPr>
        <w:t>排放同类污染物的两个或两个以上的排污口（不论其是否属同一生产设备），在不影响生产、技术上可行的条件下，应合并成一个排污口；有组织排放废气的排气筒（烟囱）高度应符合国家和省大气污染物排放标准的有关规定；无组织排放有毒有害气体的，应加装引风装置进行收集、处理，并设置采样点；排气筒（烟囱）应设置便于采样、监测的采样口和采样监测平台。有净化设施的，应在其进出口分别设置采样口及采样监测平台。采样孔、点数目和位置应按《固定污染源排气中颗粒物测定与气态污染物采样方法》（GB／T16157—1996）和《污染源监测技术规范》的规定设置。</w:t>
      </w:r>
    </w:p>
    <w:p w14:paraId="615D8AF6">
      <w:pPr>
        <w:ind w:firstLine="480"/>
        <w:rPr>
          <w:color w:val="auto"/>
        </w:rPr>
      </w:pPr>
      <w:r>
        <w:rPr>
          <w:rFonts w:hint="eastAsia"/>
          <w:color w:val="auto"/>
        </w:rPr>
        <w:t>（3）固定噪声排放源</w:t>
      </w:r>
    </w:p>
    <w:p w14:paraId="361BB3EB">
      <w:pPr>
        <w:ind w:firstLine="480"/>
        <w:rPr>
          <w:color w:val="auto"/>
        </w:rPr>
      </w:pPr>
      <w:r>
        <w:rPr>
          <w:rFonts w:hint="eastAsia"/>
          <w:color w:val="auto"/>
        </w:rPr>
        <w:t>噪声排放源标志牌应设置在距选定监测点较近且醒目处。固定噪声污染源对边界影响最大处，须按《工业企业厂界环境噪声排放标准》（GB12348-2008）的规定，设置环境噪声监测点，并在该处附近醒目处设置环境保护图形标志牌。边界上有若干个在声环境中相对独立的固定噪声污染源，应分别设置环境噪声监测点和环境保护图形标志牌。</w:t>
      </w:r>
    </w:p>
    <w:p w14:paraId="43128A5C">
      <w:pPr>
        <w:ind w:firstLine="480"/>
        <w:rPr>
          <w:color w:val="auto"/>
        </w:rPr>
      </w:pPr>
      <w:r>
        <w:rPr>
          <w:rFonts w:hint="eastAsia"/>
          <w:color w:val="auto"/>
        </w:rPr>
        <w:t>（4）固体废物贮存</w:t>
      </w:r>
      <w:r>
        <w:rPr>
          <w:color w:val="auto"/>
        </w:rPr>
        <w:t>(</w:t>
      </w:r>
      <w:r>
        <w:rPr>
          <w:rFonts w:hint="eastAsia"/>
          <w:color w:val="auto"/>
        </w:rPr>
        <w:t>处置</w:t>
      </w:r>
      <w:r>
        <w:rPr>
          <w:color w:val="auto"/>
        </w:rPr>
        <w:t>)</w:t>
      </w:r>
      <w:r>
        <w:rPr>
          <w:rFonts w:hint="eastAsia"/>
          <w:color w:val="auto"/>
        </w:rPr>
        <w:t>场</w:t>
      </w:r>
    </w:p>
    <w:p w14:paraId="1739891D">
      <w:pPr>
        <w:ind w:firstLine="480"/>
        <w:rPr>
          <w:rFonts w:hint="eastAsia"/>
          <w:color w:val="auto"/>
        </w:rPr>
      </w:pPr>
      <w:r>
        <w:rPr>
          <w:rFonts w:hint="eastAsia"/>
          <w:color w:val="auto"/>
          <w:lang w:val="en-US" w:eastAsia="zh-CN"/>
        </w:rPr>
        <w:t>一般工业固体废物在厂内贮存过程应满足相应防渗漏、防雨淋、防扬尘等环境保护要求。</w:t>
      </w:r>
      <w:r>
        <w:rPr>
          <w:rFonts w:hint="eastAsia"/>
          <w:color w:val="auto"/>
        </w:rPr>
        <w:t>危废</w:t>
      </w:r>
      <w:r>
        <w:rPr>
          <w:rFonts w:hint="eastAsia"/>
          <w:color w:val="auto"/>
          <w:lang w:val="en-US" w:eastAsia="zh-CN"/>
        </w:rPr>
        <w:t>暂存处</w:t>
      </w:r>
      <w:r>
        <w:rPr>
          <w:rFonts w:hint="eastAsia"/>
          <w:color w:val="auto"/>
        </w:rPr>
        <w:t>应符合《危险废物贮存污染控制标准》（GB 18597-20</w:t>
      </w:r>
      <w:r>
        <w:rPr>
          <w:rFonts w:hint="eastAsia"/>
          <w:color w:val="auto"/>
          <w:lang w:val="en-US" w:eastAsia="zh-CN"/>
        </w:rPr>
        <w:t>23</w:t>
      </w:r>
      <w:r>
        <w:rPr>
          <w:rFonts w:hint="eastAsia"/>
          <w:color w:val="auto"/>
        </w:rPr>
        <w:t>）。</w:t>
      </w:r>
    </w:p>
    <w:p w14:paraId="40FED74A">
      <w:pPr>
        <w:ind w:firstLine="480"/>
        <w:rPr>
          <w:rFonts w:hint="default" w:eastAsia="宋体"/>
          <w:color w:val="auto"/>
          <w:lang w:val="en-US" w:eastAsia="zh-CN"/>
        </w:rPr>
      </w:pPr>
      <w:r>
        <w:rPr>
          <w:rFonts w:hint="eastAsia"/>
          <w:color w:val="auto"/>
          <w:lang w:val="en-US" w:eastAsia="zh-CN"/>
        </w:rPr>
        <w:t>暂存处门口应悬挂如下标识：</w:t>
      </w:r>
    </w:p>
    <w:tbl>
      <w:tblPr>
        <w:tblStyle w:val="38"/>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0"/>
        <w:gridCol w:w="4754"/>
      </w:tblGrid>
      <w:tr w14:paraId="0CEA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jc w:val="center"/>
        </w:trPr>
        <w:tc>
          <w:tcPr>
            <w:tcW w:w="4530" w:type="dxa"/>
            <w:vAlign w:val="center"/>
          </w:tcPr>
          <w:p w14:paraId="63BCEBEF">
            <w:pPr>
              <w:ind w:firstLine="480"/>
              <w:rPr>
                <w:rFonts w:ascii="宋体" w:hAnsi="宋体"/>
                <w:color w:val="auto"/>
              </w:rPr>
            </w:pPr>
            <w:r>
              <w:rPr>
                <w:rFonts w:ascii="宋体" w:hAnsi="宋体"/>
                <w:color w:val="auto"/>
              </w:rPr>
              <w:drawing>
                <wp:inline distT="0" distB="0" distL="114300" distR="114300">
                  <wp:extent cx="1864360" cy="1864360"/>
                  <wp:effectExtent l="0" t="0" r="2540" b="2540"/>
                  <wp:docPr id="231"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45"/>
                          <pic:cNvPicPr>
                            <a:picLocks noChangeAspect="1"/>
                          </pic:cNvPicPr>
                        </pic:nvPicPr>
                        <pic:blipFill>
                          <a:blip r:embed="rId132"/>
                          <a:stretch>
                            <a:fillRect/>
                          </a:stretch>
                        </pic:blipFill>
                        <pic:spPr>
                          <a:xfrm>
                            <a:off x="0" y="0"/>
                            <a:ext cx="1864360" cy="1864360"/>
                          </a:xfrm>
                          <a:prstGeom prst="rect">
                            <a:avLst/>
                          </a:prstGeom>
                          <a:noFill/>
                          <a:ln>
                            <a:noFill/>
                          </a:ln>
                        </pic:spPr>
                      </pic:pic>
                    </a:graphicData>
                  </a:graphic>
                </wp:inline>
              </w:drawing>
            </w:r>
          </w:p>
        </w:tc>
        <w:tc>
          <w:tcPr>
            <w:tcW w:w="4754" w:type="dxa"/>
            <w:vAlign w:val="center"/>
          </w:tcPr>
          <w:p w14:paraId="6EC3E5A1">
            <w:pPr>
              <w:spacing w:line="380" w:lineRule="exact"/>
              <w:jc w:val="center"/>
              <w:rPr>
                <w:rFonts w:ascii="宋体" w:hAnsi="宋体"/>
                <w:color w:val="auto"/>
                <w:sz w:val="28"/>
                <w:szCs w:val="28"/>
              </w:rPr>
            </w:pPr>
            <w:r>
              <w:rPr>
                <w:rFonts w:hint="eastAsia" w:ascii="宋体" w:hAnsi="宋体"/>
                <w:color w:val="auto"/>
                <w:sz w:val="28"/>
                <w:szCs w:val="28"/>
              </w:rPr>
              <w:t>说　　明</w:t>
            </w:r>
          </w:p>
          <w:p w14:paraId="072B4763">
            <w:pPr>
              <w:spacing w:line="380" w:lineRule="exact"/>
              <w:ind w:left="-2" w:leftChars="-1" w:firstLine="480"/>
              <w:rPr>
                <w:rFonts w:ascii="宋体" w:hAnsi="宋体"/>
                <w:color w:val="auto"/>
              </w:rPr>
            </w:pPr>
            <w:r>
              <w:rPr>
                <w:rFonts w:hint="eastAsia" w:ascii="宋体" w:hAnsi="宋体"/>
                <w:color w:val="auto"/>
              </w:rPr>
              <w:t>1、危险废物警告标志规格颜色</w:t>
            </w:r>
          </w:p>
          <w:p w14:paraId="318D87BF">
            <w:pPr>
              <w:spacing w:line="380" w:lineRule="exact"/>
              <w:ind w:firstLine="480"/>
              <w:rPr>
                <w:rFonts w:ascii="宋体" w:hAnsi="宋体"/>
                <w:color w:val="auto"/>
              </w:rPr>
            </w:pPr>
            <w:r>
              <w:rPr>
                <w:rFonts w:hint="eastAsia" w:ascii="宋体" w:hAnsi="宋体"/>
                <w:color w:val="auto"/>
              </w:rPr>
              <w:t>形状：等边三角形，边长40cm</w:t>
            </w:r>
          </w:p>
          <w:p w14:paraId="79FCF599">
            <w:pPr>
              <w:spacing w:line="380" w:lineRule="exact"/>
              <w:ind w:firstLine="480"/>
              <w:rPr>
                <w:rFonts w:ascii="宋体" w:hAnsi="宋体"/>
                <w:color w:val="auto"/>
              </w:rPr>
            </w:pPr>
            <w:r>
              <w:rPr>
                <w:rFonts w:hint="eastAsia" w:ascii="宋体" w:hAnsi="宋体"/>
                <w:color w:val="auto"/>
              </w:rPr>
              <w:t>颜色：背景为黄色，图形为黑色</w:t>
            </w:r>
          </w:p>
          <w:p w14:paraId="1831AAFB">
            <w:pPr>
              <w:spacing w:line="380" w:lineRule="exact"/>
              <w:ind w:left="-2" w:leftChars="-1" w:firstLine="480"/>
              <w:rPr>
                <w:rFonts w:ascii="宋体" w:hAnsi="宋体"/>
                <w:color w:val="auto"/>
              </w:rPr>
            </w:pPr>
            <w:r>
              <w:rPr>
                <w:rFonts w:hint="eastAsia" w:ascii="宋体" w:hAnsi="宋体"/>
                <w:color w:val="auto"/>
              </w:rPr>
              <w:t>2、警告标志外檐2.5cm</w:t>
            </w:r>
          </w:p>
        </w:tc>
      </w:tr>
      <w:tr w14:paraId="49BD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jc w:val="center"/>
        </w:trPr>
        <w:tc>
          <w:tcPr>
            <w:tcW w:w="4530" w:type="dxa"/>
            <w:vAlign w:val="center"/>
          </w:tcPr>
          <w:p w14:paraId="353B9999">
            <w:pPr>
              <w:pStyle w:val="69"/>
              <w:ind w:firstLine="0" w:firstLineChars="0"/>
              <w:rPr>
                <w:rFonts w:ascii="Times New Roman" w:hAnsi="Times New Roman" w:eastAsia="宋体" w:cs="Times New Roman"/>
                <w:color w:val="auto"/>
                <w:kern w:val="2"/>
                <w:sz w:val="21"/>
                <w:szCs w:val="21"/>
                <w:lang w:val="en-US" w:eastAsia="zh-CN" w:bidi="ar-SA"/>
              </w:rPr>
            </w:pPr>
            <w:r>
              <w:rPr>
                <w:color w:val="auto"/>
              </w:rPr>
              <w:drawing>
                <wp:inline distT="0" distB="0" distL="114300" distR="114300">
                  <wp:extent cx="2432685" cy="1965960"/>
                  <wp:effectExtent l="0" t="0" r="5715" b="5715"/>
                  <wp:docPr id="405" name="图片 244" descr="t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244" descr="timg(1)"/>
                          <pic:cNvPicPr>
                            <a:picLocks noChangeAspect="1"/>
                          </pic:cNvPicPr>
                        </pic:nvPicPr>
                        <pic:blipFill>
                          <a:blip r:embed="rId133"/>
                          <a:stretch>
                            <a:fillRect/>
                          </a:stretch>
                        </pic:blipFill>
                        <pic:spPr>
                          <a:xfrm>
                            <a:off x="0" y="0"/>
                            <a:ext cx="2432685" cy="1965960"/>
                          </a:xfrm>
                          <a:prstGeom prst="rect">
                            <a:avLst/>
                          </a:prstGeom>
                          <a:noFill/>
                          <a:ln>
                            <a:noFill/>
                          </a:ln>
                        </pic:spPr>
                      </pic:pic>
                    </a:graphicData>
                  </a:graphic>
                </wp:inline>
              </w:drawing>
            </w:r>
          </w:p>
        </w:tc>
        <w:tc>
          <w:tcPr>
            <w:tcW w:w="4754" w:type="dxa"/>
            <w:vAlign w:val="center"/>
          </w:tcPr>
          <w:p w14:paraId="7EFECC04">
            <w:pPr>
              <w:pStyle w:val="69"/>
              <w:rPr>
                <w:color w:val="auto"/>
              </w:rPr>
            </w:pPr>
            <w:r>
              <w:rPr>
                <w:rFonts w:hint="eastAsia"/>
                <w:color w:val="auto"/>
              </w:rPr>
              <w:t>说　　明</w:t>
            </w:r>
          </w:p>
          <w:p w14:paraId="6279F3E0">
            <w:pPr>
              <w:bidi w:val="0"/>
              <w:rPr>
                <w:color w:val="auto"/>
              </w:rPr>
            </w:pPr>
            <w:r>
              <w:rPr>
                <w:rFonts w:hint="eastAsia"/>
                <w:color w:val="auto"/>
              </w:rPr>
              <w:t>1、一般工业固体废物警告标志规格颜色</w:t>
            </w:r>
          </w:p>
          <w:p w14:paraId="3A827E27">
            <w:pPr>
              <w:bidi w:val="0"/>
              <w:rPr>
                <w:color w:val="auto"/>
              </w:rPr>
            </w:pPr>
            <w:r>
              <w:rPr>
                <w:rFonts w:hint="eastAsia"/>
                <w:color w:val="auto"/>
              </w:rPr>
              <w:t>形状：等边三角形，边长40cm</w:t>
            </w:r>
          </w:p>
          <w:p w14:paraId="0C89F799">
            <w:pPr>
              <w:bidi w:val="0"/>
              <w:rPr>
                <w:color w:val="auto"/>
              </w:rPr>
            </w:pPr>
            <w:r>
              <w:rPr>
                <w:rFonts w:hint="eastAsia"/>
                <w:color w:val="auto"/>
              </w:rPr>
              <w:t>颜色：背景为黄色，图形为黑色</w:t>
            </w:r>
          </w:p>
          <w:p w14:paraId="24F0D54D">
            <w:pPr>
              <w:bidi w:val="0"/>
              <w:rPr>
                <w:rFonts w:hint="eastAsia" w:ascii="Times New Roman" w:hAnsi="Times New Roman" w:eastAsia="宋体" w:cs="Times New Roman"/>
                <w:color w:val="auto"/>
                <w:kern w:val="2"/>
                <w:szCs w:val="21"/>
                <w:lang w:val="en-US" w:eastAsia="zh-CN" w:bidi="ar-SA"/>
              </w:rPr>
            </w:pPr>
            <w:r>
              <w:rPr>
                <w:rFonts w:hint="eastAsia"/>
                <w:color w:val="auto"/>
              </w:rPr>
              <w:t>2、警告标志外檐2.5cm</w:t>
            </w:r>
          </w:p>
        </w:tc>
      </w:tr>
    </w:tbl>
    <w:p w14:paraId="695FE48A">
      <w:pPr>
        <w:pStyle w:val="62"/>
        <w:rPr>
          <w:color w:val="auto"/>
        </w:rPr>
      </w:pPr>
      <w:r>
        <w:rPr>
          <w:rFonts w:hint="eastAsia"/>
          <w:color w:val="auto"/>
        </w:rPr>
        <w:drawing>
          <wp:inline distT="0" distB="0" distL="114300" distR="114300">
            <wp:extent cx="4072255" cy="2748280"/>
            <wp:effectExtent l="0" t="0" r="4445" b="4445"/>
            <wp:docPr id="196" name="图片 129" descr="QQ截图2015052810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29" descr="QQ截图20150528103929"/>
                    <pic:cNvPicPr>
                      <a:picLocks noChangeAspect="1"/>
                    </pic:cNvPicPr>
                  </pic:nvPicPr>
                  <pic:blipFill>
                    <a:blip r:embed="rId134"/>
                    <a:stretch>
                      <a:fillRect/>
                    </a:stretch>
                  </pic:blipFill>
                  <pic:spPr>
                    <a:xfrm>
                      <a:off x="0" y="0"/>
                      <a:ext cx="4072255" cy="2748280"/>
                    </a:xfrm>
                    <a:prstGeom prst="rect">
                      <a:avLst/>
                    </a:prstGeom>
                    <a:noFill/>
                    <a:ln>
                      <a:noFill/>
                    </a:ln>
                  </pic:spPr>
                </pic:pic>
              </a:graphicData>
            </a:graphic>
          </wp:inline>
        </w:drawing>
      </w:r>
    </w:p>
    <w:p w14:paraId="31A59248">
      <w:pPr>
        <w:ind w:firstLine="480"/>
        <w:rPr>
          <w:rFonts w:hint="eastAsia"/>
          <w:color w:val="auto"/>
        </w:rPr>
      </w:pPr>
    </w:p>
    <w:p w14:paraId="4D6D1991">
      <w:pPr>
        <w:ind w:firstLine="480"/>
        <w:rPr>
          <w:color w:val="auto"/>
        </w:rPr>
      </w:pPr>
      <w:r>
        <w:rPr>
          <w:rFonts w:hint="eastAsia"/>
          <w:color w:val="auto"/>
        </w:rPr>
        <w:t>（5）设置标志牌要求</w:t>
      </w:r>
    </w:p>
    <w:p w14:paraId="2FAC0A41">
      <w:pPr>
        <w:ind w:firstLine="480"/>
        <w:rPr>
          <w:color w:val="auto"/>
        </w:rPr>
      </w:pPr>
      <w:r>
        <w:rPr>
          <w:rFonts w:hint="eastAsia"/>
          <w:color w:val="auto"/>
        </w:rPr>
        <w:t>一切排污者的排污口（源）和固体废物贮存、处置场所，必须按照国家标准《环境保护图形标志》（GB15562.1-1995、GB15562.2-1995）的规定，设置与之相适应的环境保护图形标志牌。标志牌按标准制作。</w:t>
      </w:r>
    </w:p>
    <w:p w14:paraId="3152632B">
      <w:pPr>
        <w:ind w:firstLine="480"/>
        <w:rPr>
          <w:color w:val="auto"/>
        </w:rPr>
      </w:pPr>
      <w:r>
        <w:rPr>
          <w:rFonts w:hint="eastAsia"/>
          <w:color w:val="auto"/>
        </w:rPr>
        <w:t>环境保护图形标志牌应设置在距排污口（源）及固体废物贮存（处置）场所或采样点较近且醒目处，并能长久保留。设置高度为环境保护图形标志牌上缘距离地面2米。</w:t>
      </w:r>
    </w:p>
    <w:p w14:paraId="217A0FDC">
      <w:pPr>
        <w:autoSpaceDE w:val="0"/>
        <w:autoSpaceDN w:val="0"/>
        <w:adjustRightInd w:val="0"/>
        <w:ind w:firstLine="480"/>
        <w:jc w:val="left"/>
        <w:rPr>
          <w:color w:val="auto"/>
        </w:rPr>
      </w:pPr>
      <w:r>
        <w:rPr>
          <w:rFonts w:hint="eastAsia"/>
          <w:color w:val="auto"/>
        </w:rPr>
        <w:t>一般性污染物排污口（源）或固体废物贮存、处置场所，设置提示性环境保护图形标志牌。排放剧毒、致癌物及对人体有严重危害物质的排污口（源）或危险废物贮存、处置场所，设置警告性环境保护图形标志牌</w:t>
      </w:r>
      <w:r>
        <w:rPr>
          <w:color w:val="auto"/>
        </w:rPr>
        <w:t>。</w:t>
      </w:r>
    </w:p>
    <w:p w14:paraId="6A27AB14">
      <w:pPr>
        <w:pStyle w:val="67"/>
        <w:numPr>
          <w:ilvl w:val="1"/>
          <w:numId w:val="8"/>
        </w:numPr>
        <w:spacing w:before="156" w:after="156"/>
        <w:ind w:left="567" w:leftChars="0" w:hanging="567" w:firstLineChars="0"/>
        <w:rPr>
          <w:color w:val="auto"/>
        </w:rPr>
      </w:pPr>
      <w:bookmarkStart w:id="225" w:name="_Toc18362"/>
      <w:bookmarkStart w:id="226" w:name="_Toc11909"/>
      <w:r>
        <w:rPr>
          <w:rFonts w:hint="eastAsia"/>
          <w:color w:val="auto"/>
        </w:rPr>
        <w:t>项目环境管理要求</w:t>
      </w:r>
      <w:bookmarkEnd w:id="225"/>
      <w:bookmarkEnd w:id="226"/>
    </w:p>
    <w:p w14:paraId="05F1896D">
      <w:pPr>
        <w:ind w:firstLine="480"/>
        <w:rPr>
          <w:color w:val="auto"/>
        </w:rPr>
      </w:pPr>
      <w:r>
        <w:rPr>
          <w:color w:val="auto"/>
        </w:rPr>
        <w:t>根据《</w:t>
      </w:r>
      <w:r>
        <w:rPr>
          <w:rFonts w:hint="eastAsia"/>
          <w:color w:val="auto"/>
        </w:rPr>
        <w:t>建设项目</w:t>
      </w:r>
      <w:r>
        <w:rPr>
          <w:color w:val="auto"/>
        </w:rPr>
        <w:t>环境影响评价技术导则·总纲》（HJ2.1-201</w:t>
      </w:r>
      <w:r>
        <w:rPr>
          <w:rFonts w:hint="eastAsia"/>
          <w:color w:val="auto"/>
        </w:rPr>
        <w:t>6</w:t>
      </w:r>
      <w:r>
        <w:rPr>
          <w:color w:val="auto"/>
        </w:rPr>
        <w:t>），本项目</w:t>
      </w:r>
      <w:r>
        <w:rPr>
          <w:rFonts w:hint="eastAsia"/>
          <w:color w:val="auto"/>
        </w:rPr>
        <w:t>污染物排放清单及环境管理要求</w:t>
      </w:r>
      <w:r>
        <w:rPr>
          <w:color w:val="auto"/>
        </w:rPr>
        <w:t>一览表见</w:t>
      </w:r>
      <w:r>
        <w:rPr>
          <w:rFonts w:hint="eastAsia"/>
          <w:color w:val="auto"/>
          <w:lang w:eastAsia="zh-CN"/>
        </w:rPr>
        <w:t>表7</w:t>
      </w:r>
      <w:r>
        <w:rPr>
          <w:rFonts w:hint="eastAsia"/>
          <w:color w:val="auto"/>
        </w:rPr>
        <w:t>.</w:t>
      </w:r>
      <w:r>
        <w:rPr>
          <w:rFonts w:hint="eastAsia"/>
          <w:color w:val="auto"/>
          <w:lang w:val="en-US" w:eastAsia="zh-CN"/>
        </w:rPr>
        <w:t>4</w:t>
      </w:r>
      <w:r>
        <w:rPr>
          <w:rFonts w:hint="eastAsia"/>
          <w:color w:val="auto"/>
        </w:rPr>
        <w:t>-1。</w:t>
      </w:r>
    </w:p>
    <w:p w14:paraId="26B4D47B">
      <w:pPr>
        <w:pStyle w:val="62"/>
        <w:rPr>
          <w:color w:val="auto"/>
        </w:rPr>
      </w:pPr>
      <w:r>
        <w:rPr>
          <w:rFonts w:hint="eastAsia"/>
          <w:color w:val="auto"/>
          <w:lang w:eastAsia="zh-CN"/>
        </w:rPr>
        <w:t>表7</w:t>
      </w:r>
      <w:r>
        <w:rPr>
          <w:rFonts w:hint="eastAsia"/>
          <w:color w:val="auto"/>
        </w:rPr>
        <w:t>.</w:t>
      </w:r>
      <w:r>
        <w:rPr>
          <w:rFonts w:hint="eastAsia"/>
          <w:color w:val="auto"/>
          <w:lang w:val="en-US" w:eastAsia="zh-CN"/>
        </w:rPr>
        <w:t>4</w:t>
      </w:r>
      <w:r>
        <w:rPr>
          <w:rFonts w:hint="eastAsia"/>
          <w:color w:val="auto"/>
        </w:rPr>
        <w:t>-1</w:t>
      </w:r>
      <w:r>
        <w:rPr>
          <w:color w:val="auto"/>
        </w:rPr>
        <w:t xml:space="preserve">  </w:t>
      </w:r>
      <w:r>
        <w:rPr>
          <w:rFonts w:hint="eastAsia"/>
          <w:color w:val="auto"/>
        </w:rPr>
        <w:t>污染物排放清单及环境管理要求</w:t>
      </w:r>
      <w:r>
        <w:rPr>
          <w:color w:val="auto"/>
        </w:rPr>
        <w:t>一览表</w:t>
      </w:r>
    </w:p>
    <w:tbl>
      <w:tblPr>
        <w:tblStyle w:val="38"/>
        <w:tblW w:w="9281"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35"/>
        <w:gridCol w:w="1617"/>
        <w:gridCol w:w="2141"/>
        <w:gridCol w:w="2715"/>
        <w:gridCol w:w="1040"/>
      </w:tblGrid>
      <w:tr w14:paraId="59F2ECF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768" w:type="dxa"/>
            <w:gridSpan w:val="2"/>
            <w:vAlign w:val="center"/>
          </w:tcPr>
          <w:p w14:paraId="66088988">
            <w:pPr>
              <w:pStyle w:val="59"/>
              <w:rPr>
                <w:color w:val="auto"/>
                <w:kern w:val="2"/>
                <w:szCs w:val="21"/>
              </w:rPr>
            </w:pPr>
            <w:r>
              <w:rPr>
                <w:color w:val="auto"/>
                <w:kern w:val="2"/>
                <w:szCs w:val="21"/>
              </w:rPr>
              <w:t>验收类别</w:t>
            </w:r>
          </w:p>
        </w:tc>
        <w:tc>
          <w:tcPr>
            <w:tcW w:w="1617" w:type="dxa"/>
            <w:vAlign w:val="center"/>
          </w:tcPr>
          <w:p w14:paraId="5AD7C97E">
            <w:pPr>
              <w:pStyle w:val="59"/>
              <w:rPr>
                <w:color w:val="auto"/>
                <w:kern w:val="2"/>
                <w:szCs w:val="21"/>
              </w:rPr>
            </w:pPr>
            <w:r>
              <w:rPr>
                <w:rFonts w:hint="eastAsia"/>
                <w:color w:val="auto"/>
                <w:kern w:val="2"/>
                <w:szCs w:val="21"/>
              </w:rPr>
              <w:t>处理方式</w:t>
            </w:r>
          </w:p>
        </w:tc>
        <w:tc>
          <w:tcPr>
            <w:tcW w:w="2141" w:type="dxa"/>
            <w:vAlign w:val="center"/>
          </w:tcPr>
          <w:p w14:paraId="04D659AB">
            <w:pPr>
              <w:pStyle w:val="59"/>
              <w:rPr>
                <w:color w:val="auto"/>
                <w:kern w:val="2"/>
                <w:szCs w:val="21"/>
              </w:rPr>
            </w:pPr>
            <w:r>
              <w:rPr>
                <w:color w:val="auto"/>
                <w:kern w:val="2"/>
                <w:szCs w:val="21"/>
              </w:rPr>
              <w:t>监控指标与标准要求</w:t>
            </w:r>
          </w:p>
        </w:tc>
        <w:tc>
          <w:tcPr>
            <w:tcW w:w="2715" w:type="dxa"/>
            <w:vAlign w:val="center"/>
          </w:tcPr>
          <w:p w14:paraId="6A401463">
            <w:pPr>
              <w:pStyle w:val="59"/>
              <w:rPr>
                <w:color w:val="auto"/>
                <w:kern w:val="2"/>
                <w:szCs w:val="21"/>
              </w:rPr>
            </w:pPr>
            <w:r>
              <w:rPr>
                <w:color w:val="auto"/>
                <w:kern w:val="2"/>
                <w:szCs w:val="21"/>
              </w:rPr>
              <w:t>验收标准</w:t>
            </w:r>
          </w:p>
        </w:tc>
        <w:tc>
          <w:tcPr>
            <w:tcW w:w="1040" w:type="dxa"/>
            <w:vAlign w:val="center"/>
          </w:tcPr>
          <w:p w14:paraId="4D9A1FA7">
            <w:pPr>
              <w:pStyle w:val="59"/>
              <w:rPr>
                <w:color w:val="auto"/>
                <w:kern w:val="2"/>
                <w:szCs w:val="21"/>
              </w:rPr>
            </w:pPr>
            <w:r>
              <w:rPr>
                <w:color w:val="auto"/>
                <w:kern w:val="2"/>
                <w:szCs w:val="21"/>
              </w:rPr>
              <w:t>采样口</w:t>
            </w:r>
          </w:p>
        </w:tc>
      </w:tr>
      <w:tr w14:paraId="110D47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Merge w:val="restart"/>
            <w:vAlign w:val="center"/>
          </w:tcPr>
          <w:p w14:paraId="2482C144">
            <w:pPr>
              <w:pStyle w:val="59"/>
              <w:rPr>
                <w:color w:val="auto"/>
                <w:kern w:val="2"/>
                <w:szCs w:val="21"/>
              </w:rPr>
            </w:pPr>
            <w:r>
              <w:rPr>
                <w:color w:val="auto"/>
                <w:kern w:val="2"/>
                <w:szCs w:val="21"/>
              </w:rPr>
              <w:t>废气</w:t>
            </w:r>
          </w:p>
        </w:tc>
        <w:tc>
          <w:tcPr>
            <w:tcW w:w="1235" w:type="dxa"/>
            <w:shd w:val="clear" w:color="auto" w:fill="FFFFFF"/>
            <w:vAlign w:val="center"/>
          </w:tcPr>
          <w:p w14:paraId="0CBFE8D8">
            <w:pPr>
              <w:pStyle w:val="69"/>
              <w:bidi w:val="0"/>
              <w:ind w:firstLine="0" w:firstLineChars="0"/>
              <w:rPr>
                <w:rFonts w:hint="eastAsia" w:ascii="Times New Roman" w:hAnsi="Times New Roman" w:eastAsia="宋体" w:cs="Times New Roman"/>
                <w:color w:val="auto"/>
                <w:kern w:val="2"/>
                <w:sz w:val="21"/>
                <w:szCs w:val="21"/>
                <w:lang w:val="en-US" w:eastAsia="zh-CN" w:bidi="ar-SA"/>
              </w:rPr>
            </w:pPr>
            <w:r>
              <w:rPr>
                <w:color w:val="auto"/>
              </w:rPr>
              <w:t>调墨、印刷</w:t>
            </w:r>
            <w:r>
              <w:rPr>
                <w:rFonts w:hint="eastAsia"/>
                <w:color w:val="auto"/>
                <w:lang w:eastAsia="zh-CN"/>
              </w:rPr>
              <w:t>、</w:t>
            </w:r>
            <w:r>
              <w:rPr>
                <w:rFonts w:hint="eastAsia"/>
                <w:color w:val="auto"/>
                <w:lang w:val="en-US" w:eastAsia="zh-CN"/>
              </w:rPr>
              <w:t>烘干</w:t>
            </w:r>
            <w:r>
              <w:rPr>
                <w:color w:val="auto"/>
              </w:rPr>
              <w:t>、</w:t>
            </w:r>
            <w:r>
              <w:rPr>
                <w:rFonts w:hint="eastAsia"/>
                <w:color w:val="auto"/>
                <w:lang w:val="en-US" w:eastAsia="zh-CN"/>
              </w:rPr>
              <w:t>洗机、危废贮存</w:t>
            </w:r>
            <w:r>
              <w:rPr>
                <w:color w:val="auto"/>
              </w:rPr>
              <w:t>废气</w:t>
            </w:r>
          </w:p>
        </w:tc>
        <w:tc>
          <w:tcPr>
            <w:tcW w:w="1617" w:type="dxa"/>
            <w:shd w:val="clear" w:color="auto" w:fill="FFFFFF"/>
            <w:vAlign w:val="center"/>
          </w:tcPr>
          <w:p w14:paraId="6AD30DBE">
            <w:pPr>
              <w:pStyle w:val="69"/>
              <w:ind w:firstLine="0" w:firstLineChars="0"/>
              <w:rPr>
                <w:rFonts w:hint="default" w:ascii="Times New Roman" w:hAnsi="Times New Roman" w:eastAsia="宋体" w:cs="Times New Roman"/>
                <w:b w:val="0"/>
                <w:color w:val="000000"/>
                <w:kern w:val="2"/>
                <w:sz w:val="21"/>
                <w:szCs w:val="21"/>
                <w:lang w:val="en-US" w:eastAsia="zh-CN" w:bidi="ar-SA"/>
              </w:rPr>
            </w:pPr>
            <w:r>
              <w:rPr>
                <w:rFonts w:hint="eastAsia"/>
                <w:color w:val="auto"/>
                <w:lang w:val="en-US" w:eastAsia="zh-CN"/>
              </w:rPr>
              <w:t>干式过滤+旋转式分子筛吸附-脱附+RTO</w:t>
            </w:r>
          </w:p>
        </w:tc>
        <w:tc>
          <w:tcPr>
            <w:tcW w:w="2141" w:type="dxa"/>
            <w:vAlign w:val="center"/>
          </w:tcPr>
          <w:p w14:paraId="394F7402">
            <w:pPr>
              <w:pStyle w:val="59"/>
              <w:bidi w:val="0"/>
              <w:jc w:val="center"/>
              <w:rPr>
                <w:b w:val="0"/>
                <w:color w:val="000000"/>
              </w:rPr>
            </w:pPr>
            <w:r>
              <w:rPr>
                <w:color w:val="auto"/>
                <w:kern w:val="2"/>
                <w:szCs w:val="21"/>
              </w:rPr>
              <w:t>排气筒高度</w:t>
            </w:r>
            <w:r>
              <w:rPr>
                <w:rFonts w:hint="eastAsia"/>
                <w:color w:val="auto"/>
                <w:kern w:val="2"/>
                <w:szCs w:val="21"/>
                <w:lang w:val="en-US" w:eastAsia="zh-CN"/>
              </w:rPr>
              <w:t>25</w:t>
            </w:r>
            <w:r>
              <w:rPr>
                <w:color w:val="auto"/>
                <w:kern w:val="2"/>
                <w:szCs w:val="21"/>
              </w:rPr>
              <w:t>m</w:t>
            </w:r>
            <w:r>
              <w:rPr>
                <w:rFonts w:hint="eastAsia"/>
                <w:color w:val="auto"/>
                <w:kern w:val="2"/>
                <w:szCs w:val="21"/>
              </w:rPr>
              <w:t>，</w:t>
            </w:r>
            <w:r>
              <w:t>总VOCs</w:t>
            </w:r>
            <w:r>
              <w:rPr>
                <w:rFonts w:hint="eastAsia"/>
                <w:color w:val="auto"/>
              </w:rPr>
              <w:t>最高允许排放浓度</w:t>
            </w:r>
            <w:r>
              <w:rPr>
                <w:rFonts w:hint="eastAsia"/>
                <w:color w:val="auto"/>
                <w:kern w:val="2"/>
                <w:szCs w:val="21"/>
              </w:rPr>
              <w:t>≤120mg/m</w:t>
            </w:r>
            <w:r>
              <w:rPr>
                <w:rFonts w:hint="eastAsia"/>
                <w:color w:val="auto"/>
                <w:kern w:val="2"/>
                <w:szCs w:val="21"/>
                <w:vertAlign w:val="superscript"/>
              </w:rPr>
              <w:t>3</w:t>
            </w:r>
            <w:r>
              <w:rPr>
                <w:rFonts w:hint="eastAsia"/>
                <w:color w:val="auto"/>
                <w:kern w:val="2"/>
                <w:szCs w:val="21"/>
              </w:rPr>
              <w:t>，</w:t>
            </w:r>
            <w:r>
              <w:rPr>
                <w:rFonts w:hint="eastAsia"/>
                <w:color w:val="auto"/>
              </w:rPr>
              <w:t>最高允许排放速率</w:t>
            </w:r>
            <w:r>
              <w:rPr>
                <w:rFonts w:hint="eastAsia"/>
                <w:color w:val="auto"/>
                <w:kern w:val="2"/>
                <w:szCs w:val="21"/>
              </w:rPr>
              <w:t>≤</w:t>
            </w:r>
            <w:r>
              <w:rPr>
                <w:rFonts w:hint="eastAsia"/>
                <w:color w:val="auto"/>
                <w:kern w:val="2"/>
                <w:szCs w:val="21"/>
                <w:lang w:val="en-US" w:eastAsia="zh-CN"/>
              </w:rPr>
              <w:t>5.1</w:t>
            </w:r>
            <w:r>
              <w:rPr>
                <w:rFonts w:hint="eastAsia"/>
                <w:color w:val="auto"/>
                <w:kern w:val="2"/>
                <w:szCs w:val="21"/>
              </w:rPr>
              <w:t>kg/h</w:t>
            </w:r>
            <w:r>
              <w:rPr>
                <w:rFonts w:hint="eastAsia"/>
                <w:color w:val="auto"/>
                <w:kern w:val="2"/>
                <w:szCs w:val="21"/>
                <w:lang w:eastAsia="zh-CN"/>
              </w:rPr>
              <w:t>；</w:t>
            </w:r>
            <w:r>
              <w:t>NMHC</w:t>
            </w:r>
            <w:r>
              <w:rPr>
                <w:rFonts w:hint="eastAsia"/>
                <w:lang w:val="en-US" w:eastAsia="zh-CN"/>
              </w:rPr>
              <w:t>排放限值≤70</w:t>
            </w:r>
            <w:r>
              <w:rPr>
                <w:rFonts w:hint="eastAsia"/>
                <w:color w:val="auto"/>
                <w:kern w:val="2"/>
                <w:szCs w:val="21"/>
              </w:rPr>
              <w:t>mg/m</w:t>
            </w:r>
            <w:r>
              <w:rPr>
                <w:rFonts w:hint="eastAsia"/>
                <w:color w:val="auto"/>
                <w:kern w:val="2"/>
                <w:szCs w:val="21"/>
                <w:vertAlign w:val="superscript"/>
              </w:rPr>
              <w:t>3</w:t>
            </w:r>
            <w:r>
              <w:rPr>
                <w:rFonts w:hint="eastAsia"/>
                <w:color w:val="auto"/>
                <w:kern w:val="2"/>
                <w:szCs w:val="21"/>
                <w:lang w:eastAsia="zh-CN"/>
              </w:rPr>
              <w:t>；</w:t>
            </w:r>
            <w:r>
              <w:t>臭气浓度</w:t>
            </w:r>
            <w:r>
              <w:rPr>
                <w:rFonts w:hint="eastAsia"/>
                <w:lang w:val="en-US" w:eastAsia="zh-CN"/>
              </w:rPr>
              <w:t>≤</w:t>
            </w:r>
            <w:r>
              <w:rPr>
                <w:b w:val="0"/>
                <w:color w:val="000000"/>
              </w:rPr>
              <w:t>6000（无量</w:t>
            </w:r>
          </w:p>
          <w:p w14:paraId="3E7F69E1">
            <w:pPr>
              <w:pStyle w:val="59"/>
            </w:pPr>
            <w:r>
              <w:rPr>
                <w:b w:val="0"/>
                <w:color w:val="000000"/>
              </w:rPr>
              <w:t>纲）</w:t>
            </w:r>
            <w:r>
              <w:rPr>
                <w:rFonts w:hint="eastAsia"/>
                <w:b w:val="0"/>
                <w:color w:val="000000"/>
                <w:lang w:eastAsia="zh-CN"/>
              </w:rPr>
              <w:t>，</w:t>
            </w:r>
            <w:r>
              <w:t>颗粒物</w:t>
            </w:r>
            <w:r>
              <w:rPr>
                <w:rFonts w:hint="eastAsia"/>
                <w:color w:val="auto"/>
              </w:rPr>
              <w:t>最高允许排放浓度</w:t>
            </w:r>
            <w:r>
              <w:rPr>
                <w:rFonts w:hint="eastAsia"/>
                <w:color w:val="auto"/>
                <w:kern w:val="2"/>
                <w:szCs w:val="21"/>
              </w:rPr>
              <w:t>≤</w:t>
            </w:r>
            <w:r>
              <w:rPr>
                <w:rFonts w:hint="eastAsia"/>
                <w:color w:val="auto"/>
                <w:kern w:val="2"/>
                <w:szCs w:val="21"/>
                <w:lang w:val="en-US" w:eastAsia="zh-CN"/>
              </w:rPr>
              <w:t>3</w:t>
            </w:r>
            <w:r>
              <w:rPr>
                <w:rFonts w:hint="eastAsia"/>
                <w:color w:val="auto"/>
                <w:kern w:val="2"/>
                <w:szCs w:val="21"/>
              </w:rPr>
              <w:t>mg/m</w:t>
            </w:r>
            <w:r>
              <w:rPr>
                <w:rFonts w:hint="eastAsia"/>
                <w:color w:val="auto"/>
                <w:kern w:val="2"/>
                <w:szCs w:val="21"/>
                <w:vertAlign w:val="superscript"/>
              </w:rPr>
              <w:t>3</w:t>
            </w:r>
            <w:r>
              <w:rPr>
                <w:rFonts w:hint="eastAsia"/>
                <w:color w:val="auto"/>
                <w:kern w:val="2"/>
                <w:szCs w:val="21"/>
              </w:rPr>
              <w:t>，</w:t>
            </w:r>
            <w:r>
              <w:rPr>
                <w:rFonts w:hint="eastAsia"/>
                <w:color w:val="auto"/>
              </w:rPr>
              <w:t>最高允许排放速率</w:t>
            </w:r>
            <w:r>
              <w:rPr>
                <w:rFonts w:hint="eastAsia"/>
                <w:color w:val="auto"/>
                <w:kern w:val="2"/>
                <w:szCs w:val="21"/>
              </w:rPr>
              <w:t>≤</w:t>
            </w:r>
            <w:r>
              <w:rPr>
                <w:rFonts w:hint="eastAsia"/>
                <w:color w:val="auto"/>
                <w:kern w:val="2"/>
                <w:szCs w:val="21"/>
                <w:lang w:val="en-US" w:eastAsia="zh-CN"/>
              </w:rPr>
              <w:t>11.9</w:t>
            </w:r>
            <w:r>
              <w:rPr>
                <w:rFonts w:hint="eastAsia"/>
                <w:color w:val="auto"/>
                <w:kern w:val="2"/>
                <w:szCs w:val="21"/>
              </w:rPr>
              <w:t>kg/h</w:t>
            </w:r>
            <w:r>
              <w:rPr>
                <w:rFonts w:hint="eastAsia"/>
                <w:color w:val="auto"/>
                <w:kern w:val="2"/>
                <w:szCs w:val="21"/>
                <w:lang w:eastAsia="zh-CN"/>
              </w:rPr>
              <w:t>；</w:t>
            </w:r>
            <w:r>
              <w:t>SO</w:t>
            </w:r>
            <w:r>
              <w:rPr>
                <w:vertAlign w:val="subscript"/>
              </w:rPr>
              <w:t>2</w:t>
            </w:r>
            <w:r>
              <w:rPr>
                <w:rFonts w:hint="eastAsia"/>
                <w:lang w:val="en-US" w:eastAsia="zh-CN"/>
              </w:rPr>
              <w:t>排放限值≤200</w:t>
            </w:r>
            <w:r>
              <w:rPr>
                <w:rFonts w:hint="eastAsia"/>
                <w:color w:val="auto"/>
                <w:kern w:val="2"/>
                <w:szCs w:val="21"/>
              </w:rPr>
              <w:t>mg/m</w:t>
            </w:r>
            <w:r>
              <w:rPr>
                <w:rFonts w:hint="eastAsia"/>
                <w:color w:val="auto"/>
                <w:kern w:val="2"/>
                <w:szCs w:val="21"/>
                <w:vertAlign w:val="superscript"/>
              </w:rPr>
              <w:t>3</w:t>
            </w:r>
            <w:r>
              <w:rPr>
                <w:rFonts w:hint="eastAsia"/>
                <w:color w:val="auto"/>
                <w:kern w:val="2"/>
                <w:szCs w:val="21"/>
                <w:lang w:eastAsia="zh-CN"/>
              </w:rPr>
              <w:t>；</w:t>
            </w:r>
            <w:r>
              <w:t>NOx</w:t>
            </w:r>
          </w:p>
          <w:p w14:paraId="07C0F21A">
            <w:pPr>
              <w:pStyle w:val="59"/>
              <w:rPr>
                <w:color w:val="auto"/>
                <w:kern w:val="2"/>
                <w:szCs w:val="21"/>
              </w:rPr>
            </w:pPr>
            <w:r>
              <w:rPr>
                <w:rFonts w:hint="eastAsia"/>
                <w:lang w:val="en-US" w:eastAsia="zh-CN"/>
              </w:rPr>
              <w:t>排放限值≤200</w:t>
            </w:r>
            <w:r>
              <w:rPr>
                <w:rFonts w:hint="eastAsia"/>
                <w:color w:val="auto"/>
                <w:kern w:val="2"/>
                <w:szCs w:val="21"/>
              </w:rPr>
              <w:t>mg/m</w:t>
            </w:r>
            <w:r>
              <w:rPr>
                <w:rFonts w:hint="eastAsia"/>
                <w:color w:val="auto"/>
                <w:kern w:val="2"/>
                <w:szCs w:val="21"/>
                <w:vertAlign w:val="superscript"/>
              </w:rPr>
              <w:t>3</w:t>
            </w:r>
            <w:r>
              <w:rPr>
                <w:rFonts w:hint="eastAsia"/>
                <w:color w:val="auto"/>
                <w:kern w:val="2"/>
                <w:szCs w:val="21"/>
                <w:lang w:eastAsia="zh-CN"/>
              </w:rPr>
              <w:t>；</w:t>
            </w:r>
          </w:p>
        </w:tc>
        <w:tc>
          <w:tcPr>
            <w:tcW w:w="2715" w:type="dxa"/>
            <w:vAlign w:val="center"/>
          </w:tcPr>
          <w:p w14:paraId="33FA3D7E">
            <w:pPr>
              <w:pStyle w:val="59"/>
              <w:rPr>
                <w:rFonts w:hint="eastAsia" w:eastAsia="宋体"/>
                <w:color w:val="auto"/>
                <w:kern w:val="2"/>
                <w:szCs w:val="21"/>
                <w:lang w:val="en-US" w:eastAsia="zh-CN"/>
              </w:rPr>
            </w:pPr>
            <w:r>
              <w:t>总VOCs有组织排放执行广东省地方标准《印刷行业挥发性有机化合物排放标准》（DB44/815-2010）中表 2 排气筒 VOCs 排放限值中凹版印刷第Ⅱ时段标准；NMHC、SO</w:t>
            </w:r>
            <w:r>
              <w:rPr>
                <w:vertAlign w:val="subscript"/>
              </w:rPr>
              <w:t>2</w:t>
            </w:r>
            <w:r>
              <w:t>和NOx有组织排放执行</w:t>
            </w:r>
            <w:r>
              <w:rPr>
                <w:rFonts w:hint="eastAsia" w:ascii="Times New Roman" w:hAnsi="Times New Roman" w:eastAsia="宋体" w:cs="Times New Roman"/>
                <w:color w:val="auto"/>
                <w:lang w:val="en-US" w:eastAsia="zh-CN"/>
              </w:rPr>
              <w:t>执行《印刷工业大气污染物排放标准》（GB 41616—2022）表 1 大气污染物排放限值，</w:t>
            </w:r>
            <w:r>
              <w:t>颗粒物参照</w:t>
            </w:r>
            <w:r>
              <w:rPr>
                <w:rFonts w:hint="eastAsia" w:ascii="Times New Roman" w:hAnsi="Times New Roman" w:cs="Times New Roman"/>
                <w:lang w:val="en-US" w:eastAsia="zh-CN"/>
              </w:rPr>
              <w:t>执行广东省地方标准《</w:t>
            </w:r>
            <w:r>
              <w:rPr>
                <w:rFonts w:hint="default" w:ascii="Times New Roman" w:hAnsi="Times New Roman" w:cs="Times New Roman"/>
                <w:lang w:val="en-US" w:eastAsia="zh-CN"/>
              </w:rPr>
              <w:t>大气污染物排放限值》（DB44/27-2001）中第二时段二级标准</w:t>
            </w:r>
            <w:r>
              <w:rPr>
                <w:rFonts w:hint="eastAsia" w:ascii="Times New Roman" w:hAnsi="Times New Roman" w:cs="Times New Roman"/>
                <w:lang w:val="en-US" w:eastAsia="zh-CN"/>
              </w:rPr>
              <w:t>及</w:t>
            </w:r>
            <w:r>
              <w:rPr>
                <w:rFonts w:hint="eastAsia" w:ascii="Times New Roman" w:hAnsi="Times New Roman" w:cs="Times New Roman"/>
                <w:lang w:eastAsia="zh-CN"/>
              </w:rPr>
              <w:t>《江门市工业炉窑大气污染综合治理方案》（江环函〔2020〕22号）（</w:t>
            </w:r>
            <w:r>
              <w:rPr>
                <w:rFonts w:hint="eastAsia" w:ascii="Times New Roman" w:hAnsi="Times New Roman" w:cs="Times New Roman"/>
                <w:lang w:val="zh-TW"/>
              </w:rPr>
              <w:t>原则上按照颗粒物不高于30毫克/立方米实施改造</w:t>
            </w:r>
            <w:r>
              <w:rPr>
                <w:rFonts w:hint="eastAsia" w:ascii="Times New Roman" w:hAnsi="Times New Roman" w:cs="Times New Roman"/>
                <w:lang w:eastAsia="zh-CN"/>
              </w:rPr>
              <w:t>）</w:t>
            </w:r>
            <w:r>
              <w:rPr>
                <w:rFonts w:hint="eastAsia" w:ascii="Times New Roman" w:hAnsi="Times New Roman" w:cs="Times New Roman"/>
                <w:lang w:val="en-US" w:eastAsia="zh-CN"/>
              </w:rPr>
              <w:t>的较严者</w:t>
            </w:r>
            <w:r>
              <w:t>，臭气浓度执行《恶臭污染物排放标准》（GB 14554-93）中表 2 恶臭污染物排放标准值。</w:t>
            </w:r>
          </w:p>
        </w:tc>
        <w:tc>
          <w:tcPr>
            <w:tcW w:w="1040" w:type="dxa"/>
            <w:vAlign w:val="center"/>
          </w:tcPr>
          <w:p w14:paraId="1C45D48D">
            <w:pPr>
              <w:pStyle w:val="59"/>
              <w:rPr>
                <w:color w:val="auto"/>
                <w:kern w:val="2"/>
                <w:szCs w:val="21"/>
              </w:rPr>
            </w:pPr>
            <w:r>
              <w:rPr>
                <w:rFonts w:hint="eastAsia"/>
                <w:color w:val="auto"/>
                <w:lang w:eastAsia="zh-CN"/>
              </w:rPr>
              <w:t>DA00</w:t>
            </w:r>
            <w:r>
              <w:rPr>
                <w:rFonts w:hint="eastAsia"/>
                <w:color w:val="auto"/>
                <w:lang w:val="en-US" w:eastAsia="zh-CN"/>
              </w:rPr>
              <w:t>1</w:t>
            </w:r>
            <w:r>
              <w:rPr>
                <w:rFonts w:hint="eastAsia"/>
                <w:color w:val="auto"/>
              </w:rPr>
              <w:t>排气筒</w:t>
            </w:r>
          </w:p>
        </w:tc>
      </w:tr>
      <w:tr w14:paraId="35B150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Merge w:val="continue"/>
            <w:vAlign w:val="center"/>
          </w:tcPr>
          <w:p w14:paraId="061CBDED">
            <w:pPr>
              <w:pStyle w:val="59"/>
              <w:rPr>
                <w:color w:val="auto"/>
                <w:kern w:val="2"/>
                <w:szCs w:val="21"/>
              </w:rPr>
            </w:pPr>
          </w:p>
        </w:tc>
        <w:tc>
          <w:tcPr>
            <w:tcW w:w="1235" w:type="dxa"/>
            <w:shd w:val="clear" w:color="auto" w:fill="FFFFFF"/>
            <w:vAlign w:val="center"/>
          </w:tcPr>
          <w:p w14:paraId="71D41AEC">
            <w:pPr>
              <w:pStyle w:val="69"/>
              <w:bidi w:val="0"/>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合掌、定型废气</w:t>
            </w:r>
          </w:p>
        </w:tc>
        <w:tc>
          <w:tcPr>
            <w:tcW w:w="1617" w:type="dxa"/>
            <w:shd w:val="clear" w:color="auto" w:fill="FFFFFF"/>
            <w:vAlign w:val="center"/>
          </w:tcPr>
          <w:p w14:paraId="5033577B">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活性炭吸附</w:t>
            </w:r>
          </w:p>
        </w:tc>
        <w:tc>
          <w:tcPr>
            <w:tcW w:w="2141" w:type="dxa"/>
            <w:vAlign w:val="center"/>
          </w:tcPr>
          <w:p w14:paraId="55532319">
            <w:pPr>
              <w:pStyle w:val="59"/>
              <w:rPr>
                <w:rFonts w:hint="eastAsia" w:eastAsia="宋体"/>
                <w:color w:val="auto"/>
                <w:lang w:eastAsia="zh-CN"/>
              </w:rPr>
            </w:pPr>
            <w:r>
              <w:rPr>
                <w:color w:val="auto"/>
                <w:kern w:val="2"/>
                <w:szCs w:val="21"/>
              </w:rPr>
              <w:t>排气筒高度</w:t>
            </w:r>
            <w:r>
              <w:rPr>
                <w:rFonts w:hint="eastAsia"/>
                <w:color w:val="auto"/>
                <w:kern w:val="2"/>
                <w:szCs w:val="21"/>
                <w:lang w:val="en-US" w:eastAsia="zh-CN"/>
              </w:rPr>
              <w:t>25</w:t>
            </w:r>
            <w:r>
              <w:rPr>
                <w:color w:val="auto"/>
                <w:kern w:val="2"/>
                <w:szCs w:val="21"/>
              </w:rPr>
              <w:t>m</w:t>
            </w:r>
            <w:r>
              <w:rPr>
                <w:rFonts w:hint="eastAsia"/>
                <w:color w:val="auto"/>
                <w:kern w:val="2"/>
                <w:szCs w:val="21"/>
              </w:rPr>
              <w:t>，</w:t>
            </w:r>
            <w:r>
              <w:t>NMHC</w:t>
            </w:r>
            <w:r>
              <w:rPr>
                <w:rFonts w:hint="eastAsia"/>
                <w:lang w:val="en-US" w:eastAsia="zh-CN"/>
              </w:rPr>
              <w:t>排放限值≤80</w:t>
            </w:r>
            <w:r>
              <w:rPr>
                <w:rFonts w:hint="eastAsia"/>
                <w:color w:val="auto"/>
                <w:kern w:val="2"/>
                <w:szCs w:val="21"/>
              </w:rPr>
              <w:t>mg/m</w:t>
            </w:r>
            <w:r>
              <w:rPr>
                <w:rFonts w:hint="eastAsia"/>
                <w:color w:val="auto"/>
                <w:kern w:val="2"/>
                <w:szCs w:val="21"/>
                <w:vertAlign w:val="superscript"/>
              </w:rPr>
              <w:t>3</w:t>
            </w:r>
            <w:r>
              <w:rPr>
                <w:rFonts w:hint="eastAsia"/>
                <w:color w:val="auto"/>
                <w:kern w:val="2"/>
                <w:szCs w:val="21"/>
                <w:lang w:eastAsia="zh-CN"/>
              </w:rPr>
              <w:t>；</w:t>
            </w:r>
            <w:r>
              <w:rPr>
                <w:rFonts w:hint="eastAsia"/>
                <w:lang w:val="en-US" w:eastAsia="zh-CN"/>
              </w:rPr>
              <w:t>TVOC排放限值≤100</w:t>
            </w:r>
            <w:r>
              <w:rPr>
                <w:rFonts w:hint="eastAsia"/>
                <w:color w:val="auto"/>
                <w:kern w:val="2"/>
                <w:szCs w:val="21"/>
              </w:rPr>
              <w:t>mg/m</w:t>
            </w:r>
            <w:r>
              <w:rPr>
                <w:rFonts w:hint="eastAsia"/>
                <w:color w:val="auto"/>
                <w:kern w:val="2"/>
                <w:szCs w:val="21"/>
                <w:vertAlign w:val="superscript"/>
              </w:rPr>
              <w:t>3</w:t>
            </w:r>
            <w:r>
              <w:rPr>
                <w:rFonts w:hint="eastAsia"/>
                <w:color w:val="auto"/>
                <w:kern w:val="2"/>
                <w:szCs w:val="21"/>
                <w:lang w:eastAsia="zh-CN"/>
              </w:rPr>
              <w:t>；</w:t>
            </w:r>
            <w:r>
              <w:rPr>
                <w:rFonts w:hint="eastAsia"/>
                <w:color w:val="auto"/>
                <w:kern w:val="2"/>
                <w:szCs w:val="21"/>
                <w:lang w:val="en-US" w:eastAsia="zh-CN"/>
              </w:rPr>
              <w:t>HCl</w:t>
            </w:r>
            <w:r>
              <w:rPr>
                <w:rFonts w:hint="eastAsia"/>
                <w:color w:val="auto"/>
              </w:rPr>
              <w:t>最高允许排放浓度</w:t>
            </w:r>
            <w:r>
              <w:rPr>
                <w:rFonts w:hint="eastAsia"/>
                <w:color w:val="auto"/>
                <w:kern w:val="2"/>
                <w:szCs w:val="24"/>
              </w:rPr>
              <w:t>≤</w:t>
            </w:r>
            <w:r>
              <w:rPr>
                <w:rFonts w:hint="eastAsia"/>
                <w:color w:val="auto"/>
                <w:kern w:val="2"/>
                <w:szCs w:val="24"/>
                <w:lang w:val="en-US" w:eastAsia="zh-CN"/>
              </w:rPr>
              <w:t>100</w:t>
            </w:r>
            <w:r>
              <w:rPr>
                <w:rFonts w:hint="eastAsia"/>
                <w:color w:val="auto"/>
                <w:kern w:val="2"/>
                <w:szCs w:val="24"/>
              </w:rPr>
              <w:t>mg/m</w:t>
            </w:r>
            <w:r>
              <w:rPr>
                <w:rFonts w:hint="eastAsia"/>
                <w:color w:val="auto"/>
                <w:kern w:val="2"/>
                <w:szCs w:val="24"/>
                <w:vertAlign w:val="superscript"/>
              </w:rPr>
              <w:t>3</w:t>
            </w:r>
            <w:r>
              <w:rPr>
                <w:rFonts w:hint="eastAsia"/>
                <w:color w:val="auto"/>
                <w:kern w:val="2"/>
                <w:szCs w:val="21"/>
              </w:rPr>
              <w:t>，</w:t>
            </w:r>
            <w:r>
              <w:rPr>
                <w:rFonts w:hint="eastAsia"/>
                <w:color w:val="auto"/>
              </w:rPr>
              <w:t>最高允许排放速率</w:t>
            </w:r>
            <w:r>
              <w:rPr>
                <w:rFonts w:hint="eastAsia"/>
                <w:color w:val="auto"/>
                <w:lang w:val="en-US" w:eastAsia="zh-CN"/>
              </w:rPr>
              <w:t>0.78</w:t>
            </w:r>
            <w:r>
              <w:rPr>
                <w:rFonts w:hint="eastAsia"/>
                <w:color w:val="auto"/>
              </w:rPr>
              <w:t>kg/h</w:t>
            </w:r>
            <w:r>
              <w:rPr>
                <w:rFonts w:hint="eastAsia"/>
                <w:color w:val="auto"/>
                <w:lang w:eastAsia="zh-CN"/>
              </w:rPr>
              <w:t>，</w:t>
            </w:r>
            <w:r>
              <w:rPr>
                <w:rFonts w:hint="eastAsia"/>
                <w:color w:val="auto"/>
                <w:kern w:val="2"/>
                <w:szCs w:val="24"/>
                <w:lang w:val="en-US" w:eastAsia="zh-CN"/>
              </w:rPr>
              <w:t>氯乙烯</w:t>
            </w:r>
            <w:r>
              <w:rPr>
                <w:rFonts w:hint="eastAsia"/>
                <w:color w:val="auto"/>
              </w:rPr>
              <w:t>最高允许排放浓度</w:t>
            </w:r>
            <w:r>
              <w:rPr>
                <w:rFonts w:hint="eastAsia"/>
                <w:color w:val="auto"/>
                <w:kern w:val="2"/>
                <w:szCs w:val="24"/>
              </w:rPr>
              <w:t>≤</w:t>
            </w:r>
            <w:r>
              <w:rPr>
                <w:rFonts w:hint="eastAsia"/>
                <w:color w:val="auto"/>
                <w:kern w:val="2"/>
                <w:szCs w:val="24"/>
                <w:lang w:val="en-US" w:eastAsia="zh-CN"/>
              </w:rPr>
              <w:t>36</w:t>
            </w:r>
            <w:r>
              <w:rPr>
                <w:rFonts w:hint="eastAsia"/>
                <w:color w:val="auto"/>
                <w:kern w:val="2"/>
                <w:szCs w:val="24"/>
              </w:rPr>
              <w:t>mg/m</w:t>
            </w:r>
            <w:r>
              <w:rPr>
                <w:rFonts w:hint="eastAsia"/>
                <w:color w:val="auto"/>
                <w:kern w:val="2"/>
                <w:szCs w:val="24"/>
                <w:vertAlign w:val="superscript"/>
              </w:rPr>
              <w:t>3</w:t>
            </w:r>
            <w:r>
              <w:rPr>
                <w:rFonts w:hint="eastAsia"/>
                <w:color w:val="auto"/>
                <w:kern w:val="2"/>
                <w:szCs w:val="21"/>
              </w:rPr>
              <w:t>，</w:t>
            </w:r>
            <w:r>
              <w:rPr>
                <w:rFonts w:hint="eastAsia"/>
                <w:color w:val="auto"/>
              </w:rPr>
              <w:t>最高允许排放速率</w:t>
            </w:r>
            <w:r>
              <w:rPr>
                <w:rFonts w:hint="eastAsia"/>
                <w:color w:val="auto"/>
                <w:lang w:val="en-US" w:eastAsia="zh-CN"/>
              </w:rPr>
              <w:t>2.25</w:t>
            </w:r>
            <w:r>
              <w:rPr>
                <w:rFonts w:hint="eastAsia"/>
                <w:color w:val="auto"/>
              </w:rPr>
              <w:t>kg/h</w:t>
            </w:r>
            <w:r>
              <w:rPr>
                <w:rFonts w:hint="eastAsia"/>
                <w:color w:val="auto"/>
                <w:lang w:eastAsia="zh-CN"/>
              </w:rPr>
              <w:t>，</w:t>
            </w:r>
            <w:r>
              <w:rPr>
                <w:rFonts w:hint="eastAsia"/>
                <w:color w:val="auto"/>
                <w:kern w:val="2"/>
                <w:szCs w:val="21"/>
                <w:lang w:val="en-US" w:eastAsia="zh-CN"/>
              </w:rPr>
              <w:t>苯</w:t>
            </w:r>
            <w:r>
              <w:rPr>
                <w:rFonts w:hint="eastAsia"/>
                <w:color w:val="auto"/>
              </w:rPr>
              <w:t>最高允许排放浓度</w:t>
            </w:r>
            <w:r>
              <w:rPr>
                <w:rFonts w:hint="eastAsia"/>
                <w:color w:val="auto"/>
                <w:kern w:val="2"/>
                <w:szCs w:val="24"/>
              </w:rPr>
              <w:t>≤</w:t>
            </w:r>
            <w:r>
              <w:rPr>
                <w:rFonts w:hint="eastAsia"/>
                <w:color w:val="auto"/>
                <w:kern w:val="2"/>
                <w:szCs w:val="24"/>
                <w:lang w:val="en-US" w:eastAsia="zh-CN"/>
              </w:rPr>
              <w:t>12</w:t>
            </w:r>
            <w:r>
              <w:rPr>
                <w:rFonts w:hint="eastAsia"/>
                <w:color w:val="auto"/>
                <w:kern w:val="2"/>
                <w:szCs w:val="24"/>
              </w:rPr>
              <w:t>mg/m</w:t>
            </w:r>
            <w:r>
              <w:rPr>
                <w:rFonts w:hint="eastAsia"/>
                <w:color w:val="auto"/>
                <w:kern w:val="2"/>
                <w:szCs w:val="24"/>
                <w:vertAlign w:val="superscript"/>
              </w:rPr>
              <w:t>3</w:t>
            </w:r>
            <w:r>
              <w:rPr>
                <w:rFonts w:hint="eastAsia"/>
                <w:color w:val="auto"/>
                <w:kern w:val="2"/>
                <w:szCs w:val="21"/>
              </w:rPr>
              <w:t>，</w:t>
            </w:r>
            <w:r>
              <w:rPr>
                <w:rFonts w:hint="eastAsia"/>
                <w:color w:val="auto"/>
              </w:rPr>
              <w:t>最高允许排放速率</w:t>
            </w:r>
            <w:r>
              <w:rPr>
                <w:rFonts w:hint="eastAsia"/>
                <w:color w:val="auto"/>
                <w:lang w:val="en-US" w:eastAsia="zh-CN"/>
              </w:rPr>
              <w:t>1.5</w:t>
            </w:r>
            <w:r>
              <w:rPr>
                <w:rFonts w:hint="eastAsia"/>
                <w:color w:val="auto"/>
              </w:rPr>
              <w:t>kg/h</w:t>
            </w:r>
            <w:r>
              <w:rPr>
                <w:rFonts w:hint="eastAsia"/>
                <w:color w:val="auto"/>
                <w:lang w:eastAsia="zh-CN"/>
              </w:rPr>
              <w:t>，</w:t>
            </w:r>
            <w:r>
              <w:rPr>
                <w:rFonts w:hint="eastAsia"/>
                <w:color w:val="auto"/>
                <w:kern w:val="2"/>
                <w:szCs w:val="21"/>
                <w:lang w:val="en-US" w:eastAsia="zh-CN"/>
              </w:rPr>
              <w:t>甲苯</w:t>
            </w:r>
            <w:r>
              <w:rPr>
                <w:rFonts w:hint="eastAsia"/>
                <w:color w:val="auto"/>
              </w:rPr>
              <w:t>最高允许排放浓度</w:t>
            </w:r>
            <w:r>
              <w:rPr>
                <w:rFonts w:hint="eastAsia"/>
                <w:color w:val="auto"/>
                <w:kern w:val="2"/>
                <w:szCs w:val="24"/>
              </w:rPr>
              <w:t>≤</w:t>
            </w:r>
            <w:r>
              <w:rPr>
                <w:rFonts w:hint="eastAsia"/>
                <w:color w:val="auto"/>
                <w:kern w:val="2"/>
                <w:szCs w:val="24"/>
                <w:lang w:val="en-US" w:eastAsia="zh-CN"/>
              </w:rPr>
              <w:t>40</w:t>
            </w:r>
            <w:r>
              <w:rPr>
                <w:rFonts w:hint="eastAsia"/>
                <w:color w:val="auto"/>
                <w:kern w:val="2"/>
                <w:szCs w:val="24"/>
              </w:rPr>
              <w:t>mg/m</w:t>
            </w:r>
            <w:r>
              <w:rPr>
                <w:rFonts w:hint="eastAsia"/>
                <w:color w:val="auto"/>
                <w:kern w:val="2"/>
                <w:szCs w:val="24"/>
                <w:vertAlign w:val="superscript"/>
              </w:rPr>
              <w:t>3</w:t>
            </w:r>
            <w:r>
              <w:rPr>
                <w:rFonts w:hint="eastAsia"/>
                <w:color w:val="auto"/>
                <w:kern w:val="2"/>
                <w:szCs w:val="21"/>
              </w:rPr>
              <w:t>，</w:t>
            </w:r>
            <w:r>
              <w:rPr>
                <w:rFonts w:hint="eastAsia"/>
                <w:color w:val="auto"/>
              </w:rPr>
              <w:t>最高允许排放速率</w:t>
            </w:r>
            <w:r>
              <w:rPr>
                <w:rFonts w:hint="eastAsia"/>
                <w:color w:val="auto"/>
                <w:lang w:val="en-US" w:eastAsia="zh-CN"/>
              </w:rPr>
              <w:t>9.65</w:t>
            </w:r>
            <w:r>
              <w:rPr>
                <w:rFonts w:hint="eastAsia"/>
                <w:color w:val="auto"/>
              </w:rPr>
              <w:t>kg/h</w:t>
            </w:r>
          </w:p>
        </w:tc>
        <w:tc>
          <w:tcPr>
            <w:tcW w:w="2715" w:type="dxa"/>
            <w:vAlign w:val="center"/>
          </w:tcPr>
          <w:p w14:paraId="2FCE304A">
            <w:pPr>
              <w:pStyle w:val="69"/>
              <w:rPr>
                <w:color w:val="auto"/>
              </w:rPr>
            </w:pPr>
            <w:r>
              <w:rPr>
                <w:rFonts w:hint="eastAsia"/>
                <w:color w:val="auto"/>
              </w:rPr>
              <w:t>广东省地方标准《固定污染源挥发性有机物综合排放标准》（</w:t>
            </w:r>
            <w:r>
              <w:rPr>
                <w:color w:val="auto"/>
              </w:rPr>
              <w:t>DB44/2367—2022</w:t>
            </w:r>
            <w:r>
              <w:rPr>
                <w:rFonts w:hint="eastAsia"/>
                <w:color w:val="auto"/>
              </w:rPr>
              <w:t>）</w:t>
            </w:r>
            <w:r>
              <w:rPr>
                <w:color w:val="auto"/>
              </w:rPr>
              <w:t xml:space="preserve">表 1 </w:t>
            </w:r>
            <w:r>
              <w:rPr>
                <w:rFonts w:hint="eastAsia"/>
                <w:color w:val="auto"/>
              </w:rPr>
              <w:t>挥发性有机物排放限值</w:t>
            </w:r>
            <w:r>
              <w:rPr>
                <w:rFonts w:hint="eastAsia"/>
                <w:color w:val="auto"/>
                <w:lang w:eastAsia="zh-CN"/>
              </w:rPr>
              <w:t>、</w:t>
            </w:r>
            <w:r>
              <w:rPr>
                <w:rFonts w:hint="eastAsia"/>
                <w:color w:val="auto"/>
              </w:rPr>
              <w:t>广东省地方标准《大气污染物排放限值标准》（</w:t>
            </w:r>
            <w:r>
              <w:rPr>
                <w:color w:val="auto"/>
              </w:rPr>
              <w:t>DB44</w:t>
            </w:r>
            <w:r>
              <w:rPr>
                <w:rFonts w:hint="eastAsia"/>
                <w:color w:val="auto"/>
              </w:rPr>
              <w:t>/</w:t>
            </w:r>
            <w:r>
              <w:rPr>
                <w:color w:val="auto"/>
              </w:rPr>
              <w:t>27-2001</w:t>
            </w:r>
            <w:r>
              <w:rPr>
                <w:rFonts w:hint="eastAsia"/>
                <w:color w:val="auto"/>
              </w:rPr>
              <w:t>）的第二时段二级标准</w:t>
            </w:r>
          </w:p>
        </w:tc>
        <w:tc>
          <w:tcPr>
            <w:tcW w:w="1040" w:type="dxa"/>
            <w:vAlign w:val="center"/>
          </w:tcPr>
          <w:p w14:paraId="2E5B2BEE">
            <w:pPr>
              <w:pStyle w:val="69"/>
              <w:rPr>
                <w:color w:val="auto"/>
              </w:rPr>
            </w:pPr>
            <w:r>
              <w:rPr>
                <w:rFonts w:hint="eastAsia"/>
                <w:color w:val="auto"/>
                <w:lang w:eastAsia="zh-CN"/>
              </w:rPr>
              <w:t>DA002</w:t>
            </w:r>
            <w:r>
              <w:rPr>
                <w:rFonts w:hint="eastAsia"/>
                <w:color w:val="auto"/>
              </w:rPr>
              <w:t>排气筒</w:t>
            </w:r>
          </w:p>
        </w:tc>
      </w:tr>
      <w:tr w14:paraId="46F17A7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Merge w:val="continue"/>
            <w:vAlign w:val="center"/>
          </w:tcPr>
          <w:p w14:paraId="39A780D6">
            <w:pPr>
              <w:pStyle w:val="59"/>
              <w:rPr>
                <w:color w:val="auto"/>
                <w:kern w:val="2"/>
                <w:szCs w:val="21"/>
              </w:rPr>
            </w:pPr>
          </w:p>
        </w:tc>
        <w:tc>
          <w:tcPr>
            <w:tcW w:w="1235" w:type="dxa"/>
            <w:vAlign w:val="center"/>
          </w:tcPr>
          <w:p w14:paraId="68E80946">
            <w:pPr>
              <w:pStyle w:val="69"/>
              <w:rPr>
                <w:rFonts w:hint="eastAsia"/>
                <w:color w:val="auto"/>
              </w:rPr>
            </w:pPr>
            <w:r>
              <w:rPr>
                <w:rFonts w:hint="eastAsia"/>
                <w:color w:val="auto"/>
                <w:lang w:val="en-US" w:eastAsia="zh-CN"/>
              </w:rPr>
              <w:t>厂区</w:t>
            </w:r>
            <w:r>
              <w:rPr>
                <w:rFonts w:hint="eastAsia"/>
                <w:color w:val="auto"/>
              </w:rPr>
              <w:t>无组织</w:t>
            </w:r>
            <w:r>
              <w:rPr>
                <w:rFonts w:hint="eastAsia"/>
                <w:color w:val="auto"/>
                <w:lang w:val="en-US" w:eastAsia="zh-CN"/>
              </w:rPr>
              <w:t>NMHC</w:t>
            </w:r>
          </w:p>
        </w:tc>
        <w:tc>
          <w:tcPr>
            <w:tcW w:w="1617" w:type="dxa"/>
            <w:vAlign w:val="center"/>
          </w:tcPr>
          <w:p w14:paraId="454BAA05">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大气扩散</w:t>
            </w:r>
          </w:p>
        </w:tc>
        <w:tc>
          <w:tcPr>
            <w:tcW w:w="2141" w:type="dxa"/>
            <w:vAlign w:val="center"/>
          </w:tcPr>
          <w:p w14:paraId="00597367">
            <w:pPr>
              <w:pStyle w:val="59"/>
              <w:ind w:firstLine="0" w:firstLineChars="0"/>
              <w:rPr>
                <w:rFonts w:hint="eastAsia" w:ascii="Times New Roman" w:hAnsi="Times New Roman" w:eastAsia="宋体" w:cs="Times New Roman"/>
                <w:color w:val="auto"/>
                <w:kern w:val="0"/>
                <w:sz w:val="21"/>
                <w:szCs w:val="20"/>
                <w:lang w:val="en-US" w:eastAsia="zh-CN" w:bidi="ar-SA"/>
              </w:rPr>
            </w:pPr>
            <w:r>
              <w:rPr>
                <w:color w:val="auto"/>
              </w:rPr>
              <w:t>监控点处1h平均浓度值</w:t>
            </w:r>
            <w:r>
              <w:rPr>
                <w:rFonts w:hint="eastAsia"/>
                <w:color w:val="auto"/>
                <w:kern w:val="2"/>
                <w:szCs w:val="21"/>
              </w:rPr>
              <w:t>≤</w:t>
            </w:r>
            <w:r>
              <w:rPr>
                <w:rFonts w:hint="eastAsia"/>
                <w:color w:val="auto"/>
              </w:rPr>
              <w:t>6</w:t>
            </w:r>
            <w:r>
              <w:rPr>
                <w:rFonts w:hint="eastAsia"/>
                <w:color w:val="auto"/>
                <w:kern w:val="2"/>
                <w:szCs w:val="21"/>
              </w:rPr>
              <w:t>mg/m</w:t>
            </w:r>
            <w:r>
              <w:rPr>
                <w:rFonts w:hint="eastAsia"/>
                <w:color w:val="auto"/>
                <w:kern w:val="2"/>
                <w:szCs w:val="21"/>
                <w:vertAlign w:val="superscript"/>
              </w:rPr>
              <w:t>3</w:t>
            </w:r>
            <w:r>
              <w:rPr>
                <w:rFonts w:hint="eastAsia"/>
                <w:color w:val="auto"/>
                <w:kern w:val="2"/>
                <w:szCs w:val="21"/>
                <w:vertAlign w:val="baseline"/>
                <w:lang w:eastAsia="zh-CN"/>
              </w:rPr>
              <w:t>，</w:t>
            </w:r>
            <w:r>
              <w:rPr>
                <w:color w:val="auto"/>
              </w:rPr>
              <w:t>监控点处任意一次浓度值</w:t>
            </w:r>
            <w:r>
              <w:rPr>
                <w:rFonts w:hint="eastAsia"/>
                <w:color w:val="auto"/>
                <w:kern w:val="2"/>
                <w:szCs w:val="21"/>
              </w:rPr>
              <w:t>≤</w:t>
            </w:r>
            <w:r>
              <w:rPr>
                <w:rFonts w:hint="eastAsia"/>
                <w:color w:val="auto"/>
                <w:lang w:val="en-US" w:eastAsia="zh-CN"/>
              </w:rPr>
              <w:t>20</w:t>
            </w:r>
            <w:r>
              <w:rPr>
                <w:rFonts w:hint="eastAsia"/>
                <w:color w:val="auto"/>
                <w:kern w:val="2"/>
                <w:szCs w:val="21"/>
              </w:rPr>
              <w:t>mg/m</w:t>
            </w:r>
            <w:r>
              <w:rPr>
                <w:rFonts w:hint="eastAsia"/>
                <w:color w:val="auto"/>
                <w:kern w:val="2"/>
                <w:szCs w:val="21"/>
                <w:vertAlign w:val="superscript"/>
              </w:rPr>
              <w:t>3</w:t>
            </w:r>
          </w:p>
        </w:tc>
        <w:tc>
          <w:tcPr>
            <w:tcW w:w="2715" w:type="dxa"/>
            <w:vAlign w:val="center"/>
          </w:tcPr>
          <w:p w14:paraId="4A72589D">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广东省地方标准《固定污染源挥发性有机物综合排放标准》（DB44/ 2367—2022）表3 厂区内VOCs 无组织排放限值</w:t>
            </w:r>
          </w:p>
        </w:tc>
        <w:tc>
          <w:tcPr>
            <w:tcW w:w="1040" w:type="dxa"/>
            <w:vAlign w:val="center"/>
          </w:tcPr>
          <w:p w14:paraId="23A12B68">
            <w:pPr>
              <w:pStyle w:val="69"/>
              <w:rPr>
                <w:rFonts w:hint="eastAsia"/>
                <w:color w:val="auto"/>
              </w:rPr>
            </w:pPr>
            <w:r>
              <w:rPr>
                <w:rFonts w:hint="eastAsia"/>
                <w:color w:val="auto"/>
                <w:lang w:val="en-US" w:eastAsia="zh-CN"/>
              </w:rPr>
              <w:t>厂区内（</w:t>
            </w:r>
            <w:r>
              <w:rPr>
                <w:rFonts w:hint="eastAsia"/>
                <w:bCs/>
                <w:color w:val="auto"/>
                <w:szCs w:val="21"/>
                <w:lang w:val="en-US" w:eastAsia="zh-CN"/>
              </w:rPr>
              <w:t>厂房门窗或通风口、其他开口（孔）等排放口外1m，距离地面1.5m以上位置处</w:t>
            </w:r>
            <w:r>
              <w:rPr>
                <w:rFonts w:hint="eastAsia"/>
                <w:color w:val="auto"/>
                <w:lang w:val="en-US" w:eastAsia="zh-CN"/>
              </w:rPr>
              <w:t>）</w:t>
            </w:r>
          </w:p>
        </w:tc>
      </w:tr>
      <w:tr w14:paraId="66464E3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Align w:val="center"/>
          </w:tcPr>
          <w:p w14:paraId="350FE2DC">
            <w:pPr>
              <w:pStyle w:val="59"/>
              <w:rPr>
                <w:color w:val="auto"/>
                <w:kern w:val="2"/>
                <w:szCs w:val="21"/>
              </w:rPr>
            </w:pPr>
            <w:r>
              <w:rPr>
                <w:rFonts w:hint="eastAsia"/>
                <w:color w:val="auto"/>
                <w:kern w:val="2"/>
                <w:szCs w:val="21"/>
              </w:rPr>
              <w:t>废水</w:t>
            </w:r>
          </w:p>
        </w:tc>
        <w:tc>
          <w:tcPr>
            <w:tcW w:w="1235" w:type="dxa"/>
            <w:shd w:val="clear" w:color="auto" w:fill="auto"/>
            <w:vAlign w:val="center"/>
          </w:tcPr>
          <w:p w14:paraId="6945FF17">
            <w:pPr>
              <w:pStyle w:val="59"/>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rPr>
              <w:t>生活污水</w:t>
            </w:r>
          </w:p>
        </w:tc>
        <w:tc>
          <w:tcPr>
            <w:tcW w:w="1617" w:type="dxa"/>
            <w:shd w:val="clear" w:color="auto" w:fill="auto"/>
            <w:vAlign w:val="center"/>
          </w:tcPr>
          <w:p w14:paraId="2B8F99EF">
            <w:pPr>
              <w:pStyle w:val="59"/>
              <w:ind w:firstLine="0" w:firstLineChars="0"/>
              <w:rPr>
                <w:rFonts w:hint="default" w:ascii="Times New Roman" w:hAnsi="Times New Roman" w:eastAsia="宋体" w:cs="Times New Roman"/>
                <w:color w:val="auto"/>
                <w:kern w:val="0"/>
                <w:sz w:val="21"/>
                <w:szCs w:val="21"/>
                <w:lang w:val="en-US" w:eastAsia="zh-CN" w:bidi="ar-SA"/>
              </w:rPr>
            </w:pPr>
            <w:r>
              <w:rPr>
                <w:rFonts w:hint="eastAsia"/>
                <w:color w:val="auto"/>
                <w:szCs w:val="21"/>
              </w:rPr>
              <w:t>三级化粪池</w:t>
            </w:r>
          </w:p>
        </w:tc>
        <w:tc>
          <w:tcPr>
            <w:tcW w:w="2141" w:type="dxa"/>
            <w:shd w:val="clear" w:color="auto" w:fill="auto"/>
            <w:vAlign w:val="center"/>
          </w:tcPr>
          <w:p w14:paraId="076FD249">
            <w:pPr>
              <w:pStyle w:val="59"/>
              <w:ind w:firstLine="0" w:firstLineChars="0"/>
              <w:rPr>
                <w:rFonts w:ascii="Times New Roman" w:hAnsi="Times New Roman" w:eastAsia="宋体" w:cs="Times New Roman"/>
                <w:color w:val="auto"/>
                <w:kern w:val="0"/>
                <w:sz w:val="21"/>
                <w:szCs w:val="20"/>
                <w:lang w:val="en-US" w:eastAsia="zh-CN" w:bidi="ar-SA"/>
              </w:rPr>
            </w:pPr>
            <w:r>
              <w:rPr>
                <w:rFonts w:hint="eastAsia"/>
                <w:color w:val="auto"/>
              </w:rPr>
              <w:t>pH值</w:t>
            </w:r>
            <w:r>
              <w:rPr>
                <w:rFonts w:hint="eastAsia"/>
                <w:color w:val="auto"/>
                <w:lang w:val="en-US" w:eastAsia="zh-CN"/>
              </w:rPr>
              <w:t>6~9，</w:t>
            </w:r>
            <w:r>
              <w:rPr>
                <w:rFonts w:hint="eastAsia"/>
                <w:color w:val="auto"/>
              </w:rPr>
              <w:t>COD≤500mg/L</w:t>
            </w:r>
            <w:r>
              <w:rPr>
                <w:rFonts w:hint="eastAsia"/>
                <w:color w:val="auto"/>
                <w:kern w:val="2"/>
                <w:szCs w:val="21"/>
              </w:rPr>
              <w:t>、</w:t>
            </w:r>
            <w:r>
              <w:rPr>
                <w:color w:val="auto"/>
                <w:kern w:val="2"/>
                <w:szCs w:val="21"/>
              </w:rPr>
              <w:t>BOD</w:t>
            </w:r>
            <w:r>
              <w:rPr>
                <w:rFonts w:hint="eastAsia"/>
                <w:color w:val="auto"/>
                <w:kern w:val="2"/>
                <w:szCs w:val="21"/>
                <w:vertAlign w:val="subscript"/>
              </w:rPr>
              <w:t>5</w:t>
            </w:r>
            <w:r>
              <w:rPr>
                <w:rFonts w:hint="eastAsia"/>
                <w:color w:val="auto"/>
              </w:rPr>
              <w:t>≤300mg/L</w:t>
            </w:r>
            <w:r>
              <w:rPr>
                <w:color w:val="auto"/>
                <w:kern w:val="2"/>
                <w:szCs w:val="21"/>
              </w:rPr>
              <w:t>、SS</w:t>
            </w:r>
            <w:r>
              <w:rPr>
                <w:rFonts w:hint="eastAsia"/>
                <w:color w:val="auto"/>
              </w:rPr>
              <w:t>≤400mg/L</w:t>
            </w:r>
          </w:p>
        </w:tc>
        <w:tc>
          <w:tcPr>
            <w:tcW w:w="2715" w:type="dxa"/>
            <w:shd w:val="clear" w:color="auto" w:fill="auto"/>
            <w:vAlign w:val="center"/>
          </w:tcPr>
          <w:p w14:paraId="77DA309E">
            <w:pPr>
              <w:pStyle w:val="59"/>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rPr>
              <w:t>广东省地方标准《水污染物排放限值》（DB44/26-2001）第二时段三级标准</w:t>
            </w:r>
          </w:p>
        </w:tc>
        <w:tc>
          <w:tcPr>
            <w:tcW w:w="1040" w:type="dxa"/>
            <w:shd w:val="clear" w:color="auto" w:fill="auto"/>
            <w:vAlign w:val="center"/>
          </w:tcPr>
          <w:p w14:paraId="2F67D39B">
            <w:pPr>
              <w:pStyle w:val="59"/>
              <w:ind w:firstLine="0" w:firstLineChars="0"/>
              <w:rPr>
                <w:rFonts w:ascii="Times New Roman" w:hAnsi="Times New Roman" w:eastAsia="宋体" w:cs="Times New Roman"/>
                <w:color w:val="auto"/>
                <w:kern w:val="2"/>
                <w:sz w:val="21"/>
                <w:szCs w:val="21"/>
                <w:lang w:val="en-US" w:eastAsia="zh-CN" w:bidi="ar-SA"/>
              </w:rPr>
            </w:pPr>
            <w:r>
              <w:rPr>
                <w:rFonts w:hint="eastAsia"/>
                <w:color w:val="auto"/>
                <w:kern w:val="2"/>
                <w:szCs w:val="21"/>
              </w:rPr>
              <w:t>生活污水排放口</w:t>
            </w:r>
          </w:p>
        </w:tc>
      </w:tr>
      <w:tr w14:paraId="2DB418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Align w:val="center"/>
          </w:tcPr>
          <w:p w14:paraId="2A1C4725">
            <w:pPr>
              <w:pStyle w:val="59"/>
              <w:rPr>
                <w:color w:val="auto"/>
                <w:kern w:val="2"/>
                <w:szCs w:val="21"/>
              </w:rPr>
            </w:pPr>
            <w:r>
              <w:rPr>
                <w:color w:val="auto"/>
                <w:kern w:val="2"/>
                <w:szCs w:val="21"/>
              </w:rPr>
              <w:t>噪声</w:t>
            </w:r>
          </w:p>
        </w:tc>
        <w:tc>
          <w:tcPr>
            <w:tcW w:w="1235" w:type="dxa"/>
            <w:vAlign w:val="center"/>
          </w:tcPr>
          <w:p w14:paraId="1D66A6B1">
            <w:pPr>
              <w:pStyle w:val="59"/>
              <w:rPr>
                <w:color w:val="auto"/>
                <w:kern w:val="2"/>
                <w:szCs w:val="21"/>
              </w:rPr>
            </w:pPr>
            <w:r>
              <w:rPr>
                <w:rFonts w:hint="eastAsia"/>
                <w:color w:val="auto"/>
                <w:kern w:val="2"/>
                <w:szCs w:val="21"/>
              </w:rPr>
              <w:t>设备噪声</w:t>
            </w:r>
          </w:p>
        </w:tc>
        <w:tc>
          <w:tcPr>
            <w:tcW w:w="1617" w:type="dxa"/>
            <w:vAlign w:val="center"/>
          </w:tcPr>
          <w:p w14:paraId="4C74B258">
            <w:pPr>
              <w:pStyle w:val="59"/>
              <w:rPr>
                <w:color w:val="auto"/>
                <w:kern w:val="2"/>
                <w:szCs w:val="21"/>
              </w:rPr>
            </w:pPr>
            <w:r>
              <w:rPr>
                <w:color w:val="auto"/>
                <w:kern w:val="2"/>
                <w:szCs w:val="21"/>
              </w:rPr>
              <w:t>—</w:t>
            </w:r>
          </w:p>
        </w:tc>
        <w:tc>
          <w:tcPr>
            <w:tcW w:w="2141" w:type="dxa"/>
            <w:vAlign w:val="center"/>
          </w:tcPr>
          <w:p w14:paraId="229FB105">
            <w:pPr>
              <w:pStyle w:val="59"/>
              <w:rPr>
                <w:color w:val="auto"/>
                <w:kern w:val="2"/>
                <w:szCs w:val="21"/>
              </w:rPr>
            </w:pPr>
            <w:r>
              <w:rPr>
                <w:color w:val="auto"/>
                <w:kern w:val="2"/>
                <w:szCs w:val="21"/>
              </w:rPr>
              <w:t>边界昼、夜间</w:t>
            </w:r>
            <w:r>
              <w:rPr>
                <w:rFonts w:hint="eastAsia"/>
                <w:color w:val="auto"/>
                <w:kern w:val="2"/>
                <w:szCs w:val="21"/>
              </w:rPr>
              <w:t>噪声</w:t>
            </w:r>
          </w:p>
        </w:tc>
        <w:tc>
          <w:tcPr>
            <w:tcW w:w="2715" w:type="dxa"/>
            <w:vAlign w:val="center"/>
          </w:tcPr>
          <w:p w14:paraId="1EF69190">
            <w:pPr>
              <w:pStyle w:val="59"/>
              <w:rPr>
                <w:color w:val="auto"/>
                <w:kern w:val="2"/>
                <w:szCs w:val="21"/>
              </w:rPr>
            </w:pPr>
            <w:r>
              <w:rPr>
                <w:rFonts w:hint="eastAsia"/>
                <w:color w:val="auto"/>
              </w:rPr>
              <w:t>《工业企业厂界环境噪声排放标准》（GB12348-2008）3类标准</w:t>
            </w:r>
          </w:p>
        </w:tc>
        <w:tc>
          <w:tcPr>
            <w:tcW w:w="1040" w:type="dxa"/>
            <w:vAlign w:val="center"/>
          </w:tcPr>
          <w:p w14:paraId="0FA1EC92">
            <w:pPr>
              <w:pStyle w:val="59"/>
              <w:rPr>
                <w:color w:val="auto"/>
                <w:kern w:val="2"/>
                <w:szCs w:val="21"/>
              </w:rPr>
            </w:pPr>
            <w:r>
              <w:rPr>
                <w:color w:val="auto"/>
                <w:kern w:val="2"/>
                <w:szCs w:val="21"/>
              </w:rPr>
              <w:t>厂界</w:t>
            </w:r>
          </w:p>
        </w:tc>
      </w:tr>
      <w:tr w14:paraId="5237679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Merge w:val="restart"/>
            <w:vAlign w:val="center"/>
          </w:tcPr>
          <w:p w14:paraId="4A2B3E42">
            <w:pPr>
              <w:pStyle w:val="59"/>
              <w:rPr>
                <w:color w:val="auto"/>
                <w:kern w:val="2"/>
                <w:szCs w:val="21"/>
              </w:rPr>
            </w:pPr>
            <w:r>
              <w:rPr>
                <w:color w:val="auto"/>
                <w:kern w:val="2"/>
                <w:szCs w:val="21"/>
              </w:rPr>
              <w:t>固体废物</w:t>
            </w:r>
          </w:p>
        </w:tc>
        <w:tc>
          <w:tcPr>
            <w:tcW w:w="1235" w:type="dxa"/>
            <w:vAlign w:val="center"/>
          </w:tcPr>
          <w:p w14:paraId="1A7B4593">
            <w:pPr>
              <w:pStyle w:val="59"/>
              <w:rPr>
                <w:color w:val="auto"/>
              </w:rPr>
            </w:pPr>
            <w:r>
              <w:rPr>
                <w:rFonts w:hint="eastAsia"/>
                <w:color w:val="auto"/>
              </w:rPr>
              <w:t>生活垃圾、污泥</w:t>
            </w:r>
          </w:p>
        </w:tc>
        <w:tc>
          <w:tcPr>
            <w:tcW w:w="1617" w:type="dxa"/>
            <w:vAlign w:val="center"/>
          </w:tcPr>
          <w:p w14:paraId="28A4406E">
            <w:pPr>
              <w:pStyle w:val="59"/>
              <w:rPr>
                <w:color w:val="auto"/>
                <w:kern w:val="2"/>
                <w:szCs w:val="21"/>
              </w:rPr>
            </w:pPr>
            <w:r>
              <w:rPr>
                <w:rFonts w:hint="eastAsia"/>
                <w:color w:val="auto"/>
                <w:kern w:val="2"/>
                <w:szCs w:val="21"/>
              </w:rPr>
              <w:t>环卫部门定期统一清运</w:t>
            </w:r>
          </w:p>
        </w:tc>
        <w:tc>
          <w:tcPr>
            <w:tcW w:w="2141" w:type="dxa"/>
            <w:vAlign w:val="center"/>
          </w:tcPr>
          <w:p w14:paraId="40F7906B">
            <w:pPr>
              <w:pStyle w:val="59"/>
              <w:rPr>
                <w:color w:val="auto"/>
                <w:kern w:val="2"/>
                <w:szCs w:val="21"/>
              </w:rPr>
            </w:pPr>
            <w:r>
              <w:rPr>
                <w:rFonts w:hint="eastAsia"/>
                <w:color w:val="auto"/>
                <w:kern w:val="2"/>
                <w:szCs w:val="21"/>
              </w:rPr>
              <w:t>运至生活垃圾填埋场填埋</w:t>
            </w:r>
          </w:p>
        </w:tc>
        <w:tc>
          <w:tcPr>
            <w:tcW w:w="2715" w:type="dxa"/>
            <w:vAlign w:val="center"/>
          </w:tcPr>
          <w:p w14:paraId="58A532DC">
            <w:pPr>
              <w:pStyle w:val="59"/>
              <w:rPr>
                <w:color w:val="auto"/>
                <w:kern w:val="2"/>
                <w:szCs w:val="21"/>
              </w:rPr>
            </w:pPr>
            <w:r>
              <w:rPr>
                <w:color w:val="auto"/>
                <w:kern w:val="2"/>
                <w:szCs w:val="21"/>
              </w:rPr>
              <w:t>委外处理的相关证明文件</w:t>
            </w:r>
          </w:p>
        </w:tc>
        <w:tc>
          <w:tcPr>
            <w:tcW w:w="1040" w:type="dxa"/>
            <w:vAlign w:val="center"/>
          </w:tcPr>
          <w:p w14:paraId="07710777">
            <w:pPr>
              <w:pStyle w:val="59"/>
              <w:rPr>
                <w:color w:val="auto"/>
                <w:kern w:val="2"/>
                <w:szCs w:val="21"/>
              </w:rPr>
            </w:pPr>
            <w:r>
              <w:rPr>
                <w:rFonts w:hint="eastAsia"/>
                <w:color w:val="auto"/>
                <w:kern w:val="2"/>
                <w:szCs w:val="21"/>
              </w:rPr>
              <w:t>——</w:t>
            </w:r>
          </w:p>
        </w:tc>
      </w:tr>
      <w:tr w14:paraId="65C1053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Merge w:val="continue"/>
            <w:vAlign w:val="center"/>
          </w:tcPr>
          <w:p w14:paraId="03B996D5">
            <w:pPr>
              <w:pStyle w:val="59"/>
              <w:rPr>
                <w:color w:val="auto"/>
                <w:kern w:val="2"/>
                <w:szCs w:val="21"/>
              </w:rPr>
            </w:pPr>
          </w:p>
        </w:tc>
        <w:tc>
          <w:tcPr>
            <w:tcW w:w="1235" w:type="dxa"/>
            <w:vAlign w:val="center"/>
          </w:tcPr>
          <w:p w14:paraId="0241146C">
            <w:pPr>
              <w:pStyle w:val="59"/>
              <w:rPr>
                <w:color w:val="auto"/>
              </w:rPr>
            </w:pPr>
            <w:r>
              <w:rPr>
                <w:rFonts w:hint="eastAsia"/>
                <w:color w:val="auto"/>
              </w:rPr>
              <w:t>一般工业固废</w:t>
            </w:r>
          </w:p>
        </w:tc>
        <w:tc>
          <w:tcPr>
            <w:tcW w:w="1617" w:type="dxa"/>
            <w:vAlign w:val="center"/>
          </w:tcPr>
          <w:p w14:paraId="3B0D3D44">
            <w:pPr>
              <w:pStyle w:val="59"/>
              <w:rPr>
                <w:color w:val="auto"/>
                <w:kern w:val="2"/>
                <w:szCs w:val="21"/>
              </w:rPr>
            </w:pPr>
            <w:r>
              <w:rPr>
                <w:color w:val="auto"/>
              </w:rPr>
              <w:t>交由一般固废处理公司</w:t>
            </w:r>
            <w:r>
              <w:rPr>
                <w:rFonts w:hint="eastAsia"/>
                <w:color w:val="auto"/>
              </w:rPr>
              <w:t>或资源回收公司</w:t>
            </w:r>
            <w:r>
              <w:rPr>
                <w:color w:val="auto"/>
              </w:rPr>
              <w:t>进行处理</w:t>
            </w:r>
          </w:p>
        </w:tc>
        <w:tc>
          <w:tcPr>
            <w:tcW w:w="2141" w:type="dxa"/>
            <w:vAlign w:val="center"/>
          </w:tcPr>
          <w:p w14:paraId="5DCD5E6D">
            <w:pPr>
              <w:pStyle w:val="59"/>
              <w:rPr>
                <w:color w:val="auto"/>
                <w:kern w:val="2"/>
                <w:szCs w:val="21"/>
              </w:rPr>
            </w:pPr>
            <w:r>
              <w:rPr>
                <w:rFonts w:hint="eastAsia"/>
                <w:color w:val="auto"/>
                <w:kern w:val="2"/>
                <w:szCs w:val="21"/>
              </w:rPr>
              <w:t>零排放</w:t>
            </w:r>
          </w:p>
        </w:tc>
        <w:tc>
          <w:tcPr>
            <w:tcW w:w="2715" w:type="dxa"/>
            <w:vAlign w:val="center"/>
          </w:tcPr>
          <w:p w14:paraId="44ED962A">
            <w:pPr>
              <w:pStyle w:val="59"/>
              <w:rPr>
                <w:rFonts w:hint="eastAsia" w:eastAsia="宋体"/>
                <w:color w:val="auto"/>
                <w:kern w:val="2"/>
                <w:szCs w:val="21"/>
                <w:lang w:eastAsia="zh-CN"/>
              </w:rPr>
            </w:pPr>
            <w:r>
              <w:rPr>
                <w:color w:val="auto"/>
                <w:kern w:val="2"/>
                <w:szCs w:val="21"/>
              </w:rPr>
              <w:t>委外处理的相关证明文件</w:t>
            </w:r>
            <w:r>
              <w:rPr>
                <w:rFonts w:hint="eastAsia"/>
                <w:color w:val="auto"/>
                <w:kern w:val="2"/>
                <w:szCs w:val="21"/>
                <w:lang w:eastAsia="zh-CN"/>
              </w:rPr>
              <w:t>，</w:t>
            </w:r>
            <w:r>
              <w:rPr>
                <w:rFonts w:hint="eastAsia"/>
                <w:color w:val="auto"/>
                <w:lang w:val="en-US" w:eastAsia="zh-CN"/>
              </w:rPr>
              <w:t>一般工业固体废物在厂内贮存过程应满足相应防渗漏、防雨淋、防扬尘等环境保护要求</w:t>
            </w:r>
          </w:p>
        </w:tc>
        <w:tc>
          <w:tcPr>
            <w:tcW w:w="1040" w:type="dxa"/>
            <w:vAlign w:val="center"/>
          </w:tcPr>
          <w:p w14:paraId="5D34B70F">
            <w:pPr>
              <w:pStyle w:val="59"/>
              <w:rPr>
                <w:color w:val="auto"/>
                <w:kern w:val="2"/>
                <w:szCs w:val="21"/>
              </w:rPr>
            </w:pPr>
            <w:r>
              <w:rPr>
                <w:rFonts w:hint="eastAsia"/>
                <w:color w:val="auto"/>
                <w:kern w:val="2"/>
                <w:szCs w:val="21"/>
              </w:rPr>
              <w:t>——</w:t>
            </w:r>
          </w:p>
        </w:tc>
      </w:tr>
      <w:tr w14:paraId="6B50A9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3" w:type="dxa"/>
            <w:vMerge w:val="continue"/>
          </w:tcPr>
          <w:p w14:paraId="09154368">
            <w:pPr>
              <w:pStyle w:val="59"/>
              <w:rPr>
                <w:color w:val="auto"/>
                <w:kern w:val="2"/>
                <w:szCs w:val="21"/>
              </w:rPr>
            </w:pPr>
          </w:p>
        </w:tc>
        <w:tc>
          <w:tcPr>
            <w:tcW w:w="1235" w:type="dxa"/>
            <w:vAlign w:val="center"/>
          </w:tcPr>
          <w:p w14:paraId="5A869DEA">
            <w:pPr>
              <w:pStyle w:val="69"/>
              <w:rPr>
                <w:color w:val="auto"/>
              </w:rPr>
            </w:pPr>
            <w:r>
              <w:rPr>
                <w:color w:val="auto"/>
              </w:rPr>
              <w:t>危险废物</w:t>
            </w:r>
          </w:p>
        </w:tc>
        <w:tc>
          <w:tcPr>
            <w:tcW w:w="1617" w:type="dxa"/>
            <w:vAlign w:val="center"/>
          </w:tcPr>
          <w:p w14:paraId="2FCE6485">
            <w:pPr>
              <w:pStyle w:val="59"/>
              <w:rPr>
                <w:color w:val="auto"/>
              </w:rPr>
            </w:pPr>
            <w:r>
              <w:rPr>
                <w:color w:val="auto"/>
              </w:rPr>
              <w:t>交由取得危险废物经营许可证的单位进行处理</w:t>
            </w:r>
          </w:p>
        </w:tc>
        <w:tc>
          <w:tcPr>
            <w:tcW w:w="2141" w:type="dxa"/>
            <w:vAlign w:val="center"/>
          </w:tcPr>
          <w:p w14:paraId="1847AD85">
            <w:pPr>
              <w:pStyle w:val="69"/>
              <w:rPr>
                <w:color w:val="auto"/>
              </w:rPr>
            </w:pPr>
            <w:r>
              <w:rPr>
                <w:rFonts w:hint="eastAsia"/>
                <w:color w:val="auto"/>
              </w:rPr>
              <w:t>零排放</w:t>
            </w:r>
          </w:p>
        </w:tc>
        <w:tc>
          <w:tcPr>
            <w:tcW w:w="2715" w:type="dxa"/>
            <w:vAlign w:val="center"/>
          </w:tcPr>
          <w:p w14:paraId="092CC6DD">
            <w:pPr>
              <w:pStyle w:val="59"/>
              <w:rPr>
                <w:rFonts w:hint="eastAsia" w:eastAsia="宋体"/>
                <w:color w:val="auto"/>
                <w:lang w:eastAsia="zh-CN"/>
              </w:rPr>
            </w:pPr>
            <w:r>
              <w:rPr>
                <w:color w:val="auto"/>
              </w:rPr>
              <w:t>委外处理的相关证明文件</w:t>
            </w:r>
            <w:r>
              <w:rPr>
                <w:rFonts w:hint="eastAsia"/>
                <w:color w:val="auto"/>
                <w:lang w:eastAsia="zh-CN"/>
              </w:rPr>
              <w:t>，</w:t>
            </w:r>
            <w:r>
              <w:rPr>
                <w:rFonts w:hint="eastAsia"/>
                <w:color w:val="auto"/>
              </w:rPr>
              <w:t>危险废物</w:t>
            </w:r>
            <w:r>
              <w:rPr>
                <w:rFonts w:hint="eastAsia"/>
                <w:color w:val="auto"/>
                <w:lang w:val="en-US" w:eastAsia="zh-CN"/>
              </w:rPr>
              <w:t>暂存处</w:t>
            </w:r>
            <w:r>
              <w:rPr>
                <w:rFonts w:hint="eastAsia"/>
                <w:color w:val="auto"/>
              </w:rPr>
              <w:t>执行《危险废物贮存污染控制标准》（GB 18597-20</w:t>
            </w:r>
            <w:r>
              <w:rPr>
                <w:rFonts w:hint="eastAsia"/>
                <w:color w:val="auto"/>
                <w:lang w:val="en-US" w:eastAsia="zh-CN"/>
              </w:rPr>
              <w:t>23</w:t>
            </w:r>
            <w:r>
              <w:rPr>
                <w:rFonts w:hint="eastAsia"/>
                <w:color w:val="auto"/>
              </w:rPr>
              <w:t>）</w:t>
            </w:r>
          </w:p>
        </w:tc>
        <w:tc>
          <w:tcPr>
            <w:tcW w:w="1040" w:type="dxa"/>
            <w:vAlign w:val="center"/>
          </w:tcPr>
          <w:p w14:paraId="2379D827">
            <w:pPr>
              <w:pStyle w:val="59"/>
              <w:rPr>
                <w:color w:val="auto"/>
              </w:rPr>
            </w:pPr>
            <w:r>
              <w:rPr>
                <w:rFonts w:hint="eastAsia"/>
                <w:color w:val="auto"/>
              </w:rPr>
              <w:t>——</w:t>
            </w:r>
          </w:p>
        </w:tc>
      </w:tr>
    </w:tbl>
    <w:p w14:paraId="718AA632">
      <w:pPr>
        <w:pStyle w:val="62"/>
        <w:rPr>
          <w:color w:val="auto"/>
        </w:rPr>
      </w:pPr>
    </w:p>
    <w:p w14:paraId="26963B44">
      <w:pPr>
        <w:autoSpaceDE w:val="0"/>
        <w:autoSpaceDN w:val="0"/>
        <w:adjustRightInd w:val="0"/>
        <w:ind w:firstLine="0" w:firstLineChars="0"/>
        <w:jc w:val="left"/>
        <w:rPr>
          <w:color w:val="auto"/>
        </w:rPr>
        <w:sectPr>
          <w:pgSz w:w="11906" w:h="16838"/>
          <w:pgMar w:top="1417" w:right="1417" w:bottom="1417" w:left="1417" w:header="992" w:footer="992" w:gutter="0"/>
          <w:pgNumType w:fmt="decimal"/>
          <w:cols w:space="720" w:num="1"/>
          <w:docGrid w:type="lines" w:linePitch="312" w:charSpace="0"/>
        </w:sectPr>
      </w:pPr>
    </w:p>
    <w:p w14:paraId="713808C1">
      <w:pPr>
        <w:pStyle w:val="66"/>
        <w:numPr>
          <w:ilvl w:val="0"/>
          <w:numId w:val="8"/>
        </w:numPr>
        <w:ind w:left="425" w:leftChars="0" w:hanging="425" w:firstLineChars="0"/>
        <w:rPr>
          <w:color w:val="auto"/>
        </w:rPr>
      </w:pPr>
      <w:bookmarkStart w:id="227" w:name="_Toc246655574"/>
      <w:bookmarkStart w:id="228" w:name="_Toc7555"/>
      <w:bookmarkStart w:id="229" w:name="_Toc238197029"/>
      <w:r>
        <w:rPr>
          <w:rFonts w:hint="eastAsia"/>
          <w:color w:val="auto"/>
        </w:rPr>
        <w:t>环境影响经济损益分析</w:t>
      </w:r>
      <w:bookmarkEnd w:id="227"/>
      <w:bookmarkEnd w:id="228"/>
      <w:bookmarkEnd w:id="229"/>
    </w:p>
    <w:p w14:paraId="67F7E671">
      <w:pPr>
        <w:ind w:firstLine="480"/>
        <w:rPr>
          <w:color w:val="auto"/>
        </w:rPr>
      </w:pPr>
      <w:r>
        <w:rPr>
          <w:color w:val="auto"/>
        </w:rPr>
        <w:t>环境经济损益分析是环境影响评价的一项重要工作内容，它建立在西方新福利经济基础上，是新福利经济学的实际应用，目的在于改善资源分配的经济效益。本次环境影响经济损益分析采用费用～效益法。</w:t>
      </w:r>
    </w:p>
    <w:p w14:paraId="7BB43DBC">
      <w:pPr>
        <w:ind w:firstLine="480"/>
        <w:rPr>
          <w:color w:val="auto"/>
        </w:rPr>
      </w:pPr>
      <w:r>
        <w:rPr>
          <w:color w:val="auto"/>
        </w:rPr>
        <w:t>费用～效益分析是鉴别和度量一个项目的总体效益的一种系统方法。一个项目的效益是该项目可能得到的商品和劳务产出增值的价值，包括环境商品和劳务，即产出品的销售经济效益和环境改善效益。项目的费用则是该项目的使用实际资源增值的价值，它应包括固定资产投入、资源投入、环境治理费用和危害补偿费用等。一般来讲，项目的总费用可划分为生产费用、环境保护费用和环境危害费用三大类，而其效益可分为项目经济效益和环境改善效益两类。</w:t>
      </w:r>
    </w:p>
    <w:p w14:paraId="4430CFAE">
      <w:pPr>
        <w:pStyle w:val="67"/>
        <w:numPr>
          <w:ilvl w:val="1"/>
          <w:numId w:val="8"/>
        </w:numPr>
        <w:spacing w:before="156" w:after="156"/>
        <w:ind w:left="567" w:leftChars="0" w:hanging="567" w:firstLineChars="0"/>
        <w:rPr>
          <w:color w:val="auto"/>
        </w:rPr>
      </w:pPr>
      <w:bookmarkStart w:id="230" w:name="_Toc25644"/>
      <w:bookmarkStart w:id="231" w:name="_Toc238197030"/>
      <w:bookmarkStart w:id="232" w:name="_Toc246655575"/>
      <w:bookmarkStart w:id="233" w:name="_Toc189317858"/>
      <w:r>
        <w:rPr>
          <w:rFonts w:hint="eastAsia"/>
          <w:color w:val="auto"/>
        </w:rPr>
        <w:t>环境保护措施投资估算</w:t>
      </w:r>
      <w:bookmarkEnd w:id="230"/>
      <w:bookmarkEnd w:id="231"/>
      <w:bookmarkEnd w:id="232"/>
    </w:p>
    <w:bookmarkEnd w:id="233"/>
    <w:p w14:paraId="310451FE">
      <w:pPr>
        <w:ind w:firstLine="480"/>
        <w:rPr>
          <w:color w:val="auto"/>
        </w:rPr>
      </w:pPr>
      <w:r>
        <w:rPr>
          <w:color w:val="auto"/>
        </w:rPr>
        <w:t>项目</w:t>
      </w:r>
      <w:r>
        <w:rPr>
          <w:rFonts w:hint="eastAsia"/>
          <w:color w:val="auto"/>
        </w:rPr>
        <w:t>总</w:t>
      </w:r>
      <w:r>
        <w:rPr>
          <w:color w:val="auto"/>
        </w:rPr>
        <w:t>投资约</w:t>
      </w:r>
      <w:r>
        <w:rPr>
          <w:rFonts w:hint="eastAsia"/>
          <w:color w:val="auto"/>
          <w:lang w:val="en-US" w:eastAsia="zh-CN"/>
        </w:rPr>
        <w:t>25</w:t>
      </w:r>
      <w:r>
        <w:rPr>
          <w:rFonts w:hint="eastAsia"/>
          <w:color w:val="auto"/>
        </w:rPr>
        <w:t>00万元</w:t>
      </w:r>
      <w:r>
        <w:rPr>
          <w:color w:val="auto"/>
        </w:rPr>
        <w:t>，项目环保投资</w:t>
      </w:r>
      <w:r>
        <w:rPr>
          <w:rFonts w:hint="eastAsia"/>
          <w:color w:val="auto"/>
          <w:lang w:val="en-US" w:eastAsia="zh-CN"/>
        </w:rPr>
        <w:t>200</w:t>
      </w:r>
      <w:r>
        <w:rPr>
          <w:rFonts w:hint="eastAsia"/>
          <w:color w:val="auto"/>
        </w:rPr>
        <w:t>万</w:t>
      </w:r>
      <w:r>
        <w:rPr>
          <w:color w:val="auto"/>
        </w:rPr>
        <w:t>元，占投资的</w:t>
      </w:r>
      <w:r>
        <w:rPr>
          <w:rFonts w:hint="eastAsia"/>
          <w:color w:val="auto"/>
          <w:lang w:val="en-US" w:eastAsia="zh-CN"/>
        </w:rPr>
        <w:t>8</w:t>
      </w:r>
      <w:r>
        <w:rPr>
          <w:rFonts w:hint="eastAsia"/>
          <w:color w:val="auto"/>
          <w:lang w:eastAsia="zh-CN"/>
        </w:rPr>
        <w:t>%</w:t>
      </w:r>
      <w:r>
        <w:rPr>
          <w:color w:val="auto"/>
        </w:rPr>
        <w:t>，故其都在建设方投资预算之内。环保治理投资主要是各治理工程的土建、环保设备购置和安装等各种费用。整个项目环保治理费用概算如下</w:t>
      </w:r>
      <w:r>
        <w:rPr>
          <w:rFonts w:hint="eastAsia"/>
          <w:color w:val="auto"/>
          <w:lang w:eastAsia="zh-CN"/>
        </w:rPr>
        <w:t>表8</w:t>
      </w:r>
      <w:r>
        <w:rPr>
          <w:rFonts w:hint="eastAsia"/>
          <w:color w:val="auto"/>
        </w:rPr>
        <w:t>.1-1</w:t>
      </w:r>
      <w:r>
        <w:rPr>
          <w:color w:val="auto"/>
        </w:rPr>
        <w:t>：</w:t>
      </w:r>
    </w:p>
    <w:p w14:paraId="2E41FB29">
      <w:pPr>
        <w:pStyle w:val="62"/>
        <w:rPr>
          <w:color w:val="auto"/>
        </w:rPr>
      </w:pPr>
      <w:r>
        <w:rPr>
          <w:rFonts w:hint="eastAsia"/>
          <w:color w:val="auto"/>
          <w:lang w:eastAsia="zh-CN"/>
        </w:rPr>
        <w:t>表8</w:t>
      </w:r>
      <w:r>
        <w:rPr>
          <w:rFonts w:hint="eastAsia"/>
          <w:color w:val="auto"/>
        </w:rPr>
        <w:t>.1</w:t>
      </w:r>
      <w:r>
        <w:rPr>
          <w:color w:val="auto"/>
        </w:rPr>
        <w:t>-</w:t>
      </w:r>
      <w:r>
        <w:rPr>
          <w:rFonts w:hint="eastAsia"/>
          <w:color w:val="auto"/>
        </w:rPr>
        <w:t>1</w:t>
      </w:r>
      <w:r>
        <w:rPr>
          <w:color w:val="auto"/>
        </w:rPr>
        <w:t xml:space="preserve">  环保措施投资估算表</w:t>
      </w:r>
    </w:p>
    <w:tbl>
      <w:tblPr>
        <w:tblStyle w:val="38"/>
        <w:tblW w:w="9288"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684"/>
        <w:gridCol w:w="1751"/>
        <w:gridCol w:w="3870"/>
        <w:gridCol w:w="1265"/>
      </w:tblGrid>
      <w:tr w14:paraId="285265F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18" w:type="dxa"/>
            <w:vAlign w:val="center"/>
          </w:tcPr>
          <w:p w14:paraId="17F7E3E8">
            <w:pPr>
              <w:pStyle w:val="59"/>
              <w:rPr>
                <w:color w:val="auto"/>
                <w:kern w:val="2"/>
                <w:szCs w:val="21"/>
              </w:rPr>
            </w:pPr>
            <w:bookmarkStart w:id="234" w:name="_Toc238197031"/>
            <w:bookmarkStart w:id="235" w:name="_Toc246655576"/>
            <w:bookmarkStart w:id="236" w:name="_Toc189317859"/>
            <w:r>
              <w:rPr>
                <w:color w:val="auto"/>
                <w:kern w:val="2"/>
                <w:szCs w:val="21"/>
              </w:rPr>
              <w:t>类别</w:t>
            </w:r>
          </w:p>
        </w:tc>
        <w:tc>
          <w:tcPr>
            <w:tcW w:w="1684" w:type="dxa"/>
            <w:vAlign w:val="center"/>
          </w:tcPr>
          <w:p w14:paraId="62E19284">
            <w:pPr>
              <w:pStyle w:val="59"/>
              <w:rPr>
                <w:color w:val="auto"/>
                <w:kern w:val="2"/>
                <w:szCs w:val="21"/>
              </w:rPr>
            </w:pPr>
            <w:r>
              <w:rPr>
                <w:rFonts w:hint="eastAsia"/>
                <w:color w:val="auto"/>
                <w:kern w:val="2"/>
                <w:szCs w:val="21"/>
              </w:rPr>
              <w:t>污染物种类</w:t>
            </w:r>
          </w:p>
        </w:tc>
        <w:tc>
          <w:tcPr>
            <w:tcW w:w="1751" w:type="dxa"/>
            <w:vAlign w:val="center"/>
          </w:tcPr>
          <w:p w14:paraId="0D5DDE4B">
            <w:pPr>
              <w:pStyle w:val="59"/>
              <w:rPr>
                <w:rFonts w:hint="default" w:eastAsia="宋体"/>
                <w:color w:val="auto"/>
                <w:kern w:val="2"/>
                <w:szCs w:val="21"/>
                <w:lang w:val="en-US" w:eastAsia="zh-CN"/>
              </w:rPr>
            </w:pPr>
            <w:r>
              <w:rPr>
                <w:rFonts w:hint="eastAsia"/>
                <w:color w:val="auto"/>
                <w:kern w:val="2"/>
                <w:szCs w:val="21"/>
              </w:rPr>
              <w:t>产污位置</w:t>
            </w:r>
            <w:r>
              <w:rPr>
                <w:rFonts w:hint="eastAsia"/>
                <w:color w:val="auto"/>
                <w:kern w:val="2"/>
                <w:szCs w:val="21"/>
                <w:lang w:val="en-US" w:eastAsia="zh-CN"/>
              </w:rPr>
              <w:t>/设备</w:t>
            </w:r>
          </w:p>
        </w:tc>
        <w:tc>
          <w:tcPr>
            <w:tcW w:w="3870" w:type="dxa"/>
            <w:vAlign w:val="center"/>
          </w:tcPr>
          <w:p w14:paraId="750011D0">
            <w:pPr>
              <w:pStyle w:val="59"/>
              <w:rPr>
                <w:color w:val="auto"/>
                <w:kern w:val="2"/>
                <w:szCs w:val="21"/>
              </w:rPr>
            </w:pPr>
            <w:r>
              <w:rPr>
                <w:color w:val="auto"/>
                <w:kern w:val="2"/>
                <w:szCs w:val="21"/>
              </w:rPr>
              <w:t>防治措施</w:t>
            </w:r>
          </w:p>
        </w:tc>
        <w:tc>
          <w:tcPr>
            <w:tcW w:w="1265" w:type="dxa"/>
            <w:vAlign w:val="center"/>
          </w:tcPr>
          <w:p w14:paraId="6EE637A7">
            <w:pPr>
              <w:pStyle w:val="59"/>
              <w:rPr>
                <w:color w:val="auto"/>
                <w:kern w:val="2"/>
                <w:szCs w:val="21"/>
              </w:rPr>
            </w:pPr>
            <w:r>
              <w:rPr>
                <w:color w:val="auto"/>
                <w:kern w:val="2"/>
                <w:szCs w:val="21"/>
              </w:rPr>
              <w:t>费用</w:t>
            </w:r>
          </w:p>
          <w:p w14:paraId="44258BF8">
            <w:pPr>
              <w:pStyle w:val="59"/>
              <w:rPr>
                <w:color w:val="auto"/>
                <w:kern w:val="2"/>
                <w:szCs w:val="21"/>
              </w:rPr>
            </w:pPr>
            <w:r>
              <w:rPr>
                <w:color w:val="auto"/>
                <w:kern w:val="2"/>
                <w:szCs w:val="21"/>
              </w:rPr>
              <w:t>（万元）</w:t>
            </w:r>
          </w:p>
        </w:tc>
      </w:tr>
      <w:tr w14:paraId="106E9A3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Align w:val="center"/>
          </w:tcPr>
          <w:p w14:paraId="6412EFF0">
            <w:pPr>
              <w:pStyle w:val="59"/>
              <w:rPr>
                <w:color w:val="auto"/>
                <w:kern w:val="2"/>
                <w:szCs w:val="21"/>
              </w:rPr>
            </w:pPr>
            <w:bookmarkStart w:id="237" w:name="OLE_LINK32" w:colFirst="3" w:colLast="3"/>
            <w:bookmarkStart w:id="238" w:name="OLE_LINK31" w:colFirst="3" w:colLast="3"/>
            <w:bookmarkStart w:id="239" w:name="_Hlk329633642"/>
            <w:r>
              <w:rPr>
                <w:rFonts w:hint="eastAsia"/>
                <w:color w:val="auto"/>
                <w:kern w:val="2"/>
                <w:szCs w:val="21"/>
              </w:rPr>
              <w:t>废水</w:t>
            </w:r>
          </w:p>
        </w:tc>
        <w:tc>
          <w:tcPr>
            <w:tcW w:w="1684" w:type="dxa"/>
            <w:vAlign w:val="center"/>
          </w:tcPr>
          <w:p w14:paraId="1AD1FF8E">
            <w:pPr>
              <w:pStyle w:val="59"/>
              <w:rPr>
                <w:color w:val="auto"/>
                <w:kern w:val="2"/>
                <w:szCs w:val="21"/>
              </w:rPr>
            </w:pPr>
            <w:r>
              <w:rPr>
                <w:rFonts w:hint="eastAsia"/>
                <w:color w:val="auto"/>
              </w:rPr>
              <w:t>生活污水</w:t>
            </w:r>
          </w:p>
        </w:tc>
        <w:tc>
          <w:tcPr>
            <w:tcW w:w="1751" w:type="dxa"/>
            <w:vAlign w:val="center"/>
          </w:tcPr>
          <w:p w14:paraId="1D3F201D">
            <w:pPr>
              <w:pStyle w:val="59"/>
              <w:rPr>
                <w:color w:val="auto"/>
                <w:kern w:val="2"/>
                <w:szCs w:val="21"/>
              </w:rPr>
            </w:pPr>
            <w:r>
              <w:rPr>
                <w:rFonts w:hint="eastAsia"/>
                <w:color w:val="auto"/>
                <w:kern w:val="2"/>
                <w:szCs w:val="21"/>
              </w:rPr>
              <w:t>厕所、车间</w:t>
            </w:r>
          </w:p>
        </w:tc>
        <w:tc>
          <w:tcPr>
            <w:tcW w:w="3870" w:type="dxa"/>
            <w:vAlign w:val="center"/>
          </w:tcPr>
          <w:p w14:paraId="13AE276B">
            <w:pPr>
              <w:pStyle w:val="59"/>
              <w:rPr>
                <w:color w:val="auto"/>
                <w:kern w:val="2"/>
                <w:szCs w:val="21"/>
              </w:rPr>
            </w:pPr>
            <w:r>
              <w:rPr>
                <w:rFonts w:hint="eastAsia"/>
                <w:color w:val="auto"/>
              </w:rPr>
              <w:t>依托</w:t>
            </w:r>
            <w:r>
              <w:rPr>
                <w:rFonts w:hint="eastAsia"/>
                <w:color w:val="auto"/>
                <w:lang w:val="en-US" w:eastAsia="zh-CN"/>
              </w:rPr>
              <w:t>东达公司</w:t>
            </w:r>
            <w:r>
              <w:rPr>
                <w:rFonts w:hint="eastAsia"/>
                <w:color w:val="auto"/>
              </w:rPr>
              <w:t>厂区三级化粪池</w:t>
            </w:r>
          </w:p>
        </w:tc>
        <w:tc>
          <w:tcPr>
            <w:tcW w:w="1265" w:type="dxa"/>
            <w:vAlign w:val="center"/>
          </w:tcPr>
          <w:p w14:paraId="30EF8E50">
            <w:pPr>
              <w:pStyle w:val="59"/>
              <w:rPr>
                <w:color w:val="auto"/>
                <w:kern w:val="2"/>
                <w:szCs w:val="21"/>
              </w:rPr>
            </w:pPr>
            <w:r>
              <w:rPr>
                <w:rFonts w:hint="eastAsia"/>
                <w:color w:val="auto"/>
                <w:kern w:val="2"/>
                <w:szCs w:val="21"/>
              </w:rPr>
              <w:t>/</w:t>
            </w:r>
          </w:p>
        </w:tc>
      </w:tr>
      <w:tr w14:paraId="6267373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restart"/>
            <w:vAlign w:val="center"/>
          </w:tcPr>
          <w:p w14:paraId="79DFDA4E">
            <w:pPr>
              <w:pStyle w:val="59"/>
              <w:rPr>
                <w:color w:val="auto"/>
                <w:kern w:val="2"/>
                <w:szCs w:val="21"/>
              </w:rPr>
            </w:pPr>
            <w:r>
              <w:rPr>
                <w:color w:val="auto"/>
                <w:kern w:val="2"/>
                <w:szCs w:val="21"/>
              </w:rPr>
              <w:t>废气</w:t>
            </w:r>
          </w:p>
        </w:tc>
        <w:tc>
          <w:tcPr>
            <w:tcW w:w="1684" w:type="dxa"/>
            <w:shd w:val="clear" w:color="auto" w:fill="auto"/>
            <w:vAlign w:val="center"/>
          </w:tcPr>
          <w:p w14:paraId="1F252740">
            <w:pPr>
              <w:pStyle w:val="59"/>
              <w:ind w:firstLine="0" w:firstLineChars="0"/>
              <w:rPr>
                <w:rFonts w:ascii="Times New Roman" w:hAnsi="Times New Roman" w:eastAsia="宋体" w:cs="Times New Roman"/>
                <w:color w:val="auto"/>
                <w:kern w:val="0"/>
                <w:sz w:val="21"/>
                <w:szCs w:val="20"/>
                <w:lang w:val="en-US" w:eastAsia="zh-CN" w:bidi="ar-SA"/>
              </w:rPr>
            </w:pPr>
            <w:r>
              <w:rPr>
                <w:color w:val="auto"/>
              </w:rPr>
              <w:t>调墨、印刷</w:t>
            </w:r>
            <w:r>
              <w:rPr>
                <w:rFonts w:hint="eastAsia"/>
                <w:color w:val="auto"/>
                <w:lang w:eastAsia="zh-CN"/>
              </w:rPr>
              <w:t>、</w:t>
            </w:r>
            <w:r>
              <w:rPr>
                <w:rFonts w:hint="eastAsia"/>
                <w:color w:val="auto"/>
                <w:lang w:val="en-US" w:eastAsia="zh-CN"/>
              </w:rPr>
              <w:t>烘干</w:t>
            </w:r>
            <w:r>
              <w:rPr>
                <w:color w:val="auto"/>
              </w:rPr>
              <w:t>、</w:t>
            </w:r>
            <w:r>
              <w:rPr>
                <w:rFonts w:hint="eastAsia"/>
                <w:color w:val="auto"/>
                <w:lang w:val="en-US" w:eastAsia="zh-CN"/>
              </w:rPr>
              <w:t>洗机、危废贮存</w:t>
            </w:r>
            <w:r>
              <w:rPr>
                <w:color w:val="auto"/>
              </w:rPr>
              <w:t>废气</w:t>
            </w:r>
          </w:p>
        </w:tc>
        <w:tc>
          <w:tcPr>
            <w:tcW w:w="1751" w:type="dxa"/>
            <w:shd w:val="clear" w:color="auto" w:fill="auto"/>
            <w:vAlign w:val="center"/>
          </w:tcPr>
          <w:p w14:paraId="150C4993">
            <w:pPr>
              <w:pStyle w:val="59"/>
              <w:ind w:firstLine="0" w:firstLineChars="0"/>
              <w:rPr>
                <w:rFonts w:hint="eastAsia" w:ascii="Times New Roman" w:hAnsi="Times New Roman" w:eastAsia="宋体" w:cs="Times New Roman"/>
                <w:color w:val="auto"/>
                <w:kern w:val="2"/>
                <w:sz w:val="21"/>
                <w:szCs w:val="21"/>
                <w:lang w:val="en-US" w:eastAsia="zh-CN" w:bidi="ar-SA"/>
              </w:rPr>
            </w:pPr>
            <w:r>
              <w:rPr>
                <w:color w:val="auto"/>
              </w:rPr>
              <w:t>调墨、印刷</w:t>
            </w:r>
            <w:r>
              <w:rPr>
                <w:rFonts w:hint="eastAsia"/>
                <w:color w:val="auto"/>
                <w:lang w:val="en-US" w:eastAsia="zh-CN"/>
              </w:rPr>
              <w:t>烘干</w:t>
            </w:r>
            <w:r>
              <w:rPr>
                <w:color w:val="auto"/>
              </w:rPr>
              <w:t>、复合</w:t>
            </w:r>
            <w:r>
              <w:rPr>
                <w:rFonts w:hint="eastAsia"/>
                <w:color w:val="auto"/>
                <w:lang w:eastAsia="zh-CN"/>
              </w:rPr>
              <w:t>、</w:t>
            </w:r>
            <w:r>
              <w:rPr>
                <w:rFonts w:hint="eastAsia"/>
                <w:color w:val="auto"/>
                <w:lang w:val="en-US" w:eastAsia="zh-CN"/>
              </w:rPr>
              <w:t>洗机、危废贮存</w:t>
            </w:r>
          </w:p>
        </w:tc>
        <w:tc>
          <w:tcPr>
            <w:tcW w:w="3870" w:type="dxa"/>
            <w:shd w:val="clear" w:color="auto" w:fill="auto"/>
            <w:vAlign w:val="center"/>
          </w:tcPr>
          <w:p w14:paraId="3E8AD9C0">
            <w:pPr>
              <w:pStyle w:val="69"/>
              <w:ind w:firstLine="0" w:firstLineChars="0"/>
              <w:rPr>
                <w:rFonts w:ascii="Times New Roman" w:hAnsi="Times New Roman" w:eastAsia="宋体" w:cs="Times New Roman"/>
                <w:color w:val="auto"/>
                <w:kern w:val="2"/>
                <w:sz w:val="21"/>
                <w:szCs w:val="21"/>
                <w:lang w:val="en-US" w:eastAsia="zh-CN" w:bidi="ar-SA"/>
              </w:rPr>
            </w:pPr>
            <w:r>
              <w:rPr>
                <w:rFonts w:hint="eastAsia"/>
                <w:color w:val="auto"/>
                <w:lang w:val="en-US" w:eastAsia="zh-CN"/>
              </w:rPr>
              <w:t>烘干废气经密闭收集后经减风增浓后引入RTO 废气治理设施进行处理，调墨、印刷、洗机、危废贮存废气先经“干式过滤+旋转式分子筛吸附-脱附”处理后再引入RTO 废气治理设施进行处理，处理后与</w:t>
            </w:r>
            <w:r>
              <w:rPr>
                <w:color w:val="auto"/>
              </w:rPr>
              <w:t xml:space="preserve"> RTO 燃料废气一起排放，</w:t>
            </w:r>
            <w:r>
              <w:rPr>
                <w:rFonts w:hint="eastAsia"/>
                <w:color w:val="auto"/>
                <w:lang w:eastAsia="zh-CN"/>
              </w:rPr>
              <w:t>排气筒高度 25m</w:t>
            </w:r>
            <w:r>
              <w:rPr>
                <w:color w:val="auto"/>
              </w:rPr>
              <w:t>，排放口编号为DA001</w:t>
            </w:r>
          </w:p>
        </w:tc>
        <w:tc>
          <w:tcPr>
            <w:tcW w:w="1265" w:type="dxa"/>
            <w:vAlign w:val="center"/>
          </w:tcPr>
          <w:p w14:paraId="12FADC54">
            <w:pPr>
              <w:pStyle w:val="69"/>
              <w:rPr>
                <w:rFonts w:hint="default" w:eastAsia="宋体"/>
                <w:color w:val="auto"/>
                <w:lang w:val="en-US" w:eastAsia="zh-CN"/>
              </w:rPr>
            </w:pPr>
            <w:r>
              <w:rPr>
                <w:rFonts w:hint="eastAsia"/>
                <w:color w:val="auto"/>
                <w:lang w:val="en-US" w:eastAsia="zh-CN"/>
              </w:rPr>
              <w:t>180</w:t>
            </w:r>
          </w:p>
        </w:tc>
      </w:tr>
      <w:tr w14:paraId="0B6C4E0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5C8E6056">
            <w:pPr>
              <w:pStyle w:val="59"/>
              <w:rPr>
                <w:color w:val="auto"/>
                <w:kern w:val="2"/>
                <w:szCs w:val="21"/>
              </w:rPr>
            </w:pPr>
          </w:p>
        </w:tc>
        <w:tc>
          <w:tcPr>
            <w:tcW w:w="1684" w:type="dxa"/>
            <w:shd w:val="clear" w:color="auto" w:fill="FFFFFF"/>
            <w:vAlign w:val="center"/>
          </w:tcPr>
          <w:p w14:paraId="56A20092">
            <w:pPr>
              <w:pStyle w:val="69"/>
              <w:bidi w:val="0"/>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合掌、定型废气</w:t>
            </w:r>
          </w:p>
        </w:tc>
        <w:tc>
          <w:tcPr>
            <w:tcW w:w="1751" w:type="dxa"/>
            <w:shd w:val="clear" w:color="auto" w:fill="FFFFFF"/>
            <w:vAlign w:val="center"/>
          </w:tcPr>
          <w:p w14:paraId="25F4A61C">
            <w:pPr>
              <w:pStyle w:val="69"/>
              <w:bidi w:val="0"/>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合掌、定型</w:t>
            </w:r>
          </w:p>
        </w:tc>
        <w:tc>
          <w:tcPr>
            <w:tcW w:w="3870" w:type="dxa"/>
            <w:shd w:val="clear" w:color="auto" w:fill="FFFFFF"/>
            <w:vAlign w:val="center"/>
          </w:tcPr>
          <w:p w14:paraId="0340EF60">
            <w:pPr>
              <w:pStyle w:val="59"/>
              <w:bidi w:val="0"/>
              <w:ind w:firstLine="0" w:firstLineChars="0"/>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活性炭吸附后经25m排气筒排放，</w:t>
            </w:r>
            <w:r>
              <w:rPr>
                <w:color w:val="auto"/>
              </w:rPr>
              <w:t>排放口编号为DA00</w:t>
            </w:r>
            <w:r>
              <w:rPr>
                <w:rFonts w:hint="eastAsia"/>
                <w:color w:val="auto"/>
                <w:lang w:val="en-US" w:eastAsia="zh-CN"/>
              </w:rPr>
              <w:t>2</w:t>
            </w:r>
          </w:p>
        </w:tc>
        <w:tc>
          <w:tcPr>
            <w:tcW w:w="1265" w:type="dxa"/>
            <w:vAlign w:val="center"/>
          </w:tcPr>
          <w:p w14:paraId="7C0C97E6">
            <w:pPr>
              <w:pStyle w:val="69"/>
              <w:rPr>
                <w:rFonts w:hint="default" w:eastAsia="宋体"/>
                <w:color w:val="auto"/>
                <w:lang w:val="en-US" w:eastAsia="zh-CN"/>
              </w:rPr>
            </w:pPr>
            <w:r>
              <w:rPr>
                <w:rFonts w:hint="eastAsia"/>
                <w:color w:val="auto"/>
                <w:lang w:val="en-US" w:eastAsia="zh-CN"/>
              </w:rPr>
              <w:t>10</w:t>
            </w:r>
          </w:p>
        </w:tc>
      </w:tr>
      <w:bookmarkEnd w:id="237"/>
      <w:bookmarkEnd w:id="238"/>
      <w:bookmarkEnd w:id="239"/>
      <w:tr w14:paraId="077A086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Align w:val="center"/>
          </w:tcPr>
          <w:p w14:paraId="15DAD0F6">
            <w:pPr>
              <w:pStyle w:val="59"/>
              <w:rPr>
                <w:color w:val="auto"/>
                <w:kern w:val="2"/>
                <w:szCs w:val="21"/>
              </w:rPr>
            </w:pPr>
            <w:r>
              <w:rPr>
                <w:color w:val="auto"/>
                <w:kern w:val="2"/>
                <w:szCs w:val="21"/>
              </w:rPr>
              <w:t>噪声</w:t>
            </w:r>
          </w:p>
        </w:tc>
        <w:tc>
          <w:tcPr>
            <w:tcW w:w="1684" w:type="dxa"/>
            <w:vAlign w:val="center"/>
          </w:tcPr>
          <w:p w14:paraId="2E4F04C6">
            <w:pPr>
              <w:pStyle w:val="59"/>
              <w:rPr>
                <w:color w:val="auto"/>
                <w:kern w:val="2"/>
                <w:szCs w:val="21"/>
              </w:rPr>
            </w:pPr>
            <w:r>
              <w:rPr>
                <w:color w:val="auto"/>
                <w:kern w:val="2"/>
                <w:szCs w:val="21"/>
              </w:rPr>
              <w:t>设备噪声</w:t>
            </w:r>
          </w:p>
        </w:tc>
        <w:tc>
          <w:tcPr>
            <w:tcW w:w="1751" w:type="dxa"/>
            <w:vAlign w:val="center"/>
          </w:tcPr>
          <w:p w14:paraId="0D14D4BE">
            <w:pPr>
              <w:pStyle w:val="59"/>
              <w:rPr>
                <w:color w:val="auto"/>
                <w:kern w:val="2"/>
                <w:szCs w:val="21"/>
              </w:rPr>
            </w:pPr>
            <w:r>
              <w:rPr>
                <w:rFonts w:hint="eastAsia"/>
                <w:color w:val="auto"/>
                <w:kern w:val="2"/>
                <w:szCs w:val="21"/>
              </w:rPr>
              <w:t>厂房</w:t>
            </w:r>
          </w:p>
        </w:tc>
        <w:tc>
          <w:tcPr>
            <w:tcW w:w="3870" w:type="dxa"/>
            <w:vAlign w:val="center"/>
          </w:tcPr>
          <w:p w14:paraId="7921D006">
            <w:pPr>
              <w:pStyle w:val="59"/>
              <w:rPr>
                <w:color w:val="auto"/>
                <w:kern w:val="2"/>
                <w:szCs w:val="21"/>
              </w:rPr>
            </w:pPr>
            <w:r>
              <w:rPr>
                <w:color w:val="auto"/>
                <w:kern w:val="2"/>
                <w:szCs w:val="21"/>
              </w:rPr>
              <w:t>隔声、减震处理</w:t>
            </w:r>
          </w:p>
        </w:tc>
        <w:tc>
          <w:tcPr>
            <w:tcW w:w="1265" w:type="dxa"/>
            <w:vAlign w:val="center"/>
          </w:tcPr>
          <w:p w14:paraId="3D1FD035">
            <w:pPr>
              <w:pStyle w:val="69"/>
              <w:rPr>
                <w:color w:val="auto"/>
              </w:rPr>
            </w:pPr>
            <w:r>
              <w:rPr>
                <w:rFonts w:hint="eastAsia"/>
                <w:color w:val="auto"/>
                <w:lang w:val="en-US" w:eastAsia="zh-CN"/>
              </w:rPr>
              <w:t>5</w:t>
            </w:r>
          </w:p>
        </w:tc>
      </w:tr>
      <w:tr w14:paraId="34A7CD5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restart"/>
            <w:vAlign w:val="center"/>
          </w:tcPr>
          <w:p w14:paraId="2E224510">
            <w:pPr>
              <w:pStyle w:val="59"/>
              <w:rPr>
                <w:color w:val="auto"/>
                <w:kern w:val="2"/>
                <w:szCs w:val="21"/>
              </w:rPr>
            </w:pPr>
            <w:r>
              <w:rPr>
                <w:color w:val="auto"/>
                <w:kern w:val="2"/>
                <w:szCs w:val="21"/>
              </w:rPr>
              <w:t>固废</w:t>
            </w:r>
          </w:p>
        </w:tc>
        <w:tc>
          <w:tcPr>
            <w:tcW w:w="1684" w:type="dxa"/>
            <w:vAlign w:val="center"/>
          </w:tcPr>
          <w:p w14:paraId="1B808962">
            <w:pPr>
              <w:pStyle w:val="59"/>
              <w:rPr>
                <w:color w:val="auto"/>
                <w:kern w:val="2"/>
                <w:szCs w:val="21"/>
              </w:rPr>
            </w:pPr>
            <w:r>
              <w:rPr>
                <w:rFonts w:hint="eastAsia"/>
                <w:color w:val="auto"/>
                <w:kern w:val="2"/>
                <w:szCs w:val="21"/>
              </w:rPr>
              <w:t>一般固废</w:t>
            </w:r>
          </w:p>
        </w:tc>
        <w:tc>
          <w:tcPr>
            <w:tcW w:w="1751" w:type="dxa"/>
            <w:vAlign w:val="center"/>
          </w:tcPr>
          <w:p w14:paraId="427B39C8">
            <w:pPr>
              <w:pStyle w:val="59"/>
              <w:rPr>
                <w:color w:val="auto"/>
                <w:kern w:val="2"/>
                <w:szCs w:val="21"/>
              </w:rPr>
            </w:pPr>
            <w:r>
              <w:rPr>
                <w:rFonts w:hint="eastAsia"/>
                <w:color w:val="auto"/>
                <w:kern w:val="2"/>
                <w:szCs w:val="21"/>
              </w:rPr>
              <w:t>生产</w:t>
            </w:r>
          </w:p>
        </w:tc>
        <w:tc>
          <w:tcPr>
            <w:tcW w:w="3870" w:type="dxa"/>
            <w:vAlign w:val="center"/>
          </w:tcPr>
          <w:p w14:paraId="6655796D">
            <w:pPr>
              <w:pStyle w:val="59"/>
              <w:rPr>
                <w:color w:val="auto"/>
                <w:kern w:val="2"/>
                <w:szCs w:val="21"/>
              </w:rPr>
            </w:pPr>
            <w:r>
              <w:rPr>
                <w:rFonts w:hint="eastAsia"/>
                <w:color w:val="auto"/>
                <w:kern w:val="2"/>
                <w:szCs w:val="21"/>
              </w:rPr>
              <w:t>一般固废仓</w:t>
            </w:r>
          </w:p>
        </w:tc>
        <w:tc>
          <w:tcPr>
            <w:tcW w:w="1265" w:type="dxa"/>
            <w:vAlign w:val="center"/>
          </w:tcPr>
          <w:p w14:paraId="4ACEF0D3">
            <w:pPr>
              <w:pStyle w:val="69"/>
              <w:rPr>
                <w:color w:val="auto"/>
              </w:rPr>
            </w:pPr>
            <w:r>
              <w:rPr>
                <w:rFonts w:hint="eastAsia"/>
                <w:color w:val="auto"/>
                <w:lang w:val="en-US" w:eastAsia="zh-CN"/>
              </w:rPr>
              <w:t>1</w:t>
            </w:r>
          </w:p>
        </w:tc>
      </w:tr>
      <w:tr w14:paraId="50EC87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7DAD232A">
            <w:pPr>
              <w:pStyle w:val="59"/>
              <w:rPr>
                <w:color w:val="auto"/>
                <w:kern w:val="2"/>
                <w:szCs w:val="21"/>
              </w:rPr>
            </w:pPr>
          </w:p>
        </w:tc>
        <w:tc>
          <w:tcPr>
            <w:tcW w:w="1684" w:type="dxa"/>
            <w:vAlign w:val="center"/>
          </w:tcPr>
          <w:p w14:paraId="6853FA0A">
            <w:pPr>
              <w:pStyle w:val="59"/>
              <w:rPr>
                <w:color w:val="auto"/>
                <w:kern w:val="2"/>
                <w:szCs w:val="21"/>
              </w:rPr>
            </w:pPr>
            <w:r>
              <w:rPr>
                <w:rFonts w:hint="eastAsia"/>
                <w:color w:val="auto"/>
                <w:kern w:val="2"/>
                <w:szCs w:val="21"/>
              </w:rPr>
              <w:t>生活垃圾</w:t>
            </w:r>
          </w:p>
        </w:tc>
        <w:tc>
          <w:tcPr>
            <w:tcW w:w="1751" w:type="dxa"/>
            <w:vAlign w:val="center"/>
          </w:tcPr>
          <w:p w14:paraId="6A32E8C0">
            <w:pPr>
              <w:pStyle w:val="59"/>
              <w:rPr>
                <w:color w:val="auto"/>
                <w:kern w:val="2"/>
                <w:szCs w:val="21"/>
              </w:rPr>
            </w:pPr>
            <w:r>
              <w:rPr>
                <w:rFonts w:hint="eastAsia"/>
                <w:color w:val="auto"/>
                <w:kern w:val="2"/>
                <w:szCs w:val="21"/>
              </w:rPr>
              <w:t>员工</w:t>
            </w:r>
          </w:p>
        </w:tc>
        <w:tc>
          <w:tcPr>
            <w:tcW w:w="3870" w:type="dxa"/>
            <w:vAlign w:val="center"/>
          </w:tcPr>
          <w:p w14:paraId="3BAFC5CE">
            <w:pPr>
              <w:pStyle w:val="59"/>
              <w:rPr>
                <w:color w:val="auto"/>
                <w:kern w:val="2"/>
                <w:szCs w:val="21"/>
              </w:rPr>
            </w:pPr>
            <w:r>
              <w:rPr>
                <w:rFonts w:hint="eastAsia"/>
                <w:color w:val="auto"/>
                <w:kern w:val="2"/>
                <w:szCs w:val="21"/>
              </w:rPr>
              <w:t>垃圾桶</w:t>
            </w:r>
          </w:p>
        </w:tc>
        <w:tc>
          <w:tcPr>
            <w:tcW w:w="1265" w:type="dxa"/>
            <w:vAlign w:val="center"/>
          </w:tcPr>
          <w:p w14:paraId="41C498A4">
            <w:pPr>
              <w:pStyle w:val="69"/>
              <w:rPr>
                <w:color w:val="auto"/>
              </w:rPr>
            </w:pPr>
            <w:r>
              <w:rPr>
                <w:rFonts w:hint="eastAsia"/>
                <w:color w:val="auto"/>
                <w:lang w:val="en-US" w:eastAsia="zh-CN"/>
              </w:rPr>
              <w:t>1</w:t>
            </w:r>
          </w:p>
        </w:tc>
      </w:tr>
      <w:tr w14:paraId="20A376D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vMerge w:val="continue"/>
            <w:vAlign w:val="center"/>
          </w:tcPr>
          <w:p w14:paraId="4C3362B9">
            <w:pPr>
              <w:pStyle w:val="59"/>
              <w:rPr>
                <w:color w:val="auto"/>
                <w:kern w:val="2"/>
                <w:szCs w:val="21"/>
              </w:rPr>
            </w:pPr>
          </w:p>
        </w:tc>
        <w:tc>
          <w:tcPr>
            <w:tcW w:w="1684" w:type="dxa"/>
            <w:vAlign w:val="center"/>
          </w:tcPr>
          <w:p w14:paraId="024F74B0">
            <w:pPr>
              <w:pStyle w:val="59"/>
              <w:rPr>
                <w:color w:val="auto"/>
                <w:kern w:val="2"/>
                <w:szCs w:val="21"/>
              </w:rPr>
            </w:pPr>
            <w:r>
              <w:rPr>
                <w:rFonts w:hint="eastAsia"/>
                <w:color w:val="auto"/>
                <w:kern w:val="2"/>
                <w:szCs w:val="21"/>
              </w:rPr>
              <w:t>危险废物</w:t>
            </w:r>
          </w:p>
        </w:tc>
        <w:tc>
          <w:tcPr>
            <w:tcW w:w="1751" w:type="dxa"/>
            <w:vAlign w:val="center"/>
          </w:tcPr>
          <w:p w14:paraId="5983DA76">
            <w:pPr>
              <w:pStyle w:val="59"/>
              <w:rPr>
                <w:color w:val="auto"/>
                <w:kern w:val="2"/>
                <w:szCs w:val="21"/>
              </w:rPr>
            </w:pPr>
            <w:r>
              <w:rPr>
                <w:rFonts w:hint="eastAsia"/>
                <w:color w:val="auto"/>
              </w:rPr>
              <w:t>生产、废气治理</w:t>
            </w:r>
          </w:p>
        </w:tc>
        <w:tc>
          <w:tcPr>
            <w:tcW w:w="3870" w:type="dxa"/>
            <w:vAlign w:val="center"/>
          </w:tcPr>
          <w:p w14:paraId="504ADABC">
            <w:pPr>
              <w:pStyle w:val="59"/>
              <w:rPr>
                <w:color w:val="auto"/>
                <w:kern w:val="2"/>
                <w:szCs w:val="21"/>
              </w:rPr>
            </w:pPr>
            <w:r>
              <w:rPr>
                <w:rFonts w:hint="eastAsia"/>
                <w:color w:val="auto"/>
                <w:kern w:val="2"/>
                <w:szCs w:val="21"/>
              </w:rPr>
              <w:t>危险废物暂存仓</w:t>
            </w:r>
          </w:p>
        </w:tc>
        <w:tc>
          <w:tcPr>
            <w:tcW w:w="1265" w:type="dxa"/>
            <w:vAlign w:val="center"/>
          </w:tcPr>
          <w:p w14:paraId="1AADA430">
            <w:pPr>
              <w:pStyle w:val="69"/>
              <w:rPr>
                <w:rFonts w:hint="default" w:eastAsia="宋体"/>
                <w:color w:val="auto"/>
                <w:lang w:val="en-US" w:eastAsia="zh-CN"/>
              </w:rPr>
            </w:pPr>
            <w:r>
              <w:rPr>
                <w:rFonts w:hint="eastAsia"/>
                <w:color w:val="auto"/>
                <w:lang w:val="en-US" w:eastAsia="zh-CN"/>
              </w:rPr>
              <w:t>3</w:t>
            </w:r>
          </w:p>
        </w:tc>
      </w:tr>
      <w:tr w14:paraId="34FF476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3" w:type="dxa"/>
            <w:gridSpan w:val="3"/>
            <w:vAlign w:val="center"/>
          </w:tcPr>
          <w:p w14:paraId="77DAAAD5">
            <w:pPr>
              <w:pStyle w:val="59"/>
              <w:rPr>
                <w:color w:val="auto"/>
                <w:kern w:val="2"/>
                <w:szCs w:val="21"/>
              </w:rPr>
            </w:pPr>
            <w:r>
              <w:rPr>
                <w:color w:val="auto"/>
                <w:kern w:val="2"/>
                <w:szCs w:val="21"/>
              </w:rPr>
              <w:t>合计</w:t>
            </w:r>
          </w:p>
        </w:tc>
        <w:tc>
          <w:tcPr>
            <w:tcW w:w="3870" w:type="dxa"/>
            <w:vAlign w:val="center"/>
          </w:tcPr>
          <w:p w14:paraId="0FCD6F2B">
            <w:pPr>
              <w:pStyle w:val="59"/>
              <w:rPr>
                <w:color w:val="auto"/>
                <w:kern w:val="2"/>
                <w:szCs w:val="21"/>
              </w:rPr>
            </w:pPr>
            <w:r>
              <w:rPr>
                <w:color w:val="auto"/>
                <w:kern w:val="2"/>
                <w:szCs w:val="21"/>
              </w:rPr>
              <w:t>－</w:t>
            </w:r>
          </w:p>
        </w:tc>
        <w:tc>
          <w:tcPr>
            <w:tcW w:w="1265" w:type="dxa"/>
            <w:vAlign w:val="center"/>
          </w:tcPr>
          <w:p w14:paraId="4DDA1C93">
            <w:pPr>
              <w:pStyle w:val="69"/>
              <w:rPr>
                <w:rFonts w:hint="default"/>
                <w:color w:val="auto"/>
                <w:lang w:val="en-US"/>
              </w:rPr>
            </w:pPr>
            <w:r>
              <w:rPr>
                <w:rFonts w:hint="eastAsia"/>
                <w:color w:val="auto"/>
                <w:lang w:val="en-US" w:eastAsia="zh-CN"/>
              </w:rPr>
              <w:t>200</w:t>
            </w:r>
          </w:p>
        </w:tc>
      </w:tr>
      <w:tr w14:paraId="1115CF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53" w:type="dxa"/>
            <w:gridSpan w:val="3"/>
            <w:vAlign w:val="center"/>
          </w:tcPr>
          <w:p w14:paraId="3F674373">
            <w:pPr>
              <w:pStyle w:val="59"/>
              <w:rPr>
                <w:color w:val="auto"/>
                <w:kern w:val="2"/>
                <w:szCs w:val="21"/>
              </w:rPr>
            </w:pPr>
            <w:r>
              <w:rPr>
                <w:color w:val="auto"/>
                <w:kern w:val="2"/>
                <w:szCs w:val="21"/>
              </w:rPr>
              <w:t>占投资比重</w:t>
            </w:r>
          </w:p>
        </w:tc>
        <w:tc>
          <w:tcPr>
            <w:tcW w:w="3870" w:type="dxa"/>
            <w:vAlign w:val="center"/>
          </w:tcPr>
          <w:p w14:paraId="75AF8076">
            <w:pPr>
              <w:pStyle w:val="59"/>
              <w:rPr>
                <w:color w:val="auto"/>
                <w:kern w:val="2"/>
                <w:szCs w:val="21"/>
              </w:rPr>
            </w:pPr>
            <w:r>
              <w:rPr>
                <w:color w:val="auto"/>
                <w:kern w:val="2"/>
                <w:szCs w:val="21"/>
              </w:rPr>
              <w:t>－</w:t>
            </w:r>
          </w:p>
        </w:tc>
        <w:tc>
          <w:tcPr>
            <w:tcW w:w="1265" w:type="dxa"/>
            <w:vAlign w:val="center"/>
          </w:tcPr>
          <w:p w14:paraId="3B74393D">
            <w:pPr>
              <w:pStyle w:val="69"/>
              <w:rPr>
                <w:rFonts w:hint="eastAsia" w:eastAsia="宋体"/>
                <w:color w:val="auto"/>
                <w:lang w:eastAsia="zh-CN"/>
              </w:rPr>
            </w:pPr>
            <w:r>
              <w:rPr>
                <w:rFonts w:hint="eastAsia"/>
                <w:color w:val="auto"/>
                <w:lang w:val="en-US" w:eastAsia="zh-CN"/>
              </w:rPr>
              <w:t>8</w:t>
            </w:r>
            <w:r>
              <w:rPr>
                <w:rFonts w:hint="eastAsia"/>
                <w:color w:val="auto"/>
                <w:lang w:eastAsia="zh-CN"/>
              </w:rPr>
              <w:t>%</w:t>
            </w:r>
          </w:p>
        </w:tc>
      </w:tr>
    </w:tbl>
    <w:p w14:paraId="0F204F63">
      <w:pPr>
        <w:pStyle w:val="67"/>
        <w:numPr>
          <w:ilvl w:val="1"/>
          <w:numId w:val="8"/>
        </w:numPr>
        <w:spacing w:before="156" w:after="156"/>
        <w:ind w:left="567" w:leftChars="0" w:hanging="567" w:firstLineChars="0"/>
        <w:rPr>
          <w:color w:val="auto"/>
        </w:rPr>
      </w:pPr>
      <w:bookmarkStart w:id="240" w:name="_Toc13137"/>
      <w:r>
        <w:rPr>
          <w:rFonts w:hint="eastAsia"/>
          <w:color w:val="auto"/>
        </w:rPr>
        <w:t>环境经济损益分析</w:t>
      </w:r>
      <w:bookmarkEnd w:id="234"/>
      <w:bookmarkEnd w:id="235"/>
      <w:bookmarkEnd w:id="240"/>
    </w:p>
    <w:bookmarkEnd w:id="236"/>
    <w:p w14:paraId="719FE4C3">
      <w:pPr>
        <w:ind w:firstLine="480"/>
        <w:rPr>
          <w:color w:val="auto"/>
        </w:rPr>
      </w:pPr>
      <w:r>
        <w:rPr>
          <w:color w:val="auto"/>
        </w:rPr>
        <w:t>本项目建成投入使用后，</w:t>
      </w:r>
      <w:r>
        <w:rPr>
          <w:rFonts w:hint="eastAsia"/>
          <w:color w:val="auto"/>
        </w:rPr>
        <w:t>由于各类污染物的排放</w:t>
      </w:r>
      <w:r>
        <w:rPr>
          <w:color w:val="auto"/>
        </w:rPr>
        <w:t>，将增大对受纳环境的压力，使项目所在区域的环境质量受到一定影响。但是，在保证环保投资后，只要加强管理，严格有效的控制项目施工及运营其产生的各类污染物，使污水和废气经过处理达标后方</w:t>
      </w:r>
      <w:r>
        <w:rPr>
          <w:rFonts w:hint="eastAsia"/>
          <w:color w:val="auto"/>
        </w:rPr>
        <w:t>可</w:t>
      </w:r>
      <w:r>
        <w:rPr>
          <w:color w:val="auto"/>
        </w:rPr>
        <w:t>排放，固体废物得到妥善的处置，就能降低项目对环境造成的不利影响。如果不落实必要的环保投资，企业就要为自身污染物的排放缴纳超标排污费，而且周边环境的污染使周围人群的健康受损，企业亦须为此承担责任，企业的形象受损，将影响企业的长足发展。</w:t>
      </w:r>
    </w:p>
    <w:p w14:paraId="17D2161F">
      <w:pPr>
        <w:ind w:firstLine="480"/>
        <w:rPr>
          <w:color w:val="auto"/>
        </w:rPr>
      </w:pPr>
      <w:r>
        <w:rPr>
          <w:color w:val="auto"/>
        </w:rPr>
        <w:t>尽管如此，项目的建设及运营势必会给项目所在区域环境带来一定不利影响，造成一定经济损失，但是，相比而言，这些由环境影响导致的经济损失远较本项目带来的经济效益和社会效益小。</w:t>
      </w:r>
      <w:r>
        <w:rPr>
          <w:rFonts w:hint="eastAsia"/>
          <w:color w:val="auto"/>
        </w:rPr>
        <w:t>关于建设项目的环境经济损益分析，国内目前尚无统一标准。此外，建设项目所排污染物作用于自然环境而造成的经济损失，其过程和机理是十分复杂的，其中有许多不确定因素。而且，许多因环境污染而造成的经济损失和由于污染防治而带来的环境收益，较难计量或是很难准确以货币形式来表达。为此，本报告在环境损益分析中，对于可计量部分给予定量表达，其它则采用类比分析方法予以估算或者是给予忽略。</w:t>
      </w:r>
      <w:r>
        <w:rPr>
          <w:color w:val="auto"/>
        </w:rPr>
        <w:t>另外需要指出的是，</w:t>
      </w:r>
      <w:r>
        <w:rPr>
          <w:rFonts w:hint="eastAsia"/>
          <w:color w:val="auto"/>
        </w:rPr>
        <w:t>建设项目</w:t>
      </w:r>
      <w:r>
        <w:rPr>
          <w:color w:val="auto"/>
        </w:rPr>
        <w:t>预可研报告中有些经济方面的数据缺乏。</w:t>
      </w:r>
      <w:bookmarkStart w:id="241" w:name="_Hlt150919788"/>
      <w:r>
        <w:rPr>
          <w:color w:val="auto"/>
        </w:rPr>
        <w:t>因此</w:t>
      </w:r>
      <w:bookmarkEnd w:id="241"/>
      <w:r>
        <w:rPr>
          <w:color w:val="auto"/>
        </w:rPr>
        <w:t>，本章节分析的结果，只能反映一种趋势，谨供参考。</w:t>
      </w:r>
    </w:p>
    <w:p w14:paraId="37FE88A0">
      <w:pPr>
        <w:pStyle w:val="64"/>
        <w:numPr>
          <w:ilvl w:val="2"/>
          <w:numId w:val="8"/>
        </w:numPr>
        <w:spacing w:before="156" w:after="156"/>
        <w:ind w:left="709" w:leftChars="0" w:hanging="709" w:firstLineChars="0"/>
        <w:rPr>
          <w:color w:val="auto"/>
        </w:rPr>
      </w:pPr>
      <w:r>
        <w:rPr>
          <w:rFonts w:hint="eastAsia"/>
          <w:color w:val="auto"/>
        </w:rPr>
        <w:t>水环境影响损益分析</w:t>
      </w:r>
    </w:p>
    <w:p w14:paraId="14832A6D">
      <w:pPr>
        <w:bidi w:val="0"/>
      </w:pPr>
      <w:r>
        <w:t>本项目通过租用建筑物已建成的化粪池对生活污水进行预处理，并依托</w:t>
      </w:r>
      <w:r>
        <w:rPr>
          <w:rFonts w:hint="eastAsia"/>
          <w:lang w:eastAsia="zh-CN"/>
        </w:rPr>
        <w:t>鹤山市第二污水处理厂</w:t>
      </w:r>
      <w:r>
        <w:t>进行处理。正常运营情况下，项目排放的污染物对纳污水体的水质影响不大，即在正常营运情况下所排放的水污染物质造成的水环境损失不大。</w:t>
      </w:r>
    </w:p>
    <w:p w14:paraId="4FAF409D">
      <w:pPr>
        <w:pStyle w:val="64"/>
        <w:numPr>
          <w:ilvl w:val="2"/>
          <w:numId w:val="8"/>
        </w:numPr>
        <w:spacing w:before="156" w:after="156"/>
        <w:ind w:left="709" w:leftChars="0" w:hanging="709" w:firstLineChars="0"/>
        <w:rPr>
          <w:rFonts w:hint="eastAsia"/>
          <w:color w:val="auto"/>
        </w:rPr>
      </w:pPr>
      <w:r>
        <w:rPr>
          <w:rFonts w:hint="eastAsia"/>
          <w:color w:val="auto"/>
        </w:rPr>
        <w:t>声环境影响损益分析</w:t>
      </w:r>
    </w:p>
    <w:p w14:paraId="3FFB45B3">
      <w:pPr>
        <w:ind w:firstLine="480"/>
        <w:rPr>
          <w:color w:val="auto"/>
        </w:rPr>
      </w:pPr>
      <w:r>
        <w:rPr>
          <w:rFonts w:hint="eastAsia"/>
          <w:color w:val="auto"/>
        </w:rPr>
        <w:t>在项目落实相应的降噪措施下，噪声排放符合《工业企业厂界环境噪声排放标准》（</w:t>
      </w:r>
      <w:r>
        <w:rPr>
          <w:color w:val="auto"/>
        </w:rPr>
        <w:t>GB12348-2008</w:t>
      </w:r>
      <w:r>
        <w:rPr>
          <w:rFonts w:hint="eastAsia"/>
          <w:color w:val="auto"/>
        </w:rPr>
        <w:t>）3类</w:t>
      </w:r>
      <w:r>
        <w:rPr>
          <w:rFonts w:hint="eastAsia"/>
          <w:color w:val="auto"/>
          <w:kern w:val="24"/>
        </w:rPr>
        <w:t>标准的要求</w:t>
      </w:r>
      <w:r>
        <w:rPr>
          <w:rFonts w:hint="eastAsia"/>
          <w:color w:val="auto"/>
        </w:rPr>
        <w:t>，对声环境敏感点的噪声影响很小。</w:t>
      </w:r>
    </w:p>
    <w:p w14:paraId="1A26E32D">
      <w:pPr>
        <w:pStyle w:val="64"/>
        <w:numPr>
          <w:ilvl w:val="2"/>
          <w:numId w:val="8"/>
        </w:numPr>
        <w:spacing w:before="156" w:after="156"/>
        <w:ind w:left="709" w:leftChars="0" w:hanging="709" w:firstLineChars="0"/>
        <w:rPr>
          <w:color w:val="auto"/>
        </w:rPr>
      </w:pPr>
      <w:r>
        <w:rPr>
          <w:rFonts w:hint="eastAsia"/>
          <w:color w:val="auto"/>
        </w:rPr>
        <w:t>大气环境影响损益分析</w:t>
      </w:r>
    </w:p>
    <w:p w14:paraId="59CF66AC">
      <w:pPr>
        <w:ind w:firstLine="480"/>
        <w:rPr>
          <w:color w:val="auto"/>
        </w:rPr>
      </w:pPr>
      <w:r>
        <w:rPr>
          <w:rFonts w:hint="eastAsia"/>
          <w:color w:val="auto"/>
        </w:rPr>
        <w:t>项目在生产过程中所产生的废气</w:t>
      </w:r>
      <w:r>
        <w:rPr>
          <w:rFonts w:hint="eastAsia"/>
          <w:color w:val="auto"/>
          <w:lang w:val="en-US" w:eastAsia="zh-CN"/>
        </w:rPr>
        <w:t>污染因子</w:t>
      </w:r>
      <w:r>
        <w:rPr>
          <w:rFonts w:hint="eastAsia"/>
          <w:color w:val="auto"/>
        </w:rPr>
        <w:t>主要为VOCs、NMHC、颗粒物、NOx</w:t>
      </w:r>
      <w:r>
        <w:rPr>
          <w:rFonts w:hint="eastAsia"/>
          <w:color w:val="auto"/>
          <w:lang w:eastAsia="zh-CN"/>
        </w:rPr>
        <w:t>、</w:t>
      </w:r>
      <w:r>
        <w:rPr>
          <w:rFonts w:hint="eastAsia"/>
          <w:color w:val="auto"/>
          <w:lang w:val="en-US" w:eastAsia="zh-CN"/>
        </w:rPr>
        <w:t>二氧化硫</w:t>
      </w:r>
      <w:r>
        <w:rPr>
          <w:rFonts w:hint="eastAsia"/>
          <w:color w:val="auto"/>
        </w:rPr>
        <w:t>。本项目的废气排放浓度不大，对当地环境的影响较小，因此大气环境损失较小。</w:t>
      </w:r>
    </w:p>
    <w:p w14:paraId="7E44C9B5">
      <w:pPr>
        <w:pStyle w:val="64"/>
        <w:numPr>
          <w:ilvl w:val="2"/>
          <w:numId w:val="8"/>
        </w:numPr>
        <w:spacing w:before="156" w:after="156"/>
        <w:ind w:left="709" w:leftChars="0" w:hanging="709" w:firstLineChars="0"/>
        <w:rPr>
          <w:color w:val="auto"/>
        </w:rPr>
      </w:pPr>
      <w:r>
        <w:rPr>
          <w:rFonts w:hint="eastAsia"/>
          <w:color w:val="auto"/>
        </w:rPr>
        <w:t>固体废物影响损益分析</w:t>
      </w:r>
    </w:p>
    <w:p w14:paraId="1A582F6B">
      <w:pPr>
        <w:adjustRightInd w:val="0"/>
        <w:snapToGrid w:val="0"/>
        <w:ind w:firstLine="480"/>
        <w:rPr>
          <w:color w:val="auto"/>
        </w:rPr>
      </w:pPr>
      <w:r>
        <w:rPr>
          <w:rFonts w:hint="eastAsia"/>
          <w:color w:val="auto"/>
        </w:rPr>
        <w:t>生活垃圾在垃圾房暂存后由当地环卫部门统一清运；</w:t>
      </w:r>
      <w:r>
        <w:rPr>
          <w:rFonts w:hint="eastAsia"/>
          <w:color w:val="auto"/>
          <w:lang w:val="en-US" w:eastAsia="zh-CN"/>
        </w:rPr>
        <w:t>塑废边角料、次品、废普通包装物、废印版交资源回收利用单位或一般固废处理公司进行处理，危险废物（废包装桶、废油墨、</w:t>
      </w:r>
      <w:r>
        <w:rPr>
          <w:rFonts w:hint="eastAsia"/>
          <w:lang w:val="en-US" w:eastAsia="zh-CN"/>
        </w:rPr>
        <w:t>废矿物油及其包装罐</w:t>
      </w:r>
      <w:r>
        <w:rPr>
          <w:rFonts w:hint="eastAsia"/>
          <w:color w:val="auto"/>
          <w:lang w:val="en-US" w:eastAsia="zh-CN"/>
        </w:rPr>
        <w:t>、废擦机布和手套、废过滤袋、废分子筛、废饱和活性炭）交由取得危险废物经营许可证的单位进行处理。</w:t>
      </w:r>
      <w:r>
        <w:rPr>
          <w:rFonts w:hint="eastAsia"/>
          <w:color w:val="auto"/>
        </w:rPr>
        <w:t>因此，项目各项固体废物均得到妥善的处理、处置，对环境影响不大。</w:t>
      </w:r>
    </w:p>
    <w:p w14:paraId="3132B30D">
      <w:pPr>
        <w:pStyle w:val="67"/>
        <w:numPr>
          <w:ilvl w:val="1"/>
          <w:numId w:val="8"/>
        </w:numPr>
        <w:spacing w:before="156" w:after="156"/>
        <w:ind w:left="567" w:leftChars="0" w:hanging="567" w:firstLineChars="0"/>
        <w:rPr>
          <w:color w:val="auto"/>
        </w:rPr>
      </w:pPr>
      <w:bookmarkStart w:id="242" w:name="_Toc246655577"/>
      <w:bookmarkStart w:id="243" w:name="_Toc10991"/>
      <w:bookmarkStart w:id="244" w:name="_Toc238197034"/>
      <w:bookmarkStart w:id="245" w:name="_Toc189317860"/>
      <w:r>
        <w:rPr>
          <w:rFonts w:hint="eastAsia"/>
          <w:color w:val="auto"/>
        </w:rPr>
        <w:t>社会经济效益分析</w:t>
      </w:r>
      <w:bookmarkEnd w:id="242"/>
      <w:bookmarkEnd w:id="243"/>
      <w:bookmarkEnd w:id="244"/>
    </w:p>
    <w:bookmarkEnd w:id="245"/>
    <w:p w14:paraId="356F5604">
      <w:pPr>
        <w:adjustRightInd w:val="0"/>
        <w:snapToGrid w:val="0"/>
        <w:ind w:firstLine="480"/>
        <w:rPr>
          <w:color w:val="auto"/>
        </w:rPr>
      </w:pPr>
      <w:r>
        <w:rPr>
          <w:rFonts w:hint="eastAsia"/>
          <w:color w:val="auto"/>
        </w:rPr>
        <w:t>建设项目生产在取得直接经济效益的同时，带来了一系列的间接经济效益和社会效益：</w:t>
      </w:r>
    </w:p>
    <w:p w14:paraId="49B8EA6A">
      <w:pPr>
        <w:ind w:firstLine="480"/>
        <w:rPr>
          <w:color w:val="auto"/>
        </w:rPr>
      </w:pPr>
      <w:r>
        <w:rPr>
          <w:rFonts w:hint="eastAsia"/>
          <w:color w:val="auto"/>
          <w:lang w:val="en-US" w:eastAsia="zh-CN"/>
        </w:rPr>
        <w:t>全厂</w:t>
      </w:r>
      <w:r>
        <w:rPr>
          <w:color w:val="auto"/>
        </w:rPr>
        <w:t>员工</w:t>
      </w:r>
      <w:r>
        <w:rPr>
          <w:rFonts w:hint="eastAsia"/>
          <w:color w:val="auto"/>
          <w:lang w:val="en-US" w:eastAsia="zh-CN"/>
        </w:rPr>
        <w:t>3</w:t>
      </w:r>
      <w:r>
        <w:rPr>
          <w:rFonts w:hint="eastAsia"/>
          <w:color w:val="auto"/>
        </w:rPr>
        <w:t>0</w:t>
      </w:r>
      <w:r>
        <w:rPr>
          <w:color w:val="auto"/>
        </w:rPr>
        <w:t>人，带来了</w:t>
      </w:r>
      <w:r>
        <w:rPr>
          <w:rFonts w:hint="eastAsia"/>
          <w:color w:val="auto"/>
          <w:lang w:val="en-US" w:eastAsia="zh-CN"/>
        </w:rPr>
        <w:t>3</w:t>
      </w:r>
      <w:r>
        <w:rPr>
          <w:rFonts w:hint="eastAsia"/>
          <w:color w:val="auto"/>
        </w:rPr>
        <w:t>0</w:t>
      </w:r>
      <w:r>
        <w:rPr>
          <w:color w:val="auto"/>
        </w:rPr>
        <w:t>个就业岗位和就业机会，人员的增多进一步带动区域第三产业的发展；</w:t>
      </w:r>
    </w:p>
    <w:p w14:paraId="324015B0">
      <w:pPr>
        <w:ind w:firstLine="480"/>
        <w:rPr>
          <w:color w:val="auto"/>
        </w:rPr>
      </w:pPr>
      <w:r>
        <w:rPr>
          <w:color w:val="auto"/>
        </w:rPr>
        <w:t>本项目水、电等的消耗为当地带来间接经济效益；</w:t>
      </w:r>
    </w:p>
    <w:p w14:paraId="20D4B8C7">
      <w:pPr>
        <w:ind w:firstLine="480"/>
        <w:rPr>
          <w:color w:val="auto"/>
        </w:rPr>
      </w:pPr>
      <w:r>
        <w:rPr>
          <w:color w:val="auto"/>
        </w:rPr>
        <w:t>本项目生产设备及配套设备、原料的购买，将刺激相关产业的生产，带动区域更大范围的经济发展；</w:t>
      </w:r>
    </w:p>
    <w:p w14:paraId="06272862">
      <w:pPr>
        <w:ind w:firstLine="480"/>
        <w:rPr>
          <w:color w:val="auto"/>
        </w:rPr>
      </w:pPr>
      <w:r>
        <w:rPr>
          <w:color w:val="auto"/>
        </w:rPr>
        <w:t>项目在</w:t>
      </w:r>
      <w:r>
        <w:rPr>
          <w:rFonts w:hint="eastAsia"/>
          <w:color w:val="auto"/>
        </w:rPr>
        <w:t>鹤山</w:t>
      </w:r>
      <w:r>
        <w:rPr>
          <w:color w:val="auto"/>
        </w:rPr>
        <w:t>市</w:t>
      </w:r>
      <w:r>
        <w:rPr>
          <w:rFonts w:hint="eastAsia"/>
          <w:color w:val="auto"/>
          <w:lang w:val="en-US" w:eastAsia="zh-CN"/>
        </w:rPr>
        <w:t>古劳镇</w:t>
      </w:r>
      <w:r>
        <w:rPr>
          <w:color w:val="auto"/>
        </w:rPr>
        <w:t>的建设，将增强区域的综合竞争实力，所在城市的城市基础设施会更加完善，转而为区域经济的发展提供更好的基础保障。</w:t>
      </w:r>
    </w:p>
    <w:p w14:paraId="2881D608">
      <w:pPr>
        <w:pStyle w:val="67"/>
        <w:numPr>
          <w:ilvl w:val="1"/>
          <w:numId w:val="8"/>
        </w:numPr>
        <w:spacing w:before="156" w:after="156"/>
        <w:ind w:left="567" w:leftChars="0" w:hanging="567" w:firstLineChars="0"/>
        <w:rPr>
          <w:color w:val="auto"/>
        </w:rPr>
      </w:pPr>
      <w:bookmarkStart w:id="246" w:name="_Toc27037"/>
      <w:bookmarkStart w:id="247" w:name="_Toc238197043"/>
      <w:bookmarkStart w:id="248" w:name="_Toc246655579"/>
      <w:r>
        <w:rPr>
          <w:rFonts w:hint="eastAsia"/>
          <w:color w:val="auto"/>
        </w:rPr>
        <w:t>小结</w:t>
      </w:r>
      <w:bookmarkEnd w:id="246"/>
      <w:bookmarkEnd w:id="247"/>
      <w:bookmarkEnd w:id="248"/>
    </w:p>
    <w:p w14:paraId="13ED7B38">
      <w:pPr>
        <w:ind w:firstLine="480"/>
        <w:rPr>
          <w:color w:val="auto"/>
        </w:rPr>
        <w:sectPr>
          <w:pgSz w:w="11906" w:h="16838"/>
          <w:pgMar w:top="1417" w:right="1417" w:bottom="1417" w:left="1417" w:header="992" w:footer="992" w:gutter="0"/>
          <w:pgNumType w:fmt="decimal"/>
          <w:cols w:space="720" w:num="1"/>
          <w:docGrid w:type="lines" w:linePitch="312" w:charSpace="0"/>
        </w:sectPr>
      </w:pPr>
      <w:r>
        <w:rPr>
          <w:rFonts w:hint="eastAsia"/>
          <w:color w:val="auto"/>
        </w:rPr>
        <w:t>本项目的环境经济影响损益分析表明，项目产生的经济效益和社会效益远远大于项目建设产生的环境损失，而且项目投入资金进行污染处理设施的建设，将降低项目造成的环境压力，总体说来，项目的环境可行性是良好的。</w:t>
      </w:r>
    </w:p>
    <w:p w14:paraId="5B65026B">
      <w:pPr>
        <w:pStyle w:val="66"/>
        <w:numPr>
          <w:ilvl w:val="0"/>
          <w:numId w:val="8"/>
        </w:numPr>
        <w:ind w:left="425" w:leftChars="0" w:hanging="425" w:firstLineChars="0"/>
        <w:rPr>
          <w:color w:val="auto"/>
        </w:rPr>
      </w:pPr>
      <w:r>
        <w:rPr>
          <w:rFonts w:hint="eastAsia"/>
          <w:color w:val="auto"/>
        </w:rPr>
        <w:t xml:space="preserve"> </w:t>
      </w:r>
      <w:bookmarkStart w:id="249" w:name="_Toc32492"/>
      <w:r>
        <w:rPr>
          <w:rFonts w:hint="eastAsia"/>
          <w:color w:val="auto"/>
        </w:rPr>
        <w:t>结论与建议</w:t>
      </w:r>
      <w:bookmarkEnd w:id="249"/>
    </w:p>
    <w:bookmarkEnd w:id="223"/>
    <w:p w14:paraId="282444D3">
      <w:pPr>
        <w:pStyle w:val="67"/>
        <w:numPr>
          <w:ilvl w:val="1"/>
          <w:numId w:val="8"/>
        </w:numPr>
        <w:spacing w:before="156" w:after="156"/>
        <w:ind w:left="567" w:leftChars="0" w:hanging="567" w:firstLineChars="0"/>
        <w:rPr>
          <w:color w:val="auto"/>
        </w:rPr>
      </w:pPr>
      <w:bookmarkStart w:id="250" w:name="_Toc17702"/>
      <w:r>
        <w:rPr>
          <w:rFonts w:hint="eastAsia"/>
          <w:color w:val="auto"/>
        </w:rPr>
        <w:t>项目概况</w:t>
      </w:r>
      <w:bookmarkEnd w:id="250"/>
    </w:p>
    <w:p w14:paraId="098532C9">
      <w:pPr>
        <w:ind w:firstLine="480"/>
        <w:rPr>
          <w:rFonts w:hint="default"/>
          <w:color w:val="auto"/>
          <w:lang w:val="en-US"/>
        </w:rPr>
      </w:pPr>
      <w:r>
        <w:rPr>
          <w:rFonts w:hint="eastAsia"/>
          <w:lang w:eastAsia="zh-CN"/>
        </w:rPr>
        <w:t>鹤山市衍鹏印刷有限公司</w:t>
      </w:r>
      <w:r>
        <w:rPr>
          <w:rFonts w:hint="eastAsia"/>
        </w:rPr>
        <w:t>位于</w:t>
      </w:r>
      <w:r>
        <w:rPr>
          <w:rFonts w:hint="eastAsia"/>
          <w:lang w:eastAsia="zh-CN"/>
        </w:rPr>
        <w:t>鹤山市古劳镇三连工业区一区20号之一的一、二楼厂房</w:t>
      </w:r>
      <w:r>
        <w:rPr>
          <w:rFonts w:hint="eastAsia"/>
        </w:rPr>
        <w:t>，所在地属于</w:t>
      </w:r>
      <w:r>
        <w:rPr>
          <w:rFonts w:hint="eastAsia"/>
          <w:lang w:eastAsia="zh-CN"/>
        </w:rPr>
        <w:t>鹤山市古劳镇三连工业区</w:t>
      </w:r>
      <w:r>
        <w:rPr>
          <w:rFonts w:hint="eastAsia"/>
        </w:rPr>
        <w:t>，E112°56′9.500″，N22°47′23.382″（坐标来自</w:t>
      </w:r>
      <w:r>
        <w:rPr>
          <w:rFonts w:hint="eastAsia"/>
          <w:lang w:val="en-US" w:eastAsia="zh-CN"/>
        </w:rPr>
        <w:t>91地图</w:t>
      </w:r>
      <w:r>
        <w:rPr>
          <w:rFonts w:hint="eastAsia"/>
        </w:rPr>
        <w:t>），</w:t>
      </w:r>
      <w:r>
        <w:rPr>
          <w:rFonts w:hint="eastAsia"/>
          <w:lang w:val="en-US" w:eastAsia="zh-CN"/>
        </w:rPr>
        <w:t>项目占地面积约3500m</w:t>
      </w:r>
      <w:r>
        <w:rPr>
          <w:rFonts w:hint="eastAsia"/>
          <w:vertAlign w:val="superscript"/>
          <w:lang w:val="en-US" w:eastAsia="zh-CN"/>
        </w:rPr>
        <w:t>2</w:t>
      </w:r>
      <w:r>
        <w:rPr>
          <w:rFonts w:hint="eastAsia"/>
          <w:lang w:val="en-US" w:eastAsia="zh-CN"/>
        </w:rPr>
        <w:t>，经营面积约4200m</w:t>
      </w:r>
      <w:r>
        <w:rPr>
          <w:rFonts w:hint="eastAsia"/>
          <w:vertAlign w:val="superscript"/>
          <w:lang w:val="en-US" w:eastAsia="zh-CN"/>
        </w:rPr>
        <w:t>2</w:t>
      </w:r>
      <w:r>
        <w:rPr>
          <w:rFonts w:hint="eastAsia"/>
          <w:lang w:val="en-US" w:eastAsia="zh-CN"/>
        </w:rPr>
        <w:t>，</w:t>
      </w:r>
      <w:r>
        <w:rPr>
          <w:rFonts w:ascii="宋体" w:hAnsi="宋体" w:eastAsia="宋体" w:cs="宋体"/>
          <w:spacing w:val="4"/>
          <w:sz w:val="24"/>
          <w:szCs w:val="24"/>
        </w:rPr>
        <w:t>主要从事塑料包装膜的印刷加工，建设性质为新建，设有</w:t>
      </w:r>
      <w:r>
        <w:rPr>
          <w:rFonts w:ascii="宋体" w:hAnsi="宋体" w:eastAsia="宋体" w:cs="宋体"/>
          <w:spacing w:val="3"/>
          <w:sz w:val="24"/>
          <w:szCs w:val="24"/>
        </w:rPr>
        <w:t>凹版印刷机</w:t>
      </w:r>
      <w:r>
        <w:rPr>
          <w:rFonts w:hint="eastAsia" w:ascii="宋体" w:hAnsi="宋体" w:eastAsia="宋体" w:cs="宋体"/>
          <w:spacing w:val="3"/>
          <w:sz w:val="24"/>
          <w:szCs w:val="24"/>
          <w:lang w:val="en-US" w:eastAsia="zh-CN"/>
        </w:rPr>
        <w:t>等设备</w:t>
      </w:r>
      <w:r>
        <w:rPr>
          <w:rFonts w:hint="eastAsia" w:ascii="宋体" w:hAnsi="宋体" w:eastAsia="宋体" w:cs="宋体"/>
          <w:spacing w:val="3"/>
          <w:sz w:val="24"/>
          <w:szCs w:val="24"/>
          <w:lang w:eastAsia="zh-CN"/>
        </w:rPr>
        <w:t>，</w:t>
      </w:r>
      <w:r>
        <w:rPr>
          <w:rFonts w:hint="eastAsia"/>
          <w:lang w:val="en-US" w:eastAsia="zh-CN"/>
        </w:rPr>
        <w:t>建设</w:t>
      </w:r>
      <w:r>
        <w:rPr>
          <w:rFonts w:hint="eastAsia"/>
          <w:lang w:eastAsia="zh-CN"/>
        </w:rPr>
        <w:t>年产450吨包装卷膜</w:t>
      </w:r>
      <w:r>
        <w:rPr>
          <w:rFonts w:hint="eastAsia"/>
          <w:lang w:val="en-US" w:eastAsia="zh-CN"/>
        </w:rPr>
        <w:t>生产线，劳动定员30人，</w:t>
      </w:r>
      <w:r>
        <w:rPr>
          <w:rFonts w:hint="eastAsia"/>
        </w:rPr>
        <w:t>总投资约</w:t>
      </w:r>
      <w:r>
        <w:rPr>
          <w:rFonts w:hint="eastAsia"/>
          <w:lang w:val="en-US" w:eastAsia="zh-CN"/>
        </w:rPr>
        <w:t>25</w:t>
      </w:r>
      <w:r>
        <w:rPr>
          <w:rFonts w:hint="eastAsia"/>
        </w:rPr>
        <w:t>00万元</w:t>
      </w:r>
      <w:r>
        <w:t>，其中环保投资</w:t>
      </w:r>
      <w:r>
        <w:rPr>
          <w:rFonts w:hint="eastAsia"/>
          <w:lang w:val="en-US" w:eastAsia="zh-CN"/>
        </w:rPr>
        <w:t>200</w:t>
      </w:r>
      <w:r>
        <w:rPr>
          <w:rFonts w:hint="eastAsia"/>
        </w:rPr>
        <w:t>万</w:t>
      </w:r>
      <w:r>
        <w:t>元</w:t>
      </w:r>
      <w:r>
        <w:rPr>
          <w:rFonts w:hint="eastAsia"/>
          <w:lang w:val="en-US" w:eastAsia="zh-CN"/>
        </w:rPr>
        <w:t>。</w:t>
      </w:r>
    </w:p>
    <w:p w14:paraId="280CCA41">
      <w:pPr>
        <w:pStyle w:val="67"/>
        <w:numPr>
          <w:ilvl w:val="1"/>
          <w:numId w:val="8"/>
        </w:numPr>
        <w:spacing w:before="156" w:after="156"/>
        <w:ind w:left="567" w:leftChars="0" w:hanging="567" w:firstLineChars="0"/>
        <w:rPr>
          <w:color w:val="auto"/>
        </w:rPr>
      </w:pPr>
      <w:bookmarkStart w:id="251" w:name="_Toc12664"/>
      <w:bookmarkStart w:id="252" w:name="_Toc20710"/>
      <w:r>
        <w:rPr>
          <w:color w:val="auto"/>
        </w:rPr>
        <w:t>环境质量现状评价结论</w:t>
      </w:r>
      <w:bookmarkEnd w:id="251"/>
      <w:bookmarkEnd w:id="252"/>
    </w:p>
    <w:p w14:paraId="490F944F">
      <w:pPr>
        <w:pStyle w:val="64"/>
        <w:numPr>
          <w:ilvl w:val="2"/>
          <w:numId w:val="8"/>
        </w:numPr>
        <w:spacing w:before="120" w:beforeLines="0" w:after="120" w:afterLines="0"/>
        <w:ind w:left="709" w:leftChars="0" w:hanging="709" w:firstLineChars="0"/>
        <w:rPr>
          <w:color w:val="auto"/>
        </w:rPr>
      </w:pPr>
      <w:bookmarkStart w:id="253" w:name="_Toc259697950"/>
      <w:bookmarkStart w:id="254" w:name="_Toc105175003"/>
      <w:bookmarkStart w:id="255" w:name="_Toc121106378"/>
      <w:bookmarkStart w:id="256" w:name="_Toc131237872"/>
      <w:bookmarkStart w:id="257" w:name="_Toc127608840"/>
      <w:bookmarkStart w:id="258" w:name="_Toc123026802"/>
      <w:bookmarkStart w:id="259" w:name="_Toc89857425"/>
      <w:bookmarkStart w:id="260" w:name="_Toc108581059"/>
      <w:bookmarkStart w:id="261" w:name="_Toc150448950"/>
      <w:bookmarkStart w:id="262" w:name="_Toc121538803"/>
      <w:bookmarkStart w:id="263" w:name="_Toc132685252"/>
      <w:bookmarkStart w:id="264" w:name="_Toc132684793"/>
      <w:bookmarkStart w:id="265" w:name="_Toc138817637"/>
      <w:bookmarkStart w:id="266" w:name="_Toc89856250"/>
      <w:bookmarkStart w:id="267" w:name="_Toc100132013"/>
      <w:bookmarkStart w:id="268" w:name="_Toc97284103"/>
      <w:bookmarkStart w:id="269" w:name="_Toc149622372"/>
      <w:bookmarkStart w:id="270" w:name="_Toc127608949"/>
      <w:bookmarkStart w:id="271" w:name="_Toc131904626"/>
      <w:bookmarkStart w:id="272" w:name="_Toc92626001"/>
      <w:bookmarkStart w:id="273" w:name="_Toc80416509"/>
      <w:bookmarkStart w:id="274" w:name="_Toc149035548"/>
      <w:bookmarkStart w:id="275" w:name="_Toc132685100"/>
      <w:bookmarkStart w:id="276" w:name="_Toc103405411"/>
      <w:bookmarkStart w:id="277" w:name="_Toc145750816"/>
      <w:bookmarkStart w:id="278" w:name="_Toc121884074"/>
      <w:bookmarkStart w:id="279" w:name="_Toc82510174"/>
      <w:bookmarkStart w:id="280" w:name="_Toc106157617"/>
      <w:bookmarkStart w:id="281" w:name="_Toc108581395"/>
      <w:bookmarkStart w:id="282" w:name="_Toc144281492"/>
      <w:bookmarkStart w:id="283" w:name="_Toc138669010"/>
      <w:bookmarkStart w:id="284" w:name="_Toc109007806"/>
      <w:bookmarkStart w:id="285" w:name="_Toc132684947"/>
      <w:bookmarkStart w:id="286" w:name="_Toc127238368"/>
      <w:bookmarkStart w:id="287" w:name="_Toc103078278"/>
      <w:r>
        <w:rPr>
          <w:color w:val="auto"/>
        </w:rPr>
        <w:t>水环境质量现状评价结论</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0791D5ED">
      <w:pPr>
        <w:ind w:firstLine="480"/>
        <w:rPr>
          <w:color w:val="auto"/>
        </w:rPr>
      </w:pPr>
      <w:r>
        <w:rPr>
          <w:rFonts w:hint="eastAsia" w:ascii="Times New Roman" w:hAnsi="Times New Roman" w:cs="Times New Roman"/>
        </w:rPr>
        <w:t>项目</w:t>
      </w:r>
      <w:r>
        <w:rPr>
          <w:rFonts w:hint="eastAsia" w:ascii="Times New Roman" w:hAnsi="Times New Roman" w:cs="Times New Roman"/>
          <w:lang w:val="en-US" w:eastAsia="zh-CN"/>
        </w:rPr>
        <w:t>纳污水体</w:t>
      </w:r>
      <w:r>
        <w:rPr>
          <w:rFonts w:hint="eastAsia" w:ascii="Times New Roman" w:hAnsi="Times New Roman" w:cs="Times New Roman"/>
        </w:rPr>
        <w:t>为沙坪河</w:t>
      </w:r>
      <w:r>
        <w:rPr>
          <w:rFonts w:hint="eastAsia" w:ascii="Times New Roman" w:hAnsi="Times New Roman" w:cs="Times New Roman"/>
          <w:lang w:eastAsia="zh-CN"/>
        </w:rPr>
        <w:t>，</w:t>
      </w:r>
      <w:r>
        <w:rPr>
          <w:rFonts w:ascii="Times New Roman" w:hAnsi="Times New Roman" w:cs="Times New Roman"/>
        </w:rPr>
        <w:t>根据《广东省地表水环境功能区划》（粤环</w:t>
      </w:r>
      <w:r>
        <w:rPr>
          <w:rFonts w:hint="eastAsia" w:ascii="Times New Roman" w:hAnsi="Times New Roman" w:cs="Times New Roman"/>
          <w:lang w:eastAsia="zh-CN"/>
        </w:rPr>
        <w:t>〔2011〕14号</w:t>
      </w:r>
      <w:r>
        <w:rPr>
          <w:rFonts w:ascii="Times New Roman" w:hAnsi="Times New Roman" w:cs="Times New Roman"/>
        </w:rPr>
        <w:t>），</w:t>
      </w:r>
      <w:r>
        <w:rPr>
          <w:rFonts w:hint="eastAsia" w:ascii="Times New Roman" w:hAnsi="Times New Roman" w:cs="Times New Roman"/>
        </w:rPr>
        <w:t>沙坪</w:t>
      </w:r>
      <w:r>
        <w:rPr>
          <w:rFonts w:ascii="Times New Roman" w:hAnsi="Times New Roman" w:cs="Times New Roman"/>
        </w:rPr>
        <w:t>河功能为工业、农业用水，水质执行《地表水环境质量标准》(GB3838-2002)中的</w:t>
      </w:r>
      <w:r>
        <w:rPr>
          <w:rFonts w:ascii="Times New Roman" w:hAnsi="Times New Roman" w:cs="Times New Roman"/>
        </w:rPr>
        <w:fldChar w:fldCharType="begin"/>
      </w:r>
      <w:r>
        <w:rPr>
          <w:rFonts w:ascii="Times New Roman" w:hAnsi="Times New Roman" w:cs="Times New Roman"/>
        </w:rPr>
        <w:instrText xml:space="preserve"> = 3 \* ROMAN \* MERGEFORMAT </w:instrText>
      </w:r>
      <w:r>
        <w:rPr>
          <w:rFonts w:ascii="Times New Roman" w:hAnsi="Times New Roman" w:cs="Times New Roman"/>
        </w:rPr>
        <w:fldChar w:fldCharType="separate"/>
      </w:r>
      <w:r>
        <w:rPr>
          <w:rFonts w:ascii="Times New Roman" w:hAnsi="Times New Roman" w:cs="Times New Roman"/>
        </w:rPr>
        <w:t>III</w:t>
      </w:r>
      <w:r>
        <w:rPr>
          <w:rFonts w:ascii="Times New Roman" w:hAnsi="Times New Roman" w:cs="Times New Roman"/>
        </w:rPr>
        <w:fldChar w:fldCharType="end"/>
      </w:r>
      <w:r>
        <w:rPr>
          <w:rFonts w:ascii="Times New Roman" w:hAnsi="Times New Roman" w:cs="Times New Roman"/>
        </w:rPr>
        <w:t>类标准</w:t>
      </w:r>
      <w:r>
        <w:rPr>
          <w:rFonts w:hint="eastAsia" w:ascii="Times New Roman" w:hAnsi="Times New Roman" w:cs="Times New Roman"/>
        </w:rPr>
        <w:t>。根据江门市生态环境局发布的《202</w:t>
      </w:r>
      <w:r>
        <w:rPr>
          <w:rFonts w:hint="eastAsia" w:ascii="Times New Roman" w:hAnsi="Times New Roman" w:cs="Times New Roman"/>
          <w:lang w:val="en-US" w:eastAsia="zh-CN"/>
        </w:rPr>
        <w:t>5</w:t>
      </w:r>
      <w:r>
        <w:rPr>
          <w:rFonts w:hint="eastAsia" w:ascii="Times New Roman" w:hAnsi="Times New Roman" w:cs="Times New Roman"/>
        </w:rPr>
        <w:t>年第</w:t>
      </w:r>
      <w:r>
        <w:rPr>
          <w:rFonts w:hint="eastAsia" w:ascii="Times New Roman" w:hAnsi="Times New Roman" w:cs="Times New Roman"/>
          <w:lang w:val="en-US" w:eastAsia="zh-CN"/>
        </w:rPr>
        <w:t>一</w:t>
      </w:r>
      <w:r>
        <w:rPr>
          <w:rFonts w:hint="eastAsia" w:ascii="Times New Roman" w:hAnsi="Times New Roman" w:cs="Times New Roman"/>
        </w:rPr>
        <w:t>季度江门市全面推行河长制水质季报》、《202</w:t>
      </w:r>
      <w:r>
        <w:rPr>
          <w:rFonts w:hint="eastAsia" w:ascii="Times New Roman" w:hAnsi="Times New Roman" w:cs="Times New Roman"/>
          <w:lang w:val="en-US" w:eastAsia="zh-CN"/>
        </w:rPr>
        <w:t>5</w:t>
      </w:r>
      <w:r>
        <w:rPr>
          <w:rFonts w:hint="eastAsia" w:ascii="Times New Roman" w:hAnsi="Times New Roman" w:cs="Times New Roman"/>
        </w:rPr>
        <w:t>年第二季度江门市全面推行河长制水质季报》</w:t>
      </w:r>
      <w:r>
        <w:rPr>
          <w:rFonts w:hint="eastAsia" w:ascii="Times New Roman" w:hAnsi="Times New Roman" w:cs="Times New Roman"/>
          <w:lang w:eastAsia="zh-CN"/>
        </w:rPr>
        <w:t>、《</w:t>
      </w:r>
      <w:r>
        <w:rPr>
          <w:rFonts w:hint="eastAsia" w:ascii="Times New Roman" w:hAnsi="Times New Roman" w:cs="Times New Roman"/>
        </w:rPr>
        <w:t>202</w:t>
      </w:r>
      <w:r>
        <w:rPr>
          <w:rFonts w:hint="eastAsia" w:ascii="Times New Roman" w:hAnsi="Times New Roman" w:cs="Times New Roman"/>
          <w:lang w:val="en-US" w:eastAsia="zh-CN"/>
        </w:rPr>
        <w:t>5</w:t>
      </w:r>
      <w:r>
        <w:rPr>
          <w:rFonts w:hint="eastAsia" w:ascii="Times New Roman" w:hAnsi="Times New Roman" w:cs="Times New Roman"/>
        </w:rPr>
        <w:t>年第三季度江门市全面推行河长制水质季报</w:t>
      </w:r>
      <w:r>
        <w:rPr>
          <w:rFonts w:hint="eastAsia" w:ascii="Times New Roman" w:hAnsi="Times New Roman" w:cs="Times New Roman"/>
          <w:lang w:eastAsia="zh-CN"/>
        </w:rPr>
        <w:t>》</w:t>
      </w:r>
      <w:r>
        <w:rPr>
          <w:rFonts w:hint="eastAsia" w:ascii="Times New Roman" w:hAnsi="Times New Roman" w:cs="Times New Roman"/>
        </w:rPr>
        <w:t>http://www.jiangmen.gov.cn/bmpd/jmssthjj/hjzl/hczszyb/，沙坪河（沙坪水闸断面）水质现状分别为</w:t>
      </w:r>
      <w:r>
        <w:rPr>
          <w:rFonts w:hint="eastAsia" w:ascii="Times New Roman" w:hAnsi="Times New Roman" w:cs="Times New Roman"/>
          <w:lang w:val="en-US" w:eastAsia="zh-CN"/>
        </w:rPr>
        <w:t>Ⅳ、Ⅲ、Ⅲ</w:t>
      </w:r>
      <w:r>
        <w:rPr>
          <w:rFonts w:hint="eastAsia" w:ascii="Times New Roman" w:hAnsi="Times New Roman" w:cs="Times New Roman"/>
        </w:rPr>
        <w:t>类，表明沙坪河202</w:t>
      </w:r>
      <w:r>
        <w:rPr>
          <w:rFonts w:hint="eastAsia" w:ascii="Times New Roman" w:hAnsi="Times New Roman" w:cs="Times New Roman"/>
          <w:lang w:val="en-US" w:eastAsia="zh-CN"/>
        </w:rPr>
        <w:t>5</w:t>
      </w:r>
      <w:r>
        <w:rPr>
          <w:rFonts w:hint="eastAsia" w:ascii="Times New Roman" w:hAnsi="Times New Roman" w:cs="Times New Roman"/>
        </w:rPr>
        <w:t>年度第</w:t>
      </w:r>
      <w:r>
        <w:rPr>
          <w:rFonts w:hint="eastAsia" w:ascii="Times New Roman" w:hAnsi="Times New Roman" w:cs="Times New Roman"/>
          <w:lang w:val="en-US" w:eastAsia="zh-CN"/>
        </w:rPr>
        <w:t>二、三</w:t>
      </w:r>
      <w:r>
        <w:rPr>
          <w:rFonts w:hint="eastAsia" w:ascii="Times New Roman" w:hAnsi="Times New Roman" w:cs="Times New Roman"/>
        </w:rPr>
        <w:t>季度水环境质量达标</w:t>
      </w:r>
      <w:r>
        <w:rPr>
          <w:rFonts w:hint="eastAsia" w:ascii="Times New Roman" w:hAnsi="Times New Roman" w:cs="Times New Roman"/>
          <w:lang w:eastAsia="zh-CN"/>
        </w:rPr>
        <w:t>，</w:t>
      </w:r>
      <w:r>
        <w:rPr>
          <w:rFonts w:hint="eastAsia" w:ascii="Times New Roman" w:hAnsi="Times New Roman" w:cs="Times New Roman"/>
          <w:lang w:val="en-US" w:eastAsia="zh-CN"/>
        </w:rPr>
        <w:t>第一季度水环境质量不达标</w:t>
      </w:r>
      <w:r>
        <w:rPr>
          <w:rFonts w:hint="eastAsia" w:ascii="Times New Roman" w:hAnsi="Times New Roman" w:cs="Times New Roman"/>
        </w:rPr>
        <w:t>。</w:t>
      </w:r>
    </w:p>
    <w:p w14:paraId="6C31A624">
      <w:pPr>
        <w:pStyle w:val="64"/>
        <w:numPr>
          <w:ilvl w:val="2"/>
          <w:numId w:val="8"/>
        </w:numPr>
        <w:spacing w:before="120" w:beforeLines="0" w:after="120" w:afterLines="0"/>
        <w:ind w:left="709" w:leftChars="0" w:hanging="709" w:firstLineChars="0"/>
        <w:rPr>
          <w:color w:val="auto"/>
        </w:rPr>
      </w:pPr>
      <w:bookmarkStart w:id="288" w:name="_Toc138669011"/>
      <w:bookmarkStart w:id="289" w:name="_Toc145750817"/>
      <w:bookmarkStart w:id="290" w:name="_Toc259697951"/>
      <w:bookmarkStart w:id="291" w:name="_Toc131237873"/>
      <w:bookmarkStart w:id="292" w:name="_Toc132685253"/>
      <w:bookmarkStart w:id="293" w:name="_Toc132685101"/>
      <w:bookmarkStart w:id="294" w:name="_Toc138817638"/>
      <w:bookmarkStart w:id="295" w:name="_Toc131904627"/>
      <w:bookmarkStart w:id="296" w:name="_Toc132684794"/>
      <w:bookmarkStart w:id="297" w:name="_Toc149035549"/>
      <w:bookmarkStart w:id="298" w:name="_Toc149622373"/>
      <w:bookmarkStart w:id="299" w:name="_Toc144281493"/>
      <w:bookmarkStart w:id="300" w:name="_Toc150448951"/>
      <w:bookmarkStart w:id="301" w:name="_Toc132684948"/>
      <w:r>
        <w:rPr>
          <w:color w:val="auto"/>
        </w:rPr>
        <w:t>大气环境质量现状评价结论</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0128C01F">
      <w:pPr>
        <w:ind w:firstLine="480"/>
        <w:rPr>
          <w:snapToGrid w:val="0"/>
          <w:color w:val="auto"/>
          <w:kern w:val="0"/>
        </w:rPr>
      </w:pPr>
      <w:r>
        <w:rPr>
          <w:rFonts w:hint="eastAsia"/>
          <w:color w:val="auto"/>
          <w:szCs w:val="24"/>
        </w:rPr>
        <w:t>20</w:t>
      </w:r>
      <w:r>
        <w:rPr>
          <w:rFonts w:hint="eastAsia"/>
          <w:color w:val="auto"/>
          <w:szCs w:val="24"/>
          <w:lang w:val="en-US" w:eastAsia="zh-CN"/>
        </w:rPr>
        <w:t>24</w:t>
      </w:r>
      <w:r>
        <w:rPr>
          <w:color w:val="auto"/>
          <w:szCs w:val="24"/>
        </w:rPr>
        <w:t>年</w:t>
      </w:r>
      <w:r>
        <w:rPr>
          <w:rFonts w:hint="eastAsia"/>
          <w:color w:val="auto"/>
          <w:szCs w:val="24"/>
        </w:rPr>
        <w:t>鹤山连续一年的</w:t>
      </w:r>
      <w:r>
        <w:rPr>
          <w:color w:val="auto"/>
          <w:szCs w:val="24"/>
        </w:rPr>
        <w:t>监测结果表明，</w:t>
      </w:r>
      <w:r>
        <w:rPr>
          <w:rFonts w:hint="eastAsia"/>
          <w:color w:val="auto"/>
          <w:szCs w:val="24"/>
        </w:rPr>
        <w:t>O</w:t>
      </w:r>
      <w:r>
        <w:rPr>
          <w:rFonts w:hint="eastAsia"/>
          <w:color w:val="auto"/>
          <w:szCs w:val="24"/>
          <w:vertAlign w:val="subscript"/>
        </w:rPr>
        <w:t>3</w:t>
      </w:r>
      <w:r>
        <w:rPr>
          <w:color w:val="auto"/>
          <w:szCs w:val="24"/>
        </w:rPr>
        <w:t>日最大8h滑动平均值的第90百分位数</w:t>
      </w:r>
      <w:r>
        <w:rPr>
          <w:rFonts w:hint="eastAsia"/>
          <w:color w:val="auto"/>
          <w:szCs w:val="24"/>
        </w:rPr>
        <w:t>超出</w:t>
      </w:r>
      <w:r>
        <w:rPr>
          <w:color w:val="auto"/>
          <w:szCs w:val="24"/>
        </w:rPr>
        <w:t>《环境空气质量标准》（GB3095-2012）及其2018年修改单二级标准要求</w:t>
      </w:r>
      <w:r>
        <w:rPr>
          <w:rFonts w:hint="eastAsia"/>
          <w:color w:val="auto"/>
          <w:szCs w:val="24"/>
        </w:rPr>
        <w:t>，</w:t>
      </w:r>
      <w:r>
        <w:rPr>
          <w:color w:val="auto"/>
          <w:szCs w:val="24"/>
        </w:rPr>
        <w:t>SO</w:t>
      </w:r>
      <w:r>
        <w:rPr>
          <w:color w:val="auto"/>
          <w:szCs w:val="24"/>
          <w:vertAlign w:val="subscript"/>
        </w:rPr>
        <w:t>2</w:t>
      </w:r>
      <w:r>
        <w:rPr>
          <w:color w:val="auto"/>
          <w:szCs w:val="24"/>
        </w:rPr>
        <w:t>、PM</w:t>
      </w:r>
      <w:r>
        <w:rPr>
          <w:color w:val="auto"/>
          <w:szCs w:val="24"/>
          <w:vertAlign w:val="subscript"/>
        </w:rPr>
        <w:t>10</w:t>
      </w:r>
      <w:r>
        <w:rPr>
          <w:color w:val="auto"/>
          <w:szCs w:val="24"/>
        </w:rPr>
        <w:t>、PM</w:t>
      </w:r>
      <w:r>
        <w:rPr>
          <w:color w:val="auto"/>
          <w:szCs w:val="24"/>
          <w:vertAlign w:val="subscript"/>
        </w:rPr>
        <w:t>2.5</w:t>
      </w:r>
      <w:r>
        <w:rPr>
          <w:color w:val="auto"/>
          <w:szCs w:val="24"/>
        </w:rPr>
        <w:t>、CO</w:t>
      </w:r>
      <w:r>
        <w:rPr>
          <w:rFonts w:hint="eastAsia"/>
          <w:color w:val="auto"/>
          <w:szCs w:val="24"/>
          <w:lang w:eastAsia="zh-CN"/>
        </w:rPr>
        <w:t>、</w:t>
      </w:r>
      <w:r>
        <w:rPr>
          <w:rFonts w:hint="eastAsia"/>
          <w:color w:val="auto"/>
          <w:szCs w:val="24"/>
          <w:lang w:val="en-US" w:eastAsia="zh-CN"/>
        </w:rPr>
        <w:t>NO</w:t>
      </w:r>
      <w:r>
        <w:rPr>
          <w:rFonts w:hint="eastAsia"/>
          <w:color w:val="auto"/>
          <w:szCs w:val="24"/>
          <w:vertAlign w:val="subscript"/>
          <w:lang w:val="en-US" w:eastAsia="zh-CN"/>
        </w:rPr>
        <w:t>2</w:t>
      </w:r>
      <w:r>
        <w:rPr>
          <w:color w:val="auto"/>
          <w:szCs w:val="24"/>
        </w:rPr>
        <w:t>均满足《环境空气质量标准》（GB3095-2012）</w:t>
      </w:r>
      <w:r>
        <w:rPr>
          <w:color w:val="auto"/>
          <w:szCs w:val="20"/>
        </w:rPr>
        <w:t>及其2018年修改单</w:t>
      </w:r>
      <w:r>
        <w:rPr>
          <w:color w:val="auto"/>
          <w:szCs w:val="24"/>
        </w:rPr>
        <w:t>二级标准要求。</w:t>
      </w:r>
    </w:p>
    <w:p w14:paraId="737F673D">
      <w:pPr>
        <w:bidi w:val="0"/>
      </w:pPr>
      <w:r>
        <w:rPr>
          <w:rFonts w:hint="eastAsia"/>
          <w:lang w:val="en-US" w:eastAsia="zh-CN"/>
        </w:rPr>
        <w:t>根据本项目</w:t>
      </w:r>
      <w:r>
        <w:rPr>
          <w:rFonts w:hint="eastAsia"/>
        </w:rPr>
        <w:t>连续7天的大气监测数据来评价本项目所在地大气质量现状，</w:t>
      </w:r>
      <w:r>
        <w:t>本项目所在区域</w:t>
      </w:r>
      <w:r>
        <w:rPr>
          <w:rFonts w:hint="eastAsia"/>
        </w:rPr>
        <w:t>的TVOC</w:t>
      </w:r>
      <w:r>
        <w:rPr>
          <w:rFonts w:hint="eastAsia"/>
          <w:lang w:eastAsia="zh-CN"/>
        </w:rPr>
        <w:t>、</w:t>
      </w:r>
      <w:r>
        <w:rPr>
          <w:rFonts w:hint="eastAsia"/>
          <w:lang w:val="en-US" w:eastAsia="zh-CN"/>
        </w:rPr>
        <w:t>甲苯、氯化氢达到</w:t>
      </w:r>
      <w:r>
        <w:rPr>
          <w:rFonts w:hint="eastAsia"/>
        </w:rPr>
        <w:t>《环境影响评价技术导则－大气环境》（HJ 2.2-2018）附录D，NMHC</w:t>
      </w:r>
      <w:r>
        <w:rPr>
          <w:rFonts w:hint="eastAsia"/>
          <w:lang w:val="en-US" w:eastAsia="zh-CN"/>
        </w:rPr>
        <w:t>达到</w:t>
      </w:r>
      <w:r>
        <w:t>《大气污染物综合排放标准详解》</w:t>
      </w:r>
      <w:r>
        <w:rPr>
          <w:rFonts w:hint="eastAsia"/>
        </w:rPr>
        <w:t>一次值，臭气浓度</w:t>
      </w:r>
      <w:r>
        <w:rPr>
          <w:rFonts w:hint="eastAsia"/>
          <w:lang w:val="en-US" w:eastAsia="zh-CN"/>
        </w:rPr>
        <w:t>达到</w:t>
      </w:r>
      <w:r>
        <w:rPr>
          <w:rFonts w:hint="eastAsia"/>
        </w:rPr>
        <w:t>《恶臭污染物排放标准》（GB14554-93）表1二级新扩改建恶臭污染物厂界标准值</w:t>
      </w:r>
      <w:r>
        <w:rPr>
          <w:rFonts w:hint="eastAsia"/>
          <w:lang w:eastAsia="zh-CN"/>
        </w:rPr>
        <w:t>，</w:t>
      </w:r>
      <w:r>
        <w:rPr>
          <w:rFonts w:hint="eastAsia"/>
          <w:lang w:val="en-US" w:eastAsia="zh-CN"/>
        </w:rPr>
        <w:t>苯达到</w:t>
      </w:r>
      <w:r>
        <w:rPr>
          <w:rFonts w:hint="eastAsia"/>
          <w:lang w:eastAsia="zh-CN"/>
        </w:rPr>
        <w:t>《</w:t>
      </w:r>
      <w:r>
        <w:rPr>
          <w:rFonts w:hint="eastAsia"/>
        </w:rPr>
        <w:t>室内空气质量标准</w:t>
      </w:r>
      <w:r>
        <w:rPr>
          <w:rFonts w:hint="eastAsia"/>
          <w:lang w:eastAsia="zh-CN"/>
        </w:rPr>
        <w:t>》（</w:t>
      </w:r>
      <w:r>
        <w:rPr>
          <w:rFonts w:hint="eastAsia"/>
        </w:rPr>
        <w:t>GB/T 18883-2022</w:t>
      </w:r>
      <w:r>
        <w:rPr>
          <w:rFonts w:hint="eastAsia"/>
          <w:lang w:eastAsia="zh-CN"/>
        </w:rPr>
        <w:t>）</w:t>
      </w:r>
      <w:r>
        <w:rPr>
          <w:rFonts w:hint="eastAsia"/>
        </w:rPr>
        <w:t>。</w:t>
      </w:r>
    </w:p>
    <w:p w14:paraId="1401EFB3">
      <w:pPr>
        <w:pStyle w:val="64"/>
        <w:numPr>
          <w:ilvl w:val="2"/>
          <w:numId w:val="8"/>
        </w:numPr>
        <w:spacing w:before="120" w:beforeLines="0" w:after="120" w:afterLines="0"/>
        <w:ind w:left="709" w:leftChars="0" w:hanging="709" w:firstLineChars="0"/>
        <w:rPr>
          <w:color w:val="auto"/>
        </w:rPr>
      </w:pPr>
      <w:bookmarkStart w:id="302" w:name="_Toc158714042"/>
      <w:bookmarkStart w:id="303" w:name="_Toc151867146"/>
      <w:bookmarkStart w:id="304" w:name="_Toc138669012"/>
      <w:bookmarkStart w:id="305" w:name="_Toc149622374"/>
      <w:bookmarkStart w:id="306" w:name="_Toc154484269"/>
      <w:bookmarkStart w:id="307" w:name="_Toc131904628"/>
      <w:bookmarkStart w:id="308" w:name="_Toc153786802"/>
      <w:bookmarkStart w:id="309" w:name="_Toc151516717"/>
      <w:bookmarkStart w:id="310" w:name="_Toc153936646"/>
      <w:bookmarkStart w:id="311" w:name="_Toc145750818"/>
      <w:bookmarkStart w:id="312" w:name="_Toc131237874"/>
      <w:bookmarkStart w:id="313" w:name="_Toc138817639"/>
      <w:bookmarkStart w:id="314" w:name="_Toc132684795"/>
      <w:bookmarkStart w:id="315" w:name="_Toc132685254"/>
      <w:bookmarkStart w:id="316" w:name="_Toc154429508"/>
      <w:bookmarkStart w:id="317" w:name="_Toc149035550"/>
      <w:bookmarkStart w:id="318" w:name="_Toc132684949"/>
      <w:bookmarkStart w:id="319" w:name="_Toc144281494"/>
      <w:bookmarkStart w:id="320" w:name="_Toc150448952"/>
      <w:bookmarkStart w:id="321" w:name="_Toc132685102"/>
      <w:bookmarkStart w:id="322" w:name="_Toc154983408"/>
      <w:bookmarkStart w:id="323" w:name="_Toc259697952"/>
      <w:r>
        <w:rPr>
          <w:color w:val="auto"/>
        </w:rPr>
        <w:t>声环境质量现状评价结论</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399EE547">
      <w:pPr>
        <w:ind w:firstLine="480"/>
        <w:rPr>
          <w:color w:val="auto"/>
        </w:rPr>
      </w:pPr>
      <w:r>
        <w:rPr>
          <w:rFonts w:hint="eastAsia"/>
          <w:color w:val="auto"/>
        </w:rPr>
        <w:t>根据</w:t>
      </w:r>
      <w:r>
        <w:rPr>
          <w:rFonts w:hint="eastAsia"/>
          <w:color w:val="auto"/>
          <w:lang w:val="en-US" w:eastAsia="zh-CN"/>
        </w:rPr>
        <w:t>广东中诺检测技术有限公司</w:t>
      </w:r>
      <w:r>
        <w:rPr>
          <w:rFonts w:hint="eastAsia"/>
          <w:color w:val="auto"/>
        </w:rPr>
        <w:t>出具的《</w:t>
      </w:r>
      <w:r>
        <w:rPr>
          <w:rFonts w:hint="eastAsia"/>
          <w:color w:val="auto"/>
          <w:lang w:eastAsia="zh-CN"/>
        </w:rPr>
        <w:t>鹤山市衍鹏印刷有限公司</w:t>
      </w:r>
      <w:r>
        <w:rPr>
          <w:rFonts w:hint="eastAsia"/>
          <w:color w:val="auto"/>
        </w:rPr>
        <w:t>检测报告》（报告编号：</w:t>
      </w:r>
      <w:r>
        <w:rPr>
          <w:rFonts w:hint="eastAsia"/>
          <w:color w:val="auto"/>
          <w:lang w:eastAsia="zh-CN"/>
        </w:rPr>
        <w:t>CNT202203286-1</w:t>
      </w:r>
      <w:r>
        <w:rPr>
          <w:rFonts w:hint="eastAsia"/>
          <w:color w:val="auto"/>
        </w:rPr>
        <w:t>），项目</w:t>
      </w:r>
      <w:r>
        <w:rPr>
          <w:rFonts w:hint="eastAsia"/>
          <w:color w:val="auto"/>
          <w:lang w:val="en-US" w:eastAsia="zh-CN"/>
        </w:rPr>
        <w:t>厂界噪声达到</w:t>
      </w:r>
      <w:r>
        <w:rPr>
          <w:color w:val="auto"/>
        </w:rPr>
        <w:t>《声环境质量标准》（GB3096-2008）</w:t>
      </w:r>
      <w:r>
        <w:rPr>
          <w:rFonts w:hint="eastAsia"/>
          <w:color w:val="auto"/>
        </w:rPr>
        <w:t>3类标准</w:t>
      </w:r>
      <w:r>
        <w:rPr>
          <w:color w:val="auto"/>
        </w:rPr>
        <w:t>（昼间≤65dB(A)，夜间≤55dB(A)），项目所在地声环境质量良好</w:t>
      </w:r>
      <w:r>
        <w:rPr>
          <w:rFonts w:hint="eastAsia"/>
          <w:color w:val="auto"/>
        </w:rPr>
        <w:t>。</w:t>
      </w:r>
    </w:p>
    <w:p w14:paraId="5A7D0F3F">
      <w:pPr>
        <w:pStyle w:val="64"/>
        <w:numPr>
          <w:ilvl w:val="2"/>
          <w:numId w:val="8"/>
        </w:numPr>
        <w:spacing w:before="120" w:beforeLines="0" w:after="120" w:afterLines="0"/>
        <w:ind w:left="709" w:leftChars="0" w:hanging="709" w:firstLineChars="0"/>
        <w:rPr>
          <w:color w:val="auto"/>
        </w:rPr>
      </w:pPr>
      <w:r>
        <w:rPr>
          <w:rFonts w:hint="eastAsia"/>
          <w:color w:val="auto"/>
        </w:rPr>
        <w:t>地下水环境质量现状评价结论</w:t>
      </w:r>
    </w:p>
    <w:p w14:paraId="5C992D45">
      <w:pPr>
        <w:ind w:firstLine="480"/>
        <w:rPr>
          <w:color w:val="auto"/>
          <w:szCs w:val="20"/>
        </w:rPr>
      </w:pPr>
      <w:r>
        <w:rPr>
          <w:rFonts w:ascii="宋体" w:hAnsi="宋体" w:eastAsia="宋体" w:cs="宋体"/>
          <w:sz w:val="24"/>
          <w:szCs w:val="24"/>
        </w:rPr>
        <w:t>本项目为印刷包装生产项目，生产工艺主要为印刷，根据《环境影响评</w:t>
      </w:r>
      <w:r>
        <w:rPr>
          <w:rFonts w:ascii="宋体" w:hAnsi="宋体" w:eastAsia="宋体" w:cs="宋体"/>
          <w:spacing w:val="-1"/>
          <w:sz w:val="24"/>
          <w:szCs w:val="24"/>
        </w:rPr>
        <w:t>价技术导则</w:t>
      </w:r>
      <w:r>
        <w:rPr>
          <w:rFonts w:ascii="宋体" w:hAnsi="宋体" w:eastAsia="宋体" w:cs="宋体"/>
          <w:spacing w:val="5"/>
          <w:sz w:val="24"/>
          <w:szCs w:val="24"/>
        </w:rPr>
        <w:t>地下水环境》（</w:t>
      </w:r>
      <w:r>
        <w:rPr>
          <w:rFonts w:ascii="Times New Roman" w:hAnsi="Times New Roman" w:eastAsia="Times New Roman" w:cs="Times New Roman"/>
          <w:sz w:val="24"/>
          <w:szCs w:val="24"/>
        </w:rPr>
        <w:t>HJ</w:t>
      </w:r>
      <w:r>
        <w:rPr>
          <w:rFonts w:ascii="Times New Roman" w:hAnsi="Times New Roman" w:eastAsia="Times New Roman" w:cs="Times New Roman"/>
          <w:spacing w:val="5"/>
          <w:sz w:val="24"/>
          <w:szCs w:val="24"/>
        </w:rPr>
        <w:t>610-2016</w:t>
      </w:r>
      <w:r>
        <w:rPr>
          <w:rFonts w:ascii="宋体" w:hAnsi="宋体" w:eastAsia="宋体" w:cs="宋体"/>
          <w:spacing w:val="2"/>
          <w:sz w:val="24"/>
          <w:szCs w:val="24"/>
        </w:rPr>
        <w:t>），</w:t>
      </w:r>
      <w:r>
        <w:rPr>
          <w:rFonts w:ascii="宋体" w:hAnsi="宋体" w:eastAsia="宋体" w:cs="宋体"/>
          <w:spacing w:val="5"/>
          <w:sz w:val="24"/>
          <w:szCs w:val="24"/>
        </w:rPr>
        <w:t>本项目属于“印刷；文教、体育、娱乐用品制造；磁</w:t>
      </w:r>
      <w:r>
        <w:rPr>
          <w:rFonts w:ascii="宋体" w:hAnsi="宋体" w:eastAsia="宋体" w:cs="宋体"/>
          <w:spacing w:val="1"/>
          <w:sz w:val="24"/>
          <w:szCs w:val="24"/>
        </w:rPr>
        <w:t xml:space="preserve">材料制品”中的“全部”类别，根据导则中附录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45"/>
          <w:sz w:val="24"/>
          <w:szCs w:val="24"/>
        </w:rPr>
        <w:t xml:space="preserve"> </w:t>
      </w:r>
      <w:r>
        <w:rPr>
          <w:rFonts w:ascii="宋体" w:hAnsi="宋体" w:eastAsia="宋体" w:cs="宋体"/>
          <w:sz w:val="24"/>
          <w:szCs w:val="24"/>
        </w:rPr>
        <w:t>地下水环境影响评价行业分类表，</w:t>
      </w:r>
      <w:r>
        <w:rPr>
          <w:rFonts w:ascii="宋体" w:hAnsi="宋体" w:eastAsia="宋体" w:cs="宋体"/>
          <w:spacing w:val="2"/>
          <w:sz w:val="24"/>
          <w:szCs w:val="24"/>
        </w:rPr>
        <w:t>本项目属于“</w:t>
      </w:r>
      <w:r>
        <w:rPr>
          <w:rFonts w:ascii="Times New Roman" w:hAnsi="Times New Roman" w:eastAsia="Times New Roman" w:cs="Times New Roman"/>
          <w:sz w:val="24"/>
          <w:szCs w:val="24"/>
        </w:rPr>
        <w:t>IV</w:t>
      </w:r>
      <w:r>
        <w:rPr>
          <w:rFonts w:ascii="Times New Roman" w:hAnsi="Times New Roman" w:eastAsia="Times New Roman" w:cs="Times New Roman"/>
          <w:spacing w:val="45"/>
          <w:sz w:val="24"/>
          <w:szCs w:val="24"/>
        </w:rPr>
        <w:t xml:space="preserve"> </w:t>
      </w:r>
      <w:r>
        <w:rPr>
          <w:rFonts w:ascii="宋体" w:hAnsi="宋体" w:eastAsia="宋体" w:cs="宋体"/>
          <w:spacing w:val="2"/>
          <w:sz w:val="24"/>
          <w:szCs w:val="24"/>
        </w:rPr>
        <w:t>类”，故不开展地下水环境影响评</w:t>
      </w:r>
      <w:r>
        <w:rPr>
          <w:rFonts w:ascii="宋体" w:hAnsi="宋体" w:eastAsia="宋体" w:cs="宋体"/>
          <w:spacing w:val="1"/>
          <w:sz w:val="24"/>
          <w:szCs w:val="24"/>
        </w:rPr>
        <w:t>价，不做地下水环境质量的调查与</w:t>
      </w:r>
      <w:r>
        <w:rPr>
          <w:rFonts w:ascii="宋体" w:hAnsi="宋体" w:eastAsia="宋体" w:cs="宋体"/>
          <w:spacing w:val="-3"/>
          <w:sz w:val="24"/>
          <w:szCs w:val="24"/>
        </w:rPr>
        <w:t>评价。</w:t>
      </w:r>
    </w:p>
    <w:p w14:paraId="72DE3DCC">
      <w:pPr>
        <w:pStyle w:val="64"/>
        <w:numPr>
          <w:ilvl w:val="2"/>
          <w:numId w:val="8"/>
        </w:numPr>
        <w:spacing w:before="156" w:after="156"/>
        <w:ind w:left="709" w:leftChars="0" w:hanging="709" w:firstLineChars="0"/>
        <w:rPr>
          <w:color w:val="auto"/>
        </w:rPr>
      </w:pPr>
      <w:r>
        <w:rPr>
          <w:rFonts w:hint="eastAsia"/>
          <w:color w:val="auto"/>
        </w:rPr>
        <w:t>土壤环境质量现状评价结论</w:t>
      </w:r>
    </w:p>
    <w:p w14:paraId="71F72EF0">
      <w:pPr>
        <w:ind w:firstLine="480"/>
        <w:rPr>
          <w:color w:val="auto"/>
        </w:rPr>
      </w:pPr>
      <w:r>
        <w:rPr>
          <w:rFonts w:ascii="宋体" w:hAnsi="宋体" w:eastAsia="宋体" w:cs="宋体"/>
          <w:spacing w:val="7"/>
          <w:sz w:val="24"/>
          <w:szCs w:val="24"/>
        </w:rPr>
        <w:t>根据《环境影响评价技术导则土壤环境</w:t>
      </w:r>
      <w:r>
        <w:rPr>
          <w:rFonts w:ascii="宋体" w:hAnsi="宋体" w:eastAsia="宋体" w:cs="宋体"/>
          <w:spacing w:val="-1"/>
          <w:sz w:val="24"/>
          <w:szCs w:val="24"/>
        </w:rPr>
        <w:t>（试行）》（</w:t>
      </w:r>
      <w:r>
        <w:rPr>
          <w:rFonts w:ascii="Times New Roman" w:hAnsi="Times New Roman" w:eastAsia="Times New Roman" w:cs="Times New Roman"/>
          <w:spacing w:val="-1"/>
          <w:sz w:val="24"/>
          <w:szCs w:val="24"/>
        </w:rPr>
        <w:t>HJ 964-2018</w:t>
      </w:r>
      <w:r>
        <w:rPr>
          <w:rFonts w:ascii="宋体" w:hAnsi="宋体" w:eastAsia="宋体" w:cs="宋体"/>
          <w:spacing w:val="-2"/>
          <w:sz w:val="24"/>
          <w:szCs w:val="24"/>
        </w:rPr>
        <w:t>），</w:t>
      </w:r>
      <w:r>
        <w:rPr>
          <w:rFonts w:ascii="宋体" w:hAnsi="宋体" w:eastAsia="宋体" w:cs="宋体"/>
          <w:spacing w:val="-1"/>
          <w:sz w:val="24"/>
          <w:szCs w:val="24"/>
        </w:rPr>
        <w:t>本项目属于附录</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20"/>
          <w:sz w:val="24"/>
          <w:szCs w:val="24"/>
        </w:rPr>
        <w:t xml:space="preserve"> </w:t>
      </w:r>
      <w:r>
        <w:rPr>
          <w:rFonts w:ascii="宋体" w:hAnsi="宋体" w:eastAsia="宋体" w:cs="宋体"/>
          <w:spacing w:val="-1"/>
          <w:sz w:val="24"/>
          <w:szCs w:val="24"/>
        </w:rPr>
        <w:t>中制造业中</w:t>
      </w:r>
      <w:r>
        <w:rPr>
          <w:rFonts w:ascii="Times New Roman" w:hAnsi="Times New Roman" w:eastAsia="Times New Roman" w:cs="Times New Roman"/>
          <w:spacing w:val="-2"/>
          <w:sz w:val="24"/>
          <w:szCs w:val="24"/>
        </w:rPr>
        <w:t>“</w:t>
      </w:r>
      <w:r>
        <w:rPr>
          <w:rFonts w:ascii="宋体" w:hAnsi="宋体" w:eastAsia="宋体" w:cs="宋体"/>
          <w:spacing w:val="-2"/>
          <w:sz w:val="24"/>
          <w:szCs w:val="24"/>
        </w:rPr>
        <w:t>设备制造、金属制品、汽</w:t>
      </w:r>
      <w:r>
        <w:rPr>
          <w:rFonts w:ascii="宋体" w:hAnsi="宋体" w:eastAsia="宋体" w:cs="宋体"/>
          <w:spacing w:val="2"/>
          <w:sz w:val="24"/>
          <w:szCs w:val="24"/>
        </w:rPr>
        <w:t>车制造及其他用品制造</w:t>
      </w:r>
      <w:r>
        <w:rPr>
          <w:rFonts w:ascii="Times New Roman" w:hAnsi="Times New Roman" w:eastAsia="Times New Roman" w:cs="Times New Roman"/>
          <w:spacing w:val="2"/>
          <w:sz w:val="24"/>
          <w:szCs w:val="24"/>
        </w:rPr>
        <w:t>”</w:t>
      </w:r>
      <w:r>
        <w:rPr>
          <w:rFonts w:ascii="宋体" w:hAnsi="宋体" w:eastAsia="宋体" w:cs="宋体"/>
          <w:spacing w:val="2"/>
          <w:sz w:val="24"/>
          <w:szCs w:val="24"/>
        </w:rPr>
        <w:t>的</w:t>
      </w:r>
      <w:r>
        <w:rPr>
          <w:rFonts w:ascii="Times New Roman" w:hAnsi="Times New Roman" w:eastAsia="Times New Roman" w:cs="Times New Roman"/>
          <w:spacing w:val="2"/>
          <w:sz w:val="24"/>
          <w:szCs w:val="24"/>
        </w:rPr>
        <w:t>“</w:t>
      </w:r>
      <w:r>
        <w:rPr>
          <w:rFonts w:ascii="宋体" w:hAnsi="宋体" w:eastAsia="宋体" w:cs="宋体"/>
          <w:spacing w:val="2"/>
          <w:sz w:val="24"/>
          <w:szCs w:val="24"/>
        </w:rPr>
        <w:t>其他</w:t>
      </w:r>
      <w:r>
        <w:rPr>
          <w:rFonts w:ascii="Times New Roman" w:hAnsi="Times New Roman" w:eastAsia="Times New Roman" w:cs="Times New Roman"/>
          <w:spacing w:val="2"/>
          <w:sz w:val="24"/>
          <w:szCs w:val="24"/>
        </w:rPr>
        <w:t>”</w:t>
      </w:r>
      <w:r>
        <w:rPr>
          <w:rFonts w:ascii="宋体" w:hAnsi="宋体" w:eastAsia="宋体" w:cs="宋体"/>
          <w:spacing w:val="2"/>
          <w:sz w:val="24"/>
          <w:szCs w:val="24"/>
        </w:rPr>
        <w:t>类别，则本项目的土壤环境影响评价项目类别为</w:t>
      </w:r>
      <w:r>
        <w:rPr>
          <w:rFonts w:ascii="Times New Roman" w:hAnsi="Times New Roman" w:eastAsia="Times New Roman" w:cs="Times New Roman"/>
          <w:spacing w:val="2"/>
          <w:sz w:val="24"/>
          <w:szCs w:val="24"/>
        </w:rPr>
        <w:t>Ⅲ</w:t>
      </w:r>
      <w:r>
        <w:rPr>
          <w:rFonts w:ascii="宋体" w:hAnsi="宋体" w:eastAsia="宋体" w:cs="宋体"/>
          <w:spacing w:val="2"/>
          <w:sz w:val="24"/>
          <w:szCs w:val="24"/>
        </w:rPr>
        <w:t>类。</w:t>
      </w:r>
      <w:r>
        <w:rPr>
          <w:rFonts w:ascii="宋体" w:hAnsi="宋体" w:eastAsia="宋体" w:cs="宋体"/>
          <w:sz w:val="24"/>
          <w:szCs w:val="24"/>
        </w:rPr>
        <w:t>本项目占地面积</w:t>
      </w:r>
      <w:r>
        <w:rPr>
          <w:rFonts w:ascii="宋体" w:hAnsi="宋体" w:eastAsia="宋体" w:cs="宋体"/>
          <w:spacing w:val="-1"/>
          <w:sz w:val="24"/>
          <w:szCs w:val="24"/>
        </w:rPr>
        <w:t>属于小型规模。项目周边无耕地、园地、牧草地、饮</w:t>
      </w:r>
      <w:r>
        <w:rPr>
          <w:rFonts w:ascii="宋体" w:hAnsi="宋体" w:eastAsia="宋体" w:cs="宋体"/>
          <w:spacing w:val="5"/>
          <w:sz w:val="24"/>
          <w:szCs w:val="24"/>
        </w:rPr>
        <w:t>用水源地或居民区、学校、医院、疗养院、养老</w:t>
      </w:r>
      <w:r>
        <w:rPr>
          <w:rFonts w:ascii="宋体" w:hAnsi="宋体" w:eastAsia="宋体" w:cs="宋体"/>
          <w:spacing w:val="4"/>
          <w:sz w:val="24"/>
          <w:szCs w:val="24"/>
        </w:rPr>
        <w:t>院等土壤环境敏感目标，土壤环境敏</w:t>
      </w:r>
      <w:r>
        <w:rPr>
          <w:rFonts w:ascii="宋体" w:hAnsi="宋体" w:eastAsia="宋体" w:cs="宋体"/>
          <w:spacing w:val="5"/>
          <w:sz w:val="24"/>
          <w:szCs w:val="24"/>
        </w:rPr>
        <w:t>感程度判定为</w:t>
      </w:r>
      <w:r>
        <w:rPr>
          <w:rFonts w:ascii="Times New Roman" w:hAnsi="Times New Roman" w:eastAsia="Times New Roman" w:cs="Times New Roman"/>
          <w:spacing w:val="5"/>
          <w:sz w:val="24"/>
          <w:szCs w:val="24"/>
        </w:rPr>
        <w:t>“</w:t>
      </w:r>
      <w:r>
        <w:rPr>
          <w:rFonts w:ascii="宋体" w:hAnsi="宋体" w:eastAsia="宋体" w:cs="宋体"/>
          <w:spacing w:val="5"/>
          <w:sz w:val="24"/>
          <w:szCs w:val="24"/>
        </w:rPr>
        <w:t>不敏感</w:t>
      </w:r>
      <w:r>
        <w:rPr>
          <w:rFonts w:ascii="Times New Roman" w:hAnsi="Times New Roman" w:eastAsia="Times New Roman" w:cs="Times New Roman"/>
          <w:spacing w:val="5"/>
          <w:sz w:val="24"/>
          <w:szCs w:val="24"/>
        </w:rPr>
        <w:t>”</w:t>
      </w:r>
      <w:r>
        <w:rPr>
          <w:rFonts w:ascii="宋体" w:hAnsi="宋体" w:eastAsia="宋体" w:cs="宋体"/>
          <w:spacing w:val="5"/>
          <w:sz w:val="24"/>
          <w:szCs w:val="24"/>
        </w:rPr>
        <w:t>，可不开展土壤环境影响评价工作，不做土壤环境现状调查与</w:t>
      </w:r>
      <w:r>
        <w:rPr>
          <w:rFonts w:ascii="宋体" w:hAnsi="宋体" w:eastAsia="宋体" w:cs="宋体"/>
          <w:spacing w:val="-10"/>
          <w:sz w:val="24"/>
          <w:szCs w:val="24"/>
        </w:rPr>
        <w:t>评价。</w:t>
      </w:r>
    </w:p>
    <w:p w14:paraId="3EC350FE">
      <w:pPr>
        <w:pStyle w:val="67"/>
        <w:numPr>
          <w:ilvl w:val="1"/>
          <w:numId w:val="8"/>
        </w:numPr>
        <w:spacing w:before="156" w:after="156"/>
        <w:ind w:left="567" w:leftChars="0" w:hanging="567" w:firstLineChars="0"/>
        <w:rPr>
          <w:color w:val="auto"/>
        </w:rPr>
      </w:pPr>
      <w:bookmarkStart w:id="324" w:name="_Toc3299400"/>
      <w:bookmarkStart w:id="325" w:name="_Toc31539"/>
      <w:bookmarkStart w:id="326" w:name="_Toc13308111"/>
      <w:bookmarkStart w:id="327" w:name="_Toc241517818"/>
      <w:bookmarkStart w:id="328" w:name="_Toc239440989"/>
      <w:bookmarkStart w:id="329" w:name="_Toc323741189"/>
      <w:bookmarkStart w:id="330" w:name="_Toc12959369"/>
      <w:bookmarkStart w:id="331" w:name="_Toc280776101"/>
      <w:bookmarkStart w:id="332" w:name="_Toc439880049"/>
      <w:bookmarkStart w:id="333" w:name="_Toc23904"/>
      <w:r>
        <w:rPr>
          <w:rFonts w:hint="eastAsia"/>
          <w:color w:val="auto"/>
        </w:rPr>
        <w:t>施工期环境影响分析结论</w:t>
      </w:r>
      <w:bookmarkEnd w:id="324"/>
      <w:bookmarkEnd w:id="325"/>
    </w:p>
    <w:p w14:paraId="671D5EF4">
      <w:pPr>
        <w:ind w:firstLine="480"/>
        <w:rPr>
          <w:color w:val="auto"/>
        </w:rPr>
      </w:pPr>
      <w:r>
        <w:rPr>
          <w:rFonts w:hint="eastAsia"/>
          <w:color w:val="auto"/>
          <w:lang w:val="en-US" w:eastAsia="zh-CN"/>
        </w:rPr>
        <w:t>本项目</w:t>
      </w:r>
      <w:r>
        <w:rPr>
          <w:rFonts w:hint="default"/>
          <w:color w:val="auto"/>
        </w:rPr>
        <w:t>不涉及土建工程，只涉及设备的安装和调试，</w:t>
      </w:r>
      <w:r>
        <w:rPr>
          <w:rFonts w:hint="default" w:ascii="Times New Roman" w:hAnsi="Times New Roman" w:cs="Times New Roman"/>
          <w:color w:val="auto"/>
          <w:szCs w:val="24"/>
          <w:highlight w:val="none"/>
        </w:rPr>
        <w:t>因此施工期污染主要是设备进场产生的噪声，装修产生的建筑垃圾等。其影响到厂房投入使用后会消失，对周围环境影响不大。</w:t>
      </w:r>
    </w:p>
    <w:p w14:paraId="3AB15E79">
      <w:pPr>
        <w:pStyle w:val="67"/>
        <w:numPr>
          <w:ilvl w:val="1"/>
          <w:numId w:val="8"/>
        </w:numPr>
        <w:spacing w:before="156" w:after="156"/>
        <w:ind w:left="567" w:leftChars="0" w:hanging="567" w:firstLineChars="0"/>
        <w:rPr>
          <w:color w:val="auto"/>
        </w:rPr>
      </w:pPr>
      <w:bookmarkStart w:id="334" w:name="_Toc20188"/>
      <w:r>
        <w:rPr>
          <w:color w:val="auto"/>
        </w:rPr>
        <w:t>营运期环境影响评价结论</w:t>
      </w:r>
      <w:bookmarkEnd w:id="326"/>
      <w:bookmarkEnd w:id="327"/>
      <w:bookmarkEnd w:id="328"/>
      <w:bookmarkEnd w:id="329"/>
      <w:bookmarkEnd w:id="330"/>
      <w:bookmarkEnd w:id="331"/>
      <w:bookmarkEnd w:id="332"/>
      <w:bookmarkEnd w:id="333"/>
      <w:bookmarkEnd w:id="334"/>
    </w:p>
    <w:p w14:paraId="629681F2">
      <w:pPr>
        <w:pStyle w:val="64"/>
        <w:numPr>
          <w:ilvl w:val="2"/>
          <w:numId w:val="8"/>
        </w:numPr>
        <w:spacing w:before="156" w:after="156"/>
        <w:ind w:left="709" w:leftChars="0" w:hanging="709" w:firstLineChars="0"/>
        <w:rPr>
          <w:color w:val="auto"/>
        </w:rPr>
      </w:pPr>
      <w:bookmarkStart w:id="335" w:name="_Toc239440990"/>
      <w:r>
        <w:rPr>
          <w:rFonts w:hint="eastAsia"/>
          <w:color w:val="auto"/>
        </w:rPr>
        <w:t>水环境影响评价结论</w:t>
      </w:r>
      <w:bookmarkEnd w:id="335"/>
    </w:p>
    <w:p w14:paraId="35D242FF">
      <w:pPr>
        <w:bidi w:val="0"/>
        <w:rPr>
          <w:rFonts w:hint="default"/>
          <w:color w:val="auto"/>
          <w:lang w:val="en-US" w:eastAsia="zh-CN"/>
        </w:rPr>
      </w:pPr>
      <w:r>
        <w:rPr>
          <w:rFonts w:hint="eastAsia" w:ascii="Times New Roman" w:hAnsi="Times New Roman" w:cs="Times New Roman"/>
          <w:lang w:eastAsia="zh-CN"/>
        </w:rPr>
        <w:t>生活污水依托东达公司设置的三级化粪池处理后经市政污水</w:t>
      </w:r>
      <w:r>
        <w:rPr>
          <w:rFonts w:hint="eastAsia" w:ascii="Times New Roman" w:hAnsi="Times New Roman" w:cs="Times New Roman"/>
        </w:rPr>
        <w:t>管网排放至鹤山市龙口三连预处理站预处理后，再通过泵站提升至鹤山市第二污水处理厂深度处理。</w:t>
      </w:r>
    </w:p>
    <w:p w14:paraId="1771476B">
      <w:pPr>
        <w:ind w:firstLine="480"/>
        <w:rPr>
          <w:color w:val="auto"/>
        </w:rPr>
      </w:pPr>
      <w:r>
        <w:rPr>
          <w:rFonts w:hint="eastAsia"/>
          <w:color w:val="auto"/>
        </w:rPr>
        <w:t>本项目依托</w:t>
      </w:r>
      <w:r>
        <w:rPr>
          <w:rFonts w:hint="eastAsia"/>
          <w:color w:val="auto"/>
          <w:lang w:eastAsia="zh-CN"/>
        </w:rPr>
        <w:t>鹤山市第二污水处理厂</w:t>
      </w:r>
      <w:r>
        <w:rPr>
          <w:rFonts w:hint="eastAsia"/>
          <w:color w:val="auto"/>
        </w:rPr>
        <w:t>处理后废水可达标排放，因此本项目地表水环境影响可接受。</w:t>
      </w:r>
    </w:p>
    <w:p w14:paraId="648E2474">
      <w:pPr>
        <w:pStyle w:val="64"/>
        <w:numPr>
          <w:ilvl w:val="2"/>
          <w:numId w:val="8"/>
        </w:numPr>
        <w:spacing w:before="156" w:after="156"/>
        <w:ind w:left="709" w:leftChars="0" w:hanging="709" w:firstLineChars="0"/>
        <w:rPr>
          <w:color w:val="auto"/>
        </w:rPr>
      </w:pPr>
      <w:bookmarkStart w:id="336" w:name="_Toc108793998"/>
      <w:bookmarkStart w:id="337" w:name="_Toc80416521"/>
      <w:bookmarkStart w:id="338" w:name="_Toc82510186"/>
      <w:bookmarkStart w:id="339" w:name="_Toc89856260"/>
      <w:bookmarkStart w:id="340" w:name="_Toc97284113"/>
      <w:bookmarkStart w:id="341" w:name="_Toc89857435"/>
      <w:bookmarkStart w:id="342" w:name="_Toc107806044"/>
      <w:bookmarkStart w:id="343" w:name="_Toc92626011"/>
      <w:r>
        <w:rPr>
          <w:rFonts w:hint="eastAsia"/>
          <w:color w:val="auto"/>
        </w:rPr>
        <w:t>大气环境影响预测评价结论</w:t>
      </w:r>
      <w:bookmarkEnd w:id="336"/>
      <w:bookmarkEnd w:id="337"/>
      <w:bookmarkEnd w:id="338"/>
      <w:bookmarkEnd w:id="339"/>
      <w:bookmarkEnd w:id="340"/>
      <w:bookmarkEnd w:id="341"/>
      <w:bookmarkEnd w:id="342"/>
      <w:bookmarkEnd w:id="343"/>
    </w:p>
    <w:p w14:paraId="1481ED50">
      <w:pPr>
        <w:ind w:firstLine="480"/>
        <w:jc w:val="left"/>
        <w:rPr>
          <w:rFonts w:hint="default" w:eastAsia="宋体"/>
          <w:sz w:val="21"/>
          <w:lang w:val="en-US" w:eastAsia="zh-CN"/>
        </w:rPr>
      </w:pPr>
      <w:r>
        <w:rPr>
          <w:rFonts w:hint="eastAsia"/>
        </w:rPr>
        <w:t>根据</w:t>
      </w:r>
      <w:r>
        <w:rPr>
          <w:rFonts w:hint="eastAsia"/>
          <w:color w:val="auto"/>
        </w:rPr>
        <w:t>气象观测站</w:t>
      </w:r>
      <w:r>
        <w:rPr>
          <w:rFonts w:hint="eastAsia"/>
          <w:lang w:val="en-US" w:eastAsia="zh-CN"/>
        </w:rPr>
        <w:t>（站点编码</w:t>
      </w:r>
      <w:r>
        <w:rPr>
          <w:rFonts w:hint="eastAsia"/>
          <w:color w:val="auto"/>
        </w:rPr>
        <w:t>59473</w:t>
      </w:r>
      <w:r>
        <w:rPr>
          <w:rFonts w:hint="eastAsia"/>
          <w:lang w:val="en-US" w:eastAsia="zh-CN"/>
        </w:rPr>
        <w:t>）上2024年的</w:t>
      </w:r>
      <w:r>
        <w:rPr>
          <w:rFonts w:hint="eastAsia"/>
        </w:rPr>
        <w:t>空气质量监测数据，</w:t>
      </w:r>
      <w:r>
        <w:rPr>
          <w:rFonts w:hint="eastAsia"/>
          <w:lang w:val="en-US" w:eastAsia="zh-CN"/>
        </w:rPr>
        <w:t>项目所在区域</w:t>
      </w:r>
      <w:r>
        <w:rPr>
          <w:rFonts w:hint="eastAsia"/>
        </w:rPr>
        <w:t>202</w:t>
      </w:r>
      <w:r>
        <w:rPr>
          <w:rFonts w:hint="eastAsia"/>
          <w:lang w:val="en-US" w:eastAsia="zh-CN"/>
        </w:rPr>
        <w:t>4</w:t>
      </w:r>
      <w:r>
        <w:rPr>
          <w:rFonts w:hint="eastAsia"/>
        </w:rPr>
        <w:t>年属环境空气质量</w:t>
      </w:r>
      <w:r>
        <w:rPr>
          <w:rFonts w:hint="eastAsia"/>
          <w:lang w:val="en-US" w:eastAsia="zh-CN"/>
        </w:rPr>
        <w:t>不</w:t>
      </w:r>
      <w:r>
        <w:rPr>
          <w:rFonts w:hint="eastAsia"/>
        </w:rPr>
        <w:t>达标区</w:t>
      </w:r>
      <w:r>
        <w:rPr>
          <w:rFonts w:hint="eastAsia"/>
          <w:lang w:eastAsia="zh-CN"/>
        </w:rPr>
        <w:t>，</w:t>
      </w:r>
      <w:r>
        <w:rPr>
          <w:rFonts w:hint="eastAsia"/>
          <w:lang w:val="en-US" w:eastAsia="zh-CN"/>
        </w:rPr>
        <w:t>不达标因子为臭氧。</w:t>
      </w:r>
    </w:p>
    <w:p w14:paraId="2B645355">
      <w:pPr>
        <w:keepNext w:val="0"/>
        <w:keepLines w:val="0"/>
        <w:pageBreakBefore w:val="0"/>
        <w:widowControl w:val="0"/>
        <w:numPr>
          <w:ilvl w:val="0"/>
          <w:numId w:val="44"/>
        </w:numPr>
        <w:kinsoku/>
        <w:wordWrap/>
        <w:overflowPunct/>
        <w:topLinePunct w:val="0"/>
        <w:autoSpaceDE/>
        <w:autoSpaceDN/>
        <w:bidi w:val="0"/>
        <w:adjustRightInd/>
        <w:snapToGrid/>
        <w:ind w:left="0"/>
        <w:textAlignment w:val="auto"/>
      </w:pPr>
      <w:r>
        <w:rPr>
          <w:rFonts w:hint="eastAsia"/>
          <w:lang w:val="en-US" w:eastAsia="zh-CN"/>
        </w:rPr>
        <w:t>本项目建设未新增臭氧污染物排放；</w:t>
      </w:r>
    </w:p>
    <w:p w14:paraId="3469EA77">
      <w:pPr>
        <w:keepNext w:val="0"/>
        <w:keepLines w:val="0"/>
        <w:pageBreakBefore w:val="0"/>
        <w:widowControl w:val="0"/>
        <w:numPr>
          <w:ilvl w:val="0"/>
          <w:numId w:val="44"/>
        </w:numPr>
        <w:kinsoku/>
        <w:wordWrap/>
        <w:overflowPunct/>
        <w:topLinePunct w:val="0"/>
        <w:autoSpaceDE/>
        <w:autoSpaceDN/>
        <w:bidi w:val="0"/>
        <w:adjustRightInd/>
        <w:snapToGrid/>
        <w:ind w:left="0"/>
        <w:textAlignment w:val="auto"/>
      </w:pPr>
      <w:r>
        <w:t>新增污染源</w:t>
      </w:r>
      <w:r>
        <w:rPr>
          <w:rFonts w:hint="eastAsia"/>
        </w:rPr>
        <w:t>（</w:t>
      </w:r>
      <w:r>
        <w:t>PM</w:t>
      </w:r>
      <w:r>
        <w:rPr>
          <w:vertAlign w:val="subscript"/>
        </w:rPr>
        <w:t>10</w:t>
      </w:r>
      <w:r>
        <w:t>、</w:t>
      </w:r>
      <w:r>
        <w:rPr>
          <w:rFonts w:hint="eastAsia"/>
        </w:rPr>
        <w:t>TVOC、</w:t>
      </w:r>
      <w:r>
        <w:rPr>
          <w:rFonts w:hint="eastAsia"/>
          <w:lang w:val="en-US" w:eastAsia="zh-CN"/>
        </w:rPr>
        <w:t>NMHC、二氧化硫、氮氧化物、苯</w:t>
      </w:r>
      <w:r>
        <w:rPr>
          <w:rFonts w:hint="eastAsia"/>
          <w:lang w:eastAsia="zh-CN"/>
        </w:rPr>
        <w:t>、</w:t>
      </w:r>
      <w:r>
        <w:rPr>
          <w:rFonts w:hint="eastAsia"/>
          <w:lang w:val="en-US" w:eastAsia="zh-CN"/>
        </w:rPr>
        <w:t>甲苯、氯化氢</w:t>
      </w:r>
      <w:r>
        <w:rPr>
          <w:rFonts w:hint="eastAsia"/>
        </w:rPr>
        <w:t>）</w:t>
      </w:r>
      <w:r>
        <w:t>正常排放下污染物短期浓度贡献值的最大浓度占标率≤</w:t>
      </w:r>
      <w:r>
        <w:rPr>
          <w:rFonts w:hint="eastAsia"/>
        </w:rPr>
        <w:t>100%</w:t>
      </w:r>
      <w:r>
        <w:t>；</w:t>
      </w:r>
    </w:p>
    <w:p w14:paraId="24E941EE">
      <w:pPr>
        <w:keepNext w:val="0"/>
        <w:keepLines w:val="0"/>
        <w:pageBreakBefore w:val="0"/>
        <w:widowControl w:val="0"/>
        <w:numPr>
          <w:ilvl w:val="0"/>
          <w:numId w:val="44"/>
        </w:numPr>
        <w:kinsoku/>
        <w:wordWrap/>
        <w:overflowPunct/>
        <w:topLinePunct w:val="0"/>
        <w:autoSpaceDE/>
        <w:autoSpaceDN/>
        <w:bidi w:val="0"/>
        <w:adjustRightInd/>
        <w:snapToGrid/>
        <w:ind w:left="0"/>
        <w:textAlignment w:val="auto"/>
      </w:pPr>
      <w:r>
        <w:t>新增污染源正常排放下污染物</w:t>
      </w:r>
      <w:r>
        <w:rPr>
          <w:rFonts w:hint="eastAsia"/>
        </w:rPr>
        <w:t>（</w:t>
      </w:r>
      <w:r>
        <w:t>PM</w:t>
      </w:r>
      <w:r>
        <w:rPr>
          <w:vertAlign w:val="subscript"/>
        </w:rPr>
        <w:t>10</w:t>
      </w:r>
      <w:r>
        <w:rPr>
          <w:rFonts w:hint="eastAsia"/>
          <w:lang w:eastAsia="zh-CN"/>
        </w:rPr>
        <w:t>、</w:t>
      </w:r>
      <w:r>
        <w:rPr>
          <w:rFonts w:hint="eastAsia"/>
          <w:lang w:val="en-US" w:eastAsia="zh-CN"/>
        </w:rPr>
        <w:t>二氧化硫、二氧化氮</w:t>
      </w:r>
      <w:r>
        <w:rPr>
          <w:rFonts w:hint="eastAsia"/>
        </w:rPr>
        <w:t>）</w:t>
      </w:r>
      <w:r>
        <w:t>年均浓度贡献值的最大浓度占标率≤</w:t>
      </w:r>
      <w:r>
        <w:rPr>
          <w:rFonts w:hint="eastAsia"/>
        </w:rPr>
        <w:t>30%</w:t>
      </w:r>
      <w:r>
        <w:t>（其中一类区≤</w:t>
      </w:r>
      <w:r>
        <w:rPr>
          <w:rFonts w:hint="eastAsia"/>
        </w:rPr>
        <w:t>10%</w:t>
      </w:r>
      <w:r>
        <w:t>）；</w:t>
      </w:r>
    </w:p>
    <w:p w14:paraId="469ADEFB">
      <w:pPr>
        <w:keepNext w:val="0"/>
        <w:keepLines w:val="0"/>
        <w:pageBreakBefore w:val="0"/>
        <w:widowControl w:val="0"/>
        <w:numPr>
          <w:ilvl w:val="0"/>
          <w:numId w:val="44"/>
        </w:numPr>
        <w:kinsoku/>
        <w:wordWrap/>
        <w:overflowPunct/>
        <w:topLinePunct w:val="0"/>
        <w:autoSpaceDE/>
        <w:autoSpaceDN/>
        <w:bidi w:val="0"/>
        <w:adjustRightInd/>
        <w:snapToGrid/>
        <w:ind w:left="0"/>
        <w:textAlignment w:val="auto"/>
        <w:rPr>
          <w:rFonts w:hint="eastAsia"/>
        </w:rPr>
      </w:pPr>
      <w:r>
        <w:t>现状达标的污染物</w:t>
      </w:r>
      <w:r>
        <w:rPr>
          <w:rFonts w:hint="eastAsia"/>
        </w:rPr>
        <w:t>（</w:t>
      </w:r>
      <w:r>
        <w:t>PM</w:t>
      </w:r>
      <w:r>
        <w:rPr>
          <w:vertAlign w:val="subscript"/>
        </w:rPr>
        <w:t>10</w:t>
      </w:r>
      <w:r>
        <w:t>、</w:t>
      </w:r>
      <w:r>
        <w:rPr>
          <w:rFonts w:hint="eastAsia"/>
        </w:rPr>
        <w:t>TVOC、</w:t>
      </w:r>
      <w:r>
        <w:rPr>
          <w:rFonts w:hint="eastAsia"/>
          <w:lang w:val="en-US" w:eastAsia="zh-CN"/>
        </w:rPr>
        <w:t>NMHC、二氧化硫、氮氧化物、苯</w:t>
      </w:r>
      <w:r>
        <w:rPr>
          <w:rFonts w:hint="eastAsia"/>
          <w:lang w:eastAsia="zh-CN"/>
        </w:rPr>
        <w:t>、</w:t>
      </w:r>
      <w:r>
        <w:rPr>
          <w:rFonts w:hint="eastAsia"/>
          <w:lang w:val="en-US" w:eastAsia="zh-CN"/>
        </w:rPr>
        <w:t>甲苯、氯化氢</w:t>
      </w:r>
      <w:r>
        <w:rPr>
          <w:rFonts w:hint="eastAsia"/>
        </w:rPr>
        <w:t>）</w:t>
      </w:r>
      <w:r>
        <w:t>叠加后污染物浓度符合环境质量标准；项目排放的主要污染物</w:t>
      </w:r>
      <w:r>
        <w:rPr>
          <w:rFonts w:hint="eastAsia"/>
        </w:rPr>
        <w:t>（TVOC、</w:t>
      </w:r>
      <w:r>
        <w:rPr>
          <w:rFonts w:hint="eastAsia"/>
          <w:lang w:val="en-US" w:eastAsia="zh-CN"/>
        </w:rPr>
        <w:t>NMHC、苯</w:t>
      </w:r>
      <w:r>
        <w:rPr>
          <w:rFonts w:hint="eastAsia"/>
          <w:lang w:eastAsia="zh-CN"/>
        </w:rPr>
        <w:t>、</w:t>
      </w:r>
      <w:r>
        <w:rPr>
          <w:rFonts w:hint="eastAsia"/>
          <w:lang w:val="en-US" w:eastAsia="zh-CN"/>
        </w:rPr>
        <w:t>甲苯、氯化氢</w:t>
      </w:r>
      <w:r>
        <w:rPr>
          <w:rFonts w:hint="eastAsia"/>
        </w:rPr>
        <w:t>）</w:t>
      </w:r>
      <w:r>
        <w:t>仅有短期浓度限值的，叠加后的短期浓度符合环境质量标准。TVOC</w:t>
      </w:r>
      <w:r>
        <w:rPr>
          <w:rFonts w:hint="eastAsia"/>
          <w:lang w:val="en-US" w:eastAsia="zh-CN"/>
        </w:rPr>
        <w:t>污染因子实行倍量替代，满足区域环境质量改善目标。</w:t>
      </w:r>
    </w:p>
    <w:p w14:paraId="6E6A8FBF">
      <w:pPr>
        <w:ind w:firstLine="480"/>
        <w:rPr>
          <w:color w:val="FF0000"/>
          <w:highlight w:val="yellow"/>
        </w:rPr>
      </w:pPr>
      <w:r>
        <w:rPr>
          <w:rFonts w:hint="eastAsia"/>
        </w:rPr>
        <w:t>综上，根据项目采取的污染治理措施及污染物排放强度、排放方式分析可知，项目可实现达标排放，对大气环境的影响是可以接受的。</w:t>
      </w:r>
    </w:p>
    <w:p w14:paraId="6F2CF01D">
      <w:pPr>
        <w:pStyle w:val="64"/>
        <w:numPr>
          <w:ilvl w:val="2"/>
          <w:numId w:val="8"/>
        </w:numPr>
        <w:spacing w:before="156" w:after="156"/>
        <w:ind w:left="709" w:leftChars="0" w:hanging="709" w:firstLineChars="0"/>
        <w:rPr>
          <w:color w:val="auto"/>
        </w:rPr>
      </w:pPr>
      <w:r>
        <w:rPr>
          <w:rFonts w:hint="eastAsia"/>
          <w:color w:val="auto"/>
        </w:rPr>
        <w:t>声环境影响预测评价结论</w:t>
      </w:r>
    </w:p>
    <w:p w14:paraId="43635F4D">
      <w:pPr>
        <w:ind w:firstLine="480"/>
        <w:rPr>
          <w:color w:val="auto"/>
        </w:rPr>
      </w:pPr>
      <w:r>
        <w:rPr>
          <w:rFonts w:hint="eastAsia"/>
          <w:color w:val="auto"/>
        </w:rPr>
        <w:t>项目厂房</w:t>
      </w:r>
      <w:r>
        <w:rPr>
          <w:color w:val="auto"/>
        </w:rPr>
        <w:t>选用低噪设备，生产过程中所产生的噪声值能达到《工业企业厂界环境噪声排放标准》（GB12348-2008）3</w:t>
      </w:r>
      <w:r>
        <w:rPr>
          <w:rFonts w:hint="eastAsia"/>
          <w:color w:val="auto"/>
          <w:lang w:val="en-US" w:eastAsia="zh-CN"/>
        </w:rPr>
        <w:t>类</w:t>
      </w:r>
      <w:r>
        <w:rPr>
          <w:color w:val="auto"/>
        </w:rPr>
        <w:t>标准的要求。</w:t>
      </w:r>
    </w:p>
    <w:p w14:paraId="3B3A807E">
      <w:pPr>
        <w:pStyle w:val="64"/>
        <w:numPr>
          <w:ilvl w:val="2"/>
          <w:numId w:val="8"/>
        </w:numPr>
        <w:spacing w:before="156" w:after="156"/>
        <w:ind w:left="709" w:leftChars="0" w:hanging="709" w:firstLineChars="0"/>
        <w:rPr>
          <w:color w:val="auto"/>
        </w:rPr>
      </w:pPr>
      <w:r>
        <w:rPr>
          <w:rFonts w:hint="eastAsia"/>
          <w:color w:val="auto"/>
        </w:rPr>
        <w:t>固体废物影响评价结论</w:t>
      </w:r>
    </w:p>
    <w:p w14:paraId="720CBB23">
      <w:pPr>
        <w:adjustRightInd w:val="0"/>
        <w:snapToGrid w:val="0"/>
        <w:ind w:firstLine="480"/>
        <w:rPr>
          <w:rFonts w:hint="eastAsia"/>
          <w:color w:val="auto"/>
          <w:lang w:val="en-US" w:eastAsia="zh-CN"/>
        </w:rPr>
      </w:pPr>
      <w:r>
        <w:rPr>
          <w:rFonts w:hint="eastAsia"/>
          <w:color w:val="auto"/>
        </w:rPr>
        <w:t>生活垃圾在垃圾房暂存后由当地环卫部门统一清运；</w:t>
      </w:r>
      <w:r>
        <w:rPr>
          <w:rFonts w:hint="eastAsia"/>
          <w:color w:val="auto"/>
          <w:lang w:val="en-US" w:eastAsia="zh-CN"/>
        </w:rPr>
        <w:t>塑废边角料、次品、废普通包装物、废印版交资源回收利用单位或一般固废处理公司进行处理，危险废物（废包装桶、废油墨、</w:t>
      </w:r>
      <w:r>
        <w:rPr>
          <w:rFonts w:hint="eastAsia"/>
          <w:lang w:val="en-US" w:eastAsia="zh-CN"/>
        </w:rPr>
        <w:t>废矿物油及其包装罐</w:t>
      </w:r>
      <w:r>
        <w:rPr>
          <w:rFonts w:hint="eastAsia"/>
          <w:color w:val="auto"/>
          <w:lang w:val="en-US" w:eastAsia="zh-CN"/>
        </w:rPr>
        <w:t>、废擦机布和手套、废过滤袋、废分子筛、废饱和活性炭）交由取得危险废物经营许可证的单位进行处理。</w:t>
      </w:r>
    </w:p>
    <w:p w14:paraId="60C2E33C">
      <w:pPr>
        <w:adjustRightInd w:val="0"/>
        <w:snapToGrid w:val="0"/>
        <w:ind w:firstLine="480"/>
        <w:rPr>
          <w:rFonts w:hint="default" w:eastAsia="宋体"/>
          <w:color w:val="auto"/>
          <w:lang w:val="en-US" w:eastAsia="zh-CN"/>
        </w:rPr>
      </w:pPr>
      <w:r>
        <w:rPr>
          <w:rFonts w:hint="eastAsia"/>
          <w:color w:val="auto"/>
          <w:lang w:val="en-US" w:eastAsia="zh-CN"/>
        </w:rPr>
        <w:t>本项目设置一般固体废物</w:t>
      </w:r>
      <w:r>
        <w:rPr>
          <w:rFonts w:hint="eastAsia"/>
          <w:color w:val="auto"/>
        </w:rPr>
        <w:t>仓</w:t>
      </w:r>
      <w:r>
        <w:rPr>
          <w:rFonts w:hint="eastAsia"/>
          <w:color w:val="auto"/>
          <w:lang w:val="en-US" w:eastAsia="zh-CN"/>
        </w:rPr>
        <w:t>和</w:t>
      </w:r>
      <w:r>
        <w:rPr>
          <w:rFonts w:hint="eastAsia"/>
          <w:color w:val="auto"/>
        </w:rPr>
        <w:t>危险废物暂存仓</w:t>
      </w:r>
      <w:r>
        <w:rPr>
          <w:rFonts w:hint="eastAsia"/>
          <w:color w:val="auto"/>
          <w:lang w:eastAsia="zh-CN"/>
        </w:rPr>
        <w:t>，</w:t>
      </w:r>
      <w:r>
        <w:rPr>
          <w:rFonts w:hint="eastAsia"/>
          <w:color w:val="auto"/>
          <w:lang w:val="en-US" w:eastAsia="zh-CN"/>
        </w:rPr>
        <w:t>一般工业固体废物在厂内贮存过程应满足相应防渗漏、防雨淋、防扬尘等环境保护要求</w:t>
      </w:r>
      <w:r>
        <w:rPr>
          <w:rFonts w:hint="eastAsia"/>
          <w:color w:val="auto"/>
        </w:rPr>
        <w:t>，危险废物执行《危险废物贮存污染控制标准》（GB 18597-20</w:t>
      </w:r>
      <w:r>
        <w:rPr>
          <w:rFonts w:hint="eastAsia"/>
          <w:color w:val="auto"/>
          <w:lang w:val="en-US" w:eastAsia="zh-CN"/>
        </w:rPr>
        <w:t>23</w:t>
      </w:r>
      <w:r>
        <w:rPr>
          <w:rFonts w:hint="eastAsia"/>
          <w:color w:val="auto"/>
        </w:rPr>
        <w:t>）</w:t>
      </w:r>
      <w:r>
        <w:rPr>
          <w:color w:val="auto"/>
        </w:rPr>
        <w:t>。</w:t>
      </w:r>
    </w:p>
    <w:p w14:paraId="565D5CBA">
      <w:pPr>
        <w:adjustRightInd w:val="0"/>
        <w:snapToGrid w:val="0"/>
        <w:ind w:firstLine="480"/>
        <w:rPr>
          <w:color w:val="auto"/>
        </w:rPr>
      </w:pPr>
      <w:r>
        <w:rPr>
          <w:rFonts w:hint="eastAsia"/>
          <w:color w:val="auto"/>
        </w:rPr>
        <w:t>经上述处理办法处置后，该项目产生的固体废物不会对周围环境产生不良的影响。</w:t>
      </w:r>
    </w:p>
    <w:p w14:paraId="127AC217">
      <w:pPr>
        <w:pStyle w:val="64"/>
        <w:numPr>
          <w:ilvl w:val="2"/>
          <w:numId w:val="8"/>
        </w:numPr>
        <w:spacing w:before="156" w:after="156"/>
        <w:ind w:left="709" w:leftChars="0" w:hanging="709" w:firstLineChars="0"/>
        <w:rPr>
          <w:color w:val="auto"/>
        </w:rPr>
      </w:pPr>
      <w:r>
        <w:rPr>
          <w:rFonts w:hint="eastAsia"/>
          <w:color w:val="auto"/>
        </w:rPr>
        <w:t>地下水</w:t>
      </w:r>
      <w:r>
        <w:rPr>
          <w:rFonts w:hint="eastAsia"/>
          <w:color w:val="auto"/>
          <w:lang w:eastAsia="zh-CN"/>
        </w:rPr>
        <w:t>、</w:t>
      </w:r>
      <w:r>
        <w:rPr>
          <w:rFonts w:ascii="宋体" w:hAnsi="宋体" w:eastAsia="宋体" w:cs="宋体"/>
          <w:spacing w:val="-1"/>
          <w:sz w:val="24"/>
          <w:szCs w:val="24"/>
        </w:rPr>
        <w:t>土壤</w:t>
      </w:r>
      <w:r>
        <w:rPr>
          <w:rFonts w:hint="eastAsia"/>
          <w:color w:val="auto"/>
        </w:rPr>
        <w:t>环境影响预测评价结论</w:t>
      </w:r>
    </w:p>
    <w:p w14:paraId="1F122CB0">
      <w:pPr>
        <w:ind w:firstLine="480"/>
        <w:rPr>
          <w:color w:val="auto"/>
        </w:rPr>
      </w:pPr>
      <w:r>
        <w:rPr>
          <w:rFonts w:ascii="宋体" w:hAnsi="宋体" w:eastAsia="宋体" w:cs="宋体"/>
          <w:spacing w:val="-1"/>
          <w:sz w:val="24"/>
          <w:szCs w:val="24"/>
        </w:rPr>
        <w:t>项目不需开展地下水环境和土壤环境影响评价。</w:t>
      </w:r>
    </w:p>
    <w:p w14:paraId="2DB301A8">
      <w:pPr>
        <w:pStyle w:val="64"/>
        <w:numPr>
          <w:ilvl w:val="2"/>
          <w:numId w:val="8"/>
        </w:numPr>
        <w:spacing w:before="156" w:after="156"/>
        <w:ind w:left="709" w:leftChars="0" w:hanging="709" w:firstLineChars="0"/>
        <w:rPr>
          <w:color w:val="auto"/>
        </w:rPr>
      </w:pPr>
      <w:r>
        <w:rPr>
          <w:rFonts w:hint="eastAsia"/>
          <w:color w:val="auto"/>
        </w:rPr>
        <w:t>风险评价结论</w:t>
      </w:r>
    </w:p>
    <w:p w14:paraId="4BAFBDBB">
      <w:pPr>
        <w:ind w:firstLine="480"/>
        <w:rPr>
          <w:color w:val="auto"/>
        </w:rPr>
      </w:pPr>
      <w:r>
        <w:rPr>
          <w:rFonts w:hint="eastAsia"/>
          <w:color w:val="auto"/>
        </w:rPr>
        <w:t>项目使用的</w:t>
      </w:r>
      <w:r>
        <w:rPr>
          <w:rFonts w:hint="eastAsia"/>
          <w:color w:val="auto"/>
          <w:lang w:val="en-US" w:eastAsia="zh-CN"/>
        </w:rPr>
        <w:t>乙酸乙酯、异丙醇</w:t>
      </w:r>
      <w:r>
        <w:rPr>
          <w:rFonts w:hint="eastAsia"/>
          <w:color w:val="auto"/>
        </w:rPr>
        <w:t>等列入</w:t>
      </w:r>
      <w:r>
        <w:rPr>
          <w:color w:val="auto"/>
        </w:rPr>
        <w:t>《环境风险评价技术导则》(HJ 169—2018)中附录</w:t>
      </w:r>
      <w:r>
        <w:rPr>
          <w:rFonts w:hint="eastAsia"/>
          <w:color w:val="auto"/>
        </w:rPr>
        <w:t>B</w:t>
      </w:r>
      <w:r>
        <w:rPr>
          <w:color w:val="auto"/>
        </w:rPr>
        <w:t>.1突发环境事件风险物质和B.2其他危险物质</w:t>
      </w:r>
      <w:r>
        <w:rPr>
          <w:rFonts w:hint="eastAsia"/>
          <w:color w:val="auto"/>
        </w:rPr>
        <w:t>，</w:t>
      </w:r>
      <w:r>
        <w:rPr>
          <w:color w:val="auto"/>
        </w:rPr>
        <w:t>物质总量与临界量比值</w:t>
      </w:r>
      <w:r>
        <w:rPr>
          <w:rFonts w:hint="eastAsia"/>
          <w:color w:val="auto"/>
        </w:rPr>
        <w:t>Q</w:t>
      </w:r>
      <w:r>
        <w:rPr>
          <w:rFonts w:hint="eastAsia"/>
          <w:color w:val="auto"/>
          <w:lang w:val="en-US" w:eastAsia="zh-CN"/>
        </w:rPr>
        <w:t>＜1</w:t>
      </w:r>
      <w:r>
        <w:rPr>
          <w:rFonts w:hint="eastAsia"/>
          <w:color w:val="auto"/>
        </w:rPr>
        <w:t>。</w:t>
      </w:r>
      <w:r>
        <w:rPr>
          <w:color w:val="auto"/>
        </w:rPr>
        <w:t>本项目潜在的风险分别有：泄漏、火灾、爆炸</w:t>
      </w:r>
      <w:r>
        <w:rPr>
          <w:rFonts w:hint="eastAsia"/>
          <w:color w:val="auto"/>
        </w:rPr>
        <w:t>等，项目在落实相应风险防范和控制措施的情况下，总体环境风险可控。</w:t>
      </w:r>
    </w:p>
    <w:p w14:paraId="018CD6B1">
      <w:pPr>
        <w:pStyle w:val="67"/>
        <w:numPr>
          <w:ilvl w:val="1"/>
          <w:numId w:val="8"/>
        </w:numPr>
        <w:spacing w:before="156" w:after="156"/>
        <w:ind w:left="567" w:leftChars="0" w:hanging="567" w:firstLineChars="0"/>
        <w:rPr>
          <w:color w:val="auto"/>
        </w:rPr>
      </w:pPr>
      <w:bookmarkStart w:id="344" w:name="_Toc27270"/>
      <w:bookmarkStart w:id="345" w:name="_Toc407287516"/>
      <w:r>
        <w:rPr>
          <w:rFonts w:hint="eastAsia"/>
          <w:color w:val="auto"/>
        </w:rPr>
        <w:t>环境保护防治措施</w:t>
      </w:r>
      <w:bookmarkEnd w:id="344"/>
      <w:bookmarkEnd w:id="345"/>
    </w:p>
    <w:p w14:paraId="238E206B">
      <w:pPr>
        <w:pStyle w:val="62"/>
        <w:rPr>
          <w:color w:val="auto"/>
        </w:rPr>
      </w:pPr>
      <w:r>
        <w:rPr>
          <w:rFonts w:hint="eastAsia"/>
          <w:color w:val="auto"/>
        </w:rPr>
        <w:t>表</w:t>
      </w:r>
      <w:r>
        <w:rPr>
          <w:rFonts w:hint="eastAsia"/>
          <w:color w:val="auto"/>
          <w:lang w:val="en-US" w:eastAsia="zh-CN"/>
        </w:rPr>
        <w:t>9</w:t>
      </w:r>
      <w:r>
        <w:rPr>
          <w:rFonts w:hint="eastAsia"/>
          <w:color w:val="auto"/>
        </w:rPr>
        <w:t xml:space="preserve">.5-1  </w:t>
      </w:r>
      <w:r>
        <w:rPr>
          <w:rFonts w:hint="eastAsia"/>
          <w:color w:val="auto"/>
          <w:lang w:val="en-US" w:eastAsia="zh-CN"/>
        </w:rPr>
        <w:t>本项目</w:t>
      </w:r>
      <w:r>
        <w:rPr>
          <w:rFonts w:hint="eastAsia"/>
          <w:color w:val="auto"/>
        </w:rPr>
        <w:t>环境保护防治措施一览表</w:t>
      </w:r>
    </w:p>
    <w:tbl>
      <w:tblPr>
        <w:tblStyle w:val="38"/>
        <w:tblW w:w="9281"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08"/>
        <w:gridCol w:w="2383"/>
        <w:gridCol w:w="4672"/>
      </w:tblGrid>
      <w:tr w14:paraId="0311E60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18" w:type="dxa"/>
            <w:vAlign w:val="center"/>
          </w:tcPr>
          <w:p w14:paraId="4F4AAE31">
            <w:pPr>
              <w:pStyle w:val="59"/>
              <w:rPr>
                <w:color w:val="auto"/>
                <w:kern w:val="2"/>
                <w:szCs w:val="21"/>
              </w:rPr>
            </w:pPr>
            <w:bookmarkStart w:id="346" w:name="_Toc92626028"/>
            <w:bookmarkStart w:id="347" w:name="_Toc108794016"/>
            <w:bookmarkStart w:id="348" w:name="_Toc89856277"/>
            <w:bookmarkStart w:id="349" w:name="_Toc97284130"/>
            <w:bookmarkStart w:id="350" w:name="_Toc89857452"/>
            <w:bookmarkStart w:id="351" w:name="_Toc82510203"/>
            <w:bookmarkStart w:id="352" w:name="_Toc188692368"/>
            <w:bookmarkStart w:id="353" w:name="_Toc107806062"/>
            <w:r>
              <w:rPr>
                <w:color w:val="auto"/>
                <w:kern w:val="2"/>
                <w:szCs w:val="21"/>
              </w:rPr>
              <w:t>类别</w:t>
            </w:r>
          </w:p>
        </w:tc>
        <w:tc>
          <w:tcPr>
            <w:tcW w:w="1408" w:type="dxa"/>
            <w:vAlign w:val="center"/>
          </w:tcPr>
          <w:p w14:paraId="69AFB0DE">
            <w:pPr>
              <w:pStyle w:val="59"/>
              <w:rPr>
                <w:color w:val="auto"/>
                <w:kern w:val="2"/>
                <w:szCs w:val="21"/>
              </w:rPr>
            </w:pPr>
            <w:r>
              <w:rPr>
                <w:rFonts w:hint="eastAsia"/>
                <w:color w:val="auto"/>
                <w:kern w:val="2"/>
                <w:szCs w:val="21"/>
              </w:rPr>
              <w:t>污染物种类</w:t>
            </w:r>
          </w:p>
        </w:tc>
        <w:tc>
          <w:tcPr>
            <w:tcW w:w="2383" w:type="dxa"/>
            <w:vAlign w:val="center"/>
          </w:tcPr>
          <w:p w14:paraId="13D14781">
            <w:pPr>
              <w:pStyle w:val="59"/>
              <w:rPr>
                <w:color w:val="auto"/>
                <w:kern w:val="2"/>
                <w:szCs w:val="21"/>
              </w:rPr>
            </w:pPr>
            <w:r>
              <w:rPr>
                <w:rFonts w:hint="eastAsia"/>
                <w:color w:val="auto"/>
                <w:kern w:val="2"/>
                <w:szCs w:val="21"/>
              </w:rPr>
              <w:t>产污位置</w:t>
            </w:r>
          </w:p>
        </w:tc>
        <w:tc>
          <w:tcPr>
            <w:tcW w:w="4672" w:type="dxa"/>
            <w:vAlign w:val="center"/>
          </w:tcPr>
          <w:p w14:paraId="0DA9845C">
            <w:pPr>
              <w:pStyle w:val="59"/>
              <w:rPr>
                <w:color w:val="auto"/>
                <w:kern w:val="2"/>
                <w:szCs w:val="21"/>
              </w:rPr>
            </w:pPr>
            <w:r>
              <w:rPr>
                <w:color w:val="auto"/>
                <w:kern w:val="2"/>
                <w:szCs w:val="21"/>
              </w:rPr>
              <w:t>防治措施</w:t>
            </w:r>
          </w:p>
        </w:tc>
      </w:tr>
      <w:tr w14:paraId="1C43ED9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vAlign w:val="center"/>
          </w:tcPr>
          <w:p w14:paraId="4F89B536">
            <w:pPr>
              <w:pStyle w:val="59"/>
              <w:rPr>
                <w:color w:val="auto"/>
                <w:kern w:val="2"/>
                <w:szCs w:val="21"/>
              </w:rPr>
            </w:pPr>
            <w:r>
              <w:rPr>
                <w:rFonts w:hint="eastAsia"/>
                <w:color w:val="auto"/>
                <w:kern w:val="2"/>
                <w:szCs w:val="21"/>
              </w:rPr>
              <w:t>废水</w:t>
            </w:r>
          </w:p>
        </w:tc>
        <w:tc>
          <w:tcPr>
            <w:tcW w:w="1408" w:type="dxa"/>
            <w:vAlign w:val="center"/>
          </w:tcPr>
          <w:p w14:paraId="17AD4427">
            <w:pPr>
              <w:pStyle w:val="59"/>
              <w:rPr>
                <w:color w:val="auto"/>
              </w:rPr>
            </w:pPr>
            <w:r>
              <w:rPr>
                <w:rFonts w:hint="eastAsia"/>
                <w:color w:val="auto"/>
              </w:rPr>
              <w:t>生活污水</w:t>
            </w:r>
          </w:p>
        </w:tc>
        <w:tc>
          <w:tcPr>
            <w:tcW w:w="2383" w:type="dxa"/>
            <w:vAlign w:val="center"/>
          </w:tcPr>
          <w:p w14:paraId="2C150A8B">
            <w:pPr>
              <w:pStyle w:val="59"/>
              <w:rPr>
                <w:color w:val="auto"/>
              </w:rPr>
            </w:pPr>
            <w:r>
              <w:rPr>
                <w:rFonts w:hint="eastAsia"/>
                <w:color w:val="auto"/>
              </w:rPr>
              <w:t>厕所、车间</w:t>
            </w:r>
          </w:p>
        </w:tc>
        <w:tc>
          <w:tcPr>
            <w:tcW w:w="4672" w:type="dxa"/>
            <w:vAlign w:val="center"/>
          </w:tcPr>
          <w:p w14:paraId="289A7FBD">
            <w:pPr>
              <w:pStyle w:val="59"/>
              <w:rPr>
                <w:color w:val="auto"/>
              </w:rPr>
            </w:pPr>
            <w:r>
              <w:rPr>
                <w:rFonts w:hint="eastAsia"/>
                <w:color w:val="auto"/>
                <w:lang w:val="en-US" w:eastAsia="zh-CN"/>
              </w:rPr>
              <w:t>经三级化粪池处理</w:t>
            </w:r>
            <w:r>
              <w:rPr>
                <w:rFonts w:hint="eastAsia"/>
                <w:color w:val="auto"/>
              </w:rPr>
              <w:t>达到广东省地方标准《水污染物排放限值》（DB44/26-2001）第二时段三级标准后通过市政污水管道排放至</w:t>
            </w:r>
            <w:r>
              <w:rPr>
                <w:rFonts w:hint="eastAsia"/>
                <w:color w:val="auto"/>
                <w:lang w:eastAsia="zh-CN"/>
              </w:rPr>
              <w:t>鹤山市第二污水处理厂</w:t>
            </w:r>
            <w:r>
              <w:rPr>
                <w:rFonts w:hint="eastAsia"/>
                <w:color w:val="auto"/>
              </w:rPr>
              <w:t>进一步处理</w:t>
            </w:r>
          </w:p>
        </w:tc>
      </w:tr>
      <w:tr w14:paraId="330C25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vAlign w:val="center"/>
          </w:tcPr>
          <w:p w14:paraId="1B5FB1B9">
            <w:pPr>
              <w:pStyle w:val="59"/>
              <w:rPr>
                <w:rFonts w:hint="eastAsia"/>
                <w:color w:val="auto"/>
                <w:kern w:val="2"/>
                <w:szCs w:val="21"/>
              </w:rPr>
            </w:pPr>
          </w:p>
        </w:tc>
        <w:tc>
          <w:tcPr>
            <w:tcW w:w="1408" w:type="dxa"/>
            <w:vAlign w:val="center"/>
          </w:tcPr>
          <w:p w14:paraId="0F757CDC">
            <w:pPr>
              <w:pStyle w:val="59"/>
              <w:rPr>
                <w:rFonts w:hint="default" w:eastAsia="宋体"/>
                <w:color w:val="auto"/>
                <w:lang w:val="en-US" w:eastAsia="zh-CN"/>
              </w:rPr>
            </w:pPr>
            <w:r>
              <w:rPr>
                <w:rFonts w:hint="eastAsia"/>
                <w:color w:val="auto"/>
                <w:lang w:val="en-US" w:eastAsia="zh-CN"/>
              </w:rPr>
              <w:t>间接冷却水</w:t>
            </w:r>
          </w:p>
        </w:tc>
        <w:tc>
          <w:tcPr>
            <w:tcW w:w="2383" w:type="dxa"/>
            <w:vAlign w:val="center"/>
          </w:tcPr>
          <w:p w14:paraId="5E9BE27F">
            <w:pPr>
              <w:pStyle w:val="59"/>
              <w:rPr>
                <w:rFonts w:hint="default" w:eastAsia="宋体"/>
                <w:color w:val="auto"/>
                <w:lang w:val="en-US" w:eastAsia="zh-CN"/>
              </w:rPr>
            </w:pPr>
            <w:r>
              <w:rPr>
                <w:rFonts w:hint="eastAsia"/>
                <w:color w:val="auto"/>
                <w:lang w:val="en-US" w:eastAsia="zh-CN"/>
              </w:rPr>
              <w:t>印刷机</w:t>
            </w:r>
          </w:p>
        </w:tc>
        <w:tc>
          <w:tcPr>
            <w:tcW w:w="4672" w:type="dxa"/>
            <w:vAlign w:val="center"/>
          </w:tcPr>
          <w:p w14:paraId="46D1806A">
            <w:pPr>
              <w:pStyle w:val="59"/>
              <w:rPr>
                <w:rFonts w:hint="default" w:eastAsia="宋体"/>
                <w:color w:val="auto"/>
                <w:lang w:val="en-US" w:eastAsia="zh-CN"/>
              </w:rPr>
            </w:pPr>
            <w:r>
              <w:rPr>
                <w:rFonts w:hint="eastAsia"/>
                <w:color w:val="auto"/>
                <w:lang w:val="en-US" w:eastAsia="zh-CN"/>
              </w:rPr>
              <w:t>循环使用</w:t>
            </w:r>
          </w:p>
        </w:tc>
      </w:tr>
      <w:tr w14:paraId="236558D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vAlign w:val="center"/>
          </w:tcPr>
          <w:p w14:paraId="14D72038">
            <w:pPr>
              <w:pStyle w:val="59"/>
              <w:rPr>
                <w:color w:val="auto"/>
                <w:kern w:val="2"/>
                <w:szCs w:val="21"/>
              </w:rPr>
            </w:pPr>
            <w:r>
              <w:rPr>
                <w:color w:val="auto"/>
                <w:kern w:val="2"/>
                <w:szCs w:val="21"/>
              </w:rPr>
              <w:t>废气</w:t>
            </w:r>
          </w:p>
        </w:tc>
        <w:tc>
          <w:tcPr>
            <w:tcW w:w="1408" w:type="dxa"/>
            <w:vAlign w:val="center"/>
          </w:tcPr>
          <w:p w14:paraId="5B6557B2">
            <w:pPr>
              <w:pStyle w:val="59"/>
              <w:rPr>
                <w:color w:val="auto"/>
              </w:rPr>
            </w:pPr>
            <w:r>
              <w:rPr>
                <w:color w:val="auto"/>
              </w:rPr>
              <w:t>调墨、印刷</w:t>
            </w:r>
            <w:r>
              <w:rPr>
                <w:rFonts w:hint="eastAsia"/>
                <w:color w:val="auto"/>
                <w:lang w:eastAsia="zh-CN"/>
              </w:rPr>
              <w:t>、</w:t>
            </w:r>
            <w:r>
              <w:rPr>
                <w:rFonts w:hint="eastAsia"/>
                <w:color w:val="auto"/>
                <w:lang w:val="en-US" w:eastAsia="zh-CN"/>
              </w:rPr>
              <w:t>烘干</w:t>
            </w:r>
            <w:r>
              <w:rPr>
                <w:color w:val="auto"/>
              </w:rPr>
              <w:t>、</w:t>
            </w:r>
            <w:r>
              <w:rPr>
                <w:rFonts w:hint="eastAsia"/>
                <w:color w:val="auto"/>
                <w:lang w:val="en-US" w:eastAsia="zh-CN"/>
              </w:rPr>
              <w:t>洗机、危废贮存</w:t>
            </w:r>
            <w:r>
              <w:rPr>
                <w:color w:val="auto"/>
              </w:rPr>
              <w:t>废气</w:t>
            </w:r>
          </w:p>
        </w:tc>
        <w:tc>
          <w:tcPr>
            <w:tcW w:w="2383" w:type="dxa"/>
            <w:vAlign w:val="center"/>
          </w:tcPr>
          <w:p w14:paraId="5540CA32">
            <w:pPr>
              <w:pStyle w:val="59"/>
              <w:rPr>
                <w:color w:val="auto"/>
                <w:kern w:val="2"/>
                <w:szCs w:val="21"/>
              </w:rPr>
            </w:pPr>
            <w:r>
              <w:rPr>
                <w:color w:val="auto"/>
              </w:rPr>
              <w:t>调墨、印刷</w:t>
            </w:r>
            <w:r>
              <w:rPr>
                <w:rFonts w:hint="eastAsia"/>
                <w:color w:val="auto"/>
                <w:lang w:val="en-US" w:eastAsia="zh-CN"/>
              </w:rPr>
              <w:t>烘干</w:t>
            </w:r>
            <w:r>
              <w:rPr>
                <w:color w:val="auto"/>
              </w:rPr>
              <w:t>、复合</w:t>
            </w:r>
            <w:r>
              <w:rPr>
                <w:rFonts w:hint="eastAsia"/>
                <w:color w:val="auto"/>
                <w:lang w:eastAsia="zh-CN"/>
              </w:rPr>
              <w:t>、</w:t>
            </w:r>
            <w:r>
              <w:rPr>
                <w:rFonts w:hint="eastAsia"/>
                <w:color w:val="auto"/>
                <w:lang w:val="en-US" w:eastAsia="zh-CN"/>
              </w:rPr>
              <w:t>洗机、危废贮存</w:t>
            </w:r>
          </w:p>
        </w:tc>
        <w:tc>
          <w:tcPr>
            <w:tcW w:w="4672" w:type="dxa"/>
            <w:vAlign w:val="center"/>
          </w:tcPr>
          <w:p w14:paraId="13AAB5EA">
            <w:pPr>
              <w:pStyle w:val="69"/>
              <w:rPr>
                <w:color w:val="auto"/>
              </w:rPr>
            </w:pPr>
            <w:r>
              <w:rPr>
                <w:rFonts w:hint="eastAsia"/>
                <w:color w:val="auto"/>
                <w:lang w:val="en-US" w:eastAsia="zh-CN"/>
              </w:rPr>
              <w:t>烘干废气经密闭收集后经减风增浓后引入RTO 废气治理设施进行处理，调墨、印刷、洗机、危废贮存废气先经“干式过滤+旋转式分子筛吸附-脱附”处理后再引入RTO 废气治理设施进行处理，处理后与</w:t>
            </w:r>
            <w:r>
              <w:rPr>
                <w:color w:val="auto"/>
              </w:rPr>
              <w:t xml:space="preserve"> RTO 燃料废气一起排放，</w:t>
            </w:r>
            <w:r>
              <w:rPr>
                <w:rFonts w:hint="eastAsia"/>
                <w:color w:val="auto"/>
                <w:lang w:eastAsia="zh-CN"/>
              </w:rPr>
              <w:t>排气筒高度 25m</w:t>
            </w:r>
            <w:r>
              <w:rPr>
                <w:color w:val="auto"/>
              </w:rPr>
              <w:t>，排放口编号为DA001</w:t>
            </w:r>
          </w:p>
        </w:tc>
      </w:tr>
      <w:tr w14:paraId="31D4B5A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vAlign w:val="center"/>
          </w:tcPr>
          <w:p w14:paraId="0EA8663B">
            <w:pPr>
              <w:pStyle w:val="59"/>
              <w:rPr>
                <w:color w:val="auto"/>
                <w:kern w:val="2"/>
                <w:szCs w:val="21"/>
              </w:rPr>
            </w:pPr>
          </w:p>
        </w:tc>
        <w:tc>
          <w:tcPr>
            <w:tcW w:w="1408" w:type="dxa"/>
            <w:shd w:val="clear" w:color="auto" w:fill="FFFFFF"/>
            <w:vAlign w:val="center"/>
          </w:tcPr>
          <w:p w14:paraId="2CE427AD">
            <w:pPr>
              <w:pStyle w:val="69"/>
              <w:bidi w:val="0"/>
              <w:ind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合掌、定型废气</w:t>
            </w:r>
          </w:p>
        </w:tc>
        <w:tc>
          <w:tcPr>
            <w:tcW w:w="2383" w:type="dxa"/>
            <w:shd w:val="clear" w:color="auto" w:fill="FFFFFF"/>
            <w:vAlign w:val="center"/>
          </w:tcPr>
          <w:p w14:paraId="034D0429">
            <w:pPr>
              <w:pStyle w:val="69"/>
              <w:bidi w:val="0"/>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合掌、定型</w:t>
            </w:r>
          </w:p>
        </w:tc>
        <w:tc>
          <w:tcPr>
            <w:tcW w:w="4672" w:type="dxa"/>
            <w:shd w:val="clear" w:color="auto" w:fill="FFFFFF"/>
            <w:vAlign w:val="center"/>
          </w:tcPr>
          <w:p w14:paraId="37976AA9">
            <w:pPr>
              <w:pStyle w:val="59"/>
              <w:bidi w:val="0"/>
              <w:ind w:firstLine="0" w:firstLineChars="0"/>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活性炭吸附后经25m排气筒排放，</w:t>
            </w:r>
            <w:r>
              <w:rPr>
                <w:color w:val="auto"/>
              </w:rPr>
              <w:t>排放口编号为DA00</w:t>
            </w:r>
            <w:r>
              <w:rPr>
                <w:rFonts w:hint="eastAsia"/>
                <w:color w:val="auto"/>
                <w:lang w:val="en-US" w:eastAsia="zh-CN"/>
              </w:rPr>
              <w:t>2</w:t>
            </w:r>
          </w:p>
        </w:tc>
      </w:tr>
      <w:tr w14:paraId="0E18B92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Align w:val="center"/>
          </w:tcPr>
          <w:p w14:paraId="164073BB">
            <w:pPr>
              <w:pStyle w:val="59"/>
              <w:rPr>
                <w:color w:val="auto"/>
                <w:kern w:val="2"/>
                <w:szCs w:val="21"/>
              </w:rPr>
            </w:pPr>
            <w:r>
              <w:rPr>
                <w:color w:val="auto"/>
                <w:kern w:val="2"/>
                <w:szCs w:val="21"/>
              </w:rPr>
              <w:t>噪声</w:t>
            </w:r>
          </w:p>
        </w:tc>
        <w:tc>
          <w:tcPr>
            <w:tcW w:w="1408" w:type="dxa"/>
            <w:vAlign w:val="center"/>
          </w:tcPr>
          <w:p w14:paraId="2DDE0527">
            <w:pPr>
              <w:pStyle w:val="59"/>
              <w:rPr>
                <w:color w:val="auto"/>
                <w:kern w:val="2"/>
                <w:szCs w:val="21"/>
              </w:rPr>
            </w:pPr>
            <w:r>
              <w:rPr>
                <w:color w:val="auto"/>
                <w:kern w:val="2"/>
                <w:szCs w:val="21"/>
              </w:rPr>
              <w:t>设备噪声</w:t>
            </w:r>
          </w:p>
        </w:tc>
        <w:tc>
          <w:tcPr>
            <w:tcW w:w="2383" w:type="dxa"/>
            <w:vAlign w:val="center"/>
          </w:tcPr>
          <w:p w14:paraId="4742D29B">
            <w:pPr>
              <w:pStyle w:val="59"/>
              <w:rPr>
                <w:color w:val="auto"/>
                <w:kern w:val="2"/>
                <w:szCs w:val="21"/>
              </w:rPr>
            </w:pPr>
            <w:r>
              <w:rPr>
                <w:rFonts w:hint="eastAsia"/>
                <w:color w:val="auto"/>
                <w:kern w:val="2"/>
                <w:szCs w:val="21"/>
              </w:rPr>
              <w:t>厂房</w:t>
            </w:r>
          </w:p>
        </w:tc>
        <w:tc>
          <w:tcPr>
            <w:tcW w:w="4672" w:type="dxa"/>
            <w:vAlign w:val="center"/>
          </w:tcPr>
          <w:p w14:paraId="1DFCE818">
            <w:pPr>
              <w:pStyle w:val="59"/>
              <w:rPr>
                <w:color w:val="auto"/>
                <w:kern w:val="2"/>
                <w:szCs w:val="21"/>
              </w:rPr>
            </w:pPr>
            <w:r>
              <w:rPr>
                <w:color w:val="auto"/>
                <w:kern w:val="2"/>
                <w:szCs w:val="21"/>
              </w:rPr>
              <w:t>隔声、减震处理</w:t>
            </w:r>
          </w:p>
        </w:tc>
      </w:tr>
      <w:tr w14:paraId="62FEDBF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restart"/>
            <w:vAlign w:val="center"/>
          </w:tcPr>
          <w:p w14:paraId="2F7A4073">
            <w:pPr>
              <w:pStyle w:val="59"/>
              <w:rPr>
                <w:color w:val="auto"/>
                <w:kern w:val="2"/>
                <w:szCs w:val="21"/>
              </w:rPr>
            </w:pPr>
            <w:r>
              <w:rPr>
                <w:color w:val="auto"/>
                <w:kern w:val="2"/>
                <w:szCs w:val="21"/>
              </w:rPr>
              <w:t>固废</w:t>
            </w:r>
          </w:p>
        </w:tc>
        <w:tc>
          <w:tcPr>
            <w:tcW w:w="1408" w:type="dxa"/>
            <w:vAlign w:val="center"/>
          </w:tcPr>
          <w:p w14:paraId="22329D1E">
            <w:pPr>
              <w:pStyle w:val="59"/>
              <w:rPr>
                <w:color w:val="auto"/>
                <w:kern w:val="2"/>
                <w:szCs w:val="21"/>
              </w:rPr>
            </w:pPr>
            <w:r>
              <w:rPr>
                <w:rFonts w:hint="eastAsia"/>
                <w:color w:val="auto"/>
                <w:kern w:val="2"/>
                <w:szCs w:val="21"/>
              </w:rPr>
              <w:t>一般固废</w:t>
            </w:r>
          </w:p>
        </w:tc>
        <w:tc>
          <w:tcPr>
            <w:tcW w:w="2383" w:type="dxa"/>
            <w:vAlign w:val="center"/>
          </w:tcPr>
          <w:p w14:paraId="51BB996D">
            <w:pPr>
              <w:pStyle w:val="59"/>
              <w:rPr>
                <w:color w:val="auto"/>
                <w:kern w:val="2"/>
                <w:szCs w:val="21"/>
              </w:rPr>
            </w:pPr>
            <w:r>
              <w:rPr>
                <w:rFonts w:hint="eastAsia"/>
                <w:color w:val="auto"/>
                <w:kern w:val="2"/>
                <w:szCs w:val="21"/>
              </w:rPr>
              <w:t>生产</w:t>
            </w:r>
          </w:p>
        </w:tc>
        <w:tc>
          <w:tcPr>
            <w:tcW w:w="4672" w:type="dxa"/>
            <w:vAlign w:val="center"/>
          </w:tcPr>
          <w:p w14:paraId="0BA1835A">
            <w:pPr>
              <w:pStyle w:val="59"/>
              <w:rPr>
                <w:color w:val="auto"/>
                <w:kern w:val="2"/>
                <w:szCs w:val="21"/>
              </w:rPr>
            </w:pPr>
            <w:r>
              <w:rPr>
                <w:rFonts w:hint="eastAsia"/>
                <w:color w:val="auto"/>
                <w:kern w:val="2"/>
                <w:szCs w:val="21"/>
                <w:lang w:val="en-US" w:eastAsia="zh-CN"/>
              </w:rPr>
              <w:t>10</w:t>
            </w:r>
            <w:r>
              <w:rPr>
                <w:rFonts w:hint="eastAsia"/>
                <w:color w:val="auto"/>
                <w:kern w:val="2"/>
                <w:szCs w:val="21"/>
              </w:rPr>
              <w:t>㎡一般固废仓</w:t>
            </w:r>
          </w:p>
        </w:tc>
      </w:tr>
      <w:tr w14:paraId="36064F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vAlign w:val="center"/>
          </w:tcPr>
          <w:p w14:paraId="47EAD52A">
            <w:pPr>
              <w:pStyle w:val="59"/>
              <w:rPr>
                <w:color w:val="auto"/>
                <w:kern w:val="2"/>
                <w:szCs w:val="21"/>
              </w:rPr>
            </w:pPr>
          </w:p>
        </w:tc>
        <w:tc>
          <w:tcPr>
            <w:tcW w:w="1408" w:type="dxa"/>
            <w:vAlign w:val="center"/>
          </w:tcPr>
          <w:p w14:paraId="17AE85C7">
            <w:pPr>
              <w:pStyle w:val="59"/>
              <w:rPr>
                <w:color w:val="auto"/>
                <w:kern w:val="2"/>
                <w:szCs w:val="21"/>
              </w:rPr>
            </w:pPr>
            <w:r>
              <w:rPr>
                <w:rFonts w:hint="eastAsia"/>
                <w:color w:val="auto"/>
                <w:kern w:val="2"/>
                <w:szCs w:val="21"/>
              </w:rPr>
              <w:t>生活垃圾</w:t>
            </w:r>
          </w:p>
        </w:tc>
        <w:tc>
          <w:tcPr>
            <w:tcW w:w="2383" w:type="dxa"/>
            <w:vAlign w:val="center"/>
          </w:tcPr>
          <w:p w14:paraId="566650D4">
            <w:pPr>
              <w:pStyle w:val="59"/>
              <w:rPr>
                <w:color w:val="auto"/>
                <w:kern w:val="2"/>
                <w:szCs w:val="21"/>
              </w:rPr>
            </w:pPr>
            <w:r>
              <w:rPr>
                <w:rFonts w:hint="eastAsia"/>
                <w:color w:val="auto"/>
                <w:kern w:val="2"/>
                <w:szCs w:val="21"/>
              </w:rPr>
              <w:t>员工</w:t>
            </w:r>
          </w:p>
        </w:tc>
        <w:tc>
          <w:tcPr>
            <w:tcW w:w="4672" w:type="dxa"/>
            <w:vAlign w:val="center"/>
          </w:tcPr>
          <w:p w14:paraId="41F89EB2">
            <w:pPr>
              <w:pStyle w:val="59"/>
              <w:rPr>
                <w:color w:val="auto"/>
                <w:kern w:val="2"/>
                <w:szCs w:val="21"/>
              </w:rPr>
            </w:pPr>
            <w:r>
              <w:rPr>
                <w:rFonts w:hint="eastAsia"/>
                <w:color w:val="auto"/>
                <w:kern w:val="2"/>
                <w:szCs w:val="21"/>
              </w:rPr>
              <w:t>垃圾桶</w:t>
            </w:r>
          </w:p>
        </w:tc>
      </w:tr>
      <w:tr w14:paraId="4C3BD6B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8" w:type="dxa"/>
            <w:vMerge w:val="continue"/>
            <w:vAlign w:val="center"/>
          </w:tcPr>
          <w:p w14:paraId="62BC3246">
            <w:pPr>
              <w:pStyle w:val="59"/>
              <w:rPr>
                <w:color w:val="auto"/>
                <w:kern w:val="2"/>
                <w:szCs w:val="21"/>
              </w:rPr>
            </w:pPr>
          </w:p>
        </w:tc>
        <w:tc>
          <w:tcPr>
            <w:tcW w:w="1408" w:type="dxa"/>
            <w:vAlign w:val="center"/>
          </w:tcPr>
          <w:p w14:paraId="5585141F">
            <w:pPr>
              <w:pStyle w:val="59"/>
              <w:rPr>
                <w:color w:val="auto"/>
                <w:kern w:val="2"/>
                <w:szCs w:val="21"/>
              </w:rPr>
            </w:pPr>
            <w:r>
              <w:rPr>
                <w:rFonts w:hint="eastAsia"/>
                <w:color w:val="auto"/>
                <w:kern w:val="2"/>
                <w:szCs w:val="21"/>
              </w:rPr>
              <w:t>危险废物</w:t>
            </w:r>
          </w:p>
        </w:tc>
        <w:tc>
          <w:tcPr>
            <w:tcW w:w="2383" w:type="dxa"/>
            <w:vAlign w:val="center"/>
          </w:tcPr>
          <w:p w14:paraId="2B6F8B83">
            <w:pPr>
              <w:pStyle w:val="59"/>
              <w:rPr>
                <w:color w:val="auto"/>
                <w:kern w:val="2"/>
                <w:szCs w:val="21"/>
              </w:rPr>
            </w:pPr>
            <w:r>
              <w:rPr>
                <w:rFonts w:hint="eastAsia"/>
                <w:color w:val="auto"/>
              </w:rPr>
              <w:t>生产、废气治理</w:t>
            </w:r>
          </w:p>
        </w:tc>
        <w:tc>
          <w:tcPr>
            <w:tcW w:w="4672" w:type="dxa"/>
            <w:vAlign w:val="center"/>
          </w:tcPr>
          <w:p w14:paraId="4A00197B">
            <w:pPr>
              <w:pStyle w:val="59"/>
              <w:rPr>
                <w:color w:val="auto"/>
                <w:kern w:val="2"/>
                <w:szCs w:val="21"/>
              </w:rPr>
            </w:pPr>
            <w:r>
              <w:rPr>
                <w:rFonts w:hint="eastAsia"/>
                <w:color w:val="auto"/>
                <w:kern w:val="2"/>
                <w:szCs w:val="21"/>
                <w:lang w:val="en-US" w:eastAsia="zh-CN"/>
              </w:rPr>
              <w:t>20</w:t>
            </w:r>
            <w:r>
              <w:rPr>
                <w:rFonts w:hint="eastAsia"/>
                <w:color w:val="auto"/>
                <w:kern w:val="2"/>
                <w:szCs w:val="21"/>
              </w:rPr>
              <w:t>㎡危险废物暂存仓</w:t>
            </w:r>
          </w:p>
        </w:tc>
      </w:tr>
    </w:tbl>
    <w:p w14:paraId="2503160C">
      <w:pPr>
        <w:pStyle w:val="67"/>
        <w:numPr>
          <w:ilvl w:val="1"/>
          <w:numId w:val="8"/>
        </w:numPr>
        <w:spacing w:before="156" w:after="156"/>
        <w:ind w:left="567" w:leftChars="0" w:hanging="567" w:firstLineChars="0"/>
        <w:rPr>
          <w:color w:val="auto"/>
        </w:rPr>
      </w:pPr>
      <w:bookmarkStart w:id="354" w:name="_Toc3299404"/>
      <w:bookmarkStart w:id="355" w:name="_Toc6148"/>
      <w:r>
        <w:rPr>
          <w:rFonts w:hint="eastAsia"/>
          <w:color w:val="auto"/>
        </w:rPr>
        <w:t>公众意见采纳与不采纳情况说明</w:t>
      </w:r>
      <w:bookmarkEnd w:id="354"/>
      <w:bookmarkEnd w:id="355"/>
    </w:p>
    <w:p w14:paraId="3A062282">
      <w:pPr>
        <w:ind w:firstLine="480"/>
        <w:rPr>
          <w:color w:val="auto"/>
        </w:rPr>
      </w:pPr>
      <w:r>
        <w:rPr>
          <w:rFonts w:hint="eastAsia"/>
          <w:color w:val="auto"/>
        </w:rPr>
        <w:t>建设单位在委托</w:t>
      </w:r>
      <w:r>
        <w:rPr>
          <w:rFonts w:hint="eastAsia"/>
          <w:color w:val="auto"/>
          <w:lang w:val="en-US" w:eastAsia="zh-CN"/>
        </w:rPr>
        <w:t>环评单位</w:t>
      </w:r>
      <w:r>
        <w:rPr>
          <w:rFonts w:hint="eastAsia"/>
          <w:color w:val="auto"/>
        </w:rPr>
        <w:t>承担本项目的环境影响评价工作后7天内，于</w:t>
      </w:r>
      <w:r>
        <w:rPr>
          <w:color w:val="auto"/>
        </w:rPr>
        <w:t>20</w:t>
      </w:r>
      <w:r>
        <w:rPr>
          <w:rFonts w:hint="eastAsia"/>
          <w:color w:val="auto"/>
        </w:rPr>
        <w:t>2</w:t>
      </w:r>
      <w:r>
        <w:rPr>
          <w:rFonts w:hint="eastAsia"/>
          <w:color w:val="auto"/>
          <w:lang w:val="en-US" w:eastAsia="zh-CN"/>
        </w:rPr>
        <w:t>5</w:t>
      </w:r>
      <w:r>
        <w:rPr>
          <w:color w:val="auto"/>
        </w:rPr>
        <w:t>年1</w:t>
      </w:r>
      <w:r>
        <w:rPr>
          <w:rFonts w:hint="eastAsia"/>
          <w:color w:val="auto"/>
        </w:rPr>
        <w:t>2</w:t>
      </w:r>
      <w:r>
        <w:rPr>
          <w:color w:val="auto"/>
        </w:rPr>
        <w:t>月</w:t>
      </w:r>
      <w:r>
        <w:rPr>
          <w:rFonts w:hint="eastAsia"/>
          <w:color w:val="auto"/>
          <w:lang w:val="en-US" w:eastAsia="zh-CN"/>
        </w:rPr>
        <w:t>2</w:t>
      </w:r>
      <w:r>
        <w:rPr>
          <w:rFonts w:hint="eastAsia"/>
          <w:color w:val="auto"/>
        </w:rPr>
        <w:t>9</w:t>
      </w:r>
      <w:r>
        <w:rPr>
          <w:color w:val="auto"/>
        </w:rPr>
        <w:t>日</w:t>
      </w:r>
      <w:r>
        <w:rPr>
          <w:rFonts w:hint="eastAsia"/>
          <w:color w:val="auto"/>
        </w:rPr>
        <w:t>在</w:t>
      </w:r>
      <w:r>
        <w:rPr>
          <w:rFonts w:hint="eastAsia"/>
          <w:color w:val="auto"/>
          <w:lang w:val="en-US" w:eastAsia="zh-CN"/>
        </w:rPr>
        <w:t>鹤山市人民政府</w:t>
      </w:r>
      <w:r>
        <w:rPr>
          <w:rFonts w:hint="eastAsia"/>
          <w:color w:val="auto"/>
        </w:rPr>
        <w:t>网站以公告形式进行第一次公示；在本项目环境影响报告书基本完成，形成征求意见稿后，</w:t>
      </w:r>
      <w:r>
        <w:rPr>
          <w:rFonts w:hint="eastAsia"/>
          <w:color w:val="FF0000"/>
        </w:rPr>
        <w:t>于</w:t>
      </w:r>
      <w:r>
        <w:rPr>
          <w:color w:val="FF0000"/>
        </w:rPr>
        <w:t>202</w:t>
      </w:r>
      <w:r>
        <w:rPr>
          <w:rFonts w:hint="eastAsia"/>
          <w:color w:val="FF0000"/>
          <w:lang w:val="en-US" w:eastAsia="zh-CN"/>
        </w:rPr>
        <w:t>6</w:t>
      </w:r>
      <w:r>
        <w:rPr>
          <w:color w:val="FF0000"/>
        </w:rPr>
        <w:t>年</w:t>
      </w:r>
      <w:r>
        <w:rPr>
          <w:rFonts w:hint="eastAsia"/>
          <w:color w:val="FF0000"/>
        </w:rPr>
        <w:t>3</w:t>
      </w:r>
      <w:r>
        <w:rPr>
          <w:color w:val="FF0000"/>
        </w:rPr>
        <w:t>月</w:t>
      </w:r>
      <w:r>
        <w:rPr>
          <w:rFonts w:hint="eastAsia"/>
          <w:color w:val="FF0000"/>
        </w:rPr>
        <w:t>2</w:t>
      </w:r>
      <w:r>
        <w:rPr>
          <w:rFonts w:hint="eastAsia"/>
          <w:color w:val="FF0000"/>
          <w:lang w:val="en-US" w:eastAsia="zh-CN"/>
        </w:rPr>
        <w:t>7</w:t>
      </w:r>
      <w:r>
        <w:rPr>
          <w:color w:val="FF0000"/>
        </w:rPr>
        <w:t>日</w:t>
      </w:r>
      <w:r>
        <w:rPr>
          <w:rFonts w:hint="eastAsia"/>
          <w:color w:val="FF0000"/>
        </w:rPr>
        <w:t>在</w:t>
      </w:r>
      <w:r>
        <w:rPr>
          <w:rFonts w:hint="eastAsia"/>
          <w:color w:val="FF0000"/>
          <w:lang w:val="en-US" w:eastAsia="zh-CN"/>
        </w:rPr>
        <w:t>鹤山市人民政府</w:t>
      </w:r>
      <w:r>
        <w:rPr>
          <w:rFonts w:hint="eastAsia"/>
          <w:color w:val="FF0000"/>
        </w:rPr>
        <w:t>网站以公告形式进行第二次公示，于2</w:t>
      </w:r>
      <w:r>
        <w:rPr>
          <w:color w:val="FF0000"/>
        </w:rPr>
        <w:t>0</w:t>
      </w:r>
      <w:r>
        <w:rPr>
          <w:rFonts w:hint="eastAsia"/>
          <w:color w:val="FF0000"/>
        </w:rPr>
        <w:t>2</w:t>
      </w:r>
      <w:r>
        <w:rPr>
          <w:rFonts w:hint="eastAsia"/>
          <w:color w:val="FF0000"/>
          <w:lang w:val="en-US" w:eastAsia="zh-CN"/>
        </w:rPr>
        <w:t>6</w:t>
      </w:r>
      <w:r>
        <w:rPr>
          <w:color w:val="FF0000"/>
        </w:rPr>
        <w:t>年</w:t>
      </w:r>
      <w:r>
        <w:rPr>
          <w:rFonts w:hint="eastAsia"/>
          <w:color w:val="FF0000"/>
        </w:rPr>
        <w:t>3月2</w:t>
      </w:r>
      <w:r>
        <w:rPr>
          <w:rFonts w:hint="eastAsia"/>
          <w:color w:val="FF0000"/>
          <w:lang w:val="en-US" w:eastAsia="zh-CN"/>
        </w:rPr>
        <w:t>8</w:t>
      </w:r>
      <w:r>
        <w:rPr>
          <w:color w:val="FF0000"/>
        </w:rPr>
        <w:t>日</w:t>
      </w:r>
      <w:r>
        <w:rPr>
          <w:rFonts w:hint="eastAsia"/>
          <w:color w:val="FF0000"/>
        </w:rPr>
        <w:t>、3月30日分别在《新快报》登报公告，</w:t>
      </w:r>
      <w:r>
        <w:rPr>
          <w:rFonts w:hint="eastAsia"/>
          <w:color w:val="auto"/>
        </w:rPr>
        <w:t>并在项目周边张贴公告、现场走访、并拍照或拍摄记录。第一次网络公示，征求意见稿网络、报纸、现场公示期间，均未收到群众和社会各界对本项目的相关意见。</w:t>
      </w:r>
    </w:p>
    <w:p w14:paraId="292647E5">
      <w:pPr>
        <w:ind w:firstLine="480"/>
        <w:rPr>
          <w:color w:val="auto"/>
        </w:rPr>
      </w:pPr>
      <w:r>
        <w:rPr>
          <w:rFonts w:hint="eastAsia"/>
          <w:color w:val="auto"/>
        </w:rPr>
        <w:t>虽未收到任何反馈意见，建设单位在项目建设运营过程中仍会严格落实各项环保措施，确保本项目建设运营过程中废气、废水、噪声达标排放，固体废物妥善处置，并加强日常监管与维护，避免技术故障及管理不善等问题，杜绝污染事故的发生，以降低本项目建设运营对周围环境空气、地表水环境、地下水环境、声环境、生态环境的影响，争取公众持久的支持。</w:t>
      </w:r>
    </w:p>
    <w:p w14:paraId="22190793">
      <w:pPr>
        <w:pStyle w:val="67"/>
        <w:numPr>
          <w:ilvl w:val="1"/>
          <w:numId w:val="8"/>
        </w:numPr>
        <w:bidi w:val="0"/>
        <w:ind w:left="567" w:leftChars="0" w:hanging="567" w:firstLineChars="0"/>
        <w:rPr>
          <w:rFonts w:hint="default"/>
          <w:color w:val="auto"/>
        </w:rPr>
      </w:pPr>
      <w:bookmarkStart w:id="356" w:name="_Toc195"/>
      <w:bookmarkStart w:id="357" w:name="_Toc7638"/>
      <w:bookmarkStart w:id="358" w:name="_Toc12928"/>
      <w:bookmarkStart w:id="359" w:name="_Toc31302"/>
      <w:bookmarkStart w:id="360" w:name="_Toc5278"/>
      <w:bookmarkStart w:id="361" w:name="_Toc10917"/>
      <w:bookmarkStart w:id="362" w:name="_Toc24481"/>
      <w:bookmarkStart w:id="363" w:name="_Toc16671"/>
      <w:r>
        <w:rPr>
          <w:rFonts w:hint="default"/>
          <w:color w:val="auto"/>
          <w:lang w:val="en-US" w:eastAsia="zh-CN"/>
        </w:rPr>
        <w:t>总量控制</w:t>
      </w:r>
      <w:r>
        <w:rPr>
          <w:rFonts w:hint="default"/>
          <w:color w:val="auto"/>
        </w:rPr>
        <w:t>结论</w:t>
      </w:r>
      <w:bookmarkEnd w:id="356"/>
      <w:bookmarkEnd w:id="357"/>
      <w:bookmarkEnd w:id="358"/>
      <w:bookmarkEnd w:id="359"/>
      <w:bookmarkEnd w:id="360"/>
    </w:p>
    <w:p w14:paraId="0D36E765">
      <w:pPr>
        <w:ind w:firstLine="482"/>
        <w:rPr>
          <w:b/>
          <w:bCs/>
          <w:color w:val="auto"/>
        </w:rPr>
      </w:pPr>
      <w:r>
        <w:rPr>
          <w:b/>
          <w:bCs/>
          <w:color w:val="auto"/>
        </w:rPr>
        <w:t>1</w:t>
      </w:r>
      <w:r>
        <w:rPr>
          <w:rFonts w:hint="eastAsia"/>
          <w:b/>
          <w:bCs/>
          <w:color w:val="auto"/>
        </w:rPr>
        <w:t>、水污染物排放总量控制指标</w:t>
      </w:r>
    </w:p>
    <w:p w14:paraId="7617356C">
      <w:pPr>
        <w:ind w:firstLine="480"/>
        <w:rPr>
          <w:color w:val="auto"/>
        </w:rPr>
      </w:pPr>
      <w:r>
        <w:rPr>
          <w:rFonts w:hint="eastAsia"/>
          <w:color w:val="auto"/>
        </w:rPr>
        <w:t>不需设置水污染物排放总量控制指标。</w:t>
      </w:r>
    </w:p>
    <w:p w14:paraId="7FB67006">
      <w:pPr>
        <w:ind w:left="480" w:leftChars="200" w:firstLine="0" w:firstLineChars="0"/>
        <w:rPr>
          <w:b/>
          <w:bCs/>
          <w:color w:val="auto"/>
        </w:rPr>
      </w:pPr>
      <w:r>
        <w:rPr>
          <w:rFonts w:hint="eastAsia"/>
          <w:b/>
          <w:bCs/>
          <w:color w:val="auto"/>
        </w:rPr>
        <w:t>2、大气污染物排放总量控制指标</w:t>
      </w:r>
    </w:p>
    <w:p w14:paraId="139B8E89">
      <w:pPr>
        <w:ind w:firstLine="480"/>
        <w:rPr>
          <w:rFonts w:hint="default"/>
          <w:color w:val="auto"/>
          <w:lang w:val="en-US"/>
        </w:rPr>
      </w:pPr>
      <w:r>
        <w:rPr>
          <w:rFonts w:hint="default"/>
          <w:color w:val="auto"/>
          <w:lang w:val="en-US" w:eastAsia="zh-CN"/>
        </w:rPr>
        <w:t>VOCs</w:t>
      </w:r>
      <w:r>
        <w:rPr>
          <w:rFonts w:hint="eastAsia"/>
          <w:color w:val="auto"/>
          <w:lang w:val="en-US" w:eastAsia="zh-CN"/>
        </w:rPr>
        <w:t>≤12.488t/a、</w:t>
      </w:r>
      <w:r>
        <w:rPr>
          <w:rFonts w:hint="default"/>
          <w:color w:val="auto"/>
          <w:lang w:val="en-US" w:eastAsia="zh-CN"/>
        </w:rPr>
        <w:t>NOx</w:t>
      </w:r>
      <w:r>
        <w:rPr>
          <w:rFonts w:hint="eastAsia"/>
          <w:color w:val="auto"/>
          <w:lang w:val="en-US" w:eastAsia="zh-CN"/>
        </w:rPr>
        <w:t>≤0.206t/a。</w:t>
      </w:r>
    </w:p>
    <w:p w14:paraId="4E0D9C60">
      <w:pPr>
        <w:pStyle w:val="67"/>
        <w:numPr>
          <w:ilvl w:val="1"/>
          <w:numId w:val="8"/>
        </w:numPr>
        <w:bidi w:val="0"/>
        <w:ind w:left="567" w:leftChars="0" w:hanging="567" w:firstLineChars="0"/>
        <w:rPr>
          <w:rFonts w:hint="default"/>
          <w:color w:val="auto"/>
        </w:rPr>
      </w:pPr>
      <w:bookmarkStart w:id="364" w:name="_Toc23243"/>
      <w:r>
        <w:rPr>
          <w:rFonts w:hint="default"/>
          <w:color w:val="auto"/>
        </w:rPr>
        <w:t>环境影响经济损益分析结论</w:t>
      </w:r>
      <w:bookmarkEnd w:id="361"/>
      <w:bookmarkEnd w:id="362"/>
      <w:bookmarkEnd w:id="363"/>
      <w:bookmarkEnd w:id="364"/>
    </w:p>
    <w:p w14:paraId="2CE8E920">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cs="Times New Roman"/>
          <w:color w:val="auto"/>
          <w:kern w:val="0"/>
          <w:szCs w:val="20"/>
        </w:rPr>
      </w:pPr>
      <w:r>
        <w:rPr>
          <w:rFonts w:hint="default" w:ascii="Times New Roman" w:hAnsi="Times New Roman" w:cs="Times New Roman"/>
          <w:color w:val="auto"/>
          <w:kern w:val="0"/>
          <w:szCs w:val="20"/>
        </w:rPr>
        <w:t>本项目的建设具有一定的社会经济效益。项目的环境经济分析表明：项目的环保投资较合理，符合经济效益与环境效益的要求，满足实现经济与环境协调、可持续发展的要求。因此，本项目的建设从环境经济效益分析上是可行的。</w:t>
      </w:r>
    </w:p>
    <w:bookmarkEnd w:id="346"/>
    <w:bookmarkEnd w:id="347"/>
    <w:bookmarkEnd w:id="348"/>
    <w:bookmarkEnd w:id="349"/>
    <w:bookmarkEnd w:id="350"/>
    <w:bookmarkEnd w:id="351"/>
    <w:bookmarkEnd w:id="352"/>
    <w:bookmarkEnd w:id="353"/>
    <w:p w14:paraId="424CFE3D">
      <w:pPr>
        <w:pStyle w:val="67"/>
        <w:numPr>
          <w:ilvl w:val="1"/>
          <w:numId w:val="8"/>
        </w:numPr>
        <w:spacing w:before="156" w:after="156"/>
        <w:ind w:left="567" w:leftChars="0" w:hanging="567" w:firstLineChars="0"/>
        <w:rPr>
          <w:color w:val="auto"/>
        </w:rPr>
      </w:pPr>
      <w:bookmarkStart w:id="365" w:name="_Toc6167"/>
      <w:r>
        <w:rPr>
          <w:rFonts w:hint="eastAsia"/>
          <w:color w:val="auto"/>
        </w:rPr>
        <w:t>综合结论</w:t>
      </w:r>
      <w:bookmarkEnd w:id="365"/>
    </w:p>
    <w:p w14:paraId="5E8EE149">
      <w:pPr>
        <w:ind w:firstLine="480"/>
        <w:rPr>
          <w:color w:val="auto"/>
        </w:rPr>
      </w:pPr>
      <w:r>
        <w:rPr>
          <w:rFonts w:hint="eastAsia"/>
          <w:color w:val="auto"/>
        </w:rPr>
        <w:t>综上所述，本项目符合国家和地方产业政策，项目选址布局合理，项目拟采取的各项环境保护措施具有经济和技术可行性。本项目建设单位在严格执行建设项目环境保护“三同时制度”、认真落实相应的环境保护防治措施后，本项目的各类污染物均能做到达标排放或妥善处置，对外部环境影响较小，故</w:t>
      </w:r>
      <w:r>
        <w:rPr>
          <w:b/>
          <w:bCs/>
          <w:color w:val="auto"/>
        </w:rPr>
        <w:t>从环境保护角度</w:t>
      </w:r>
      <w:r>
        <w:rPr>
          <w:rFonts w:hint="eastAsia"/>
          <w:b/>
          <w:bCs/>
          <w:color w:val="auto"/>
        </w:rPr>
        <w:t>分析，本</w:t>
      </w:r>
      <w:r>
        <w:rPr>
          <w:b/>
          <w:bCs/>
          <w:color w:val="auto"/>
        </w:rPr>
        <w:t>项目</w:t>
      </w:r>
      <w:r>
        <w:rPr>
          <w:rFonts w:hint="eastAsia"/>
          <w:b/>
          <w:bCs/>
          <w:color w:val="auto"/>
        </w:rPr>
        <w:t>的建设</w:t>
      </w:r>
      <w:r>
        <w:rPr>
          <w:b/>
          <w:bCs/>
          <w:color w:val="auto"/>
        </w:rPr>
        <w:t>是可行的</w:t>
      </w:r>
      <w:r>
        <w:rPr>
          <w:rFonts w:hint="eastAsia"/>
          <w:b/>
          <w:bCs/>
          <w:color w:val="auto"/>
        </w:rPr>
        <w:t>。</w:t>
      </w:r>
    </w:p>
    <w:p w14:paraId="7E702FDD">
      <w:pPr>
        <w:pStyle w:val="67"/>
        <w:numPr>
          <w:ilvl w:val="1"/>
          <w:numId w:val="8"/>
        </w:numPr>
        <w:spacing w:before="156" w:after="156"/>
        <w:ind w:left="567" w:leftChars="0" w:hanging="567" w:firstLineChars="0"/>
        <w:rPr>
          <w:color w:val="auto"/>
        </w:rPr>
      </w:pPr>
      <w:bookmarkStart w:id="366" w:name="_Toc9595"/>
      <w:r>
        <w:rPr>
          <w:rFonts w:hint="eastAsia"/>
          <w:color w:val="auto"/>
        </w:rPr>
        <w:t>建议</w:t>
      </w:r>
      <w:bookmarkEnd w:id="366"/>
    </w:p>
    <w:p w14:paraId="678F31A2">
      <w:pPr>
        <w:numPr>
          <w:ilvl w:val="0"/>
          <w:numId w:val="58"/>
        </w:numPr>
        <w:ind w:firstLine="480"/>
        <w:rPr>
          <w:color w:val="auto"/>
        </w:rPr>
      </w:pPr>
      <w:r>
        <w:rPr>
          <w:rFonts w:hint="eastAsia"/>
          <w:color w:val="auto"/>
        </w:rPr>
        <w:t>建设单位必须严格控制所申报的生产规模，不能随意扩大生产规模，增加污水的排放总量，避免加重对环境的污染。</w:t>
      </w:r>
      <w:bookmarkStart w:id="367" w:name="xxqqWholeArea"/>
    </w:p>
    <w:p w14:paraId="1D0AFABA">
      <w:pPr>
        <w:numPr>
          <w:ilvl w:val="0"/>
          <w:numId w:val="58"/>
        </w:numPr>
        <w:ind w:firstLine="480"/>
        <w:rPr>
          <w:color w:val="auto"/>
        </w:rPr>
      </w:pPr>
      <w:r>
        <w:rPr>
          <w:rFonts w:hint="eastAsia"/>
          <w:color w:val="auto"/>
        </w:rPr>
        <w:t>项目要做好“三废”的治理。特别是工艺废气等要做好相应的治理措施，确保污染物排放符合要求。</w:t>
      </w:r>
    </w:p>
    <w:bookmarkEnd w:id="367"/>
    <w:p w14:paraId="408FEEAD">
      <w:pPr>
        <w:numPr>
          <w:ilvl w:val="0"/>
          <w:numId w:val="58"/>
        </w:numPr>
        <w:bidi w:val="0"/>
        <w:rPr>
          <w:color w:val="auto"/>
        </w:rPr>
      </w:pPr>
      <w:r>
        <w:rPr>
          <w:color w:val="auto"/>
        </w:rPr>
        <w:t>鼓励</w:t>
      </w:r>
      <w:r>
        <w:rPr>
          <w:rFonts w:hint="eastAsia"/>
          <w:color w:val="auto"/>
          <w:lang w:val="en-US" w:eastAsia="zh-CN"/>
        </w:rPr>
        <w:t>建设单位</w:t>
      </w:r>
      <w:r>
        <w:rPr>
          <w:color w:val="auto"/>
        </w:rPr>
        <w:t>依法自建设施利用处置自身产生的危险废物。</w:t>
      </w:r>
    </w:p>
    <w:p w14:paraId="56759B91">
      <w:pPr>
        <w:numPr>
          <w:ilvl w:val="0"/>
          <w:numId w:val="58"/>
        </w:numPr>
        <w:ind w:firstLine="480"/>
        <w:rPr>
          <w:color w:val="auto"/>
        </w:rPr>
      </w:pPr>
      <w:r>
        <w:rPr>
          <w:color w:val="auto"/>
        </w:rPr>
        <w:t>建议厂方制定项目各工序操作规范，提出相应控制参数和指标，对操作人员和管理人员进行定期考核。</w:t>
      </w:r>
    </w:p>
    <w:p w14:paraId="2757EC6B">
      <w:pPr>
        <w:numPr>
          <w:ilvl w:val="0"/>
          <w:numId w:val="58"/>
        </w:numPr>
        <w:ind w:firstLine="480"/>
        <w:rPr>
          <w:color w:val="auto"/>
        </w:rPr>
      </w:pPr>
      <w:r>
        <w:rPr>
          <w:color w:val="auto"/>
        </w:rPr>
        <w:t>对操作人员及管理人员在上岗之前可进行岗位培训，提高业务知识及操作水平，做到持证上岗。</w:t>
      </w:r>
    </w:p>
    <w:p w14:paraId="6DA857EB">
      <w:pPr>
        <w:numPr>
          <w:ilvl w:val="0"/>
          <w:numId w:val="58"/>
        </w:numPr>
        <w:ind w:firstLine="480"/>
        <w:rPr>
          <w:color w:val="auto"/>
        </w:rPr>
      </w:pPr>
      <w:r>
        <w:rPr>
          <w:color w:val="auto"/>
        </w:rPr>
        <w:t>建议厂方</w:t>
      </w:r>
      <w:r>
        <w:rPr>
          <w:rFonts w:hint="eastAsia"/>
          <w:color w:val="auto"/>
        </w:rPr>
        <w:t>针对不同事故等级</w:t>
      </w:r>
      <w:r>
        <w:rPr>
          <w:color w:val="auto"/>
        </w:rPr>
        <w:t>制定</w:t>
      </w:r>
      <w:r>
        <w:rPr>
          <w:rFonts w:hint="eastAsia"/>
          <w:color w:val="auto"/>
        </w:rPr>
        <w:t>相应的应急预案，并定期进行演练。</w:t>
      </w:r>
    </w:p>
    <w:p w14:paraId="3B67FF62">
      <w:pPr>
        <w:bidi w:val="0"/>
        <w:rPr>
          <w:color w:val="auto"/>
        </w:rPr>
      </w:pPr>
    </w:p>
    <w:p w14:paraId="66910581">
      <w:pPr>
        <w:tabs>
          <w:tab w:val="left" w:pos="480"/>
        </w:tabs>
        <w:ind w:firstLine="5400" w:firstLineChars="2250"/>
        <w:rPr>
          <w:color w:val="auto"/>
          <w:u w:val="single"/>
        </w:rPr>
        <w:sectPr>
          <w:footerReference r:id="rId16" w:type="default"/>
          <w:pgSz w:w="11906" w:h="16838"/>
          <w:pgMar w:top="1417" w:right="1417" w:bottom="1417" w:left="1417" w:header="992" w:footer="992" w:gutter="0"/>
          <w:pgNumType w:fmt="decimal"/>
          <w:cols w:space="720" w:num="1"/>
          <w:docGrid w:type="lines" w:linePitch="312" w:charSpace="0"/>
        </w:sectPr>
      </w:pPr>
    </w:p>
    <w:p w14:paraId="26B8B591">
      <w:pPr>
        <w:pStyle w:val="64"/>
        <w:numPr>
          <w:ilvl w:val="0"/>
          <w:numId w:val="59"/>
        </w:numPr>
        <w:bidi w:val="0"/>
        <w:ind w:left="0" w:leftChars="0" w:firstLine="0" w:firstLineChars="0"/>
        <w:rPr>
          <w:rFonts w:hint="eastAsia"/>
          <w:lang w:val="en-US" w:eastAsia="zh-CN"/>
        </w:rPr>
      </w:pPr>
      <w:r>
        <w:rPr>
          <w:rFonts w:hint="eastAsia"/>
          <w:lang w:val="en-US" w:eastAsia="zh-CN"/>
        </w:rPr>
        <w:t>委托书</w:t>
      </w:r>
    </w:p>
    <w:p w14:paraId="3FB77E4C">
      <w:pPr>
        <w:ind w:firstLine="883"/>
        <w:jc w:val="center"/>
        <w:rPr>
          <w:rFonts w:ascii="Times New Roman" w:hAnsi="Times New Roman" w:cs="Times New Roman"/>
          <w:b/>
          <w:bCs/>
          <w:sz w:val="44"/>
          <w:szCs w:val="44"/>
        </w:rPr>
      </w:pPr>
      <w:r>
        <w:rPr>
          <w:rFonts w:hint="eastAsia" w:ascii="Times New Roman" w:hAnsi="Times New Roman" w:cs="Times New Roman"/>
          <w:b/>
          <w:bCs/>
          <w:sz w:val="44"/>
          <w:szCs w:val="44"/>
        </w:rPr>
        <w:t>委 托 书</w:t>
      </w:r>
    </w:p>
    <w:p w14:paraId="172F7A10">
      <w:pPr>
        <w:ind w:firstLine="0" w:firstLineChars="0"/>
        <w:rPr>
          <w:rFonts w:ascii="Times New Roman" w:hAnsi="Times New Roman" w:eastAsia="仿宋" w:cs="Times New Roman"/>
          <w:sz w:val="28"/>
          <w:szCs w:val="32"/>
        </w:rPr>
      </w:pPr>
    </w:p>
    <w:p w14:paraId="5EA50F85">
      <w:pPr>
        <w:ind w:firstLine="0" w:firstLineChars="0"/>
        <w:rPr>
          <w:rFonts w:hint="eastAsia" w:ascii="Times New Roman" w:hAnsi="Times New Roman" w:cs="Times New Roman"/>
        </w:rPr>
      </w:pPr>
      <w:r>
        <w:rPr>
          <w:rFonts w:ascii="Times New Roman" w:hAnsi="Times New Roman" w:eastAsia="仿宋" w:cs="Times New Roman"/>
          <w:sz w:val="28"/>
          <w:szCs w:val="32"/>
        </w:rPr>
        <w:fldChar w:fldCharType="begin"/>
      </w:r>
      <w:r>
        <w:rPr>
          <w:rFonts w:ascii="Times New Roman" w:hAnsi="Times New Roman" w:eastAsia="仿宋" w:cs="Times New Roman"/>
          <w:sz w:val="28"/>
          <w:szCs w:val="32"/>
        </w:rPr>
        <w:instrText xml:space="preserve"> HYPERLINK "https://www.baidu.com/link?url=8vzrzE8QFA8ug8__Nm1BA2WRK2GanK5kJMG9s4spocS&amp;wd=&amp;eqid=a3d51a470046c86c00000006654792a9" \t "https://www.baidu.com/_blank" </w:instrText>
      </w:r>
      <w:r>
        <w:rPr>
          <w:rFonts w:ascii="Times New Roman" w:hAnsi="Times New Roman" w:eastAsia="仿宋" w:cs="Times New Roman"/>
          <w:sz w:val="28"/>
          <w:szCs w:val="32"/>
        </w:rPr>
        <w:fldChar w:fldCharType="separate"/>
      </w:r>
      <w:r>
        <w:rPr>
          <w:rFonts w:hint="eastAsia" w:ascii="Times New Roman" w:hAnsi="Times New Roman" w:eastAsia="仿宋" w:cs="Times New Roman"/>
          <w:sz w:val="28"/>
          <w:szCs w:val="32"/>
        </w:rPr>
        <w:t>江门市碧佳环保咨询服务有限公司</w:t>
      </w:r>
      <w:r>
        <w:rPr>
          <w:rFonts w:ascii="Times New Roman" w:hAnsi="Times New Roman" w:eastAsia="仿宋" w:cs="Times New Roman"/>
          <w:sz w:val="28"/>
          <w:szCs w:val="32"/>
        </w:rPr>
        <w:fldChar w:fldCharType="end"/>
      </w:r>
      <w:r>
        <w:rPr>
          <w:rFonts w:hint="eastAsia" w:ascii="Times New Roman" w:hAnsi="Times New Roman" w:eastAsia="仿宋" w:cs="Times New Roman"/>
          <w:sz w:val="28"/>
          <w:szCs w:val="32"/>
        </w:rPr>
        <w:t>：</w:t>
      </w:r>
    </w:p>
    <w:p w14:paraId="6B292715">
      <w:pPr>
        <w:ind w:firstLine="560"/>
        <w:rPr>
          <w:rFonts w:hint="eastAsia" w:ascii="Times New Roman" w:hAnsi="Times New Roman" w:eastAsia="仿宋" w:cs="Times New Roman"/>
          <w:sz w:val="28"/>
          <w:szCs w:val="32"/>
        </w:rPr>
      </w:pPr>
      <w:r>
        <w:rPr>
          <w:rFonts w:hint="eastAsia" w:ascii="Times New Roman" w:hAnsi="Times New Roman" w:eastAsia="仿宋" w:cs="Times New Roman"/>
          <w:sz w:val="28"/>
          <w:szCs w:val="32"/>
        </w:rPr>
        <w:t>根据《中华人民共和国环境影响评价法》、《建设项目环境影响评价分类管理名录》、《广东省环境保护条例》等有关规定，现委托贵单位承担“</w:t>
      </w:r>
      <w:r>
        <w:rPr>
          <w:rFonts w:hint="eastAsia" w:ascii="Times New Roman" w:hAnsi="Times New Roman" w:eastAsia="仿宋" w:cs="Times New Roman"/>
          <w:sz w:val="28"/>
          <w:szCs w:val="32"/>
          <w:lang w:eastAsia="zh-CN"/>
        </w:rPr>
        <w:t>鹤山市衍鹏印刷有限公司年产450吨包装卷膜新建项目</w:t>
      </w:r>
      <w:r>
        <w:rPr>
          <w:rFonts w:hint="eastAsia" w:ascii="Times New Roman" w:hAnsi="Times New Roman" w:eastAsia="仿宋" w:cs="Times New Roman"/>
          <w:sz w:val="28"/>
          <w:szCs w:val="32"/>
        </w:rPr>
        <w:t>”环境影响评价工作。</w:t>
      </w:r>
    </w:p>
    <w:p w14:paraId="2213C82B">
      <w:pPr>
        <w:ind w:firstLine="560"/>
        <w:rPr>
          <w:rFonts w:hint="eastAsia" w:ascii="Times New Roman" w:hAnsi="Times New Roman" w:eastAsia="仿宋" w:cs="Times New Roman"/>
          <w:sz w:val="28"/>
          <w:szCs w:val="32"/>
        </w:rPr>
      </w:pPr>
      <w:r>
        <w:rPr>
          <w:rFonts w:hint="eastAsia" w:ascii="Times New Roman" w:hAnsi="Times New Roman" w:eastAsia="仿宋" w:cs="Times New Roman"/>
          <w:sz w:val="28"/>
          <w:szCs w:val="32"/>
        </w:rPr>
        <w:t>特此委托！</w:t>
      </w:r>
    </w:p>
    <w:p w14:paraId="1B165B8E">
      <w:pPr>
        <w:ind w:firstLine="0" w:firstLineChars="0"/>
        <w:rPr>
          <w:rFonts w:hint="eastAsia" w:ascii="Times New Roman" w:hAnsi="Times New Roman" w:cs="Times New Roman"/>
          <w:sz w:val="28"/>
          <w:szCs w:val="32"/>
        </w:rPr>
      </w:pPr>
    </w:p>
    <w:p w14:paraId="705231B8">
      <w:pPr>
        <w:ind w:firstLine="0" w:firstLineChars="0"/>
        <w:rPr>
          <w:rFonts w:hint="eastAsia" w:ascii="Times New Roman" w:hAnsi="Times New Roman" w:cs="Times New Roman"/>
          <w:sz w:val="28"/>
          <w:szCs w:val="32"/>
        </w:rPr>
      </w:pPr>
    </w:p>
    <w:p w14:paraId="43490AC0">
      <w:pPr>
        <w:autoSpaceDE w:val="0"/>
        <w:autoSpaceDN w:val="0"/>
        <w:adjustRightInd w:val="0"/>
        <w:ind w:firstLine="560"/>
        <w:jc w:val="center"/>
        <w:textAlignment w:val="baseline"/>
        <w:rPr>
          <w:rFonts w:hint="eastAsia" w:ascii="Times New Roman" w:hAnsi="Times New Roman" w:cs="Times New Roman"/>
          <w:sz w:val="28"/>
          <w:szCs w:val="28"/>
        </w:rPr>
      </w:pPr>
    </w:p>
    <w:p w14:paraId="0B958A4C">
      <w:pPr>
        <w:ind w:firstLine="560"/>
        <w:jc w:val="right"/>
        <w:rPr>
          <w:rFonts w:hint="eastAsia" w:ascii="Times New Roman" w:hAnsi="Times New Roman" w:eastAsia="仿宋" w:cs="Times New Roman"/>
          <w:sz w:val="28"/>
          <w:szCs w:val="32"/>
        </w:rPr>
      </w:pPr>
      <w:r>
        <w:rPr>
          <w:rFonts w:hint="eastAsia" w:ascii="Times New Roman" w:hAnsi="Times New Roman" w:eastAsia="仿宋" w:cs="Times New Roman"/>
          <w:sz w:val="28"/>
          <w:szCs w:val="32"/>
          <w:lang w:eastAsia="zh-CN"/>
        </w:rPr>
        <w:t>鹤山市衍鹏印刷有限公司</w:t>
      </w:r>
    </w:p>
    <w:p w14:paraId="4F0D5B91">
      <w:pPr>
        <w:ind w:firstLine="6720" w:firstLineChars="2400"/>
        <w:jc w:val="right"/>
        <w:rPr>
          <w:rFonts w:hint="eastAsia" w:ascii="Times New Roman" w:hAnsi="Times New Roman" w:eastAsia="仿宋" w:cs="Times New Roman"/>
          <w:sz w:val="28"/>
          <w:szCs w:val="32"/>
        </w:rPr>
        <w:sectPr>
          <w:headerReference r:id="rId17" w:type="default"/>
          <w:footerReference r:id="rId18" w:type="default"/>
          <w:pgSz w:w="11905" w:h="16838"/>
          <w:pgMar w:top="1417" w:right="1417" w:bottom="1417" w:left="1417" w:header="851" w:footer="1077" w:gutter="0"/>
          <w:pgNumType w:fmt="decimal"/>
          <w:cols w:space="720" w:num="1"/>
          <w:docGrid w:linePitch="312" w:charSpace="0"/>
        </w:sectPr>
      </w:pPr>
      <w:r>
        <w:rPr>
          <w:rFonts w:hint="eastAsia" w:ascii="Times New Roman" w:hAnsi="Times New Roman" w:eastAsia="仿宋" w:cs="Times New Roman"/>
          <w:sz w:val="28"/>
          <w:szCs w:val="32"/>
        </w:rPr>
        <w:t>2025年</w:t>
      </w:r>
      <w:r>
        <w:rPr>
          <w:rFonts w:hint="eastAsia" w:ascii="Times New Roman" w:hAnsi="Times New Roman" w:eastAsia="仿宋" w:cs="Times New Roman"/>
          <w:sz w:val="28"/>
          <w:szCs w:val="32"/>
          <w:lang w:val="en-US" w:eastAsia="zh-CN"/>
        </w:rPr>
        <w:t>12</w:t>
      </w:r>
      <w:r>
        <w:rPr>
          <w:rFonts w:hint="eastAsia" w:ascii="Times New Roman" w:hAnsi="Times New Roman" w:eastAsia="仿宋" w:cs="Times New Roman"/>
          <w:sz w:val="28"/>
          <w:szCs w:val="32"/>
        </w:rPr>
        <w:t>月</w:t>
      </w:r>
      <w:r>
        <w:rPr>
          <w:rFonts w:hint="eastAsia" w:ascii="Times New Roman" w:hAnsi="Times New Roman" w:eastAsia="仿宋" w:cs="Times New Roman"/>
          <w:sz w:val="28"/>
          <w:szCs w:val="32"/>
          <w:lang w:val="en-US" w:eastAsia="zh-CN"/>
        </w:rPr>
        <w:t>22</w:t>
      </w:r>
      <w:r>
        <w:rPr>
          <w:rFonts w:hint="eastAsia" w:ascii="Times New Roman" w:hAnsi="Times New Roman" w:eastAsia="仿宋" w:cs="Times New Roman"/>
          <w:sz w:val="28"/>
          <w:szCs w:val="32"/>
        </w:rPr>
        <w:t>日</w:t>
      </w:r>
    </w:p>
    <w:p w14:paraId="5BF555F6">
      <w:pPr>
        <w:pStyle w:val="64"/>
        <w:numPr>
          <w:ilvl w:val="0"/>
          <w:numId w:val="59"/>
        </w:numPr>
        <w:bidi w:val="0"/>
        <w:ind w:left="0" w:leftChars="0" w:firstLine="0" w:firstLineChars="0"/>
        <w:rPr>
          <w:rFonts w:hint="eastAsia"/>
          <w:lang w:val="en-US" w:eastAsia="zh-CN"/>
        </w:rPr>
      </w:pPr>
      <w:r>
        <w:rPr>
          <w:rFonts w:hint="eastAsia"/>
          <w:lang w:val="en-US" w:eastAsia="zh-CN"/>
        </w:rPr>
        <w:t>营业执照复印件</w:t>
      </w:r>
    </w:p>
    <w:p w14:paraId="74962081">
      <w:pPr>
        <w:pStyle w:val="62"/>
        <w:bidi w:val="0"/>
        <w:rPr>
          <w:rFonts w:hint="eastAsia"/>
          <w:lang w:val="en-US" w:eastAsia="zh-CN"/>
        </w:rPr>
        <w:sectPr>
          <w:pgSz w:w="16838" w:h="11906" w:orient="landscape"/>
          <w:pgMar w:top="1417" w:right="1417" w:bottom="1417" w:left="1417" w:header="851" w:footer="992" w:gutter="0"/>
          <w:pgNumType w:fmt="decimal"/>
          <w:cols w:space="425" w:num="1"/>
          <w:docGrid w:type="lines" w:linePitch="312" w:charSpace="0"/>
        </w:sectPr>
      </w:pPr>
      <w:r>
        <w:rPr>
          <w:rFonts w:hint="eastAsia"/>
          <w:lang w:val="en-US" w:eastAsia="zh-CN"/>
        </w:rPr>
        <w:drawing>
          <wp:inline distT="0" distB="0" distL="114300" distR="114300">
            <wp:extent cx="7189470" cy="4973955"/>
            <wp:effectExtent l="0" t="0" r="1905" b="7620"/>
            <wp:docPr id="34" name="图片 34" descr="衍鹏营业执照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衍鹏营业执照_01"/>
                    <pic:cNvPicPr>
                      <a:picLocks noChangeAspect="1"/>
                    </pic:cNvPicPr>
                  </pic:nvPicPr>
                  <pic:blipFill>
                    <a:blip r:embed="rId135"/>
                    <a:srcRect t="25955" b="25166"/>
                    <a:stretch>
                      <a:fillRect/>
                    </a:stretch>
                  </pic:blipFill>
                  <pic:spPr>
                    <a:xfrm>
                      <a:off x="0" y="0"/>
                      <a:ext cx="7189470" cy="4973955"/>
                    </a:xfrm>
                    <a:prstGeom prst="rect">
                      <a:avLst/>
                    </a:prstGeom>
                  </pic:spPr>
                </pic:pic>
              </a:graphicData>
            </a:graphic>
          </wp:inline>
        </w:drawing>
      </w:r>
    </w:p>
    <w:p w14:paraId="388B0D52">
      <w:pPr>
        <w:pStyle w:val="64"/>
        <w:numPr>
          <w:ilvl w:val="0"/>
          <w:numId w:val="59"/>
        </w:numPr>
        <w:bidi w:val="0"/>
        <w:ind w:left="0" w:leftChars="0" w:firstLine="0" w:firstLineChars="0"/>
        <w:rPr>
          <w:rFonts w:hint="eastAsia"/>
          <w:lang w:val="en-US" w:eastAsia="zh-CN"/>
        </w:rPr>
      </w:pPr>
      <w:r>
        <w:rPr>
          <w:rFonts w:hint="eastAsia"/>
          <w:lang w:val="en-US" w:eastAsia="zh-CN"/>
        </w:rPr>
        <w:t>法人身份证复印件</w:t>
      </w:r>
    </w:p>
    <w:p w14:paraId="4CFD2903">
      <w:pPr>
        <w:pStyle w:val="59"/>
        <w:numPr>
          <w:ilvl w:val="0"/>
          <w:numId w:val="0"/>
        </w:numPr>
        <w:tabs>
          <w:tab w:val="left" w:pos="0"/>
        </w:tabs>
        <w:bidi w:val="0"/>
        <w:rPr>
          <w:rFonts w:hint="eastAsia"/>
          <w:lang w:val="en-US" w:eastAsia="zh-CN"/>
        </w:rPr>
        <w:sectPr>
          <w:pgSz w:w="11906" w:h="16838"/>
          <w:pgMar w:top="1417" w:right="1417" w:bottom="1417" w:left="1417" w:header="851" w:footer="992" w:gutter="0"/>
          <w:pgNumType w:fmt="decimal"/>
          <w:cols w:space="425" w:num="1"/>
          <w:docGrid w:type="lines" w:linePitch="312" w:charSpace="0"/>
        </w:sectPr>
      </w:pPr>
      <w:r>
        <w:rPr>
          <w:rFonts w:hint="eastAsia"/>
          <w:lang w:val="en-US" w:eastAsia="zh-CN"/>
        </w:rPr>
        <w:drawing>
          <wp:inline distT="0" distB="0" distL="114300" distR="114300">
            <wp:extent cx="5735320" cy="6522085"/>
            <wp:effectExtent l="0" t="0" r="0" b="0"/>
            <wp:docPr id="29" name="图片 29" descr="任达克身份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任达克身份证_01"/>
                    <pic:cNvPicPr>
                      <a:picLocks noChangeAspect="1"/>
                    </pic:cNvPicPr>
                  </pic:nvPicPr>
                  <pic:blipFill>
                    <a:blip r:embed="rId136"/>
                    <a:srcRect t="22307"/>
                    <a:stretch>
                      <a:fillRect/>
                    </a:stretch>
                  </pic:blipFill>
                  <pic:spPr>
                    <a:xfrm>
                      <a:off x="0" y="0"/>
                      <a:ext cx="5735320" cy="6522085"/>
                    </a:xfrm>
                    <a:prstGeom prst="rect">
                      <a:avLst/>
                    </a:prstGeom>
                  </pic:spPr>
                </pic:pic>
              </a:graphicData>
            </a:graphic>
          </wp:inline>
        </w:drawing>
      </w:r>
    </w:p>
    <w:p w14:paraId="75BF246F">
      <w:pPr>
        <w:pStyle w:val="64"/>
        <w:numPr>
          <w:ilvl w:val="0"/>
          <w:numId w:val="59"/>
        </w:numPr>
        <w:bidi w:val="0"/>
        <w:ind w:left="0" w:leftChars="0" w:firstLine="0" w:firstLineChars="0"/>
        <w:rPr>
          <w:rFonts w:hint="eastAsia"/>
          <w:lang w:val="en-US" w:eastAsia="zh-CN"/>
        </w:rPr>
      </w:pPr>
      <w:r>
        <w:rPr>
          <w:rFonts w:hint="eastAsia"/>
          <w:lang w:val="en-US" w:eastAsia="zh-CN"/>
        </w:rPr>
        <w:t>不动产证</w:t>
      </w:r>
    </w:p>
    <w:p w14:paraId="0151B457">
      <w:pPr>
        <w:sectPr>
          <w:pgSz w:w="11906" w:h="16838"/>
          <w:pgMar w:top="1417" w:right="1417" w:bottom="1417" w:left="1417" w:header="851" w:footer="992" w:gutter="0"/>
          <w:pgNumType w:fmt="decimal"/>
          <w:cols w:space="425" w:num="1"/>
          <w:docGrid w:type="lines" w:linePitch="312" w:charSpace="0"/>
        </w:sectPr>
      </w:pPr>
      <w:r>
        <w:drawing>
          <wp:inline distT="0" distB="0" distL="114300" distR="114300">
            <wp:extent cx="5300980" cy="7159625"/>
            <wp:effectExtent l="0" t="0" r="4445" b="3175"/>
            <wp:docPr id="208" name="图片 52" descr="照片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52" descr="照片 001"/>
                    <pic:cNvPicPr>
                      <a:picLocks noChangeAspect="1"/>
                    </pic:cNvPicPr>
                  </pic:nvPicPr>
                  <pic:blipFill>
                    <a:blip r:embed="rId137"/>
                    <a:srcRect l="17360" t="18225"/>
                    <a:stretch>
                      <a:fillRect/>
                    </a:stretch>
                  </pic:blipFill>
                  <pic:spPr>
                    <a:xfrm>
                      <a:off x="0" y="0"/>
                      <a:ext cx="5300980" cy="7159625"/>
                    </a:xfrm>
                    <a:prstGeom prst="rect">
                      <a:avLst/>
                    </a:prstGeom>
                    <a:noFill/>
                    <a:ln>
                      <a:noFill/>
                    </a:ln>
                  </pic:spPr>
                </pic:pic>
              </a:graphicData>
            </a:graphic>
          </wp:inline>
        </w:drawing>
      </w:r>
    </w:p>
    <w:p w14:paraId="5FF4BAA7">
      <w:pPr>
        <w:sectPr>
          <w:pgSz w:w="11906" w:h="16838"/>
          <w:pgMar w:top="1440" w:right="1800" w:bottom="1440" w:left="1800" w:header="851" w:footer="992" w:gutter="0"/>
          <w:pgNumType w:fmt="decimal"/>
          <w:cols w:space="425" w:num="1"/>
          <w:docGrid w:type="lines" w:linePitch="312" w:charSpace="0"/>
        </w:sectPr>
      </w:pPr>
      <w:r>
        <w:drawing>
          <wp:inline distT="0" distB="0" distL="114300" distR="114300">
            <wp:extent cx="5269865" cy="7204075"/>
            <wp:effectExtent l="0" t="0" r="6985" b="6350"/>
            <wp:docPr id="210" name="图片 53" descr="照片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53" descr="照片 002"/>
                    <pic:cNvPicPr>
                      <a:picLocks noChangeAspect="1"/>
                    </pic:cNvPicPr>
                  </pic:nvPicPr>
                  <pic:blipFill>
                    <a:blip r:embed="rId138"/>
                    <a:stretch>
                      <a:fillRect/>
                    </a:stretch>
                  </pic:blipFill>
                  <pic:spPr>
                    <a:xfrm>
                      <a:off x="0" y="0"/>
                      <a:ext cx="5269865" cy="7204075"/>
                    </a:xfrm>
                    <a:prstGeom prst="rect">
                      <a:avLst/>
                    </a:prstGeom>
                    <a:noFill/>
                    <a:ln>
                      <a:noFill/>
                    </a:ln>
                  </pic:spPr>
                </pic:pic>
              </a:graphicData>
            </a:graphic>
          </wp:inline>
        </w:drawing>
      </w:r>
    </w:p>
    <w:p w14:paraId="04EB2BD3">
      <w:pPr>
        <w:pStyle w:val="64"/>
        <w:numPr>
          <w:ilvl w:val="0"/>
          <w:numId w:val="59"/>
        </w:numPr>
        <w:bidi w:val="0"/>
        <w:ind w:left="0" w:leftChars="0" w:firstLine="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租赁协议</w:t>
      </w:r>
    </w:p>
    <w:p w14:paraId="5174831B">
      <w:pPr>
        <w:pStyle w:val="64"/>
        <w:numPr>
          <w:ilvl w:val="0"/>
          <w:numId w:val="59"/>
        </w:numPr>
        <w:bidi w:val="0"/>
        <w:ind w:left="0" w:leftChars="0" w:firstLine="0" w:firstLineChars="0"/>
        <w:rPr>
          <w:rFonts w:hint="default" w:ascii="Times New Roman" w:hAnsi="Times New Roman" w:eastAsia="宋体" w:cs="Times New Roman"/>
          <w:lang w:val="en-US" w:eastAsia="zh-CN"/>
        </w:rPr>
        <w:sectPr>
          <w:pgSz w:w="11906" w:h="16838"/>
          <w:pgMar w:top="1440" w:right="1800" w:bottom="1440" w:left="1800" w:header="851" w:footer="992" w:gutter="0"/>
          <w:pgNumType w:fmt="decimal"/>
          <w:cols w:space="425" w:num="1"/>
          <w:docGrid w:type="lines" w:linePitch="312" w:charSpace="0"/>
        </w:sectPr>
      </w:pPr>
    </w:p>
    <w:p w14:paraId="16FB6140">
      <w:pPr>
        <w:pStyle w:val="64"/>
        <w:numPr>
          <w:ilvl w:val="0"/>
          <w:numId w:val="59"/>
        </w:numPr>
        <w:bidi w:val="0"/>
        <w:ind w:left="0" w:leftChars="0" w:firstLine="0" w:firstLineChars="0"/>
        <w:rPr>
          <w:rFonts w:hint="default" w:ascii="Times New Roman" w:hAnsi="Times New Roman" w:eastAsia="宋体" w:cs="Times New Roman"/>
          <w:lang w:val="en-US" w:eastAsia="zh-CN"/>
        </w:rPr>
      </w:pPr>
      <w:r>
        <w:rPr>
          <w:rFonts w:hint="eastAsia" w:ascii="Times New Roman" w:hAnsi="Times New Roman" w:cs="Times New Roman"/>
          <w:lang w:eastAsia="zh-CN"/>
        </w:rPr>
        <w:t>鹤山市2024年</w:t>
      </w:r>
      <w:r>
        <w:rPr>
          <w:rFonts w:hint="eastAsia" w:ascii="Times New Roman" w:hAnsi="Times New Roman" w:cs="Times New Roman"/>
          <w:lang w:val="en-US" w:eastAsia="zh-CN"/>
        </w:rPr>
        <w:t>环境</w:t>
      </w:r>
      <w:r>
        <w:rPr>
          <w:rFonts w:hint="eastAsia" w:ascii="Times New Roman" w:hAnsi="Times New Roman" w:cs="Times New Roman"/>
          <w:lang w:eastAsia="zh-CN"/>
        </w:rPr>
        <w:t>空气质量年报</w:t>
      </w:r>
    </w:p>
    <w:p w14:paraId="68437AB2">
      <w:pPr>
        <w:pStyle w:val="68"/>
        <w:numPr>
          <w:ilvl w:val="0"/>
          <w:numId w:val="0"/>
        </w:numPr>
        <w:tabs>
          <w:tab w:val="left" w:pos="0"/>
        </w:tabs>
        <w:bidi w:val="0"/>
        <w:rPr>
          <w:rFonts w:hint="default"/>
          <w:lang w:val="en-US" w:eastAsia="zh-CN"/>
        </w:rPr>
        <w:sectPr>
          <w:pgSz w:w="11906" w:h="16838"/>
          <w:pgMar w:top="1440" w:right="1800" w:bottom="1440" w:left="1800" w:header="851" w:footer="992" w:gutter="0"/>
          <w:pgNumType w:fmt="decimal"/>
          <w:cols w:space="425" w:num="1"/>
          <w:docGrid w:type="lines" w:linePitch="312" w:charSpace="0"/>
        </w:sectPr>
      </w:pPr>
      <w:r>
        <w:rPr>
          <w:rFonts w:hint="default"/>
          <w:lang w:val="en-US" w:eastAsia="zh-CN"/>
        </w:rPr>
        <w:drawing>
          <wp:inline distT="0" distB="0" distL="114300" distR="114300">
            <wp:extent cx="5219065" cy="8327390"/>
            <wp:effectExtent l="0" t="0" r="635" b="6985"/>
            <wp:docPr id="21" name="图片 21" descr="鹤山市2024年环境空气质量年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鹤山市2024年环境空气质量年报"/>
                    <pic:cNvPicPr>
                      <a:picLocks noChangeAspect="1"/>
                    </pic:cNvPicPr>
                  </pic:nvPicPr>
                  <pic:blipFill>
                    <a:blip r:embed="rId139"/>
                    <a:srcRect b="35531"/>
                    <a:stretch>
                      <a:fillRect/>
                    </a:stretch>
                  </pic:blipFill>
                  <pic:spPr>
                    <a:xfrm>
                      <a:off x="0" y="0"/>
                      <a:ext cx="5219065" cy="8327390"/>
                    </a:xfrm>
                    <a:prstGeom prst="rect">
                      <a:avLst/>
                    </a:prstGeom>
                  </pic:spPr>
                </pic:pic>
              </a:graphicData>
            </a:graphic>
          </wp:inline>
        </w:drawing>
      </w:r>
    </w:p>
    <w:p w14:paraId="65CB901A">
      <w:pPr>
        <w:pStyle w:val="64"/>
        <w:numPr>
          <w:ilvl w:val="0"/>
          <w:numId w:val="59"/>
        </w:numPr>
        <w:bidi w:val="0"/>
        <w:ind w:left="0" w:leftChars="0" w:firstLine="0" w:firstLineChars="0"/>
        <w:rPr>
          <w:rFonts w:hint="default" w:ascii="Times New Roman" w:hAnsi="Times New Roman" w:eastAsia="宋体" w:cs="Times New Roman"/>
          <w:lang w:val="en-US" w:eastAsia="zh-CN"/>
        </w:rPr>
      </w:pPr>
      <w:r>
        <w:rPr>
          <w:rFonts w:hint="eastAsia" w:ascii="Times New Roman" w:hAnsi="Times New Roman" w:cs="Times New Roman"/>
        </w:rPr>
        <w:t>202</w:t>
      </w:r>
      <w:r>
        <w:rPr>
          <w:rFonts w:hint="eastAsia" w:ascii="Times New Roman" w:hAnsi="Times New Roman" w:cs="Times New Roman"/>
          <w:lang w:val="en-US" w:eastAsia="zh-CN"/>
        </w:rPr>
        <w:t>5</w:t>
      </w:r>
      <w:r>
        <w:rPr>
          <w:rFonts w:hint="eastAsia" w:ascii="Times New Roman" w:hAnsi="Times New Roman" w:cs="Times New Roman"/>
        </w:rPr>
        <w:t>年第</w:t>
      </w:r>
      <w:r>
        <w:rPr>
          <w:rFonts w:hint="eastAsia" w:ascii="Times New Roman" w:hAnsi="Times New Roman" w:cs="Times New Roman"/>
          <w:lang w:val="en-US" w:eastAsia="zh-CN"/>
        </w:rPr>
        <w:t>一、二、三</w:t>
      </w:r>
      <w:r>
        <w:rPr>
          <w:rFonts w:hint="eastAsia" w:ascii="Times New Roman" w:hAnsi="Times New Roman" w:cs="Times New Roman"/>
        </w:rPr>
        <w:t>季度江门市全面推行河长制水质季报</w:t>
      </w:r>
    </w:p>
    <w:p w14:paraId="7EF671B2">
      <w:pPr>
        <w:pStyle w:val="64"/>
        <w:numPr>
          <w:ilvl w:val="0"/>
          <w:numId w:val="59"/>
        </w:numPr>
        <w:bidi w:val="0"/>
        <w:ind w:left="0" w:leftChars="0" w:firstLine="0" w:firstLineChars="0"/>
        <w:rPr>
          <w:rFonts w:hint="default" w:ascii="Times New Roman" w:hAnsi="Times New Roman" w:eastAsia="宋体" w:cs="Times New Roman"/>
          <w:lang w:val="en-US" w:eastAsia="zh-CN"/>
        </w:rPr>
      </w:pPr>
      <w:r>
        <w:rPr>
          <w:rFonts w:hint="eastAsia" w:ascii="Times New Roman" w:hAnsi="Times New Roman" w:cs="Times New Roman"/>
          <w:lang w:val="en-US" w:eastAsia="zh-CN"/>
        </w:rPr>
        <w:t>环境现状监测报告</w:t>
      </w:r>
    </w:p>
    <w:p w14:paraId="5C9921E2">
      <w:pPr>
        <w:pStyle w:val="64"/>
        <w:numPr>
          <w:ilvl w:val="0"/>
          <w:numId w:val="59"/>
        </w:numPr>
        <w:bidi w:val="0"/>
        <w:ind w:left="0" w:leftChars="0" w:firstLine="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溶剂型油墨MSDS、VOCs含量检测报告</w:t>
      </w:r>
    </w:p>
    <w:p w14:paraId="40A970AA">
      <w:pPr>
        <w:pStyle w:val="64"/>
        <w:numPr>
          <w:ilvl w:val="0"/>
          <w:numId w:val="59"/>
        </w:numPr>
        <w:bidi w:val="0"/>
        <w:ind w:left="0" w:leftChars="0" w:firstLine="0" w:firstLineChars="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无溶剂聚氨酯胶水MSDS、VOCs含量检测报告</w:t>
      </w:r>
    </w:p>
    <w:p w14:paraId="03094D11">
      <w:pPr>
        <w:pStyle w:val="64"/>
        <w:numPr>
          <w:ilvl w:val="0"/>
          <w:numId w:val="59"/>
        </w:numPr>
        <w:bidi w:val="0"/>
        <w:ind w:left="0" w:leftChars="0" w:firstLine="0" w:firstLineChars="0"/>
        <w:rPr>
          <w:rFonts w:hint="default" w:ascii="Times New Roman" w:hAnsi="Times New Roman" w:eastAsia="宋体" w:cs="Times New Roman"/>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宋体" w:cs="Times New Roman"/>
          <w:lang w:val="en-US" w:eastAsia="zh-CN"/>
        </w:rPr>
        <w:t>纳污说明</w:t>
      </w:r>
    </w:p>
    <w:p w14:paraId="576F1226">
      <w:pPr>
        <w:rPr>
          <w:rFonts w:hint="eastAsia"/>
          <w:color w:val="auto"/>
          <w:lang w:val="en-US" w:eastAsia="zh-CN"/>
        </w:rPr>
      </w:pPr>
    </w:p>
    <w:sectPr>
      <w:pgSz w:w="11906" w:h="16838"/>
      <w:pgMar w:top="1417" w:right="1417" w:bottom="1417" w:left="1417" w:header="851" w:footer="992" w:gutter="0"/>
      <w:pgNumType w:fmt="decimal"/>
      <w:cols w:space="720" w:num="1"/>
      <w:docGrid w:type="line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9" w:usb3="00000000" w:csb0="200001F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TimesNewRomanPS-BoldMT">
    <w:altName w:val="宋体"/>
    <w:panose1 w:val="00000000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Guli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27B8">
    <w:pPr>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8E36C">
    <w:pPr>
      <w:pBdr>
        <w:top w:val="single" w:color="auto" w:sz="4" w:space="1"/>
        <w:left w:val="none" w:color="auto" w:sz="0" w:space="4"/>
        <w:bottom w:val="none" w:color="auto" w:sz="0" w:space="1"/>
        <w:right w:val="none" w:color="auto" w:sz="0" w:space="4"/>
      </w:pBdr>
      <w:ind w:firstLine="0" w:firstLineChars="0"/>
      <w:jc w:val="right"/>
      <w:rPr>
        <w:rFonts w:hint="eastAsia" w:eastAsia="宋体"/>
        <w:lang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C4E8E8">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81</w:t>
                          </w:r>
                          <w:r>
                            <w:rPr>
                              <w:rFonts w:hint="eastAsia"/>
                              <w:sz w:val="18"/>
                            </w:rPr>
                            <w:fldChar w:fldCharType="end"/>
                          </w:r>
                        </w:p>
                      </w:txbxContent>
                    </wps:txbx>
                    <wps:bodyPr wrap="none" lIns="0" tIns="0" rIns="0" bIns="0">
                      <a:spAutoFit/>
                    </wps:bodyPr>
                  </wps:wsp>
                </a:graphicData>
              </a:graphic>
            </wp:anchor>
          </w:drawing>
        </mc:Choice>
        <mc:Fallback>
          <w:pict>
            <v:shape id="文本框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tiWGewwEAAI4DAAAOAAAAAAAAAAEAIAAAAB4BAABkcnMvZTJvRG9jLnhtbFBL&#10;BQYAAAAABgAGAFkBAABTBQAAAAA=&#10;">
              <v:fill on="f" focussize="0,0"/>
              <v:stroke on="f"/>
              <v:imagedata o:title=""/>
              <o:lock v:ext="edit" aspectratio="f"/>
              <v:textbox inset="0mm,0mm,0mm,0mm" style="mso-fit-shape-to-text:t;">
                <w:txbxContent>
                  <w:p w14:paraId="64C4E8E8">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81</w:t>
                    </w:r>
                    <w:r>
                      <w:rPr>
                        <w:rFonts w:hint="eastAsia"/>
                        <w:sz w:val="18"/>
                      </w:rPr>
                      <w:fldChar w:fldCharType="end"/>
                    </w:r>
                  </w:p>
                </w:txbxContent>
              </v:textbox>
            </v:shape>
          </w:pict>
        </mc:Fallback>
      </mc:AlternateContent>
    </w:r>
    <w:r>
      <w:rPr>
        <w:rFonts w:hint="eastAsia"/>
        <w:sz w:val="21"/>
        <w:lang w:eastAsia="zh-CN"/>
      </w:rPr>
      <w:t>江门市碧佳环保咨询服务有限公司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19863">
    <w:pPr>
      <w:framePr w:wrap="around" w:vAnchor="text" w:hAnchor="margin" w:xAlign="right" w:yAlign="top"/>
      <w:tabs>
        <w:tab w:val="center" w:pos="4153"/>
        <w:tab w:val="right" w:pos="8306"/>
      </w:tabs>
      <w:ind w:firstLine="480"/>
    </w:pPr>
    <w:r>
      <w:rPr>
        <w:rFonts w:hint="eastAsia"/>
      </w:rPr>
      <w:fldChar w:fldCharType="begin"/>
    </w:r>
    <w:r>
      <w:rPr>
        <w:rFonts w:hint="eastAsia"/>
      </w:rPr>
      <w:instrText xml:space="preserve"> PAGE  </w:instrText>
    </w:r>
    <w:r>
      <w:rPr>
        <w:rFonts w:hint="eastAsia"/>
      </w:rPr>
      <w:fldChar w:fldCharType="separate"/>
    </w:r>
    <w:r>
      <w:rPr>
        <w:rFonts w:hint="eastAsia"/>
      </w:rPr>
      <w:t>142</w:t>
    </w:r>
    <w:r>
      <w:rPr>
        <w:rFonts w:hint="eastAsia"/>
      </w:rPr>
      <w:fldChar w:fldCharType="end"/>
    </w:r>
  </w:p>
  <w:p w14:paraId="47144F8E">
    <w:pPr>
      <w:pBdr>
        <w:top w:val="single" w:color="auto" w:sz="4" w:space="1"/>
        <w:left w:val="none" w:color="auto" w:sz="0" w:space="4"/>
        <w:bottom w:val="none" w:color="auto" w:sz="0" w:space="1"/>
        <w:right w:val="none" w:color="auto" w:sz="0" w:space="4"/>
      </w:pBdr>
      <w:tabs>
        <w:tab w:val="center" w:pos="4153"/>
        <w:tab w:val="right" w:pos="8306"/>
      </w:tabs>
      <w:ind w:right="360" w:firstLine="480"/>
      <w:rPr>
        <w:rFonts w:hint="eastAsia" w:eastAsia="宋体"/>
        <w:lang w:eastAsia="zh-CN"/>
      </w:rPr>
    </w:pPr>
    <w:r>
      <w:rPr>
        <w:rFonts w:hint="eastAsia"/>
        <w:lang w:eastAsia="zh-CN"/>
      </w:rPr>
      <w:t>江门市碧佳环保咨询服务有限公司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A9332">
    <w:pPr>
      <w:pBdr>
        <w:top w:val="single" w:color="auto" w:sz="4" w:space="1"/>
        <w:left w:val="none" w:color="auto" w:sz="0" w:space="4"/>
        <w:bottom w:val="none" w:color="auto" w:sz="0" w:space="1"/>
        <w:right w:val="none" w:color="auto" w:sz="0" w:space="4"/>
      </w:pBdr>
      <w:ind w:firstLine="0" w:firstLineChars="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7"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C01E6F">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wps:txbx>
                    <wps:bodyPr wrap="none" lIns="0" tIns="0" rIns="0" bIns="0">
                      <a:spAutoFit/>
                    </wps:bodyPr>
                  </wps:wsp>
                </a:graphicData>
              </a:graphic>
            </wp:anchor>
          </w:drawing>
        </mc:Choice>
        <mc:Fallback>
          <w:pict>
            <v:shape id="文本框 8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PiV7o/FAQAAkAMAAA4AAAAAAAAAAQAgAAAAHgEAAGRycy9lMm9Eb2MueG1s&#10;UEsFBgAAAAAGAAYAWQEAAFUFAAAAAA==&#10;">
              <v:fill on="f" focussize="0,0"/>
              <v:stroke on="f"/>
              <v:imagedata o:title=""/>
              <o:lock v:ext="edit" aspectratio="f"/>
              <v:textbox inset="0mm,0mm,0mm,0mm" style="mso-fit-shape-to-text:t;">
                <w:txbxContent>
                  <w:p w14:paraId="0DC01E6F">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I</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F4420">
    <w:pPr>
      <w:pBdr>
        <w:top w:val="single" w:color="auto" w:sz="4" w:space="1"/>
        <w:left w:val="none" w:color="auto" w:sz="0" w:space="4"/>
        <w:bottom w:val="none" w:color="auto" w:sz="0" w:space="1"/>
        <w:right w:val="none" w:color="auto" w:sz="0" w:space="4"/>
      </w:pBdr>
      <w:ind w:firstLine="0" w:firstLineChars="0"/>
      <w:rPr>
        <w:rFonts w:hint="eastAsia" w:eastAsia="宋体"/>
        <w:lang w:eastAsia="zh-CN"/>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849CB">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77849CB">
                    <w:pPr>
                      <w:pStyle w:val="2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1"/>
        <w:lang w:eastAsia="zh-CN"/>
      </w:rPr>
      <w:t>江门市碧佳环保咨询服务有限公司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16CA2">
    <w:pPr>
      <w:pBdr>
        <w:top w:val="single" w:color="auto" w:sz="4" w:space="1"/>
        <w:left w:val="none" w:color="auto" w:sz="0" w:space="4"/>
        <w:bottom w:val="none" w:color="auto" w:sz="0" w:space="1"/>
        <w:right w:val="none" w:color="auto" w:sz="0" w:space="4"/>
      </w:pBdr>
      <w:ind w:firstLine="0" w:firstLineChars="0"/>
      <w:rPr>
        <w:rFonts w:hint="eastAsia" w:eastAsia="宋体"/>
        <w:lang w:eastAsia="zh-CN"/>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393BE">
                          <w:pPr>
                            <w:pStyle w:val="2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3A393BE">
                    <w:pPr>
                      <w:pStyle w:val="26"/>
                    </w:pPr>
                    <w:r>
                      <w:fldChar w:fldCharType="begin"/>
                    </w:r>
                    <w:r>
                      <w:instrText xml:space="preserve"> PAGE  \* MERGEFORMAT </w:instrText>
                    </w:r>
                    <w:r>
                      <w:fldChar w:fldCharType="separate"/>
                    </w:r>
                    <w:r>
                      <w:t>16</w:t>
                    </w:r>
                    <w:r>
                      <w:fldChar w:fldCharType="end"/>
                    </w:r>
                  </w:p>
                </w:txbxContent>
              </v:textbox>
            </v:shape>
          </w:pict>
        </mc:Fallback>
      </mc:AlternateContent>
    </w:r>
    <w:r>
      <w:rPr>
        <w:rFonts w:hint="eastAsia"/>
        <w:sz w:val="21"/>
        <w:lang w:eastAsia="zh-CN"/>
      </w:rPr>
      <w:t>江门市碧佳环保咨询服务有限公司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5433">
    <w:pPr>
      <w:pBdr>
        <w:top w:val="single" w:color="auto" w:sz="4" w:space="1"/>
        <w:left w:val="none" w:color="auto" w:sz="0" w:space="4"/>
        <w:bottom w:val="none" w:color="auto" w:sz="0" w:space="1"/>
        <w:right w:val="none" w:color="auto" w:sz="0" w:space="4"/>
      </w:pBdr>
      <w:ind w:firstLine="0" w:firstLineChars="0"/>
      <w:rPr>
        <w:rFonts w:hint="eastAsia" w:eastAsia="宋体"/>
        <w:lang w:eastAsia="zh-CN"/>
      </w:rPr>
    </w:pPr>
    <w:r>
      <w:rPr>
        <w:sz w:val="21"/>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49FA4">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EB49FA4">
                    <w:pPr>
                      <w:pStyle w:val="2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1"/>
        <w:lang w:eastAsia="zh-CN"/>
      </w:rPr>
      <w:t>江门市碧佳环保咨询服务有限公司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E9790">
    <w:pPr>
      <w:pBdr>
        <w:top w:val="single" w:color="auto" w:sz="4" w:space="1"/>
        <w:left w:val="none" w:color="auto" w:sz="0" w:space="4"/>
        <w:bottom w:val="none" w:color="auto" w:sz="0" w:space="1"/>
        <w:right w:val="none" w:color="auto" w:sz="0" w:space="4"/>
      </w:pBdr>
      <w:ind w:firstLine="0" w:firstLineChars="0"/>
      <w:rPr>
        <w:rFonts w:hint="eastAsia" w:eastAsia="宋体"/>
        <w:lang w:eastAsia="zh-CN"/>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91DC1F">
                          <w:pPr>
                            <w:pStyle w:val="26"/>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291DC1F">
                    <w:pPr>
                      <w:pStyle w:val="26"/>
                    </w:pPr>
                    <w:r>
                      <w:fldChar w:fldCharType="begin"/>
                    </w:r>
                    <w:r>
                      <w:instrText xml:space="preserve"> PAGE  \* MERGEFORMAT </w:instrText>
                    </w:r>
                    <w:r>
                      <w:fldChar w:fldCharType="separate"/>
                    </w:r>
                    <w:r>
                      <w:t>192</w:t>
                    </w:r>
                    <w:r>
                      <w:fldChar w:fldCharType="end"/>
                    </w:r>
                  </w:p>
                </w:txbxContent>
              </v:textbox>
            </v:shape>
          </w:pict>
        </mc:Fallback>
      </mc:AlternateContent>
    </w:r>
    <w:r>
      <w:rPr>
        <w:rFonts w:hint="eastAsia"/>
        <w:sz w:val="21"/>
        <w:lang w:eastAsia="zh-CN"/>
      </w:rPr>
      <w:t>江门市碧佳环保咨询服务有限公司</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BA7D4">
    <w:pPr>
      <w:pStyle w:val="26"/>
      <w:ind w:firstLine="36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7B119">
                          <w:pPr>
                            <w:pStyle w:val="26"/>
                          </w:pPr>
                          <w:r>
                            <w:fldChar w:fldCharType="begin"/>
                          </w:r>
                          <w:r>
                            <w:instrText xml:space="preserve"> PAGE  \* MERGEFORMAT </w:instrText>
                          </w:r>
                          <w:r>
                            <w:fldChar w:fldCharType="separate"/>
                          </w:r>
                          <w:r>
                            <w:t>198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8F7B119">
                    <w:pPr>
                      <w:pStyle w:val="26"/>
                    </w:pPr>
                    <w:r>
                      <w:fldChar w:fldCharType="begin"/>
                    </w:r>
                    <w:r>
                      <w:instrText xml:space="preserve"> PAGE  \* MERGEFORMAT </w:instrText>
                    </w:r>
                    <w:r>
                      <w:fldChar w:fldCharType="separate"/>
                    </w:r>
                    <w:r>
                      <w:t>198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0E973">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E985E">
    <w:pPr>
      <w:pBdr>
        <w:top w:val="none" w:color="auto" w:sz="0" w:space="1"/>
        <w:left w:val="none" w:color="auto" w:sz="0" w:space="4"/>
        <w:bottom w:val="single" w:color="auto" w:sz="4" w:space="1"/>
        <w:right w:val="none" w:color="auto" w:sz="0" w:space="4"/>
      </w:pBdr>
      <w:spacing w:line="240" w:lineRule="auto"/>
      <w:ind w:firstLine="0" w:firstLineChars="0"/>
      <w:jc w:val="center"/>
    </w:pPr>
    <w:r>
      <w:rPr>
        <w:rFonts w:hint="eastAsia"/>
        <w:sz w:val="21"/>
        <w:lang w:eastAsia="zh-CN"/>
      </w:rPr>
      <w:t>鹤山市衍鹏印刷有限公司年产450吨包装卷膜新建项目</w:t>
    </w:r>
    <w:r>
      <w:rPr>
        <w:rFonts w:hint="eastAsia"/>
        <w:sz w:val="21"/>
      </w:rPr>
      <w:t xml:space="preserve">环境影响报告书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E0745">
    <w:pPr>
      <w:tabs>
        <w:tab w:val="center" w:pos="4153"/>
        <w:tab w:val="right" w:pos="8306"/>
      </w:tabs>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37280">
    <w:pPr>
      <w:pBdr>
        <w:top w:val="none" w:color="auto" w:sz="0" w:space="1"/>
        <w:left w:val="none" w:color="auto" w:sz="0" w:space="4"/>
        <w:bottom w:val="single" w:color="auto" w:sz="4" w:space="1"/>
        <w:right w:val="none" w:color="auto" w:sz="0" w:space="4"/>
      </w:pBdr>
      <w:spacing w:line="240" w:lineRule="auto"/>
      <w:ind w:firstLine="0" w:firstLineChars="0"/>
      <w:jc w:val="center"/>
    </w:pPr>
    <w:r>
      <w:rPr>
        <w:rFonts w:hint="eastAsia"/>
        <w:sz w:val="21"/>
        <w:lang w:eastAsia="zh-CN"/>
      </w:rPr>
      <w:t>鹤山市衍鹏印刷有限公司年产450吨包装卷膜新建项目</w:t>
    </w:r>
    <w:r>
      <w:rPr>
        <w:rFonts w:hint="eastAsia"/>
        <w:sz w:val="21"/>
      </w:rPr>
      <w:t xml:space="preserve">环境影响报告书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43B5D">
    <w:pPr>
      <w:pStyle w:val="2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9A747"/>
    <w:multiLevelType w:val="singleLevel"/>
    <w:tmpl w:val="89A9A747"/>
    <w:lvl w:ilvl="0" w:tentative="0">
      <w:start w:val="1"/>
      <w:numFmt w:val="decimal"/>
      <w:suff w:val="nothing"/>
      <w:lvlText w:val="表2.8-%1  "/>
      <w:lvlJc w:val="left"/>
      <w:pPr>
        <w:tabs>
          <w:tab w:val="left" w:pos="0"/>
        </w:tabs>
      </w:pPr>
      <w:rPr>
        <w:rFonts w:hint="default" w:ascii="Times New Roman" w:hAnsi="Times New Roman" w:eastAsia="宋体" w:cs="Times New Roman"/>
        <w:sz w:val="24"/>
        <w:szCs w:val="24"/>
      </w:rPr>
    </w:lvl>
  </w:abstractNum>
  <w:abstractNum w:abstractNumId="1">
    <w:nsid w:val="8B1D92D3"/>
    <w:multiLevelType w:val="multilevel"/>
    <w:tmpl w:val="8B1D92D3"/>
    <w:lvl w:ilvl="0" w:tentative="0">
      <w:start w:val="1"/>
      <w:numFmt w:val="decimal"/>
      <w:lvlText w:val="%1."/>
      <w:lvlJc w:val="left"/>
      <w:pPr>
        <w:tabs>
          <w:tab w:val="left" w:pos="312"/>
        </w:tabs>
        <w:ind w:left="0" w:firstLine="0"/>
      </w:pPr>
      <w:rPr>
        <w:rFonts w:hint="default"/>
      </w:rPr>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2">
    <w:nsid w:val="8D1E5EA0"/>
    <w:multiLevelType w:val="singleLevel"/>
    <w:tmpl w:val="8D1E5EA0"/>
    <w:lvl w:ilvl="0" w:tentative="0">
      <w:start w:val="2"/>
      <w:numFmt w:val="decimal"/>
      <w:suff w:val="nothing"/>
      <w:lvlText w:val="%1、"/>
      <w:lvlJc w:val="left"/>
    </w:lvl>
  </w:abstractNum>
  <w:abstractNum w:abstractNumId="3">
    <w:nsid w:val="8EF84637"/>
    <w:multiLevelType w:val="singleLevel"/>
    <w:tmpl w:val="8EF84637"/>
    <w:lvl w:ilvl="0" w:tentative="0">
      <w:start w:val="1"/>
      <w:numFmt w:val="bullet"/>
      <w:pStyle w:val="20"/>
      <w:lvlText w:val=""/>
      <w:lvlJc w:val="left"/>
      <w:pPr>
        <w:tabs>
          <w:tab w:val="left" w:pos="780"/>
        </w:tabs>
        <w:ind w:left="780" w:hanging="360"/>
      </w:pPr>
      <w:rPr>
        <w:rFonts w:hint="default" w:ascii="Wingdings" w:hAnsi="Wingdings"/>
      </w:rPr>
    </w:lvl>
  </w:abstractNum>
  <w:abstractNum w:abstractNumId="4">
    <w:nsid w:val="8F58B3BC"/>
    <w:multiLevelType w:val="singleLevel"/>
    <w:tmpl w:val="8F58B3BC"/>
    <w:lvl w:ilvl="0" w:tentative="0">
      <w:start w:val="1"/>
      <w:numFmt w:val="decimal"/>
      <w:lvlText w:val="%1."/>
      <w:lvlJc w:val="left"/>
      <w:pPr>
        <w:ind w:left="425" w:hanging="425"/>
      </w:pPr>
      <w:rPr>
        <w:rFonts w:hint="default"/>
      </w:rPr>
    </w:lvl>
  </w:abstractNum>
  <w:abstractNum w:abstractNumId="5">
    <w:nsid w:val="90DD0252"/>
    <w:multiLevelType w:val="singleLevel"/>
    <w:tmpl w:val="90DD0252"/>
    <w:lvl w:ilvl="0" w:tentative="0">
      <w:start w:val="1"/>
      <w:numFmt w:val="decimal"/>
      <w:lvlText w:val="%1."/>
      <w:lvlJc w:val="left"/>
      <w:pPr>
        <w:ind w:left="425" w:hanging="425"/>
      </w:pPr>
      <w:rPr>
        <w:rFonts w:hint="default"/>
      </w:rPr>
    </w:lvl>
  </w:abstractNum>
  <w:abstractNum w:abstractNumId="6">
    <w:nsid w:val="90E16556"/>
    <w:multiLevelType w:val="singleLevel"/>
    <w:tmpl w:val="90E16556"/>
    <w:lvl w:ilvl="0" w:tentative="0">
      <w:start w:val="1"/>
      <w:numFmt w:val="decimal"/>
      <w:lvlText w:val="%1."/>
      <w:lvlJc w:val="left"/>
      <w:pPr>
        <w:ind w:left="425" w:hanging="425"/>
      </w:pPr>
      <w:rPr>
        <w:rFonts w:hint="default"/>
      </w:rPr>
    </w:lvl>
  </w:abstractNum>
  <w:abstractNum w:abstractNumId="7">
    <w:nsid w:val="910501C0"/>
    <w:multiLevelType w:val="singleLevel"/>
    <w:tmpl w:val="910501C0"/>
    <w:lvl w:ilvl="0" w:tentative="0">
      <w:start w:val="1"/>
      <w:numFmt w:val="decimal"/>
      <w:suff w:val="nothing"/>
      <w:lvlText w:val="表4.6-%1  "/>
      <w:lvlJc w:val="left"/>
      <w:pPr>
        <w:tabs>
          <w:tab w:val="left" w:pos="0"/>
        </w:tabs>
      </w:pPr>
      <w:rPr>
        <w:rFonts w:hint="default" w:ascii="Times New Roman" w:hAnsi="Times New Roman" w:eastAsia="宋体" w:cs="Times New Roman"/>
        <w:sz w:val="24"/>
        <w:szCs w:val="24"/>
      </w:rPr>
    </w:lvl>
  </w:abstractNum>
  <w:abstractNum w:abstractNumId="8">
    <w:nsid w:val="95014650"/>
    <w:multiLevelType w:val="singleLevel"/>
    <w:tmpl w:val="95014650"/>
    <w:lvl w:ilvl="0" w:tentative="0">
      <w:start w:val="2"/>
      <w:numFmt w:val="decimal"/>
      <w:suff w:val="nothing"/>
      <w:lvlText w:val="%1、"/>
      <w:lvlJc w:val="left"/>
    </w:lvl>
  </w:abstractNum>
  <w:abstractNum w:abstractNumId="9">
    <w:nsid w:val="96AA3EFB"/>
    <w:multiLevelType w:val="singleLevel"/>
    <w:tmpl w:val="96AA3EFB"/>
    <w:lvl w:ilvl="0" w:tentative="0">
      <w:start w:val="1"/>
      <w:numFmt w:val="decimal"/>
      <w:lvlText w:val="%1."/>
      <w:lvlJc w:val="left"/>
      <w:pPr>
        <w:ind w:left="425" w:hanging="425"/>
      </w:pPr>
      <w:rPr>
        <w:rFonts w:hint="default"/>
      </w:rPr>
    </w:lvl>
  </w:abstractNum>
  <w:abstractNum w:abstractNumId="10">
    <w:nsid w:val="9A557AB5"/>
    <w:multiLevelType w:val="singleLevel"/>
    <w:tmpl w:val="9A557AB5"/>
    <w:lvl w:ilvl="0" w:tentative="0">
      <w:start w:val="1"/>
      <w:numFmt w:val="decimal"/>
      <w:lvlText w:val="(%1)"/>
      <w:lvlJc w:val="left"/>
      <w:pPr>
        <w:ind w:left="425" w:hanging="425"/>
      </w:pPr>
      <w:rPr>
        <w:rFonts w:hint="default"/>
      </w:rPr>
    </w:lvl>
  </w:abstractNum>
  <w:abstractNum w:abstractNumId="11">
    <w:nsid w:val="A65120DD"/>
    <w:multiLevelType w:val="singleLevel"/>
    <w:tmpl w:val="A65120DD"/>
    <w:lvl w:ilvl="0" w:tentative="0">
      <w:start w:val="1"/>
      <w:numFmt w:val="decimal"/>
      <w:lvlText w:val="(%1)"/>
      <w:lvlJc w:val="left"/>
      <w:pPr>
        <w:ind w:left="425" w:hanging="425"/>
      </w:pPr>
      <w:rPr>
        <w:rFonts w:hint="default"/>
      </w:rPr>
    </w:lvl>
  </w:abstractNum>
  <w:abstractNum w:abstractNumId="12">
    <w:nsid w:val="A81F97EB"/>
    <w:multiLevelType w:val="singleLevel"/>
    <w:tmpl w:val="A81F97EB"/>
    <w:lvl w:ilvl="0" w:tentative="0">
      <w:start w:val="1"/>
      <w:numFmt w:val="decimalEnclosedCircleChinese"/>
      <w:suff w:val="nothing"/>
      <w:lvlText w:val="%1　"/>
      <w:lvlJc w:val="left"/>
      <w:pPr>
        <w:ind w:left="0" w:firstLine="400"/>
      </w:pPr>
      <w:rPr>
        <w:rFonts w:hint="eastAsia"/>
      </w:rPr>
    </w:lvl>
  </w:abstractNum>
  <w:abstractNum w:abstractNumId="13">
    <w:nsid w:val="A86E2D5B"/>
    <w:multiLevelType w:val="singleLevel"/>
    <w:tmpl w:val="A86E2D5B"/>
    <w:lvl w:ilvl="0" w:tentative="0">
      <w:start w:val="1"/>
      <w:numFmt w:val="decimal"/>
      <w:suff w:val="nothing"/>
      <w:lvlText w:val="G%1"/>
      <w:lvlJc w:val="left"/>
      <w:pPr>
        <w:tabs>
          <w:tab w:val="left" w:pos="0"/>
        </w:tabs>
      </w:pPr>
      <w:rPr>
        <w:rFonts w:hint="default" w:ascii="Times New Roman" w:hAnsi="Times New Roman" w:cs="Times New Roman"/>
      </w:rPr>
    </w:lvl>
  </w:abstractNum>
  <w:abstractNum w:abstractNumId="14">
    <w:nsid w:val="A888389B"/>
    <w:multiLevelType w:val="singleLevel"/>
    <w:tmpl w:val="A888389B"/>
    <w:lvl w:ilvl="0" w:tentative="0">
      <w:start w:val="1"/>
      <w:numFmt w:val="decimal"/>
      <w:lvlText w:val="%1."/>
      <w:lvlJc w:val="left"/>
      <w:pPr>
        <w:ind w:left="425" w:hanging="425"/>
      </w:pPr>
      <w:rPr>
        <w:rFonts w:hint="default"/>
      </w:rPr>
    </w:lvl>
  </w:abstractNum>
  <w:abstractNum w:abstractNumId="15">
    <w:nsid w:val="AE83522E"/>
    <w:multiLevelType w:val="singleLevel"/>
    <w:tmpl w:val="AE83522E"/>
    <w:lvl w:ilvl="0" w:tentative="0">
      <w:start w:val="1"/>
      <w:numFmt w:val="decimal"/>
      <w:suff w:val="nothing"/>
      <w:lvlText w:val="表1.5-%1  "/>
      <w:lvlJc w:val="left"/>
      <w:pPr>
        <w:tabs>
          <w:tab w:val="left" w:pos="0"/>
        </w:tabs>
      </w:pPr>
      <w:rPr>
        <w:rFonts w:hint="default" w:ascii="Times New Roman" w:hAnsi="Times New Roman" w:eastAsia="宋体"/>
        <w:sz w:val="24"/>
        <w:szCs w:val="24"/>
      </w:rPr>
    </w:lvl>
  </w:abstractNum>
  <w:abstractNum w:abstractNumId="16">
    <w:nsid w:val="AFDE9343"/>
    <w:multiLevelType w:val="singleLevel"/>
    <w:tmpl w:val="AFDE9343"/>
    <w:lvl w:ilvl="0" w:tentative="0">
      <w:start w:val="1"/>
      <w:numFmt w:val="decimal"/>
      <w:lvlText w:val="(%1)"/>
      <w:lvlJc w:val="left"/>
      <w:pPr>
        <w:ind w:left="425" w:hanging="425"/>
      </w:pPr>
      <w:rPr>
        <w:rFonts w:hint="default"/>
      </w:rPr>
    </w:lvl>
  </w:abstractNum>
  <w:abstractNum w:abstractNumId="17">
    <w:nsid w:val="B88265B2"/>
    <w:multiLevelType w:val="singleLevel"/>
    <w:tmpl w:val="B88265B2"/>
    <w:lvl w:ilvl="0" w:tentative="0">
      <w:start w:val="1"/>
      <w:numFmt w:val="decimal"/>
      <w:suff w:val="nothing"/>
      <w:lvlText w:val="图1.3-%1  "/>
      <w:lvlJc w:val="left"/>
      <w:pPr>
        <w:tabs>
          <w:tab w:val="left" w:pos="0"/>
        </w:tabs>
      </w:pPr>
      <w:rPr>
        <w:rFonts w:hint="default" w:ascii="Times New Roman" w:hAnsi="Times New Roman" w:eastAsia="宋体" w:cs="宋体"/>
        <w:sz w:val="24"/>
        <w:szCs w:val="24"/>
      </w:rPr>
    </w:lvl>
  </w:abstractNum>
  <w:abstractNum w:abstractNumId="18">
    <w:nsid w:val="B9900C05"/>
    <w:multiLevelType w:val="singleLevel"/>
    <w:tmpl w:val="B9900C05"/>
    <w:lvl w:ilvl="0" w:tentative="0">
      <w:start w:val="1"/>
      <w:numFmt w:val="decimal"/>
      <w:lvlText w:val="%1."/>
      <w:lvlJc w:val="left"/>
      <w:pPr>
        <w:ind w:left="425" w:hanging="425"/>
      </w:pPr>
      <w:rPr>
        <w:rFonts w:hint="default"/>
      </w:rPr>
    </w:lvl>
  </w:abstractNum>
  <w:abstractNum w:abstractNumId="19">
    <w:nsid w:val="BC6884D1"/>
    <w:multiLevelType w:val="singleLevel"/>
    <w:tmpl w:val="BC6884D1"/>
    <w:lvl w:ilvl="0" w:tentative="0">
      <w:start w:val="1"/>
      <w:numFmt w:val="decimal"/>
      <w:lvlText w:val="%1."/>
      <w:lvlJc w:val="left"/>
      <w:pPr>
        <w:ind w:left="425" w:hanging="425"/>
      </w:pPr>
      <w:rPr>
        <w:rFonts w:hint="default"/>
      </w:rPr>
    </w:lvl>
  </w:abstractNum>
  <w:abstractNum w:abstractNumId="20">
    <w:nsid w:val="BED5BB48"/>
    <w:multiLevelType w:val="singleLevel"/>
    <w:tmpl w:val="BED5BB48"/>
    <w:lvl w:ilvl="0" w:tentative="0">
      <w:start w:val="1"/>
      <w:numFmt w:val="decimal"/>
      <w:suff w:val="nothing"/>
      <w:lvlText w:val="表4.2-%1  "/>
      <w:lvlJc w:val="left"/>
      <w:pPr>
        <w:tabs>
          <w:tab w:val="left" w:pos="0"/>
        </w:tabs>
      </w:pPr>
      <w:rPr>
        <w:rFonts w:hint="default" w:ascii="Times New Roman" w:hAnsi="Times New Roman" w:eastAsia="宋体" w:cs="Times New Roman"/>
        <w:sz w:val="24"/>
        <w:szCs w:val="24"/>
      </w:rPr>
    </w:lvl>
  </w:abstractNum>
  <w:abstractNum w:abstractNumId="21">
    <w:nsid w:val="C02A5293"/>
    <w:multiLevelType w:val="singleLevel"/>
    <w:tmpl w:val="C02A5293"/>
    <w:lvl w:ilvl="0" w:tentative="0">
      <w:start w:val="1"/>
      <w:numFmt w:val="decimal"/>
      <w:lvlText w:val="%1."/>
      <w:lvlJc w:val="left"/>
      <w:pPr>
        <w:ind w:left="425" w:hanging="425"/>
      </w:pPr>
      <w:rPr>
        <w:rFonts w:hint="default"/>
      </w:rPr>
    </w:lvl>
  </w:abstractNum>
  <w:abstractNum w:abstractNumId="22">
    <w:nsid w:val="C7305A07"/>
    <w:multiLevelType w:val="singleLevel"/>
    <w:tmpl w:val="C7305A07"/>
    <w:lvl w:ilvl="0" w:tentative="0">
      <w:start w:val="1"/>
      <w:numFmt w:val="decimal"/>
      <w:lvlText w:val="(%1)"/>
      <w:lvlJc w:val="left"/>
      <w:pPr>
        <w:ind w:left="425" w:hanging="425"/>
      </w:pPr>
      <w:rPr>
        <w:rFonts w:hint="default"/>
      </w:rPr>
    </w:lvl>
  </w:abstractNum>
  <w:abstractNum w:abstractNumId="23">
    <w:nsid w:val="CB210592"/>
    <w:multiLevelType w:val="singleLevel"/>
    <w:tmpl w:val="CB210592"/>
    <w:lvl w:ilvl="0" w:tentative="0">
      <w:start w:val="2"/>
      <w:numFmt w:val="decimal"/>
      <w:suff w:val="nothing"/>
      <w:lvlText w:val="%1、"/>
      <w:lvlJc w:val="left"/>
    </w:lvl>
  </w:abstractNum>
  <w:abstractNum w:abstractNumId="24">
    <w:nsid w:val="D3777300"/>
    <w:multiLevelType w:val="singleLevel"/>
    <w:tmpl w:val="D3777300"/>
    <w:lvl w:ilvl="0" w:tentative="0">
      <w:start w:val="1"/>
      <w:numFmt w:val="decimal"/>
      <w:suff w:val="nothing"/>
      <w:lvlText w:val="%1、"/>
      <w:lvlJc w:val="left"/>
    </w:lvl>
  </w:abstractNum>
  <w:abstractNum w:abstractNumId="25">
    <w:nsid w:val="DA274904"/>
    <w:multiLevelType w:val="multilevel"/>
    <w:tmpl w:val="DA274904"/>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6">
    <w:nsid w:val="DC75D70C"/>
    <w:multiLevelType w:val="singleLevel"/>
    <w:tmpl w:val="DC75D70C"/>
    <w:lvl w:ilvl="0" w:tentative="0">
      <w:start w:val="1"/>
      <w:numFmt w:val="decimal"/>
      <w:suff w:val="nothing"/>
      <w:lvlText w:val="S%1"/>
      <w:lvlJc w:val="left"/>
      <w:pPr>
        <w:tabs>
          <w:tab w:val="left" w:pos="0"/>
        </w:tabs>
      </w:pPr>
      <w:rPr>
        <w:rFonts w:hint="default" w:ascii="Times New Roman" w:hAnsi="Times New Roman" w:eastAsia="宋体" w:cs="Times New Roman"/>
        <w:sz w:val="21"/>
        <w:szCs w:val="21"/>
      </w:rPr>
    </w:lvl>
  </w:abstractNum>
  <w:abstractNum w:abstractNumId="27">
    <w:nsid w:val="E6644282"/>
    <w:multiLevelType w:val="singleLevel"/>
    <w:tmpl w:val="E6644282"/>
    <w:lvl w:ilvl="0" w:tentative="0">
      <w:start w:val="1"/>
      <w:numFmt w:val="decimal"/>
      <w:suff w:val="nothing"/>
      <w:lvlText w:val="附件%1  "/>
      <w:lvlJc w:val="left"/>
      <w:pPr>
        <w:tabs>
          <w:tab w:val="left" w:pos="0"/>
        </w:tabs>
      </w:pPr>
      <w:rPr>
        <w:rFonts w:hint="default" w:ascii="Times New Roman" w:hAnsi="Times New Roman" w:eastAsia="宋体" w:cs="Times New Roman"/>
        <w:sz w:val="24"/>
        <w:szCs w:val="24"/>
      </w:rPr>
    </w:lvl>
  </w:abstractNum>
  <w:abstractNum w:abstractNumId="28">
    <w:nsid w:val="F1EA86EF"/>
    <w:multiLevelType w:val="singleLevel"/>
    <w:tmpl w:val="F1EA86EF"/>
    <w:lvl w:ilvl="0" w:tentative="0">
      <w:start w:val="1"/>
      <w:numFmt w:val="decimal"/>
      <w:suff w:val="nothing"/>
      <w:lvlText w:val="图5.2-%1  "/>
      <w:lvlJc w:val="left"/>
      <w:pPr>
        <w:tabs>
          <w:tab w:val="left" w:pos="0"/>
        </w:tabs>
      </w:pPr>
      <w:rPr>
        <w:rFonts w:hint="default" w:ascii="Times New Roman" w:hAnsi="Times New Roman" w:eastAsia="宋体" w:cs="Times New Roman"/>
        <w:sz w:val="24"/>
        <w:szCs w:val="24"/>
      </w:rPr>
    </w:lvl>
  </w:abstractNum>
  <w:abstractNum w:abstractNumId="29">
    <w:nsid w:val="F4EE1DD7"/>
    <w:multiLevelType w:val="singleLevel"/>
    <w:tmpl w:val="F4EE1DD7"/>
    <w:lvl w:ilvl="0" w:tentative="0">
      <w:start w:val="1"/>
      <w:numFmt w:val="decimal"/>
      <w:lvlText w:val="%1."/>
      <w:lvlJc w:val="left"/>
      <w:pPr>
        <w:ind w:left="425" w:hanging="425"/>
      </w:pPr>
      <w:rPr>
        <w:rFonts w:hint="default"/>
      </w:rPr>
    </w:lvl>
  </w:abstractNum>
  <w:abstractNum w:abstractNumId="30">
    <w:nsid w:val="F5F75668"/>
    <w:multiLevelType w:val="singleLevel"/>
    <w:tmpl w:val="F5F75668"/>
    <w:lvl w:ilvl="0" w:tentative="0">
      <w:start w:val="1"/>
      <w:numFmt w:val="decimal"/>
      <w:suff w:val="nothing"/>
      <w:lvlText w:val="表2.5-%1  "/>
      <w:lvlJc w:val="left"/>
      <w:pPr>
        <w:tabs>
          <w:tab w:val="left" w:pos="0"/>
        </w:tabs>
      </w:pPr>
      <w:rPr>
        <w:rFonts w:hint="default" w:ascii="Times New Roman" w:hAnsi="Times New Roman" w:eastAsia="宋体" w:cs="Times New Roman"/>
        <w:sz w:val="24"/>
        <w:szCs w:val="24"/>
      </w:rPr>
    </w:lvl>
  </w:abstractNum>
  <w:abstractNum w:abstractNumId="31">
    <w:nsid w:val="00000014"/>
    <w:multiLevelType w:val="multilevel"/>
    <w:tmpl w:val="00000014"/>
    <w:lvl w:ilvl="0" w:tentative="0">
      <w:start w:val="1"/>
      <w:numFmt w:val="decimal"/>
      <w:suff w:val="nothing"/>
      <w:lvlText w:val="（%1）"/>
      <w:lvlJc w:val="left"/>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00000017"/>
    <w:multiLevelType w:val="multilevel"/>
    <w:tmpl w:val="0000001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330"/>
        </w:tabs>
        <w:ind w:left="330" w:hanging="420"/>
      </w:pPr>
    </w:lvl>
    <w:lvl w:ilvl="2" w:tentative="0">
      <w:start w:val="1"/>
      <w:numFmt w:val="lowerRoman"/>
      <w:lvlText w:val="%3."/>
      <w:lvlJc w:val="right"/>
      <w:pPr>
        <w:tabs>
          <w:tab w:val="left" w:pos="750"/>
        </w:tabs>
        <w:ind w:left="750" w:hanging="420"/>
      </w:pPr>
    </w:lvl>
    <w:lvl w:ilvl="3" w:tentative="0">
      <w:start w:val="1"/>
      <w:numFmt w:val="decimal"/>
      <w:lvlText w:val="%4."/>
      <w:lvlJc w:val="left"/>
      <w:pPr>
        <w:tabs>
          <w:tab w:val="left" w:pos="1170"/>
        </w:tabs>
        <w:ind w:left="1170" w:hanging="420"/>
      </w:pPr>
    </w:lvl>
    <w:lvl w:ilvl="4" w:tentative="0">
      <w:start w:val="1"/>
      <w:numFmt w:val="lowerLetter"/>
      <w:lvlText w:val="%5)"/>
      <w:lvlJc w:val="left"/>
      <w:pPr>
        <w:tabs>
          <w:tab w:val="left" w:pos="1590"/>
        </w:tabs>
        <w:ind w:left="1590" w:hanging="420"/>
      </w:pPr>
    </w:lvl>
    <w:lvl w:ilvl="5" w:tentative="0">
      <w:start w:val="1"/>
      <w:numFmt w:val="lowerRoman"/>
      <w:lvlText w:val="%6."/>
      <w:lvlJc w:val="right"/>
      <w:pPr>
        <w:tabs>
          <w:tab w:val="left" w:pos="2010"/>
        </w:tabs>
        <w:ind w:left="2010" w:hanging="420"/>
      </w:pPr>
    </w:lvl>
    <w:lvl w:ilvl="6" w:tentative="0">
      <w:start w:val="1"/>
      <w:numFmt w:val="decimal"/>
      <w:lvlText w:val="%7."/>
      <w:lvlJc w:val="left"/>
      <w:pPr>
        <w:tabs>
          <w:tab w:val="left" w:pos="2430"/>
        </w:tabs>
        <w:ind w:left="2430" w:hanging="420"/>
      </w:pPr>
    </w:lvl>
    <w:lvl w:ilvl="7" w:tentative="0">
      <w:start w:val="1"/>
      <w:numFmt w:val="lowerLetter"/>
      <w:lvlText w:val="%8)"/>
      <w:lvlJc w:val="left"/>
      <w:pPr>
        <w:tabs>
          <w:tab w:val="left" w:pos="2850"/>
        </w:tabs>
        <w:ind w:left="2850" w:hanging="420"/>
      </w:pPr>
    </w:lvl>
    <w:lvl w:ilvl="8" w:tentative="0">
      <w:start w:val="1"/>
      <w:numFmt w:val="lowerRoman"/>
      <w:lvlText w:val="%9."/>
      <w:lvlJc w:val="right"/>
      <w:pPr>
        <w:tabs>
          <w:tab w:val="left" w:pos="3270"/>
        </w:tabs>
        <w:ind w:left="3270" w:hanging="420"/>
      </w:pPr>
    </w:lvl>
  </w:abstractNum>
  <w:abstractNum w:abstractNumId="33">
    <w:nsid w:val="063CD6A3"/>
    <w:multiLevelType w:val="singleLevel"/>
    <w:tmpl w:val="063CD6A3"/>
    <w:lvl w:ilvl="0" w:tentative="0">
      <w:start w:val="1"/>
      <w:numFmt w:val="decimal"/>
      <w:suff w:val="nothing"/>
      <w:lvlText w:val="%1．"/>
      <w:lvlJc w:val="left"/>
      <w:pPr>
        <w:ind w:left="0" w:firstLine="400"/>
      </w:pPr>
      <w:rPr>
        <w:rFonts w:hint="default"/>
      </w:rPr>
    </w:lvl>
  </w:abstractNum>
  <w:abstractNum w:abstractNumId="34">
    <w:nsid w:val="08C9424C"/>
    <w:multiLevelType w:val="singleLevel"/>
    <w:tmpl w:val="08C9424C"/>
    <w:lvl w:ilvl="0" w:tentative="0">
      <w:start w:val="1"/>
      <w:numFmt w:val="decimalEnclosedCircleChinese"/>
      <w:suff w:val="nothing"/>
      <w:lvlText w:val="%1　"/>
      <w:lvlJc w:val="left"/>
      <w:pPr>
        <w:ind w:left="0" w:firstLine="400"/>
      </w:pPr>
      <w:rPr>
        <w:rFonts w:hint="eastAsia"/>
      </w:rPr>
    </w:lvl>
  </w:abstractNum>
  <w:abstractNum w:abstractNumId="35">
    <w:nsid w:val="08D742C3"/>
    <w:multiLevelType w:val="singleLevel"/>
    <w:tmpl w:val="08D742C3"/>
    <w:lvl w:ilvl="0" w:tentative="0">
      <w:start w:val="1"/>
      <w:numFmt w:val="decimal"/>
      <w:lvlText w:val="%1."/>
      <w:lvlJc w:val="left"/>
      <w:pPr>
        <w:ind w:left="425" w:hanging="425"/>
      </w:pPr>
      <w:rPr>
        <w:rFonts w:hint="default"/>
      </w:rPr>
    </w:lvl>
  </w:abstractNum>
  <w:abstractNum w:abstractNumId="36">
    <w:nsid w:val="0C0AC266"/>
    <w:multiLevelType w:val="singleLevel"/>
    <w:tmpl w:val="0C0AC266"/>
    <w:lvl w:ilvl="0" w:tentative="0">
      <w:start w:val="1"/>
      <w:numFmt w:val="lowerLetter"/>
      <w:lvlText w:val="%1."/>
      <w:lvlJc w:val="left"/>
      <w:pPr>
        <w:ind w:left="425" w:hanging="425"/>
      </w:pPr>
      <w:rPr>
        <w:rFonts w:hint="default"/>
      </w:rPr>
    </w:lvl>
  </w:abstractNum>
  <w:abstractNum w:abstractNumId="37">
    <w:nsid w:val="14F28D2E"/>
    <w:multiLevelType w:val="singleLevel"/>
    <w:tmpl w:val="14F28D2E"/>
    <w:lvl w:ilvl="0" w:tentative="0">
      <w:start w:val="1"/>
      <w:numFmt w:val="decimal"/>
      <w:lvlText w:val="%1."/>
      <w:lvlJc w:val="left"/>
      <w:pPr>
        <w:ind w:left="425" w:hanging="425"/>
      </w:pPr>
      <w:rPr>
        <w:rFonts w:hint="default"/>
      </w:rPr>
    </w:lvl>
  </w:abstractNum>
  <w:abstractNum w:abstractNumId="38">
    <w:nsid w:val="29A3F75D"/>
    <w:multiLevelType w:val="singleLevel"/>
    <w:tmpl w:val="29A3F75D"/>
    <w:lvl w:ilvl="0" w:tentative="0">
      <w:start w:val="1"/>
      <w:numFmt w:val="decimal"/>
      <w:lvlText w:val="(%1)"/>
      <w:lvlJc w:val="left"/>
      <w:pPr>
        <w:ind w:left="425" w:hanging="425"/>
      </w:pPr>
      <w:rPr>
        <w:rFonts w:hint="default"/>
      </w:rPr>
    </w:lvl>
  </w:abstractNum>
  <w:abstractNum w:abstractNumId="39">
    <w:nsid w:val="2F8FFFF6"/>
    <w:multiLevelType w:val="singleLevel"/>
    <w:tmpl w:val="2F8FFFF6"/>
    <w:lvl w:ilvl="0" w:tentative="0">
      <w:start w:val="1"/>
      <w:numFmt w:val="decimal"/>
      <w:suff w:val="nothing"/>
      <w:lvlText w:val="表1.4-%1  "/>
      <w:lvlJc w:val="left"/>
      <w:pPr>
        <w:tabs>
          <w:tab w:val="left" w:pos="0"/>
        </w:tabs>
      </w:pPr>
      <w:rPr>
        <w:rFonts w:hint="default" w:ascii="Times New Roman" w:hAnsi="Times New Roman" w:eastAsia="宋体" w:cs="Times New Roman"/>
        <w:sz w:val="24"/>
        <w:szCs w:val="24"/>
      </w:rPr>
    </w:lvl>
  </w:abstractNum>
  <w:abstractNum w:abstractNumId="40">
    <w:nsid w:val="31044A24"/>
    <w:multiLevelType w:val="singleLevel"/>
    <w:tmpl w:val="31044A24"/>
    <w:lvl w:ilvl="0" w:tentative="0">
      <w:start w:val="1"/>
      <w:numFmt w:val="decimal"/>
      <w:lvlText w:val="%1."/>
      <w:lvlJc w:val="left"/>
      <w:pPr>
        <w:ind w:left="425" w:hanging="425"/>
      </w:pPr>
      <w:rPr>
        <w:rFonts w:hint="default"/>
      </w:rPr>
    </w:lvl>
  </w:abstractNum>
  <w:abstractNum w:abstractNumId="41">
    <w:nsid w:val="376BB963"/>
    <w:multiLevelType w:val="singleLevel"/>
    <w:tmpl w:val="376BB963"/>
    <w:lvl w:ilvl="0" w:tentative="0">
      <w:start w:val="1"/>
      <w:numFmt w:val="decimal"/>
      <w:lvlText w:val="(%1)"/>
      <w:lvlJc w:val="left"/>
      <w:pPr>
        <w:ind w:left="425" w:hanging="425"/>
      </w:pPr>
      <w:rPr>
        <w:rFonts w:hint="default"/>
      </w:rPr>
    </w:lvl>
  </w:abstractNum>
  <w:abstractNum w:abstractNumId="42">
    <w:nsid w:val="3EE5FAFA"/>
    <w:multiLevelType w:val="singleLevel"/>
    <w:tmpl w:val="3EE5FAFA"/>
    <w:lvl w:ilvl="0" w:tentative="0">
      <w:start w:val="1"/>
      <w:numFmt w:val="decimal"/>
      <w:suff w:val="nothing"/>
      <w:lvlText w:val="表3.3-%1  "/>
      <w:lvlJc w:val="left"/>
      <w:pPr>
        <w:tabs>
          <w:tab w:val="left" w:pos="0"/>
        </w:tabs>
      </w:pPr>
      <w:rPr>
        <w:rFonts w:hint="default" w:ascii="Times New Roman" w:hAnsi="Times New Roman" w:eastAsia="宋体" w:cs="Times New Roman"/>
        <w:sz w:val="24"/>
        <w:szCs w:val="24"/>
      </w:rPr>
    </w:lvl>
  </w:abstractNum>
  <w:abstractNum w:abstractNumId="43">
    <w:nsid w:val="3F5BD195"/>
    <w:multiLevelType w:val="multilevel"/>
    <w:tmpl w:val="3F5BD195"/>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44">
    <w:nsid w:val="43194592"/>
    <w:multiLevelType w:val="singleLevel"/>
    <w:tmpl w:val="43194592"/>
    <w:lvl w:ilvl="0" w:tentative="0">
      <w:start w:val="1"/>
      <w:numFmt w:val="decimalEnclosedCircleChinese"/>
      <w:suff w:val="nothing"/>
      <w:lvlText w:val="%1　"/>
      <w:lvlJc w:val="left"/>
      <w:pPr>
        <w:ind w:left="0" w:firstLine="400"/>
      </w:pPr>
      <w:rPr>
        <w:rFonts w:hint="eastAsia"/>
      </w:rPr>
    </w:lvl>
  </w:abstractNum>
  <w:abstractNum w:abstractNumId="45">
    <w:nsid w:val="43483335"/>
    <w:multiLevelType w:val="singleLevel"/>
    <w:tmpl w:val="43483335"/>
    <w:lvl w:ilvl="0" w:tentative="0">
      <w:start w:val="1"/>
      <w:numFmt w:val="decimal"/>
      <w:suff w:val="nothing"/>
      <w:lvlText w:val="%1．"/>
      <w:lvlJc w:val="left"/>
      <w:pPr>
        <w:ind w:left="0" w:firstLine="400"/>
      </w:pPr>
      <w:rPr>
        <w:rFonts w:hint="default"/>
      </w:rPr>
    </w:lvl>
  </w:abstractNum>
  <w:abstractNum w:abstractNumId="46">
    <w:nsid w:val="45FC24B4"/>
    <w:multiLevelType w:val="singleLevel"/>
    <w:tmpl w:val="45FC24B4"/>
    <w:lvl w:ilvl="0" w:tentative="0">
      <w:start w:val="1"/>
      <w:numFmt w:val="decimal"/>
      <w:lvlText w:val="%1."/>
      <w:lvlJc w:val="left"/>
      <w:pPr>
        <w:ind w:left="425" w:hanging="425"/>
      </w:pPr>
      <w:rPr>
        <w:rFonts w:hint="default"/>
      </w:rPr>
    </w:lvl>
  </w:abstractNum>
  <w:abstractNum w:abstractNumId="47">
    <w:nsid w:val="4B8749A6"/>
    <w:multiLevelType w:val="singleLevel"/>
    <w:tmpl w:val="4B8749A6"/>
    <w:lvl w:ilvl="0" w:tentative="0">
      <w:start w:val="1"/>
      <w:numFmt w:val="decimal"/>
      <w:suff w:val="nothing"/>
      <w:lvlText w:val="表1.3-%1  "/>
      <w:lvlJc w:val="left"/>
      <w:pPr>
        <w:tabs>
          <w:tab w:val="left" w:pos="0"/>
        </w:tabs>
      </w:pPr>
      <w:rPr>
        <w:rFonts w:hint="default" w:ascii="Times New Roman" w:hAnsi="Times New Roman" w:eastAsia="宋体"/>
        <w:sz w:val="24"/>
        <w:szCs w:val="24"/>
      </w:rPr>
    </w:lvl>
  </w:abstractNum>
  <w:abstractNum w:abstractNumId="48">
    <w:nsid w:val="4C103652"/>
    <w:multiLevelType w:val="singleLevel"/>
    <w:tmpl w:val="4C103652"/>
    <w:lvl w:ilvl="0" w:tentative="0">
      <w:start w:val="1"/>
      <w:numFmt w:val="decimal"/>
      <w:lvlText w:val="%1."/>
      <w:lvlJc w:val="left"/>
      <w:pPr>
        <w:ind w:left="425" w:hanging="425"/>
      </w:pPr>
      <w:rPr>
        <w:rFonts w:hint="default"/>
      </w:rPr>
    </w:lvl>
  </w:abstractNum>
  <w:abstractNum w:abstractNumId="49">
    <w:nsid w:val="5282EF18"/>
    <w:multiLevelType w:val="singleLevel"/>
    <w:tmpl w:val="5282EF18"/>
    <w:lvl w:ilvl="0" w:tentative="0">
      <w:start w:val="1"/>
      <w:numFmt w:val="decimal"/>
      <w:lvlText w:val="%1."/>
      <w:lvlJc w:val="left"/>
      <w:pPr>
        <w:tabs>
          <w:tab w:val="left" w:pos="425"/>
        </w:tabs>
        <w:ind w:left="425" w:hanging="425"/>
      </w:pPr>
      <w:rPr>
        <w:rFonts w:hint="default"/>
      </w:rPr>
    </w:lvl>
  </w:abstractNum>
  <w:abstractNum w:abstractNumId="50">
    <w:nsid w:val="5327BA0D"/>
    <w:multiLevelType w:val="singleLevel"/>
    <w:tmpl w:val="5327BA0D"/>
    <w:lvl w:ilvl="0" w:tentative="0">
      <w:start w:val="1"/>
      <w:numFmt w:val="decimal"/>
      <w:lvlText w:val="%1."/>
      <w:lvlJc w:val="left"/>
      <w:pPr>
        <w:tabs>
          <w:tab w:val="left" w:pos="425"/>
        </w:tabs>
        <w:ind w:left="425" w:hanging="425"/>
      </w:pPr>
      <w:rPr>
        <w:rFonts w:hint="default"/>
      </w:rPr>
    </w:lvl>
  </w:abstractNum>
  <w:abstractNum w:abstractNumId="51">
    <w:nsid w:val="54455742"/>
    <w:multiLevelType w:val="singleLevel"/>
    <w:tmpl w:val="54455742"/>
    <w:lvl w:ilvl="0" w:tentative="0">
      <w:start w:val="1"/>
      <w:numFmt w:val="decimal"/>
      <w:lvlText w:val="%1."/>
      <w:lvlJc w:val="left"/>
      <w:pPr>
        <w:ind w:left="425" w:hanging="425"/>
      </w:pPr>
      <w:rPr>
        <w:rFonts w:hint="default"/>
      </w:rPr>
    </w:lvl>
  </w:abstractNum>
  <w:abstractNum w:abstractNumId="52">
    <w:nsid w:val="553F38A2"/>
    <w:multiLevelType w:val="singleLevel"/>
    <w:tmpl w:val="553F38A2"/>
    <w:lvl w:ilvl="0" w:tentative="0">
      <w:start w:val="1"/>
      <w:numFmt w:val="decimal"/>
      <w:suff w:val="nothing"/>
      <w:lvlText w:val="%1．"/>
      <w:lvlJc w:val="left"/>
      <w:pPr>
        <w:ind w:left="0" w:firstLine="400"/>
      </w:pPr>
      <w:rPr>
        <w:rFonts w:hint="default"/>
      </w:rPr>
    </w:lvl>
  </w:abstractNum>
  <w:abstractNum w:abstractNumId="53">
    <w:nsid w:val="56AC0059"/>
    <w:multiLevelType w:val="singleLevel"/>
    <w:tmpl w:val="56AC0059"/>
    <w:lvl w:ilvl="0" w:tentative="0">
      <w:start w:val="1"/>
      <w:numFmt w:val="decimal"/>
      <w:lvlText w:val="(%1)"/>
      <w:lvlJc w:val="left"/>
      <w:pPr>
        <w:ind w:left="425" w:hanging="425"/>
      </w:pPr>
      <w:rPr>
        <w:rFonts w:hint="default"/>
      </w:rPr>
    </w:lvl>
  </w:abstractNum>
  <w:abstractNum w:abstractNumId="54">
    <w:nsid w:val="64072444"/>
    <w:multiLevelType w:val="singleLevel"/>
    <w:tmpl w:val="64072444"/>
    <w:lvl w:ilvl="0" w:tentative="0">
      <w:start w:val="1"/>
      <w:numFmt w:val="decimal"/>
      <w:suff w:val="nothing"/>
      <w:lvlText w:val="表2.8-%1  "/>
      <w:lvlJc w:val="left"/>
      <w:pPr>
        <w:tabs>
          <w:tab w:val="left" w:pos="0"/>
        </w:tabs>
      </w:pPr>
      <w:rPr>
        <w:rFonts w:hint="default" w:ascii="Times New Roman" w:hAnsi="Times New Roman" w:eastAsia="宋体" w:cs="Times New Roman"/>
        <w:sz w:val="24"/>
        <w:szCs w:val="24"/>
      </w:rPr>
    </w:lvl>
  </w:abstractNum>
  <w:abstractNum w:abstractNumId="55">
    <w:nsid w:val="6491B7F2"/>
    <w:multiLevelType w:val="singleLevel"/>
    <w:tmpl w:val="6491B7F2"/>
    <w:lvl w:ilvl="0" w:tentative="0">
      <w:start w:val="1"/>
      <w:numFmt w:val="decimalEnclosedCircleChinese"/>
      <w:suff w:val="nothing"/>
      <w:lvlText w:val="%1　"/>
      <w:lvlJc w:val="left"/>
      <w:pPr>
        <w:ind w:left="0" w:firstLine="400"/>
      </w:pPr>
      <w:rPr>
        <w:rFonts w:hint="eastAsia"/>
      </w:rPr>
    </w:lvl>
  </w:abstractNum>
  <w:abstractNum w:abstractNumId="56">
    <w:nsid w:val="7397F904"/>
    <w:multiLevelType w:val="singleLevel"/>
    <w:tmpl w:val="7397F904"/>
    <w:lvl w:ilvl="0" w:tentative="0">
      <w:start w:val="1"/>
      <w:numFmt w:val="decimal"/>
      <w:suff w:val="nothing"/>
      <w:lvlText w:val="表5.2-%1  "/>
      <w:lvlJc w:val="left"/>
      <w:pPr>
        <w:tabs>
          <w:tab w:val="left" w:pos="0"/>
        </w:tabs>
      </w:pPr>
      <w:rPr>
        <w:rFonts w:hint="default" w:ascii="Times New Roman" w:hAnsi="Times New Roman" w:eastAsia="宋体" w:cs="Times New Roman"/>
        <w:sz w:val="24"/>
        <w:szCs w:val="24"/>
      </w:rPr>
    </w:lvl>
  </w:abstractNum>
  <w:abstractNum w:abstractNumId="57">
    <w:nsid w:val="7AD008DE"/>
    <w:multiLevelType w:val="singleLevel"/>
    <w:tmpl w:val="7AD008DE"/>
    <w:lvl w:ilvl="0" w:tentative="0">
      <w:start w:val="1"/>
      <w:numFmt w:val="decimal"/>
      <w:suff w:val="nothing"/>
      <w:lvlText w:val="表0-%1  "/>
      <w:lvlJc w:val="left"/>
      <w:pPr>
        <w:tabs>
          <w:tab w:val="left" w:pos="0"/>
        </w:tabs>
      </w:pPr>
      <w:rPr>
        <w:rFonts w:hint="default" w:ascii="Times New Roman" w:hAnsi="Times New Roman" w:eastAsia="宋体" w:cs="Wingdings"/>
        <w:sz w:val="24"/>
        <w:szCs w:val="24"/>
      </w:rPr>
    </w:lvl>
  </w:abstractNum>
  <w:abstractNum w:abstractNumId="58">
    <w:nsid w:val="7C4092AE"/>
    <w:multiLevelType w:val="singleLevel"/>
    <w:tmpl w:val="7C4092AE"/>
    <w:lvl w:ilvl="0" w:tentative="0">
      <w:start w:val="1"/>
      <w:numFmt w:val="decimal"/>
      <w:suff w:val="nothing"/>
      <w:lvlText w:val="图4.2-%1  "/>
      <w:lvlJc w:val="left"/>
      <w:pPr>
        <w:tabs>
          <w:tab w:val="left" w:pos="0"/>
        </w:tabs>
      </w:pPr>
      <w:rPr>
        <w:rFonts w:hint="default" w:ascii="Times New Roman" w:hAnsi="Times New Roman" w:eastAsia="宋体" w:cs="Times New Roman"/>
        <w:sz w:val="24"/>
        <w:szCs w:val="24"/>
      </w:rPr>
    </w:lvl>
  </w:abstractNum>
  <w:num w:numId="1">
    <w:abstractNumId w:val="43"/>
  </w:num>
  <w:num w:numId="2">
    <w:abstractNumId w:val="3"/>
  </w:num>
  <w:num w:numId="3">
    <w:abstractNumId w:val="45"/>
  </w:num>
  <w:num w:numId="4">
    <w:abstractNumId w:val="57"/>
  </w:num>
  <w:num w:numId="5">
    <w:abstractNumId w:val="1"/>
  </w:num>
  <w:num w:numId="6">
    <w:abstractNumId w:val="11"/>
  </w:num>
  <w:num w:numId="7">
    <w:abstractNumId w:val="51"/>
  </w:num>
  <w:num w:numId="8">
    <w:abstractNumId w:val="25"/>
  </w:num>
  <w:num w:numId="9">
    <w:abstractNumId w:val="49"/>
  </w:num>
  <w:num w:numId="10">
    <w:abstractNumId w:val="50"/>
  </w:num>
  <w:num w:numId="11">
    <w:abstractNumId w:val="32"/>
  </w:num>
  <w:num w:numId="12">
    <w:abstractNumId w:val="31"/>
  </w:num>
  <w:num w:numId="13">
    <w:abstractNumId w:val="35"/>
  </w:num>
  <w:num w:numId="14">
    <w:abstractNumId w:val="47"/>
  </w:num>
  <w:num w:numId="15">
    <w:abstractNumId w:val="14"/>
  </w:num>
  <w:num w:numId="16">
    <w:abstractNumId w:val="17"/>
  </w:num>
  <w:num w:numId="17">
    <w:abstractNumId w:val="39"/>
  </w:num>
  <w:num w:numId="18">
    <w:abstractNumId w:val="15"/>
  </w:num>
  <w:num w:numId="19">
    <w:abstractNumId w:val="46"/>
  </w:num>
  <w:num w:numId="20">
    <w:abstractNumId w:val="4"/>
  </w:num>
  <w:num w:numId="21">
    <w:abstractNumId w:val="2"/>
  </w:num>
  <w:num w:numId="22">
    <w:abstractNumId w:val="30"/>
  </w:num>
  <w:num w:numId="23">
    <w:abstractNumId w:val="40"/>
  </w:num>
  <w:num w:numId="24">
    <w:abstractNumId w:val="6"/>
  </w:num>
  <w:num w:numId="25">
    <w:abstractNumId w:val="10"/>
  </w:num>
  <w:num w:numId="26">
    <w:abstractNumId w:val="0"/>
  </w:num>
  <w:num w:numId="27">
    <w:abstractNumId w:val="48"/>
  </w:num>
  <w:num w:numId="28">
    <w:abstractNumId w:val="13"/>
  </w:num>
  <w:num w:numId="29">
    <w:abstractNumId w:val="26"/>
  </w:num>
  <w:num w:numId="30">
    <w:abstractNumId w:val="54"/>
  </w:num>
  <w:num w:numId="31">
    <w:abstractNumId w:val="41"/>
  </w:num>
  <w:num w:numId="32">
    <w:abstractNumId w:val="19"/>
  </w:num>
  <w:num w:numId="33">
    <w:abstractNumId w:val="16"/>
  </w:num>
  <w:num w:numId="34">
    <w:abstractNumId w:val="38"/>
  </w:num>
  <w:num w:numId="35">
    <w:abstractNumId w:val="9"/>
  </w:num>
  <w:num w:numId="36">
    <w:abstractNumId w:val="42"/>
  </w:num>
  <w:num w:numId="37">
    <w:abstractNumId w:val="20"/>
  </w:num>
  <w:num w:numId="38">
    <w:abstractNumId w:val="58"/>
  </w:num>
  <w:num w:numId="39">
    <w:abstractNumId w:val="8"/>
  </w:num>
  <w:num w:numId="40">
    <w:abstractNumId w:val="5"/>
  </w:num>
  <w:num w:numId="41">
    <w:abstractNumId w:val="24"/>
  </w:num>
  <w:num w:numId="42">
    <w:abstractNumId w:val="23"/>
  </w:num>
  <w:num w:numId="43">
    <w:abstractNumId w:val="21"/>
  </w:num>
  <w:num w:numId="44">
    <w:abstractNumId w:val="36"/>
  </w:num>
  <w:num w:numId="45">
    <w:abstractNumId w:val="34"/>
  </w:num>
  <w:num w:numId="46">
    <w:abstractNumId w:val="53"/>
  </w:num>
  <w:num w:numId="47">
    <w:abstractNumId w:val="7"/>
  </w:num>
  <w:num w:numId="48">
    <w:abstractNumId w:val="18"/>
  </w:num>
  <w:num w:numId="49">
    <w:abstractNumId w:val="29"/>
  </w:num>
  <w:num w:numId="50">
    <w:abstractNumId w:val="33"/>
  </w:num>
  <w:num w:numId="51">
    <w:abstractNumId w:val="56"/>
  </w:num>
  <w:num w:numId="52">
    <w:abstractNumId w:val="28"/>
  </w:num>
  <w:num w:numId="53">
    <w:abstractNumId w:val="37"/>
  </w:num>
  <w:num w:numId="54">
    <w:abstractNumId w:val="22"/>
  </w:num>
  <w:num w:numId="55">
    <w:abstractNumId w:val="12"/>
  </w:num>
  <w:num w:numId="56">
    <w:abstractNumId w:val="44"/>
  </w:num>
  <w:num w:numId="57">
    <w:abstractNumId w:val="55"/>
  </w:num>
  <w:num w:numId="58">
    <w:abstractNumId w:val="52"/>
  </w:num>
  <w:num w:numId="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68"/>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iYTBiZTE3Y2U3MTdlN2QyMmFmNjEwOWYxOTk2MTQifQ=="/>
  </w:docVars>
  <w:rsids>
    <w:rsidRoot w:val="00172A27"/>
    <w:rsid w:val="00037996"/>
    <w:rsid w:val="000707EA"/>
    <w:rsid w:val="000B3FD1"/>
    <w:rsid w:val="001217C5"/>
    <w:rsid w:val="0015691E"/>
    <w:rsid w:val="00172A27"/>
    <w:rsid w:val="001D4161"/>
    <w:rsid w:val="00297FC0"/>
    <w:rsid w:val="002A29E4"/>
    <w:rsid w:val="002A6766"/>
    <w:rsid w:val="002B4036"/>
    <w:rsid w:val="002C2653"/>
    <w:rsid w:val="002C66B7"/>
    <w:rsid w:val="002F4114"/>
    <w:rsid w:val="0031064B"/>
    <w:rsid w:val="00345CE4"/>
    <w:rsid w:val="00360BE2"/>
    <w:rsid w:val="00360E9C"/>
    <w:rsid w:val="00366E53"/>
    <w:rsid w:val="003E5FC6"/>
    <w:rsid w:val="003F4934"/>
    <w:rsid w:val="00451038"/>
    <w:rsid w:val="00466956"/>
    <w:rsid w:val="00467FD1"/>
    <w:rsid w:val="00497A33"/>
    <w:rsid w:val="004A670F"/>
    <w:rsid w:val="004B0CAE"/>
    <w:rsid w:val="004C1C8D"/>
    <w:rsid w:val="004C6933"/>
    <w:rsid w:val="00511F88"/>
    <w:rsid w:val="00517708"/>
    <w:rsid w:val="00530A23"/>
    <w:rsid w:val="00575823"/>
    <w:rsid w:val="00584F73"/>
    <w:rsid w:val="005B0939"/>
    <w:rsid w:val="005F1E44"/>
    <w:rsid w:val="0067330B"/>
    <w:rsid w:val="006E2ED8"/>
    <w:rsid w:val="006F6D62"/>
    <w:rsid w:val="00774CCC"/>
    <w:rsid w:val="00776717"/>
    <w:rsid w:val="007926CE"/>
    <w:rsid w:val="007D4F56"/>
    <w:rsid w:val="00804D85"/>
    <w:rsid w:val="008154A2"/>
    <w:rsid w:val="00820205"/>
    <w:rsid w:val="00820F46"/>
    <w:rsid w:val="00833583"/>
    <w:rsid w:val="00836E85"/>
    <w:rsid w:val="00851D64"/>
    <w:rsid w:val="008564EE"/>
    <w:rsid w:val="00866FCB"/>
    <w:rsid w:val="008867EF"/>
    <w:rsid w:val="008C3C8A"/>
    <w:rsid w:val="008D638D"/>
    <w:rsid w:val="00906E59"/>
    <w:rsid w:val="00936146"/>
    <w:rsid w:val="00974108"/>
    <w:rsid w:val="00996931"/>
    <w:rsid w:val="009B3F9F"/>
    <w:rsid w:val="009E6853"/>
    <w:rsid w:val="00A1049D"/>
    <w:rsid w:val="00A42D21"/>
    <w:rsid w:val="00AD37BC"/>
    <w:rsid w:val="00AE240F"/>
    <w:rsid w:val="00B50DF2"/>
    <w:rsid w:val="00B55D59"/>
    <w:rsid w:val="00BC1861"/>
    <w:rsid w:val="00BE2CD0"/>
    <w:rsid w:val="00C0477C"/>
    <w:rsid w:val="00C10A3C"/>
    <w:rsid w:val="00C6023C"/>
    <w:rsid w:val="00C71DE7"/>
    <w:rsid w:val="00CB72AF"/>
    <w:rsid w:val="00CF5E63"/>
    <w:rsid w:val="00D000AE"/>
    <w:rsid w:val="00D308BD"/>
    <w:rsid w:val="00D32585"/>
    <w:rsid w:val="00D67E2C"/>
    <w:rsid w:val="00D70E8A"/>
    <w:rsid w:val="00DF2023"/>
    <w:rsid w:val="00E25915"/>
    <w:rsid w:val="00E62A07"/>
    <w:rsid w:val="00EB12F3"/>
    <w:rsid w:val="00EB2E6D"/>
    <w:rsid w:val="00F233B0"/>
    <w:rsid w:val="00F252F6"/>
    <w:rsid w:val="00FF7D27"/>
    <w:rsid w:val="01034D73"/>
    <w:rsid w:val="01B72FDE"/>
    <w:rsid w:val="01C719DE"/>
    <w:rsid w:val="01DE6442"/>
    <w:rsid w:val="01ED0716"/>
    <w:rsid w:val="02205472"/>
    <w:rsid w:val="0224031F"/>
    <w:rsid w:val="02410182"/>
    <w:rsid w:val="02460FF3"/>
    <w:rsid w:val="0261094B"/>
    <w:rsid w:val="02776F03"/>
    <w:rsid w:val="028E2BEA"/>
    <w:rsid w:val="02DC3B67"/>
    <w:rsid w:val="02EE3C38"/>
    <w:rsid w:val="02FA5184"/>
    <w:rsid w:val="031066A7"/>
    <w:rsid w:val="03370AC5"/>
    <w:rsid w:val="034D40E4"/>
    <w:rsid w:val="03513FA2"/>
    <w:rsid w:val="03652EF3"/>
    <w:rsid w:val="036B7036"/>
    <w:rsid w:val="03843712"/>
    <w:rsid w:val="03892D38"/>
    <w:rsid w:val="0396272F"/>
    <w:rsid w:val="03A25FDC"/>
    <w:rsid w:val="03D6663B"/>
    <w:rsid w:val="03ED4455"/>
    <w:rsid w:val="042720D0"/>
    <w:rsid w:val="04277121"/>
    <w:rsid w:val="04697C3E"/>
    <w:rsid w:val="049C6A03"/>
    <w:rsid w:val="049E1E2B"/>
    <w:rsid w:val="04A37DE5"/>
    <w:rsid w:val="04B877C3"/>
    <w:rsid w:val="04D706F5"/>
    <w:rsid w:val="04DB5DFD"/>
    <w:rsid w:val="04FB23D0"/>
    <w:rsid w:val="04FF6309"/>
    <w:rsid w:val="051554AC"/>
    <w:rsid w:val="05224C70"/>
    <w:rsid w:val="0541433B"/>
    <w:rsid w:val="05437393"/>
    <w:rsid w:val="054A4A4C"/>
    <w:rsid w:val="05F64FD8"/>
    <w:rsid w:val="060811B5"/>
    <w:rsid w:val="06307D2F"/>
    <w:rsid w:val="06B577A9"/>
    <w:rsid w:val="06B91D17"/>
    <w:rsid w:val="06E269BF"/>
    <w:rsid w:val="06F24DBA"/>
    <w:rsid w:val="07B9038D"/>
    <w:rsid w:val="07C532F1"/>
    <w:rsid w:val="07CC619F"/>
    <w:rsid w:val="07E13D6B"/>
    <w:rsid w:val="07FB3F2F"/>
    <w:rsid w:val="08007509"/>
    <w:rsid w:val="080855FA"/>
    <w:rsid w:val="083F6602"/>
    <w:rsid w:val="086916A6"/>
    <w:rsid w:val="087F427C"/>
    <w:rsid w:val="08AB43E6"/>
    <w:rsid w:val="09071E23"/>
    <w:rsid w:val="092863CB"/>
    <w:rsid w:val="09867B7A"/>
    <w:rsid w:val="098D6636"/>
    <w:rsid w:val="09C06DF0"/>
    <w:rsid w:val="09C75AF4"/>
    <w:rsid w:val="09DA5210"/>
    <w:rsid w:val="09DC5367"/>
    <w:rsid w:val="0A510D09"/>
    <w:rsid w:val="0A631C94"/>
    <w:rsid w:val="0A7B4824"/>
    <w:rsid w:val="0AA42C8B"/>
    <w:rsid w:val="0ADC3DF9"/>
    <w:rsid w:val="0AE012F4"/>
    <w:rsid w:val="0AE70638"/>
    <w:rsid w:val="0AE9106A"/>
    <w:rsid w:val="0B224DC6"/>
    <w:rsid w:val="0B385E47"/>
    <w:rsid w:val="0B7101E7"/>
    <w:rsid w:val="0BAD546A"/>
    <w:rsid w:val="0BAD74E1"/>
    <w:rsid w:val="0BFF3D31"/>
    <w:rsid w:val="0C0D4499"/>
    <w:rsid w:val="0C380596"/>
    <w:rsid w:val="0C631635"/>
    <w:rsid w:val="0C820182"/>
    <w:rsid w:val="0C8A0FC8"/>
    <w:rsid w:val="0CD75175"/>
    <w:rsid w:val="0CEC3B68"/>
    <w:rsid w:val="0CFB7286"/>
    <w:rsid w:val="0D4B5296"/>
    <w:rsid w:val="0D5154EF"/>
    <w:rsid w:val="0D5F21CE"/>
    <w:rsid w:val="0D6C00D1"/>
    <w:rsid w:val="0DC90303"/>
    <w:rsid w:val="0DEC2CB1"/>
    <w:rsid w:val="0DF60BE8"/>
    <w:rsid w:val="0E1F76FC"/>
    <w:rsid w:val="0E2E2CE2"/>
    <w:rsid w:val="0E3C1C7A"/>
    <w:rsid w:val="0E4152C6"/>
    <w:rsid w:val="0E5F1FC8"/>
    <w:rsid w:val="0E6236E2"/>
    <w:rsid w:val="0E812ED2"/>
    <w:rsid w:val="0EEE68F0"/>
    <w:rsid w:val="0F087BF1"/>
    <w:rsid w:val="0F141C25"/>
    <w:rsid w:val="0F3B05FA"/>
    <w:rsid w:val="0F3B065A"/>
    <w:rsid w:val="0F67306D"/>
    <w:rsid w:val="0FCB3C2A"/>
    <w:rsid w:val="0FD35DDE"/>
    <w:rsid w:val="0FE949C9"/>
    <w:rsid w:val="0FFF6324"/>
    <w:rsid w:val="101648F8"/>
    <w:rsid w:val="101748E8"/>
    <w:rsid w:val="106F7E2C"/>
    <w:rsid w:val="10955AB7"/>
    <w:rsid w:val="10BA275A"/>
    <w:rsid w:val="10C3255D"/>
    <w:rsid w:val="10C33AF3"/>
    <w:rsid w:val="11113978"/>
    <w:rsid w:val="11371325"/>
    <w:rsid w:val="114770B1"/>
    <w:rsid w:val="11A33DE7"/>
    <w:rsid w:val="11CC2A49"/>
    <w:rsid w:val="11EB10A4"/>
    <w:rsid w:val="11F6064F"/>
    <w:rsid w:val="120825BE"/>
    <w:rsid w:val="129A1EF7"/>
    <w:rsid w:val="129E0677"/>
    <w:rsid w:val="12C54D43"/>
    <w:rsid w:val="12CD29A3"/>
    <w:rsid w:val="12FF7788"/>
    <w:rsid w:val="13216788"/>
    <w:rsid w:val="13257FDE"/>
    <w:rsid w:val="13283E9A"/>
    <w:rsid w:val="132D228B"/>
    <w:rsid w:val="13A56310"/>
    <w:rsid w:val="13A8109D"/>
    <w:rsid w:val="13C43FB5"/>
    <w:rsid w:val="14401ED9"/>
    <w:rsid w:val="147754CF"/>
    <w:rsid w:val="14832CAD"/>
    <w:rsid w:val="14982B40"/>
    <w:rsid w:val="15001CD4"/>
    <w:rsid w:val="150F1CDF"/>
    <w:rsid w:val="15143404"/>
    <w:rsid w:val="154A1C7B"/>
    <w:rsid w:val="15666667"/>
    <w:rsid w:val="156F0F1F"/>
    <w:rsid w:val="157D531D"/>
    <w:rsid w:val="15AC726B"/>
    <w:rsid w:val="15CF00FE"/>
    <w:rsid w:val="162241C0"/>
    <w:rsid w:val="167A5AD5"/>
    <w:rsid w:val="16852920"/>
    <w:rsid w:val="169E5219"/>
    <w:rsid w:val="16A07E9D"/>
    <w:rsid w:val="16AE0F8A"/>
    <w:rsid w:val="16E85E4B"/>
    <w:rsid w:val="16E9566A"/>
    <w:rsid w:val="16F46147"/>
    <w:rsid w:val="170330DE"/>
    <w:rsid w:val="173D11D0"/>
    <w:rsid w:val="17483F75"/>
    <w:rsid w:val="176964D9"/>
    <w:rsid w:val="17793892"/>
    <w:rsid w:val="177E2FB0"/>
    <w:rsid w:val="17A40B28"/>
    <w:rsid w:val="17E1660D"/>
    <w:rsid w:val="17E56EB8"/>
    <w:rsid w:val="18317455"/>
    <w:rsid w:val="183A4106"/>
    <w:rsid w:val="183B6E68"/>
    <w:rsid w:val="185F7FFB"/>
    <w:rsid w:val="18B30F6B"/>
    <w:rsid w:val="18D033A2"/>
    <w:rsid w:val="18DF3210"/>
    <w:rsid w:val="19183BD0"/>
    <w:rsid w:val="192A5572"/>
    <w:rsid w:val="192A5C64"/>
    <w:rsid w:val="19366B6D"/>
    <w:rsid w:val="194E35A5"/>
    <w:rsid w:val="196537B4"/>
    <w:rsid w:val="198D4E6C"/>
    <w:rsid w:val="19A520EB"/>
    <w:rsid w:val="19C151E4"/>
    <w:rsid w:val="19C32668"/>
    <w:rsid w:val="19DD7903"/>
    <w:rsid w:val="1A051160"/>
    <w:rsid w:val="1A330797"/>
    <w:rsid w:val="1A49099E"/>
    <w:rsid w:val="1A6261C4"/>
    <w:rsid w:val="1A660159"/>
    <w:rsid w:val="1ACA09AB"/>
    <w:rsid w:val="1B16677F"/>
    <w:rsid w:val="1B200197"/>
    <w:rsid w:val="1B2A24A6"/>
    <w:rsid w:val="1B5D0C60"/>
    <w:rsid w:val="1B691E2B"/>
    <w:rsid w:val="1B907C8C"/>
    <w:rsid w:val="1B9C729C"/>
    <w:rsid w:val="1BD45C95"/>
    <w:rsid w:val="1BDC5633"/>
    <w:rsid w:val="1BE54F69"/>
    <w:rsid w:val="1C02674C"/>
    <w:rsid w:val="1C2F3DE1"/>
    <w:rsid w:val="1C3A045D"/>
    <w:rsid w:val="1C413713"/>
    <w:rsid w:val="1C644A2B"/>
    <w:rsid w:val="1C652C9E"/>
    <w:rsid w:val="1C6568BE"/>
    <w:rsid w:val="1C7A65EA"/>
    <w:rsid w:val="1CD22C12"/>
    <w:rsid w:val="1CDA33AB"/>
    <w:rsid w:val="1CE07463"/>
    <w:rsid w:val="1CF66186"/>
    <w:rsid w:val="1CFC55A8"/>
    <w:rsid w:val="1D0B3957"/>
    <w:rsid w:val="1D483529"/>
    <w:rsid w:val="1D6B5A4B"/>
    <w:rsid w:val="1DED2823"/>
    <w:rsid w:val="1E4D1049"/>
    <w:rsid w:val="1E531284"/>
    <w:rsid w:val="1E566E09"/>
    <w:rsid w:val="1E9C7B66"/>
    <w:rsid w:val="1EB26275"/>
    <w:rsid w:val="1F0579E8"/>
    <w:rsid w:val="1F15637C"/>
    <w:rsid w:val="1F171E71"/>
    <w:rsid w:val="1F4C38C6"/>
    <w:rsid w:val="1F4C6DB8"/>
    <w:rsid w:val="1F4E2F5A"/>
    <w:rsid w:val="1F6F2A7D"/>
    <w:rsid w:val="1F78794E"/>
    <w:rsid w:val="1F81522B"/>
    <w:rsid w:val="1FA10964"/>
    <w:rsid w:val="1FA73941"/>
    <w:rsid w:val="1FDD37EB"/>
    <w:rsid w:val="1FF31E3E"/>
    <w:rsid w:val="1FF535C4"/>
    <w:rsid w:val="20471150"/>
    <w:rsid w:val="205F7104"/>
    <w:rsid w:val="206A0036"/>
    <w:rsid w:val="20A54573"/>
    <w:rsid w:val="20AF7873"/>
    <w:rsid w:val="20E167D8"/>
    <w:rsid w:val="210901E6"/>
    <w:rsid w:val="21121F2F"/>
    <w:rsid w:val="212B15FC"/>
    <w:rsid w:val="2138748B"/>
    <w:rsid w:val="213E7D71"/>
    <w:rsid w:val="21602B39"/>
    <w:rsid w:val="21661111"/>
    <w:rsid w:val="22303AE2"/>
    <w:rsid w:val="227C7E94"/>
    <w:rsid w:val="22871644"/>
    <w:rsid w:val="22EF4A41"/>
    <w:rsid w:val="23126BD2"/>
    <w:rsid w:val="231B2027"/>
    <w:rsid w:val="2363790F"/>
    <w:rsid w:val="23C82917"/>
    <w:rsid w:val="23EE76E4"/>
    <w:rsid w:val="2418006E"/>
    <w:rsid w:val="245C0589"/>
    <w:rsid w:val="24A72DB3"/>
    <w:rsid w:val="24D47DAE"/>
    <w:rsid w:val="24E42F7D"/>
    <w:rsid w:val="25215253"/>
    <w:rsid w:val="25531BD7"/>
    <w:rsid w:val="25633099"/>
    <w:rsid w:val="259622D9"/>
    <w:rsid w:val="25A93CC2"/>
    <w:rsid w:val="25B23356"/>
    <w:rsid w:val="25BA04C6"/>
    <w:rsid w:val="25C6528F"/>
    <w:rsid w:val="25D067BE"/>
    <w:rsid w:val="25D93F7C"/>
    <w:rsid w:val="25DA1724"/>
    <w:rsid w:val="25E3242B"/>
    <w:rsid w:val="261B0A12"/>
    <w:rsid w:val="2656076E"/>
    <w:rsid w:val="269E134D"/>
    <w:rsid w:val="26A304D7"/>
    <w:rsid w:val="26E55D40"/>
    <w:rsid w:val="27095648"/>
    <w:rsid w:val="27173F6D"/>
    <w:rsid w:val="272E0923"/>
    <w:rsid w:val="2766346E"/>
    <w:rsid w:val="277E6F47"/>
    <w:rsid w:val="27B6315B"/>
    <w:rsid w:val="27CC27C7"/>
    <w:rsid w:val="28107EF2"/>
    <w:rsid w:val="285E4295"/>
    <w:rsid w:val="289403AE"/>
    <w:rsid w:val="289C4867"/>
    <w:rsid w:val="2911415F"/>
    <w:rsid w:val="292C68E7"/>
    <w:rsid w:val="294D0557"/>
    <w:rsid w:val="29534671"/>
    <w:rsid w:val="29657279"/>
    <w:rsid w:val="29733EBD"/>
    <w:rsid w:val="29DC7F30"/>
    <w:rsid w:val="29E809D2"/>
    <w:rsid w:val="2A1B5BBF"/>
    <w:rsid w:val="2A4E4297"/>
    <w:rsid w:val="2A613E61"/>
    <w:rsid w:val="2A804A2B"/>
    <w:rsid w:val="2ADA2E9B"/>
    <w:rsid w:val="2AE33580"/>
    <w:rsid w:val="2AF83764"/>
    <w:rsid w:val="2B3B2B90"/>
    <w:rsid w:val="2B3B4360"/>
    <w:rsid w:val="2B401311"/>
    <w:rsid w:val="2B473DBF"/>
    <w:rsid w:val="2B4D5C18"/>
    <w:rsid w:val="2B6614BC"/>
    <w:rsid w:val="2B6C756B"/>
    <w:rsid w:val="2B870EFC"/>
    <w:rsid w:val="2B8A14F3"/>
    <w:rsid w:val="2BCA6741"/>
    <w:rsid w:val="2C077995"/>
    <w:rsid w:val="2C2801FE"/>
    <w:rsid w:val="2C3478C5"/>
    <w:rsid w:val="2C394D6F"/>
    <w:rsid w:val="2C4E74A1"/>
    <w:rsid w:val="2C76534F"/>
    <w:rsid w:val="2CA54778"/>
    <w:rsid w:val="2CE43BB2"/>
    <w:rsid w:val="2D2D06B7"/>
    <w:rsid w:val="2D3617F0"/>
    <w:rsid w:val="2D493389"/>
    <w:rsid w:val="2D51400D"/>
    <w:rsid w:val="2D9A45AB"/>
    <w:rsid w:val="2D9A7369"/>
    <w:rsid w:val="2D9C67F8"/>
    <w:rsid w:val="2DAF6FC3"/>
    <w:rsid w:val="2DD62649"/>
    <w:rsid w:val="2E423608"/>
    <w:rsid w:val="2E6E39E1"/>
    <w:rsid w:val="2E983E2B"/>
    <w:rsid w:val="2EF405FB"/>
    <w:rsid w:val="2EF45C9B"/>
    <w:rsid w:val="2F34398A"/>
    <w:rsid w:val="2F515E64"/>
    <w:rsid w:val="2F5876BD"/>
    <w:rsid w:val="2FB72ACC"/>
    <w:rsid w:val="2FF64A4B"/>
    <w:rsid w:val="300E3E6C"/>
    <w:rsid w:val="301118D9"/>
    <w:rsid w:val="303546CE"/>
    <w:rsid w:val="3050238A"/>
    <w:rsid w:val="305E7905"/>
    <w:rsid w:val="306538B2"/>
    <w:rsid w:val="30677DFB"/>
    <w:rsid w:val="30A710AD"/>
    <w:rsid w:val="30A95169"/>
    <w:rsid w:val="30BC7DA3"/>
    <w:rsid w:val="30C779D2"/>
    <w:rsid w:val="30F933D7"/>
    <w:rsid w:val="3153241D"/>
    <w:rsid w:val="315A019E"/>
    <w:rsid w:val="315C49CF"/>
    <w:rsid w:val="31621847"/>
    <w:rsid w:val="317A14C4"/>
    <w:rsid w:val="31970DB6"/>
    <w:rsid w:val="31B40D66"/>
    <w:rsid w:val="31BF7771"/>
    <w:rsid w:val="31C46E01"/>
    <w:rsid w:val="31D743D4"/>
    <w:rsid w:val="3247581E"/>
    <w:rsid w:val="32481ECC"/>
    <w:rsid w:val="33445EB0"/>
    <w:rsid w:val="33625701"/>
    <w:rsid w:val="338A7730"/>
    <w:rsid w:val="3392223A"/>
    <w:rsid w:val="339A6735"/>
    <w:rsid w:val="33DA3717"/>
    <w:rsid w:val="33FF3DA8"/>
    <w:rsid w:val="341B50F6"/>
    <w:rsid w:val="343308BA"/>
    <w:rsid w:val="34425A0E"/>
    <w:rsid w:val="344F465F"/>
    <w:rsid w:val="34866E52"/>
    <w:rsid w:val="34C76CB9"/>
    <w:rsid w:val="34CF0FAD"/>
    <w:rsid w:val="3515197C"/>
    <w:rsid w:val="35255023"/>
    <w:rsid w:val="355E5F5B"/>
    <w:rsid w:val="35665BD9"/>
    <w:rsid w:val="36185902"/>
    <w:rsid w:val="362043BF"/>
    <w:rsid w:val="365E72CD"/>
    <w:rsid w:val="365F7BE1"/>
    <w:rsid w:val="36681030"/>
    <w:rsid w:val="36753823"/>
    <w:rsid w:val="36877FE1"/>
    <w:rsid w:val="369F3897"/>
    <w:rsid w:val="373830F8"/>
    <w:rsid w:val="37B52EB0"/>
    <w:rsid w:val="37B554C0"/>
    <w:rsid w:val="37ED386C"/>
    <w:rsid w:val="37FB5ECC"/>
    <w:rsid w:val="380C463D"/>
    <w:rsid w:val="381A45AA"/>
    <w:rsid w:val="382C1F19"/>
    <w:rsid w:val="38AC1124"/>
    <w:rsid w:val="38B14CC1"/>
    <w:rsid w:val="38BD18BA"/>
    <w:rsid w:val="38C403E3"/>
    <w:rsid w:val="38D70332"/>
    <w:rsid w:val="39417F18"/>
    <w:rsid w:val="394C46CD"/>
    <w:rsid w:val="39780780"/>
    <w:rsid w:val="39AA35E8"/>
    <w:rsid w:val="39CB71BB"/>
    <w:rsid w:val="39EA35AA"/>
    <w:rsid w:val="3A5D3987"/>
    <w:rsid w:val="3A7B76A3"/>
    <w:rsid w:val="3A823BF0"/>
    <w:rsid w:val="3A8B7480"/>
    <w:rsid w:val="3AEE67DD"/>
    <w:rsid w:val="3B467B48"/>
    <w:rsid w:val="3BA367F1"/>
    <w:rsid w:val="3C2F4EFB"/>
    <w:rsid w:val="3C365457"/>
    <w:rsid w:val="3C3C44CB"/>
    <w:rsid w:val="3C4A7BC8"/>
    <w:rsid w:val="3C594DD8"/>
    <w:rsid w:val="3C9F3C91"/>
    <w:rsid w:val="3CDE4403"/>
    <w:rsid w:val="3CF32684"/>
    <w:rsid w:val="3D116D9C"/>
    <w:rsid w:val="3D296855"/>
    <w:rsid w:val="3D3D40C9"/>
    <w:rsid w:val="3D452893"/>
    <w:rsid w:val="3D552D71"/>
    <w:rsid w:val="3D59483B"/>
    <w:rsid w:val="3D6A6258"/>
    <w:rsid w:val="3D6C2B73"/>
    <w:rsid w:val="3D7B6F54"/>
    <w:rsid w:val="3D8206DB"/>
    <w:rsid w:val="3D9507E3"/>
    <w:rsid w:val="3E031F1D"/>
    <w:rsid w:val="3E2D2AF2"/>
    <w:rsid w:val="3E2E279D"/>
    <w:rsid w:val="3E646F73"/>
    <w:rsid w:val="3E814F5A"/>
    <w:rsid w:val="3E83075B"/>
    <w:rsid w:val="3EA307DF"/>
    <w:rsid w:val="3EA37AC9"/>
    <w:rsid w:val="3ECB26ED"/>
    <w:rsid w:val="3EDF7687"/>
    <w:rsid w:val="3F244D7B"/>
    <w:rsid w:val="3F30746C"/>
    <w:rsid w:val="3F516C7D"/>
    <w:rsid w:val="3F606A63"/>
    <w:rsid w:val="3F8570E6"/>
    <w:rsid w:val="3F9335C1"/>
    <w:rsid w:val="3F936BC3"/>
    <w:rsid w:val="3F97434F"/>
    <w:rsid w:val="3F9779EA"/>
    <w:rsid w:val="3FA93075"/>
    <w:rsid w:val="3FB4655D"/>
    <w:rsid w:val="40331707"/>
    <w:rsid w:val="40333E8F"/>
    <w:rsid w:val="403B7944"/>
    <w:rsid w:val="408624CE"/>
    <w:rsid w:val="40881E65"/>
    <w:rsid w:val="40CB6BCD"/>
    <w:rsid w:val="412951FB"/>
    <w:rsid w:val="41316774"/>
    <w:rsid w:val="4132505E"/>
    <w:rsid w:val="414B7227"/>
    <w:rsid w:val="41553447"/>
    <w:rsid w:val="41611B64"/>
    <w:rsid w:val="416D7AFD"/>
    <w:rsid w:val="41875988"/>
    <w:rsid w:val="41DC332D"/>
    <w:rsid w:val="41FA17D5"/>
    <w:rsid w:val="422B1522"/>
    <w:rsid w:val="42361F31"/>
    <w:rsid w:val="42935CDE"/>
    <w:rsid w:val="42CC43AF"/>
    <w:rsid w:val="42D54265"/>
    <w:rsid w:val="42DF1DD7"/>
    <w:rsid w:val="434E40E2"/>
    <w:rsid w:val="436B0F9F"/>
    <w:rsid w:val="438A3668"/>
    <w:rsid w:val="43A13A84"/>
    <w:rsid w:val="43AD1766"/>
    <w:rsid w:val="43E22422"/>
    <w:rsid w:val="43E369FA"/>
    <w:rsid w:val="445579A7"/>
    <w:rsid w:val="445B5E8E"/>
    <w:rsid w:val="44676B7B"/>
    <w:rsid w:val="44796C66"/>
    <w:rsid w:val="44825F92"/>
    <w:rsid w:val="448C07C4"/>
    <w:rsid w:val="44AC6431"/>
    <w:rsid w:val="44C6422F"/>
    <w:rsid w:val="4502023F"/>
    <w:rsid w:val="450C52D0"/>
    <w:rsid w:val="450E5318"/>
    <w:rsid w:val="451B17CE"/>
    <w:rsid w:val="452F2F4E"/>
    <w:rsid w:val="453823ED"/>
    <w:rsid w:val="45421FE2"/>
    <w:rsid w:val="45480700"/>
    <w:rsid w:val="457B0D80"/>
    <w:rsid w:val="459B5331"/>
    <w:rsid w:val="45A93285"/>
    <w:rsid w:val="45B45AEC"/>
    <w:rsid w:val="45B71C0A"/>
    <w:rsid w:val="46023B3C"/>
    <w:rsid w:val="4607616F"/>
    <w:rsid w:val="461B7789"/>
    <w:rsid w:val="463C0B5D"/>
    <w:rsid w:val="463D3685"/>
    <w:rsid w:val="464255E6"/>
    <w:rsid w:val="4646124C"/>
    <w:rsid w:val="464A0A35"/>
    <w:rsid w:val="467B34D4"/>
    <w:rsid w:val="46861451"/>
    <w:rsid w:val="46A01147"/>
    <w:rsid w:val="46DB252C"/>
    <w:rsid w:val="46E971CB"/>
    <w:rsid w:val="46EE1987"/>
    <w:rsid w:val="46F12B9A"/>
    <w:rsid w:val="46F55265"/>
    <w:rsid w:val="46F56790"/>
    <w:rsid w:val="4734568A"/>
    <w:rsid w:val="474467E7"/>
    <w:rsid w:val="47A419C1"/>
    <w:rsid w:val="47B25C0D"/>
    <w:rsid w:val="48012F4A"/>
    <w:rsid w:val="48320A7E"/>
    <w:rsid w:val="48346085"/>
    <w:rsid w:val="484006FC"/>
    <w:rsid w:val="48715DE6"/>
    <w:rsid w:val="48DF2A70"/>
    <w:rsid w:val="48E24BD8"/>
    <w:rsid w:val="491B7D5B"/>
    <w:rsid w:val="493F6BA6"/>
    <w:rsid w:val="49627306"/>
    <w:rsid w:val="49AA4570"/>
    <w:rsid w:val="49EC69D7"/>
    <w:rsid w:val="4A1672C9"/>
    <w:rsid w:val="4A4B4CF7"/>
    <w:rsid w:val="4A676735"/>
    <w:rsid w:val="4A9C08D1"/>
    <w:rsid w:val="4ABD2585"/>
    <w:rsid w:val="4B054FD5"/>
    <w:rsid w:val="4B0C7A59"/>
    <w:rsid w:val="4B751C1D"/>
    <w:rsid w:val="4B7650B7"/>
    <w:rsid w:val="4BB56523"/>
    <w:rsid w:val="4BB66865"/>
    <w:rsid w:val="4BC8541D"/>
    <w:rsid w:val="4C065067"/>
    <w:rsid w:val="4C255343"/>
    <w:rsid w:val="4C455C7C"/>
    <w:rsid w:val="4C7C3CE5"/>
    <w:rsid w:val="4CC41EA5"/>
    <w:rsid w:val="4CF431C6"/>
    <w:rsid w:val="4D0236DA"/>
    <w:rsid w:val="4D0B6245"/>
    <w:rsid w:val="4D3E5F5A"/>
    <w:rsid w:val="4DDD4197"/>
    <w:rsid w:val="4DEC1A5C"/>
    <w:rsid w:val="4E2F4C0D"/>
    <w:rsid w:val="4E335CC0"/>
    <w:rsid w:val="4E824183"/>
    <w:rsid w:val="4E9D0104"/>
    <w:rsid w:val="4EBB0E47"/>
    <w:rsid w:val="4EE423D2"/>
    <w:rsid w:val="4EF100F0"/>
    <w:rsid w:val="4F1153DC"/>
    <w:rsid w:val="4F127867"/>
    <w:rsid w:val="4F256613"/>
    <w:rsid w:val="4F316C69"/>
    <w:rsid w:val="4F946BAB"/>
    <w:rsid w:val="4F991ADA"/>
    <w:rsid w:val="4F9F2DD4"/>
    <w:rsid w:val="4FAD37FB"/>
    <w:rsid w:val="4FC075CF"/>
    <w:rsid w:val="4FCD6DFC"/>
    <w:rsid w:val="4FE3724C"/>
    <w:rsid w:val="4FE842B7"/>
    <w:rsid w:val="500079DA"/>
    <w:rsid w:val="503131C7"/>
    <w:rsid w:val="50B30770"/>
    <w:rsid w:val="50C116EC"/>
    <w:rsid w:val="50D922B0"/>
    <w:rsid w:val="51510E53"/>
    <w:rsid w:val="518C62CF"/>
    <w:rsid w:val="519B4C66"/>
    <w:rsid w:val="51AF290C"/>
    <w:rsid w:val="51EF58F2"/>
    <w:rsid w:val="5231578A"/>
    <w:rsid w:val="52423D1E"/>
    <w:rsid w:val="525D5418"/>
    <w:rsid w:val="52704773"/>
    <w:rsid w:val="528176CE"/>
    <w:rsid w:val="528A78B3"/>
    <w:rsid w:val="528D33B1"/>
    <w:rsid w:val="529260DA"/>
    <w:rsid w:val="52A7555B"/>
    <w:rsid w:val="52AE14F6"/>
    <w:rsid w:val="52C545FD"/>
    <w:rsid w:val="52D94875"/>
    <w:rsid w:val="53053152"/>
    <w:rsid w:val="53182FF5"/>
    <w:rsid w:val="532963A3"/>
    <w:rsid w:val="53425B3F"/>
    <w:rsid w:val="539C0BA7"/>
    <w:rsid w:val="53E01EBF"/>
    <w:rsid w:val="53E85668"/>
    <w:rsid w:val="53E864F7"/>
    <w:rsid w:val="53F42261"/>
    <w:rsid w:val="54243D63"/>
    <w:rsid w:val="543E063E"/>
    <w:rsid w:val="54666C03"/>
    <w:rsid w:val="5478508F"/>
    <w:rsid w:val="54811A21"/>
    <w:rsid w:val="548320D4"/>
    <w:rsid w:val="54963E98"/>
    <w:rsid w:val="55204F41"/>
    <w:rsid w:val="55364CD0"/>
    <w:rsid w:val="55A256E2"/>
    <w:rsid w:val="55AC1CD9"/>
    <w:rsid w:val="55B30060"/>
    <w:rsid w:val="55DC64B8"/>
    <w:rsid w:val="55EA1914"/>
    <w:rsid w:val="55F53145"/>
    <w:rsid w:val="55FC43CF"/>
    <w:rsid w:val="561D1997"/>
    <w:rsid w:val="56967B34"/>
    <w:rsid w:val="56D3519B"/>
    <w:rsid w:val="57080D8F"/>
    <w:rsid w:val="572B163A"/>
    <w:rsid w:val="574A16FD"/>
    <w:rsid w:val="57551060"/>
    <w:rsid w:val="578B3962"/>
    <w:rsid w:val="57A603C6"/>
    <w:rsid w:val="57C540DC"/>
    <w:rsid w:val="57CA5337"/>
    <w:rsid w:val="57F32478"/>
    <w:rsid w:val="57F47FB4"/>
    <w:rsid w:val="580D4417"/>
    <w:rsid w:val="58516389"/>
    <w:rsid w:val="58705DF6"/>
    <w:rsid w:val="588A6568"/>
    <w:rsid w:val="58B84A7F"/>
    <w:rsid w:val="58D66236"/>
    <w:rsid w:val="58F5315A"/>
    <w:rsid w:val="58F74E97"/>
    <w:rsid w:val="590240DD"/>
    <w:rsid w:val="592A297E"/>
    <w:rsid w:val="592E216E"/>
    <w:rsid w:val="595B0854"/>
    <w:rsid w:val="597A1005"/>
    <w:rsid w:val="5993307F"/>
    <w:rsid w:val="59AF519F"/>
    <w:rsid w:val="59CB02F8"/>
    <w:rsid w:val="59CD08FB"/>
    <w:rsid w:val="59D61B28"/>
    <w:rsid w:val="59F42D77"/>
    <w:rsid w:val="5A2828C6"/>
    <w:rsid w:val="5A352937"/>
    <w:rsid w:val="5A44381F"/>
    <w:rsid w:val="5A6E2CBB"/>
    <w:rsid w:val="5A82368B"/>
    <w:rsid w:val="5AC670B0"/>
    <w:rsid w:val="5AE40D48"/>
    <w:rsid w:val="5B031891"/>
    <w:rsid w:val="5B1D262C"/>
    <w:rsid w:val="5B241A0D"/>
    <w:rsid w:val="5B410303"/>
    <w:rsid w:val="5B7B0C32"/>
    <w:rsid w:val="5BC33D54"/>
    <w:rsid w:val="5BE63210"/>
    <w:rsid w:val="5BEF1181"/>
    <w:rsid w:val="5C005D0B"/>
    <w:rsid w:val="5C197C2F"/>
    <w:rsid w:val="5C263E07"/>
    <w:rsid w:val="5C276F3D"/>
    <w:rsid w:val="5CA944CC"/>
    <w:rsid w:val="5CCC7AAB"/>
    <w:rsid w:val="5CEA11C5"/>
    <w:rsid w:val="5D194224"/>
    <w:rsid w:val="5D1E52A5"/>
    <w:rsid w:val="5D4834C2"/>
    <w:rsid w:val="5D762341"/>
    <w:rsid w:val="5DA74FA6"/>
    <w:rsid w:val="5DCB04A1"/>
    <w:rsid w:val="5DCD4203"/>
    <w:rsid w:val="5DF63799"/>
    <w:rsid w:val="5DFF577E"/>
    <w:rsid w:val="5E7F5513"/>
    <w:rsid w:val="5EB669D9"/>
    <w:rsid w:val="5ECF1260"/>
    <w:rsid w:val="5EEE64CC"/>
    <w:rsid w:val="5EF35ACB"/>
    <w:rsid w:val="5F2816A1"/>
    <w:rsid w:val="5F332735"/>
    <w:rsid w:val="5F51651E"/>
    <w:rsid w:val="5F8F2A36"/>
    <w:rsid w:val="5FB11D1D"/>
    <w:rsid w:val="5FB4069D"/>
    <w:rsid w:val="5FEF4AF1"/>
    <w:rsid w:val="5FFC183C"/>
    <w:rsid w:val="600355F0"/>
    <w:rsid w:val="605E2F88"/>
    <w:rsid w:val="60664CDC"/>
    <w:rsid w:val="60F20CC1"/>
    <w:rsid w:val="610A2B60"/>
    <w:rsid w:val="612F67C5"/>
    <w:rsid w:val="613013E0"/>
    <w:rsid w:val="61552D92"/>
    <w:rsid w:val="61633FD4"/>
    <w:rsid w:val="618831BE"/>
    <w:rsid w:val="61904B7E"/>
    <w:rsid w:val="619965CB"/>
    <w:rsid w:val="619B33EB"/>
    <w:rsid w:val="61B36CE4"/>
    <w:rsid w:val="61F43325"/>
    <w:rsid w:val="620C7883"/>
    <w:rsid w:val="621731FE"/>
    <w:rsid w:val="62312BF0"/>
    <w:rsid w:val="626F6B61"/>
    <w:rsid w:val="628E59E8"/>
    <w:rsid w:val="62991AC8"/>
    <w:rsid w:val="62D45F1F"/>
    <w:rsid w:val="630C038D"/>
    <w:rsid w:val="63731102"/>
    <w:rsid w:val="637C0507"/>
    <w:rsid w:val="63B5650F"/>
    <w:rsid w:val="63D35185"/>
    <w:rsid w:val="63F97D07"/>
    <w:rsid w:val="64460BEE"/>
    <w:rsid w:val="6469179A"/>
    <w:rsid w:val="648653A3"/>
    <w:rsid w:val="649F3636"/>
    <w:rsid w:val="64B07B79"/>
    <w:rsid w:val="64D2655E"/>
    <w:rsid w:val="64DC0DB0"/>
    <w:rsid w:val="64F1649E"/>
    <w:rsid w:val="64FD1941"/>
    <w:rsid w:val="65056582"/>
    <w:rsid w:val="654D1CBE"/>
    <w:rsid w:val="6572119B"/>
    <w:rsid w:val="65A72361"/>
    <w:rsid w:val="65ED4398"/>
    <w:rsid w:val="65FE1B9D"/>
    <w:rsid w:val="661E1B0D"/>
    <w:rsid w:val="663050DE"/>
    <w:rsid w:val="66360444"/>
    <w:rsid w:val="663C3215"/>
    <w:rsid w:val="6655082D"/>
    <w:rsid w:val="666340F3"/>
    <w:rsid w:val="66753ABD"/>
    <w:rsid w:val="667A3B90"/>
    <w:rsid w:val="669030F5"/>
    <w:rsid w:val="66AD3CBE"/>
    <w:rsid w:val="66CF1F2D"/>
    <w:rsid w:val="66E549FB"/>
    <w:rsid w:val="66EA41A0"/>
    <w:rsid w:val="67014DDD"/>
    <w:rsid w:val="67235A34"/>
    <w:rsid w:val="67383C67"/>
    <w:rsid w:val="6795184E"/>
    <w:rsid w:val="67982EB6"/>
    <w:rsid w:val="67992A77"/>
    <w:rsid w:val="67AF244A"/>
    <w:rsid w:val="67B12B05"/>
    <w:rsid w:val="67B4358F"/>
    <w:rsid w:val="67C14FDC"/>
    <w:rsid w:val="67C724C1"/>
    <w:rsid w:val="67D17286"/>
    <w:rsid w:val="68392946"/>
    <w:rsid w:val="687F1B85"/>
    <w:rsid w:val="68B41BFA"/>
    <w:rsid w:val="68ED61E8"/>
    <w:rsid w:val="694E5765"/>
    <w:rsid w:val="695157D2"/>
    <w:rsid w:val="697D71B3"/>
    <w:rsid w:val="697E40EB"/>
    <w:rsid w:val="6A1829EF"/>
    <w:rsid w:val="6A53012A"/>
    <w:rsid w:val="6A654A3D"/>
    <w:rsid w:val="6A67383E"/>
    <w:rsid w:val="6A6750DF"/>
    <w:rsid w:val="6A6A0694"/>
    <w:rsid w:val="6A731B36"/>
    <w:rsid w:val="6AE21962"/>
    <w:rsid w:val="6AEF7E9E"/>
    <w:rsid w:val="6B0D41D6"/>
    <w:rsid w:val="6B127ADB"/>
    <w:rsid w:val="6B353D44"/>
    <w:rsid w:val="6B6D2F2B"/>
    <w:rsid w:val="6B917D66"/>
    <w:rsid w:val="6BA659F6"/>
    <w:rsid w:val="6BB44E95"/>
    <w:rsid w:val="6C155E31"/>
    <w:rsid w:val="6C5B1EBA"/>
    <w:rsid w:val="6C5D31AD"/>
    <w:rsid w:val="6C7924AC"/>
    <w:rsid w:val="6C9B1B57"/>
    <w:rsid w:val="6CDC2EA5"/>
    <w:rsid w:val="6CFC3FDE"/>
    <w:rsid w:val="6CFE7EFA"/>
    <w:rsid w:val="6D4D41A6"/>
    <w:rsid w:val="6D6349B8"/>
    <w:rsid w:val="6D676E02"/>
    <w:rsid w:val="6D9230FF"/>
    <w:rsid w:val="6DB501D6"/>
    <w:rsid w:val="6DE86960"/>
    <w:rsid w:val="6DEC78A7"/>
    <w:rsid w:val="6DFF1E88"/>
    <w:rsid w:val="6EA86522"/>
    <w:rsid w:val="6EB67EB8"/>
    <w:rsid w:val="6EBB656F"/>
    <w:rsid w:val="6ED101A7"/>
    <w:rsid w:val="6EDA3CA3"/>
    <w:rsid w:val="6EEA46FD"/>
    <w:rsid w:val="6EFF1A24"/>
    <w:rsid w:val="6F260080"/>
    <w:rsid w:val="6F7F0E56"/>
    <w:rsid w:val="6FF71D61"/>
    <w:rsid w:val="70240796"/>
    <w:rsid w:val="70541593"/>
    <w:rsid w:val="706C578B"/>
    <w:rsid w:val="706F63D1"/>
    <w:rsid w:val="71077F2A"/>
    <w:rsid w:val="716D4F1D"/>
    <w:rsid w:val="717B7A42"/>
    <w:rsid w:val="7186796E"/>
    <w:rsid w:val="71E6616A"/>
    <w:rsid w:val="71FB6C08"/>
    <w:rsid w:val="723659A2"/>
    <w:rsid w:val="72956871"/>
    <w:rsid w:val="72B0730C"/>
    <w:rsid w:val="72D53CE0"/>
    <w:rsid w:val="72E418F9"/>
    <w:rsid w:val="73071E08"/>
    <w:rsid w:val="732D1C95"/>
    <w:rsid w:val="73307CA0"/>
    <w:rsid w:val="7341465B"/>
    <w:rsid w:val="7351277A"/>
    <w:rsid w:val="73691DD0"/>
    <w:rsid w:val="737B60BA"/>
    <w:rsid w:val="73955D1C"/>
    <w:rsid w:val="73FA6DD3"/>
    <w:rsid w:val="7400113A"/>
    <w:rsid w:val="742F373F"/>
    <w:rsid w:val="74357DF9"/>
    <w:rsid w:val="74472AE3"/>
    <w:rsid w:val="74480BB7"/>
    <w:rsid w:val="74C2199E"/>
    <w:rsid w:val="756854E2"/>
    <w:rsid w:val="7573159D"/>
    <w:rsid w:val="75CA5FF3"/>
    <w:rsid w:val="76214112"/>
    <w:rsid w:val="762E7C5F"/>
    <w:rsid w:val="763C1A1D"/>
    <w:rsid w:val="76452350"/>
    <w:rsid w:val="76B05D15"/>
    <w:rsid w:val="77197594"/>
    <w:rsid w:val="771F7F0F"/>
    <w:rsid w:val="77295DF7"/>
    <w:rsid w:val="77407F2F"/>
    <w:rsid w:val="778801DC"/>
    <w:rsid w:val="778876CE"/>
    <w:rsid w:val="77B20641"/>
    <w:rsid w:val="77CB438E"/>
    <w:rsid w:val="77CF1803"/>
    <w:rsid w:val="78184D22"/>
    <w:rsid w:val="785D1023"/>
    <w:rsid w:val="78693324"/>
    <w:rsid w:val="786C1EEF"/>
    <w:rsid w:val="786F2101"/>
    <w:rsid w:val="78A65014"/>
    <w:rsid w:val="78AC36C5"/>
    <w:rsid w:val="78D9133E"/>
    <w:rsid w:val="78DB77C5"/>
    <w:rsid w:val="78FD715C"/>
    <w:rsid w:val="794A47D2"/>
    <w:rsid w:val="79647D77"/>
    <w:rsid w:val="7966611A"/>
    <w:rsid w:val="79822783"/>
    <w:rsid w:val="7982320E"/>
    <w:rsid w:val="798523FE"/>
    <w:rsid w:val="799A6A8A"/>
    <w:rsid w:val="79D017AC"/>
    <w:rsid w:val="79D24137"/>
    <w:rsid w:val="7A0C389F"/>
    <w:rsid w:val="7A25072D"/>
    <w:rsid w:val="7A661285"/>
    <w:rsid w:val="7ABA0E4F"/>
    <w:rsid w:val="7AF74DBE"/>
    <w:rsid w:val="7B026846"/>
    <w:rsid w:val="7B0B28A2"/>
    <w:rsid w:val="7B352FE4"/>
    <w:rsid w:val="7B3D3206"/>
    <w:rsid w:val="7B4A02D1"/>
    <w:rsid w:val="7B614D66"/>
    <w:rsid w:val="7B7242C5"/>
    <w:rsid w:val="7B9F4ED7"/>
    <w:rsid w:val="7BB73DB9"/>
    <w:rsid w:val="7BC77AB5"/>
    <w:rsid w:val="7BC80FD3"/>
    <w:rsid w:val="7C002A18"/>
    <w:rsid w:val="7C2C0F7C"/>
    <w:rsid w:val="7C434809"/>
    <w:rsid w:val="7CA76ED6"/>
    <w:rsid w:val="7CF54953"/>
    <w:rsid w:val="7D3619C4"/>
    <w:rsid w:val="7D5C1F92"/>
    <w:rsid w:val="7D927DBC"/>
    <w:rsid w:val="7D9812AD"/>
    <w:rsid w:val="7DBE5AE7"/>
    <w:rsid w:val="7DBF4666"/>
    <w:rsid w:val="7DC2675B"/>
    <w:rsid w:val="7DC42E98"/>
    <w:rsid w:val="7DC8322E"/>
    <w:rsid w:val="7DDF6504"/>
    <w:rsid w:val="7DE721D6"/>
    <w:rsid w:val="7DE902A2"/>
    <w:rsid w:val="7DF23779"/>
    <w:rsid w:val="7E563C04"/>
    <w:rsid w:val="7E5F158C"/>
    <w:rsid w:val="7E62106B"/>
    <w:rsid w:val="7E7F6791"/>
    <w:rsid w:val="7E8B62F8"/>
    <w:rsid w:val="7E8C69D8"/>
    <w:rsid w:val="7E8D2D71"/>
    <w:rsid w:val="7E9B41A6"/>
    <w:rsid w:val="7EF619EE"/>
    <w:rsid w:val="7EF743D8"/>
    <w:rsid w:val="7F555A1C"/>
    <w:rsid w:val="7F6C6320"/>
    <w:rsid w:val="7F9044A9"/>
    <w:rsid w:val="7FB16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pt" color="#FF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qFormat="1"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nhideWhenUsed="0" w:uiPriority="0" w:semiHidden="0" w:name="Body Text Indent 2"/>
    <w:lsdException w:qFormat="1"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560" w:firstLineChars="200"/>
      <w:jc w:val="both"/>
    </w:pPr>
    <w:rPr>
      <w:rFonts w:ascii="Times New Roman" w:hAnsi="Times New Roman" w:eastAsia="宋体" w:cs="Times New Roman"/>
      <w:kern w:val="2"/>
      <w:sz w:val="24"/>
      <w:szCs w:val="21"/>
      <w:lang w:val="en-US" w:eastAsia="zh-CN" w:bidi="ar-SA"/>
    </w:rPr>
  </w:style>
  <w:style w:type="paragraph" w:styleId="2">
    <w:name w:val="heading 1"/>
    <w:basedOn w:val="1"/>
    <w:next w:val="1"/>
    <w:qFormat/>
    <w:uiPriority w:val="0"/>
    <w:pPr>
      <w:keepNext/>
      <w:keepLines/>
      <w:spacing w:before="120" w:after="120" w:line="440" w:lineRule="exact"/>
      <w:ind w:firstLine="0" w:firstLineChars="0"/>
      <w:outlineLvl w:val="0"/>
    </w:pPr>
    <w:rPr>
      <w:rFonts w:ascii="黑体" w:eastAsia="黑体"/>
      <w:b/>
      <w:kern w:val="44"/>
      <w:sz w:val="30"/>
      <w:szCs w:val="30"/>
    </w:rPr>
  </w:style>
  <w:style w:type="paragraph" w:styleId="3">
    <w:name w:val="heading 2"/>
    <w:basedOn w:val="1"/>
    <w:next w:val="1"/>
    <w:qFormat/>
    <w:uiPriority w:val="0"/>
    <w:pPr>
      <w:keepNext/>
      <w:keepLines/>
      <w:numPr>
        <w:ilvl w:val="1"/>
        <w:numId w:val="1"/>
      </w:numPr>
      <w:spacing w:before="50" w:beforeLines="50" w:after="50" w:afterLines="50" w:line="360" w:lineRule="auto"/>
      <w:ind w:left="575" w:hanging="575" w:firstLineChars="0"/>
      <w:outlineLvl w:val="1"/>
    </w:pPr>
    <w:rPr>
      <w:rFonts w:ascii="Times New Roman" w:hAnsi="Times New Roman" w:eastAsia="宋体"/>
      <w:b/>
      <w:kern w:val="0"/>
      <w:sz w:val="30"/>
      <w:szCs w:val="20"/>
    </w:rPr>
  </w:style>
  <w:style w:type="paragraph" w:styleId="4">
    <w:name w:val="heading 3"/>
    <w:basedOn w:val="2"/>
    <w:next w:val="1"/>
    <w:autoRedefine/>
    <w:qFormat/>
    <w:uiPriority w:val="0"/>
    <w:pPr>
      <w:keepNext/>
      <w:keepLines/>
      <w:numPr>
        <w:ilvl w:val="2"/>
        <w:numId w:val="1"/>
      </w:numPr>
      <w:spacing w:before="260" w:after="260" w:line="416" w:lineRule="auto"/>
      <w:ind w:left="720" w:hanging="720"/>
      <w:outlineLvl w:val="2"/>
    </w:pPr>
    <w:rPr>
      <w:bCs/>
      <w:sz w:val="32"/>
      <w:szCs w:val="32"/>
    </w:rPr>
  </w:style>
  <w:style w:type="paragraph" w:styleId="5">
    <w:name w:val="heading 4"/>
    <w:basedOn w:val="1"/>
    <w:next w:val="1"/>
    <w:qFormat/>
    <w:uiPriority w:val="0"/>
    <w:pPr>
      <w:keepNext/>
      <w:keepLines/>
      <w:numPr>
        <w:ilvl w:val="3"/>
        <w:numId w:val="1"/>
      </w:numPr>
      <w:spacing w:before="280" w:after="290" w:line="376" w:lineRule="auto"/>
      <w:ind w:left="864" w:hanging="864" w:firstLineChars="0"/>
      <w:outlineLvl w:val="3"/>
    </w:pPr>
    <w:rPr>
      <w:rFonts w:hint="eastAsia" w:ascii="Arial" w:hAnsi="Arial" w:eastAsia="黑体"/>
      <w:b/>
      <w:sz w:val="28"/>
    </w:rPr>
  </w:style>
  <w:style w:type="paragraph" w:styleId="6">
    <w:name w:val="heading 5"/>
    <w:basedOn w:val="1"/>
    <w:next w:val="1"/>
    <w:qFormat/>
    <w:uiPriority w:val="0"/>
    <w:pPr>
      <w:keepNext/>
      <w:keepLines/>
      <w:numPr>
        <w:ilvl w:val="4"/>
        <w:numId w:val="1"/>
      </w:numPr>
      <w:spacing w:before="60" w:after="60"/>
      <w:ind w:left="1008" w:hanging="1008" w:firstLineChars="0"/>
      <w:outlineLvl w:val="4"/>
    </w:pPr>
    <w:rPr>
      <w:rFonts w:eastAsia="楷体_GB2312"/>
      <w:b/>
    </w:rPr>
  </w:style>
  <w:style w:type="paragraph" w:styleId="7">
    <w:name w:val="heading 6"/>
    <w:basedOn w:val="1"/>
    <w:next w:val="1"/>
    <w:qFormat/>
    <w:uiPriority w:val="0"/>
    <w:pPr>
      <w:keepNext/>
      <w:keepLines/>
      <w:numPr>
        <w:ilvl w:val="5"/>
        <w:numId w:val="1"/>
      </w:numPr>
      <w:ind w:left="1151" w:hanging="1151" w:firstLineChars="0"/>
      <w:jc w:val="center"/>
      <w:outlineLvl w:val="5"/>
    </w:pPr>
    <w:rPr>
      <w:b/>
      <w:bCs/>
      <w:sz w:val="21"/>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40">
    <w:name w:val="Default Paragraph Font"/>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11">
    <w:name w:val="E-mail Signature"/>
    <w:basedOn w:val="1"/>
    <w:next w:val="12"/>
    <w:qFormat/>
    <w:uiPriority w:val="0"/>
    <w:pPr>
      <w:spacing w:line="460" w:lineRule="exact"/>
      <w:ind w:firstLine="200"/>
    </w:pPr>
    <w:rPr>
      <w:sz w:val="21"/>
    </w:rPr>
  </w:style>
  <w:style w:type="paragraph" w:customStyle="1" w:styleId="12">
    <w:name w:val="文章"/>
    <w:basedOn w:val="13"/>
    <w:next w:val="14"/>
    <w:qFormat/>
    <w:uiPriority w:val="0"/>
    <w:pPr>
      <w:ind w:firstLine="480"/>
      <w:jc w:val="center"/>
    </w:pPr>
    <w:rPr>
      <w:rFonts w:ascii="Times New Roman" w:hAnsi="Times New Roman" w:eastAsia="宋体" w:cs="Times New Roman"/>
      <w:kern w:val="2"/>
      <w:sz w:val="26"/>
      <w:szCs w:val="22"/>
      <w:lang w:val="en-US" w:eastAsia="zh-CN" w:bidi="ar-SA"/>
    </w:rPr>
  </w:style>
  <w:style w:type="paragraph" w:styleId="13">
    <w:name w:val="Body Text Indent"/>
    <w:basedOn w:val="1"/>
    <w:qFormat/>
    <w:uiPriority w:val="0"/>
    <w:pPr>
      <w:spacing w:after="120"/>
      <w:ind w:left="420" w:leftChars="200"/>
    </w:pPr>
    <w:rPr>
      <w:kern w:val="0"/>
      <w:szCs w:val="20"/>
    </w:rPr>
  </w:style>
  <w:style w:type="paragraph" w:styleId="14">
    <w:name w:val="List"/>
    <w:basedOn w:val="1"/>
    <w:next w:val="1"/>
    <w:unhideWhenUsed/>
    <w:qFormat/>
    <w:uiPriority w:val="99"/>
    <w:pPr>
      <w:ind w:left="420" w:hanging="420"/>
    </w:pPr>
    <w:rPr>
      <w:rFonts w:ascii="Calibri Light" w:hAnsi="Calibri Light" w:cs="Calibri Light"/>
      <w:szCs w:val="20"/>
    </w:rPr>
  </w:style>
  <w:style w:type="paragraph" w:styleId="15">
    <w:name w:val="Normal Indent"/>
    <w:basedOn w:val="1"/>
    <w:next w:val="1"/>
    <w:qFormat/>
    <w:uiPriority w:val="0"/>
    <w:pPr>
      <w:adjustRightInd w:val="0"/>
      <w:ind w:firstLine="420"/>
      <w:jc w:val="left"/>
      <w:textAlignment w:val="baseline"/>
    </w:pPr>
    <w:rPr>
      <w:sz w:val="24"/>
    </w:rPr>
  </w:style>
  <w:style w:type="paragraph" w:styleId="16">
    <w:name w:val="caption"/>
    <w:basedOn w:val="1"/>
    <w:next w:val="1"/>
    <w:qFormat/>
    <w:uiPriority w:val="0"/>
    <w:pPr>
      <w:ind w:firstLine="0" w:firstLineChars="0"/>
      <w:jc w:val="center"/>
    </w:pPr>
    <w:rPr>
      <w:rFonts w:cs="黑体"/>
      <w:b/>
      <w:szCs w:val="20"/>
    </w:rPr>
  </w:style>
  <w:style w:type="paragraph" w:styleId="17">
    <w:name w:val="Document Map"/>
    <w:basedOn w:val="1"/>
    <w:link w:val="71"/>
    <w:qFormat/>
    <w:uiPriority w:val="0"/>
    <w:rPr>
      <w:rFonts w:ascii="宋体"/>
      <w:sz w:val="18"/>
      <w:szCs w:val="18"/>
    </w:rPr>
  </w:style>
  <w:style w:type="paragraph" w:styleId="18">
    <w:name w:val="annotation text"/>
    <w:basedOn w:val="1"/>
    <w:link w:val="78"/>
    <w:qFormat/>
    <w:uiPriority w:val="0"/>
    <w:pPr>
      <w:jc w:val="left"/>
    </w:pPr>
  </w:style>
  <w:style w:type="paragraph" w:styleId="19">
    <w:name w:val="Body Text"/>
    <w:basedOn w:val="1"/>
    <w:unhideWhenUsed/>
    <w:qFormat/>
    <w:uiPriority w:val="99"/>
    <w:pPr>
      <w:spacing w:line="240" w:lineRule="auto"/>
    </w:pPr>
    <w:rPr>
      <w:rFonts w:ascii="宋体" w:hAnsi="宋体"/>
      <w:sz w:val="21"/>
      <w:szCs w:val="20"/>
    </w:rPr>
  </w:style>
  <w:style w:type="paragraph" w:styleId="20">
    <w:name w:val="List Bullet 2"/>
    <w:basedOn w:val="1"/>
    <w:next w:val="21"/>
    <w:qFormat/>
    <w:uiPriority w:val="0"/>
    <w:pPr>
      <w:numPr>
        <w:ilvl w:val="0"/>
        <w:numId w:val="2"/>
      </w:numPr>
    </w:pPr>
  </w:style>
  <w:style w:type="paragraph" w:customStyle="1" w:styleId="21">
    <w:name w:val="xl70"/>
    <w:basedOn w:val="1"/>
    <w:next w:val="22"/>
    <w:qFormat/>
    <w:uiPriority w:val="0"/>
    <w:pPr>
      <w:widowControl/>
      <w:spacing w:before="280" w:after="280" w:line="240" w:lineRule="auto"/>
      <w:ind w:firstLine="0"/>
    </w:pPr>
    <w:rPr>
      <w:rFonts w:ascii="宋体"/>
    </w:rPr>
  </w:style>
  <w:style w:type="paragraph" w:customStyle="1" w:styleId="22">
    <w:name w:val="正文缩进1"/>
    <w:basedOn w:val="15"/>
    <w:next w:val="23"/>
    <w:qFormat/>
    <w:uiPriority w:val="0"/>
    <w:pPr>
      <w:ind w:firstLine="420"/>
    </w:pPr>
    <w:rPr>
      <w:rFonts w:ascii="宋体"/>
      <w:sz w:val="28"/>
    </w:rPr>
  </w:style>
  <w:style w:type="paragraph" w:customStyle="1" w:styleId="23">
    <w:name w:val="td1"/>
    <w:basedOn w:val="1"/>
    <w:next w:val="1"/>
    <w:qFormat/>
    <w:uiPriority w:val="0"/>
    <w:pPr>
      <w:widowControl/>
      <w:spacing w:before="280" w:after="280" w:line="300" w:lineRule="atLeast"/>
      <w:ind w:firstLine="200"/>
    </w:pPr>
    <w:rPr>
      <w:color w:val="000000"/>
      <w:sz w:val="18"/>
    </w:rPr>
  </w:style>
  <w:style w:type="paragraph" w:styleId="24">
    <w:name w:val="Plain Text"/>
    <w:basedOn w:val="1"/>
    <w:next w:val="1"/>
    <w:qFormat/>
    <w:uiPriority w:val="0"/>
    <w:pPr>
      <w:jc w:val="center"/>
    </w:pPr>
    <w:rPr>
      <w:rFonts w:ascii="宋体" w:hAnsi="Courier New" w:cs="Courier New"/>
      <w:bCs/>
      <w:sz w:val="24"/>
      <w:szCs w:val="24"/>
    </w:rPr>
  </w:style>
  <w:style w:type="paragraph" w:styleId="25">
    <w:name w:val="Balloon Text"/>
    <w:basedOn w:val="1"/>
    <w:link w:val="70"/>
    <w:qFormat/>
    <w:uiPriority w:val="0"/>
    <w:pPr>
      <w:spacing w:line="240" w:lineRule="auto"/>
    </w:pPr>
    <w:rPr>
      <w:sz w:val="18"/>
      <w:szCs w:val="18"/>
    </w:rPr>
  </w:style>
  <w:style w:type="paragraph" w:styleId="26">
    <w:name w:val="footer"/>
    <w:basedOn w:val="1"/>
    <w:unhideWhenUsed/>
    <w:qFormat/>
    <w:uiPriority w:val="0"/>
    <w:pPr>
      <w:tabs>
        <w:tab w:val="center" w:pos="4153"/>
        <w:tab w:val="right" w:pos="8306"/>
      </w:tabs>
      <w:snapToGrid w:val="0"/>
      <w:jc w:val="left"/>
    </w:pPr>
    <w:rPr>
      <w:sz w:val="18"/>
      <w:szCs w:val="18"/>
    </w:rPr>
  </w:style>
  <w:style w:type="paragraph" w:styleId="2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unhideWhenUsed/>
    <w:qFormat/>
    <w:uiPriority w:val="39"/>
  </w:style>
  <w:style w:type="paragraph" w:styleId="29">
    <w:name w:val="index heading"/>
    <w:basedOn w:val="1"/>
    <w:next w:val="30"/>
    <w:unhideWhenUsed/>
    <w:qFormat/>
    <w:uiPriority w:val="0"/>
    <w:rPr>
      <w:rFonts w:ascii="等线 Light" w:hAnsi="等线 Light" w:eastAsia="等线 Light" w:cs="Times New Roman"/>
      <w:b/>
      <w:bCs/>
    </w:rPr>
  </w:style>
  <w:style w:type="paragraph" w:styleId="30">
    <w:name w:val="index 1"/>
    <w:basedOn w:val="1"/>
    <w:next w:val="1"/>
    <w:unhideWhenUsed/>
    <w:qFormat/>
    <w:uiPriority w:val="0"/>
    <w:pPr>
      <w:ind w:firstLine="0"/>
    </w:pPr>
  </w:style>
  <w:style w:type="paragraph" w:styleId="31">
    <w:name w:val="Subtitle"/>
    <w:basedOn w:val="1"/>
    <w:next w:val="1"/>
    <w:qFormat/>
    <w:uiPriority w:val="99"/>
    <w:pPr>
      <w:ind w:firstLine="0" w:firstLineChars="0"/>
      <w:jc w:val="center"/>
    </w:pPr>
    <w:rPr>
      <w:b/>
    </w:rPr>
  </w:style>
  <w:style w:type="paragraph" w:styleId="32">
    <w:name w:val="Body Text Indent 3"/>
    <w:basedOn w:val="1"/>
    <w:unhideWhenUsed/>
    <w:qFormat/>
    <w:uiPriority w:val="0"/>
    <w:pPr>
      <w:tabs>
        <w:tab w:val="left" w:pos="480"/>
      </w:tabs>
      <w:spacing w:after="120"/>
      <w:ind w:left="420" w:leftChars="200" w:firstLine="0" w:firstLineChars="0"/>
    </w:pPr>
    <w:rPr>
      <w:rFonts w:ascii="Calibri Light" w:hAnsi="Calibri Light" w:cs="Calibri Light"/>
      <w:sz w:val="16"/>
      <w:szCs w:val="16"/>
    </w:rPr>
  </w:style>
  <w:style w:type="paragraph" w:styleId="33">
    <w:name w:val="toc 2"/>
    <w:basedOn w:val="1"/>
    <w:next w:val="11"/>
    <w:unhideWhenUsed/>
    <w:qFormat/>
    <w:uiPriority w:val="39"/>
    <w:pPr>
      <w:ind w:left="420" w:leftChars="200"/>
    </w:pPr>
  </w:style>
  <w:style w:type="paragraph" w:styleId="34">
    <w:name w:val="Normal (Web)"/>
    <w:basedOn w:val="1"/>
    <w:qFormat/>
    <w:uiPriority w:val="0"/>
    <w:pPr>
      <w:spacing w:beforeAutospacing="1" w:afterAutospacing="1"/>
      <w:jc w:val="left"/>
    </w:pPr>
    <w:rPr>
      <w:kern w:val="0"/>
    </w:rPr>
  </w:style>
  <w:style w:type="paragraph" w:styleId="35">
    <w:name w:val="annotation subject"/>
    <w:basedOn w:val="18"/>
    <w:next w:val="18"/>
    <w:link w:val="77"/>
    <w:qFormat/>
    <w:uiPriority w:val="0"/>
    <w:rPr>
      <w:b/>
      <w:bCs/>
    </w:rPr>
  </w:style>
  <w:style w:type="paragraph" w:styleId="36">
    <w:name w:val="Body Text First Indent"/>
    <w:basedOn w:val="19"/>
    <w:qFormat/>
    <w:uiPriority w:val="0"/>
    <w:pPr>
      <w:ind w:firstLine="420" w:firstLineChars="100"/>
    </w:pPr>
  </w:style>
  <w:style w:type="paragraph" w:styleId="37">
    <w:name w:val="Body Text First Indent 2"/>
    <w:basedOn w:val="13"/>
    <w:qFormat/>
    <w:uiPriority w:val="99"/>
    <w:pPr>
      <w:ind w:firstLine="420"/>
    </w:pPr>
  </w:style>
  <w:style w:type="table" w:styleId="39">
    <w:name w:val="Table Grid"/>
    <w:basedOn w:val="3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22"/>
    <w:rPr>
      <w:rFonts w:ascii="宋体" w:hAnsi="宋体" w:cs="宋体"/>
      <w:b/>
      <w:bCs/>
      <w:sz w:val="24"/>
    </w:rPr>
  </w:style>
  <w:style w:type="character" w:styleId="42">
    <w:name w:val="page number"/>
    <w:basedOn w:val="40"/>
    <w:unhideWhenUsed/>
    <w:qFormat/>
    <w:uiPriority w:val="99"/>
  </w:style>
  <w:style w:type="character" w:styleId="43">
    <w:name w:val="FollowedHyperlink"/>
    <w:basedOn w:val="40"/>
    <w:qFormat/>
    <w:uiPriority w:val="0"/>
    <w:rPr>
      <w:color w:val="005C81"/>
      <w:u w:val="none"/>
    </w:rPr>
  </w:style>
  <w:style w:type="character" w:styleId="44">
    <w:name w:val="Emphasis"/>
    <w:basedOn w:val="40"/>
    <w:qFormat/>
    <w:uiPriority w:val="0"/>
  </w:style>
  <w:style w:type="character" w:styleId="45">
    <w:name w:val="Hyperlink"/>
    <w:basedOn w:val="40"/>
    <w:qFormat/>
    <w:uiPriority w:val="0"/>
    <w:rPr>
      <w:color w:val="0000FF"/>
      <w:u w:val="single"/>
    </w:rPr>
  </w:style>
  <w:style w:type="character" w:styleId="46">
    <w:name w:val="annotation reference"/>
    <w:basedOn w:val="40"/>
    <w:qFormat/>
    <w:uiPriority w:val="0"/>
    <w:rPr>
      <w:sz w:val="21"/>
      <w:szCs w:val="21"/>
    </w:rPr>
  </w:style>
  <w:style w:type="paragraph" w:customStyle="1" w:styleId="47">
    <w:name w:val="纯文本1"/>
    <w:qFormat/>
    <w:uiPriority w:val="0"/>
    <w:pPr>
      <w:widowControl w:val="0"/>
      <w:adjustRightInd w:val="0"/>
      <w:spacing w:line="360" w:lineRule="auto"/>
      <w:ind w:firstLine="560" w:firstLineChars="200"/>
      <w:jc w:val="both"/>
    </w:pPr>
    <w:rPr>
      <w:rFonts w:ascii="宋体" w:hAnsi="Courier New" w:eastAsia="宋体" w:cs="Times New Roman"/>
      <w:kern w:val="2"/>
      <w:sz w:val="24"/>
      <w:lang w:val="en-US" w:eastAsia="zh-CN" w:bidi="ar-SA"/>
    </w:rPr>
  </w:style>
  <w:style w:type="paragraph" w:customStyle="1" w:styleId="48">
    <w:name w:val="报告表正文"/>
    <w:basedOn w:val="15"/>
    <w:qFormat/>
    <w:uiPriority w:val="0"/>
    <w:pPr>
      <w:adjustRightInd w:val="0"/>
      <w:ind w:firstLine="482"/>
      <w:textAlignment w:val="baseline"/>
    </w:pPr>
    <w:rPr>
      <w:kern w:val="0"/>
    </w:rPr>
  </w:style>
  <w:style w:type="paragraph" w:customStyle="1" w:styleId="49">
    <w:name w:val="样式35"/>
    <w:basedOn w:val="50"/>
    <w:qFormat/>
    <w:uiPriority w:val="0"/>
    <w:pPr>
      <w:tabs>
        <w:tab w:val="left" w:pos="0"/>
        <w:tab w:val="left" w:pos="360"/>
        <w:tab w:val="left" w:pos="480"/>
        <w:tab w:val="left" w:pos="540"/>
        <w:tab w:val="left" w:pos="567"/>
      </w:tabs>
      <w:spacing w:line="312" w:lineRule="auto"/>
      <w:ind w:firstLine="567"/>
      <w:jc w:val="both"/>
    </w:pPr>
    <w:rPr>
      <w:rFonts w:ascii="宋体" w:hAnsi="Times New Roman" w:eastAsia="宋体"/>
      <w:sz w:val="21"/>
      <w:szCs w:val="22"/>
    </w:rPr>
  </w:style>
  <w:style w:type="paragraph" w:customStyle="1" w:styleId="50">
    <w:name w:val="表 内容"/>
    <w:basedOn w:val="1"/>
    <w:qFormat/>
    <w:uiPriority w:val="0"/>
    <w:pPr>
      <w:spacing w:line="276" w:lineRule="auto"/>
      <w:ind w:firstLine="0" w:firstLineChars="0"/>
      <w:jc w:val="center"/>
    </w:pPr>
    <w:rPr>
      <w:rFonts w:ascii="仿宋" w:hAnsi="仿宋" w:eastAsia="仿宋"/>
    </w:rPr>
  </w:style>
  <w:style w:type="paragraph" w:customStyle="1" w:styleId="51">
    <w:name w:val="样式26"/>
    <w:basedOn w:val="52"/>
    <w:qFormat/>
    <w:uiPriority w:val="0"/>
    <w:pPr>
      <w:keepNext/>
      <w:keepLines/>
      <w:widowControl w:val="0"/>
      <w:tabs>
        <w:tab w:val="left" w:pos="0"/>
        <w:tab w:val="left" w:pos="360"/>
        <w:tab w:val="left" w:pos="540"/>
        <w:tab w:val="left" w:pos="567"/>
      </w:tabs>
      <w:adjustRightInd w:val="0"/>
      <w:snapToGrid w:val="0"/>
      <w:spacing w:before="120" w:beforeLines="0" w:after="120" w:afterLines="0" w:line="360" w:lineRule="auto"/>
      <w:ind w:hanging="992"/>
      <w:jc w:val="both"/>
      <w:outlineLvl w:val="2"/>
    </w:pPr>
    <w:rPr>
      <w:rFonts w:ascii="Times New Roman" w:hAnsi="Times New Roman" w:eastAsia="黑体" w:cs="Times New Roman"/>
      <w:color w:val="000000"/>
      <w:kern w:val="2"/>
      <w:sz w:val="30"/>
      <w:szCs w:val="30"/>
      <w:lang w:val="en-US" w:eastAsia="zh-CN" w:bidi="ar-SA"/>
    </w:rPr>
  </w:style>
  <w:style w:type="paragraph" w:customStyle="1" w:styleId="52">
    <w:name w:val="样式21"/>
    <w:basedOn w:val="53"/>
    <w:qFormat/>
    <w:uiPriority w:val="0"/>
    <w:pPr>
      <w:keepNext/>
      <w:keepLines/>
      <w:widowControl w:val="0"/>
      <w:tabs>
        <w:tab w:val="left" w:pos="360"/>
        <w:tab w:val="left" w:pos="567"/>
      </w:tabs>
      <w:adjustRightInd w:val="0"/>
      <w:snapToGrid w:val="0"/>
      <w:spacing w:before="120" w:beforeLines="0" w:after="120" w:afterLines="0" w:line="360" w:lineRule="auto"/>
      <w:ind w:hanging="992"/>
      <w:jc w:val="both"/>
      <w:outlineLvl w:val="2"/>
    </w:pPr>
    <w:rPr>
      <w:rFonts w:ascii="Times New Roman" w:hAnsi="Times New Roman" w:eastAsia="黑体" w:cs="Times New Roman"/>
      <w:color w:val="000000"/>
      <w:kern w:val="2"/>
      <w:sz w:val="30"/>
      <w:szCs w:val="30"/>
      <w:lang w:val="en-US" w:eastAsia="zh-CN" w:bidi="ar-SA"/>
    </w:rPr>
  </w:style>
  <w:style w:type="paragraph" w:customStyle="1" w:styleId="53">
    <w:name w:val="样式5"/>
    <w:basedOn w:val="54"/>
    <w:next w:val="1"/>
    <w:qFormat/>
    <w:uiPriority w:val="0"/>
    <w:pPr>
      <w:keepNext/>
      <w:keepLines/>
      <w:widowControl w:val="0"/>
      <w:adjustRightInd w:val="0"/>
      <w:snapToGrid w:val="0"/>
      <w:spacing w:before="240" w:beforeLines="15" w:after="0" w:afterLines="15" w:line="360" w:lineRule="auto"/>
      <w:jc w:val="both"/>
      <w:outlineLvl w:val="2"/>
    </w:pPr>
    <w:rPr>
      <w:rFonts w:ascii="Times New Roman" w:hAnsi="Times New Roman" w:eastAsia="黑体" w:cs="Times New Roman"/>
      <w:b/>
      <w:color w:val="000000"/>
      <w:kern w:val="2"/>
      <w:sz w:val="30"/>
      <w:szCs w:val="30"/>
      <w:lang w:val="en-US" w:eastAsia="zh-CN" w:bidi="ar-SA"/>
    </w:rPr>
  </w:style>
  <w:style w:type="paragraph" w:customStyle="1" w:styleId="54">
    <w:name w:val="样式12"/>
    <w:basedOn w:val="55"/>
    <w:qFormat/>
    <w:uiPriority w:val="0"/>
    <w:pPr>
      <w:keepNext/>
      <w:keepLines/>
      <w:widowControl w:val="0"/>
      <w:adjustRightInd w:val="0"/>
      <w:snapToGrid w:val="0"/>
      <w:spacing w:before="260" w:beforeLines="15" w:after="260" w:afterLines="15" w:line="415" w:lineRule="auto"/>
      <w:jc w:val="both"/>
      <w:outlineLvl w:val="2"/>
    </w:pPr>
    <w:rPr>
      <w:rFonts w:eastAsia="黑体"/>
      <w:b w:val="0"/>
      <w:bCs w:val="0"/>
      <w:color w:val="FF0000"/>
      <w:kern w:val="2"/>
      <w:sz w:val="28"/>
      <w:szCs w:val="32"/>
      <w:lang w:val="en-US" w:eastAsia="zh-CN" w:bidi="ar-SA"/>
    </w:rPr>
  </w:style>
  <w:style w:type="paragraph" w:customStyle="1" w:styleId="55">
    <w:name w:val="样式 标题 3标题 3 Char标题3H3h33rd level第二层条三级标题ReHead 3 WSA头..."/>
    <w:qFormat/>
    <w:uiPriority w:val="0"/>
    <w:pPr>
      <w:keepNext/>
      <w:keepLines/>
      <w:widowControl w:val="0"/>
      <w:spacing w:before="260" w:beforeLines="15" w:after="260" w:afterLines="15" w:line="416" w:lineRule="auto"/>
      <w:jc w:val="both"/>
      <w:outlineLvl w:val="2"/>
    </w:pPr>
    <w:rPr>
      <w:rFonts w:ascii="Calibri" w:hAnsi="Calibri" w:eastAsia="黑体" w:cs="Times New Roman"/>
      <w:b/>
      <w:bCs/>
      <w:color w:val="FF0000"/>
      <w:kern w:val="2"/>
      <w:sz w:val="28"/>
      <w:szCs w:val="32"/>
      <w:lang w:val="en-US" w:eastAsia="zh-CN" w:bidi="ar-SA"/>
    </w:rPr>
  </w:style>
  <w:style w:type="paragraph" w:customStyle="1" w:styleId="56">
    <w:name w:val="font6"/>
    <w:next w:val="33"/>
    <w:qFormat/>
    <w:uiPriority w:val="0"/>
    <w:pPr>
      <w:spacing w:before="280" w:after="280"/>
      <w:jc w:val="both"/>
    </w:pPr>
    <w:rPr>
      <w:rFonts w:ascii="Times New Roman" w:hAnsi="Times New Roman" w:eastAsia="宋体" w:cs="Times New Roman"/>
      <w:kern w:val="2"/>
      <w:sz w:val="21"/>
      <w:szCs w:val="22"/>
      <w:lang w:val="en-US" w:eastAsia="zh-CN" w:bidi="ar-SA"/>
    </w:rPr>
  </w:style>
  <w:style w:type="paragraph" w:customStyle="1" w:styleId="57">
    <w:name w:val="yang正文"/>
    <w:basedOn w:val="1"/>
    <w:qFormat/>
    <w:uiPriority w:val="0"/>
  </w:style>
  <w:style w:type="paragraph" w:customStyle="1" w:styleId="58">
    <w:name w:val="图表名称"/>
    <w:basedOn w:val="36"/>
    <w:qFormat/>
    <w:uiPriority w:val="0"/>
    <w:pPr>
      <w:spacing w:before="25" w:after="25" w:line="360" w:lineRule="auto"/>
      <w:jc w:val="center"/>
    </w:pPr>
    <w:rPr>
      <w:rFonts w:ascii="Times New Roman" w:hAnsi="Times New Roman" w:eastAsia="宋体" w:cs="Times New Roman"/>
      <w:b/>
      <w:bCs/>
      <w:kern w:val="2"/>
      <w:sz w:val="24"/>
      <w:szCs w:val="21"/>
      <w:lang w:val="en-US" w:eastAsia="zh-CN" w:bidi="ar-SA"/>
    </w:rPr>
  </w:style>
  <w:style w:type="paragraph" w:customStyle="1" w:styleId="59">
    <w:name w:val="文本框样式"/>
    <w:basedOn w:val="1"/>
    <w:link w:val="72"/>
    <w:qFormat/>
    <w:uiPriority w:val="0"/>
    <w:pPr>
      <w:spacing w:line="240" w:lineRule="auto"/>
      <w:ind w:firstLine="0" w:firstLineChars="0"/>
      <w:jc w:val="center"/>
    </w:pPr>
    <w:rPr>
      <w:kern w:val="0"/>
      <w:sz w:val="21"/>
      <w:szCs w:val="20"/>
    </w:rPr>
  </w:style>
  <w:style w:type="paragraph" w:customStyle="1" w:styleId="60">
    <w:name w:val="二级目录"/>
    <w:basedOn w:val="1"/>
    <w:qFormat/>
    <w:uiPriority w:val="0"/>
    <w:pPr>
      <w:spacing w:line="300" w:lineRule="auto"/>
      <w:ind w:firstLine="480"/>
      <w:jc w:val="left"/>
    </w:pPr>
    <w:rPr>
      <w:sz w:val="21"/>
    </w:rPr>
  </w:style>
  <w:style w:type="paragraph" w:customStyle="1" w:styleId="61">
    <w:name w:val="一级目录"/>
    <w:basedOn w:val="1"/>
    <w:qFormat/>
    <w:uiPriority w:val="0"/>
    <w:pPr>
      <w:spacing w:before="93" w:beforeLines="30" w:after="93" w:afterLines="30"/>
      <w:ind w:firstLine="0" w:firstLineChars="0"/>
      <w:jc w:val="left"/>
    </w:pPr>
    <w:rPr>
      <w:b/>
    </w:rPr>
  </w:style>
  <w:style w:type="paragraph" w:customStyle="1" w:styleId="62">
    <w:name w:val="表格、图表名称"/>
    <w:basedOn w:val="1"/>
    <w:link w:val="76"/>
    <w:qFormat/>
    <w:uiPriority w:val="0"/>
    <w:pPr>
      <w:ind w:firstLine="0" w:firstLineChars="0"/>
      <w:jc w:val="center"/>
    </w:pPr>
    <w:rPr>
      <w:b/>
      <w:kern w:val="0"/>
      <w:szCs w:val="22"/>
    </w:rPr>
  </w:style>
  <w:style w:type="paragraph" w:customStyle="1" w:styleId="63">
    <w:name w:val="表格下文字"/>
    <w:basedOn w:val="1"/>
    <w:link w:val="74"/>
    <w:qFormat/>
    <w:uiPriority w:val="0"/>
    <w:pPr>
      <w:spacing w:line="240" w:lineRule="auto"/>
    </w:pPr>
    <w:rPr>
      <w:kern w:val="0"/>
      <w:sz w:val="21"/>
      <w:szCs w:val="20"/>
    </w:rPr>
  </w:style>
  <w:style w:type="paragraph" w:customStyle="1" w:styleId="64">
    <w:name w:val="三级标题"/>
    <w:basedOn w:val="4"/>
    <w:next w:val="1"/>
    <w:link w:val="73"/>
    <w:qFormat/>
    <w:uiPriority w:val="0"/>
    <w:pPr>
      <w:numPr>
        <w:ilvl w:val="0"/>
        <w:numId w:val="0"/>
      </w:numPr>
      <w:spacing w:before="50" w:beforeLines="50" w:after="50" w:afterLines="50" w:line="360" w:lineRule="auto"/>
      <w:ind w:firstLine="0" w:firstLineChars="0"/>
    </w:pPr>
    <w:rPr>
      <w:rFonts w:ascii="Times New Roman" w:hAnsi="Times New Roman" w:eastAsia="宋体"/>
      <w:bCs w:val="0"/>
      <w:kern w:val="0"/>
      <w:sz w:val="24"/>
      <w:szCs w:val="20"/>
    </w:rPr>
  </w:style>
  <w:style w:type="paragraph" w:customStyle="1" w:styleId="65">
    <w:name w:val="四级标题"/>
    <w:basedOn w:val="5"/>
    <w:next w:val="1"/>
    <w:link w:val="75"/>
    <w:qFormat/>
    <w:uiPriority w:val="0"/>
    <w:pPr>
      <w:numPr>
        <w:numId w:val="0"/>
      </w:numPr>
      <w:spacing w:before="0" w:after="0" w:line="360" w:lineRule="auto"/>
      <w:ind w:firstLine="0" w:firstLineChars="0"/>
    </w:pPr>
    <w:rPr>
      <w:rFonts w:hint="default" w:ascii="Times New Roman" w:hAnsi="Times New Roman" w:eastAsia="宋体"/>
      <w:kern w:val="0"/>
      <w:sz w:val="24"/>
      <w:szCs w:val="20"/>
    </w:rPr>
  </w:style>
  <w:style w:type="paragraph" w:customStyle="1" w:styleId="66">
    <w:name w:val="一级标题"/>
    <w:basedOn w:val="2"/>
    <w:qFormat/>
    <w:uiPriority w:val="0"/>
    <w:pPr>
      <w:spacing w:before="300" w:after="300" w:line="360" w:lineRule="auto"/>
      <w:jc w:val="center"/>
    </w:pPr>
    <w:rPr>
      <w:rFonts w:ascii="Times New Roman" w:eastAsia="宋体"/>
      <w:sz w:val="36"/>
    </w:rPr>
  </w:style>
  <w:style w:type="paragraph" w:customStyle="1" w:styleId="67">
    <w:name w:val="二级标题"/>
    <w:basedOn w:val="3"/>
    <w:next w:val="1"/>
    <w:qFormat/>
    <w:uiPriority w:val="0"/>
    <w:pPr>
      <w:spacing w:before="50" w:beforeLines="50" w:after="50" w:afterLines="50" w:line="360" w:lineRule="auto"/>
      <w:ind w:left="0" w:firstLine="0" w:firstLineChars="0"/>
    </w:pPr>
  </w:style>
  <w:style w:type="paragraph" w:customStyle="1" w:styleId="68">
    <w:name w:val="表题、图题"/>
    <w:basedOn w:val="1"/>
    <w:next w:val="1"/>
    <w:qFormat/>
    <w:uiPriority w:val="0"/>
    <w:pPr>
      <w:jc w:val="center"/>
    </w:pPr>
    <w:rPr>
      <w:b/>
    </w:rPr>
  </w:style>
  <w:style w:type="paragraph" w:customStyle="1" w:styleId="69">
    <w:name w:val="文本框格式"/>
    <w:basedOn w:val="1"/>
    <w:qFormat/>
    <w:uiPriority w:val="0"/>
    <w:pPr>
      <w:spacing w:line="240" w:lineRule="auto"/>
      <w:ind w:firstLine="0" w:firstLineChars="0"/>
      <w:jc w:val="center"/>
    </w:pPr>
    <w:rPr>
      <w:sz w:val="21"/>
    </w:rPr>
  </w:style>
  <w:style w:type="character" w:customStyle="1" w:styleId="70">
    <w:name w:val="批注框文本 字符"/>
    <w:basedOn w:val="40"/>
    <w:link w:val="25"/>
    <w:qFormat/>
    <w:uiPriority w:val="0"/>
    <w:rPr>
      <w:kern w:val="2"/>
      <w:sz w:val="18"/>
      <w:szCs w:val="18"/>
    </w:rPr>
  </w:style>
  <w:style w:type="character" w:customStyle="1" w:styleId="71">
    <w:name w:val="文档结构图 字符"/>
    <w:basedOn w:val="40"/>
    <w:link w:val="17"/>
    <w:qFormat/>
    <w:uiPriority w:val="0"/>
    <w:rPr>
      <w:rFonts w:ascii="宋体"/>
      <w:kern w:val="2"/>
      <w:sz w:val="18"/>
      <w:szCs w:val="18"/>
    </w:rPr>
  </w:style>
  <w:style w:type="character" w:customStyle="1" w:styleId="72">
    <w:name w:val="文本框样式 Char"/>
    <w:link w:val="59"/>
    <w:qFormat/>
    <w:uiPriority w:val="0"/>
    <w:rPr>
      <w:rFonts w:ascii="Times New Roman" w:hAnsi="Times New Roman" w:eastAsia="宋体"/>
      <w:sz w:val="21"/>
    </w:rPr>
  </w:style>
  <w:style w:type="character" w:customStyle="1" w:styleId="73">
    <w:name w:val="三级标题 Char"/>
    <w:link w:val="64"/>
    <w:qFormat/>
    <w:uiPriority w:val="0"/>
    <w:rPr>
      <w:rFonts w:ascii="Times New Roman" w:hAnsi="Times New Roman" w:eastAsia="宋体"/>
      <w:b/>
      <w:sz w:val="24"/>
    </w:rPr>
  </w:style>
  <w:style w:type="character" w:customStyle="1" w:styleId="74">
    <w:name w:val="表格下文字 Char"/>
    <w:link w:val="63"/>
    <w:qFormat/>
    <w:uiPriority w:val="0"/>
    <w:rPr>
      <w:rFonts w:ascii="Times New Roman" w:hAnsi="Times New Roman"/>
      <w:sz w:val="21"/>
    </w:rPr>
  </w:style>
  <w:style w:type="character" w:customStyle="1" w:styleId="75">
    <w:name w:val="四级标题 Char Char"/>
    <w:link w:val="65"/>
    <w:qFormat/>
    <w:uiPriority w:val="0"/>
    <w:rPr>
      <w:rFonts w:ascii="Times New Roman" w:hAnsi="Times New Roman" w:eastAsia="宋体"/>
      <w:b/>
      <w:sz w:val="24"/>
    </w:rPr>
  </w:style>
  <w:style w:type="character" w:customStyle="1" w:styleId="76">
    <w:name w:val="表格、图表名称 Char"/>
    <w:link w:val="62"/>
    <w:qFormat/>
    <w:uiPriority w:val="0"/>
    <w:rPr>
      <w:rFonts w:ascii="Times New Roman" w:hAnsi="Times New Roman" w:eastAsia="宋体"/>
      <w:b/>
      <w:kern w:val="0"/>
      <w:sz w:val="24"/>
      <w:szCs w:val="22"/>
    </w:rPr>
  </w:style>
  <w:style w:type="character" w:customStyle="1" w:styleId="77">
    <w:name w:val="批注主题 字符"/>
    <w:basedOn w:val="78"/>
    <w:link w:val="35"/>
    <w:qFormat/>
    <w:uiPriority w:val="0"/>
    <w:rPr>
      <w:kern w:val="2"/>
      <w:szCs w:val="21"/>
    </w:rPr>
  </w:style>
  <w:style w:type="character" w:customStyle="1" w:styleId="78">
    <w:name w:val="批注文字 字符"/>
    <w:basedOn w:val="40"/>
    <w:link w:val="18"/>
    <w:qFormat/>
    <w:uiPriority w:val="0"/>
    <w:rPr>
      <w:kern w:val="2"/>
      <w:szCs w:val="21"/>
    </w:rPr>
  </w:style>
  <w:style w:type="table" w:customStyle="1" w:styleId="79">
    <w:name w:val="111"/>
    <w:basedOn w:val="38"/>
    <w:qFormat/>
    <w:uiPriority w:val="0"/>
    <w:pPr>
      <w:jc w:val="center"/>
    </w:pPr>
    <w:rPr>
      <w:rFonts w:cs="华文中宋"/>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eastAsia="Arial"/>
        <w:b/>
        <w:sz w:val="21"/>
      </w:rPr>
    </w:tblStylePr>
    <w:tblStylePr w:type="firstCol">
      <w:rPr>
        <w:rFonts w:eastAsia="Arial"/>
        <w:b w:val="0"/>
        <w:sz w:val="21"/>
      </w:rPr>
    </w:tblStylePr>
  </w:style>
  <w:style w:type="character" w:customStyle="1" w:styleId="80">
    <w:name w:val="font41"/>
    <w:basedOn w:val="40"/>
    <w:qFormat/>
    <w:uiPriority w:val="0"/>
    <w:rPr>
      <w:rFonts w:hint="eastAsia" w:ascii="宋体" w:hAnsi="宋体" w:eastAsia="宋体" w:cs="宋体"/>
      <w:color w:val="000000"/>
      <w:sz w:val="21"/>
      <w:szCs w:val="21"/>
      <w:u w:val="none"/>
    </w:rPr>
  </w:style>
  <w:style w:type="table" w:customStyle="1" w:styleId="81">
    <w:name w:val="YY"/>
    <w:basedOn w:val="38"/>
    <w:qFormat/>
    <w:uiPriority w:val="0"/>
    <w:pPr>
      <w:jc w:val="center"/>
    </w:pPr>
    <w:tblPr>
      <w:jc w:val="cente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
    <w:trPr>
      <w:jc w:val="center"/>
    </w:trPr>
    <w:tcPr>
      <w:vAlign w:val="center"/>
    </w:tcPr>
    <w:tblStylePr w:type="firstRow">
      <w:rPr>
        <w:rFonts w:eastAsia="Arial Black"/>
        <w:b/>
        <w:sz w:val="21"/>
      </w:rPr>
    </w:tblStylePr>
  </w:style>
  <w:style w:type="character" w:customStyle="1" w:styleId="82">
    <w:name w:val="font01"/>
    <w:basedOn w:val="40"/>
    <w:qFormat/>
    <w:uiPriority w:val="0"/>
    <w:rPr>
      <w:rFonts w:hint="default" w:ascii="Times New Roman" w:hAnsi="Times New Roman" w:cs="Times New Roman"/>
      <w:color w:val="000000"/>
      <w:sz w:val="21"/>
      <w:szCs w:val="21"/>
      <w:u w:val="none"/>
    </w:rPr>
  </w:style>
  <w:style w:type="character" w:customStyle="1" w:styleId="83">
    <w:name w:val="font11"/>
    <w:basedOn w:val="40"/>
    <w:qFormat/>
    <w:uiPriority w:val="0"/>
    <w:rPr>
      <w:rFonts w:hint="eastAsia" w:ascii="宋体" w:hAnsi="宋体" w:eastAsia="宋体" w:cs="宋体"/>
      <w:color w:val="000000"/>
      <w:sz w:val="21"/>
      <w:szCs w:val="21"/>
      <w:u w:val="none"/>
    </w:rPr>
  </w:style>
  <w:style w:type="paragraph" w:customStyle="1" w:styleId="84">
    <w:name w:val="样式8"/>
    <w:basedOn w:val="32"/>
    <w:qFormat/>
    <w:uiPriority w:val="0"/>
    <w:pPr>
      <w:spacing w:after="0"/>
      <w:ind w:left="0" w:leftChars="0" w:firstLine="480" w:firstLineChars="200"/>
    </w:pPr>
    <w:rPr>
      <w:rFonts w:ascii="宋体" w:hAnsi="宋体" w:cs="Times New Roman"/>
      <w:kern w:val="0"/>
      <w:sz w:val="24"/>
      <w:szCs w:val="28"/>
    </w:rPr>
  </w:style>
  <w:style w:type="paragraph" w:customStyle="1" w:styleId="85">
    <w:name w:val="表格、图标题"/>
    <w:qFormat/>
    <w:uiPriority w:val="0"/>
    <w:pPr>
      <w:spacing w:line="360" w:lineRule="auto"/>
      <w:jc w:val="center"/>
    </w:pPr>
    <w:rPr>
      <w:rFonts w:ascii="Times New Roman" w:hAnsi="Times New Roman" w:eastAsia="宋体" w:cs="Times New Roman"/>
      <w:b/>
      <w:sz w:val="24"/>
      <w:szCs w:val="21"/>
      <w:lang w:val="en-US" w:eastAsia="zh-CN" w:bidi="ar-SA"/>
    </w:rPr>
  </w:style>
  <w:style w:type="paragraph" w:customStyle="1" w:styleId="86">
    <w:name w:val="表格内容"/>
    <w:basedOn w:val="1"/>
    <w:qFormat/>
    <w:uiPriority w:val="0"/>
    <w:pPr>
      <w:overflowPunct w:val="0"/>
      <w:adjustRightInd w:val="0"/>
      <w:spacing w:before="40" w:after="60" w:line="200" w:lineRule="atLeast"/>
      <w:textAlignment w:val="baseline"/>
    </w:pPr>
    <w:rPr>
      <w:rFonts w:ascii="Arial" w:hAnsi="Arial" w:eastAsia="仿宋_GB2312"/>
      <w:kern w:val="0"/>
      <w:sz w:val="24"/>
      <w:szCs w:val="20"/>
    </w:rPr>
  </w:style>
  <w:style w:type="paragraph" w:styleId="87">
    <w:name w:val="List Paragraph"/>
    <w:basedOn w:val="1"/>
    <w:qFormat/>
    <w:uiPriority w:val="0"/>
    <w:pPr>
      <w:ind w:firstLine="420" w:firstLineChars="200"/>
    </w:pPr>
    <w:rPr>
      <w:kern w:val="0"/>
      <w:szCs w:val="24"/>
    </w:rPr>
  </w:style>
  <w:style w:type="character" w:customStyle="1" w:styleId="88">
    <w:name w:val="font21"/>
    <w:basedOn w:val="40"/>
    <w:qFormat/>
    <w:uiPriority w:val="0"/>
    <w:rPr>
      <w:rFonts w:hint="eastAsia" w:ascii="宋体" w:hAnsi="宋体" w:eastAsia="宋体" w:cs="宋体"/>
      <w:color w:val="000000"/>
      <w:sz w:val="21"/>
      <w:szCs w:val="21"/>
      <w:u w:val="none"/>
    </w:rPr>
  </w:style>
  <w:style w:type="paragraph" w:customStyle="1" w:styleId="89">
    <w:name w:val="标题555"/>
    <w:basedOn w:val="1"/>
    <w:qFormat/>
    <w:uiPriority w:val="0"/>
    <w:pPr>
      <w:ind w:firstLine="0" w:firstLineChars="0"/>
      <w:jc w:val="center"/>
    </w:pPr>
    <w:rPr>
      <w:b/>
    </w:rPr>
  </w:style>
  <w:style w:type="paragraph" w:customStyle="1" w:styleId="90">
    <w:name w:val="表格内容居中"/>
    <w:qFormat/>
    <w:uiPriority w:val="0"/>
    <w:pPr>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91">
    <w:name w:val="缩进"/>
    <w:basedOn w:val="1"/>
    <w:qFormat/>
    <w:uiPriority w:val="0"/>
    <w:pPr>
      <w:autoSpaceDE w:val="0"/>
      <w:autoSpaceDN w:val="0"/>
      <w:spacing w:line="400" w:lineRule="atLeast"/>
      <w:ind w:firstLine="425"/>
      <w:jc w:val="both"/>
    </w:pPr>
    <w:rPr>
      <w:kern w:val="2"/>
    </w:rPr>
  </w:style>
  <w:style w:type="paragraph" w:customStyle="1" w:styleId="92">
    <w:name w:val="正 文"/>
    <w:qFormat/>
    <w:uiPriority w:val="0"/>
    <w:pPr>
      <w:widowControl w:val="0"/>
      <w:spacing w:line="480" w:lineRule="exact"/>
      <w:ind w:firstLine="471"/>
      <w:jc w:val="both"/>
    </w:pPr>
    <w:rPr>
      <w:rFonts w:ascii="Calibri" w:hAnsi="Calibri" w:eastAsia="Times New Roman" w:cs="Times New Roman"/>
      <w:kern w:val="2"/>
      <w:sz w:val="24"/>
      <w:szCs w:val="24"/>
      <w:lang w:val="en-US" w:eastAsia="zh-CN" w:bidi="ar-SA"/>
    </w:rPr>
  </w:style>
  <w:style w:type="character" w:customStyle="1" w:styleId="93">
    <w:name w:val="font31"/>
    <w:basedOn w:val="40"/>
    <w:qFormat/>
    <w:uiPriority w:val="0"/>
    <w:rPr>
      <w:rFonts w:hint="default" w:ascii="Times New Roman" w:hAnsi="Times New Roman" w:cs="Times New Roman"/>
      <w:color w:val="000000"/>
      <w:sz w:val="21"/>
      <w:szCs w:val="21"/>
      <w:u w:val="none"/>
    </w:rPr>
  </w:style>
  <w:style w:type="paragraph" w:styleId="94">
    <w:name w:val="No Spacing"/>
    <w:basedOn w:val="1"/>
    <w:qFormat/>
    <w:uiPriority w:val="1"/>
    <w:pPr>
      <w:spacing w:line="240" w:lineRule="auto"/>
      <w:ind w:firstLine="300" w:firstLineChars="300"/>
    </w:pPr>
    <w:rPr>
      <w:rFonts w:eastAsia="黑体" w:cs="宋体"/>
      <w:sz w:val="21"/>
      <w:szCs w:val="32"/>
    </w:rPr>
  </w:style>
  <w:style w:type="paragraph" w:customStyle="1" w:styleId="95">
    <w:name w:val="表格内"/>
    <w:basedOn w:val="31"/>
    <w:qFormat/>
    <w:uiPriority w:val="0"/>
    <w:pPr>
      <w:tabs>
        <w:tab w:val="left" w:pos="4536"/>
      </w:tabs>
      <w:spacing w:line="240" w:lineRule="auto"/>
    </w:pPr>
    <w:rPr>
      <w:rFonts w:cs="Times New Roman"/>
      <w:b w:val="0"/>
      <w:sz w:val="18"/>
    </w:rPr>
  </w:style>
  <w:style w:type="paragraph" w:customStyle="1" w:styleId="96">
    <w:name w:val="标题-表/图"/>
    <w:basedOn w:val="1"/>
    <w:qFormat/>
    <w:uiPriority w:val="0"/>
    <w:pPr>
      <w:spacing w:line="240" w:lineRule="auto"/>
      <w:ind w:firstLine="0" w:firstLineChars="0"/>
      <w:jc w:val="center"/>
    </w:pPr>
    <w:rPr>
      <w:b/>
    </w:rPr>
  </w:style>
  <w:style w:type="paragraph" w:customStyle="1" w:styleId="97">
    <w:name w:val="表格内字体"/>
    <w:basedOn w:val="1"/>
    <w:qFormat/>
    <w:uiPriority w:val="0"/>
    <w:pPr>
      <w:keepLines/>
      <w:widowControl/>
      <w:suppressAutoHyphens/>
      <w:adjustRightInd w:val="0"/>
      <w:snapToGrid w:val="0"/>
      <w:jc w:val="center"/>
      <w:textAlignment w:val="baseline"/>
    </w:pPr>
    <w:rPr>
      <w:rFonts w:ascii="Times New Roman" w:hAnsi="Times New Roman" w:eastAsia="宋体" w:cs="Times New Roman"/>
      <w:kern w:val="0"/>
      <w:sz w:val="20"/>
    </w:rPr>
  </w:style>
  <w:style w:type="paragraph" w:customStyle="1" w:styleId="98">
    <w:name w:val="yu表格内容"/>
    <w:next w:val="1"/>
    <w:qFormat/>
    <w:uiPriority w:val="0"/>
    <w:pPr>
      <w:widowControl w:val="0"/>
      <w:jc w:val="center"/>
    </w:pPr>
    <w:rPr>
      <w:rFonts w:ascii="Calibri" w:hAnsi="Calibri" w:eastAsia="宋体" w:cs="Times New Roman"/>
      <w:bCs/>
      <w:kern w:val="2"/>
      <w:sz w:val="21"/>
      <w:szCs w:val="24"/>
      <w:lang w:val="en-US" w:eastAsia="zh-CN" w:bidi="ar-SA"/>
    </w:rPr>
  </w:style>
  <w:style w:type="paragraph" w:customStyle="1" w:styleId="99">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100">
    <w:name w:val="Default"/>
    <w:basedOn w:val="47"/>
    <w:next w:val="101"/>
    <w:qFormat/>
    <w:uiPriority w:val="0"/>
    <w:pPr>
      <w:widowControl w:val="0"/>
      <w:autoSpaceDE w:val="0"/>
      <w:autoSpaceDN w:val="0"/>
      <w:adjustRightInd w:val="0"/>
      <w:spacing w:beforeLines="15" w:afterLines="15"/>
      <w:jc w:val="center"/>
      <w:textAlignment w:val="baseline"/>
    </w:pPr>
    <w:rPr>
      <w:rFonts w:ascii="宋体" w:hAnsi="Times New Roman" w:eastAsia="宋体" w:cs="宋体"/>
      <w:color w:val="000000"/>
      <w:kern w:val="0"/>
      <w:sz w:val="24"/>
      <w:szCs w:val="24"/>
      <w:lang w:val="en-US" w:eastAsia="zh-CN" w:bidi="ar-SA"/>
    </w:rPr>
  </w:style>
  <w:style w:type="paragraph" w:customStyle="1" w:styleId="101">
    <w:name w:val="样式1"/>
    <w:basedOn w:val="29"/>
    <w:next w:val="1"/>
    <w:qFormat/>
    <w:uiPriority w:val="0"/>
    <w:pPr>
      <w:ind w:firstLine="0" w:firstLineChars="0"/>
    </w:pPr>
  </w:style>
  <w:style w:type="paragraph" w:customStyle="1" w:styleId="102">
    <w:name w:val="文框"/>
    <w:basedOn w:val="1"/>
    <w:qFormat/>
    <w:uiPriority w:val="0"/>
    <w:pPr>
      <w:spacing w:line="240" w:lineRule="auto"/>
      <w:ind w:firstLine="0" w:firstLineChars="0"/>
      <w:jc w:val="center"/>
    </w:pPr>
    <w:rPr>
      <w:kern w:val="0"/>
      <w:sz w:val="21"/>
      <w:szCs w:val="21"/>
    </w:rPr>
  </w:style>
  <w:style w:type="paragraph" w:customStyle="1" w:styleId="103">
    <w:name w:val="表格标题"/>
    <w:qFormat/>
    <w:uiPriority w:val="0"/>
    <w:pPr>
      <w:spacing w:line="360" w:lineRule="auto"/>
      <w:jc w:val="center"/>
    </w:pPr>
    <w:rPr>
      <w:rFonts w:ascii="Times New Roman" w:hAnsi="Times New Roman" w:eastAsia="宋体" w:cs="Times New Roman"/>
      <w:b/>
      <w:sz w:val="24"/>
      <w:szCs w:val="24"/>
      <w:lang w:val="en-US" w:eastAsia="zh-CN" w:bidi="ar-SA"/>
    </w:rPr>
  </w:style>
  <w:style w:type="paragraph" w:customStyle="1" w:styleId="104">
    <w:name w:val="Table Text"/>
    <w:basedOn w:val="1"/>
    <w:semiHidden/>
    <w:qFormat/>
    <w:uiPriority w:val="0"/>
    <w:rPr>
      <w:rFonts w:ascii="宋体" w:hAnsi="宋体" w:eastAsia="宋体" w:cs="宋体"/>
      <w:sz w:val="19"/>
      <w:szCs w:val="19"/>
      <w:lang w:val="en-US" w:eastAsia="en-US" w:bidi="ar-SA"/>
    </w:rPr>
  </w:style>
  <w:style w:type="table" w:customStyle="1" w:styleId="105">
    <w:name w:val="Table Normal"/>
    <w:semiHidden/>
    <w:unhideWhenUsed/>
    <w:qFormat/>
    <w:uiPriority w:val="0"/>
    <w:tblPr>
      <w:tblCellMar>
        <w:top w:w="0" w:type="dxa"/>
        <w:left w:w="0" w:type="dxa"/>
        <w:bottom w:w="0" w:type="dxa"/>
        <w:right w:w="0" w:type="dxa"/>
      </w:tblCellMar>
    </w:tblPr>
  </w:style>
  <w:style w:type="paragraph" w:customStyle="1" w:styleId="106">
    <w:name w:val="文本"/>
    <w:basedOn w:val="1"/>
    <w:qFormat/>
    <w:uiPriority w:val="0"/>
    <w:pPr>
      <w:spacing w:line="360" w:lineRule="auto"/>
      <w:ind w:firstLine="422" w:firstLineChars="200"/>
    </w:pPr>
    <w:rPr>
      <w:kern w:val="0"/>
      <w:sz w:val="24"/>
      <w:szCs w:val="20"/>
    </w:rPr>
  </w:style>
  <w:style w:type="character" w:customStyle="1" w:styleId="107">
    <w:name w:val="font51"/>
    <w:basedOn w:val="40"/>
    <w:qFormat/>
    <w:uiPriority w:val="0"/>
    <w:rPr>
      <w:rFonts w:hint="default" w:ascii="Times New Roman" w:hAnsi="Times New Roman" w:cs="Times New Roman"/>
      <w:color w:val="000000"/>
      <w:sz w:val="28"/>
      <w:szCs w:val="28"/>
      <w:u w:val="none"/>
      <w:vertAlign w:val="superscript"/>
    </w:rPr>
  </w:style>
  <w:style w:type="character" w:customStyle="1" w:styleId="108">
    <w:name w:val="font61"/>
    <w:basedOn w:val="40"/>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72.png"/><Relationship Id="rId98" Type="http://schemas.openxmlformats.org/officeDocument/2006/relationships/image" Target="media/image71.png"/><Relationship Id="rId97" Type="http://schemas.openxmlformats.org/officeDocument/2006/relationships/image" Target="media/image70.png"/><Relationship Id="rId96" Type="http://schemas.openxmlformats.org/officeDocument/2006/relationships/image" Target="media/image69.png"/><Relationship Id="rId95" Type="http://schemas.openxmlformats.org/officeDocument/2006/relationships/image" Target="media/image68.png"/><Relationship Id="rId94" Type="http://schemas.openxmlformats.org/officeDocument/2006/relationships/image" Target="media/image67.png"/><Relationship Id="rId93" Type="http://schemas.openxmlformats.org/officeDocument/2006/relationships/image" Target="media/image66.png"/><Relationship Id="rId92" Type="http://schemas.openxmlformats.org/officeDocument/2006/relationships/image" Target="media/image65.png"/><Relationship Id="rId91" Type="http://schemas.openxmlformats.org/officeDocument/2006/relationships/image" Target="media/image64.png"/><Relationship Id="rId90" Type="http://schemas.openxmlformats.org/officeDocument/2006/relationships/image" Target="media/image63.png"/><Relationship Id="rId9" Type="http://schemas.openxmlformats.org/officeDocument/2006/relationships/footer" Target="footer2.xml"/><Relationship Id="rId89" Type="http://schemas.openxmlformats.org/officeDocument/2006/relationships/image" Target="media/image62.png"/><Relationship Id="rId88" Type="http://schemas.openxmlformats.org/officeDocument/2006/relationships/image" Target="media/image61.png"/><Relationship Id="rId87" Type="http://schemas.openxmlformats.org/officeDocument/2006/relationships/image" Target="media/image60.png"/><Relationship Id="rId86" Type="http://schemas.openxmlformats.org/officeDocument/2006/relationships/image" Target="media/image59.png"/><Relationship Id="rId85" Type="http://schemas.openxmlformats.org/officeDocument/2006/relationships/image" Target="media/image58.png"/><Relationship Id="rId84" Type="http://schemas.openxmlformats.org/officeDocument/2006/relationships/image" Target="media/image57.png"/><Relationship Id="rId83" Type="http://schemas.openxmlformats.org/officeDocument/2006/relationships/image" Target="media/image56.png"/><Relationship Id="rId82" Type="http://schemas.openxmlformats.org/officeDocument/2006/relationships/image" Target="media/image55.png"/><Relationship Id="rId81" Type="http://schemas.openxmlformats.org/officeDocument/2006/relationships/image" Target="media/image54.png"/><Relationship Id="rId80" Type="http://schemas.openxmlformats.org/officeDocument/2006/relationships/image" Target="media/image53.png"/><Relationship Id="rId8" Type="http://schemas.openxmlformats.org/officeDocument/2006/relationships/footer" Target="footer1.xml"/><Relationship Id="rId79" Type="http://schemas.openxmlformats.org/officeDocument/2006/relationships/image" Target="media/image52.jpeg"/><Relationship Id="rId78" Type="http://schemas.openxmlformats.org/officeDocument/2006/relationships/image" Target="media/image51.png"/><Relationship Id="rId77" Type="http://schemas.openxmlformats.org/officeDocument/2006/relationships/image" Target="media/image50.emf"/><Relationship Id="rId76" Type="http://schemas.openxmlformats.org/officeDocument/2006/relationships/image" Target="media/image49.emf"/><Relationship Id="rId75" Type="http://schemas.openxmlformats.org/officeDocument/2006/relationships/image" Target="media/image48.emf"/><Relationship Id="rId74" Type="http://schemas.openxmlformats.org/officeDocument/2006/relationships/chart" Target="charts/chart3.xml"/><Relationship Id="rId73" Type="http://schemas.openxmlformats.org/officeDocument/2006/relationships/chart" Target="charts/chart2.xml"/><Relationship Id="rId72" Type="http://schemas.openxmlformats.org/officeDocument/2006/relationships/chart" Target="charts/chart1.xml"/><Relationship Id="rId71" Type="http://schemas.openxmlformats.org/officeDocument/2006/relationships/image" Target="media/image47.png"/><Relationship Id="rId70" Type="http://schemas.openxmlformats.org/officeDocument/2006/relationships/image" Target="media/image46.wmf"/><Relationship Id="rId7" Type="http://schemas.openxmlformats.org/officeDocument/2006/relationships/header" Target="header3.xml"/><Relationship Id="rId69" Type="http://schemas.openxmlformats.org/officeDocument/2006/relationships/oleObject" Target="embeddings/oleObject5.bin"/><Relationship Id="rId68" Type="http://schemas.openxmlformats.org/officeDocument/2006/relationships/image" Target="media/image45.wmf"/><Relationship Id="rId67" Type="http://schemas.openxmlformats.org/officeDocument/2006/relationships/oleObject" Target="embeddings/oleObject4.bin"/><Relationship Id="rId66" Type="http://schemas.openxmlformats.org/officeDocument/2006/relationships/image" Target="media/image44.png"/><Relationship Id="rId65" Type="http://schemas.openxmlformats.org/officeDocument/2006/relationships/image" Target="media/image43.png"/><Relationship Id="rId64" Type="http://schemas.openxmlformats.org/officeDocument/2006/relationships/image" Target="media/image42.jpeg"/><Relationship Id="rId63" Type="http://schemas.openxmlformats.org/officeDocument/2006/relationships/image" Target="media/image41.jpeg"/><Relationship Id="rId62" Type="http://schemas.openxmlformats.org/officeDocument/2006/relationships/image" Target="media/image40.jpeg"/><Relationship Id="rId61" Type="http://schemas.openxmlformats.org/officeDocument/2006/relationships/image" Target="media/image39.png"/><Relationship Id="rId60" Type="http://schemas.openxmlformats.org/officeDocument/2006/relationships/image" Target="media/image38.emf"/><Relationship Id="rId6" Type="http://schemas.openxmlformats.org/officeDocument/2006/relationships/header" Target="header2.xml"/><Relationship Id="rId59" Type="http://schemas.openxmlformats.org/officeDocument/2006/relationships/oleObject" Target="embeddings/oleObject3.bin"/><Relationship Id="rId58" Type="http://schemas.openxmlformats.org/officeDocument/2006/relationships/image" Target="media/image37.jpeg"/><Relationship Id="rId57" Type="http://schemas.openxmlformats.org/officeDocument/2006/relationships/image" Target="media/image36.jpeg"/><Relationship Id="rId56" Type="http://schemas.openxmlformats.org/officeDocument/2006/relationships/image" Target="media/image35.jpeg"/><Relationship Id="rId55" Type="http://schemas.openxmlformats.org/officeDocument/2006/relationships/image" Target="media/image34.jpeg"/><Relationship Id="rId54" Type="http://schemas.openxmlformats.org/officeDocument/2006/relationships/image" Target="media/image33.emf"/><Relationship Id="rId53" Type="http://schemas.openxmlformats.org/officeDocument/2006/relationships/oleObject" Target="embeddings/oleObject2.bin"/><Relationship Id="rId52" Type="http://schemas.openxmlformats.org/officeDocument/2006/relationships/image" Target="media/image32.png"/><Relationship Id="rId51" Type="http://schemas.openxmlformats.org/officeDocument/2006/relationships/image" Target="media/image31.jpeg"/><Relationship Id="rId50" Type="http://schemas.openxmlformats.org/officeDocument/2006/relationships/image" Target="media/image30.jpeg"/><Relationship Id="rId5" Type="http://schemas.openxmlformats.org/officeDocument/2006/relationships/header" Target="header1.xml"/><Relationship Id="rId49" Type="http://schemas.openxmlformats.org/officeDocument/2006/relationships/image" Target="media/image29.jpeg"/><Relationship Id="rId48" Type="http://schemas.openxmlformats.org/officeDocument/2006/relationships/image" Target="media/image28.jpeg"/><Relationship Id="rId47" Type="http://schemas.openxmlformats.org/officeDocument/2006/relationships/image" Target="media/image27.jpeg"/><Relationship Id="rId46" Type="http://schemas.openxmlformats.org/officeDocument/2006/relationships/image" Target="media/image26.jpeg"/><Relationship Id="rId45" Type="http://schemas.openxmlformats.org/officeDocument/2006/relationships/image" Target="media/image25.jpeg"/><Relationship Id="rId44" Type="http://schemas.openxmlformats.org/officeDocument/2006/relationships/image" Target="media/image24.jpeg"/><Relationship Id="rId43" Type="http://schemas.openxmlformats.org/officeDocument/2006/relationships/image" Target="media/image23.png"/><Relationship Id="rId42" Type="http://schemas.openxmlformats.org/officeDocument/2006/relationships/image" Target="media/image22.png"/><Relationship Id="rId41" Type="http://schemas.openxmlformats.org/officeDocument/2006/relationships/image" Target="media/image21.png"/><Relationship Id="rId40" Type="http://schemas.openxmlformats.org/officeDocument/2006/relationships/image" Target="media/image20.png"/><Relationship Id="rId4" Type="http://schemas.openxmlformats.org/officeDocument/2006/relationships/endnotes" Target="endnotes.xml"/><Relationship Id="rId39" Type="http://schemas.openxmlformats.org/officeDocument/2006/relationships/image" Target="media/image19.png"/><Relationship Id="rId38" Type="http://schemas.openxmlformats.org/officeDocument/2006/relationships/image" Target="media/image18.png"/><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jpeg"/><Relationship Id="rId32" Type="http://schemas.openxmlformats.org/officeDocument/2006/relationships/image" Target="media/image12.png"/><Relationship Id="rId31" Type="http://schemas.openxmlformats.org/officeDocument/2006/relationships/image" Target="media/image11.jpe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jpeg"/><Relationship Id="rId26" Type="http://schemas.openxmlformats.org/officeDocument/2006/relationships/image" Target="media/image6.jpe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emf"/><Relationship Id="rId22" Type="http://schemas.openxmlformats.org/officeDocument/2006/relationships/oleObject" Target="embeddings/oleObject1.bin"/><Relationship Id="rId21" Type="http://schemas.openxmlformats.org/officeDocument/2006/relationships/image" Target="media/image2.jpe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footer" Target="footer7.xml"/><Relationship Id="rId143" Type="http://schemas.openxmlformats.org/officeDocument/2006/relationships/fontTable" Target="fontTable.xml"/><Relationship Id="rId142" Type="http://schemas.openxmlformats.org/officeDocument/2006/relationships/customXml" Target="../customXml/item2.xml"/><Relationship Id="rId141" Type="http://schemas.openxmlformats.org/officeDocument/2006/relationships/numbering" Target="numbering.xml"/><Relationship Id="rId140" Type="http://schemas.openxmlformats.org/officeDocument/2006/relationships/customXml" Target="../customXml/item1.xml"/><Relationship Id="rId14" Type="http://schemas.openxmlformats.org/officeDocument/2006/relationships/footer" Target="footer6.xml"/><Relationship Id="rId139" Type="http://schemas.openxmlformats.org/officeDocument/2006/relationships/image" Target="media/image101.png"/><Relationship Id="rId138" Type="http://schemas.openxmlformats.org/officeDocument/2006/relationships/image" Target="media/image100.jpeg"/><Relationship Id="rId137" Type="http://schemas.openxmlformats.org/officeDocument/2006/relationships/image" Target="media/image99.jpeg"/><Relationship Id="rId136" Type="http://schemas.openxmlformats.org/officeDocument/2006/relationships/image" Target="media/image98.png"/><Relationship Id="rId135" Type="http://schemas.openxmlformats.org/officeDocument/2006/relationships/image" Target="media/image97.png"/><Relationship Id="rId134" Type="http://schemas.openxmlformats.org/officeDocument/2006/relationships/image" Target="media/image96.jpeg"/><Relationship Id="rId133" Type="http://schemas.openxmlformats.org/officeDocument/2006/relationships/image" Target="media/image95.jpeg"/><Relationship Id="rId132" Type="http://schemas.openxmlformats.org/officeDocument/2006/relationships/image" Target="media/image94.jpeg"/><Relationship Id="rId131" Type="http://schemas.openxmlformats.org/officeDocument/2006/relationships/image" Target="media/image93.emf"/><Relationship Id="rId130" Type="http://schemas.openxmlformats.org/officeDocument/2006/relationships/oleObject" Target="embeddings/oleObject16.bin"/><Relationship Id="rId13" Type="http://schemas.openxmlformats.org/officeDocument/2006/relationships/footer" Target="footer5.xml"/><Relationship Id="rId129" Type="http://schemas.openxmlformats.org/officeDocument/2006/relationships/image" Target="media/image92.png"/><Relationship Id="rId128" Type="http://schemas.openxmlformats.org/officeDocument/2006/relationships/image" Target="media/image91.png"/><Relationship Id="rId127" Type="http://schemas.openxmlformats.org/officeDocument/2006/relationships/image" Target="media/image90.emf"/><Relationship Id="rId126" Type="http://schemas.openxmlformats.org/officeDocument/2006/relationships/oleObject" Target="embeddings/oleObject15.bin"/><Relationship Id="rId125" Type="http://schemas.openxmlformats.org/officeDocument/2006/relationships/image" Target="media/image89.wmf"/><Relationship Id="rId124" Type="http://schemas.openxmlformats.org/officeDocument/2006/relationships/oleObject" Target="embeddings/oleObject14.bin"/><Relationship Id="rId123" Type="http://schemas.openxmlformats.org/officeDocument/2006/relationships/image" Target="media/image88.png"/><Relationship Id="rId122" Type="http://schemas.openxmlformats.org/officeDocument/2006/relationships/image" Target="media/image87.wmf"/><Relationship Id="rId121" Type="http://schemas.openxmlformats.org/officeDocument/2006/relationships/oleObject" Target="embeddings/oleObject13.bin"/><Relationship Id="rId120" Type="http://schemas.openxmlformats.org/officeDocument/2006/relationships/image" Target="media/image86.wmf"/><Relationship Id="rId12" Type="http://schemas.openxmlformats.org/officeDocument/2006/relationships/footer" Target="footer4.xml"/><Relationship Id="rId119" Type="http://schemas.openxmlformats.org/officeDocument/2006/relationships/oleObject" Target="embeddings/oleObject12.bin"/><Relationship Id="rId118" Type="http://schemas.openxmlformats.org/officeDocument/2006/relationships/image" Target="media/image85.wmf"/><Relationship Id="rId117" Type="http://schemas.openxmlformats.org/officeDocument/2006/relationships/oleObject" Target="embeddings/oleObject11.bin"/><Relationship Id="rId116" Type="http://schemas.openxmlformats.org/officeDocument/2006/relationships/image" Target="media/image84.wmf"/><Relationship Id="rId115" Type="http://schemas.openxmlformats.org/officeDocument/2006/relationships/oleObject" Target="embeddings/oleObject10.bin"/><Relationship Id="rId114" Type="http://schemas.openxmlformats.org/officeDocument/2006/relationships/image" Target="media/image83.wmf"/><Relationship Id="rId113" Type="http://schemas.openxmlformats.org/officeDocument/2006/relationships/oleObject" Target="embeddings/oleObject9.bin"/><Relationship Id="rId112" Type="http://schemas.openxmlformats.org/officeDocument/2006/relationships/image" Target="media/image82.wmf"/><Relationship Id="rId111" Type="http://schemas.openxmlformats.org/officeDocument/2006/relationships/oleObject" Target="embeddings/oleObject8.bin"/><Relationship Id="rId110" Type="http://schemas.openxmlformats.org/officeDocument/2006/relationships/image" Target="media/image81.wmf"/><Relationship Id="rId11" Type="http://schemas.openxmlformats.org/officeDocument/2006/relationships/header" Target="header4.xml"/><Relationship Id="rId109" Type="http://schemas.openxmlformats.org/officeDocument/2006/relationships/oleObject" Target="embeddings/oleObject7.bin"/><Relationship Id="rId108" Type="http://schemas.openxmlformats.org/officeDocument/2006/relationships/image" Target="media/image80.wmf"/><Relationship Id="rId107" Type="http://schemas.openxmlformats.org/officeDocument/2006/relationships/oleObject" Target="embeddings/oleObject6.bin"/><Relationship Id="rId106" Type="http://schemas.openxmlformats.org/officeDocument/2006/relationships/image" Target="media/image79.png"/><Relationship Id="rId105" Type="http://schemas.openxmlformats.org/officeDocument/2006/relationships/image" Target="media/image78.png"/><Relationship Id="rId104" Type="http://schemas.openxmlformats.org/officeDocument/2006/relationships/image" Target="media/image77.png"/><Relationship Id="rId103" Type="http://schemas.openxmlformats.org/officeDocument/2006/relationships/image" Target="media/image76.png"/><Relationship Id="rId102" Type="http://schemas.openxmlformats.org/officeDocument/2006/relationships/image" Target="media/image75.png"/><Relationship Id="rId101" Type="http://schemas.openxmlformats.org/officeDocument/2006/relationships/image" Target="media/image74.png"/><Relationship Id="rId100" Type="http://schemas.openxmlformats.org/officeDocument/2006/relationships/image" Target="media/image73.png"/><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7668;&#35937;&#36164;&#26009;\59473&#40548;&#23665;_2024\59473&#40548;&#23665;_2024\6_2024&#24180;&#27668;&#35937;&#25968;&#25454;&#32479;&#35745;&#20998;&#26512;\&#40548;&#23665;&#19968;&#33324;&#31449;2024&#24180;&#27668;&#35937;&#32479;&#35745;&#20998;&#2651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7668;&#35937;&#36164;&#26009;\59473&#40548;&#23665;_2024\59473&#40548;&#23665;_2024\6_2024&#24180;&#27668;&#35937;&#25968;&#25454;&#32479;&#35745;&#20998;&#26512;\&#40548;&#23665;&#19968;&#33324;&#31449;2024&#24180;&#27668;&#35937;&#32479;&#35745;&#20998;&#2651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7668;&#35937;&#36164;&#26009;\59473&#40548;&#23665;_2024\59473&#40548;&#23665;_2024\6_2024&#24180;&#27668;&#35937;&#25968;&#25454;&#32479;&#35745;&#20998;&#26512;\&#40548;&#23665;&#19968;&#33324;&#31449;2024&#24180;&#27668;&#35937;&#32479;&#35745;&#20998;&#265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  &lt;1&gt;附表C.11 年平均温度的月变化图  </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31147584011015"/>
          <c:y val="0.0355871886120996"/>
        </c:manualLayout>
      </c:layout>
      <c:overlay val="0"/>
    </c:title>
    <c:autoTitleDeleted val="0"/>
    <c:plotArea>
      <c:layout>
        <c:manualLayout>
          <c:layoutTarget val="inner"/>
          <c:xMode val="edge"/>
          <c:yMode val="edge"/>
          <c:x val="0.139344448194758"/>
          <c:y val="0.213523131672598"/>
          <c:w val="0.800547516099295"/>
          <c:h val="0.619217081850534"/>
        </c:manualLayout>
      </c:layout>
      <c:lineChart>
        <c:grouping val="standard"/>
        <c:varyColors val="0"/>
        <c:ser>
          <c:idx val="0"/>
          <c:order val="0"/>
          <c:tx>
            <c:strRef>
              <c:f>[鹤山一般站2024年气象统计分析.XLS]数据!$A$3</c:f>
              <c:strCache>
                <c:ptCount val="1"/>
                <c:pt idx="0">
                  <c:v>  温度(℃)  </c:v>
                </c:pt>
              </c:strCache>
            </c:strRef>
          </c:tx>
          <c:spPr>
            <a:ln w="12700" cap="rnd" cmpd="sng" algn="ctr">
              <a:solidFill>
                <a:srgbClr val="000080">
                  <a:alpha val="100000"/>
                </a:srgbClr>
              </a:solidFill>
              <a:prstDash val="solid"/>
              <a:round/>
            </a:ln>
          </c:spPr>
          <c:marker>
            <c:symbol val="diamond"/>
            <c:size val="5"/>
            <c:spPr>
              <a:solidFill>
                <a:srgbClr val="000080">
                  <a:alpha val="100000"/>
                </a:srgbClr>
              </a:solidFill>
              <a:ln w="6350" cap="flat" cmpd="sng" algn="ctr">
                <a:solidFill>
                  <a:srgbClr val="000080">
                    <a:alpha val="100000"/>
                  </a:srgbClr>
                </a:solidFill>
                <a:prstDash val="solid"/>
                <a:round/>
              </a:ln>
            </c:spPr>
          </c:marker>
          <c:dLbls>
            <c:delete val="1"/>
          </c:dLbls>
          <c:cat>
            <c:strRef>
              <c:f>[鹤山一般站2024年气象统计分析.XLS]数据!$B$2:$M$2</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[鹤山一般站2024年气象统计分析.XLS]数据!$B$3:$M$3</c:f>
              <c:numCache>
                <c:formatCode>0.00_ </c:formatCode>
                <c:ptCount val="12"/>
                <c:pt idx="0">
                  <c:v>15.5799999237061</c:v>
                </c:pt>
                <c:pt idx="1">
                  <c:v>16</c:v>
                </c:pt>
                <c:pt idx="2">
                  <c:v>19.5300006866455</c:v>
                </c:pt>
                <c:pt idx="3">
                  <c:v>25.2099990844727</c:v>
                </c:pt>
                <c:pt idx="4">
                  <c:v>25.0900001525879</c:v>
                </c:pt>
                <c:pt idx="5">
                  <c:v>27.9699993133545</c:v>
                </c:pt>
                <c:pt idx="6">
                  <c:v>29.3500003814697</c:v>
                </c:pt>
                <c:pt idx="7">
                  <c:v>28.6100006103516</c:v>
                </c:pt>
                <c:pt idx="8">
                  <c:v>27.9899997711182</c:v>
                </c:pt>
                <c:pt idx="9">
                  <c:v>26.0300006866455</c:v>
                </c:pt>
                <c:pt idx="10">
                  <c:v>21.8799991607666</c:v>
                </c:pt>
                <c:pt idx="11">
                  <c:v>15.8699998855591</c:v>
                </c:pt>
              </c:numCache>
            </c:numRef>
          </c:val>
          <c:smooth val="0"/>
        </c:ser>
        <c:dLbls>
          <c:showLegendKey val="0"/>
          <c:showVal val="0"/>
          <c:showCatName val="0"/>
          <c:showSerName val="0"/>
          <c:showPercent val="0"/>
          <c:showBubbleSize val="0"/>
        </c:dLbls>
        <c:marker val="1"/>
        <c:smooth val="0"/>
        <c:axId val="767320120"/>
        <c:axId val="431070648"/>
      </c:lineChart>
      <c:catAx>
        <c:axId val="767320120"/>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431070648"/>
        <c:crosses val="autoZero"/>
        <c:auto val="1"/>
        <c:lblAlgn val="ctr"/>
        <c:lblOffset val="100"/>
        <c:tickLblSkip val="1"/>
        <c:noMultiLvlLbl val="0"/>
      </c:catAx>
      <c:valAx>
        <c:axId val="431070648"/>
        <c:scaling>
          <c:orientation val="minMax"/>
        </c:scaling>
        <c:delete val="0"/>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1100" b="0"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温度(℃) </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0300546448087432"/>
              <c:y val="0.334519572953737"/>
            </c:manualLayout>
          </c:layout>
          <c:overlay val="0"/>
        </c:title>
        <c:numFmt formatCode="0.00_ "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767320120"/>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09ef008a-4d86-42f2-a76f-616cf465d52e}"/>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 &lt;2&gt;附表C.12 年平均风速的月变化  </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327397547909251"/>
          <c:y val="0.0355871886120996"/>
        </c:manualLayout>
      </c:layout>
      <c:overlay val="0"/>
    </c:title>
    <c:autoTitleDeleted val="0"/>
    <c:plotArea>
      <c:layout>
        <c:manualLayout>
          <c:layoutTarget val="inner"/>
          <c:xMode val="edge"/>
          <c:yMode val="edge"/>
          <c:x val="0.127397345487308"/>
          <c:y val="0.213523131672598"/>
          <c:w val="0.820548494052664"/>
          <c:h val="0.619217081850534"/>
        </c:manualLayout>
      </c:layout>
      <c:lineChart>
        <c:grouping val="standard"/>
        <c:varyColors val="0"/>
        <c:ser>
          <c:idx val="0"/>
          <c:order val="0"/>
          <c:tx>
            <c:strRef>
              <c:f>[鹤山一般站2024年气象统计分析.XLS]数据!$A$7</c:f>
              <c:strCache>
                <c:ptCount val="1"/>
                <c:pt idx="0">
                  <c:v> 风速(m/s)  </c:v>
                </c:pt>
              </c:strCache>
            </c:strRef>
          </c:tx>
          <c:spPr>
            <a:ln w="12700" cap="rnd" cmpd="sng" algn="ctr">
              <a:solidFill>
                <a:srgbClr val="000080">
                  <a:alpha val="100000"/>
                </a:srgbClr>
              </a:solidFill>
              <a:prstDash val="solid"/>
              <a:round/>
            </a:ln>
          </c:spPr>
          <c:marker>
            <c:symbol val="diamond"/>
            <c:size val="5"/>
            <c:spPr>
              <a:solidFill>
                <a:srgbClr val="000080">
                  <a:alpha val="100000"/>
                </a:srgbClr>
              </a:solidFill>
              <a:ln w="6350" cap="flat" cmpd="sng" algn="ctr">
                <a:solidFill>
                  <a:srgbClr val="000080">
                    <a:alpha val="100000"/>
                  </a:srgbClr>
                </a:solidFill>
                <a:prstDash val="solid"/>
                <a:round/>
              </a:ln>
            </c:spPr>
          </c:marker>
          <c:dLbls>
            <c:delete val="1"/>
          </c:dLbls>
          <c:cat>
            <c:strRef>
              <c:f>[鹤山一般站2024年气象统计分析.XLS]数据!$B$6:$M$6</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[鹤山一般站2024年气象统计分析.XLS]数据!$B$7:$M$7</c:f>
              <c:numCache>
                <c:formatCode>0.00_ </c:formatCode>
                <c:ptCount val="12"/>
                <c:pt idx="0">
                  <c:v>1.98000001907349</c:v>
                </c:pt>
                <c:pt idx="1">
                  <c:v>2.3199999332428</c:v>
                </c:pt>
                <c:pt idx="2">
                  <c:v>1.97000002861023</c:v>
                </c:pt>
                <c:pt idx="3">
                  <c:v>2.09999990463257</c:v>
                </c:pt>
                <c:pt idx="4">
                  <c:v>1.62000000476837</c:v>
                </c:pt>
                <c:pt idx="5">
                  <c:v>2.00999999046326</c:v>
                </c:pt>
                <c:pt idx="6">
                  <c:v>2.05999994277954</c:v>
                </c:pt>
                <c:pt idx="7">
                  <c:v>1.60000002384186</c:v>
                </c:pt>
                <c:pt idx="8">
                  <c:v>1.74000000953674</c:v>
                </c:pt>
                <c:pt idx="9">
                  <c:v>2.50999999046326</c:v>
                </c:pt>
                <c:pt idx="10">
                  <c:v>2.42000007629395</c:v>
                </c:pt>
                <c:pt idx="11">
                  <c:v>2.32999992370605</c:v>
                </c:pt>
              </c:numCache>
            </c:numRef>
          </c:val>
          <c:smooth val="0"/>
        </c:ser>
        <c:dLbls>
          <c:showLegendKey val="0"/>
          <c:showVal val="0"/>
          <c:showCatName val="0"/>
          <c:showSerName val="0"/>
          <c:showPercent val="0"/>
          <c:showBubbleSize val="0"/>
        </c:dLbls>
        <c:marker val="1"/>
        <c:smooth val="0"/>
        <c:axId val="511728661"/>
        <c:axId val="50254765"/>
      </c:lineChart>
      <c:catAx>
        <c:axId val="511728661"/>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0254765"/>
        <c:crosses val="autoZero"/>
        <c:auto val="1"/>
        <c:lblAlgn val="ctr"/>
        <c:lblOffset val="100"/>
        <c:tickLblSkip val="1"/>
        <c:noMultiLvlLbl val="0"/>
      </c:catAx>
      <c:valAx>
        <c:axId val="50254765"/>
        <c:scaling>
          <c:orientation val="minMax"/>
        </c:scaling>
        <c:delete val="0"/>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1100" b="0"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风速(m/s) </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0178082191780822"/>
              <c:y val="0.284697508896797"/>
            </c:manualLayout>
          </c:layout>
          <c:overlay val="0"/>
        </c:title>
        <c:numFmt formatCode="0.00_ " sourceLinked="0"/>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11728661"/>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extLst>
      <c:ext uri="{0b15fc19-7d7d-44ad-8c2d-2c3a37ce22c3}">
        <chartProps xmlns="https://web.wps.cn/et/2018/main" chartId="{8dca04f0-d2c0-47fb-8d14-fb93467e9414}"/>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&lt;3&gt;附表C.13 季小时平均风速的日变化</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311901504787962"/>
          <c:y val="0.0360655737704918"/>
        </c:manualLayout>
      </c:layout>
      <c:overlay val="0"/>
    </c:title>
    <c:autoTitleDeleted val="0"/>
    <c:plotArea>
      <c:layout>
        <c:manualLayout>
          <c:layoutTarget val="inner"/>
          <c:xMode val="edge"/>
          <c:yMode val="edge"/>
          <c:x val="0.125854993160055"/>
          <c:y val="0.154098360655738"/>
          <c:w val="0.719562243502052"/>
          <c:h val="0.691803278688525"/>
        </c:manualLayout>
      </c:layout>
      <c:lineChart>
        <c:grouping val="standard"/>
        <c:varyColors val="0"/>
        <c:ser>
          <c:idx val="0"/>
          <c:order val="0"/>
          <c:tx>
            <c:strRef>
              <c:f>[鹤山一般站2024年气象统计分析.XLS]图形!$A$167</c:f>
              <c:strCache>
                <c:ptCount val="1"/>
                <c:pt idx="0">
                  <c:v>春季                </c:v>
                </c:pt>
              </c:strCache>
            </c:strRef>
          </c:tx>
          <c:spPr>
            <a:ln w="12700" cap="rnd" cmpd="sng" algn="ctr">
              <a:solidFill>
                <a:srgbClr val="000080">
                  <a:alpha val="100000"/>
                </a:srgbClr>
              </a:solidFill>
              <a:prstDash val="solid"/>
              <a:round/>
            </a:ln>
          </c:spPr>
          <c:marker>
            <c:symbol val="diamond"/>
            <c:size val="5"/>
            <c:spPr>
              <a:solidFill>
                <a:srgbClr val="000080">
                  <a:alpha val="100000"/>
                </a:srgbClr>
              </a:solidFill>
              <a:ln w="6350" cap="flat" cmpd="sng" algn="ctr">
                <a:solidFill>
                  <a:srgbClr val="000080">
                    <a:alpha val="100000"/>
                  </a:srgbClr>
                </a:solidFill>
                <a:prstDash val="solid"/>
                <a:round/>
              </a:ln>
            </c:spPr>
          </c:marker>
          <c:dLbls>
            <c:delete val="1"/>
          </c:dLbls>
          <c:val>
            <c:numRef>
              <c:f>[鹤山一般站2024年气象统计分析.XLS]图形!$B$167:$Y$167</c:f>
              <c:numCache>
                <c:formatCode>General</c:formatCode>
                <c:ptCount val="24"/>
                <c:pt idx="0">
                  <c:v>1.58000004291534</c:v>
                </c:pt>
                <c:pt idx="1">
                  <c:v>1.38999998569489</c:v>
                </c:pt>
                <c:pt idx="2">
                  <c:v>1.4099999666214</c:v>
                </c:pt>
                <c:pt idx="3">
                  <c:v>1.47000002861023</c:v>
                </c:pt>
                <c:pt idx="4">
                  <c:v>1.4099999666214</c:v>
                </c:pt>
                <c:pt idx="5">
                  <c:v>1.41999995708466</c:v>
                </c:pt>
                <c:pt idx="6">
                  <c:v>1.44000005722046</c:v>
                </c:pt>
                <c:pt idx="7">
                  <c:v>1.72000002861023</c:v>
                </c:pt>
                <c:pt idx="8">
                  <c:v>2.02999997138977</c:v>
                </c:pt>
                <c:pt idx="9">
                  <c:v>2.11999988555908</c:v>
                </c:pt>
                <c:pt idx="10">
                  <c:v>2.25</c:v>
                </c:pt>
                <c:pt idx="11">
                  <c:v>2.5</c:v>
                </c:pt>
                <c:pt idx="12">
                  <c:v>2.48000001907349</c:v>
                </c:pt>
                <c:pt idx="13">
                  <c:v>2.50999999046326</c:v>
                </c:pt>
                <c:pt idx="14">
                  <c:v>2.44000005722046</c:v>
                </c:pt>
                <c:pt idx="15">
                  <c:v>2.35999989509583</c:v>
                </c:pt>
                <c:pt idx="16">
                  <c:v>2.10999989509583</c:v>
                </c:pt>
                <c:pt idx="17">
                  <c:v>1.92999994754791</c:v>
                </c:pt>
                <c:pt idx="18">
                  <c:v>1.98000001907349</c:v>
                </c:pt>
                <c:pt idx="19">
                  <c:v>2.01999998092651</c:v>
                </c:pt>
                <c:pt idx="20">
                  <c:v>1.87999999523163</c:v>
                </c:pt>
                <c:pt idx="21">
                  <c:v>1.80999994277954</c:v>
                </c:pt>
                <c:pt idx="22">
                  <c:v>1.6599999666214</c:v>
                </c:pt>
                <c:pt idx="23">
                  <c:v>1.61000001430511</c:v>
                </c:pt>
              </c:numCache>
            </c:numRef>
          </c:val>
          <c:smooth val="0"/>
        </c:ser>
        <c:ser>
          <c:idx val="1"/>
          <c:order val="1"/>
          <c:tx>
            <c:strRef>
              <c:f>[鹤山一般站2024年气象统计分析.XLS]图形!$A$168</c:f>
              <c:strCache>
                <c:ptCount val="1"/>
                <c:pt idx="0">
                  <c:v>夏季                </c:v>
                </c:pt>
              </c:strCache>
            </c:strRef>
          </c:tx>
          <c:spPr>
            <a:ln w="12700" cap="rnd" cmpd="sng" algn="ctr">
              <a:solidFill>
                <a:srgbClr val="FF00FF">
                  <a:alpha val="100000"/>
                </a:srgbClr>
              </a:solidFill>
              <a:prstDash val="solid"/>
              <a:round/>
            </a:ln>
          </c:spPr>
          <c:marker>
            <c:symbol val="square"/>
            <c:size val="5"/>
            <c:spPr>
              <a:solidFill>
                <a:srgbClr val="FF00FF">
                  <a:alpha val="100000"/>
                </a:srgbClr>
              </a:solidFill>
              <a:ln w="6350" cap="flat" cmpd="sng" algn="ctr">
                <a:solidFill>
                  <a:srgbClr val="FF00FF">
                    <a:alpha val="100000"/>
                  </a:srgbClr>
                </a:solidFill>
                <a:prstDash val="solid"/>
                <a:round/>
              </a:ln>
            </c:spPr>
          </c:marker>
          <c:dLbls>
            <c:delete val="1"/>
          </c:dLbls>
          <c:val>
            <c:numRef>
              <c:f>[鹤山一般站2024年气象统计分析.XLS]图形!$B$168:$Y$168</c:f>
              <c:numCache>
                <c:formatCode>General</c:formatCode>
                <c:ptCount val="24"/>
                <c:pt idx="0">
                  <c:v>1.51999998092651</c:v>
                </c:pt>
                <c:pt idx="1">
                  <c:v>1.44000005722046</c:v>
                </c:pt>
                <c:pt idx="2">
                  <c:v>1.30999994277954</c:v>
                </c:pt>
                <c:pt idx="3">
                  <c:v>1.25</c:v>
                </c:pt>
                <c:pt idx="4">
                  <c:v>1.28999996185303</c:v>
                </c:pt>
                <c:pt idx="5">
                  <c:v>1.24000000953674</c:v>
                </c:pt>
                <c:pt idx="6">
                  <c:v>1.23000001907349</c:v>
                </c:pt>
                <c:pt idx="7">
                  <c:v>1.51999998092651</c:v>
                </c:pt>
                <c:pt idx="8">
                  <c:v>1.77999997138977</c:v>
                </c:pt>
                <c:pt idx="9">
                  <c:v>2.08999991416931</c:v>
                </c:pt>
                <c:pt idx="10">
                  <c:v>2.30999994277954</c:v>
                </c:pt>
                <c:pt idx="11">
                  <c:v>2.34999990463257</c:v>
                </c:pt>
                <c:pt idx="12">
                  <c:v>2.5</c:v>
                </c:pt>
                <c:pt idx="13">
                  <c:v>2.46000003814697</c:v>
                </c:pt>
                <c:pt idx="14">
                  <c:v>2.58999991416931</c:v>
                </c:pt>
                <c:pt idx="15">
                  <c:v>2.70000004768372</c:v>
                </c:pt>
                <c:pt idx="16">
                  <c:v>2.52999997138977</c:v>
                </c:pt>
                <c:pt idx="17">
                  <c:v>2.22000002861023</c:v>
                </c:pt>
                <c:pt idx="18">
                  <c:v>2.17000007629395</c:v>
                </c:pt>
                <c:pt idx="19">
                  <c:v>2.07999992370605</c:v>
                </c:pt>
                <c:pt idx="20">
                  <c:v>1.97000002861023</c:v>
                </c:pt>
                <c:pt idx="21">
                  <c:v>1.70000004768372</c:v>
                </c:pt>
                <c:pt idx="22">
                  <c:v>1.53999996185303</c:v>
                </c:pt>
                <c:pt idx="23">
                  <c:v>1.55999994277954</c:v>
                </c:pt>
              </c:numCache>
            </c:numRef>
          </c:val>
          <c:smooth val="0"/>
        </c:ser>
        <c:ser>
          <c:idx val="2"/>
          <c:order val="2"/>
          <c:tx>
            <c:strRef>
              <c:f>[鹤山一般站2024年气象统计分析.XLS]图形!$A$169</c:f>
              <c:strCache>
                <c:ptCount val="1"/>
                <c:pt idx="0">
                  <c:v>秋季                </c:v>
                </c:pt>
              </c:strCache>
            </c:strRef>
          </c:tx>
          <c:spPr>
            <a:ln w="12700" cap="rnd" cmpd="sng" algn="ctr">
              <a:solidFill>
                <a:srgbClr val="FFFF00">
                  <a:alpha val="100000"/>
                </a:srgbClr>
              </a:solidFill>
              <a:prstDash val="solid"/>
              <a:round/>
            </a:ln>
          </c:spPr>
          <c:marker>
            <c:symbol val="triangle"/>
            <c:size val="5"/>
            <c:spPr>
              <a:solidFill>
                <a:srgbClr val="FFFF00">
                  <a:alpha val="100000"/>
                </a:srgbClr>
              </a:solidFill>
              <a:ln w="6350" cap="flat" cmpd="sng" algn="ctr">
                <a:solidFill>
                  <a:srgbClr val="FFFF00">
                    <a:alpha val="100000"/>
                  </a:srgbClr>
                </a:solidFill>
                <a:prstDash val="solid"/>
                <a:round/>
              </a:ln>
            </c:spPr>
          </c:marker>
          <c:dLbls>
            <c:delete val="1"/>
          </c:dLbls>
          <c:val>
            <c:numRef>
              <c:f>[鹤山一般站2024年气象统计分析.XLS]图形!$B$169:$Y$169</c:f>
              <c:numCache>
                <c:formatCode>General</c:formatCode>
                <c:ptCount val="24"/>
                <c:pt idx="0">
                  <c:v>1.85000002384186</c:v>
                </c:pt>
                <c:pt idx="1">
                  <c:v>1.9099999666214</c:v>
                </c:pt>
                <c:pt idx="2">
                  <c:v>2.04999995231628</c:v>
                </c:pt>
                <c:pt idx="3">
                  <c:v>1.99000000953674</c:v>
                </c:pt>
                <c:pt idx="4">
                  <c:v>2.02999997138977</c:v>
                </c:pt>
                <c:pt idx="5">
                  <c:v>2.03999996185303</c:v>
                </c:pt>
                <c:pt idx="6">
                  <c:v>2.05999994277954</c:v>
                </c:pt>
                <c:pt idx="7">
                  <c:v>2.30999994277954</c:v>
                </c:pt>
                <c:pt idx="8">
                  <c:v>2.58999991416931</c:v>
                </c:pt>
                <c:pt idx="9">
                  <c:v>2.76999998092651</c:v>
                </c:pt>
                <c:pt idx="10">
                  <c:v>2.69000005722046</c:v>
                </c:pt>
                <c:pt idx="11">
                  <c:v>2.77999997138977</c:v>
                </c:pt>
                <c:pt idx="12">
                  <c:v>2.59999990463257</c:v>
                </c:pt>
                <c:pt idx="13">
                  <c:v>2.57999992370605</c:v>
                </c:pt>
                <c:pt idx="14">
                  <c:v>2.51999998092651</c:v>
                </c:pt>
                <c:pt idx="15">
                  <c:v>2.26999998092651</c:v>
                </c:pt>
                <c:pt idx="16">
                  <c:v>2.10999989509583</c:v>
                </c:pt>
                <c:pt idx="17">
                  <c:v>2.00999999046326</c:v>
                </c:pt>
                <c:pt idx="18">
                  <c:v>2.11999988555908</c:v>
                </c:pt>
                <c:pt idx="19">
                  <c:v>2.16000008583069</c:v>
                </c:pt>
                <c:pt idx="20">
                  <c:v>2.03999996185303</c:v>
                </c:pt>
                <c:pt idx="21">
                  <c:v>2.0699999332428</c:v>
                </c:pt>
                <c:pt idx="22">
                  <c:v>2.00999999046326</c:v>
                </c:pt>
                <c:pt idx="23">
                  <c:v>1.9099999666214</c:v>
                </c:pt>
              </c:numCache>
            </c:numRef>
          </c:val>
          <c:smooth val="0"/>
        </c:ser>
        <c:ser>
          <c:idx val="3"/>
          <c:order val="3"/>
          <c:tx>
            <c:strRef>
              <c:f>[鹤山一般站2024年气象统计分析.XLS]图形!$A$170</c:f>
              <c:strCache>
                <c:ptCount val="1"/>
                <c:pt idx="0">
                  <c:v>冬季                </c:v>
                </c:pt>
              </c:strCache>
            </c:strRef>
          </c:tx>
          <c:spPr>
            <a:ln w="12700" cap="rnd" cmpd="sng" algn="ctr">
              <a:solidFill>
                <a:srgbClr val="00FFFF">
                  <a:alpha val="100000"/>
                </a:srgbClr>
              </a:solidFill>
              <a:prstDash val="solid"/>
              <a:round/>
            </a:ln>
          </c:spPr>
          <c:marker>
            <c:symbol val="x"/>
            <c:size val="5"/>
            <c:spPr>
              <a:noFill/>
              <a:ln w="6350" cap="flat" cmpd="sng" algn="ctr">
                <a:solidFill>
                  <a:srgbClr val="00FFFF">
                    <a:alpha val="100000"/>
                  </a:srgbClr>
                </a:solidFill>
                <a:prstDash val="solid"/>
                <a:round/>
              </a:ln>
            </c:spPr>
          </c:marker>
          <c:dLbls>
            <c:delete val="1"/>
          </c:dLbls>
          <c:val>
            <c:numRef>
              <c:f>[鹤山一般站2024年气象统计分析.XLS]图形!$B$170:$Y$170</c:f>
              <c:numCache>
                <c:formatCode>General</c:formatCode>
                <c:ptCount val="24"/>
                <c:pt idx="0">
                  <c:v>1.96000003814697</c:v>
                </c:pt>
                <c:pt idx="1">
                  <c:v>2.09999990463257</c:v>
                </c:pt>
                <c:pt idx="2">
                  <c:v>2.00999999046326</c:v>
                </c:pt>
                <c:pt idx="3">
                  <c:v>2.00999999046326</c:v>
                </c:pt>
                <c:pt idx="4">
                  <c:v>2.04999995231628</c:v>
                </c:pt>
                <c:pt idx="5">
                  <c:v>1.99000000953674</c:v>
                </c:pt>
                <c:pt idx="6">
                  <c:v>1.98000001907349</c:v>
                </c:pt>
                <c:pt idx="7">
                  <c:v>1.98000001907349</c:v>
                </c:pt>
                <c:pt idx="8">
                  <c:v>2.08999991416931</c:v>
                </c:pt>
                <c:pt idx="9">
                  <c:v>2.39000010490417</c:v>
                </c:pt>
                <c:pt idx="10">
                  <c:v>2.54999995231628</c:v>
                </c:pt>
                <c:pt idx="11">
                  <c:v>2.69000005722046</c:v>
                </c:pt>
                <c:pt idx="12">
                  <c:v>2.67000007629395</c:v>
                </c:pt>
                <c:pt idx="13">
                  <c:v>2.53999996185303</c:v>
                </c:pt>
                <c:pt idx="14">
                  <c:v>2.5</c:v>
                </c:pt>
                <c:pt idx="15">
                  <c:v>2.39000010490417</c:v>
                </c:pt>
                <c:pt idx="16">
                  <c:v>2.3199999332428</c:v>
                </c:pt>
                <c:pt idx="17">
                  <c:v>2.07999992370605</c:v>
                </c:pt>
                <c:pt idx="18">
                  <c:v>1.96000003814697</c:v>
                </c:pt>
                <c:pt idx="19">
                  <c:v>2.26999998092651</c:v>
                </c:pt>
                <c:pt idx="20">
                  <c:v>2.24000000953674</c:v>
                </c:pt>
                <c:pt idx="21">
                  <c:v>2.08999991416931</c:v>
                </c:pt>
                <c:pt idx="22">
                  <c:v>2.01999998092651</c:v>
                </c:pt>
                <c:pt idx="23">
                  <c:v>2.05999994277954</c:v>
                </c:pt>
              </c:numCache>
            </c:numRef>
          </c:val>
          <c:smooth val="0"/>
        </c:ser>
        <c:dLbls>
          <c:showLegendKey val="0"/>
          <c:showVal val="0"/>
          <c:showCatName val="0"/>
          <c:showSerName val="0"/>
          <c:showPercent val="0"/>
          <c:showBubbleSize val="0"/>
        </c:dLbls>
        <c:marker val="1"/>
        <c:smooth val="0"/>
        <c:axId val="892608352"/>
        <c:axId val="144887425"/>
      </c:lineChart>
      <c:catAx>
        <c:axId val="892608352"/>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144887425"/>
        <c:crosses val="autoZero"/>
        <c:auto val="1"/>
        <c:lblAlgn val="ctr"/>
        <c:lblOffset val="100"/>
        <c:tickLblSkip val="1"/>
        <c:noMultiLvlLbl val="0"/>
      </c:catAx>
      <c:valAx>
        <c:axId val="144887425"/>
        <c:scaling>
          <c:orientation val="minMax"/>
        </c:scaling>
        <c:delete val="0"/>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1100" b="0"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风速(m/s)</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0205198358413133"/>
              <c:y val="0.373770491803279"/>
            </c:manualLayout>
          </c:layout>
          <c:overlay val="0"/>
        </c:title>
        <c:numFmt formatCode="0.00_ " sourceLinked="0"/>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892608352"/>
        <c:crosses val="autoZero"/>
        <c:crossBetween val="between"/>
      </c:valAx>
      <c:spPr>
        <a:solidFill>
          <a:srgbClr val="C0C0C0">
            <a:alpha val="100000"/>
          </a:srgbClr>
        </a:solidFill>
        <a:ln w="12700">
          <a:solidFill>
            <a:srgbClr val="808080">
              <a:alpha val="100000"/>
            </a:srgbClr>
          </a:solidFill>
          <a:prstDash val="solid"/>
        </a:ln>
      </c:spPr>
    </c:plotArea>
    <c:legend>
      <c:legendPos val="r"/>
      <c:layout>
        <c:manualLayout>
          <c:xMode val="edge"/>
          <c:yMode val="edge"/>
          <c:x val="0.86"/>
          <c:y val="0.186"/>
          <c:w val="0.12568306010929"/>
          <c:h val="0.505446623093682"/>
        </c:manualLayout>
      </c:layout>
      <c:overlay val="0"/>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75b57752-2d56-4418-b1d4-82668837a924}"/>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Info spid="_x0000_s2051"/>
    <customShpInfo spid="_x0000_s2052"/>
    <customShpInfo spid="_x0000_s2053"/>
    <customShpInfo spid="_x0000_s2054"/>
    <customShpInfo spid="_x0000_s2055"/>
    <customShpInfo spid="_x0000_s2056"/>
    <customShpInfo spid="_x0000_s2057"/>
    <customShpInfo spid="_x0000_s2075"/>
    <customShpInfo spid="_x0000_s2076"/>
    <customShpInfo spid="_x0000_s2074"/>
    <customShpInfo spid="_x0000_s2073"/>
    <customShpInfo spid="_x0000_s2072"/>
    <customShpInfo spid="_x0000_s2077"/>
    <customShpInfo spid="_x0000_s2078"/>
    <customShpInfo spid="_x0000_s2113"/>
    <customShpInfo spid="_x0000_s2111"/>
    <customShpInfo spid="_x0000_s209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B19947-6AE7-41C8-9678-897194725808}">
  <ds:schemaRefs/>
</ds:datastoreItem>
</file>

<file path=docProps/app.xml><?xml version="1.0" encoding="utf-8"?>
<Properties xmlns="http://schemas.openxmlformats.org/officeDocument/2006/extended-properties" xmlns:vt="http://schemas.openxmlformats.org/officeDocument/2006/docPropsVTypes">
  <Template>Normal</Template>
  <Company>sysu</Company>
  <Pages>232</Pages>
  <Words>2364</Words>
  <Characters>2751</Characters>
  <Lines>1852</Lines>
  <Paragraphs>521</Paragraphs>
  <TotalTime>5</TotalTime>
  <ScaleCrop>false</ScaleCrop>
  <LinksUpToDate>false</LinksUpToDate>
  <CharactersWithSpaces>3014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2021-05-27T05:26:00Z</dcterms:created>
  <dc:creator>yang.</dc:creator>
  <cp:lastModifiedBy>甘子轩</cp:lastModifiedBy>
  <cp:lastPrinted>2026-03-20T00:56:00Z</cp:lastPrinted>
  <dcterms:modified xsi:type="dcterms:W3CDTF">2026-04-29T03:13:37Z</dcterms:modified>
  <dc:title>证书编号：国环评证乙字第2834号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3F7D203ECA364D2C82BA4FD4F64E6A7C_13</vt:lpwstr>
  </property>
  <property fmtid="{D5CDD505-2E9C-101B-9397-08002B2CF9AE}" pid="4" name="KSOTemplateDocerSaveRecord">
    <vt:lpwstr>eyJoZGlkIjoiMTU5NTk4ZWY3MjY5NzNkMWM2OWZiZmQ1NjZjYTliODAiLCJ1c2VySWQiOiIyNTc1NzkxMzYifQ==</vt:lpwstr>
  </property>
</Properties>
</file>