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jc w:val="both"/>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附件：</w:t>
      </w:r>
    </w:p>
    <w:p>
      <w:pPr>
        <w:autoSpaceDE/>
        <w:autoSpaceDN/>
        <w:adjustRightInd/>
        <w:spacing w:line="400" w:lineRule="exact"/>
        <w:jc w:val="center"/>
        <w:rPr>
          <w:rFonts w:ascii="宋体" w:hAnsi="宋体" w:cs="宋体"/>
          <w:b/>
          <w:bCs/>
          <w:kern w:val="2"/>
          <w:sz w:val="44"/>
          <w:szCs w:val="44"/>
        </w:rPr>
      </w:pPr>
    </w:p>
    <w:p>
      <w:pPr>
        <w:autoSpaceDE/>
        <w:autoSpaceDN/>
        <w:adjustRightInd/>
        <w:spacing w:line="600" w:lineRule="exact"/>
        <w:jc w:val="center"/>
        <w:rPr>
          <w:rFonts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鹤山市2026年中央财政衔接推进乡村振兴补助资金</w:t>
      </w:r>
    </w:p>
    <w:tbl>
      <w:tblPr>
        <w:tblStyle w:val="7"/>
        <w:tblpPr w:leftFromText="180" w:rightFromText="180" w:vertAnchor="text" w:horzAnchor="page" w:tblpXSpec="center" w:tblpY="766"/>
        <w:tblOverlap w:val="never"/>
        <w:tblW w:w="142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905"/>
        <w:gridCol w:w="1845"/>
        <w:gridCol w:w="6015"/>
        <w:gridCol w:w="1095"/>
        <w:gridCol w:w="118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800" w:type="dxa"/>
            <w:vMerge w:val="restart"/>
            <w:vAlign w:val="center"/>
          </w:tcPr>
          <w:p>
            <w:pPr>
              <w:autoSpaceDE/>
              <w:autoSpaceDN/>
              <w:adjustRightInd/>
              <w:jc w:val="center"/>
              <w:rPr>
                <w:rFonts w:ascii="方正黑体_GBK" w:hAnsi="方正黑体_GBK" w:eastAsia="方正黑体_GBK" w:cs="方正黑体_GBK"/>
                <w:kern w:val="2"/>
                <w:sz w:val="28"/>
                <w:szCs w:val="28"/>
              </w:rPr>
            </w:pPr>
            <w:r>
              <w:rPr>
                <w:rFonts w:hint="eastAsia" w:ascii="方正黑体_GBK" w:hAnsi="方正黑体_GBK" w:eastAsia="方正黑体_GBK" w:cs="方正黑体_GBK"/>
                <w:kern w:val="2"/>
                <w:sz w:val="28"/>
                <w:szCs w:val="28"/>
              </w:rPr>
              <w:t>序号</w:t>
            </w:r>
          </w:p>
        </w:tc>
        <w:tc>
          <w:tcPr>
            <w:tcW w:w="1905" w:type="dxa"/>
            <w:vMerge w:val="restart"/>
            <w:vAlign w:val="center"/>
          </w:tcPr>
          <w:p>
            <w:pPr>
              <w:autoSpaceDE/>
              <w:autoSpaceDN/>
              <w:adjustRightInd/>
              <w:jc w:val="center"/>
              <w:rPr>
                <w:rFonts w:ascii="方正黑体_GBK" w:hAnsi="方正黑体_GBK" w:eastAsia="方正黑体_GBK" w:cs="方正黑体_GBK"/>
                <w:kern w:val="2"/>
                <w:sz w:val="28"/>
                <w:szCs w:val="28"/>
              </w:rPr>
            </w:pPr>
            <w:r>
              <w:rPr>
                <w:rFonts w:hint="eastAsia" w:ascii="方正黑体_GBK" w:hAnsi="方正黑体_GBK" w:eastAsia="方正黑体_GBK" w:cs="方正黑体_GBK"/>
                <w:kern w:val="2"/>
                <w:sz w:val="28"/>
                <w:szCs w:val="28"/>
              </w:rPr>
              <w:t>项目名称</w:t>
            </w:r>
          </w:p>
        </w:tc>
        <w:tc>
          <w:tcPr>
            <w:tcW w:w="1845" w:type="dxa"/>
            <w:vMerge w:val="restart"/>
            <w:vAlign w:val="center"/>
          </w:tcPr>
          <w:p>
            <w:pPr>
              <w:autoSpaceDE/>
              <w:autoSpaceDN/>
              <w:adjustRightInd/>
              <w:jc w:val="center"/>
              <w:rPr>
                <w:rFonts w:ascii="方正黑体_GBK" w:hAnsi="方正黑体_GBK" w:eastAsia="方正黑体_GBK" w:cs="方正黑体_GBK"/>
                <w:kern w:val="2"/>
                <w:sz w:val="28"/>
                <w:szCs w:val="28"/>
              </w:rPr>
            </w:pPr>
            <w:r>
              <w:rPr>
                <w:rFonts w:hint="eastAsia" w:ascii="方正黑体_GBK" w:hAnsi="方正黑体_GBK" w:eastAsia="方正黑体_GBK" w:cs="方正黑体_GBK"/>
                <w:kern w:val="2"/>
                <w:sz w:val="28"/>
                <w:szCs w:val="28"/>
              </w:rPr>
              <w:t>实施主体</w:t>
            </w:r>
          </w:p>
        </w:tc>
        <w:tc>
          <w:tcPr>
            <w:tcW w:w="6015" w:type="dxa"/>
            <w:vMerge w:val="restart"/>
            <w:vAlign w:val="center"/>
          </w:tcPr>
          <w:p>
            <w:pPr>
              <w:autoSpaceDE/>
              <w:autoSpaceDN/>
              <w:adjustRightInd/>
              <w:jc w:val="center"/>
              <w:rPr>
                <w:rFonts w:ascii="方正黑体_GBK" w:hAnsi="方正黑体_GBK" w:eastAsia="方正黑体_GBK" w:cs="方正黑体_GBK"/>
                <w:kern w:val="2"/>
                <w:sz w:val="28"/>
                <w:szCs w:val="28"/>
              </w:rPr>
            </w:pPr>
            <w:r>
              <w:rPr>
                <w:rFonts w:hint="eastAsia" w:ascii="方正黑体_GBK" w:hAnsi="方正黑体_GBK" w:eastAsia="方正黑体_GBK" w:cs="方正黑体_GBK"/>
                <w:kern w:val="2"/>
                <w:sz w:val="28"/>
                <w:szCs w:val="28"/>
              </w:rPr>
              <w:t>建设内容</w:t>
            </w:r>
          </w:p>
        </w:tc>
        <w:tc>
          <w:tcPr>
            <w:tcW w:w="3720" w:type="dxa"/>
            <w:gridSpan w:val="3"/>
            <w:vAlign w:val="center"/>
          </w:tcPr>
          <w:p>
            <w:pPr>
              <w:autoSpaceDE/>
              <w:autoSpaceDN/>
              <w:adjustRightInd/>
              <w:jc w:val="center"/>
              <w:rPr>
                <w:rFonts w:ascii="方正黑体_GBK" w:hAnsi="方正黑体_GBK" w:eastAsia="方正黑体_GBK" w:cs="方正黑体_GBK"/>
                <w:kern w:val="2"/>
                <w:sz w:val="28"/>
                <w:szCs w:val="28"/>
              </w:rPr>
            </w:pPr>
            <w:r>
              <w:rPr>
                <w:rFonts w:hint="eastAsia" w:ascii="方正黑体_GBK" w:hAnsi="方正黑体_GBK" w:eastAsia="方正黑体_GBK" w:cs="方正黑体_GBK"/>
                <w:kern w:val="2"/>
                <w:sz w:val="28"/>
                <w:szCs w:val="28"/>
              </w:rPr>
              <w:t>投资金额（万元）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800" w:type="dxa"/>
            <w:vMerge w:val="continue"/>
            <w:vAlign w:val="center"/>
          </w:tcPr>
          <w:p>
            <w:pPr>
              <w:autoSpaceDE/>
              <w:autoSpaceDN/>
              <w:adjustRightInd/>
              <w:jc w:val="center"/>
              <w:rPr>
                <w:rFonts w:ascii="方正黑体_GBK" w:hAnsi="方正黑体_GBK" w:eastAsia="方正黑体_GBK" w:cs="方正黑体_GBK"/>
                <w:kern w:val="2"/>
                <w:sz w:val="28"/>
                <w:szCs w:val="28"/>
              </w:rPr>
            </w:pPr>
          </w:p>
        </w:tc>
        <w:tc>
          <w:tcPr>
            <w:tcW w:w="1905" w:type="dxa"/>
            <w:vMerge w:val="continue"/>
            <w:vAlign w:val="center"/>
          </w:tcPr>
          <w:p>
            <w:pPr>
              <w:autoSpaceDE/>
              <w:autoSpaceDN/>
              <w:adjustRightInd/>
              <w:jc w:val="center"/>
              <w:rPr>
                <w:rFonts w:ascii="方正黑体_GBK" w:hAnsi="方正黑体_GBK" w:eastAsia="方正黑体_GBK" w:cs="方正黑体_GBK"/>
                <w:kern w:val="2"/>
                <w:sz w:val="28"/>
                <w:szCs w:val="28"/>
              </w:rPr>
            </w:pPr>
          </w:p>
        </w:tc>
        <w:tc>
          <w:tcPr>
            <w:tcW w:w="1845" w:type="dxa"/>
            <w:vMerge w:val="continue"/>
            <w:vAlign w:val="center"/>
          </w:tcPr>
          <w:p>
            <w:pPr>
              <w:autoSpaceDE/>
              <w:autoSpaceDN/>
              <w:adjustRightInd/>
              <w:jc w:val="center"/>
              <w:rPr>
                <w:rFonts w:ascii="方正黑体_GBK" w:hAnsi="方正黑体_GBK" w:eastAsia="方正黑体_GBK" w:cs="方正黑体_GBK"/>
                <w:kern w:val="2"/>
                <w:sz w:val="28"/>
                <w:szCs w:val="28"/>
              </w:rPr>
            </w:pPr>
          </w:p>
        </w:tc>
        <w:tc>
          <w:tcPr>
            <w:tcW w:w="6015" w:type="dxa"/>
            <w:vMerge w:val="continue"/>
            <w:vAlign w:val="center"/>
          </w:tcPr>
          <w:p>
            <w:pPr>
              <w:autoSpaceDE/>
              <w:autoSpaceDN/>
              <w:adjustRightInd/>
              <w:jc w:val="center"/>
              <w:rPr>
                <w:rFonts w:ascii="方正黑体_GBK" w:hAnsi="方正黑体_GBK" w:eastAsia="方正黑体_GBK" w:cs="方正黑体_GBK"/>
                <w:kern w:val="2"/>
                <w:sz w:val="28"/>
                <w:szCs w:val="28"/>
              </w:rPr>
            </w:pPr>
          </w:p>
        </w:tc>
        <w:tc>
          <w:tcPr>
            <w:tcW w:w="1095" w:type="dxa"/>
            <w:vAlign w:val="center"/>
          </w:tcPr>
          <w:p>
            <w:pPr>
              <w:autoSpaceDE/>
              <w:autoSpaceDN/>
              <w:adjustRightInd/>
              <w:jc w:val="center"/>
              <w:rPr>
                <w:rFonts w:ascii="方正黑体_GBK" w:hAnsi="方正黑体_GBK" w:eastAsia="方正黑体_GBK" w:cs="方正黑体_GBK"/>
                <w:kern w:val="2"/>
                <w:sz w:val="21"/>
                <w:szCs w:val="21"/>
              </w:rPr>
            </w:pPr>
            <w:r>
              <w:rPr>
                <w:rFonts w:hint="eastAsia" w:ascii="方正黑体_GBK" w:hAnsi="方正黑体_GBK" w:eastAsia="方正黑体_GBK" w:cs="方正黑体_GBK"/>
                <w:kern w:val="2"/>
                <w:sz w:val="21"/>
                <w:szCs w:val="21"/>
              </w:rPr>
              <w:t>合计</w:t>
            </w:r>
          </w:p>
        </w:tc>
        <w:tc>
          <w:tcPr>
            <w:tcW w:w="1185" w:type="dxa"/>
            <w:vAlign w:val="center"/>
          </w:tcPr>
          <w:p>
            <w:pPr>
              <w:autoSpaceDE/>
              <w:autoSpaceDN/>
              <w:adjustRightInd/>
              <w:spacing w:line="220" w:lineRule="exact"/>
              <w:jc w:val="center"/>
              <w:rPr>
                <w:rFonts w:ascii="方正黑体_GBK" w:hAnsi="方正黑体_GBK" w:eastAsia="方正黑体_GBK" w:cs="方正黑体_GBK"/>
                <w:kern w:val="2"/>
                <w:sz w:val="21"/>
                <w:szCs w:val="21"/>
              </w:rPr>
            </w:pPr>
            <w:r>
              <w:rPr>
                <w:rFonts w:hint="eastAsia" w:ascii="方正黑体_GBK" w:hAnsi="方正黑体_GBK" w:eastAsia="方正黑体_GBK" w:cs="方正黑体_GBK"/>
                <w:kern w:val="2"/>
                <w:sz w:val="21"/>
                <w:szCs w:val="21"/>
              </w:rPr>
              <w:t>其中财政补助金额</w:t>
            </w:r>
          </w:p>
        </w:tc>
        <w:tc>
          <w:tcPr>
            <w:tcW w:w="1440" w:type="dxa"/>
            <w:vAlign w:val="center"/>
          </w:tcPr>
          <w:p>
            <w:pPr>
              <w:autoSpaceDE/>
              <w:autoSpaceDN/>
              <w:adjustRightInd/>
              <w:spacing w:line="220" w:lineRule="exact"/>
              <w:jc w:val="center"/>
              <w:rPr>
                <w:rFonts w:ascii="方正黑体_GBK" w:hAnsi="方正黑体_GBK" w:eastAsia="方正黑体_GBK" w:cs="方正黑体_GBK"/>
                <w:kern w:val="2"/>
                <w:sz w:val="21"/>
                <w:szCs w:val="21"/>
              </w:rPr>
            </w:pPr>
            <w:r>
              <w:rPr>
                <w:rFonts w:hint="eastAsia" w:ascii="方正黑体_GBK" w:hAnsi="方正黑体_GBK" w:eastAsia="方正黑体_GBK" w:cs="方正黑体_GBK"/>
                <w:kern w:val="2"/>
                <w:sz w:val="21"/>
                <w:szCs w:val="21"/>
              </w:rPr>
              <w:t>其中自筹</w:t>
            </w:r>
          </w:p>
          <w:p>
            <w:pPr>
              <w:autoSpaceDE/>
              <w:autoSpaceDN/>
              <w:adjustRightInd/>
              <w:spacing w:line="220" w:lineRule="exact"/>
              <w:jc w:val="center"/>
              <w:rPr>
                <w:rFonts w:ascii="方正黑体_GBK" w:hAnsi="方正黑体_GBK" w:eastAsia="方正黑体_GBK" w:cs="方正黑体_GBK"/>
                <w:kern w:val="2"/>
                <w:sz w:val="21"/>
                <w:szCs w:val="21"/>
              </w:rPr>
            </w:pPr>
            <w:r>
              <w:rPr>
                <w:rFonts w:hint="eastAsia" w:ascii="方正黑体_GBK" w:hAnsi="方正黑体_GBK" w:eastAsia="方正黑体_GBK" w:cs="方正黑体_GBK"/>
                <w:kern w:val="2"/>
                <w:sz w:val="21"/>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0" w:hRule="exact"/>
          <w:jc w:val="center"/>
        </w:trPr>
        <w:tc>
          <w:tcPr>
            <w:tcW w:w="800" w:type="dxa"/>
            <w:vAlign w:val="center"/>
          </w:tcPr>
          <w:p>
            <w:pPr>
              <w:autoSpaceDE/>
              <w:autoSpaceDN/>
              <w:adjustRightInd/>
              <w:jc w:val="center"/>
              <w:rPr>
                <w:kern w:val="2"/>
              </w:rPr>
            </w:pPr>
            <w:r>
              <w:rPr>
                <w:kern w:val="2"/>
              </w:rPr>
              <w:t>1</w:t>
            </w:r>
          </w:p>
        </w:tc>
        <w:tc>
          <w:tcPr>
            <w:tcW w:w="1905" w:type="dxa"/>
            <w:vAlign w:val="center"/>
          </w:tcPr>
          <w:p>
            <w:pPr>
              <w:autoSpaceDE/>
              <w:autoSpaceDN/>
              <w:adjustRightInd/>
              <w:spacing w:line="360" w:lineRule="exact"/>
              <w:jc w:val="center"/>
              <w:rPr>
                <w:kern w:val="2"/>
              </w:rPr>
            </w:pPr>
            <w:r>
              <w:rPr>
                <w:rFonts w:hint="eastAsia"/>
                <w:kern w:val="2"/>
              </w:rPr>
              <w:t xml:space="preserve">大凹景华村环境整治工程 </w:t>
            </w:r>
          </w:p>
        </w:tc>
        <w:tc>
          <w:tcPr>
            <w:tcW w:w="1845" w:type="dxa"/>
            <w:vAlign w:val="center"/>
          </w:tcPr>
          <w:p>
            <w:pPr>
              <w:autoSpaceDE/>
              <w:autoSpaceDN/>
              <w:adjustRightInd/>
              <w:spacing w:line="360" w:lineRule="exact"/>
              <w:jc w:val="center"/>
              <w:rPr>
                <w:kern w:val="2"/>
              </w:rPr>
            </w:pPr>
            <w:r>
              <w:rPr>
                <w:rFonts w:hint="eastAsia"/>
                <w:kern w:val="2"/>
              </w:rPr>
              <w:t>鹤山市共和镇大凹村民委员会</w:t>
            </w:r>
          </w:p>
        </w:tc>
        <w:tc>
          <w:tcPr>
            <w:tcW w:w="6015" w:type="dxa"/>
            <w:vAlign w:val="center"/>
          </w:tcPr>
          <w:p>
            <w:pPr>
              <w:autoSpaceDE/>
              <w:autoSpaceDN/>
              <w:adjustRightInd/>
              <w:spacing w:line="360" w:lineRule="exact"/>
              <w:ind w:firstLine="480" w:firstLineChars="200"/>
              <w:rPr>
                <w:kern w:val="2"/>
              </w:rPr>
            </w:pPr>
            <w:r>
              <w:rPr>
                <w:rFonts w:hint="eastAsia"/>
                <w:kern w:val="2"/>
              </w:rPr>
              <w:t>围绕大凹景华村村口30多亩农田，进行周边环境整治提升，整治农田周边排水渠长约200米和闲置地约3亩，增设路灯，改造老旧的瓜菜交易点，将交易点与村道连接处约100平方米进行硬底化，划分交易卡位，并设置大凹“三瓜两豆”等农产品展区，建设成为便民促农的蔬菜交易服务点。</w:t>
            </w:r>
          </w:p>
        </w:tc>
        <w:tc>
          <w:tcPr>
            <w:tcW w:w="1095" w:type="dxa"/>
            <w:vAlign w:val="center"/>
          </w:tcPr>
          <w:p>
            <w:pPr>
              <w:autoSpaceDE/>
              <w:autoSpaceDN/>
              <w:adjustRightInd/>
              <w:jc w:val="center"/>
              <w:rPr>
                <w:kern w:val="2"/>
              </w:rPr>
            </w:pPr>
            <w:r>
              <w:rPr>
                <w:rFonts w:hint="eastAsia"/>
                <w:kern w:val="2"/>
              </w:rPr>
              <w:t>7</w:t>
            </w:r>
            <w:r>
              <w:rPr>
                <w:kern w:val="2"/>
              </w:rPr>
              <w:t>2</w:t>
            </w:r>
          </w:p>
        </w:tc>
        <w:tc>
          <w:tcPr>
            <w:tcW w:w="1185" w:type="dxa"/>
            <w:vAlign w:val="center"/>
          </w:tcPr>
          <w:p>
            <w:pPr>
              <w:autoSpaceDE/>
              <w:autoSpaceDN/>
              <w:adjustRightInd/>
              <w:jc w:val="center"/>
              <w:rPr>
                <w:kern w:val="2"/>
              </w:rPr>
            </w:pPr>
            <w:r>
              <w:rPr>
                <w:rFonts w:hint="eastAsia"/>
                <w:kern w:val="2"/>
              </w:rPr>
              <w:t>40</w:t>
            </w:r>
          </w:p>
        </w:tc>
        <w:tc>
          <w:tcPr>
            <w:tcW w:w="1440" w:type="dxa"/>
            <w:vAlign w:val="center"/>
          </w:tcPr>
          <w:p>
            <w:pPr>
              <w:autoSpaceDE/>
              <w:autoSpaceDN/>
              <w:adjustRightInd/>
              <w:jc w:val="center"/>
              <w:rPr>
                <w:kern w:val="2"/>
              </w:rPr>
            </w:pPr>
            <w:r>
              <w:rPr>
                <w:rFonts w:hint="eastAsia"/>
                <w:kern w:val="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7" w:hRule="exact"/>
          <w:jc w:val="center"/>
        </w:trPr>
        <w:tc>
          <w:tcPr>
            <w:tcW w:w="800" w:type="dxa"/>
            <w:vAlign w:val="center"/>
          </w:tcPr>
          <w:p>
            <w:pPr>
              <w:autoSpaceDE/>
              <w:autoSpaceDN/>
              <w:adjustRightInd/>
              <w:jc w:val="center"/>
              <w:rPr>
                <w:kern w:val="2"/>
              </w:rPr>
            </w:pPr>
            <w:r>
              <w:rPr>
                <w:kern w:val="2"/>
              </w:rPr>
              <w:t>2</w:t>
            </w:r>
          </w:p>
        </w:tc>
        <w:tc>
          <w:tcPr>
            <w:tcW w:w="1905" w:type="dxa"/>
            <w:vAlign w:val="center"/>
          </w:tcPr>
          <w:p>
            <w:pPr>
              <w:autoSpaceDE/>
              <w:autoSpaceDN/>
              <w:adjustRightInd/>
              <w:spacing w:line="360" w:lineRule="exact"/>
              <w:jc w:val="center"/>
              <w:rPr>
                <w:kern w:val="2"/>
              </w:rPr>
            </w:pPr>
            <w:r>
              <w:rPr>
                <w:rFonts w:hint="eastAsia"/>
                <w:kern w:val="2"/>
              </w:rPr>
              <w:t>桃源镇村级厂房（创兴楼）建设项目</w:t>
            </w:r>
          </w:p>
        </w:tc>
        <w:tc>
          <w:tcPr>
            <w:tcW w:w="1845" w:type="dxa"/>
            <w:vAlign w:val="center"/>
          </w:tcPr>
          <w:p>
            <w:pPr>
              <w:autoSpaceDE/>
              <w:autoSpaceDN/>
              <w:adjustRightInd/>
              <w:spacing w:line="360" w:lineRule="exact"/>
              <w:jc w:val="center"/>
              <w:rPr>
                <w:kern w:val="2"/>
              </w:rPr>
            </w:pPr>
            <w:r>
              <w:rPr>
                <w:rFonts w:hint="eastAsia"/>
                <w:kern w:val="2"/>
              </w:rPr>
              <w:t>鹤山市桃源镇富岗村集体经济组织</w:t>
            </w:r>
          </w:p>
        </w:tc>
        <w:tc>
          <w:tcPr>
            <w:tcW w:w="6015" w:type="dxa"/>
            <w:vAlign w:val="center"/>
          </w:tcPr>
          <w:p>
            <w:pPr>
              <w:autoSpaceDE/>
              <w:autoSpaceDN/>
              <w:adjustRightInd/>
              <w:spacing w:line="360" w:lineRule="exact"/>
              <w:ind w:firstLine="480" w:firstLineChars="200"/>
              <w:rPr>
                <w:kern w:val="2"/>
              </w:rPr>
            </w:pPr>
            <w:r>
              <w:rPr>
                <w:rFonts w:hint="eastAsia"/>
                <w:kern w:val="2"/>
              </w:rPr>
              <w:t>桃源镇目前正发展蓝龙虾养殖生产，随着产业的发展，农产品产地冷藏保鲜、冷链物流等配套设施变得极其重要。由富岗村集体经济组织及蟠龙村北古组集体经济组织合资建设一座三层厂房，占地面积1000平方米。计划一层用于农产品产地冷藏保鲜、冷链物流等；二、三层计划引进特色手工制造、农产品加工等小微企业。</w:t>
            </w:r>
          </w:p>
        </w:tc>
        <w:tc>
          <w:tcPr>
            <w:tcW w:w="1095" w:type="dxa"/>
            <w:vAlign w:val="center"/>
          </w:tcPr>
          <w:p>
            <w:pPr>
              <w:autoSpaceDE/>
              <w:autoSpaceDN/>
              <w:adjustRightInd/>
              <w:jc w:val="center"/>
              <w:rPr>
                <w:kern w:val="2"/>
              </w:rPr>
            </w:pPr>
            <w:r>
              <w:rPr>
                <w:rFonts w:hint="eastAsia"/>
                <w:kern w:val="2"/>
              </w:rPr>
              <w:t>200</w:t>
            </w:r>
          </w:p>
        </w:tc>
        <w:tc>
          <w:tcPr>
            <w:tcW w:w="1185" w:type="dxa"/>
            <w:vAlign w:val="center"/>
          </w:tcPr>
          <w:p>
            <w:pPr>
              <w:autoSpaceDE/>
              <w:autoSpaceDN/>
              <w:adjustRightInd/>
              <w:jc w:val="center"/>
              <w:rPr>
                <w:kern w:val="2"/>
              </w:rPr>
            </w:pPr>
            <w:r>
              <w:rPr>
                <w:rFonts w:hint="eastAsia"/>
                <w:kern w:val="2"/>
              </w:rPr>
              <w:t>62</w:t>
            </w:r>
          </w:p>
        </w:tc>
        <w:tc>
          <w:tcPr>
            <w:tcW w:w="1440" w:type="dxa"/>
            <w:vAlign w:val="center"/>
          </w:tcPr>
          <w:p>
            <w:pPr>
              <w:autoSpaceDE/>
              <w:autoSpaceDN/>
              <w:adjustRightInd/>
              <w:jc w:val="center"/>
              <w:rPr>
                <w:kern w:val="2"/>
              </w:rPr>
            </w:pPr>
            <w:r>
              <w:rPr>
                <w:rFonts w:hint="eastAsia"/>
                <w:kern w:val="2"/>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0565" w:type="dxa"/>
            <w:gridSpan w:val="4"/>
            <w:vAlign w:val="center"/>
          </w:tcPr>
          <w:p>
            <w:pPr>
              <w:autoSpaceDE/>
              <w:autoSpaceDN/>
              <w:adjustRightInd/>
              <w:jc w:val="center"/>
              <w:rPr>
                <w:kern w:val="2"/>
              </w:rPr>
            </w:pPr>
            <w:r>
              <w:rPr>
                <w:kern w:val="2"/>
              </w:rPr>
              <w:t>合计</w:t>
            </w:r>
          </w:p>
        </w:tc>
        <w:tc>
          <w:tcPr>
            <w:tcW w:w="1095" w:type="dxa"/>
            <w:vAlign w:val="center"/>
          </w:tcPr>
          <w:p>
            <w:pPr>
              <w:autoSpaceDE/>
              <w:autoSpaceDN/>
              <w:adjustRightInd/>
              <w:jc w:val="center"/>
              <w:rPr>
                <w:kern w:val="2"/>
              </w:rPr>
            </w:pPr>
            <w:r>
              <w:rPr>
                <w:rFonts w:hint="eastAsia"/>
                <w:kern w:val="2"/>
              </w:rPr>
              <w:t>272</w:t>
            </w:r>
          </w:p>
        </w:tc>
        <w:tc>
          <w:tcPr>
            <w:tcW w:w="1185" w:type="dxa"/>
            <w:vAlign w:val="center"/>
          </w:tcPr>
          <w:p>
            <w:pPr>
              <w:autoSpaceDE/>
              <w:autoSpaceDN/>
              <w:adjustRightInd/>
              <w:jc w:val="center"/>
              <w:rPr>
                <w:kern w:val="2"/>
              </w:rPr>
            </w:pPr>
            <w:r>
              <w:rPr>
                <w:rFonts w:hint="eastAsia"/>
                <w:kern w:val="2"/>
              </w:rPr>
              <w:t>102</w:t>
            </w:r>
          </w:p>
        </w:tc>
        <w:tc>
          <w:tcPr>
            <w:tcW w:w="1440" w:type="dxa"/>
            <w:vAlign w:val="center"/>
          </w:tcPr>
          <w:p>
            <w:pPr>
              <w:autoSpaceDE/>
              <w:autoSpaceDN/>
              <w:adjustRightInd/>
              <w:jc w:val="center"/>
              <w:rPr>
                <w:kern w:val="2"/>
              </w:rPr>
            </w:pPr>
            <w:r>
              <w:rPr>
                <w:rFonts w:hint="eastAsia"/>
                <w:kern w:val="2"/>
              </w:rPr>
              <w:t>170</w:t>
            </w:r>
          </w:p>
        </w:tc>
      </w:tr>
    </w:tbl>
    <w:p>
      <w:pPr>
        <w:autoSpaceDE/>
        <w:autoSpaceDN/>
        <w:adjustRightInd/>
        <w:spacing w:line="600" w:lineRule="exact"/>
        <w:jc w:val="center"/>
        <w:rPr>
          <w:rFonts w:cs="黑体"/>
          <w:kern w:val="2"/>
        </w:rPr>
      </w:pPr>
      <w:bookmarkStart w:id="0" w:name="_GoBack"/>
      <w:bookmarkEnd w:id="0"/>
      <w:r>
        <w:rPr>
          <w:rFonts w:hint="eastAsia" w:ascii="方正小标宋_GBK" w:hAnsi="方正小标宋_GBK" w:eastAsia="方正小标宋_GBK" w:cs="方正小标宋_GBK"/>
          <w:kern w:val="2"/>
          <w:sz w:val="44"/>
          <w:szCs w:val="44"/>
        </w:rPr>
        <w:t>支持主体名单及资金分配表</w:t>
      </w:r>
    </w:p>
    <w:sectPr>
      <w:headerReference r:id="rId3" w:type="default"/>
      <w:footerReference r:id="rId4" w:type="default"/>
      <w:pgSz w:w="16838" w:h="11906" w:orient="landscape"/>
      <w:pgMar w:top="1531" w:right="2098" w:bottom="1531" w:left="1985"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rPr>
        <w:kern w:val="2"/>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-118745</wp:posOffset>
              </wp:positionV>
              <wp:extent cx="464820" cy="258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464820" cy="258445"/>
                      </a:xfrm>
                      <a:prstGeom prst="rect">
                        <a:avLst/>
                      </a:prstGeom>
                      <a:noFill/>
                      <a:ln>
                        <a:noFill/>
                      </a:ln>
                    </wps:spPr>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square" lIns="0" tIns="0" rIns="0" bIns="0"/>
                  </wps:wsp>
                </a:graphicData>
              </a:graphic>
            </wp:anchor>
          </w:drawing>
        </mc:Choice>
        <mc:Fallback>
          <w:pict>
            <v:shape id="文本框 2" o:spid="_x0000_s1026" o:spt="202" type="#_x0000_t202" style="position:absolute;left:0pt;margin-top:-9.35pt;height:20.35pt;width:36.6pt;mso-position-horizontal:outside;mso-position-horizontal-relative:margin;z-index:251659264;mso-width-relative:page;mso-height-relative:page;" filled="f" stroked="f" coordsize="21600,21600" o:gfxdata="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tYSgzWAAAABgEAAA8AAAAAAAAA&#10;AQAgAAAAIgAAAGRycy9kb3ducmV2LnhtbFBLAQIUABQAAAAIAIdO4kCjyezkoQEAACUDAAAOAAAA&#10;AAAAAAEAIAAAACUBAABkcnMvZTJvRG9jLnhtbFBLBQYAAAAABgAGAFkBAAA4BQAAAAA=&#10;">
              <v:fill on="f" focussize="0,0"/>
              <v:stroke on="f"/>
              <v:imagedata o:title=""/>
              <o:lock v:ext="edit" aspectratio="f"/>
              <v:textbox inset="0mm,0mm,0mm,0mm">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right w:val="none" w:color="auto" w:sz="0" w:space="4"/>
      </w:pBdr>
      <w:tabs>
        <w:tab w:val="center" w:pos="4153"/>
        <w:tab w:val="right" w:pos="8306"/>
      </w:tabs>
      <w:snapToGrid w:val="0"/>
      <w:jc w:val="both"/>
      <w:rPr>
        <w:kern w:val="2"/>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F0410"/>
    <w:rsid w:val="000774B4"/>
    <w:rsid w:val="00094DBF"/>
    <w:rsid w:val="000E5DC9"/>
    <w:rsid w:val="00103335"/>
    <w:rsid w:val="00156C51"/>
    <w:rsid w:val="00256D50"/>
    <w:rsid w:val="00257778"/>
    <w:rsid w:val="00263945"/>
    <w:rsid w:val="002747B1"/>
    <w:rsid w:val="002B2335"/>
    <w:rsid w:val="002D5182"/>
    <w:rsid w:val="0037697C"/>
    <w:rsid w:val="00415021"/>
    <w:rsid w:val="004C5533"/>
    <w:rsid w:val="0050750D"/>
    <w:rsid w:val="00575AC0"/>
    <w:rsid w:val="005B66F2"/>
    <w:rsid w:val="005C526D"/>
    <w:rsid w:val="00636E3C"/>
    <w:rsid w:val="0068367F"/>
    <w:rsid w:val="00705133"/>
    <w:rsid w:val="0070752A"/>
    <w:rsid w:val="00790E61"/>
    <w:rsid w:val="007A58B4"/>
    <w:rsid w:val="007D15A4"/>
    <w:rsid w:val="007E5D2D"/>
    <w:rsid w:val="007F74FD"/>
    <w:rsid w:val="00876F95"/>
    <w:rsid w:val="008A5B46"/>
    <w:rsid w:val="00991287"/>
    <w:rsid w:val="00A047FD"/>
    <w:rsid w:val="00A11B61"/>
    <w:rsid w:val="00B420CD"/>
    <w:rsid w:val="00B74634"/>
    <w:rsid w:val="00C95916"/>
    <w:rsid w:val="00CD67DD"/>
    <w:rsid w:val="00D40775"/>
    <w:rsid w:val="00E23CBC"/>
    <w:rsid w:val="00E3341E"/>
    <w:rsid w:val="00F63C97"/>
    <w:rsid w:val="00FE67FE"/>
    <w:rsid w:val="01032130"/>
    <w:rsid w:val="028D0903"/>
    <w:rsid w:val="07304807"/>
    <w:rsid w:val="07746B8F"/>
    <w:rsid w:val="08990984"/>
    <w:rsid w:val="0A9357F1"/>
    <w:rsid w:val="0B2C615F"/>
    <w:rsid w:val="0B9F3353"/>
    <w:rsid w:val="0BD0182E"/>
    <w:rsid w:val="0D4503EB"/>
    <w:rsid w:val="0DAA0B4A"/>
    <w:rsid w:val="104F2609"/>
    <w:rsid w:val="10DC4870"/>
    <w:rsid w:val="1163203A"/>
    <w:rsid w:val="146E2940"/>
    <w:rsid w:val="19101E97"/>
    <w:rsid w:val="1B214BF1"/>
    <w:rsid w:val="1C8168B8"/>
    <w:rsid w:val="1FC544D1"/>
    <w:rsid w:val="20471028"/>
    <w:rsid w:val="23BA289F"/>
    <w:rsid w:val="2424334F"/>
    <w:rsid w:val="249C386A"/>
    <w:rsid w:val="24D94EC8"/>
    <w:rsid w:val="25192FFE"/>
    <w:rsid w:val="27244C60"/>
    <w:rsid w:val="2941138C"/>
    <w:rsid w:val="29800C7C"/>
    <w:rsid w:val="2E115053"/>
    <w:rsid w:val="2F765894"/>
    <w:rsid w:val="30AD405D"/>
    <w:rsid w:val="320E3DA6"/>
    <w:rsid w:val="33FA023E"/>
    <w:rsid w:val="359968B9"/>
    <w:rsid w:val="35A01084"/>
    <w:rsid w:val="383D4C49"/>
    <w:rsid w:val="39005E3D"/>
    <w:rsid w:val="39ED59EA"/>
    <w:rsid w:val="3B2A7A78"/>
    <w:rsid w:val="403A0C9B"/>
    <w:rsid w:val="40DC54AA"/>
    <w:rsid w:val="41AA2585"/>
    <w:rsid w:val="446E6515"/>
    <w:rsid w:val="47003A88"/>
    <w:rsid w:val="47842302"/>
    <w:rsid w:val="48064B97"/>
    <w:rsid w:val="48F0084C"/>
    <w:rsid w:val="491A4DE0"/>
    <w:rsid w:val="4B1C2A87"/>
    <w:rsid w:val="4BB95B84"/>
    <w:rsid w:val="4CF33222"/>
    <w:rsid w:val="4D711D2A"/>
    <w:rsid w:val="4D8428AA"/>
    <w:rsid w:val="4FAC6DC2"/>
    <w:rsid w:val="51AD16C4"/>
    <w:rsid w:val="52941B7B"/>
    <w:rsid w:val="53A67C9D"/>
    <w:rsid w:val="53D231A4"/>
    <w:rsid w:val="58E240B0"/>
    <w:rsid w:val="5D104E36"/>
    <w:rsid w:val="5EE4746B"/>
    <w:rsid w:val="63ED0128"/>
    <w:rsid w:val="642136FA"/>
    <w:rsid w:val="69713710"/>
    <w:rsid w:val="6AD92BE4"/>
    <w:rsid w:val="707726F4"/>
    <w:rsid w:val="7145149B"/>
    <w:rsid w:val="71547C16"/>
    <w:rsid w:val="754C7223"/>
    <w:rsid w:val="76A30DDC"/>
    <w:rsid w:val="7CAF0410"/>
    <w:rsid w:val="7D0355C7"/>
    <w:rsid w:val="7D3F0F24"/>
    <w:rsid w:val="7E8553A8"/>
    <w:rsid w:val="7F7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5"/>
    <w:basedOn w:val="1"/>
    <w:qFormat/>
    <w:uiPriority w:val="0"/>
    <w:pPr>
      <w:ind w:firstLine="200"/>
    </w:pPr>
    <w:rPr>
      <w:rFonts w:ascii="Calibri" w:hAnsi="Calibri" w:cs="黑体"/>
    </w:rPr>
  </w:style>
  <w:style w:type="paragraph" w:styleId="3">
    <w:name w:val="Body Text"/>
    <w:basedOn w:val="1"/>
    <w:unhideWhenUsed/>
    <w:qFormat/>
    <w:uiPriority w:val="1"/>
    <w:pPr>
      <w:ind w:left="40"/>
    </w:pPr>
    <w:rPr>
      <w:rFonts w:hint="eastAsia" w:ascii="方正小标宋简体" w:hAnsi="方正小标宋简体" w:eastAsia="方正小标宋简体"/>
      <w:sz w:val="44"/>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List Paragraph"/>
    <w:basedOn w:val="1"/>
    <w:qFormat/>
    <w:uiPriority w:val="1"/>
  </w:style>
  <w:style w:type="paragraph" w:customStyle="1" w:styleId="9">
    <w:name w:val="正文首行缩进1"/>
    <w:basedOn w:val="3"/>
    <w:qFormat/>
    <w:uiPriority w:val="0"/>
    <w:pPr>
      <w:ind w:firstLine="420" w:firstLineChars="100"/>
    </w:pPr>
    <w:rPr>
      <w:rFonts w:eastAsia="宋体"/>
    </w:rPr>
  </w:style>
  <w:style w:type="paragraph" w:customStyle="1" w:styleId="10">
    <w:name w:val="Table Paragraph"/>
    <w:basedOn w:val="1"/>
    <w:unhideWhenUsed/>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Microsoft\Windows\Temporary%20Internet%20Files\Content.MSO\6D05D1EC.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6D05D1EC</Template>
  <Company>Microsoft</Company>
  <Pages>4</Pages>
  <Words>212</Words>
  <Characters>1213</Characters>
  <Lines>10</Lines>
  <Paragraphs>2</Paragraphs>
  <TotalTime>0</TotalTime>
  <ScaleCrop>false</ScaleCrop>
  <LinksUpToDate>false</LinksUpToDate>
  <CharactersWithSpaces>1423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2026-01-28T08:50:00Z</dcterms:created>
  <dc:creator>Administrator</dc:creator>
  <cp:lastModifiedBy>雷伟洪</cp:lastModifiedBy>
  <cp:lastPrinted>2026-02-05T01:41:00Z</cp:lastPrinted>
  <dcterms:modified xsi:type="dcterms:W3CDTF">2026-02-24T03:51:05Z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170866A5A34C48BFA57F37999272D7E8_11</vt:lpwstr>
  </property>
</Properties>
</file>