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65B71C">
      <w:pPr>
        <w:jc w:val="center"/>
        <w:rPr>
          <w:rFonts w:ascii="Times New Roman" w:hAnsi="Times New Roman" w:eastAsia="仿宋_GB2312" w:cs="Times New Roman"/>
          <w:b/>
          <w:sz w:val="44"/>
          <w:szCs w:val="44"/>
        </w:rPr>
      </w:pPr>
      <w:r>
        <w:rPr>
          <w:rFonts w:ascii="Times New Roman" w:hAnsi="Times New Roman" w:eastAsia="仿宋_GB2312" w:cs="Times New Roman"/>
          <w:b/>
          <w:sz w:val="44"/>
          <w:szCs w:val="44"/>
        </w:rPr>
        <w:t>征收土地补偿安置方案</w:t>
      </w:r>
    </w:p>
    <w:p w14:paraId="762E813D">
      <w:pPr>
        <w:spacing w:line="520" w:lineRule="exact"/>
        <w:jc w:val="center"/>
        <w:rPr>
          <w:rFonts w:ascii="Times New Roman" w:hAnsi="Times New Roman" w:eastAsia="仿宋_GB2312" w:cs="Times New Roman"/>
          <w:sz w:val="32"/>
          <w:szCs w:val="32"/>
        </w:rPr>
      </w:pPr>
    </w:p>
    <w:p w14:paraId="7120F9B8">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w:instrText>
      </w:r>
      <w:r>
        <w:rPr>
          <w:rFonts w:hint="eastAsia" w:ascii="Times New Roman" w:hAnsi="Times New Roman" w:eastAsia="仿宋_GB2312" w:cs="Times New Roman"/>
          <w:sz w:val="32"/>
          <w:szCs w:val="32"/>
        </w:rPr>
        <w:instrText xml:space="preserve">MERGEFIELD 项目位置</w:instrText>
      </w:r>
      <w:r>
        <w:rPr>
          <w:rFonts w:ascii="Times New Roman" w:hAnsi="Times New Roman" w:eastAsia="仿宋_GB2312" w:cs="Times New Roman"/>
          <w:sz w:val="32"/>
          <w:szCs w:val="32"/>
        </w:rPr>
        <w:instrText xml:space="preserve"> </w:instrText>
      </w:r>
      <w:r>
        <w:rPr>
          <w:rFonts w:ascii="Times New Roman" w:hAnsi="Times New Roman" w:eastAsia="仿宋_GB2312" w:cs="Times New Roman"/>
          <w:sz w:val="32"/>
          <w:szCs w:val="32"/>
        </w:rPr>
        <w:fldChar w:fldCharType="separate"/>
      </w:r>
      <w:r>
        <w:rPr>
          <w:rFonts w:hint="eastAsia" w:ascii="Times New Roman" w:hAnsi="Times New Roman" w:eastAsia="仿宋_GB2312" w:cs="Times New Roman"/>
          <w:sz w:val="32"/>
          <w:szCs w:val="32"/>
        </w:rPr>
        <w:t>鹤山市共和镇新连村二联股份经济合作社</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t>：</w:t>
      </w:r>
    </w:p>
    <w:p w14:paraId="1918EBBA">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为实施我市城镇规划，</w:t>
      </w:r>
      <w:r>
        <w:rPr>
          <w:rFonts w:ascii="Times New Roman" w:hAnsi="Times New Roman" w:eastAsia="仿宋_GB2312" w:cs="Times New Roman"/>
          <w:sz w:val="32"/>
          <w:szCs w:val="32"/>
        </w:rPr>
        <w:t>鹤山市人民政府拟依法征收</w:t>
      </w:r>
      <w:r>
        <w:rPr>
          <w:rFonts w:hint="eastAsia" w:ascii="Times New Roman" w:hAnsi="Times New Roman" w:eastAsia="仿宋_GB2312" w:cs="Times New Roman"/>
          <w:sz w:val="32"/>
          <w:szCs w:val="32"/>
        </w:rPr>
        <w:t>你单位的集体土地</w:t>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w:instrText>
      </w:r>
      <w:r>
        <w:rPr>
          <w:rFonts w:hint="eastAsia" w:ascii="Times New Roman" w:hAnsi="Times New Roman" w:eastAsia="仿宋_GB2312" w:cs="Times New Roman"/>
          <w:sz w:val="32"/>
          <w:szCs w:val="32"/>
        </w:rPr>
        <w:instrText xml:space="preserve">MERGEFIELD 总面积</w:instrText>
      </w:r>
      <w:r>
        <w:rPr>
          <w:rFonts w:ascii="Times New Roman" w:hAnsi="Times New Roman" w:eastAsia="仿宋_GB2312" w:cs="Times New Roman"/>
          <w:sz w:val="32"/>
          <w:szCs w:val="32"/>
        </w:rPr>
        <w:instrText xml:space="preserve"> </w:instrText>
      </w:r>
      <w:r>
        <w:rPr>
          <w:rFonts w:hint="eastAsia" w:ascii="Times New Roman" w:hAnsi="Times New Roman" w:eastAsia="仿宋_GB2312" w:cs="Times New Roman"/>
          <w:sz w:val="32"/>
          <w:szCs w:val="32"/>
        </w:rPr>
        <w:instrText xml:space="preserve">\#0.0000</w:instrText>
      </w:r>
      <w:r>
        <w:rPr>
          <w:rFonts w:ascii="Times New Roman" w:hAnsi="Times New Roman" w:eastAsia="仿宋_GB2312" w:cs="Times New Roman"/>
          <w:sz w:val="32"/>
          <w:szCs w:val="32"/>
        </w:rPr>
        <w:fldChar w:fldCharType="separate"/>
      </w:r>
      <w:r>
        <w:rPr>
          <w:rFonts w:hint="eastAsia" w:ascii="Times New Roman" w:hAnsi="Times New Roman" w:eastAsia="仿宋_GB2312" w:cs="Times New Roman"/>
          <w:sz w:val="32"/>
          <w:szCs w:val="32"/>
        </w:rPr>
        <w:t>6.9509</w:t>
      </w:r>
      <w:r>
        <w:rPr>
          <w:rFonts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rPr>
        <w:t>公顷，其中农用地</w:t>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w:instrText>
      </w:r>
      <w:r>
        <w:rPr>
          <w:rFonts w:hint="eastAsia" w:ascii="Times New Roman" w:hAnsi="Times New Roman" w:eastAsia="仿宋_GB2312" w:cs="Times New Roman"/>
          <w:sz w:val="32"/>
          <w:szCs w:val="32"/>
        </w:rPr>
        <w:instrText xml:space="preserve">MERGEFIELD 农用地</w:instrText>
      </w:r>
      <w:r>
        <w:rPr>
          <w:rFonts w:ascii="Times New Roman" w:hAnsi="Times New Roman" w:eastAsia="仿宋_GB2312" w:cs="Times New Roman"/>
          <w:sz w:val="32"/>
          <w:szCs w:val="32"/>
        </w:rPr>
        <w:instrText xml:space="preserve"> </w:instrText>
      </w:r>
      <w:r>
        <w:rPr>
          <w:rFonts w:hint="eastAsia" w:ascii="Times New Roman" w:hAnsi="Times New Roman" w:eastAsia="仿宋_GB2312" w:cs="Times New Roman"/>
          <w:sz w:val="32"/>
          <w:szCs w:val="32"/>
        </w:rPr>
        <w:instrText xml:space="preserve">\#0.0000</w:instrText>
      </w:r>
      <w:r>
        <w:rPr>
          <w:rFonts w:ascii="Times New Roman" w:hAnsi="Times New Roman" w:eastAsia="仿宋_GB2312" w:cs="Times New Roman"/>
          <w:sz w:val="32"/>
          <w:szCs w:val="32"/>
        </w:rPr>
        <w:fldChar w:fldCharType="separate"/>
      </w:r>
      <w:r>
        <w:rPr>
          <w:rFonts w:hint="eastAsia" w:ascii="Times New Roman" w:hAnsi="Times New Roman" w:eastAsia="仿宋_GB2312" w:cs="Times New Roman"/>
          <w:sz w:val="32"/>
          <w:szCs w:val="32"/>
        </w:rPr>
        <w:t>6.9509</w:t>
      </w:r>
      <w:r>
        <w:rPr>
          <w:rFonts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w:instrText>
      </w:r>
      <w:r>
        <w:rPr>
          <w:rFonts w:hint="eastAsia" w:ascii="Times New Roman" w:hAnsi="Times New Roman" w:eastAsia="仿宋_GB2312" w:cs="Times New Roman"/>
          <w:sz w:val="32"/>
          <w:szCs w:val="32"/>
        </w:rPr>
        <w:instrText xml:space="preserve">MERGEFIELD 其中</w:instrText>
      </w:r>
      <w:r>
        <w:rPr>
          <w:rFonts w:ascii="Times New Roman" w:hAnsi="Times New Roman" w:eastAsia="仿宋_GB2312" w:cs="Times New Roman"/>
          <w:sz w:val="32"/>
          <w:szCs w:val="32"/>
        </w:rPr>
        <w:instrText xml:space="preserve"> </w:instrText>
      </w:r>
      <w:r>
        <w:rPr>
          <w:rFonts w:ascii="Times New Roman" w:hAnsi="Times New Roman" w:eastAsia="仿宋_GB2312" w:cs="Times New Roman"/>
          <w:sz w:val="32"/>
          <w:szCs w:val="32"/>
        </w:rPr>
        <w:fldChar w:fldCharType="separate"/>
      </w:r>
      <w:r>
        <w:rPr>
          <w:rFonts w:hint="eastAsia" w:ascii="Times New Roman" w:hAnsi="Times New Roman" w:eastAsia="仿宋_GB2312" w:cs="Times New Roman"/>
          <w:sz w:val="32"/>
          <w:szCs w:val="32"/>
        </w:rPr>
        <w:t>耕地0.2609公顷，林地6.3543公顷，其他农用地0.3357公顷</w:t>
      </w:r>
      <w:r>
        <w:rPr>
          <w:rFonts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，作为</w:t>
      </w:r>
      <w:r>
        <w:rPr>
          <w:rFonts w:ascii="Times New Roman" w:hAnsi="Times New Roman" w:eastAsia="仿宋_GB2312" w:cs="Times New Roman"/>
          <w:bCs/>
          <w:sz w:val="32"/>
          <w:szCs w:val="32"/>
        </w:rPr>
        <w:t>鹤山市202</w:t>
      </w:r>
      <w:r>
        <w:rPr>
          <w:rFonts w:hint="eastAsia" w:ascii="Times New Roman" w:hAnsi="Times New Roman" w:eastAsia="仿宋_GB2312" w:cs="Times New Roman"/>
          <w:bCs/>
          <w:sz w:val="32"/>
          <w:szCs w:val="32"/>
          <w:lang w:val="en-US" w:eastAsia="zh-CN"/>
        </w:rPr>
        <w:t>5</w:t>
      </w:r>
      <w:r>
        <w:rPr>
          <w:rFonts w:ascii="Times New Roman" w:hAnsi="Times New Roman" w:eastAsia="仿宋_GB2312" w:cs="Times New Roman"/>
          <w:bCs/>
          <w:sz w:val="32"/>
          <w:szCs w:val="32"/>
        </w:rPr>
        <w:t>年度第</w:t>
      </w:r>
      <w:r>
        <w:rPr>
          <w:rFonts w:hint="eastAsia" w:ascii="Times New Roman" w:hAnsi="Times New Roman" w:eastAsia="仿宋_GB2312" w:cs="Times New Roman"/>
          <w:bCs/>
          <w:sz w:val="32"/>
          <w:szCs w:val="32"/>
          <w:lang w:val="en-US" w:eastAsia="zh-CN"/>
        </w:rPr>
        <w:t>二</w:t>
      </w:r>
      <w:r>
        <w:rPr>
          <w:rFonts w:hint="eastAsia" w:ascii="Times New Roman" w:hAnsi="Times New Roman" w:eastAsia="仿宋_GB2312" w:cs="Times New Roman"/>
          <w:bCs/>
          <w:sz w:val="32"/>
          <w:szCs w:val="32"/>
        </w:rPr>
        <w:t>十</w:t>
      </w:r>
      <w:r>
        <w:rPr>
          <w:rFonts w:hint="eastAsia" w:ascii="Times New Roman" w:hAnsi="Times New Roman" w:eastAsia="仿宋_GB2312" w:cs="Times New Roman"/>
          <w:bCs/>
          <w:sz w:val="32"/>
          <w:szCs w:val="32"/>
          <w:lang w:val="en-US" w:eastAsia="zh-CN"/>
        </w:rPr>
        <w:t>九</w:t>
      </w:r>
      <w:r>
        <w:rPr>
          <w:rFonts w:ascii="Times New Roman" w:hAnsi="Times New Roman" w:eastAsia="仿宋_GB2312" w:cs="Times New Roman"/>
          <w:bCs/>
          <w:sz w:val="32"/>
          <w:szCs w:val="32"/>
        </w:rPr>
        <w:t>批次城镇建设用地</w:t>
      </w:r>
      <w:r>
        <w:rPr>
          <w:rFonts w:ascii="Times New Roman" w:hAnsi="Times New Roman" w:eastAsia="仿宋_GB2312" w:cs="Times New Roman"/>
          <w:sz w:val="32"/>
          <w:szCs w:val="32"/>
        </w:rPr>
        <w:t>。</w:t>
      </w:r>
    </w:p>
    <w:p w14:paraId="6C17F6FD">
      <w:pPr>
        <w:keepNext w:val="0"/>
        <w:keepLines w:val="0"/>
        <w:pageBreakBefore w:val="0"/>
        <w:widowControl w:val="0"/>
        <w:kinsoku/>
        <w:wordWrap/>
        <w:overflowPunct/>
        <w:topLinePunct w:val="0"/>
        <w:autoSpaceDE/>
        <w:autoSpaceDN/>
        <w:bidi w:val="0"/>
        <w:adjustRightInd/>
        <w:snapToGrid/>
        <w:spacing w:line="500" w:lineRule="exact"/>
        <w:ind w:left="640"/>
        <w:jc w:val="left"/>
        <w:textAlignment w:val="auto"/>
        <w:rPr>
          <w:rFonts w:ascii="黑体" w:hAnsi="黑体" w:eastAsia="黑体" w:cs="黑体"/>
          <w:sz w:val="32"/>
          <w:szCs w:val="32"/>
        </w:rPr>
      </w:pPr>
      <w:r>
        <w:rPr>
          <w:rFonts w:hint="eastAsia" w:ascii="黑体" w:hAnsi="黑体" w:eastAsia="黑体" w:cs="黑体"/>
          <w:sz w:val="32"/>
          <w:szCs w:val="32"/>
        </w:rPr>
        <w:t>一、征地补偿标准</w:t>
      </w:r>
    </w:p>
    <w:p w14:paraId="6E6B3F7E">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该批次用地的征地补偿标准严格按不低于省人民政府批准公布的农用地区片综合地价执行，其中</w:t>
      </w:r>
      <w:r>
        <w:rPr>
          <w:rFonts w:hint="eastAsia" w:ascii="Times New Roman" w:hAnsi="Times New Roman" w:eastAsia="仿宋_GB2312" w:cs="Times New Roman"/>
          <w:sz w:val="32"/>
          <w:szCs w:val="32"/>
        </w:rPr>
        <w:fldChar w:fldCharType="begin"/>
      </w:r>
      <w:r>
        <w:rPr>
          <w:rFonts w:hint="eastAsia" w:ascii="Times New Roman" w:hAnsi="Times New Roman" w:eastAsia="仿宋_GB2312" w:cs="Times New Roman"/>
          <w:sz w:val="32"/>
          <w:szCs w:val="32"/>
        </w:rPr>
        <w:instrText xml:space="preserve"> MERGEFIELD "地类补偿标准" </w:instrText>
      </w:r>
      <w:r>
        <w:rPr>
          <w:rFonts w:hint="eastAsia" w:ascii="Times New Roman" w:hAnsi="Times New Roman" w:eastAsia="仿宋_GB2312" w:cs="Times New Roman"/>
          <w:sz w:val="32"/>
          <w:szCs w:val="32"/>
        </w:rPr>
        <w:fldChar w:fldCharType="separate"/>
      </w:r>
      <w:r>
        <w:rPr>
          <w:rFonts w:hint="eastAsia" w:ascii="Times New Roman" w:hAnsi="Times New Roman" w:eastAsia="仿宋_GB2312" w:cs="Times New Roman"/>
          <w:sz w:val="32"/>
          <w:szCs w:val="32"/>
        </w:rPr>
        <w:t>耕地90.9万元/公顷、林地36.36万元/公顷、其他农用地90.9万元/公顷</w:t>
      </w:r>
      <w:r>
        <w:rPr>
          <w:rFonts w:hint="eastAsia" w:ascii="Times New Roman" w:hAnsi="Times New Roman" w:eastAsia="仿宋_GB2312" w:cs="Times New Roman"/>
          <w:sz w:val="32"/>
          <w:szCs w:val="32"/>
        </w:rPr>
        <w:fldChar w:fldCharType="end"/>
      </w:r>
      <w:r>
        <w:rPr>
          <w:rFonts w:ascii="Times New Roman" w:hAnsi="Times New Roman" w:eastAsia="仿宋_GB2312" w:cs="Times New Roman"/>
          <w:sz w:val="32"/>
          <w:szCs w:val="32"/>
        </w:rPr>
        <w:t>，青苗及地上附着物补偿费，按我市征地青苗及地上附着物拆迁补偿标准执行。以上征地总费用</w:t>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MERGEFIELD 征地总费用 </w:instrText>
      </w:r>
      <w:r>
        <w:rPr>
          <w:rFonts w:hint="eastAsia" w:ascii="Times New Roman" w:hAnsi="Times New Roman" w:eastAsia="仿宋_GB2312" w:cs="Times New Roman"/>
          <w:sz w:val="32"/>
          <w:szCs w:val="32"/>
        </w:rPr>
        <w:instrText xml:space="preserve">\#0.0000</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337.4051</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，其中包含青苗及地上附着物拆迁补偿费</w:t>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MERGEFIELD 青苗补偿 </w:instrText>
      </w:r>
      <w:r>
        <w:rPr>
          <w:rFonts w:hint="eastAsia" w:ascii="Times New Roman" w:hAnsi="Times New Roman" w:eastAsia="仿宋_GB2312" w:cs="Times New Roman"/>
          <w:sz w:val="32"/>
          <w:szCs w:val="32"/>
        </w:rPr>
        <w:instrText xml:space="preserve">\#0.0000</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52.1318</w:t>
      </w:r>
      <w:r>
        <w:rPr>
          <w:rFonts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14:paraId="236FC115">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ascii="黑体" w:hAnsi="黑体" w:eastAsia="黑体" w:cs="黑体"/>
          <w:sz w:val="32"/>
          <w:szCs w:val="32"/>
        </w:rPr>
      </w:pPr>
      <w:r>
        <w:rPr>
          <w:rFonts w:hint="eastAsia" w:ascii="黑体" w:hAnsi="黑体" w:eastAsia="黑体" w:cs="黑体"/>
          <w:sz w:val="32"/>
          <w:szCs w:val="32"/>
        </w:rPr>
        <w:t>二、安置方式</w:t>
      </w:r>
    </w:p>
    <w:p w14:paraId="114F034C">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sz w:val="32"/>
          <w:szCs w:val="32"/>
        </w:rPr>
      </w:pPr>
      <w:r>
        <w:rPr>
          <w:rFonts w:hint="eastAsia" w:ascii="仿宋" w:hAnsi="仿宋" w:eastAsia="仿宋"/>
          <w:sz w:val="32"/>
          <w:szCs w:val="32"/>
        </w:rPr>
        <w:t xml:space="preserve">    该批次用地采用安置方式有三种：</w:t>
      </w:r>
    </w:p>
    <w:p w14:paraId="1F3E24B9">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sz w:val="32"/>
          <w:szCs w:val="32"/>
        </w:rPr>
      </w:pPr>
      <w:r>
        <w:rPr>
          <w:rFonts w:hint="eastAsia" w:ascii="仿宋" w:hAnsi="仿宋" w:eastAsia="仿宋"/>
          <w:sz w:val="32"/>
          <w:szCs w:val="32"/>
        </w:rPr>
        <w:t xml:space="preserve">   </w:t>
      </w:r>
      <w:r>
        <w:rPr>
          <w:rFonts w:hint="eastAsia" w:ascii="楷体" w:hAnsi="楷体" w:eastAsia="楷体" w:cs="楷体"/>
          <w:sz w:val="32"/>
          <w:szCs w:val="32"/>
        </w:rPr>
        <w:t>（一）货币安置。</w:t>
      </w:r>
      <w:r>
        <w:rPr>
          <w:rFonts w:hint="eastAsia" w:ascii="仿宋" w:hAnsi="仿宋" w:eastAsia="仿宋"/>
          <w:sz w:val="32"/>
          <w:szCs w:val="32"/>
        </w:rPr>
        <w:t>支付安置补助费，用来安置被征地农民，安置补助费已计入征地补偿费内。</w:t>
      </w:r>
    </w:p>
    <w:p w14:paraId="2E1383D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sz w:val="32"/>
          <w:szCs w:val="32"/>
        </w:rPr>
      </w:pPr>
      <w:r>
        <w:rPr>
          <w:rFonts w:hint="eastAsia" w:ascii="楷体" w:hAnsi="楷体" w:eastAsia="楷体" w:cs="楷体"/>
          <w:sz w:val="32"/>
          <w:szCs w:val="32"/>
        </w:rPr>
        <w:t xml:space="preserve">   （二）留用地安置。</w:t>
      </w:r>
      <w:r>
        <w:rPr>
          <w:rFonts w:hint="eastAsia" w:ascii="仿宋" w:hAnsi="仿宋" w:eastAsia="仿宋"/>
          <w:sz w:val="32"/>
          <w:szCs w:val="32"/>
        </w:rPr>
        <w:t>按实际</w:t>
      </w:r>
      <w:r>
        <w:rPr>
          <w:rFonts w:hint="eastAsia" w:ascii="Times New Roman" w:hAnsi="Times New Roman" w:eastAsia="仿宋" w:cs="Times New Roman"/>
          <w:sz w:val="32"/>
          <w:szCs w:val="32"/>
        </w:rPr>
        <w:t>征地面积的</w:t>
      </w:r>
      <w:r>
        <w:rPr>
          <w:rFonts w:ascii="Times New Roman" w:hAnsi="Times New Roman" w:eastAsia="仿宋" w:cs="Times New Roman"/>
          <w:sz w:val="32"/>
          <w:szCs w:val="32"/>
        </w:rPr>
        <w:t>1</w:t>
      </w:r>
      <w:r>
        <w:rPr>
          <w:rFonts w:hint="eastAsia" w:ascii="Times New Roman" w:hAnsi="Times New Roman" w:eastAsia="仿宋" w:cs="Times New Roman"/>
          <w:sz w:val="32"/>
          <w:szCs w:val="32"/>
        </w:rPr>
        <w:t>5%的比例给</w:t>
      </w:r>
      <w:r>
        <w:rPr>
          <w:rFonts w:hint="eastAsia" w:ascii="仿宋" w:hAnsi="仿宋" w:eastAsia="仿宋"/>
          <w:sz w:val="32"/>
          <w:szCs w:val="32"/>
        </w:rPr>
        <w:t>被征地单位划出留用地，也可以选择留用地安置折算货币补偿，具体补偿标准参照不低于我市的工业用地基准地价来确定。</w:t>
      </w:r>
    </w:p>
    <w:p w14:paraId="3DB545D1">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w:t>
      </w:r>
      <w:r>
        <w:rPr>
          <w:rFonts w:hint="eastAsia" w:ascii="楷体" w:hAnsi="楷体" w:eastAsia="楷体" w:cs="楷体"/>
          <w:sz w:val="32"/>
          <w:szCs w:val="32"/>
        </w:rPr>
        <w:t xml:space="preserve"> （三）社保安置。</w:t>
      </w:r>
      <w:r>
        <w:rPr>
          <w:rFonts w:hint="eastAsia" w:ascii="仿宋" w:hAnsi="仿宋" w:eastAsia="仿宋"/>
          <w:sz w:val="32"/>
          <w:szCs w:val="32"/>
        </w:rPr>
        <w:t>具体方案以市人力资源和</w:t>
      </w:r>
      <w:bookmarkStart w:id="0" w:name="_GoBack"/>
      <w:bookmarkEnd w:id="0"/>
      <w:r>
        <w:rPr>
          <w:rFonts w:hint="eastAsia" w:ascii="仿宋" w:hAnsi="仿宋" w:eastAsia="仿宋"/>
          <w:sz w:val="32"/>
          <w:szCs w:val="32"/>
        </w:rPr>
        <w:t>社会保障局制订的为准。</w:t>
      </w:r>
    </w:p>
    <w:p w14:paraId="6E4428A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eastAsia="仿宋_GB2312" w:cs="Times New Roman"/>
          <w:sz w:val="32"/>
          <w:szCs w:val="32"/>
        </w:rPr>
      </w:pPr>
    </w:p>
    <w:p w14:paraId="47D99F89">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鹤山市自然资源局</w:t>
      </w:r>
    </w:p>
    <w:p w14:paraId="02CA1C38">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5</w:t>
      </w:r>
      <w:r>
        <w:rPr>
          <w:rFonts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val="en-US" w:eastAsia="zh-CN"/>
        </w:rPr>
        <w:t>11</w:t>
      </w:r>
      <w:r>
        <w:rPr>
          <w:rFonts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6</w:t>
      </w:r>
      <w:r>
        <w:rPr>
          <w:rFonts w:ascii="Times New Roman" w:hAnsi="Times New Roman" w:eastAsia="仿宋_GB2312" w:cs="Times New Roman"/>
          <w:sz w:val="32"/>
          <w:szCs w:val="32"/>
          <w:highlight w:val="none"/>
        </w:rPr>
        <w:t>日</w:t>
      </w:r>
    </w:p>
    <w:sectPr>
      <w:pgSz w:w="11906" w:h="16838"/>
      <w:pgMar w:top="1135"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mailMerge>
    <w:mainDocumentType w:val="formLetters"/>
    <w:linkToQuery/>
    <w:dataType w:val="native"/>
    <w:connectString w:val="Provider=Microsoft.ACE.OLEDB.12.0;      Data Source=C:/Users/Administrator/Desktop/1.鹤山市2025年度第二十九批次城镇建设用地/报批资料/8 新社保文件(2025-28)/邮件合并/1.鹤山市2025年度第二十九批次城镇建设用地测算表4份.xlsx;      Extended Properties='Excel 12.0; IMEX=1'"/>
    <w:query w:val="SELECT * FROM `Sheet2$`"/>
    <w:dataSource r:id="rId1"/>
    <w:viewMergedData/>
    <w:activeRecord w:val="1"/>
    <w:odso>
      <w:udl w:val="Provider=Microsoft.ACE.OLEDB.12.0;User ID=Admin;Data Source=D:\朱楚怡\20240929\目录\以此为准-(基础版）鹤山市2024年度第五十八批次城镇建设用地\2024-58\8 新社保文件(2024-50)\鹤山市2024年度第五十八批次城镇建设用地测算表4份.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table w:val="SELECT * FROM `Sheet2$`"/>
      <w:src r:id="rId1"/>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fieldMapData>
        <w:column w:val="0"/>
        <w:lid w:val="zh-CN"/>
      </w:fieldMapData>
    </w:odso>
  </w:mailMerge>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hOTkwNmUyOWIzOTkzYjM3ZGU1Y2M1NTc4ZDBjNWUifQ=="/>
  </w:docVars>
  <w:rsids>
    <w:rsidRoot w:val="69A61C1F"/>
    <w:rsid w:val="00000CAC"/>
    <w:rsid w:val="00011879"/>
    <w:rsid w:val="0001700D"/>
    <w:rsid w:val="0002205A"/>
    <w:rsid w:val="0003230B"/>
    <w:rsid w:val="0004173C"/>
    <w:rsid w:val="0004427D"/>
    <w:rsid w:val="00044D55"/>
    <w:rsid w:val="0005291A"/>
    <w:rsid w:val="00073812"/>
    <w:rsid w:val="000968C3"/>
    <w:rsid w:val="000B3F3E"/>
    <w:rsid w:val="000B7B11"/>
    <w:rsid w:val="000C2171"/>
    <w:rsid w:val="000D2FD7"/>
    <w:rsid w:val="00106C88"/>
    <w:rsid w:val="00106F3B"/>
    <w:rsid w:val="00113333"/>
    <w:rsid w:val="00163CFC"/>
    <w:rsid w:val="00172288"/>
    <w:rsid w:val="0017355A"/>
    <w:rsid w:val="00186016"/>
    <w:rsid w:val="001B171A"/>
    <w:rsid w:val="001B2FF7"/>
    <w:rsid w:val="001F388C"/>
    <w:rsid w:val="002061F9"/>
    <w:rsid w:val="00217B64"/>
    <w:rsid w:val="0022085F"/>
    <w:rsid w:val="00232F9B"/>
    <w:rsid w:val="00233A45"/>
    <w:rsid w:val="00252984"/>
    <w:rsid w:val="00252ADE"/>
    <w:rsid w:val="00267988"/>
    <w:rsid w:val="00274031"/>
    <w:rsid w:val="00292234"/>
    <w:rsid w:val="002A79D8"/>
    <w:rsid w:val="002A7FB1"/>
    <w:rsid w:val="002B72D7"/>
    <w:rsid w:val="002C1922"/>
    <w:rsid w:val="002D375C"/>
    <w:rsid w:val="002D3AC3"/>
    <w:rsid w:val="002E7220"/>
    <w:rsid w:val="00324934"/>
    <w:rsid w:val="00325128"/>
    <w:rsid w:val="00335BED"/>
    <w:rsid w:val="00347A23"/>
    <w:rsid w:val="00370F11"/>
    <w:rsid w:val="00391673"/>
    <w:rsid w:val="003964F1"/>
    <w:rsid w:val="00397E51"/>
    <w:rsid w:val="003D397E"/>
    <w:rsid w:val="00413328"/>
    <w:rsid w:val="00426C88"/>
    <w:rsid w:val="00426CA4"/>
    <w:rsid w:val="0045641C"/>
    <w:rsid w:val="00457EAC"/>
    <w:rsid w:val="0046709B"/>
    <w:rsid w:val="004709E2"/>
    <w:rsid w:val="0047182A"/>
    <w:rsid w:val="004B40A9"/>
    <w:rsid w:val="004C4A61"/>
    <w:rsid w:val="004D0D2F"/>
    <w:rsid w:val="004D16D3"/>
    <w:rsid w:val="00522A09"/>
    <w:rsid w:val="005435EE"/>
    <w:rsid w:val="00545CD7"/>
    <w:rsid w:val="005561B3"/>
    <w:rsid w:val="005600EF"/>
    <w:rsid w:val="00580535"/>
    <w:rsid w:val="00586E28"/>
    <w:rsid w:val="005928B3"/>
    <w:rsid w:val="005C4DB7"/>
    <w:rsid w:val="005C6026"/>
    <w:rsid w:val="005D2999"/>
    <w:rsid w:val="005D5DB2"/>
    <w:rsid w:val="005F51E2"/>
    <w:rsid w:val="005F64F1"/>
    <w:rsid w:val="005F65CC"/>
    <w:rsid w:val="00605F25"/>
    <w:rsid w:val="00631175"/>
    <w:rsid w:val="00637FBD"/>
    <w:rsid w:val="006921A5"/>
    <w:rsid w:val="00697E9D"/>
    <w:rsid w:val="006B65EC"/>
    <w:rsid w:val="006E7522"/>
    <w:rsid w:val="006F15F7"/>
    <w:rsid w:val="00701F28"/>
    <w:rsid w:val="007027C5"/>
    <w:rsid w:val="00710200"/>
    <w:rsid w:val="007208C7"/>
    <w:rsid w:val="0074750C"/>
    <w:rsid w:val="00747CA0"/>
    <w:rsid w:val="007A66E5"/>
    <w:rsid w:val="007C2CA3"/>
    <w:rsid w:val="007C52A8"/>
    <w:rsid w:val="007C69A1"/>
    <w:rsid w:val="007F67C5"/>
    <w:rsid w:val="00810EC2"/>
    <w:rsid w:val="008A3B64"/>
    <w:rsid w:val="008B1F30"/>
    <w:rsid w:val="008B4A1E"/>
    <w:rsid w:val="008B56D5"/>
    <w:rsid w:val="008C548F"/>
    <w:rsid w:val="008E7C2F"/>
    <w:rsid w:val="008F2347"/>
    <w:rsid w:val="008F6D19"/>
    <w:rsid w:val="00905150"/>
    <w:rsid w:val="00982739"/>
    <w:rsid w:val="00986294"/>
    <w:rsid w:val="009A1097"/>
    <w:rsid w:val="009A3FA3"/>
    <w:rsid w:val="009A4D8E"/>
    <w:rsid w:val="009B210A"/>
    <w:rsid w:val="009B278C"/>
    <w:rsid w:val="009D1847"/>
    <w:rsid w:val="009D6770"/>
    <w:rsid w:val="00A15A6C"/>
    <w:rsid w:val="00A23974"/>
    <w:rsid w:val="00A24925"/>
    <w:rsid w:val="00A3177F"/>
    <w:rsid w:val="00A35247"/>
    <w:rsid w:val="00A44560"/>
    <w:rsid w:val="00A46E47"/>
    <w:rsid w:val="00A473B3"/>
    <w:rsid w:val="00A65C69"/>
    <w:rsid w:val="00A829B1"/>
    <w:rsid w:val="00A92D50"/>
    <w:rsid w:val="00AA5194"/>
    <w:rsid w:val="00AD01CF"/>
    <w:rsid w:val="00AF6CE5"/>
    <w:rsid w:val="00B02BA5"/>
    <w:rsid w:val="00B214C8"/>
    <w:rsid w:val="00B233D3"/>
    <w:rsid w:val="00B34060"/>
    <w:rsid w:val="00B5737A"/>
    <w:rsid w:val="00B64B2E"/>
    <w:rsid w:val="00B767EE"/>
    <w:rsid w:val="00B94455"/>
    <w:rsid w:val="00BB165A"/>
    <w:rsid w:val="00BE611A"/>
    <w:rsid w:val="00BF6D59"/>
    <w:rsid w:val="00C02E14"/>
    <w:rsid w:val="00C14EB8"/>
    <w:rsid w:val="00C3246A"/>
    <w:rsid w:val="00C361C0"/>
    <w:rsid w:val="00C60E17"/>
    <w:rsid w:val="00C6405A"/>
    <w:rsid w:val="00C65533"/>
    <w:rsid w:val="00C97E6F"/>
    <w:rsid w:val="00CB31BA"/>
    <w:rsid w:val="00CC1304"/>
    <w:rsid w:val="00CC52EC"/>
    <w:rsid w:val="00CE4689"/>
    <w:rsid w:val="00D0097F"/>
    <w:rsid w:val="00D03F20"/>
    <w:rsid w:val="00D10B84"/>
    <w:rsid w:val="00D542F0"/>
    <w:rsid w:val="00D6073B"/>
    <w:rsid w:val="00DA7460"/>
    <w:rsid w:val="00DB2F0D"/>
    <w:rsid w:val="00DB5A36"/>
    <w:rsid w:val="00DB6F80"/>
    <w:rsid w:val="00DF4EFB"/>
    <w:rsid w:val="00E07BEF"/>
    <w:rsid w:val="00E14508"/>
    <w:rsid w:val="00E36123"/>
    <w:rsid w:val="00E6157E"/>
    <w:rsid w:val="00E654F3"/>
    <w:rsid w:val="00E772CD"/>
    <w:rsid w:val="00E801C4"/>
    <w:rsid w:val="00E81BB1"/>
    <w:rsid w:val="00EB1937"/>
    <w:rsid w:val="00EB2AC7"/>
    <w:rsid w:val="00ED6E91"/>
    <w:rsid w:val="00EF3BDB"/>
    <w:rsid w:val="00F2275E"/>
    <w:rsid w:val="00F24EAB"/>
    <w:rsid w:val="00F4691A"/>
    <w:rsid w:val="00F82D30"/>
    <w:rsid w:val="00FA23ED"/>
    <w:rsid w:val="00FD0035"/>
    <w:rsid w:val="00FF485B"/>
    <w:rsid w:val="067B53AB"/>
    <w:rsid w:val="07B93C8A"/>
    <w:rsid w:val="07E668C6"/>
    <w:rsid w:val="0AF96A63"/>
    <w:rsid w:val="0BA6164F"/>
    <w:rsid w:val="119447E1"/>
    <w:rsid w:val="13CC5F11"/>
    <w:rsid w:val="158E243A"/>
    <w:rsid w:val="160852BF"/>
    <w:rsid w:val="183E6195"/>
    <w:rsid w:val="193E2AE0"/>
    <w:rsid w:val="19707BC8"/>
    <w:rsid w:val="243F4198"/>
    <w:rsid w:val="27E244E9"/>
    <w:rsid w:val="2B641461"/>
    <w:rsid w:val="2C9F73FA"/>
    <w:rsid w:val="30F973DF"/>
    <w:rsid w:val="328C3215"/>
    <w:rsid w:val="382C6297"/>
    <w:rsid w:val="39655FDF"/>
    <w:rsid w:val="3D2A7409"/>
    <w:rsid w:val="408C188B"/>
    <w:rsid w:val="439B4562"/>
    <w:rsid w:val="489674D4"/>
    <w:rsid w:val="48DA70EE"/>
    <w:rsid w:val="4F2262F6"/>
    <w:rsid w:val="5FC75EE7"/>
    <w:rsid w:val="60CE5709"/>
    <w:rsid w:val="60D224C4"/>
    <w:rsid w:val="632840B0"/>
    <w:rsid w:val="673E565E"/>
    <w:rsid w:val="69A61C1F"/>
    <w:rsid w:val="6B4A6855"/>
    <w:rsid w:val="6D47505E"/>
    <w:rsid w:val="77514B92"/>
    <w:rsid w:val="778C2883"/>
    <w:rsid w:val="787C3540"/>
    <w:rsid w:val="7DE3072B"/>
    <w:rsid w:val="7FA5731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8"/>
    <w:autoRedefine/>
    <w:semiHidden/>
    <w:unhideWhenUsed/>
    <w:qFormat/>
    <w:uiPriority w:val="99"/>
    <w:pPr>
      <w:ind w:left="100" w:leftChars="2500"/>
    </w:pPr>
  </w:style>
  <w:style w:type="paragraph" w:styleId="3">
    <w:name w:val="Balloon Text"/>
    <w:basedOn w:val="1"/>
    <w:link w:val="11"/>
    <w:autoRedefine/>
    <w:semiHidden/>
    <w:unhideWhenUsed/>
    <w:qFormat/>
    <w:uiPriority w:val="99"/>
    <w:rPr>
      <w:sz w:val="18"/>
      <w:szCs w:val="18"/>
    </w:rPr>
  </w:style>
  <w:style w:type="paragraph" w:styleId="4">
    <w:name w:val="footer"/>
    <w:basedOn w:val="1"/>
    <w:link w:val="10"/>
    <w:autoRedefine/>
    <w:unhideWhenUsed/>
    <w:qFormat/>
    <w:uiPriority w:val="99"/>
    <w:pPr>
      <w:tabs>
        <w:tab w:val="center" w:pos="4153"/>
        <w:tab w:val="right" w:pos="8306"/>
      </w:tabs>
      <w:snapToGrid w:val="0"/>
      <w:jc w:val="left"/>
    </w:pPr>
    <w:rPr>
      <w:sz w:val="18"/>
      <w:szCs w:val="18"/>
    </w:rPr>
  </w:style>
  <w:style w:type="paragraph" w:styleId="5">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日期 Char"/>
    <w:basedOn w:val="7"/>
    <w:link w:val="2"/>
    <w:autoRedefine/>
    <w:semiHidden/>
    <w:qFormat/>
    <w:uiPriority w:val="99"/>
  </w:style>
  <w:style w:type="character" w:customStyle="1" w:styleId="9">
    <w:name w:val="页眉 Char"/>
    <w:basedOn w:val="7"/>
    <w:link w:val="5"/>
    <w:autoRedefine/>
    <w:qFormat/>
    <w:uiPriority w:val="99"/>
    <w:rPr>
      <w:sz w:val="18"/>
      <w:szCs w:val="18"/>
    </w:rPr>
  </w:style>
  <w:style w:type="character" w:customStyle="1" w:styleId="10">
    <w:name w:val="页脚 Char"/>
    <w:basedOn w:val="7"/>
    <w:link w:val="4"/>
    <w:autoRedefine/>
    <w:qFormat/>
    <w:uiPriority w:val="99"/>
    <w:rPr>
      <w:sz w:val="18"/>
      <w:szCs w:val="18"/>
    </w:rPr>
  </w:style>
  <w:style w:type="character" w:customStyle="1" w:styleId="11">
    <w:name w:val="批注框文本 Char"/>
    <w:basedOn w:val="7"/>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mailMergeSource" Target="file:///C:/Users/Administrator/Desktop/1.&#40548;&#23665;&#24066;2025&#24180;&#24230;&#31532;&#20108;&#21313;&#20061;&#25209;&#27425;&#22478;&#38215;&#24314;&#35774;&#29992;&#22320;/&#25253;&#25209;&#36164;&#26009;/8 &#26032;&#31038;&#20445;&#25991;&#20214;(2025-28)/&#37038;&#20214;&#21512;&#24182;/1.&#40548;&#23665;&#24066;2025&#24180;&#24230;&#31532;&#20108;&#21313;&#20061;&#25209;&#27425;&#22478;&#38215;&#24314;&#35774;&#29992;&#22320;&#27979;&#31639;&#34920;4&#20221;.xls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443</Words>
  <Characters>500</Characters>
  <Lines>4</Lines>
  <Paragraphs>1</Paragraphs>
  <TotalTime>0</TotalTime>
  <ScaleCrop>false</ScaleCrop>
  <LinksUpToDate>false</LinksUpToDate>
  <CharactersWithSpaces>517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2023-09-14T12:09:00Z</dcterms:created>
  <dc:creator>李家欣</dc:creator>
  <cp:lastModifiedBy>￣ω￣chuyi</cp:lastModifiedBy>
  <dcterms:modified xsi:type="dcterms:W3CDTF">2025-12-15T09:32:14Z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976B37771F1B4361A63D63C7D606F519_11</vt:lpwstr>
  </property>
</Properties>
</file>