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color w:val="auto"/>
          <w:kern w:val="0"/>
          <w:sz w:val="44"/>
          <w:szCs w:val="44"/>
          <w:highlight w:val="none"/>
          <w:lang w:eastAsia="zh-CN"/>
        </w:rPr>
      </w:pPr>
      <w:r>
        <w:rPr>
          <w:rFonts w:hint="eastAsia" w:ascii="方正小标宋_GBK" w:hAnsi="方正小标宋_GBK" w:eastAsia="方正小标宋_GBK" w:cs="方正小标宋_GBK"/>
          <w:color w:val="auto"/>
          <w:kern w:val="0"/>
          <w:sz w:val="44"/>
          <w:szCs w:val="44"/>
          <w:highlight w:val="none"/>
          <w:lang w:val="en-US" w:eastAsia="zh-CN"/>
        </w:rPr>
        <w:t>2026年社会保险基金监督</w:t>
      </w:r>
      <w:r>
        <w:rPr>
          <w:rFonts w:hint="eastAsia" w:ascii="方正小标宋_GBK" w:hAnsi="方正小标宋_GBK" w:eastAsia="方正小标宋_GBK" w:cs="方正小标宋_GBK"/>
          <w:color w:val="auto"/>
          <w:kern w:val="0"/>
          <w:sz w:val="44"/>
          <w:szCs w:val="44"/>
          <w:highlight w:val="none"/>
          <w:lang w:eastAsia="zh-CN"/>
        </w:rPr>
        <w:t>服务项目</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200"/>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FangSong_GB2312" w:hAnsi="FangSong_GB2312" w:eastAsia="FangSong_GB2312" w:cs="FangSong_GB2312"/>
          <w:color w:val="auto"/>
          <w:kern w:val="0"/>
          <w:sz w:val="32"/>
          <w:szCs w:val="32"/>
          <w:highlight w:val="none"/>
          <w:lang w:val="en-US" w:eastAsia="zh-CN"/>
        </w:rPr>
      </w:pPr>
      <w:r>
        <w:rPr>
          <w:rFonts w:hint="eastAsia" w:ascii="FangSong_GB2312" w:hAnsi="FangSong_GB2312" w:eastAsia="FangSong_GB2312" w:cs="FangSong_GB2312"/>
          <w:color w:val="auto"/>
          <w:kern w:val="0"/>
          <w:sz w:val="32"/>
          <w:szCs w:val="32"/>
          <w:highlight w:val="none"/>
          <w:lang w:val="en-US" w:eastAsia="zh-CN"/>
        </w:rPr>
        <w:t>2026年社会保险基金监督服务项目</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项目时间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FangSong_GB2312" w:hAnsi="FangSong_GB2312" w:eastAsia="FangSong_GB2312" w:cs="FangSong_GB2312"/>
          <w:color w:val="auto"/>
          <w:kern w:val="0"/>
          <w:sz w:val="32"/>
          <w:szCs w:val="32"/>
          <w:highlight w:val="none"/>
          <w:lang w:val="en-US" w:eastAsia="zh-CN"/>
        </w:rPr>
      </w:pPr>
      <w:r>
        <w:rPr>
          <w:rFonts w:hint="eastAsia" w:ascii="FangSong_GB2312" w:hAnsi="FangSong_GB2312" w:eastAsia="FangSong_GB2312" w:cs="FangSong_GB2312"/>
          <w:color w:val="auto"/>
          <w:kern w:val="0"/>
          <w:sz w:val="32"/>
          <w:szCs w:val="32"/>
          <w:highlight w:val="none"/>
          <w:lang w:val="en-US" w:eastAsia="zh-CN"/>
        </w:rPr>
        <w:t>一年（自合同签订生效之日起算）。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w:t>
      </w:r>
      <w:r>
        <w:rPr>
          <w:rFonts w:hint="eastAsia" w:ascii="黑体" w:hAnsi="黑体" w:eastAsia="黑体" w:cs="黑体"/>
          <w:b w:val="0"/>
          <w:bCs w:val="0"/>
          <w:color w:val="auto"/>
          <w:sz w:val="32"/>
          <w:szCs w:val="32"/>
          <w:lang w:val="en-US" w:eastAsia="zh-CN"/>
        </w:rPr>
        <w:t>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FangSong_GB2312" w:hAnsi="FangSong_GB2312" w:eastAsia="FangSong_GB2312" w:cs="FangSong_GB2312"/>
          <w:color w:val="auto"/>
          <w:kern w:val="0"/>
          <w:sz w:val="32"/>
          <w:szCs w:val="32"/>
          <w:highlight w:val="none"/>
          <w:lang w:val="en-US" w:eastAsia="zh-CN" w:bidi="ar-SA"/>
        </w:rPr>
      </w:pPr>
      <w:r>
        <w:rPr>
          <w:rFonts w:hint="eastAsia" w:ascii="仿宋_GB2312" w:hAnsi="仿宋_GB2312" w:eastAsia="仿宋_GB2312" w:cs="仿宋_GB2312"/>
          <w:i w:val="0"/>
          <w:iCs w:val="0"/>
          <w:caps w:val="0"/>
          <w:color w:val="424242"/>
          <w:spacing w:val="0"/>
          <w:sz w:val="32"/>
          <w:szCs w:val="32"/>
          <w:shd w:val="clear" w:color="auto" w:fill="FFFFFF"/>
        </w:rPr>
        <w:t>　　</w:t>
      </w:r>
      <w:r>
        <w:rPr>
          <w:rFonts w:hint="eastAsia" w:ascii="FangSong_GB2312" w:hAnsi="FangSong_GB2312" w:eastAsia="FangSong_GB2312" w:cs="FangSong_GB2312"/>
          <w:color w:val="auto"/>
          <w:kern w:val="0"/>
          <w:sz w:val="32"/>
          <w:szCs w:val="32"/>
          <w:highlight w:val="none"/>
          <w:lang w:val="en-US" w:eastAsia="zh-CN" w:bidi="ar-SA"/>
        </w:rPr>
        <w:t>高质量提供社会保险基金监督服务，全力保障完成临时性新增或专项任务（如有），所需服务的可量化目标包括但不限于：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color w:val="auto"/>
          <w:kern w:val="0"/>
          <w:sz w:val="32"/>
          <w:szCs w:val="32"/>
          <w:highlight w:val="none"/>
          <w:lang w:val="en-US" w:eastAsia="zh-CN" w:bidi="ar-SA"/>
        </w:rPr>
      </w:pPr>
      <w:r>
        <w:rPr>
          <w:rFonts w:hint="eastAsia" w:ascii="FangSong_GB2312" w:hAnsi="FangSong_GB2312" w:eastAsia="FangSong_GB2312" w:cs="FangSong_GB2312"/>
          <w:color w:val="auto"/>
          <w:kern w:val="0"/>
          <w:sz w:val="32"/>
          <w:szCs w:val="32"/>
          <w:highlight w:val="none"/>
          <w:lang w:val="en-US" w:eastAsia="zh-CN" w:bidi="ar-SA"/>
        </w:rPr>
        <w:t>（一）基金监督协助服务：协助开展社会保险基金预算、收支、管理、投资运营、服务等情况的监督检查至少1次。协助对镇街、村（居）社会保险经办服务网点实施监督检查（每年抽查30%以上）；协助落实上级下达的社保基金监督订单检查任务至少1单，协助</w:t>
      </w:r>
      <w:r>
        <w:rPr>
          <w:rFonts w:hint="eastAsia" w:ascii="Times New Roman" w:hAnsi="Times New Roman" w:eastAsia="仿宋_GB2312" w:cs="Times New Roman"/>
          <w:sz w:val="32"/>
          <w:szCs w:val="32"/>
          <w:lang w:val="en-US" w:eastAsia="zh-CN"/>
        </w:rPr>
        <w:t>自主开展一次订单检查至少1单</w:t>
      </w:r>
      <w:r>
        <w:rPr>
          <w:rFonts w:hint="eastAsia" w:ascii="FangSong_GB2312" w:hAnsi="FangSong_GB2312" w:eastAsia="FangSong_GB2312" w:cs="FangSong_GB2312"/>
          <w:color w:val="auto"/>
          <w:kern w:val="0"/>
          <w:sz w:val="32"/>
          <w:szCs w:val="32"/>
          <w:highlight w:val="none"/>
          <w:lang w:val="en-US" w:eastAsia="zh-CN" w:bidi="ar-SA"/>
        </w:rPr>
        <w:t>；每月协助核查上级下达的基金监督疑点数据；协助开展基金监督专项行动至少1次。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FangSong_GB2312" w:hAnsi="FangSong_GB2312" w:eastAsia="FangSong_GB2312" w:cs="FangSong_GB2312"/>
          <w:color w:val="auto"/>
          <w:kern w:val="0"/>
          <w:sz w:val="32"/>
          <w:szCs w:val="32"/>
          <w:highlight w:val="none"/>
          <w:lang w:val="en-US" w:eastAsia="zh-CN" w:bidi="ar-SA"/>
        </w:rPr>
      </w:pPr>
      <w:r>
        <w:rPr>
          <w:rFonts w:hint="eastAsia" w:ascii="FangSong_GB2312" w:hAnsi="FangSong_GB2312" w:eastAsia="FangSong_GB2312" w:cs="FangSong_GB2312"/>
          <w:color w:val="auto"/>
          <w:kern w:val="0"/>
          <w:sz w:val="32"/>
          <w:szCs w:val="32"/>
          <w:highlight w:val="none"/>
          <w:lang w:val="en-US" w:eastAsia="zh-CN" w:bidi="ar-SA"/>
        </w:rPr>
        <w:t>　　（二）基金安全维护服务：协助组织开展社保基金反欺诈宣传至少2次；核减、追回多发、错发的社保基金；协助处理本级社保基金要情。</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bookmarkStart w:id="0" w:name="_Toc28359081"/>
      <w:bookmarkStart w:id="1" w:name="_Toc35393792"/>
      <w:bookmarkStart w:id="2" w:name="_Toc35393623"/>
      <w:bookmarkStart w:id="3" w:name="_Toc28359004"/>
      <w:bookmarkStart w:id="4" w:name="_Toc650716081"/>
      <w:r>
        <w:rPr>
          <w:rFonts w:hint="eastAsia" w:ascii="FangSong_GB2312" w:hAnsi="FangSong_GB2312" w:eastAsia="FangSong_GB2312" w:cs="FangSong_GB2312"/>
          <w:kern w:val="2"/>
          <w:sz w:val="32"/>
          <w:szCs w:val="32"/>
          <w:lang w:val="en-US" w:eastAsia="zh-CN" w:bidi="ar-SA"/>
        </w:rPr>
        <w:t>（一）供应商应当是具有独立承担民事责任能力的在中华人民共和国境内注册的具有相应经营范围的法人或者其他组织（提供有效的营业执照或相关单位登记证书复印件）；若分支机构参与采购的，应当取得总公司（总所）出具给分支机构的有效授权，并同时提供总公司（总所）的营业执照、总公司（总所）出具给分支机构的有效授权书及分支机构的营业执照复印件。已取得总公司（总所）授权的，总公司（总所）取得的相关资质证书对分支机构有效，法律法规或者行业另有规定的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FangSong_GB2312" w:hAnsi="FangSong_GB2312" w:eastAsia="FangSong_GB2312" w:cs="FangSong_GB2312"/>
          <w:kern w:val="2"/>
          <w:sz w:val="32"/>
          <w:szCs w:val="32"/>
          <w:lang w:val="en-US" w:eastAsia="zh-CN" w:bidi="ar-SA"/>
        </w:rPr>
      </w:pPr>
      <w:r>
        <w:rPr>
          <w:rFonts w:hint="eastAsia" w:ascii="仿宋_GB2312" w:hAnsi="仿宋_GB2312" w:eastAsia="仿宋_GB2312" w:cs="仿宋_GB2312"/>
          <w:i w:val="0"/>
          <w:iCs w:val="0"/>
          <w:caps w:val="0"/>
          <w:color w:val="424242"/>
          <w:spacing w:val="0"/>
          <w:sz w:val="32"/>
          <w:szCs w:val="32"/>
          <w:shd w:val="clear" w:color="auto" w:fill="FFFFFF"/>
        </w:rPr>
        <w:t>　　</w:t>
      </w:r>
      <w:r>
        <w:rPr>
          <w:rFonts w:hint="eastAsia" w:ascii="FangSong_GB2312" w:hAnsi="FangSong_GB2312" w:eastAsia="FangSong_GB2312" w:cs="FangSong_GB2312"/>
          <w:kern w:val="2"/>
          <w:sz w:val="32"/>
          <w:szCs w:val="32"/>
          <w:lang w:val="en-US" w:eastAsia="zh-CN" w:bidi="ar-SA"/>
        </w:rPr>
        <w:t>（二）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供应商通过“信</w:t>
      </w:r>
      <w:r>
        <w:rPr>
          <w:rFonts w:hint="eastAsia" w:ascii="FangSong_GB2312" w:hAnsi="FangSong_GB2312" w:eastAsia="FangSong_GB2312" w:cs="FangSong_GB2312"/>
          <w:color w:val="auto"/>
          <w:kern w:val="2"/>
          <w:sz w:val="32"/>
          <w:szCs w:val="32"/>
          <w:lang w:val="en-US" w:eastAsia="zh-CN" w:bidi="ar-SA"/>
        </w:rPr>
        <w:t>用中国”网站（www.creditchina.gov.cn）</w:t>
      </w:r>
      <w:r>
        <w:rPr>
          <w:rFonts w:hint="eastAsia" w:ascii="FangSong_GB2312" w:hAnsi="FangSong_GB2312" w:eastAsia="FangSong_GB2312" w:cs="FangSong_GB2312"/>
          <w:kern w:val="2"/>
          <w:sz w:val="32"/>
          <w:szCs w:val="32"/>
          <w:lang w:val="en-US" w:eastAsia="zh-CN" w:bidi="ar-SA"/>
        </w:rPr>
        <w:t>、中国政府采购网（www.ccgp.gov.cn）查询并提供信用记录（时间为提交资料当日），如相关失信记录已失效，应当提供相应证明文件复印件）。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FangSong_GB2312" w:hAnsi="FangSong_GB2312" w:eastAsia="FangSong_GB2312" w:cs="FangSong_GB2312"/>
          <w:kern w:val="2"/>
          <w:sz w:val="32"/>
          <w:szCs w:val="32"/>
          <w:lang w:val="en-US" w:eastAsia="zh-CN" w:bidi="ar-SA"/>
        </w:rPr>
      </w:pPr>
      <w:r>
        <w:rPr>
          <w:rFonts w:hint="eastAsia" w:ascii="仿宋_GB2312" w:hAnsi="仿宋_GB2312" w:eastAsia="仿宋_GB2312" w:cs="仿宋_GB2312"/>
          <w:i w:val="0"/>
          <w:iCs w:val="0"/>
          <w:caps w:val="0"/>
          <w:color w:val="424242"/>
          <w:spacing w:val="0"/>
          <w:sz w:val="32"/>
          <w:szCs w:val="32"/>
          <w:shd w:val="clear" w:color="auto" w:fill="FFFFFF"/>
        </w:rPr>
        <w:t>　　</w:t>
      </w:r>
      <w:r>
        <w:rPr>
          <w:rFonts w:hint="eastAsia" w:ascii="FangSong_GB2312" w:hAnsi="FangSong_GB2312" w:eastAsia="FangSong_GB2312" w:cs="FangSong_GB2312"/>
          <w:kern w:val="2"/>
          <w:sz w:val="32"/>
          <w:szCs w:val="32"/>
          <w:lang w:val="en-US" w:eastAsia="zh-CN" w:bidi="ar-SA"/>
        </w:rPr>
        <w:t>（三）本项目不接受联合体报价，不允许分包、转包。单位负责人为同一人或者存在直接控股、管理关系的不同供应商，不得参加同一合同包项下的采购活动；（提供《关于资格的声明函》）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　　（四）供应商应当符合法律、行政法规规定的其他条件。（提供《关于资格的声明函》）</w:t>
      </w:r>
    </w:p>
    <w:bookmarkEnd w:id="0"/>
    <w:bookmarkEnd w:id="1"/>
    <w:bookmarkEnd w:id="2"/>
    <w:bookmarkEnd w:id="3"/>
    <w:bookmarkEnd w:id="4"/>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商务条款要求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（一）项目服务期限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本项目自合同签订生效之日起一年。服务期内，成交供应商应按要求完成服务全部工作。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（二）报价方式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本项目报价应为人民币含税全包价，包括履约过程中可预见和不可预见的一切费用。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（三）付款方式</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FangSong_GB2312" w:hAnsi="FangSong_GB2312" w:eastAsia="FangSong_GB2312" w:cs="FangSong_GB2312"/>
          <w:color w:val="auto"/>
          <w:sz w:val="32"/>
          <w:szCs w:val="32"/>
          <w:highlight w:val="none"/>
          <w:u w:val="none"/>
          <w:lang w:val="en-US" w:eastAsia="zh-CN"/>
        </w:rPr>
        <w:t>1.</w:t>
      </w:r>
      <w:r>
        <w:rPr>
          <w:rFonts w:hint="eastAsia" w:ascii="FangSong_GB2312" w:hAnsi="FangSong_GB2312" w:eastAsia="FangSong_GB2312" w:cs="FangSong_GB2312"/>
          <w:color w:val="auto"/>
          <w:sz w:val="32"/>
          <w:szCs w:val="32"/>
          <w:highlight w:val="none"/>
          <w:u w:val="none"/>
          <w:lang w:eastAsia="zh-CN"/>
        </w:rPr>
        <w:t>费用</w:t>
      </w:r>
      <w:r>
        <w:rPr>
          <w:rFonts w:hint="eastAsia" w:ascii="FangSong_GB2312" w:hAnsi="FangSong_GB2312" w:eastAsia="FangSong_GB2312" w:cs="FangSong_GB2312"/>
          <w:color w:val="auto"/>
          <w:sz w:val="32"/>
          <w:szCs w:val="32"/>
          <w:highlight w:val="none"/>
          <w:u w:val="none"/>
        </w:rPr>
        <w:t>分为</w:t>
      </w:r>
      <w:r>
        <w:rPr>
          <w:rFonts w:hint="eastAsia" w:ascii="FangSong_GB2312" w:hAnsi="FangSong_GB2312" w:eastAsia="FangSong_GB2312" w:cs="FangSong_GB2312"/>
          <w:color w:val="auto"/>
          <w:sz w:val="32"/>
          <w:szCs w:val="32"/>
          <w:highlight w:val="none"/>
          <w:u w:val="none"/>
          <w:lang w:val="en-US" w:eastAsia="zh-CN"/>
        </w:rPr>
        <w:t>四</w:t>
      </w:r>
      <w:r>
        <w:rPr>
          <w:rFonts w:hint="eastAsia" w:ascii="FangSong_GB2312" w:hAnsi="FangSong_GB2312" w:eastAsia="FangSong_GB2312" w:cs="FangSong_GB2312"/>
          <w:color w:val="auto"/>
          <w:sz w:val="32"/>
          <w:szCs w:val="32"/>
          <w:highlight w:val="none"/>
          <w:u w:val="none"/>
          <w:lang w:eastAsia="zh-CN"/>
        </w:rPr>
        <w:t>期</w:t>
      </w:r>
      <w:r>
        <w:rPr>
          <w:rFonts w:hint="eastAsia" w:ascii="FangSong_GB2312" w:hAnsi="FangSong_GB2312" w:eastAsia="FangSong_GB2312" w:cs="FangSong_GB2312"/>
          <w:color w:val="auto"/>
          <w:sz w:val="32"/>
          <w:szCs w:val="32"/>
          <w:highlight w:val="none"/>
          <w:u w:val="none"/>
        </w:rPr>
        <w:t>支付</w:t>
      </w:r>
      <w:r>
        <w:rPr>
          <w:rFonts w:hint="eastAsia" w:ascii="FangSong_GB2312" w:hAnsi="FangSong_GB2312" w:eastAsia="FangSong_GB2312" w:cs="FangSong_GB2312"/>
          <w:color w:val="auto"/>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shd w:val="clear" w:color="auto" w:fill="FFFFFF"/>
        </w:rPr>
        <w:t>签订合同后，</w:t>
      </w:r>
      <w:r>
        <w:rPr>
          <w:rFonts w:hint="eastAsia" w:ascii="仿宋_GB2312" w:hAnsi="仿宋_GB2312" w:eastAsia="仿宋_GB2312" w:cs="仿宋_GB2312"/>
          <w:i w:val="0"/>
          <w:iCs w:val="0"/>
          <w:caps w:val="0"/>
          <w:color w:val="auto"/>
          <w:spacing w:val="0"/>
          <w:sz w:val="32"/>
          <w:szCs w:val="32"/>
          <w:shd w:val="clear" w:color="auto" w:fill="FFFFFF"/>
          <w:lang w:val="en-US" w:eastAsia="zh-CN"/>
        </w:rPr>
        <w:t>按季度结算</w:t>
      </w:r>
      <w:r>
        <w:rPr>
          <w:rFonts w:hint="eastAsia" w:ascii="仿宋_GB2312" w:hAnsi="仿宋_GB2312" w:eastAsia="仿宋_GB2312" w:cs="仿宋_GB2312"/>
          <w:i w:val="0"/>
          <w:iCs w:val="0"/>
          <w:caps w:val="0"/>
          <w:color w:val="auto"/>
          <w:spacing w:val="0"/>
          <w:sz w:val="32"/>
          <w:szCs w:val="32"/>
          <w:shd w:val="clear" w:color="auto" w:fill="FFFFFF"/>
        </w:rPr>
        <w:t>实际成交价格的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25</w:t>
      </w:r>
      <w:r>
        <w:rPr>
          <w:rFonts w:hint="eastAsia" w:ascii="仿宋_GB2312" w:hAnsi="仿宋_GB2312" w:eastAsia="仿宋_GB2312" w:cs="仿宋_GB2312"/>
          <w:i w:val="0"/>
          <w:iCs w:val="0"/>
          <w:caps w:val="0"/>
          <w:color w:val="auto"/>
          <w:spacing w:val="0"/>
          <w:sz w:val="32"/>
          <w:szCs w:val="32"/>
          <w:shd w:val="clear" w:color="auto" w:fill="FFFFFF"/>
        </w:rPr>
        <w:t>%，具体结算金额按最终成交价格确定。</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lang w:val="en-US" w:eastAsia="zh-CN"/>
        </w:rPr>
        <w:t>2.</w:t>
      </w:r>
      <w:r>
        <w:rPr>
          <w:rFonts w:hint="eastAsia" w:ascii="FangSong_GB2312" w:hAnsi="FangSong_GB2312" w:eastAsia="FangSong_GB2312" w:cs="FangSong_GB2312"/>
          <w:color w:val="auto"/>
          <w:sz w:val="32"/>
          <w:szCs w:val="32"/>
          <w:highlight w:val="none"/>
          <w:lang w:eastAsia="zh-CN"/>
        </w:rPr>
        <w:t>采购方</w:t>
      </w:r>
      <w:r>
        <w:rPr>
          <w:rFonts w:hint="eastAsia" w:ascii="FangSong_GB2312" w:hAnsi="FangSong_GB2312" w:eastAsia="FangSong_GB2312" w:cs="FangSong_GB2312"/>
          <w:color w:val="auto"/>
          <w:sz w:val="32"/>
          <w:szCs w:val="32"/>
          <w:highlight w:val="none"/>
        </w:rPr>
        <w:t>已经办理财政经费支付申请</w:t>
      </w:r>
      <w:r>
        <w:rPr>
          <w:rFonts w:hint="eastAsia" w:ascii="FangSong_GB2312" w:hAnsi="FangSong_GB2312" w:eastAsia="FangSong_GB2312" w:cs="FangSong_GB2312"/>
          <w:color w:val="auto"/>
          <w:sz w:val="32"/>
          <w:szCs w:val="32"/>
          <w:highlight w:val="none"/>
          <w:lang w:eastAsia="zh-CN"/>
        </w:rPr>
        <w:t>的</w:t>
      </w:r>
      <w:r>
        <w:rPr>
          <w:rFonts w:hint="eastAsia" w:ascii="FangSong_GB2312" w:hAnsi="FangSong_GB2312" w:eastAsia="FangSong_GB2312" w:cs="FangSong_GB2312"/>
          <w:color w:val="auto"/>
          <w:sz w:val="32"/>
          <w:szCs w:val="32"/>
          <w:highlight w:val="none"/>
          <w:lang w:val="en-US" w:eastAsia="zh-CN"/>
        </w:rPr>
        <w:t>即视为支付日期</w:t>
      </w:r>
      <w:r>
        <w:rPr>
          <w:rFonts w:hint="eastAsia" w:ascii="FangSong_GB2312" w:hAnsi="FangSong_GB2312" w:eastAsia="FangSong_GB2312" w:cs="FangSong_GB2312"/>
          <w:color w:val="auto"/>
          <w:sz w:val="32"/>
          <w:szCs w:val="32"/>
          <w:highlight w:val="none"/>
        </w:rPr>
        <w:t>，因政府财政部门审查、财政支付管理流程及预算下达</w:t>
      </w:r>
      <w:r>
        <w:rPr>
          <w:rFonts w:hint="eastAsia" w:ascii="FangSong_GB2312" w:hAnsi="FangSong_GB2312" w:eastAsia="FangSong_GB2312" w:cs="FangSong_GB2312"/>
          <w:color w:val="auto"/>
          <w:sz w:val="32"/>
          <w:szCs w:val="32"/>
          <w:highlight w:val="none"/>
          <w:lang w:eastAsia="zh-CN"/>
        </w:rPr>
        <w:t>等原因</w:t>
      </w:r>
      <w:r>
        <w:rPr>
          <w:rFonts w:hint="eastAsia" w:ascii="FangSong_GB2312" w:hAnsi="FangSong_GB2312" w:eastAsia="FangSong_GB2312" w:cs="FangSong_GB2312"/>
          <w:color w:val="auto"/>
          <w:sz w:val="32"/>
          <w:szCs w:val="32"/>
          <w:highlight w:val="none"/>
        </w:rPr>
        <w:t>导致支付延期</w:t>
      </w:r>
      <w:r>
        <w:rPr>
          <w:rFonts w:hint="eastAsia" w:ascii="FangSong_GB2312" w:hAnsi="FangSong_GB2312" w:eastAsia="FangSong_GB2312" w:cs="FangSong_GB2312"/>
          <w:color w:val="auto"/>
          <w:sz w:val="32"/>
          <w:szCs w:val="32"/>
          <w:highlight w:val="none"/>
          <w:lang w:eastAsia="zh-CN"/>
        </w:rPr>
        <w:t>的</w:t>
      </w:r>
      <w:r>
        <w:rPr>
          <w:rFonts w:hint="eastAsia" w:ascii="FangSong_GB2312" w:hAnsi="FangSong_GB2312" w:eastAsia="FangSong_GB2312" w:cs="FangSong_GB2312"/>
          <w:color w:val="auto"/>
          <w:sz w:val="32"/>
          <w:szCs w:val="32"/>
          <w:highlight w:val="none"/>
        </w:rPr>
        <w:t>，支付期限自动顺延，</w:t>
      </w:r>
      <w:r>
        <w:rPr>
          <w:rFonts w:hint="eastAsia" w:ascii="FangSong_GB2312" w:hAnsi="FangSong_GB2312" w:eastAsia="FangSong_GB2312" w:cs="FangSong_GB2312"/>
          <w:color w:val="auto"/>
          <w:sz w:val="32"/>
          <w:szCs w:val="32"/>
          <w:highlight w:val="none"/>
          <w:lang w:eastAsia="zh-CN"/>
        </w:rPr>
        <w:t>采购方</w:t>
      </w:r>
      <w:r>
        <w:rPr>
          <w:rFonts w:hint="eastAsia" w:ascii="FangSong_GB2312" w:hAnsi="FangSong_GB2312" w:eastAsia="FangSong_GB2312" w:cs="FangSong_GB2312"/>
          <w:color w:val="auto"/>
          <w:sz w:val="32"/>
          <w:szCs w:val="32"/>
          <w:highlight w:val="none"/>
        </w:rPr>
        <w:t>不承担</w:t>
      </w:r>
      <w:r>
        <w:rPr>
          <w:rFonts w:hint="eastAsia" w:ascii="FangSong_GB2312" w:hAnsi="FangSong_GB2312" w:eastAsia="FangSong_GB2312" w:cs="FangSong_GB2312"/>
          <w:color w:val="auto"/>
          <w:sz w:val="32"/>
          <w:szCs w:val="32"/>
          <w:highlight w:val="none"/>
          <w:lang w:eastAsia="zh-CN"/>
        </w:rPr>
        <w:t>违约</w:t>
      </w:r>
      <w:r>
        <w:rPr>
          <w:rFonts w:hint="eastAsia" w:ascii="FangSong_GB2312" w:hAnsi="FangSong_GB2312" w:eastAsia="FangSong_GB2312" w:cs="FangSong_GB2312"/>
          <w:color w:val="auto"/>
          <w:sz w:val="32"/>
          <w:szCs w:val="32"/>
          <w:highlight w:val="none"/>
        </w:rPr>
        <w:t>责任，</w:t>
      </w:r>
      <w:r>
        <w:rPr>
          <w:rFonts w:hint="eastAsia" w:ascii="FangSong_GB2312" w:hAnsi="FangSong_GB2312" w:eastAsia="FangSong_GB2312" w:cs="FangSong_GB2312"/>
          <w:color w:val="auto"/>
          <w:sz w:val="32"/>
          <w:szCs w:val="32"/>
          <w:highlight w:val="none"/>
          <w:lang w:eastAsia="zh-CN"/>
        </w:rPr>
        <w:t>供应商</w:t>
      </w:r>
      <w:r>
        <w:rPr>
          <w:rFonts w:hint="eastAsia" w:ascii="FangSong_GB2312" w:hAnsi="FangSong_GB2312" w:eastAsia="FangSong_GB2312" w:cs="FangSong_GB2312"/>
          <w:color w:val="auto"/>
          <w:sz w:val="32"/>
          <w:szCs w:val="32"/>
          <w:highlight w:val="none"/>
        </w:rPr>
        <w:t>不得以此为由迟延履行或不履行合同义务。</w:t>
      </w:r>
    </w:p>
    <w:p>
      <w:pPr>
        <w:keepNext w:val="0"/>
        <w:keepLines w:val="0"/>
        <w:pageBreakBefore w:val="0"/>
        <w:numPr>
          <w:ilvl w:val="0"/>
          <w:numId w:val="0"/>
        </w:numPr>
        <w:kinsoku/>
        <w:overflowPunct/>
        <w:topLinePunct w:val="0"/>
        <w:autoSpaceDE/>
        <w:autoSpaceDN/>
        <w:bidi w:val="0"/>
        <w:adjustRightInd w:val="0"/>
        <w:snapToGrid w:val="0"/>
        <w:spacing w:line="520" w:lineRule="exact"/>
        <w:ind w:leftChars="200" w:firstLine="320" w:firstLineChars="1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六、确定议价供应商</w:t>
      </w:r>
    </w:p>
    <w:p>
      <w:pPr>
        <w:pStyle w:val="8"/>
        <w:keepNext w:val="0"/>
        <w:keepLines w:val="0"/>
        <w:pageBreakBefore w:val="0"/>
        <w:widowControl/>
        <w:shd w:val="clear" w:color="auto" w:fill="FFFFFF"/>
        <w:kinsoku/>
        <w:wordWrap w:val="0"/>
        <w:overflowPunct/>
        <w:topLinePunct w:val="0"/>
        <w:autoSpaceDE/>
        <w:autoSpaceDN/>
        <w:bidi w:val="0"/>
        <w:spacing w:before="0" w:beforeAutospacing="0" w:after="0" w:afterAutospacing="0" w:line="520" w:lineRule="exact"/>
        <w:ind w:firstLine="640" w:firstLineChars="200"/>
        <w:textAlignment w:val="auto"/>
        <w:rPr>
          <w:rFonts w:hint="eastAsia" w:ascii="FangSong_GB2312" w:hAnsi="FangSong_GB2312" w:eastAsia="FangSong_GB2312" w:cs="FangSong_GB2312"/>
          <w:color w:val="auto"/>
          <w:kern w:val="2"/>
          <w:sz w:val="32"/>
          <w:szCs w:val="32"/>
          <w:highlight w:val="none"/>
          <w:lang w:val="en-US" w:eastAsia="zh-CN" w:bidi="ar-SA"/>
        </w:rPr>
      </w:pPr>
      <w:r>
        <w:rPr>
          <w:rFonts w:hint="eastAsia" w:ascii="FangSong_GB2312" w:hAnsi="FangSong_GB2312" w:eastAsia="FangSong_GB2312" w:cs="FangSong_GB2312"/>
          <w:color w:val="auto"/>
          <w:kern w:val="2"/>
          <w:sz w:val="32"/>
          <w:szCs w:val="32"/>
          <w:highlight w:val="none"/>
          <w:lang w:val="en-US" w:eastAsia="zh-CN" w:bidi="ar-SA"/>
        </w:rPr>
        <w:t>本项目由我单位按报价供应商资质、工作方案和报价进行综合评分。评选结果按评审后得分由高到低顺序排列，评审得分最高的投标人为候选成交供应商。得分相同的，按报价由低到高顺序排列。得分且报价相同的，以评审因素量化指标得分最高的供应商为候选成交供应商。成交结果将在鹤山市人力资源和社会保障局网站公示。</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附件：评</w:t>
      </w:r>
      <w:r>
        <w:rPr>
          <w:rFonts w:hint="eastAsia" w:ascii="FangSong_GB2312" w:hAnsi="FangSong_GB2312" w:eastAsia="FangSong_GB2312" w:cs="FangSong_GB2312"/>
          <w:color w:val="auto"/>
          <w:sz w:val="32"/>
          <w:szCs w:val="32"/>
          <w:lang w:eastAsia="zh-CN"/>
        </w:rPr>
        <w:t>审</w:t>
      </w:r>
      <w:r>
        <w:rPr>
          <w:rFonts w:hint="eastAsia" w:ascii="FangSong_GB2312" w:hAnsi="FangSong_GB2312" w:eastAsia="FangSong_GB2312" w:cs="FangSong_GB2312"/>
          <w:color w:val="auto"/>
          <w:sz w:val="32"/>
          <w:szCs w:val="32"/>
        </w:rPr>
        <w:t>标准</w:t>
      </w:r>
    </w:p>
    <w:p>
      <w:pPr>
        <w:pStyle w:val="5"/>
        <w:rPr>
          <w:rFonts w:hint="eastAsia"/>
        </w:rPr>
      </w:pPr>
    </w:p>
    <w:p>
      <w:pPr>
        <w:pStyle w:val="6"/>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r>
        <w:rPr>
          <w:rFonts w:hint="eastAsia" w:ascii="黑体" w:hAnsi="黑体" w:eastAsia="黑体" w:cs="黑体"/>
          <w:sz w:val="28"/>
          <w:szCs w:val="28"/>
        </w:rPr>
        <w:t>附件</w:t>
      </w:r>
    </w:p>
    <w:p>
      <w:pPr>
        <w:pStyle w:val="2"/>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评审标准</w:t>
      </w:r>
    </w:p>
    <w:tbl>
      <w:tblPr>
        <w:tblStyle w:val="9"/>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51" w:type="dxa"/>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2"/>
                <w:szCs w:val="32"/>
                <w:lang w:eastAsia="zh-CN"/>
              </w:rPr>
            </w:pPr>
            <w:r>
              <w:rPr>
                <w:rFonts w:hint="eastAsia" w:ascii="FangSong_GB2312" w:hAnsi="FangSong_GB2312" w:eastAsia="FangSong_GB2312" w:cs="FangSong_GB2312"/>
                <w:b/>
                <w:bCs/>
                <w:sz w:val="32"/>
                <w:szCs w:val="32"/>
                <w:lang w:eastAsia="zh-CN"/>
              </w:rPr>
              <w:t>评审因素</w:t>
            </w:r>
          </w:p>
        </w:tc>
        <w:tc>
          <w:tcPr>
            <w:tcW w:w="7299" w:type="dxa"/>
            <w:vAlign w:val="center"/>
          </w:tcPr>
          <w:p>
            <w:pPr>
              <w:pStyle w:val="3"/>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2"/>
                <w:szCs w:val="32"/>
                <w:lang w:eastAsia="zh-CN"/>
              </w:rPr>
            </w:pPr>
            <w:r>
              <w:rPr>
                <w:rFonts w:hint="eastAsia" w:ascii="FangSong_GB2312" w:hAnsi="FangSong_GB2312" w:eastAsia="FangSong_GB2312" w:cs="FangSong_GB2312"/>
                <w:b/>
                <w:bCs/>
                <w:sz w:val="32"/>
                <w:szCs w:val="32"/>
                <w:lang w:eastAsia="zh-CN"/>
              </w:rPr>
              <w:t>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rPr>
            </w:pPr>
            <w:r>
              <w:rPr>
                <w:rFonts w:hint="eastAsia" w:ascii="FangSong_GB2312" w:hAnsi="FangSong_GB2312" w:eastAsia="FangSong_GB2312" w:cs="FangSong_GB2312"/>
                <w:b/>
                <w:bCs/>
                <w:sz w:val="30"/>
                <w:szCs w:val="30"/>
              </w:rPr>
              <w:t>项目理解及需求、重点难点分析</w:t>
            </w:r>
          </w:p>
          <w:p>
            <w:pPr>
              <w:pStyle w:val="3"/>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FangSong_GB2312" w:hAnsi="FangSong_GB2312" w:eastAsia="FangSong_GB2312" w:cs="FangSong_GB2312"/>
                <w:b/>
                <w:bCs/>
                <w:sz w:val="32"/>
                <w:szCs w:val="32"/>
                <w:lang w:eastAsia="zh-CN"/>
              </w:rPr>
            </w:pPr>
            <w:r>
              <w:rPr>
                <w:rFonts w:hint="eastAsia" w:ascii="FangSong_GB2312" w:hAnsi="FangSong_GB2312" w:eastAsia="FangSong_GB2312" w:cs="FangSong_GB2312"/>
                <w:b/>
                <w:bCs/>
                <w:sz w:val="30"/>
                <w:szCs w:val="30"/>
              </w:rPr>
              <w:t>（</w:t>
            </w:r>
            <w:r>
              <w:rPr>
                <w:rFonts w:hint="eastAsia" w:ascii="FangSong_GB2312" w:hAnsi="FangSong_GB2312" w:eastAsia="FangSong_GB2312" w:cs="FangSong_GB2312"/>
                <w:b/>
                <w:bCs/>
                <w:sz w:val="30"/>
                <w:szCs w:val="30"/>
                <w:lang w:val="en-US" w:eastAsia="zh-CN"/>
              </w:rPr>
              <w:t>20</w:t>
            </w:r>
            <w:r>
              <w:rPr>
                <w:rFonts w:hint="eastAsia" w:ascii="FangSong_GB2312" w:hAnsi="FangSong_GB2312" w:eastAsia="FangSong_GB2312" w:cs="FangSong_GB2312"/>
                <w:b/>
                <w:bCs/>
                <w:sz w:val="30"/>
                <w:szCs w:val="30"/>
              </w:rPr>
              <w:t>分）</w:t>
            </w:r>
          </w:p>
        </w:tc>
        <w:tc>
          <w:tcPr>
            <w:tcW w:w="7299" w:type="dxa"/>
            <w:vAlign w:val="center"/>
          </w:tcPr>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供应商对项目理解及需求、重点难点分析情况进行评审，包括供应商是否深刻理解项目背景、意义和内容，对项目需求分析是否准确透彻、条理清晰，对项目与重点与难点的分析是否准确到位、应对措施是否可行和高效，以及对磋商文件技术要求的响应程度等。</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【优】项目需求分析准确透彻、条理清晰，重点与难点分析准确到位、应对措施可行和高效的，得</w:t>
            </w:r>
            <w:r>
              <w:rPr>
                <w:rFonts w:hint="eastAsia" w:ascii="FangSong_GB2312" w:hAnsi="FangSong_GB2312" w:eastAsia="FangSong_GB2312" w:cs="FangSong_GB2312"/>
                <w:sz w:val="24"/>
                <w:szCs w:val="24"/>
                <w:lang w:val="en-US" w:eastAsia="zh-CN"/>
              </w:rPr>
              <w:t>18-20</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【良】项目需求分析准确，重点与难点分析到位、应对措施较好的，得</w:t>
            </w:r>
            <w:r>
              <w:rPr>
                <w:rFonts w:hint="eastAsia" w:ascii="FangSong_GB2312" w:hAnsi="FangSong_GB2312" w:eastAsia="FangSong_GB2312" w:cs="FangSong_GB2312"/>
                <w:sz w:val="24"/>
                <w:szCs w:val="24"/>
                <w:lang w:val="en-US" w:eastAsia="zh-CN"/>
              </w:rPr>
              <w:t>14-17</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【中】项目需求分析合理，重点与难点分析到位、应对措施可行的，得</w:t>
            </w:r>
            <w:r>
              <w:rPr>
                <w:rFonts w:hint="eastAsia" w:ascii="FangSong_GB2312" w:hAnsi="FangSong_GB2312" w:eastAsia="FangSong_GB2312" w:cs="FangSong_GB2312"/>
                <w:sz w:val="24"/>
                <w:szCs w:val="24"/>
                <w:lang w:val="en-US" w:eastAsia="zh-CN"/>
              </w:rPr>
              <w:t>10-13</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rPr>
                <w:rFonts w:hint="eastAsia" w:ascii="FangSong_GB2312" w:hAnsi="FangSong_GB2312" w:eastAsia="FangSong_GB2312" w:cs="FangSong_GB2312"/>
                <w:b/>
                <w:bCs/>
                <w:sz w:val="32"/>
                <w:szCs w:val="32"/>
                <w:lang w:eastAsia="zh-CN"/>
              </w:rPr>
            </w:pPr>
            <w:r>
              <w:rPr>
                <w:rFonts w:hint="eastAsia" w:ascii="FangSong_GB2312" w:hAnsi="FangSong_GB2312" w:eastAsia="FangSong_GB2312" w:cs="FangSong_GB2312"/>
                <w:b w:val="0"/>
                <w:bCs w:val="0"/>
                <w:sz w:val="24"/>
                <w:szCs w:val="24"/>
              </w:rPr>
              <w:t>注：没有提供得0分。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5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lang w:val="en-US" w:eastAsia="zh-CN"/>
              </w:rPr>
            </w:pPr>
            <w:r>
              <w:rPr>
                <w:rFonts w:hint="eastAsia" w:ascii="FangSong_GB2312" w:hAnsi="FangSong_GB2312" w:eastAsia="FangSong_GB2312" w:cs="FangSong_GB2312"/>
                <w:b/>
                <w:bCs/>
                <w:sz w:val="30"/>
                <w:szCs w:val="30"/>
                <w:lang w:val="en-US" w:eastAsia="zh-CN"/>
              </w:rPr>
              <w:t>项目管理</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lang w:val="en-US" w:eastAsia="zh-CN"/>
              </w:rPr>
            </w:pPr>
            <w:r>
              <w:rPr>
                <w:rFonts w:hint="eastAsia" w:ascii="FangSong_GB2312" w:hAnsi="FangSong_GB2312" w:eastAsia="FangSong_GB2312" w:cs="FangSong_GB2312"/>
                <w:b/>
                <w:bCs/>
                <w:sz w:val="30"/>
                <w:szCs w:val="30"/>
                <w:lang w:val="en-US" w:eastAsia="zh-CN"/>
              </w:rPr>
              <w:t>方案</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rPr>
            </w:pPr>
            <w:r>
              <w:rPr>
                <w:rFonts w:hint="eastAsia" w:ascii="FangSong_GB2312" w:hAnsi="FangSong_GB2312" w:eastAsia="FangSong_GB2312" w:cs="FangSong_GB2312"/>
                <w:b/>
                <w:bCs/>
                <w:sz w:val="30"/>
                <w:szCs w:val="30"/>
                <w:lang w:val="en-US" w:eastAsia="zh-CN"/>
              </w:rPr>
              <w:t>（30分）</w:t>
            </w:r>
          </w:p>
        </w:tc>
        <w:tc>
          <w:tcPr>
            <w:tcW w:w="7299" w:type="dxa"/>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lang w:val="en-US" w:eastAsia="zh-CN"/>
              </w:rPr>
              <w:t>对比供应商对项目管理方案，满分30分（供应商应当在响应文书中提供本服务项目总体方案并加盖公章）。</w:t>
            </w:r>
            <w:r>
              <w:rPr>
                <w:rFonts w:hint="eastAsia" w:ascii="FangSong_GB2312" w:hAnsi="FangSong_GB2312" w:eastAsia="FangSong_GB2312" w:cs="FangSong_GB2312"/>
                <w:sz w:val="24"/>
                <w:szCs w:val="24"/>
                <w:lang w:val="en-US" w:eastAsia="zh-CN"/>
              </w:rPr>
              <w:br w:type="textWrapping"/>
            </w:r>
            <w:r>
              <w:rPr>
                <w:rFonts w:hint="eastAsia" w:ascii="FangSong_GB2312" w:hAnsi="FangSong_GB2312" w:eastAsia="FangSong_GB2312" w:cs="FangSong_GB2312"/>
                <w:sz w:val="24"/>
                <w:szCs w:val="24"/>
              </w:rPr>
              <w:t>【优】方案全面完整、进度合理、组织能力能实现、内容详实、条理性和可操作性强的，得</w:t>
            </w:r>
            <w:r>
              <w:rPr>
                <w:rFonts w:hint="eastAsia" w:ascii="FangSong_GB2312" w:hAnsi="FangSong_GB2312" w:eastAsia="FangSong_GB2312" w:cs="FangSong_GB2312"/>
                <w:sz w:val="24"/>
                <w:szCs w:val="24"/>
                <w:lang w:val="en-US" w:eastAsia="zh-CN"/>
              </w:rPr>
              <w:t>27-30</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【良】方案全面合理、组织能力好、具有条理性和可操作性的，得</w:t>
            </w:r>
            <w:r>
              <w:rPr>
                <w:rFonts w:hint="eastAsia" w:ascii="FangSong_GB2312" w:hAnsi="FangSong_GB2312" w:eastAsia="FangSong_GB2312" w:cs="FangSong_GB2312"/>
                <w:sz w:val="24"/>
                <w:szCs w:val="24"/>
                <w:lang w:val="en-US" w:eastAsia="zh-CN"/>
              </w:rPr>
              <w:t>21-26</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【中】方案可行、组织能力一般、条理性和可操作性一般的，得</w:t>
            </w:r>
            <w:r>
              <w:rPr>
                <w:rFonts w:hint="eastAsia" w:ascii="FangSong_GB2312" w:hAnsi="FangSong_GB2312" w:eastAsia="FangSong_GB2312" w:cs="FangSong_GB2312"/>
                <w:sz w:val="24"/>
                <w:szCs w:val="24"/>
                <w:lang w:val="en-US" w:eastAsia="zh-CN"/>
              </w:rPr>
              <w:t>15-20</w:t>
            </w:r>
            <w:r>
              <w:rPr>
                <w:rFonts w:hint="eastAsia" w:ascii="FangSong_GB2312" w:hAnsi="FangSong_GB2312" w:eastAsia="FangSong_GB2312" w:cs="FangSong_GB2312"/>
                <w:sz w:val="24"/>
                <w:szCs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FangSong_GB2312" w:hAnsi="FangSong_GB2312" w:eastAsia="FangSong_GB2312" w:cs="FangSong_GB2312"/>
                <w:b/>
                <w:bCs/>
                <w:sz w:val="30"/>
                <w:szCs w:val="30"/>
              </w:rPr>
            </w:pPr>
            <w:r>
              <w:rPr>
                <w:rFonts w:hint="eastAsia" w:ascii="FangSong_GB2312" w:hAnsi="FangSong_GB2312" w:eastAsia="FangSong_GB2312" w:cs="FangSong_GB2312"/>
                <w:sz w:val="24"/>
                <w:szCs w:val="24"/>
              </w:rPr>
              <w:t>注：没有提供得0分。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5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lang w:val="en-US" w:eastAsia="zh-CN"/>
              </w:rPr>
            </w:pPr>
            <w:r>
              <w:rPr>
                <w:rFonts w:hint="eastAsia" w:ascii="FangSong_GB2312" w:hAnsi="FangSong_GB2312" w:eastAsia="FangSong_GB2312" w:cs="FangSong_GB2312"/>
                <w:b/>
                <w:bCs/>
                <w:sz w:val="30"/>
                <w:szCs w:val="30"/>
                <w:lang w:val="en-US" w:eastAsia="zh-CN"/>
              </w:rPr>
              <w:t>同类项目经营业绩</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FangSong_GB2312" w:hAnsi="FangSong_GB2312" w:eastAsia="FangSong_GB2312" w:cs="FangSong_GB2312"/>
                <w:b/>
                <w:bCs/>
                <w:sz w:val="30"/>
                <w:szCs w:val="30"/>
                <w:lang w:val="en-US" w:eastAsia="zh-CN"/>
              </w:rPr>
              <w:t>（30分）</w:t>
            </w:r>
          </w:p>
        </w:tc>
        <w:tc>
          <w:tcPr>
            <w:tcW w:w="72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FangSong_GB2312" w:hAnsi="FangSong_GB2312" w:eastAsia="FangSong_GB2312" w:cs="FangSong_GB2312"/>
                <w:b/>
                <w:bCs/>
                <w:sz w:val="30"/>
                <w:szCs w:val="30"/>
              </w:rPr>
            </w:pPr>
            <w:r>
              <w:rPr>
                <w:rFonts w:hint="eastAsia" w:ascii="FangSong_GB2312" w:hAnsi="FangSong_GB2312" w:eastAsia="FangSong_GB2312" w:cs="FangSong_GB2312"/>
                <w:kern w:val="0"/>
                <w:sz w:val="24"/>
                <w:szCs w:val="24"/>
                <w:lang w:val="en-US" w:eastAsia="zh-CN" w:bidi="ar-SA"/>
              </w:rPr>
              <w:t>提供2023年至今的政府机关单位同类项目业绩，每个得3分，满分30分。注：供应商应当在响应文书中提供同类项目业绩的合同及相关资料复印件并加盖公章。不提供得0分。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lang w:val="en-US" w:eastAsia="zh-CN"/>
              </w:rPr>
            </w:pPr>
            <w:r>
              <w:rPr>
                <w:rFonts w:hint="eastAsia" w:ascii="FangSong_GB2312" w:hAnsi="FangSong_GB2312" w:eastAsia="FangSong_GB2312" w:cs="FangSong_GB2312"/>
                <w:b/>
                <w:bCs/>
                <w:sz w:val="30"/>
                <w:szCs w:val="30"/>
                <w:lang w:val="en-US" w:eastAsia="zh-CN"/>
              </w:rPr>
              <w:t>服务团队成员配备情况</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FangSong_GB2312" w:hAnsi="FangSong_GB2312" w:eastAsia="FangSong_GB2312" w:cs="FangSong_GB2312"/>
                <w:b/>
                <w:bCs/>
                <w:sz w:val="30"/>
                <w:szCs w:val="30"/>
                <w:lang w:val="en-US" w:eastAsia="zh-CN"/>
              </w:rPr>
              <w:t>（10分）</w:t>
            </w:r>
          </w:p>
        </w:tc>
        <w:tc>
          <w:tcPr>
            <w:tcW w:w="7299" w:type="dxa"/>
            <w:vAlign w:val="center"/>
          </w:tcPr>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根据供应商拟投入的服务团队成员，在人员数量、能力水平等方面进行评审：</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color w:val="auto"/>
                <w:sz w:val="24"/>
                <w:szCs w:val="24"/>
                <w:lang w:val="en-US" w:eastAsia="zh-CN"/>
              </w:rPr>
            </w:pPr>
            <w:r>
              <w:rPr>
                <w:rFonts w:hint="eastAsia" w:ascii="FangSong_GB2312" w:hAnsi="FangSong_GB2312" w:eastAsia="FangSong_GB2312" w:cs="FangSong_GB2312"/>
                <w:sz w:val="24"/>
                <w:szCs w:val="24"/>
                <w:lang w:val="en-US" w:eastAsia="zh-CN"/>
              </w:rPr>
              <w:t>（1）供应商须组建服务全职</w:t>
            </w:r>
            <w:bookmarkStart w:id="5" w:name="_GoBack"/>
            <w:bookmarkEnd w:id="5"/>
            <w:r>
              <w:rPr>
                <w:rFonts w:hint="eastAsia" w:ascii="FangSong_GB2312" w:hAnsi="FangSong_GB2312" w:eastAsia="FangSong_GB2312" w:cs="FangSong_GB2312"/>
                <w:sz w:val="24"/>
                <w:szCs w:val="24"/>
                <w:lang w:val="en-US" w:eastAsia="zh-CN"/>
              </w:rPr>
              <w:t>工作人员，提供近三个月社保证明的，得4分；能</w:t>
            </w:r>
            <w:r>
              <w:rPr>
                <w:rFonts w:hint="eastAsia" w:ascii="FangSong_GB2312" w:hAnsi="FangSong_GB2312" w:eastAsia="FangSong_GB2312" w:cs="FangSong_GB2312"/>
                <w:color w:val="auto"/>
                <w:sz w:val="24"/>
                <w:szCs w:val="24"/>
                <w:lang w:val="en-US" w:eastAsia="zh-CN"/>
              </w:rPr>
              <w:t>够提供“组织基金监督服务全职人员开展全年驻场服务工作”的承诺函（承诺函格式自拟），承诺不少于2人得4分。</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（2）服务团队成员中具备本科及以上学历的，每位成员得1分，最高得2分。</w:t>
            </w:r>
          </w:p>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b/>
                <w:sz w:val="30"/>
                <w:szCs w:val="30"/>
              </w:rPr>
            </w:pPr>
            <w:r>
              <w:rPr>
                <w:rFonts w:hint="eastAsia" w:ascii="FangSong_GB2312" w:hAnsi="FangSong_GB2312" w:eastAsia="FangSong_GB2312" w:cs="FangSong_GB2312"/>
                <w:sz w:val="24"/>
                <w:szCs w:val="24"/>
                <w:lang w:val="en-US" w:eastAsia="zh-CN"/>
              </w:rPr>
              <w:t>注：需提供上述人员的近三个月社保证明，此项满分10分，不提供得0分。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551" w:type="dxa"/>
            <w:vAlign w:val="center"/>
          </w:tcPr>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sz w:val="30"/>
                <w:szCs w:val="30"/>
                <w:lang w:val="en-US" w:eastAsia="zh-CN"/>
              </w:rPr>
            </w:pPr>
            <w:r>
              <w:rPr>
                <w:rFonts w:hint="eastAsia" w:ascii="FangSong_GB2312" w:hAnsi="FangSong_GB2312" w:eastAsia="FangSong_GB2312" w:cs="FangSong_GB2312"/>
                <w:b/>
                <w:bCs/>
                <w:sz w:val="30"/>
                <w:szCs w:val="30"/>
                <w:lang w:val="en-US" w:eastAsia="zh-CN"/>
              </w:rPr>
              <w:t>价格评分</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FangSong_GB2312" w:hAnsi="FangSong_GB2312" w:eastAsia="FangSong_GB2312" w:cs="FangSong_GB2312"/>
                <w:b/>
                <w:bCs/>
                <w:kern w:val="0"/>
                <w:sz w:val="30"/>
                <w:szCs w:val="30"/>
                <w:lang w:val="en-US" w:eastAsia="zh-CN" w:bidi="ar-SA"/>
              </w:rPr>
            </w:pPr>
            <w:r>
              <w:rPr>
                <w:rFonts w:hint="eastAsia" w:ascii="FangSong_GB2312" w:hAnsi="FangSong_GB2312" w:eastAsia="FangSong_GB2312" w:cs="FangSong_GB2312"/>
                <w:b/>
                <w:bCs/>
                <w:sz w:val="30"/>
                <w:szCs w:val="30"/>
                <w:lang w:val="en-US" w:eastAsia="zh-CN"/>
              </w:rPr>
              <w:t>（10分）</w:t>
            </w:r>
          </w:p>
        </w:tc>
        <w:tc>
          <w:tcPr>
            <w:tcW w:w="7299" w:type="dxa"/>
            <w:vAlign w:val="center"/>
          </w:tcPr>
          <w:p>
            <w:pPr>
              <w:pStyle w:val="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FangSong_GB2312" w:hAnsi="FangSong_GB2312" w:eastAsia="FangSong_GB2312" w:cs="FangSong_GB2312"/>
                <w:sz w:val="30"/>
                <w:szCs w:val="30"/>
              </w:rPr>
            </w:pPr>
            <w:r>
              <w:rPr>
                <w:rFonts w:hint="eastAsia" w:ascii="FangSong_GB2312" w:hAnsi="FangSong_GB2312" w:eastAsia="FangSong_GB2312" w:cs="FangSong_GB2312"/>
                <w:sz w:val="24"/>
                <w:szCs w:val="24"/>
                <w:lang w:val="en-US" w:eastAsia="zh-CN"/>
              </w:rPr>
              <w:t>以最低的有效报价为评标基准报价，其价格为满分10分。其他投标人的价格分统一按照下列公式计算：投标报价得分=（评标基准价/投标报价）×10，此项得分保留两位小数。</w:t>
            </w:r>
          </w:p>
        </w:tc>
      </w:tr>
    </w:tbl>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FangSong_GB2312" w:hAnsi="FangSong_GB2312" w:eastAsia="FangSong_GB2312" w:cs="FangSong_GB2312"/>
          <w:color w:val="auto"/>
          <w:sz w:val="21"/>
          <w:szCs w:val="21"/>
        </w:rPr>
      </w:pPr>
    </w:p>
    <w:sectPr>
      <w:footerReference r:id="rId3" w:type="default"/>
      <w:pgSz w:w="11906" w:h="16838"/>
      <w:pgMar w:top="1440" w:right="1800" w:bottom="1440" w:left="1800"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839113"/>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FE58C"/>
    <w:multiLevelType w:val="singleLevel"/>
    <w:tmpl w:val="DCDFE58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Mzk1YjdhZDg1YjRmNzIwMWZmYTg0MWM1NmRhYjkifQ=="/>
  </w:docVars>
  <w:rsids>
    <w:rsidRoot w:val="00F32C88"/>
    <w:rsid w:val="00087DB7"/>
    <w:rsid w:val="0009433B"/>
    <w:rsid w:val="00120D16"/>
    <w:rsid w:val="001225AB"/>
    <w:rsid w:val="00191DD9"/>
    <w:rsid w:val="001D5339"/>
    <w:rsid w:val="00215D99"/>
    <w:rsid w:val="00221990"/>
    <w:rsid w:val="0022551A"/>
    <w:rsid w:val="00265AF9"/>
    <w:rsid w:val="00277F20"/>
    <w:rsid w:val="002E51A3"/>
    <w:rsid w:val="002F74F4"/>
    <w:rsid w:val="0031352C"/>
    <w:rsid w:val="003A7AD9"/>
    <w:rsid w:val="003B16F5"/>
    <w:rsid w:val="00463087"/>
    <w:rsid w:val="004E7C65"/>
    <w:rsid w:val="005210E5"/>
    <w:rsid w:val="00521753"/>
    <w:rsid w:val="00552D90"/>
    <w:rsid w:val="00552FD4"/>
    <w:rsid w:val="005827AD"/>
    <w:rsid w:val="00583C32"/>
    <w:rsid w:val="005F4AD7"/>
    <w:rsid w:val="00662654"/>
    <w:rsid w:val="00721B26"/>
    <w:rsid w:val="00773539"/>
    <w:rsid w:val="00791052"/>
    <w:rsid w:val="007B4227"/>
    <w:rsid w:val="007D417F"/>
    <w:rsid w:val="007E434C"/>
    <w:rsid w:val="007F13F6"/>
    <w:rsid w:val="00850969"/>
    <w:rsid w:val="008A38B7"/>
    <w:rsid w:val="008B75C9"/>
    <w:rsid w:val="008E12C3"/>
    <w:rsid w:val="008E5128"/>
    <w:rsid w:val="00902053"/>
    <w:rsid w:val="00921DA2"/>
    <w:rsid w:val="00975A2D"/>
    <w:rsid w:val="009C45E1"/>
    <w:rsid w:val="009C494A"/>
    <w:rsid w:val="00A44E85"/>
    <w:rsid w:val="00A5468A"/>
    <w:rsid w:val="00A55A59"/>
    <w:rsid w:val="00A66493"/>
    <w:rsid w:val="00AB56DC"/>
    <w:rsid w:val="00AD0495"/>
    <w:rsid w:val="00B01461"/>
    <w:rsid w:val="00B07FA1"/>
    <w:rsid w:val="00B10C66"/>
    <w:rsid w:val="00B22FB9"/>
    <w:rsid w:val="00B97270"/>
    <w:rsid w:val="00BA59EE"/>
    <w:rsid w:val="00BE0166"/>
    <w:rsid w:val="00BF47A7"/>
    <w:rsid w:val="00C718D4"/>
    <w:rsid w:val="00CF461C"/>
    <w:rsid w:val="00D1681A"/>
    <w:rsid w:val="00D37114"/>
    <w:rsid w:val="00D65AA9"/>
    <w:rsid w:val="00DC627B"/>
    <w:rsid w:val="00DF6A2C"/>
    <w:rsid w:val="00E05BBC"/>
    <w:rsid w:val="00E07B6C"/>
    <w:rsid w:val="00E14AA6"/>
    <w:rsid w:val="00E61920"/>
    <w:rsid w:val="00E73EAA"/>
    <w:rsid w:val="00E92A9E"/>
    <w:rsid w:val="00EF7C38"/>
    <w:rsid w:val="00F15D35"/>
    <w:rsid w:val="00F32C88"/>
    <w:rsid w:val="00FC01AA"/>
    <w:rsid w:val="00FF13AF"/>
    <w:rsid w:val="07A914BD"/>
    <w:rsid w:val="0E5FF64C"/>
    <w:rsid w:val="0FEF1342"/>
    <w:rsid w:val="0FF6DEDD"/>
    <w:rsid w:val="11DF7E21"/>
    <w:rsid w:val="127E175E"/>
    <w:rsid w:val="170911C6"/>
    <w:rsid w:val="1FFBCB82"/>
    <w:rsid w:val="22FF90AE"/>
    <w:rsid w:val="2E33307A"/>
    <w:rsid w:val="2F9F671B"/>
    <w:rsid w:val="2FB74132"/>
    <w:rsid w:val="2FCE00D7"/>
    <w:rsid w:val="3279F125"/>
    <w:rsid w:val="363E64D3"/>
    <w:rsid w:val="372F4E9E"/>
    <w:rsid w:val="376D1A0B"/>
    <w:rsid w:val="37D7AB33"/>
    <w:rsid w:val="37FDB290"/>
    <w:rsid w:val="3AF4EA79"/>
    <w:rsid w:val="3B75D08C"/>
    <w:rsid w:val="3BE61375"/>
    <w:rsid w:val="3CDC07FC"/>
    <w:rsid w:val="3CDF004F"/>
    <w:rsid w:val="3DF8649F"/>
    <w:rsid w:val="3E2D4FC0"/>
    <w:rsid w:val="3E716535"/>
    <w:rsid w:val="3EBFB11C"/>
    <w:rsid w:val="3FBFCF53"/>
    <w:rsid w:val="3FEDD21E"/>
    <w:rsid w:val="3FF7B649"/>
    <w:rsid w:val="3FFFE833"/>
    <w:rsid w:val="413606A8"/>
    <w:rsid w:val="452151CC"/>
    <w:rsid w:val="472A726F"/>
    <w:rsid w:val="47F78AB5"/>
    <w:rsid w:val="4BF7A1B0"/>
    <w:rsid w:val="4C9D5CFE"/>
    <w:rsid w:val="4DBFB91C"/>
    <w:rsid w:val="4DFF5BDC"/>
    <w:rsid w:val="51A4080D"/>
    <w:rsid w:val="51C553DE"/>
    <w:rsid w:val="53DF025C"/>
    <w:rsid w:val="53FED267"/>
    <w:rsid w:val="54A31759"/>
    <w:rsid w:val="54DB29E3"/>
    <w:rsid w:val="57FD276C"/>
    <w:rsid w:val="57FF9516"/>
    <w:rsid w:val="57FFF325"/>
    <w:rsid w:val="58C674C5"/>
    <w:rsid w:val="5AE34859"/>
    <w:rsid w:val="5CBF9D2E"/>
    <w:rsid w:val="5D276ADB"/>
    <w:rsid w:val="5DB6B150"/>
    <w:rsid w:val="5FCD0391"/>
    <w:rsid w:val="5FD53F08"/>
    <w:rsid w:val="5FDD86CF"/>
    <w:rsid w:val="5FDED21D"/>
    <w:rsid w:val="5FDEF5BF"/>
    <w:rsid w:val="5FE30BE2"/>
    <w:rsid w:val="5FE7950E"/>
    <w:rsid w:val="5FFDA73C"/>
    <w:rsid w:val="61FFA05C"/>
    <w:rsid w:val="67FA5D15"/>
    <w:rsid w:val="67FF5EB0"/>
    <w:rsid w:val="695F7ED4"/>
    <w:rsid w:val="6ABC26F7"/>
    <w:rsid w:val="6DF74376"/>
    <w:rsid w:val="6DFEA163"/>
    <w:rsid w:val="6EFA15BD"/>
    <w:rsid w:val="6EFECA07"/>
    <w:rsid w:val="6FAF2536"/>
    <w:rsid w:val="6FFE7322"/>
    <w:rsid w:val="6FFE84C9"/>
    <w:rsid w:val="723872FE"/>
    <w:rsid w:val="732743FD"/>
    <w:rsid w:val="75C759B8"/>
    <w:rsid w:val="75E4AA5C"/>
    <w:rsid w:val="75FB65AA"/>
    <w:rsid w:val="763FB167"/>
    <w:rsid w:val="76BB1D7B"/>
    <w:rsid w:val="77B65CA1"/>
    <w:rsid w:val="77C504DA"/>
    <w:rsid w:val="77D770B2"/>
    <w:rsid w:val="77FF0000"/>
    <w:rsid w:val="785F3667"/>
    <w:rsid w:val="78DE0229"/>
    <w:rsid w:val="7955ED5F"/>
    <w:rsid w:val="7999D645"/>
    <w:rsid w:val="79C510AC"/>
    <w:rsid w:val="7A0FF380"/>
    <w:rsid w:val="7A2E19AC"/>
    <w:rsid w:val="7A6B202B"/>
    <w:rsid w:val="7BB323B8"/>
    <w:rsid w:val="7BC73D7C"/>
    <w:rsid w:val="7BDAEBA1"/>
    <w:rsid w:val="7BFE8F8E"/>
    <w:rsid w:val="7C3F4AB1"/>
    <w:rsid w:val="7CFA78F9"/>
    <w:rsid w:val="7CFBF1DD"/>
    <w:rsid w:val="7D53B9B0"/>
    <w:rsid w:val="7D9F209B"/>
    <w:rsid w:val="7DDD9289"/>
    <w:rsid w:val="7DDF6E73"/>
    <w:rsid w:val="7DFD3723"/>
    <w:rsid w:val="7DFE25E7"/>
    <w:rsid w:val="7DFE4469"/>
    <w:rsid w:val="7DFEAC62"/>
    <w:rsid w:val="7DFEF060"/>
    <w:rsid w:val="7DFF3472"/>
    <w:rsid w:val="7DFF980B"/>
    <w:rsid w:val="7E1E533E"/>
    <w:rsid w:val="7E4EBEE1"/>
    <w:rsid w:val="7EB747DB"/>
    <w:rsid w:val="7EBF30CB"/>
    <w:rsid w:val="7EDB4CF5"/>
    <w:rsid w:val="7EDBF7D5"/>
    <w:rsid w:val="7EEFDF6A"/>
    <w:rsid w:val="7EF61B91"/>
    <w:rsid w:val="7EFFD331"/>
    <w:rsid w:val="7F548CA6"/>
    <w:rsid w:val="7F57E565"/>
    <w:rsid w:val="7F7FA70D"/>
    <w:rsid w:val="7F9D13F9"/>
    <w:rsid w:val="7F9F1043"/>
    <w:rsid w:val="7FB77822"/>
    <w:rsid w:val="7FB8E765"/>
    <w:rsid w:val="7FD85B57"/>
    <w:rsid w:val="7FDD6526"/>
    <w:rsid w:val="7FDF3356"/>
    <w:rsid w:val="7FE620B6"/>
    <w:rsid w:val="7FF3CAAF"/>
    <w:rsid w:val="7FF7331D"/>
    <w:rsid w:val="7FF73A6D"/>
    <w:rsid w:val="7FFB673A"/>
    <w:rsid w:val="7FFED114"/>
    <w:rsid w:val="9E7B6C41"/>
    <w:rsid w:val="9F39B706"/>
    <w:rsid w:val="9F5E3342"/>
    <w:rsid w:val="A7BF459B"/>
    <w:rsid w:val="ADEB1CBC"/>
    <w:rsid w:val="AFCDABAD"/>
    <w:rsid w:val="AFEF11C8"/>
    <w:rsid w:val="AFF7BAEB"/>
    <w:rsid w:val="B36D3CC5"/>
    <w:rsid w:val="B756A14F"/>
    <w:rsid w:val="BBC33278"/>
    <w:rsid w:val="BBFC5EC8"/>
    <w:rsid w:val="BCFCCDF3"/>
    <w:rsid w:val="BDDA34C3"/>
    <w:rsid w:val="BDF7D9B6"/>
    <w:rsid w:val="BDFDAF27"/>
    <w:rsid w:val="BE7168BD"/>
    <w:rsid w:val="BE776B44"/>
    <w:rsid w:val="BEFF61E0"/>
    <w:rsid w:val="BEFF805F"/>
    <w:rsid w:val="BFBD62C8"/>
    <w:rsid w:val="BFBD9791"/>
    <w:rsid w:val="BFCFEA2F"/>
    <w:rsid w:val="BFFFED5D"/>
    <w:rsid w:val="C5F92416"/>
    <w:rsid w:val="C9326419"/>
    <w:rsid w:val="CBD4BC2D"/>
    <w:rsid w:val="CEFED9AA"/>
    <w:rsid w:val="CFE61B93"/>
    <w:rsid w:val="CFFBB06C"/>
    <w:rsid w:val="D5ED369C"/>
    <w:rsid w:val="D7F77011"/>
    <w:rsid w:val="D9DEEBF9"/>
    <w:rsid w:val="DBBE68E6"/>
    <w:rsid w:val="DDFD5BBB"/>
    <w:rsid w:val="DDFFC358"/>
    <w:rsid w:val="DF3F07AF"/>
    <w:rsid w:val="DF5DF9D9"/>
    <w:rsid w:val="DF6A4934"/>
    <w:rsid w:val="DF77AEAC"/>
    <w:rsid w:val="DF9F24E5"/>
    <w:rsid w:val="DFD3918F"/>
    <w:rsid w:val="DFFDEDC8"/>
    <w:rsid w:val="E3F7AB1E"/>
    <w:rsid w:val="E5FF343B"/>
    <w:rsid w:val="E7FF62F0"/>
    <w:rsid w:val="E8D72700"/>
    <w:rsid w:val="E8D9A4F9"/>
    <w:rsid w:val="EB6749BE"/>
    <w:rsid w:val="EBEF7393"/>
    <w:rsid w:val="ED7502A4"/>
    <w:rsid w:val="EDDE1720"/>
    <w:rsid w:val="EEF5E350"/>
    <w:rsid w:val="EEFB080D"/>
    <w:rsid w:val="EFA58909"/>
    <w:rsid w:val="EFECB83A"/>
    <w:rsid w:val="EFEF7387"/>
    <w:rsid w:val="F32F6DA6"/>
    <w:rsid w:val="F395E693"/>
    <w:rsid w:val="F3B7DC29"/>
    <w:rsid w:val="F3DD4B26"/>
    <w:rsid w:val="F56BDCB4"/>
    <w:rsid w:val="F5F42F67"/>
    <w:rsid w:val="F76EF6A7"/>
    <w:rsid w:val="F7F93682"/>
    <w:rsid w:val="F8DF7F49"/>
    <w:rsid w:val="F9EEA0C8"/>
    <w:rsid w:val="FB6F242D"/>
    <w:rsid w:val="FBBB98AC"/>
    <w:rsid w:val="FBC6BC1D"/>
    <w:rsid w:val="FBDF82D7"/>
    <w:rsid w:val="FBFF2E13"/>
    <w:rsid w:val="FCBD9321"/>
    <w:rsid w:val="FCFF433F"/>
    <w:rsid w:val="FD3DAD0F"/>
    <w:rsid w:val="FD865DFA"/>
    <w:rsid w:val="FD9B3ACE"/>
    <w:rsid w:val="FD9BA521"/>
    <w:rsid w:val="FDFB7ED2"/>
    <w:rsid w:val="FDFE923D"/>
    <w:rsid w:val="FEB95035"/>
    <w:rsid w:val="FEFFE7D6"/>
    <w:rsid w:val="FF2E0BD6"/>
    <w:rsid w:val="FF4890F2"/>
    <w:rsid w:val="FF577646"/>
    <w:rsid w:val="FF7F414C"/>
    <w:rsid w:val="FF9A5FC6"/>
    <w:rsid w:val="FF9F9021"/>
    <w:rsid w:val="FFB7C742"/>
    <w:rsid w:val="FFB7CB66"/>
    <w:rsid w:val="FFD7E361"/>
    <w:rsid w:val="FFEFC2F4"/>
    <w:rsid w:val="FFF3E434"/>
    <w:rsid w:val="FFFB3CBB"/>
    <w:rsid w:val="FFFBEC2A"/>
    <w:rsid w:val="FFFC0BE4"/>
    <w:rsid w:val="FFFF4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FangSong_GB2312"/>
      <w:sz w:val="28"/>
    </w:r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cs="Times New Roman"/>
      <w:kern w:val="0"/>
      <w:sz w:val="20"/>
      <w:szCs w:val="20"/>
    </w:rPr>
  </w:style>
  <w:style w:type="paragraph" w:styleId="4">
    <w:name w:val="Date"/>
    <w:basedOn w:val="1"/>
    <w:next w:val="1"/>
    <w:link w:val="16"/>
    <w:semiHidden/>
    <w:unhideWhenUsed/>
    <w:qFormat/>
    <w:uiPriority w:val="99"/>
    <w:pPr>
      <w:ind w:left="100" w:leftChars="2500"/>
    </w:pPr>
  </w:style>
  <w:style w:type="paragraph" w:styleId="5">
    <w:name w:val="footer"/>
    <w:basedOn w:val="1"/>
    <w:next w:val="6"/>
    <w:link w:val="15"/>
    <w:unhideWhenUsed/>
    <w:qFormat/>
    <w:uiPriority w:val="99"/>
    <w:pPr>
      <w:tabs>
        <w:tab w:val="center" w:pos="4153"/>
        <w:tab w:val="right" w:pos="8306"/>
      </w:tabs>
      <w:snapToGrid w:val="0"/>
      <w:jc w:val="left"/>
    </w:pPr>
    <w:rPr>
      <w:sz w:val="18"/>
      <w:szCs w:val="18"/>
    </w:rPr>
  </w:style>
  <w:style w:type="paragraph" w:customStyle="1" w:styleId="6">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日期 字符"/>
    <w:basedOn w:val="11"/>
    <w:link w:val="4"/>
    <w:semiHidden/>
    <w:qFormat/>
    <w:uiPriority w:val="99"/>
    <w:rPr>
      <w:kern w:val="2"/>
      <w:sz w:val="21"/>
      <w:szCs w:val="22"/>
    </w:rPr>
  </w:style>
  <w:style w:type="paragraph" w:customStyle="1" w:styleId="17">
    <w:name w:val="列出段落1"/>
    <w:basedOn w:val="1"/>
    <w:qFormat/>
    <w:uiPriority w:val="34"/>
    <w:pPr>
      <w:ind w:firstLine="420" w:firstLineChars="200"/>
    </w:pPr>
    <w:rPr>
      <w:rFonts w:ascii="等线" w:hAnsi="等线" w:eastAsia="等线" w:cs="宋体"/>
    </w:rPr>
  </w:style>
  <w:style w:type="paragraph" w:customStyle="1" w:styleId="18">
    <w:name w:val="Table Paragraph"/>
    <w:basedOn w:val="1"/>
    <w:qFormat/>
    <w:uiPriority w:val="1"/>
    <w:rPr>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2117</Words>
  <Characters>2240</Characters>
  <Lines>10</Lines>
  <Paragraphs>2</Paragraphs>
  <TotalTime>59</TotalTime>
  <ScaleCrop>false</ScaleCrop>
  <LinksUpToDate>false</LinksUpToDate>
  <CharactersWithSpaces>2250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2023-12-27T07:48:00Z</dcterms:created>
  <dc:creator>AutoBVT</dc:creator>
  <cp:lastModifiedBy>人社</cp:lastModifiedBy>
  <cp:lastPrinted>2026-01-07T17:58:00Z</cp:lastPrinted>
  <dcterms:modified xsi:type="dcterms:W3CDTF">2026-01-08T09:58:20Z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21E3D0440FE648DEB3E0CEB470224A3C_13</vt:lpwstr>
  </property>
  <property fmtid="{D5CDD505-2E9C-101B-9397-08002B2CF9AE}" pid="4" name="KSOTemplateDocerSaveRecord">
    <vt:lpwstr>eyJoZGlkIjoiYzJiMzdjOWJjNTRjZWYwMTNhNzFhOTY1NjFlY2IyZTEiLCJ1c2VySWQiOiIyMTc2NjUwNjIifQ==</vt:lpwstr>
  </property>
</Properties>
</file>