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eastAsia="方正小标宋简体"/>
          <w:sz w:val="36"/>
          <w:szCs w:val="36"/>
        </w:rPr>
      </w:pPr>
      <w:r>
        <w:rPr>
          <w:rFonts w:hint="eastAsia" w:eastAsia="方正小标宋简体"/>
          <w:sz w:val="36"/>
          <w:szCs w:val="36"/>
          <w:lang w:eastAsia="zh-CN"/>
        </w:rPr>
        <w:t>鹤山市</w:t>
      </w:r>
      <w:r>
        <w:rPr>
          <w:rFonts w:hint="eastAsia" w:eastAsia="方正小标宋简体"/>
          <w:sz w:val="36"/>
          <w:szCs w:val="36"/>
        </w:rPr>
        <w:t>政府</w:t>
      </w:r>
      <w:r>
        <w:rPr>
          <w:rFonts w:eastAsia="方正小标宋简体"/>
          <w:sz w:val="36"/>
          <w:szCs w:val="36"/>
        </w:rPr>
        <w:t>部门涉企保证金目录清单（202</w:t>
      </w:r>
      <w:r>
        <w:rPr>
          <w:rFonts w:hint="eastAsia" w:eastAsia="方正小标宋简体"/>
          <w:sz w:val="36"/>
          <w:szCs w:val="36"/>
          <w:lang w:val="en-US" w:eastAsia="zh-CN"/>
        </w:rPr>
        <w:t>5</w:t>
      </w:r>
      <w:r>
        <w:rPr>
          <w:rFonts w:eastAsia="方正小标宋简体"/>
          <w:sz w:val="36"/>
          <w:szCs w:val="36"/>
        </w:rPr>
        <w:t>版）</w:t>
      </w:r>
    </w:p>
    <w:p>
      <w:pPr>
        <w:spacing w:line="400" w:lineRule="exact"/>
        <w:jc w:val="center"/>
        <w:rPr>
          <w:rFonts w:ascii="方正小标宋简体" w:eastAsia="方正小标宋简体" w:cs="方正小标宋简体"/>
          <w:sz w:val="36"/>
          <w:szCs w:val="36"/>
        </w:rPr>
      </w:pPr>
    </w:p>
    <w:tbl>
      <w:tblPr>
        <w:tblStyle w:val="6"/>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20"/>
        <w:gridCol w:w="1455"/>
        <w:gridCol w:w="1800"/>
        <w:gridCol w:w="3068"/>
        <w:gridCol w:w="1827"/>
        <w:gridCol w:w="2118"/>
        <w:gridCol w:w="250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shd w:val="clear" w:color="auto" w:fill="BEBEBE"/>
            <w:noWrap w:val="0"/>
            <w:vAlign w:val="center"/>
          </w:tcPr>
          <w:p>
            <w:pPr>
              <w:widowControl/>
              <w:snapToGrid w:val="0"/>
              <w:jc w:val="center"/>
              <w:rPr>
                <w:b/>
                <w:kern w:val="0"/>
                <w:szCs w:val="21"/>
              </w:rPr>
            </w:pPr>
            <w:r>
              <w:rPr>
                <w:b/>
                <w:kern w:val="0"/>
                <w:szCs w:val="21"/>
              </w:rPr>
              <w:t>序号</w:t>
            </w:r>
          </w:p>
        </w:tc>
        <w:tc>
          <w:tcPr>
            <w:tcW w:w="1320" w:type="dxa"/>
            <w:shd w:val="clear" w:color="auto" w:fill="BEBEBE"/>
            <w:noWrap w:val="0"/>
            <w:vAlign w:val="center"/>
          </w:tcPr>
          <w:p>
            <w:pPr>
              <w:widowControl/>
              <w:snapToGrid w:val="0"/>
              <w:jc w:val="center"/>
              <w:rPr>
                <w:b/>
                <w:kern w:val="0"/>
                <w:szCs w:val="21"/>
              </w:rPr>
            </w:pPr>
            <w:r>
              <w:rPr>
                <w:b/>
                <w:kern w:val="0"/>
                <w:szCs w:val="21"/>
              </w:rPr>
              <w:t>项目名称</w:t>
            </w:r>
          </w:p>
        </w:tc>
        <w:tc>
          <w:tcPr>
            <w:tcW w:w="1455" w:type="dxa"/>
            <w:shd w:val="clear" w:color="auto" w:fill="BEBEBE"/>
            <w:noWrap w:val="0"/>
            <w:vAlign w:val="center"/>
          </w:tcPr>
          <w:p>
            <w:pPr>
              <w:widowControl/>
              <w:snapToGrid w:val="0"/>
              <w:jc w:val="center"/>
              <w:rPr>
                <w:b/>
                <w:kern w:val="0"/>
                <w:szCs w:val="21"/>
              </w:rPr>
            </w:pPr>
            <w:r>
              <w:rPr>
                <w:b/>
                <w:kern w:val="0"/>
                <w:szCs w:val="21"/>
              </w:rPr>
              <w:t>设立单位</w:t>
            </w:r>
          </w:p>
        </w:tc>
        <w:tc>
          <w:tcPr>
            <w:tcW w:w="1800" w:type="dxa"/>
            <w:shd w:val="clear" w:color="auto" w:fill="BEBEBE"/>
            <w:noWrap w:val="0"/>
            <w:vAlign w:val="center"/>
          </w:tcPr>
          <w:p>
            <w:pPr>
              <w:widowControl/>
              <w:snapToGrid w:val="0"/>
              <w:jc w:val="center"/>
              <w:rPr>
                <w:b/>
                <w:kern w:val="0"/>
                <w:szCs w:val="21"/>
              </w:rPr>
            </w:pPr>
            <w:r>
              <w:rPr>
                <w:b/>
                <w:kern w:val="0"/>
                <w:szCs w:val="21"/>
              </w:rPr>
              <w:t>设立依据</w:t>
            </w:r>
          </w:p>
        </w:tc>
        <w:tc>
          <w:tcPr>
            <w:tcW w:w="3068" w:type="dxa"/>
            <w:shd w:val="clear" w:color="auto" w:fill="BEBEBE"/>
            <w:noWrap w:val="0"/>
            <w:vAlign w:val="center"/>
          </w:tcPr>
          <w:p>
            <w:pPr>
              <w:widowControl/>
              <w:snapToGrid w:val="0"/>
              <w:jc w:val="center"/>
              <w:rPr>
                <w:b/>
                <w:kern w:val="0"/>
                <w:szCs w:val="21"/>
              </w:rPr>
            </w:pPr>
            <w:r>
              <w:rPr>
                <w:b/>
                <w:kern w:val="0"/>
                <w:szCs w:val="21"/>
              </w:rPr>
              <w:t>征收标准</w:t>
            </w:r>
          </w:p>
        </w:tc>
        <w:tc>
          <w:tcPr>
            <w:tcW w:w="1827" w:type="dxa"/>
            <w:shd w:val="clear" w:color="auto" w:fill="BEBEBE"/>
            <w:noWrap w:val="0"/>
            <w:vAlign w:val="center"/>
          </w:tcPr>
          <w:p>
            <w:pPr>
              <w:widowControl/>
              <w:snapToGrid w:val="0"/>
              <w:jc w:val="center"/>
              <w:rPr>
                <w:b/>
                <w:kern w:val="0"/>
                <w:szCs w:val="21"/>
              </w:rPr>
            </w:pPr>
            <w:r>
              <w:rPr>
                <w:rFonts w:hint="default" w:ascii="Times New Roman" w:eastAsia="宋体" w:cs="Times New Roman"/>
                <w:b/>
                <w:kern w:val="0"/>
                <w:szCs w:val="21"/>
              </w:rPr>
              <w:t>征收方式</w:t>
            </w:r>
          </w:p>
        </w:tc>
        <w:tc>
          <w:tcPr>
            <w:tcW w:w="2118" w:type="dxa"/>
            <w:shd w:val="clear" w:color="auto" w:fill="BEBEBE"/>
            <w:noWrap w:val="0"/>
            <w:vAlign w:val="center"/>
          </w:tcPr>
          <w:p>
            <w:pPr>
              <w:widowControl/>
              <w:snapToGrid w:val="0"/>
              <w:jc w:val="center"/>
              <w:rPr>
                <w:b/>
                <w:kern w:val="0"/>
                <w:szCs w:val="21"/>
              </w:rPr>
            </w:pPr>
            <w:r>
              <w:rPr>
                <w:b/>
                <w:kern w:val="0"/>
                <w:szCs w:val="21"/>
              </w:rPr>
              <w:t>征收程序</w:t>
            </w:r>
          </w:p>
        </w:tc>
        <w:tc>
          <w:tcPr>
            <w:tcW w:w="2505" w:type="dxa"/>
            <w:shd w:val="clear" w:color="auto" w:fill="BEBEBE"/>
            <w:noWrap w:val="0"/>
            <w:vAlign w:val="center"/>
          </w:tcPr>
          <w:p>
            <w:pPr>
              <w:widowControl/>
              <w:snapToGrid w:val="0"/>
              <w:jc w:val="center"/>
              <w:rPr>
                <w:b/>
                <w:kern w:val="0"/>
                <w:szCs w:val="21"/>
              </w:rPr>
            </w:pPr>
            <w:r>
              <w:rPr>
                <w:b/>
                <w:kern w:val="0"/>
                <w:szCs w:val="21"/>
              </w:rPr>
              <w:t>返还时间</w:t>
            </w:r>
          </w:p>
        </w:tc>
        <w:tc>
          <w:tcPr>
            <w:tcW w:w="1305" w:type="dxa"/>
            <w:shd w:val="clear" w:color="auto" w:fill="BEBEBE"/>
            <w:noWrap w:val="0"/>
            <w:vAlign w:val="center"/>
          </w:tcPr>
          <w:p>
            <w:pPr>
              <w:widowControl/>
              <w:snapToGrid w:val="0"/>
              <w:jc w:val="center"/>
              <w:rPr>
                <w:rFonts w:hint="eastAsia" w:eastAsia="宋体"/>
                <w:b/>
                <w:kern w:val="0"/>
                <w:szCs w:val="21"/>
                <w:lang w:eastAsia="zh-CN"/>
              </w:rPr>
            </w:pPr>
            <w:r>
              <w:rPr>
                <w:rFonts w:hint="eastAsia"/>
                <w:b/>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614" w:type="dxa"/>
            <w:noWrap w:val="0"/>
            <w:vAlign w:val="center"/>
          </w:tcPr>
          <w:p>
            <w:pPr>
              <w:widowControl/>
              <w:numPr>
                <w:ilvl w:val="0"/>
                <w:numId w:val="0"/>
              </w:numPr>
              <w:tabs>
                <w:tab w:val="left" w:pos="0"/>
              </w:tabs>
              <w:jc w:val="center"/>
              <w:rPr>
                <w:rFonts w:hint="eastAsia" w:eastAsia="仿宋_GB2312"/>
                <w:kern w:val="0"/>
                <w:szCs w:val="21"/>
                <w:lang w:val="en-US" w:eastAsia="zh-CN"/>
              </w:rPr>
            </w:pPr>
            <w:r>
              <w:rPr>
                <w:rFonts w:hint="eastAsia" w:eastAsia="仿宋_GB2312"/>
                <w:kern w:val="0"/>
                <w:szCs w:val="21"/>
                <w:lang w:val="en-US" w:eastAsia="zh-CN"/>
              </w:rPr>
              <w:t>1</w:t>
            </w:r>
          </w:p>
        </w:tc>
        <w:tc>
          <w:tcPr>
            <w:tcW w:w="1320" w:type="dxa"/>
            <w:noWrap w:val="0"/>
            <w:vAlign w:val="center"/>
          </w:tcPr>
          <w:p>
            <w:pPr>
              <w:widowControl/>
              <w:rPr>
                <w:rFonts w:eastAsia="仿宋_GB2312"/>
                <w:kern w:val="0"/>
                <w:szCs w:val="21"/>
              </w:rPr>
            </w:pPr>
            <w:r>
              <w:rPr>
                <w:rFonts w:eastAsia="仿宋_GB2312"/>
                <w:kern w:val="0"/>
                <w:szCs w:val="21"/>
              </w:rPr>
              <w:t>投标保证金</w:t>
            </w:r>
          </w:p>
        </w:tc>
        <w:tc>
          <w:tcPr>
            <w:tcW w:w="1455" w:type="dxa"/>
            <w:noWrap w:val="0"/>
            <w:vAlign w:val="center"/>
          </w:tcPr>
          <w:p>
            <w:pPr>
              <w:widowControl/>
              <w:jc w:val="center"/>
              <w:rPr>
                <w:rFonts w:eastAsia="仿宋_GB2312"/>
                <w:kern w:val="0"/>
                <w:szCs w:val="21"/>
              </w:rPr>
            </w:pPr>
            <w:r>
              <w:rPr>
                <w:rFonts w:eastAsia="仿宋_GB2312"/>
                <w:kern w:val="0"/>
                <w:szCs w:val="21"/>
              </w:rPr>
              <w:t>国家发展改革委</w:t>
            </w:r>
          </w:p>
        </w:tc>
        <w:tc>
          <w:tcPr>
            <w:tcW w:w="1800" w:type="dxa"/>
            <w:noWrap w:val="0"/>
            <w:vAlign w:val="center"/>
          </w:tcPr>
          <w:p>
            <w:pPr>
              <w:widowControl/>
              <w:rPr>
                <w:rFonts w:eastAsia="仿宋_GB2312"/>
                <w:kern w:val="0"/>
                <w:szCs w:val="21"/>
              </w:rPr>
            </w:pPr>
            <w:r>
              <w:rPr>
                <w:rFonts w:eastAsia="仿宋_GB2312"/>
                <w:kern w:val="0"/>
                <w:szCs w:val="21"/>
              </w:rPr>
              <w:t>《中华人民共和国招标投标法》</w:t>
            </w:r>
          </w:p>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投标保证金不得超过</w:t>
            </w:r>
            <w:bookmarkStart w:id="1" w:name="_GoBack"/>
            <w:bookmarkEnd w:id="1"/>
            <w:r>
              <w:rPr>
                <w:rFonts w:eastAsia="仿宋_GB2312"/>
                <w:kern w:val="0"/>
                <w:szCs w:val="21"/>
              </w:rPr>
              <w:t>招标项目估算价的2%</w:t>
            </w:r>
          </w:p>
        </w:tc>
        <w:tc>
          <w:tcPr>
            <w:tcW w:w="1827" w:type="dxa"/>
            <w:noWrap w:val="0"/>
            <w:vAlign w:val="center"/>
          </w:tcPr>
          <w:p>
            <w:pPr>
              <w:widowControl/>
              <w:rPr>
                <w:rFonts w:eastAsia="仿宋_GB2312"/>
                <w:kern w:val="0"/>
                <w:szCs w:val="21"/>
              </w:rPr>
            </w:pPr>
            <w:r>
              <w:rPr>
                <w:rFonts w:eastAsia="仿宋_GB2312"/>
                <w:kern w:val="0"/>
                <w:szCs w:val="21"/>
              </w:rPr>
              <w:t>鼓励招标人接受担保机构的保函、保险机构的保单等其他非现金交易担保方式缴纳保证金。依法必须招标项目的招标人不得强制要求投标人、中标人缴纳现金保证金</w:t>
            </w:r>
          </w:p>
        </w:tc>
        <w:tc>
          <w:tcPr>
            <w:tcW w:w="2118" w:type="dxa"/>
            <w:noWrap w:val="0"/>
            <w:vAlign w:val="center"/>
          </w:tcPr>
          <w:p>
            <w:pPr>
              <w:widowControl/>
              <w:jc w:val="center"/>
              <w:rPr>
                <w:rFonts w:eastAsia="仿宋_GB2312"/>
                <w:kern w:val="0"/>
                <w:szCs w:val="21"/>
              </w:rPr>
            </w:pPr>
            <w:r>
              <w:rPr>
                <w:rFonts w:eastAsia="仿宋_GB2312"/>
                <w:kern w:val="0"/>
                <w:szCs w:val="21"/>
              </w:rPr>
              <w:t>根据招标文件具体要求执行</w:t>
            </w:r>
          </w:p>
        </w:tc>
        <w:tc>
          <w:tcPr>
            <w:tcW w:w="2505" w:type="dxa"/>
            <w:noWrap w:val="0"/>
            <w:vAlign w:val="center"/>
          </w:tcPr>
          <w:p>
            <w:pPr>
              <w:widowControl/>
              <w:rPr>
                <w:rFonts w:eastAsia="仿宋_GB2312"/>
                <w:kern w:val="0"/>
                <w:szCs w:val="21"/>
              </w:rPr>
            </w:pPr>
            <w:r>
              <w:rPr>
                <w:rFonts w:eastAsia="仿宋_GB2312"/>
                <w:kern w:val="0"/>
                <w:szCs w:val="21"/>
              </w:rPr>
              <w:t>招标人最迟应当在书面合同签订后5日内向中标人和未中标的投标人退还投标保证金及银行同期存款利息</w:t>
            </w:r>
            <w:r>
              <w:rPr>
                <w:rFonts w:hint="eastAsia" w:ascii="仿宋_GB2312" w:eastAsia="仿宋_GB2312" w:cs="仿宋_GB2312"/>
              </w:rPr>
              <w:t>，或投标人在投标截止时间前书面通知招标人撤回投标文件的，招标人应当自收到投标人书面撤回通知之日起</w:t>
            </w:r>
            <w:r>
              <w:rPr>
                <w:rFonts w:ascii="仿宋_GB2312" w:eastAsia="仿宋_GB2312" w:cs="仿宋_GB2312"/>
              </w:rPr>
              <w:t>5</w:t>
            </w:r>
            <w:r>
              <w:rPr>
                <w:rFonts w:hint="eastAsia" w:ascii="仿宋_GB2312" w:eastAsia="仿宋_GB2312" w:cs="仿宋_GB2312"/>
              </w:rPr>
              <w:t>日内退还投标保证金及银行同期存款利息</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2</w:t>
            </w:r>
          </w:p>
        </w:tc>
        <w:tc>
          <w:tcPr>
            <w:tcW w:w="1320" w:type="dxa"/>
            <w:noWrap w:val="0"/>
            <w:vAlign w:val="center"/>
          </w:tcPr>
          <w:p>
            <w:pPr>
              <w:widowControl/>
              <w:rPr>
                <w:rFonts w:eastAsia="仿宋_GB2312"/>
                <w:kern w:val="0"/>
                <w:szCs w:val="21"/>
              </w:rPr>
            </w:pPr>
            <w:r>
              <w:rPr>
                <w:rFonts w:eastAsia="仿宋_GB2312"/>
                <w:kern w:val="0"/>
                <w:szCs w:val="21"/>
              </w:rPr>
              <w:t>履约保证金</w:t>
            </w:r>
          </w:p>
        </w:tc>
        <w:tc>
          <w:tcPr>
            <w:tcW w:w="1455" w:type="dxa"/>
            <w:noWrap w:val="0"/>
            <w:vAlign w:val="center"/>
          </w:tcPr>
          <w:p>
            <w:pPr>
              <w:widowControl/>
              <w:jc w:val="center"/>
              <w:rPr>
                <w:rFonts w:eastAsia="仿宋_GB2312"/>
                <w:kern w:val="0"/>
                <w:szCs w:val="21"/>
              </w:rPr>
            </w:pPr>
            <w:r>
              <w:rPr>
                <w:rFonts w:eastAsia="仿宋_GB2312"/>
                <w:kern w:val="0"/>
                <w:szCs w:val="21"/>
              </w:rPr>
              <w:t>国家发展改革委</w:t>
            </w:r>
          </w:p>
        </w:tc>
        <w:tc>
          <w:tcPr>
            <w:tcW w:w="1800" w:type="dxa"/>
            <w:noWrap w:val="0"/>
            <w:vAlign w:val="center"/>
          </w:tcPr>
          <w:p>
            <w:pPr>
              <w:widowControl/>
              <w:rPr>
                <w:rFonts w:eastAsia="仿宋_GB2312"/>
                <w:kern w:val="0"/>
                <w:szCs w:val="21"/>
              </w:rPr>
            </w:pPr>
            <w:r>
              <w:rPr>
                <w:rFonts w:eastAsia="仿宋_GB2312"/>
                <w:kern w:val="0"/>
                <w:szCs w:val="21"/>
              </w:rPr>
              <w:t>《中华人民共和国招标投标法》</w:t>
            </w:r>
          </w:p>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履约保证金不得超过中标合同金额的10%</w:t>
            </w:r>
          </w:p>
        </w:tc>
        <w:tc>
          <w:tcPr>
            <w:tcW w:w="1827" w:type="dxa"/>
            <w:noWrap w:val="0"/>
            <w:vAlign w:val="center"/>
          </w:tcPr>
          <w:p>
            <w:pPr>
              <w:widowControl/>
              <w:rPr>
                <w:rFonts w:eastAsia="仿宋_GB2312"/>
                <w:kern w:val="0"/>
                <w:szCs w:val="21"/>
              </w:rPr>
            </w:pPr>
            <w:r>
              <w:rPr>
                <w:rFonts w:eastAsia="仿宋_GB2312"/>
                <w:kern w:val="0"/>
                <w:szCs w:val="21"/>
              </w:rPr>
              <w:t>鼓励招标人接受担保机构的保函、保险机构的保单等其他非现金交易担保方式缴纳保证金。依法必须招标项目的招标人不得强制要求投标人、中标人缴纳现金保证金</w:t>
            </w:r>
          </w:p>
        </w:tc>
        <w:tc>
          <w:tcPr>
            <w:tcW w:w="2118" w:type="dxa"/>
            <w:noWrap w:val="0"/>
            <w:vAlign w:val="center"/>
          </w:tcPr>
          <w:p>
            <w:pPr>
              <w:widowControl/>
              <w:jc w:val="center"/>
              <w:rPr>
                <w:rFonts w:eastAsia="仿宋_GB2312"/>
                <w:kern w:val="0"/>
                <w:szCs w:val="21"/>
              </w:rPr>
            </w:pPr>
            <w:r>
              <w:rPr>
                <w:rFonts w:eastAsia="仿宋_GB2312"/>
                <w:kern w:val="0"/>
                <w:szCs w:val="21"/>
              </w:rPr>
              <w:t>根据招标文件具体要求执行</w:t>
            </w:r>
          </w:p>
        </w:tc>
        <w:tc>
          <w:tcPr>
            <w:tcW w:w="2505" w:type="dxa"/>
            <w:noWrap w:val="0"/>
            <w:vAlign w:val="center"/>
          </w:tcPr>
          <w:p>
            <w:pPr>
              <w:widowControl/>
              <w:rPr>
                <w:rFonts w:eastAsia="仿宋_GB2312"/>
                <w:kern w:val="0"/>
                <w:szCs w:val="21"/>
              </w:rPr>
            </w:pPr>
            <w:r>
              <w:rPr>
                <w:rFonts w:eastAsia="仿宋_GB2312"/>
                <w:kern w:val="0"/>
                <w:szCs w:val="21"/>
              </w:rPr>
              <w:t>根据中标合同约定，待中标人履行完合同约定权利义务事项后退还</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3</w:t>
            </w:r>
          </w:p>
        </w:tc>
        <w:tc>
          <w:tcPr>
            <w:tcW w:w="1320" w:type="dxa"/>
            <w:noWrap w:val="0"/>
            <w:vAlign w:val="center"/>
          </w:tcPr>
          <w:p>
            <w:pPr>
              <w:widowControl/>
              <w:rPr>
                <w:rFonts w:eastAsia="仿宋_GB2312"/>
                <w:kern w:val="0"/>
                <w:szCs w:val="21"/>
              </w:rPr>
            </w:pPr>
            <w:r>
              <w:rPr>
                <w:rFonts w:eastAsia="仿宋_GB2312"/>
                <w:kern w:val="0"/>
                <w:szCs w:val="21"/>
              </w:rPr>
              <w:t>政府采购履约保证金</w:t>
            </w:r>
          </w:p>
        </w:tc>
        <w:tc>
          <w:tcPr>
            <w:tcW w:w="1455" w:type="dxa"/>
            <w:noWrap w:val="0"/>
            <w:vAlign w:val="center"/>
          </w:tcPr>
          <w:p>
            <w:pPr>
              <w:widowControl/>
              <w:jc w:val="center"/>
              <w:rPr>
                <w:rFonts w:eastAsia="仿宋_GB2312"/>
                <w:kern w:val="0"/>
                <w:szCs w:val="21"/>
              </w:rPr>
            </w:pPr>
            <w:r>
              <w:rPr>
                <w:rFonts w:eastAsia="仿宋_GB2312"/>
                <w:kern w:val="0"/>
                <w:szCs w:val="21"/>
              </w:rPr>
              <w:t>财政部</w:t>
            </w:r>
          </w:p>
        </w:tc>
        <w:tc>
          <w:tcPr>
            <w:tcW w:w="1800" w:type="dxa"/>
            <w:noWrap w:val="0"/>
            <w:vAlign w:val="center"/>
          </w:tcPr>
          <w:p>
            <w:pPr>
              <w:widowControl/>
              <w:rPr>
                <w:rFonts w:eastAsia="仿宋_GB2312"/>
                <w:kern w:val="0"/>
                <w:szCs w:val="21"/>
              </w:rPr>
            </w:pPr>
            <w:r>
              <w:rPr>
                <w:rFonts w:eastAsia="仿宋_GB2312"/>
                <w:kern w:val="0"/>
                <w:szCs w:val="21"/>
              </w:rPr>
              <w:t>《中华人民共和国政府采购法实施条例》</w:t>
            </w:r>
          </w:p>
        </w:tc>
        <w:tc>
          <w:tcPr>
            <w:tcW w:w="3068" w:type="dxa"/>
            <w:noWrap w:val="0"/>
            <w:vAlign w:val="center"/>
          </w:tcPr>
          <w:p>
            <w:pPr>
              <w:widowControl/>
              <w:rPr>
                <w:rFonts w:eastAsia="仿宋_GB2312"/>
                <w:kern w:val="0"/>
                <w:szCs w:val="21"/>
              </w:rPr>
            </w:pPr>
            <w:r>
              <w:rPr>
                <w:rFonts w:eastAsia="仿宋_GB2312"/>
                <w:kern w:val="0"/>
                <w:szCs w:val="21"/>
              </w:rPr>
              <w:t>履约保证金不得超过政府采购合同金额的10%</w:t>
            </w:r>
            <w:r>
              <w:rPr>
                <w:rFonts w:hint="eastAsia" w:eastAsia="仿宋_GB2312"/>
                <w:kern w:val="0"/>
                <w:szCs w:val="21"/>
              </w:rPr>
              <w:t>，或提供电子履约保函</w:t>
            </w:r>
          </w:p>
        </w:tc>
        <w:tc>
          <w:tcPr>
            <w:tcW w:w="1827" w:type="dxa"/>
            <w:noWrap w:val="0"/>
            <w:vAlign w:val="center"/>
          </w:tcPr>
          <w:p>
            <w:pPr>
              <w:widowControl/>
              <w:rPr>
                <w:rFonts w:eastAsia="仿宋_GB2312"/>
                <w:kern w:val="0"/>
                <w:szCs w:val="21"/>
              </w:rPr>
            </w:pPr>
            <w:r>
              <w:rPr>
                <w:rFonts w:eastAsia="仿宋_GB2312"/>
                <w:kern w:val="0"/>
                <w:szCs w:val="21"/>
              </w:rPr>
              <w:t>采购人、采购代理机构应当允许供应商自主选择以支票、汇票、本票、保函（保险）等非现金形式缴纳或提交保证金</w:t>
            </w:r>
          </w:p>
        </w:tc>
        <w:tc>
          <w:tcPr>
            <w:tcW w:w="2118" w:type="dxa"/>
            <w:noWrap w:val="0"/>
            <w:vAlign w:val="center"/>
          </w:tcPr>
          <w:p>
            <w:pPr>
              <w:widowControl/>
              <w:rPr>
                <w:rFonts w:hint="eastAsia" w:eastAsia="仿宋_GB2312"/>
                <w:kern w:val="0"/>
                <w:szCs w:val="21"/>
                <w:lang w:eastAsia="zh-CN"/>
              </w:rPr>
            </w:pPr>
            <w:r>
              <w:rPr>
                <w:rFonts w:hint="eastAsia" w:eastAsia="仿宋_GB2312"/>
                <w:kern w:val="0"/>
                <w:szCs w:val="21"/>
                <w:lang w:eastAsia="zh-CN"/>
              </w:rPr>
              <w:t>按照采购文件的要求提交保证金或保函。</w:t>
            </w:r>
          </w:p>
        </w:tc>
        <w:tc>
          <w:tcPr>
            <w:tcW w:w="2505" w:type="dxa"/>
            <w:noWrap w:val="0"/>
            <w:vAlign w:val="center"/>
          </w:tcPr>
          <w:p>
            <w:pPr>
              <w:widowControl/>
              <w:rPr>
                <w:rFonts w:hint="eastAsia" w:eastAsia="仿宋_GB2312"/>
                <w:kern w:val="0"/>
                <w:szCs w:val="21"/>
                <w:lang w:eastAsia="zh-CN"/>
              </w:rPr>
            </w:pPr>
            <w:r>
              <w:rPr>
                <w:rFonts w:hint="eastAsia" w:eastAsia="仿宋_GB2312"/>
                <w:kern w:val="0"/>
                <w:szCs w:val="21"/>
                <w:lang w:eastAsia="zh-CN"/>
              </w:rPr>
              <w:t>如提交保证金按合同约定；如提交保函则不涉及返还</w:t>
            </w:r>
          </w:p>
        </w:tc>
        <w:tc>
          <w:tcPr>
            <w:tcW w:w="1305" w:type="dxa"/>
            <w:noWrap w:val="0"/>
            <w:vAlign w:val="center"/>
          </w:tcPr>
          <w:p>
            <w:pPr>
              <w:widowControl/>
              <w:rPr>
                <w:rFonts w:hint="eastAsia" w:eastAsia="仿宋_GB2312"/>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4</w:t>
            </w:r>
          </w:p>
        </w:tc>
        <w:tc>
          <w:tcPr>
            <w:tcW w:w="1320" w:type="dxa"/>
            <w:noWrap w:val="0"/>
            <w:vAlign w:val="center"/>
          </w:tcPr>
          <w:p>
            <w:pPr>
              <w:widowControl/>
              <w:rPr>
                <w:rFonts w:eastAsia="仿宋_GB2312"/>
                <w:kern w:val="0"/>
                <w:szCs w:val="21"/>
              </w:rPr>
            </w:pPr>
            <w:r>
              <w:rPr>
                <w:rFonts w:eastAsia="仿宋_GB2312"/>
                <w:kern w:val="0"/>
                <w:szCs w:val="21"/>
              </w:rPr>
              <w:t>工资保证金</w:t>
            </w:r>
          </w:p>
        </w:tc>
        <w:tc>
          <w:tcPr>
            <w:tcW w:w="1455" w:type="dxa"/>
            <w:noWrap w:val="0"/>
            <w:vAlign w:val="center"/>
          </w:tcPr>
          <w:p>
            <w:pPr>
              <w:widowControl/>
              <w:jc w:val="center"/>
              <w:rPr>
                <w:rFonts w:eastAsia="仿宋_GB2312"/>
                <w:kern w:val="0"/>
                <w:szCs w:val="21"/>
              </w:rPr>
            </w:pPr>
            <w:r>
              <w:rPr>
                <w:rFonts w:eastAsia="仿宋_GB2312"/>
                <w:kern w:val="0"/>
                <w:szCs w:val="21"/>
              </w:rPr>
              <w:t>人力资源社会保障部</w:t>
            </w:r>
          </w:p>
        </w:tc>
        <w:tc>
          <w:tcPr>
            <w:tcW w:w="1800" w:type="dxa"/>
            <w:noWrap w:val="0"/>
            <w:vAlign w:val="center"/>
          </w:tcPr>
          <w:p>
            <w:pPr>
              <w:widowControl/>
              <w:rPr>
                <w:rFonts w:eastAsia="仿宋_GB2312"/>
                <w:kern w:val="0"/>
                <w:szCs w:val="21"/>
              </w:rPr>
            </w:pPr>
            <w:r>
              <w:rPr>
                <w:rFonts w:eastAsia="仿宋_GB2312"/>
                <w:kern w:val="0"/>
                <w:szCs w:val="21"/>
              </w:rPr>
              <w:t>《国务院关于解决农民工问题的若干意见》（国发〔2006〕5号）</w:t>
            </w:r>
          </w:p>
          <w:p>
            <w:pPr>
              <w:widowControl/>
              <w:rPr>
                <w:rFonts w:eastAsia="仿宋_GB2312"/>
                <w:kern w:val="0"/>
                <w:szCs w:val="21"/>
              </w:rPr>
            </w:pPr>
            <w:r>
              <w:rPr>
                <w:rFonts w:eastAsia="仿宋_GB2312"/>
                <w:kern w:val="0"/>
                <w:szCs w:val="21"/>
              </w:rPr>
              <w:t>《国务院办公厅转发解决企业工资拖欠问题部际联席会议关于推进企业解决工资拖欠问题若干意见的通知》（国办发〔2006〕91号）</w:t>
            </w:r>
          </w:p>
          <w:p>
            <w:pPr>
              <w:widowControl/>
              <w:rPr>
                <w:rFonts w:eastAsia="仿宋_GB2312"/>
                <w:kern w:val="0"/>
                <w:szCs w:val="21"/>
              </w:rPr>
            </w:pPr>
            <w:r>
              <w:rPr>
                <w:rFonts w:eastAsia="仿宋_GB2312"/>
                <w:kern w:val="0"/>
                <w:szCs w:val="21"/>
              </w:rPr>
              <w:t>《国务院办公厅关于全面治理拖欠农民工工资问题的意见》（国办发〔2016〕1号）</w:t>
            </w:r>
          </w:p>
          <w:p>
            <w:pPr>
              <w:widowControl/>
              <w:rPr>
                <w:rFonts w:eastAsia="仿宋_GB2312"/>
                <w:kern w:val="0"/>
                <w:szCs w:val="21"/>
              </w:rPr>
            </w:pPr>
            <w:r>
              <w:rPr>
                <w:rFonts w:eastAsia="仿宋_GB2312"/>
                <w:kern w:val="0"/>
                <w:szCs w:val="21"/>
              </w:rPr>
              <w:t>《国务院办公厅关于清理规范工程建设领域保证金的通知》（国办〔2016〕49号）</w:t>
            </w:r>
          </w:p>
          <w:p>
            <w:pPr>
              <w:widowControl/>
              <w:rPr>
                <w:rFonts w:eastAsia="仿宋_GB2312"/>
                <w:kern w:val="0"/>
                <w:szCs w:val="21"/>
              </w:rPr>
            </w:pPr>
            <w:r>
              <w:rPr>
                <w:rFonts w:eastAsia="仿宋_GB2312"/>
                <w:kern w:val="0"/>
                <w:szCs w:val="21"/>
              </w:rPr>
              <w:t>《保障农民工工资支付条例》（国务院令第724号）</w:t>
            </w:r>
          </w:p>
          <w:p>
            <w:pPr>
              <w:widowControl/>
              <w:rPr>
                <w:rFonts w:eastAsia="仿宋_GB2312"/>
                <w:kern w:val="0"/>
                <w:szCs w:val="21"/>
              </w:rPr>
            </w:pPr>
            <w:r>
              <w:rPr>
                <w:rFonts w:hint="eastAsia" w:eastAsia="仿宋_GB2312"/>
                <w:kern w:val="0"/>
                <w:szCs w:val="21"/>
                <w:lang w:eastAsia="zh-CN"/>
              </w:rPr>
              <w:t>《工程建设领域农民工工资保证金规定》</w:t>
            </w:r>
            <w:r>
              <w:rPr>
                <w:rFonts w:eastAsia="仿宋_GB2312"/>
                <w:kern w:val="0"/>
                <w:szCs w:val="21"/>
              </w:rPr>
              <w:t>（</w:t>
            </w:r>
            <w:r>
              <w:rPr>
                <w:rFonts w:hint="eastAsia" w:eastAsia="仿宋_GB2312"/>
                <w:kern w:val="0"/>
                <w:szCs w:val="21"/>
                <w:lang w:eastAsia="zh-CN"/>
              </w:rPr>
              <w:t>人社部</w:t>
            </w:r>
            <w:r>
              <w:rPr>
                <w:rFonts w:eastAsia="仿宋_GB2312"/>
                <w:kern w:val="0"/>
                <w:szCs w:val="21"/>
              </w:rPr>
              <w:t>发</w:t>
            </w:r>
            <w:r>
              <w:rPr>
                <w:rFonts w:hint="eastAsia" w:eastAsia="仿宋_GB2312"/>
                <w:kern w:val="0"/>
                <w:szCs w:val="21"/>
              </w:rPr>
              <w:t>〔</w:t>
            </w:r>
            <w:r>
              <w:rPr>
                <w:rFonts w:eastAsia="仿宋_GB2312"/>
                <w:kern w:val="0"/>
                <w:szCs w:val="21"/>
              </w:rPr>
              <w:t>20</w:t>
            </w:r>
            <w:r>
              <w:rPr>
                <w:rFonts w:hint="eastAsia" w:eastAsia="仿宋_GB2312"/>
                <w:kern w:val="0"/>
                <w:szCs w:val="21"/>
                <w:lang w:val="en-US" w:eastAsia="zh-CN"/>
              </w:rPr>
              <w:t>21</w:t>
            </w:r>
            <w:r>
              <w:rPr>
                <w:rFonts w:hint="eastAsia" w:eastAsia="仿宋_GB2312"/>
                <w:kern w:val="0"/>
                <w:szCs w:val="21"/>
              </w:rPr>
              <w:t>〕</w:t>
            </w:r>
            <w:r>
              <w:rPr>
                <w:rFonts w:hint="eastAsia" w:eastAsia="仿宋_GB2312"/>
                <w:kern w:val="0"/>
                <w:szCs w:val="21"/>
                <w:lang w:val="en-US" w:eastAsia="zh-CN"/>
              </w:rPr>
              <w:t>65</w:t>
            </w:r>
            <w:r>
              <w:rPr>
                <w:rFonts w:eastAsia="仿宋_GB2312"/>
                <w:kern w:val="0"/>
                <w:szCs w:val="21"/>
              </w:rPr>
              <w:t>号）</w:t>
            </w:r>
          </w:p>
        </w:tc>
        <w:tc>
          <w:tcPr>
            <w:tcW w:w="3068" w:type="dxa"/>
            <w:noWrap w:val="0"/>
            <w:vAlign w:val="center"/>
          </w:tcPr>
          <w:p>
            <w:pPr>
              <w:widowControl/>
              <w:rPr>
                <w:rFonts w:eastAsia="仿宋_GB2312"/>
                <w:kern w:val="0"/>
                <w:szCs w:val="21"/>
              </w:rPr>
            </w:pPr>
            <w:r>
              <w:rPr>
                <w:rFonts w:hint="eastAsia" w:eastAsia="仿宋_GB2312"/>
                <w:sz w:val="21"/>
                <w:szCs w:val="21"/>
                <w:lang w:eastAsia="zh-CN"/>
              </w:rPr>
              <w:t>工资保证金按工程施工合同额（或年度合同额）的一定比例存储，原则上不低于</w:t>
            </w:r>
            <w:r>
              <w:rPr>
                <w:rFonts w:hint="eastAsia" w:eastAsia="仿宋_GB2312"/>
                <w:sz w:val="21"/>
                <w:szCs w:val="21"/>
                <w:lang w:val="en-US" w:eastAsia="zh-CN"/>
              </w:rPr>
              <w:t>1%，不超过3%，单个工程合同额较高的，可设定存储上限。施工总承包单位在同一工资保证金管理地区有多个在建工程，存储比例可适当下浮但不得低于施工合同额（或年度合同额）的0.5%。施工合同额低于300万元的工程，且该工程的施工总承包单位在签订施工合同前一年内承建的工程未发生工资拖欠的，各地区可结合行业保障农民工工资支付实际，免除该工程存储工资保证金。在</w:t>
            </w:r>
            <w:bookmarkStart w:id="0" w:name="OLE_LINK2"/>
            <w:r>
              <w:rPr>
                <w:rFonts w:hint="eastAsia" w:eastAsia="仿宋_GB2312"/>
                <w:sz w:val="21"/>
                <w:szCs w:val="21"/>
                <w:lang w:val="en-US" w:eastAsia="zh-CN"/>
              </w:rPr>
              <w:t>工资保证金管理地区承建工程连续2年未</w:t>
            </w:r>
            <w:bookmarkEnd w:id="0"/>
            <w:r>
              <w:rPr>
                <w:rFonts w:hint="eastAsia" w:eastAsia="仿宋_GB2312"/>
                <w:sz w:val="21"/>
                <w:szCs w:val="21"/>
                <w:lang w:val="en-US" w:eastAsia="zh-CN"/>
              </w:rPr>
              <w:t>发生工资拖欠的，其新增工程应降低存储比例，降幅不低于50%；连续3年未发生工资拖欠且按要求落实用工实名制管理和农民工工资专用账户制度的，其新增工程可免于存储工资保证金。前2年内在工资保证金管理地区承建工程发生工资拖欠的，工资保证金存储比例应适当提高，增幅不低于50%；因拖欠农民工工资被纳入“严重失信主体名单”的，增幅不低于100%</w:t>
            </w:r>
          </w:p>
        </w:tc>
        <w:tc>
          <w:tcPr>
            <w:tcW w:w="1827" w:type="dxa"/>
            <w:noWrap w:val="0"/>
            <w:vAlign w:val="center"/>
          </w:tcPr>
          <w:p>
            <w:pPr>
              <w:widowControl/>
              <w:rPr>
                <w:rFonts w:eastAsia="仿宋_GB2312"/>
                <w:kern w:val="0"/>
                <w:szCs w:val="21"/>
              </w:rPr>
            </w:pPr>
            <w:r>
              <w:rPr>
                <w:rFonts w:eastAsia="仿宋_GB2312"/>
                <w:kern w:val="0"/>
                <w:szCs w:val="21"/>
              </w:rPr>
              <w:t>施工总承包单位可选择以银行保函（保险）替代现金存储工资保证金。采用工程担保公司保函（保险）或工程保证保险方式代替工资保证金的，参照银行保函（保险）的相关规定执行</w:t>
            </w:r>
          </w:p>
        </w:tc>
        <w:tc>
          <w:tcPr>
            <w:tcW w:w="2118" w:type="dxa"/>
            <w:noWrap w:val="0"/>
            <w:vAlign w:val="center"/>
          </w:tcPr>
          <w:p>
            <w:pPr>
              <w:widowControl/>
              <w:rPr>
                <w:rFonts w:eastAsia="仿宋_GB2312"/>
                <w:kern w:val="0"/>
                <w:szCs w:val="21"/>
              </w:rPr>
            </w:pPr>
            <w:r>
              <w:rPr>
                <w:rFonts w:eastAsia="仿宋_GB2312"/>
                <w:kern w:val="0"/>
                <w:szCs w:val="21"/>
              </w:rPr>
              <w:t>施工总承包单位应当自工程取得施工许可证（开工报告批复）之日起20个工作日内（依法不需要办理施工许可证或批准开工报告的工程自签订施工合同之日起20个工作日之内），持营业执照副本、与建设单位签订的施工合同在经办银行开立工资保证金专门账户存储工资保证金</w:t>
            </w:r>
          </w:p>
        </w:tc>
        <w:tc>
          <w:tcPr>
            <w:tcW w:w="2505" w:type="dxa"/>
            <w:noWrap w:val="0"/>
            <w:vAlign w:val="center"/>
          </w:tcPr>
          <w:p>
            <w:pPr>
              <w:widowControl/>
              <w:rPr>
                <w:rFonts w:eastAsia="仿宋_GB2312"/>
                <w:kern w:val="0"/>
                <w:szCs w:val="21"/>
              </w:rPr>
            </w:pPr>
            <w:r>
              <w:rPr>
                <w:rFonts w:eastAsia="仿宋_GB2312"/>
                <w:kern w:val="0"/>
                <w:szCs w:val="21"/>
              </w:rPr>
              <w:t>工资保证金对应的工程完工，施工总承包单位作出书面承诺该工程不存在未解决的拖欠农民工工资问题，并在施工现场维权信息告示牌及属地人力资源社会保障行政部门门户网站公示30日后，可以申请返还工资保证金或银行保函（保险）正本。属地人力资源社会保障行政部门应建立工资保证金定期（至少每半年一次）清查机制，对经核实工程完工且不存在拖欠农民工工资问题，施工总承包单位在一定期限内末提交返还申请的，应主动启动返还程序</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5</w:t>
            </w:r>
          </w:p>
        </w:tc>
        <w:tc>
          <w:tcPr>
            <w:tcW w:w="1320" w:type="dxa"/>
            <w:noWrap w:val="0"/>
            <w:vAlign w:val="center"/>
          </w:tcPr>
          <w:p>
            <w:pPr>
              <w:widowControl/>
              <w:rPr>
                <w:rFonts w:eastAsia="仿宋_GB2312"/>
                <w:kern w:val="0"/>
                <w:szCs w:val="21"/>
              </w:rPr>
            </w:pPr>
            <w:r>
              <w:rPr>
                <w:rFonts w:eastAsia="仿宋_GB2312"/>
                <w:kern w:val="0"/>
                <w:szCs w:val="21"/>
              </w:rPr>
              <w:t>工程质量保证金</w:t>
            </w:r>
          </w:p>
        </w:tc>
        <w:tc>
          <w:tcPr>
            <w:tcW w:w="1455" w:type="dxa"/>
            <w:noWrap w:val="0"/>
            <w:vAlign w:val="center"/>
          </w:tcPr>
          <w:p>
            <w:pPr>
              <w:widowControl/>
              <w:jc w:val="center"/>
              <w:rPr>
                <w:rFonts w:eastAsia="仿宋_GB2312"/>
                <w:kern w:val="0"/>
                <w:szCs w:val="21"/>
              </w:rPr>
            </w:pPr>
            <w:r>
              <w:rPr>
                <w:rFonts w:eastAsia="仿宋_GB2312"/>
                <w:kern w:val="0"/>
                <w:szCs w:val="21"/>
              </w:rPr>
              <w:t>住房城乡建设部</w:t>
            </w:r>
          </w:p>
          <w:p>
            <w:pPr>
              <w:widowControl/>
              <w:jc w:val="center"/>
              <w:rPr>
                <w:rFonts w:eastAsia="仿宋_GB2312"/>
                <w:kern w:val="0"/>
                <w:szCs w:val="21"/>
              </w:rPr>
            </w:pPr>
            <w:r>
              <w:rPr>
                <w:rFonts w:eastAsia="仿宋_GB2312"/>
                <w:kern w:val="0"/>
                <w:szCs w:val="21"/>
              </w:rPr>
              <w:t>财政部</w:t>
            </w:r>
          </w:p>
        </w:tc>
        <w:tc>
          <w:tcPr>
            <w:tcW w:w="1800" w:type="dxa"/>
            <w:noWrap w:val="0"/>
            <w:vAlign w:val="center"/>
          </w:tcPr>
          <w:p>
            <w:pPr>
              <w:widowControl/>
              <w:rPr>
                <w:rFonts w:eastAsia="仿宋_GB2312"/>
                <w:kern w:val="0"/>
                <w:szCs w:val="21"/>
              </w:rPr>
            </w:pPr>
            <w:r>
              <w:rPr>
                <w:rFonts w:eastAsia="仿宋_GB2312"/>
                <w:kern w:val="0"/>
                <w:szCs w:val="21"/>
              </w:rPr>
              <w:t>《国务院办公厅关于清理规范工程建设领域保证金的通知》（国办发〔2016〕49号）</w:t>
            </w:r>
          </w:p>
          <w:p>
            <w:pPr>
              <w:widowControl/>
              <w:rPr>
                <w:rFonts w:eastAsia="仿宋_GB2312"/>
                <w:kern w:val="0"/>
                <w:szCs w:val="21"/>
              </w:rPr>
            </w:pPr>
            <w:r>
              <w:rPr>
                <w:rFonts w:eastAsia="仿宋_GB2312"/>
                <w:kern w:val="0"/>
                <w:szCs w:val="21"/>
              </w:rPr>
              <w:t>住房城乡建设部、财政部《关于印发建设工程质量保证金管理办法的通知》建质〔2017〕138号</w:t>
            </w:r>
          </w:p>
        </w:tc>
        <w:tc>
          <w:tcPr>
            <w:tcW w:w="3068" w:type="dxa"/>
            <w:noWrap w:val="0"/>
            <w:vAlign w:val="center"/>
          </w:tcPr>
          <w:p>
            <w:pPr>
              <w:widowControl/>
              <w:rPr>
                <w:rFonts w:eastAsia="仿宋_GB2312"/>
                <w:kern w:val="0"/>
                <w:szCs w:val="21"/>
              </w:rPr>
            </w:pPr>
            <w:r>
              <w:rPr>
                <w:rFonts w:eastAsia="仿宋_GB2312"/>
                <w:kern w:val="0"/>
                <w:szCs w:val="21"/>
              </w:rPr>
              <w:t>保证金预留比例由发承包双方自行约定，但不得高于工程价款结算总额的3%</w:t>
            </w:r>
          </w:p>
        </w:tc>
        <w:tc>
          <w:tcPr>
            <w:tcW w:w="1827" w:type="dxa"/>
            <w:noWrap w:val="0"/>
            <w:vAlign w:val="center"/>
          </w:tcPr>
          <w:p>
            <w:pPr>
              <w:widowControl/>
              <w:rPr>
                <w:rFonts w:eastAsia="仿宋_GB2312"/>
                <w:kern w:val="0"/>
                <w:szCs w:val="21"/>
              </w:rPr>
            </w:pPr>
            <w:r>
              <w:rPr>
                <w:rFonts w:eastAsia="仿宋_GB2312"/>
                <w:kern w:val="0"/>
                <w:szCs w:val="21"/>
              </w:rPr>
              <w:t>承包人可以使用银行保函（保险）替代现金保证金</w:t>
            </w:r>
          </w:p>
        </w:tc>
        <w:tc>
          <w:tcPr>
            <w:tcW w:w="2118" w:type="dxa"/>
            <w:noWrap w:val="0"/>
            <w:vAlign w:val="center"/>
          </w:tcPr>
          <w:p>
            <w:pPr>
              <w:widowControl/>
              <w:rPr>
                <w:rFonts w:eastAsia="仿宋_GB2312"/>
                <w:kern w:val="0"/>
                <w:szCs w:val="21"/>
              </w:rPr>
            </w:pPr>
            <w:r>
              <w:rPr>
                <w:rFonts w:eastAsia="仿宋_GB2312"/>
                <w:kern w:val="0"/>
                <w:szCs w:val="21"/>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505" w:type="dxa"/>
            <w:noWrap w:val="0"/>
            <w:vAlign w:val="center"/>
          </w:tcPr>
          <w:p>
            <w:pPr>
              <w:widowControl/>
              <w:rPr>
                <w:rFonts w:eastAsia="仿宋_GB2312"/>
                <w:kern w:val="0"/>
                <w:szCs w:val="21"/>
              </w:rPr>
            </w:pPr>
            <w:r>
              <w:rPr>
                <w:rFonts w:eastAsia="仿宋_GB2312"/>
                <w:kern w:val="0"/>
                <w:szCs w:val="21"/>
              </w:rPr>
              <w:t>缺陷责任期结束后，承包人可向发包人提出返还保证金申请。发包人在接到承包人返还保证金申请后，应于14天内会同承包人按照合同约定的内容进行核实。如无异议，发包人应当按照约定将保证金返还给承包人</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6</w:t>
            </w:r>
          </w:p>
        </w:tc>
        <w:tc>
          <w:tcPr>
            <w:tcW w:w="1320" w:type="dxa"/>
            <w:noWrap w:val="0"/>
            <w:vAlign w:val="center"/>
          </w:tcPr>
          <w:p>
            <w:pPr>
              <w:widowControl/>
              <w:rPr>
                <w:rFonts w:eastAsia="仿宋_GB2312"/>
                <w:kern w:val="0"/>
                <w:szCs w:val="21"/>
              </w:rPr>
            </w:pPr>
            <w:r>
              <w:rPr>
                <w:rFonts w:eastAsia="仿宋_GB2312"/>
                <w:kern w:val="0"/>
                <w:szCs w:val="21"/>
              </w:rPr>
              <w:t>海员外派备用金</w:t>
            </w:r>
          </w:p>
        </w:tc>
        <w:tc>
          <w:tcPr>
            <w:tcW w:w="1455" w:type="dxa"/>
            <w:noWrap w:val="0"/>
            <w:vAlign w:val="center"/>
          </w:tcPr>
          <w:p>
            <w:pPr>
              <w:widowControl/>
              <w:jc w:val="center"/>
              <w:rPr>
                <w:rFonts w:eastAsia="仿宋_GB2312"/>
                <w:kern w:val="0"/>
                <w:szCs w:val="21"/>
              </w:rPr>
            </w:pPr>
            <w:r>
              <w:rPr>
                <w:rFonts w:eastAsia="仿宋_GB2312"/>
                <w:kern w:val="0"/>
                <w:szCs w:val="21"/>
              </w:rPr>
              <w:t>交通运输部</w:t>
            </w:r>
          </w:p>
        </w:tc>
        <w:tc>
          <w:tcPr>
            <w:tcW w:w="1800" w:type="dxa"/>
            <w:noWrap w:val="0"/>
            <w:vAlign w:val="center"/>
          </w:tcPr>
          <w:p>
            <w:pPr>
              <w:widowControl/>
              <w:rPr>
                <w:rFonts w:eastAsia="仿宋_GB2312"/>
                <w:kern w:val="0"/>
                <w:szCs w:val="21"/>
              </w:rPr>
            </w:pPr>
            <w:r>
              <w:rPr>
                <w:rFonts w:eastAsia="仿宋_GB2312"/>
                <w:kern w:val="0"/>
                <w:szCs w:val="21"/>
              </w:rPr>
              <w:t>《对外劳务合作管理条例》</w:t>
            </w:r>
          </w:p>
          <w:p>
            <w:pPr>
              <w:widowControl/>
              <w:rPr>
                <w:rFonts w:eastAsia="仿宋_GB2312"/>
                <w:kern w:val="0"/>
                <w:szCs w:val="21"/>
              </w:rPr>
            </w:pPr>
            <w:r>
              <w:rPr>
                <w:rFonts w:eastAsia="仿宋_GB2312"/>
                <w:kern w:val="0"/>
                <w:szCs w:val="21"/>
              </w:rPr>
              <w:t>《中华人民共和国海员外派管理规定》</w:t>
            </w:r>
          </w:p>
        </w:tc>
        <w:tc>
          <w:tcPr>
            <w:tcW w:w="3068" w:type="dxa"/>
            <w:noWrap w:val="0"/>
            <w:vAlign w:val="center"/>
          </w:tcPr>
          <w:p>
            <w:pPr>
              <w:widowControl/>
              <w:rPr>
                <w:rFonts w:eastAsia="仿宋_GB2312"/>
                <w:kern w:val="0"/>
                <w:szCs w:val="21"/>
              </w:rPr>
            </w:pPr>
            <w:r>
              <w:rPr>
                <w:rFonts w:eastAsia="仿宋_GB2312"/>
                <w:kern w:val="0"/>
                <w:szCs w:val="21"/>
              </w:rPr>
              <w:t>海员外派备用金缴存不低于人民币300万元。海员外派备用金实行专户存储，专款专用。备用金的使用应当遵守国家关于对外劳务合作备用金管理制度</w:t>
            </w:r>
          </w:p>
        </w:tc>
        <w:tc>
          <w:tcPr>
            <w:tcW w:w="1827" w:type="dxa"/>
            <w:noWrap w:val="0"/>
            <w:vAlign w:val="center"/>
          </w:tcPr>
          <w:p>
            <w:pPr>
              <w:widowControl/>
              <w:rPr>
                <w:rFonts w:eastAsia="仿宋_GB2312"/>
                <w:kern w:val="0"/>
                <w:szCs w:val="21"/>
              </w:rPr>
            </w:pPr>
            <w:r>
              <w:rPr>
                <w:rFonts w:eastAsia="仿宋_GB2312"/>
                <w:kern w:val="0"/>
                <w:szCs w:val="21"/>
              </w:rPr>
              <w:t>可以现金或等额银行保函（保险）形式缴存</w:t>
            </w:r>
          </w:p>
        </w:tc>
        <w:tc>
          <w:tcPr>
            <w:tcW w:w="2118" w:type="dxa"/>
            <w:noWrap w:val="0"/>
            <w:vAlign w:val="center"/>
          </w:tcPr>
          <w:p>
            <w:pPr>
              <w:widowControl/>
              <w:rPr>
                <w:rFonts w:eastAsia="仿宋_GB2312"/>
                <w:kern w:val="0"/>
                <w:szCs w:val="21"/>
              </w:rPr>
            </w:pPr>
            <w:r>
              <w:rPr>
                <w:rFonts w:eastAsia="仿宋_GB2312"/>
                <w:kern w:val="0"/>
                <w:szCs w:val="21"/>
              </w:rPr>
              <w:t>海员外派机构应当自获得海员外派机构资质证书之日起5个工作日内，在负责审批的直属海事管理机构认可的银行缴存海员外派备用金</w:t>
            </w:r>
          </w:p>
        </w:tc>
        <w:tc>
          <w:tcPr>
            <w:tcW w:w="2505" w:type="dxa"/>
            <w:noWrap w:val="0"/>
            <w:vAlign w:val="center"/>
          </w:tcPr>
          <w:p>
            <w:pPr>
              <w:widowControl/>
              <w:rPr>
                <w:rFonts w:eastAsia="仿宋_GB2312"/>
                <w:kern w:val="0"/>
                <w:szCs w:val="21"/>
              </w:rPr>
            </w:pPr>
            <w:r>
              <w:rPr>
                <w:rFonts w:eastAsia="仿宋_GB2312"/>
                <w:kern w:val="0"/>
                <w:szCs w:val="21"/>
              </w:rPr>
              <w:t>海员外派机构停止开展海员外派业务的，应当对其派出的尚在船工作的外派海员做出妥善安排，并将安排方案连同两年内有效的备用金缴存凭证或保函（保险）直属海事管理机构备案。海员外派机构自备案之日起两年内未发生针对其的劳务纠纷投诉或诉讼的，可退还缴存的备用金</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7</w:t>
            </w:r>
          </w:p>
        </w:tc>
        <w:tc>
          <w:tcPr>
            <w:tcW w:w="1320" w:type="dxa"/>
            <w:noWrap w:val="0"/>
            <w:vAlign w:val="center"/>
          </w:tcPr>
          <w:p>
            <w:pPr>
              <w:widowControl/>
              <w:rPr>
                <w:rFonts w:eastAsia="仿宋_GB2312"/>
                <w:kern w:val="0"/>
                <w:szCs w:val="21"/>
              </w:rPr>
            </w:pPr>
            <w:r>
              <w:rPr>
                <w:rFonts w:eastAsia="仿宋_GB2312"/>
                <w:kern w:val="0"/>
                <w:szCs w:val="21"/>
              </w:rPr>
              <w:t>海事处理担保金</w:t>
            </w:r>
          </w:p>
        </w:tc>
        <w:tc>
          <w:tcPr>
            <w:tcW w:w="1455" w:type="dxa"/>
            <w:noWrap w:val="0"/>
            <w:vAlign w:val="center"/>
          </w:tcPr>
          <w:p>
            <w:pPr>
              <w:widowControl/>
              <w:jc w:val="center"/>
              <w:rPr>
                <w:rFonts w:eastAsia="仿宋_GB2312"/>
                <w:kern w:val="0"/>
                <w:szCs w:val="21"/>
              </w:rPr>
            </w:pPr>
            <w:r>
              <w:rPr>
                <w:rFonts w:eastAsia="仿宋_GB2312"/>
                <w:kern w:val="0"/>
                <w:szCs w:val="21"/>
              </w:rPr>
              <w:t>交通运输部</w:t>
            </w:r>
          </w:p>
        </w:tc>
        <w:tc>
          <w:tcPr>
            <w:tcW w:w="1800" w:type="dxa"/>
            <w:noWrap w:val="0"/>
            <w:vAlign w:val="center"/>
          </w:tcPr>
          <w:p>
            <w:pPr>
              <w:widowControl/>
              <w:rPr>
                <w:rFonts w:eastAsia="仿宋_GB2312"/>
                <w:kern w:val="0"/>
                <w:szCs w:val="21"/>
              </w:rPr>
            </w:pPr>
            <w:r>
              <w:rPr>
                <w:rFonts w:eastAsia="仿宋_GB2312"/>
                <w:kern w:val="0"/>
                <w:szCs w:val="21"/>
              </w:rPr>
              <w:t>《中华人民共和国海上交通安全法》</w:t>
            </w:r>
          </w:p>
          <w:p>
            <w:pPr>
              <w:widowControl/>
              <w:rPr>
                <w:rFonts w:eastAsia="仿宋_GB2312"/>
                <w:kern w:val="0"/>
                <w:szCs w:val="21"/>
              </w:rPr>
            </w:pPr>
            <w:r>
              <w:rPr>
                <w:rFonts w:eastAsia="仿宋_GB2312"/>
                <w:kern w:val="0"/>
                <w:szCs w:val="21"/>
              </w:rPr>
              <w:t>《防治船舶污染海洋环境管理条例》</w:t>
            </w:r>
          </w:p>
        </w:tc>
        <w:tc>
          <w:tcPr>
            <w:tcW w:w="3068" w:type="dxa"/>
            <w:noWrap w:val="0"/>
            <w:vAlign w:val="center"/>
          </w:tcPr>
          <w:p>
            <w:pPr>
              <w:widowControl/>
              <w:rPr>
                <w:rFonts w:eastAsia="仿宋_GB2312"/>
                <w:kern w:val="0"/>
                <w:szCs w:val="21"/>
              </w:rPr>
            </w:pPr>
            <w:r>
              <w:rPr>
                <w:rFonts w:eastAsia="仿宋_GB2312"/>
                <w:kern w:val="0"/>
                <w:szCs w:val="21"/>
              </w:rPr>
              <w:t>海上交通事故分为特别重大事故、重大事故、较大事故和一般事故，担保金征收标准根据事故情况确定；</w:t>
            </w:r>
          </w:p>
          <w:p>
            <w:pPr>
              <w:widowControl/>
              <w:rPr>
                <w:rFonts w:eastAsia="仿宋_GB2312"/>
                <w:kern w:val="0"/>
                <w:szCs w:val="21"/>
              </w:rPr>
            </w:pPr>
            <w:r>
              <w:rPr>
                <w:rFonts w:eastAsia="仿宋_GB2312"/>
                <w:kern w:val="0"/>
                <w:szCs w:val="21"/>
              </w:rPr>
              <w:t>船舶污染事故级别分为特别重大船舶污染事故、重大船舶污染事故、较大船舶污染事故和一般船舶污染事故，担保金征收标准根据船舶污染损害情况确定</w:t>
            </w:r>
          </w:p>
        </w:tc>
        <w:tc>
          <w:tcPr>
            <w:tcW w:w="1827" w:type="dxa"/>
            <w:noWrap w:val="0"/>
            <w:vAlign w:val="center"/>
          </w:tcPr>
          <w:p>
            <w:pPr>
              <w:widowControl/>
              <w:jc w:val="center"/>
              <w:rPr>
                <w:rFonts w:eastAsia="仿宋_GB2312"/>
                <w:kern w:val="0"/>
                <w:szCs w:val="21"/>
              </w:rPr>
            </w:pPr>
            <w:r>
              <w:rPr>
                <w:rFonts w:eastAsia="仿宋_GB2312"/>
                <w:kern w:val="0"/>
                <w:szCs w:val="21"/>
              </w:rPr>
              <w:t>可以现金或等额银行保函（保险）形式缴存</w:t>
            </w:r>
          </w:p>
          <w:p>
            <w:pPr>
              <w:widowControl/>
              <w:rPr>
                <w:rFonts w:eastAsia="仿宋_GB2312"/>
                <w:kern w:val="0"/>
                <w:szCs w:val="21"/>
              </w:rPr>
            </w:pPr>
          </w:p>
        </w:tc>
        <w:tc>
          <w:tcPr>
            <w:tcW w:w="2118" w:type="dxa"/>
            <w:noWrap w:val="0"/>
            <w:vAlign w:val="center"/>
          </w:tcPr>
          <w:p>
            <w:pPr>
              <w:widowControl/>
              <w:rPr>
                <w:rFonts w:eastAsia="仿宋_GB2312"/>
                <w:kern w:val="0"/>
                <w:szCs w:val="21"/>
              </w:rPr>
            </w:pPr>
            <w:r>
              <w:rPr>
                <w:rFonts w:eastAsia="仿宋_GB2312"/>
                <w:kern w:val="0"/>
                <w:szCs w:val="21"/>
              </w:rPr>
              <w:t>船舶、海上设施发生海上交通事故、污染事故，未结清国家规定的税费、滞纳金且未提供担保或者未履行其他法定义务的，海事管理机构应当责令改正，并可以禁止其离港；</w:t>
            </w:r>
          </w:p>
          <w:p>
            <w:pPr>
              <w:widowControl/>
              <w:rPr>
                <w:rFonts w:eastAsia="仿宋_GB2312"/>
                <w:kern w:val="0"/>
                <w:szCs w:val="21"/>
              </w:rPr>
            </w:pPr>
            <w:r>
              <w:rPr>
                <w:rFonts w:eastAsia="仿宋_GB2312"/>
                <w:kern w:val="0"/>
                <w:szCs w:val="21"/>
              </w:rPr>
              <w:t>发生船舶污染事故，海事管理机构可以采取清除、打捞、拖航、引航、过驳等必要措施减轻污染损害。相关费用由造成海洋环境污染的船舶、有关作业单位承担。需要承担上述费用的船舶，应当在开航前缴清相关费用或者提供相应的财务担保</w:t>
            </w:r>
          </w:p>
        </w:tc>
        <w:tc>
          <w:tcPr>
            <w:tcW w:w="2505" w:type="dxa"/>
            <w:noWrap w:val="0"/>
            <w:vAlign w:val="center"/>
          </w:tcPr>
          <w:p>
            <w:pPr>
              <w:widowControl/>
              <w:jc w:val="center"/>
              <w:rPr>
                <w:rFonts w:eastAsia="仿宋_GB2312"/>
                <w:kern w:val="0"/>
                <w:szCs w:val="21"/>
              </w:rPr>
            </w:pPr>
            <w:r>
              <w:rPr>
                <w:rFonts w:eastAsia="仿宋_GB2312"/>
                <w:kern w:val="0"/>
                <w:szCs w:val="21"/>
              </w:rPr>
              <w:t>事故处理完毕后返还</w:t>
            </w:r>
          </w:p>
        </w:tc>
        <w:tc>
          <w:tcPr>
            <w:tcW w:w="1305" w:type="dxa"/>
            <w:noWrap w:val="0"/>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4" w:type="dxa"/>
            <w:noWrap w:val="0"/>
            <w:vAlign w:val="center"/>
          </w:tcPr>
          <w:p>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8</w:t>
            </w:r>
          </w:p>
        </w:tc>
        <w:tc>
          <w:tcPr>
            <w:tcW w:w="1320" w:type="dxa"/>
            <w:noWrap w:val="0"/>
            <w:vAlign w:val="center"/>
          </w:tcPr>
          <w:p>
            <w:pPr>
              <w:widowControl/>
              <w:rPr>
                <w:rFonts w:eastAsia="仿宋_GB2312"/>
                <w:kern w:val="0"/>
                <w:szCs w:val="21"/>
              </w:rPr>
            </w:pPr>
            <w:r>
              <w:rPr>
                <w:rFonts w:eastAsia="仿宋_GB2312"/>
                <w:kern w:val="0"/>
                <w:szCs w:val="21"/>
              </w:rPr>
              <w:t>直销企业保证金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p>
            <w:pPr>
              <w:widowControl/>
              <w:jc w:val="center"/>
              <w:rPr>
                <w:rFonts w:eastAsia="仿宋_GB2312"/>
                <w:kern w:val="0"/>
                <w:szCs w:val="21"/>
              </w:rPr>
            </w:pPr>
            <w:r>
              <w:rPr>
                <w:rFonts w:eastAsia="仿宋_GB2312"/>
                <w:kern w:val="0"/>
                <w:szCs w:val="21"/>
              </w:rPr>
              <w:t>市场监管总局</w:t>
            </w:r>
          </w:p>
        </w:tc>
        <w:tc>
          <w:tcPr>
            <w:tcW w:w="1800" w:type="dxa"/>
            <w:noWrap w:val="0"/>
            <w:vAlign w:val="center"/>
          </w:tcPr>
          <w:p>
            <w:pPr>
              <w:widowControl/>
              <w:rPr>
                <w:rFonts w:eastAsia="仿宋_GB2312"/>
                <w:kern w:val="0"/>
                <w:szCs w:val="21"/>
              </w:rPr>
            </w:pPr>
            <w:r>
              <w:rPr>
                <w:rFonts w:eastAsia="仿宋_GB2312"/>
                <w:kern w:val="0"/>
                <w:szCs w:val="21"/>
              </w:rPr>
              <w:t>《直销管理条例》</w:t>
            </w:r>
          </w:p>
          <w:p>
            <w:pPr>
              <w:widowControl/>
              <w:rPr>
                <w:rFonts w:eastAsia="仿宋_GB2312"/>
                <w:kern w:val="0"/>
                <w:szCs w:val="21"/>
              </w:rPr>
            </w:pPr>
            <w:r>
              <w:rPr>
                <w:rFonts w:eastAsia="仿宋_GB2312"/>
                <w:kern w:val="0"/>
                <w:szCs w:val="21"/>
              </w:rPr>
              <w:t>《直销企业保证金存缴、使用管理办法》（商务部、工商行政管理总局令2005年第22号）</w:t>
            </w:r>
          </w:p>
        </w:tc>
        <w:tc>
          <w:tcPr>
            <w:tcW w:w="3068" w:type="dxa"/>
            <w:noWrap w:val="0"/>
            <w:vAlign w:val="center"/>
          </w:tcPr>
          <w:p>
            <w:pPr>
              <w:widowControl/>
              <w:rPr>
                <w:rFonts w:eastAsia="仿宋_GB2312"/>
                <w:kern w:val="0"/>
                <w:szCs w:val="21"/>
              </w:rPr>
            </w:pPr>
            <w:r>
              <w:rPr>
                <w:rFonts w:eastAsia="仿宋_GB2312"/>
                <w:kern w:val="0"/>
                <w:szCs w:val="21"/>
              </w:rPr>
              <w:t>保证金的数额在直销企业设立时为人民币2000万元；直销企业运营后，保证金应当按月进行调整，其数额应当保持在直销企业上一个月直销产品销售收入15%的水平，但最高不超过人民币1亿元，最低不少于人民币2000万元</w:t>
            </w:r>
          </w:p>
        </w:tc>
        <w:tc>
          <w:tcPr>
            <w:tcW w:w="1827" w:type="dxa"/>
            <w:noWrap w:val="0"/>
            <w:vAlign w:val="center"/>
          </w:tcPr>
          <w:p>
            <w:pPr>
              <w:widowControl/>
              <w:spacing w:line="300" w:lineRule="exact"/>
              <w:jc w:val="center"/>
              <w:rPr>
                <w:rFonts w:eastAsia="仿宋_GB2312"/>
                <w:kern w:val="0"/>
                <w:szCs w:val="21"/>
              </w:rPr>
            </w:pPr>
            <w:r>
              <w:rPr>
                <w:rFonts w:eastAsia="仿宋_GB2312"/>
                <w:kern w:val="0"/>
                <w:szCs w:val="21"/>
              </w:rPr>
              <w:t>现金缴存</w:t>
            </w:r>
          </w:p>
        </w:tc>
        <w:tc>
          <w:tcPr>
            <w:tcW w:w="2118" w:type="dxa"/>
            <w:noWrap w:val="0"/>
            <w:vAlign w:val="center"/>
          </w:tcPr>
          <w:p>
            <w:pPr>
              <w:widowControl/>
              <w:spacing w:line="300" w:lineRule="exact"/>
              <w:rPr>
                <w:rFonts w:eastAsia="仿宋_GB2312"/>
                <w:kern w:val="0"/>
                <w:szCs w:val="21"/>
              </w:rPr>
            </w:pPr>
            <w:r>
              <w:rPr>
                <w:rFonts w:eastAsia="仿宋_GB2312"/>
                <w:kern w:val="0"/>
                <w:szCs w:val="21"/>
              </w:rPr>
              <w:t>企业申请直销前应在商务部和市场监管总局共同指定的银行开设保证金专门账户，缴纳2000万元人民币保证金并提交凭证。直销企业开始从事直销经营活动3个月后，保证金金额按月进行调整。如需调增保证金金额的，直销企业应当在向指定银行递交月销售额证明文件后5日内将款项划转到其指定银行保证金账户；如需调减保证金金额的，按企业与指定银行签订的协议办理</w:t>
            </w:r>
          </w:p>
        </w:tc>
        <w:tc>
          <w:tcPr>
            <w:tcW w:w="2505" w:type="dxa"/>
            <w:noWrap w:val="0"/>
            <w:vAlign w:val="center"/>
          </w:tcPr>
          <w:p>
            <w:pPr>
              <w:widowControl/>
              <w:rPr>
                <w:rFonts w:eastAsia="仿宋_GB2312"/>
                <w:kern w:val="0"/>
                <w:szCs w:val="21"/>
              </w:rPr>
            </w:pPr>
            <w:r>
              <w:rPr>
                <w:rFonts w:eastAsia="仿宋_GB2312"/>
                <w:kern w:val="0"/>
                <w:szCs w:val="21"/>
              </w:rPr>
              <w:t>直销企业不再从事直销活动的，凭商务部和市场监管总局出具的书面凭证，可以向指定银行取回保证金。企业申请直销未获批准的，凭商务部出具的书面凭证到指定银行办理保证金退回手续</w:t>
            </w:r>
          </w:p>
        </w:tc>
        <w:tc>
          <w:tcPr>
            <w:tcW w:w="1305" w:type="dxa"/>
            <w:noWrap w:val="0"/>
            <w:vAlign w:val="center"/>
          </w:tcPr>
          <w:p>
            <w:pPr>
              <w:widowControl/>
              <w:rPr>
                <w:rFonts w:hint="eastAsia" w:eastAsia="仿宋_GB2312"/>
                <w:kern w:val="0"/>
                <w:szCs w:val="21"/>
                <w:lang w:eastAsia="zh-CN"/>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614" w:type="dxa"/>
            <w:noWrap w:val="0"/>
            <w:vAlign w:val="center"/>
          </w:tcPr>
          <w:p>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9</w:t>
            </w:r>
          </w:p>
        </w:tc>
        <w:tc>
          <w:tcPr>
            <w:tcW w:w="1320" w:type="dxa"/>
            <w:noWrap w:val="0"/>
            <w:vAlign w:val="center"/>
          </w:tcPr>
          <w:p>
            <w:pPr>
              <w:widowControl/>
              <w:rPr>
                <w:rFonts w:eastAsia="仿宋_GB2312"/>
                <w:kern w:val="0"/>
                <w:szCs w:val="21"/>
              </w:rPr>
            </w:pPr>
            <w:r>
              <w:rPr>
                <w:rFonts w:eastAsia="仿宋_GB2312"/>
                <w:kern w:val="0"/>
                <w:szCs w:val="21"/>
              </w:rPr>
              <w:t>对外劳务合作风险处置备用金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tc>
        <w:tc>
          <w:tcPr>
            <w:tcW w:w="1800" w:type="dxa"/>
            <w:noWrap w:val="0"/>
            <w:vAlign w:val="center"/>
          </w:tcPr>
          <w:p>
            <w:pPr>
              <w:widowControl/>
              <w:rPr>
                <w:rFonts w:eastAsia="仿宋_GB2312"/>
                <w:kern w:val="0"/>
                <w:szCs w:val="21"/>
              </w:rPr>
            </w:pPr>
            <w:r>
              <w:rPr>
                <w:rFonts w:eastAsia="仿宋_GB2312"/>
                <w:kern w:val="0"/>
                <w:szCs w:val="21"/>
              </w:rPr>
              <w:t>《对外劳务合作管理条例》</w:t>
            </w:r>
          </w:p>
          <w:p>
            <w:pPr>
              <w:widowControl/>
              <w:rPr>
                <w:rFonts w:eastAsia="仿宋_GB2312"/>
                <w:kern w:val="0"/>
                <w:szCs w:val="21"/>
              </w:rPr>
            </w:pPr>
            <w:r>
              <w:rPr>
                <w:rFonts w:eastAsia="仿宋_GB2312"/>
                <w:kern w:val="0"/>
                <w:szCs w:val="21"/>
              </w:rPr>
              <w:t>《对外劳务合作风险处置备用金管理办法（试行）》（商务部、财政部令2014年第2号）</w:t>
            </w:r>
          </w:p>
        </w:tc>
        <w:tc>
          <w:tcPr>
            <w:tcW w:w="3068" w:type="dxa"/>
            <w:noWrap w:val="0"/>
            <w:vAlign w:val="center"/>
          </w:tcPr>
          <w:p>
            <w:pPr>
              <w:widowControl/>
              <w:rPr>
                <w:rFonts w:eastAsia="仿宋_GB2312"/>
                <w:kern w:val="0"/>
                <w:szCs w:val="21"/>
              </w:rPr>
            </w:pPr>
            <w:r>
              <w:rPr>
                <w:rFonts w:hint="eastAsia" w:eastAsia="仿宋_GB2312"/>
                <w:kern w:val="0"/>
                <w:szCs w:val="21"/>
              </w:rPr>
              <w:t>对外劳务合作风险处置备用金缴存标准为人民币</w:t>
            </w:r>
            <w:r>
              <w:rPr>
                <w:rFonts w:eastAsia="仿宋_GB2312"/>
                <w:kern w:val="0"/>
                <w:szCs w:val="21"/>
              </w:rPr>
              <w:t>300</w:t>
            </w:r>
            <w:r>
              <w:rPr>
                <w:rFonts w:hint="eastAsia" w:eastAsia="仿宋_GB2312"/>
                <w:kern w:val="0"/>
                <w:szCs w:val="21"/>
              </w:rPr>
              <w:t>万元</w:t>
            </w:r>
          </w:p>
        </w:tc>
        <w:tc>
          <w:tcPr>
            <w:tcW w:w="1827" w:type="dxa"/>
            <w:noWrap w:val="0"/>
            <w:vAlign w:val="center"/>
          </w:tcPr>
          <w:p>
            <w:pPr>
              <w:widowControl/>
              <w:jc w:val="center"/>
              <w:rPr>
                <w:rFonts w:eastAsia="仿宋_GB2312"/>
                <w:kern w:val="0"/>
                <w:szCs w:val="21"/>
              </w:rPr>
            </w:pPr>
            <w:r>
              <w:rPr>
                <w:rFonts w:eastAsia="仿宋_GB2312"/>
                <w:kern w:val="0"/>
                <w:szCs w:val="21"/>
              </w:rPr>
              <w:t>可以现金或</w:t>
            </w:r>
            <w:r>
              <w:rPr>
                <w:rFonts w:hint="eastAsia" w:eastAsia="仿宋_GB2312"/>
                <w:kern w:val="0"/>
                <w:szCs w:val="21"/>
              </w:rPr>
              <w:t>等额银行</w:t>
            </w:r>
            <w:r>
              <w:rPr>
                <w:rFonts w:eastAsia="仿宋_GB2312"/>
                <w:kern w:val="0"/>
                <w:szCs w:val="21"/>
              </w:rPr>
              <w:t>保函形式缴存</w:t>
            </w:r>
          </w:p>
        </w:tc>
        <w:tc>
          <w:tcPr>
            <w:tcW w:w="2118" w:type="dxa"/>
            <w:noWrap w:val="0"/>
            <w:vAlign w:val="center"/>
          </w:tcPr>
          <w:p>
            <w:pPr>
              <w:widowControl/>
              <w:rPr>
                <w:rFonts w:eastAsia="仿宋_GB2312"/>
                <w:kern w:val="0"/>
                <w:szCs w:val="21"/>
              </w:rPr>
            </w:pPr>
            <w:r>
              <w:rPr>
                <w:rFonts w:eastAsia="仿宋_GB2312"/>
                <w:kern w:val="0"/>
                <w:szCs w:val="21"/>
              </w:rPr>
              <w:t>对外劳务合作企业应当自获得对外劳务合作经营资格并在工商行政管理部门登记之日起5个工作日内，在负责审批的商务主管部门指定的银行缴存对外劳务合作风险处置备用金。备用金可以用现金或</w:t>
            </w:r>
            <w:r>
              <w:rPr>
                <w:rFonts w:hint="eastAsia" w:eastAsia="仿宋_GB2312"/>
                <w:kern w:val="0"/>
                <w:szCs w:val="21"/>
              </w:rPr>
              <w:t>等额</w:t>
            </w:r>
            <w:r>
              <w:rPr>
                <w:rFonts w:eastAsia="仿宋_GB2312"/>
                <w:kern w:val="0"/>
                <w:szCs w:val="21"/>
              </w:rPr>
              <w:t>银行保函形式缴存</w:t>
            </w:r>
          </w:p>
        </w:tc>
        <w:tc>
          <w:tcPr>
            <w:tcW w:w="2505" w:type="dxa"/>
            <w:noWrap w:val="0"/>
            <w:vAlign w:val="center"/>
          </w:tcPr>
          <w:p>
            <w:pPr>
              <w:widowControl/>
              <w:rPr>
                <w:rFonts w:eastAsia="仿宋_GB2312"/>
                <w:kern w:val="0"/>
                <w:szCs w:val="21"/>
              </w:rPr>
            </w:pPr>
            <w:r>
              <w:rPr>
                <w:rFonts w:hint="eastAsia" w:eastAsia="仿宋_GB2312"/>
                <w:kern w:val="0"/>
                <w:szCs w:val="21"/>
              </w:rPr>
              <w:t>对外劳务合作企业停止开展对外劳务合作的，应当对其派出的尚在国外工作的劳务人员作出妥善安排，并将安排方案连同两年内有效的备用金缴存凭证或者保函报商务主管部门备案。对外劳务合作企业自备案之日起两年内未发生针对其的劳务纠纷投诉或者诉讼的，可退还缴存的备用金或允许其撤销保函</w:t>
            </w:r>
          </w:p>
        </w:tc>
        <w:tc>
          <w:tcPr>
            <w:tcW w:w="1305" w:type="dxa"/>
            <w:noWrap w:val="0"/>
            <w:vAlign w:val="center"/>
          </w:tcPr>
          <w:p>
            <w:pPr>
              <w:widowControl/>
              <w:rPr>
                <w:rFonts w:hint="eastAsia"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10</w:t>
            </w:r>
          </w:p>
        </w:tc>
        <w:tc>
          <w:tcPr>
            <w:tcW w:w="1320" w:type="dxa"/>
            <w:noWrap w:val="0"/>
            <w:vAlign w:val="center"/>
          </w:tcPr>
          <w:p>
            <w:pPr>
              <w:widowControl/>
              <w:rPr>
                <w:rFonts w:eastAsia="仿宋_GB2312"/>
                <w:kern w:val="0"/>
                <w:szCs w:val="21"/>
              </w:rPr>
            </w:pPr>
            <w:r>
              <w:rPr>
                <w:rFonts w:eastAsia="仿宋_GB2312"/>
                <w:kern w:val="0"/>
                <w:szCs w:val="21"/>
              </w:rPr>
              <w:t>对外承包工程单位备用金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tc>
        <w:tc>
          <w:tcPr>
            <w:tcW w:w="1800" w:type="dxa"/>
            <w:noWrap w:val="0"/>
            <w:vAlign w:val="center"/>
          </w:tcPr>
          <w:p>
            <w:pPr>
              <w:widowControl/>
              <w:rPr>
                <w:rFonts w:eastAsia="仿宋_GB2312"/>
                <w:kern w:val="0"/>
                <w:szCs w:val="21"/>
              </w:rPr>
            </w:pPr>
            <w:r>
              <w:rPr>
                <w:rFonts w:eastAsia="仿宋_GB2312"/>
                <w:kern w:val="0"/>
                <w:szCs w:val="21"/>
              </w:rPr>
              <w:t>《对外承包工程管理条例》</w:t>
            </w:r>
          </w:p>
          <w:p>
            <w:pPr>
              <w:widowControl/>
              <w:rPr>
                <w:rFonts w:eastAsia="仿宋_GB2312"/>
                <w:kern w:val="0"/>
                <w:szCs w:val="21"/>
              </w:rPr>
            </w:pPr>
            <w:r>
              <w:rPr>
                <w:rFonts w:eastAsia="仿宋_GB2312"/>
                <w:kern w:val="0"/>
                <w:szCs w:val="21"/>
              </w:rPr>
              <w:t>《对外劳务合作风险处置备用金管理办法（试行）》（商务部、财政部令2014年第2号）</w:t>
            </w:r>
          </w:p>
        </w:tc>
        <w:tc>
          <w:tcPr>
            <w:tcW w:w="3068" w:type="dxa"/>
            <w:noWrap w:val="0"/>
            <w:vAlign w:val="center"/>
          </w:tcPr>
          <w:p>
            <w:pPr>
              <w:widowControl/>
              <w:rPr>
                <w:rFonts w:eastAsia="仿宋_GB2312"/>
                <w:kern w:val="0"/>
                <w:szCs w:val="21"/>
              </w:rPr>
            </w:pPr>
            <w:r>
              <w:rPr>
                <w:rFonts w:eastAsia="仿宋_GB2312"/>
                <w:kern w:val="0"/>
                <w:szCs w:val="21"/>
              </w:rPr>
              <w:t>对外承包工程单位备用金缴存标准为</w:t>
            </w:r>
            <w:r>
              <w:rPr>
                <w:rFonts w:hint="eastAsia" w:eastAsia="仿宋_GB2312"/>
                <w:kern w:val="0"/>
                <w:szCs w:val="21"/>
              </w:rPr>
              <w:t>人民币</w:t>
            </w:r>
            <w:r>
              <w:rPr>
                <w:rFonts w:eastAsia="仿宋_GB2312"/>
                <w:kern w:val="0"/>
                <w:szCs w:val="21"/>
              </w:rPr>
              <w:t>300万元</w:t>
            </w:r>
          </w:p>
        </w:tc>
        <w:tc>
          <w:tcPr>
            <w:tcW w:w="1827" w:type="dxa"/>
            <w:noWrap w:val="0"/>
            <w:vAlign w:val="center"/>
          </w:tcPr>
          <w:p>
            <w:pPr>
              <w:widowControl/>
              <w:jc w:val="center"/>
              <w:rPr>
                <w:rFonts w:eastAsia="仿宋_GB2312"/>
                <w:kern w:val="0"/>
                <w:szCs w:val="21"/>
              </w:rPr>
            </w:pPr>
            <w:r>
              <w:rPr>
                <w:rFonts w:eastAsia="仿宋_GB2312"/>
                <w:kern w:val="0"/>
                <w:szCs w:val="21"/>
              </w:rPr>
              <w:t>可以现金或</w:t>
            </w:r>
            <w:r>
              <w:rPr>
                <w:rFonts w:hint="eastAsia" w:eastAsia="仿宋_GB2312"/>
                <w:kern w:val="0"/>
                <w:szCs w:val="21"/>
              </w:rPr>
              <w:t>等额银行</w:t>
            </w:r>
            <w:r>
              <w:rPr>
                <w:rFonts w:eastAsia="仿宋_GB2312"/>
                <w:kern w:val="0"/>
                <w:szCs w:val="21"/>
              </w:rPr>
              <w:t>保函形式缴存</w:t>
            </w:r>
          </w:p>
        </w:tc>
        <w:tc>
          <w:tcPr>
            <w:tcW w:w="2118" w:type="dxa"/>
            <w:noWrap w:val="0"/>
            <w:vAlign w:val="center"/>
          </w:tcPr>
          <w:p>
            <w:pPr>
              <w:widowControl/>
              <w:rPr>
                <w:rFonts w:eastAsia="仿宋_GB2312"/>
                <w:kern w:val="0"/>
                <w:szCs w:val="21"/>
              </w:rPr>
            </w:pPr>
            <w:r>
              <w:rPr>
                <w:rFonts w:eastAsia="仿宋_GB2312"/>
                <w:kern w:val="0"/>
                <w:szCs w:val="21"/>
              </w:rPr>
              <w:t>对外承包工程的单位应当自收到中标文件或签署项目商务合同后15个工作日内，在注册地省级商务主管部门指定的银行缴存备用金</w:t>
            </w:r>
          </w:p>
        </w:tc>
        <w:tc>
          <w:tcPr>
            <w:tcW w:w="2505" w:type="dxa"/>
            <w:noWrap w:val="0"/>
            <w:vAlign w:val="center"/>
          </w:tcPr>
          <w:p>
            <w:pPr>
              <w:widowControl/>
              <w:rPr>
                <w:rFonts w:eastAsia="仿宋_GB2312"/>
                <w:kern w:val="0"/>
                <w:szCs w:val="21"/>
              </w:rPr>
            </w:pPr>
            <w:r>
              <w:rPr>
                <w:rFonts w:hint="eastAsia" w:eastAsia="仿宋_GB2312"/>
                <w:kern w:val="0"/>
                <w:szCs w:val="21"/>
              </w:rPr>
              <w:t>对外承包工程企业停止开展对外承包工程的，应当对其派出的尚在国外工作的劳务人员作出妥善安排，并将安排方案连同两年内有效的备用金缴存凭证或者保函报商务主管部门备案。对外承包工程企业自备案之日起两年内未发生针对其的劳务纠纷投诉或者诉讼的，可退还缴存的备用金或允许其撤销保函</w:t>
            </w:r>
          </w:p>
        </w:tc>
        <w:tc>
          <w:tcPr>
            <w:tcW w:w="1305" w:type="dxa"/>
            <w:noWrap w:val="0"/>
            <w:vAlign w:val="center"/>
          </w:tcPr>
          <w:p>
            <w:pPr>
              <w:widowControl/>
              <w:rPr>
                <w:rFonts w:hint="eastAsia"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11</w:t>
            </w:r>
          </w:p>
        </w:tc>
        <w:tc>
          <w:tcPr>
            <w:tcW w:w="1320" w:type="dxa"/>
            <w:noWrap w:val="0"/>
            <w:vAlign w:val="center"/>
          </w:tcPr>
          <w:p>
            <w:pPr>
              <w:widowControl/>
              <w:rPr>
                <w:rFonts w:eastAsia="仿宋_GB2312"/>
                <w:kern w:val="0"/>
                <w:szCs w:val="21"/>
              </w:rPr>
            </w:pPr>
            <w:r>
              <w:rPr>
                <w:rFonts w:eastAsia="仿宋_GB2312"/>
                <w:kern w:val="0"/>
                <w:szCs w:val="21"/>
              </w:rPr>
              <w:t>中央储备肉收储投放交易投标履约保证金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tc>
        <w:tc>
          <w:tcPr>
            <w:tcW w:w="1800" w:type="dxa"/>
            <w:noWrap w:val="0"/>
            <w:vAlign w:val="center"/>
          </w:tcPr>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目前中央储备冻肉竞价交易保证金按照1000元/吨执行，且符合履约保证金不超过合同金额10%的规定</w:t>
            </w:r>
          </w:p>
        </w:tc>
        <w:tc>
          <w:tcPr>
            <w:tcW w:w="1827" w:type="dxa"/>
            <w:noWrap w:val="0"/>
            <w:vAlign w:val="center"/>
          </w:tcPr>
          <w:p>
            <w:pPr>
              <w:widowControl/>
              <w:jc w:val="center"/>
              <w:rPr>
                <w:rFonts w:eastAsia="仿宋_GB2312"/>
                <w:kern w:val="0"/>
                <w:szCs w:val="21"/>
              </w:rPr>
            </w:pPr>
            <w:r>
              <w:rPr>
                <w:rFonts w:hint="eastAsia" w:ascii="仿宋_GB2312" w:eastAsia="仿宋_GB2312" w:cs="仿宋_GB2312"/>
                <w:kern w:val="0"/>
                <w:szCs w:val="21"/>
              </w:rPr>
              <w:t>可以现金或保函（保险）形式缴存</w:t>
            </w:r>
          </w:p>
        </w:tc>
        <w:tc>
          <w:tcPr>
            <w:tcW w:w="2118" w:type="dxa"/>
            <w:noWrap w:val="0"/>
            <w:vAlign w:val="center"/>
          </w:tcPr>
          <w:p>
            <w:pPr>
              <w:widowControl/>
              <w:rPr>
                <w:rFonts w:eastAsia="仿宋_GB2312"/>
                <w:kern w:val="0"/>
                <w:szCs w:val="21"/>
              </w:rPr>
            </w:pPr>
            <w:r>
              <w:rPr>
                <w:rFonts w:eastAsia="仿宋_GB2312"/>
                <w:kern w:val="0"/>
                <w:szCs w:val="21"/>
              </w:rPr>
              <w:t>参加交易的企业需按照规定将保证金汇至北京华商储备商品交易所有限责任公司账户</w:t>
            </w:r>
          </w:p>
        </w:tc>
        <w:tc>
          <w:tcPr>
            <w:tcW w:w="2505" w:type="dxa"/>
            <w:noWrap w:val="0"/>
            <w:vAlign w:val="center"/>
          </w:tcPr>
          <w:p>
            <w:pPr>
              <w:widowControl/>
              <w:rPr>
                <w:rFonts w:eastAsia="仿宋_GB2312"/>
                <w:kern w:val="0"/>
                <w:szCs w:val="21"/>
              </w:rPr>
            </w:pPr>
            <w:r>
              <w:rPr>
                <w:rFonts w:eastAsia="仿宋_GB2312"/>
                <w:kern w:val="0"/>
                <w:szCs w:val="21"/>
              </w:rPr>
              <w:t>未成交企业在交易结束后退还保证金，成交企业在合同执行完毕后退还保证金。如企业违约，相关保证金上交中央财政</w:t>
            </w:r>
          </w:p>
        </w:tc>
        <w:tc>
          <w:tcPr>
            <w:tcW w:w="1305" w:type="dxa"/>
            <w:noWrap w:val="0"/>
            <w:vAlign w:val="center"/>
          </w:tcPr>
          <w:p>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12</w:t>
            </w:r>
          </w:p>
        </w:tc>
        <w:tc>
          <w:tcPr>
            <w:tcW w:w="1320" w:type="dxa"/>
            <w:noWrap w:val="0"/>
            <w:vAlign w:val="center"/>
          </w:tcPr>
          <w:p>
            <w:pPr>
              <w:widowControl/>
              <w:rPr>
                <w:rFonts w:eastAsia="仿宋_GB2312"/>
                <w:kern w:val="0"/>
                <w:szCs w:val="21"/>
              </w:rPr>
            </w:pPr>
            <w:r>
              <w:rPr>
                <w:rFonts w:eastAsia="仿宋_GB2312"/>
                <w:kern w:val="0"/>
                <w:szCs w:val="21"/>
              </w:rPr>
              <w:t>中央储备糖竞价加工投标履约保证金</w:t>
            </w:r>
          </w:p>
        </w:tc>
        <w:tc>
          <w:tcPr>
            <w:tcW w:w="1455" w:type="dxa"/>
            <w:noWrap w:val="0"/>
            <w:vAlign w:val="center"/>
          </w:tcPr>
          <w:p>
            <w:pPr>
              <w:widowControl/>
              <w:jc w:val="center"/>
              <w:rPr>
                <w:rFonts w:eastAsia="仿宋_GB2312"/>
                <w:kern w:val="0"/>
                <w:szCs w:val="21"/>
              </w:rPr>
            </w:pPr>
            <w:r>
              <w:rPr>
                <w:rFonts w:eastAsia="仿宋_GB2312"/>
                <w:kern w:val="0"/>
                <w:szCs w:val="21"/>
              </w:rPr>
              <w:t>国家粮食和储备局</w:t>
            </w:r>
          </w:p>
        </w:tc>
        <w:tc>
          <w:tcPr>
            <w:tcW w:w="1800" w:type="dxa"/>
            <w:noWrap w:val="0"/>
            <w:vAlign w:val="center"/>
          </w:tcPr>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目前保证金按照30元/吨执行，且符合履约保证金不超过合同金额的10%的规定</w:t>
            </w:r>
          </w:p>
        </w:tc>
        <w:tc>
          <w:tcPr>
            <w:tcW w:w="1827" w:type="dxa"/>
            <w:noWrap w:val="0"/>
            <w:vAlign w:val="center"/>
          </w:tcPr>
          <w:p>
            <w:pPr>
              <w:widowControl/>
              <w:jc w:val="center"/>
              <w:rPr>
                <w:rFonts w:eastAsia="仿宋_GB2312"/>
                <w:kern w:val="0"/>
                <w:szCs w:val="21"/>
              </w:rPr>
            </w:pPr>
            <w:r>
              <w:rPr>
                <w:rFonts w:eastAsia="仿宋_GB2312"/>
                <w:kern w:val="0"/>
                <w:szCs w:val="21"/>
              </w:rPr>
              <w:t>可以现金或保函（保险）形式缴存</w:t>
            </w:r>
          </w:p>
        </w:tc>
        <w:tc>
          <w:tcPr>
            <w:tcW w:w="2118" w:type="dxa"/>
            <w:noWrap w:val="0"/>
            <w:vAlign w:val="center"/>
          </w:tcPr>
          <w:p>
            <w:pPr>
              <w:widowControl/>
              <w:rPr>
                <w:rFonts w:eastAsia="仿宋_GB2312"/>
                <w:kern w:val="0"/>
                <w:szCs w:val="21"/>
              </w:rPr>
            </w:pPr>
            <w:r>
              <w:rPr>
                <w:rFonts w:eastAsia="仿宋_GB2312"/>
                <w:kern w:val="0"/>
                <w:szCs w:val="21"/>
              </w:rPr>
              <w:t>参加交易的企业需按照规定将保证金汇至华商储备商品管理中心账户</w:t>
            </w:r>
          </w:p>
        </w:tc>
        <w:tc>
          <w:tcPr>
            <w:tcW w:w="2505" w:type="dxa"/>
            <w:noWrap w:val="0"/>
            <w:vAlign w:val="center"/>
          </w:tcPr>
          <w:p>
            <w:pPr>
              <w:widowControl/>
              <w:rPr>
                <w:rFonts w:hint="eastAsia" w:eastAsia="仿宋_GB2312"/>
                <w:kern w:val="0"/>
                <w:szCs w:val="21"/>
              </w:rPr>
            </w:pPr>
            <w:r>
              <w:rPr>
                <w:rFonts w:eastAsia="仿宋_GB2312"/>
                <w:kern w:val="0"/>
                <w:szCs w:val="21"/>
              </w:rPr>
              <w:t>未中标加工企业在开标后退还保证金，中标加工企业在合同执行完毕后退还保证金。如企业违约，相关保证金上交中央财政</w:t>
            </w:r>
          </w:p>
        </w:tc>
        <w:tc>
          <w:tcPr>
            <w:tcW w:w="1305" w:type="dxa"/>
            <w:noWrap w:val="0"/>
            <w:vAlign w:val="center"/>
          </w:tcPr>
          <w:p>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13</w:t>
            </w:r>
          </w:p>
        </w:tc>
        <w:tc>
          <w:tcPr>
            <w:tcW w:w="1320" w:type="dxa"/>
            <w:noWrap w:val="0"/>
            <w:vAlign w:val="center"/>
          </w:tcPr>
          <w:p>
            <w:pPr>
              <w:widowControl/>
              <w:rPr>
                <w:rFonts w:eastAsia="仿宋_GB2312"/>
                <w:kern w:val="0"/>
                <w:szCs w:val="21"/>
              </w:rPr>
            </w:pPr>
            <w:r>
              <w:rPr>
                <w:rFonts w:eastAsia="仿宋_GB2312"/>
                <w:kern w:val="0"/>
                <w:szCs w:val="21"/>
              </w:rPr>
              <w:t>中央储备糖收储投放交易投标履约保证金</w:t>
            </w:r>
          </w:p>
        </w:tc>
        <w:tc>
          <w:tcPr>
            <w:tcW w:w="1455" w:type="dxa"/>
            <w:noWrap w:val="0"/>
            <w:vAlign w:val="center"/>
          </w:tcPr>
          <w:p>
            <w:pPr>
              <w:widowControl/>
              <w:jc w:val="center"/>
              <w:rPr>
                <w:rFonts w:eastAsia="仿宋_GB2312"/>
                <w:kern w:val="0"/>
                <w:szCs w:val="21"/>
              </w:rPr>
            </w:pPr>
            <w:r>
              <w:rPr>
                <w:rFonts w:eastAsia="仿宋_GB2312"/>
                <w:kern w:val="0"/>
                <w:szCs w:val="21"/>
              </w:rPr>
              <w:t>国家粮食和储备局</w:t>
            </w:r>
          </w:p>
        </w:tc>
        <w:tc>
          <w:tcPr>
            <w:tcW w:w="1800" w:type="dxa"/>
            <w:noWrap w:val="0"/>
            <w:vAlign w:val="center"/>
          </w:tcPr>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目前储备糖竞价交易保证金按照500元/吨执行，且符合履约保证金不超过合同金额10%的规定</w:t>
            </w:r>
          </w:p>
        </w:tc>
        <w:tc>
          <w:tcPr>
            <w:tcW w:w="1827" w:type="dxa"/>
            <w:noWrap w:val="0"/>
            <w:vAlign w:val="center"/>
          </w:tcPr>
          <w:p>
            <w:pPr>
              <w:widowControl/>
              <w:jc w:val="center"/>
              <w:rPr>
                <w:rFonts w:eastAsia="仿宋_GB2312"/>
                <w:kern w:val="0"/>
                <w:szCs w:val="21"/>
              </w:rPr>
            </w:pPr>
            <w:r>
              <w:rPr>
                <w:rFonts w:eastAsia="仿宋_GB2312"/>
                <w:kern w:val="0"/>
                <w:szCs w:val="21"/>
              </w:rPr>
              <w:t>可以现金或保函（保险）形式缴存</w:t>
            </w:r>
          </w:p>
        </w:tc>
        <w:tc>
          <w:tcPr>
            <w:tcW w:w="2118" w:type="dxa"/>
            <w:noWrap w:val="0"/>
            <w:vAlign w:val="center"/>
          </w:tcPr>
          <w:p>
            <w:pPr>
              <w:widowControl/>
              <w:rPr>
                <w:rFonts w:eastAsia="仿宋_GB2312"/>
                <w:kern w:val="0"/>
                <w:szCs w:val="21"/>
              </w:rPr>
            </w:pPr>
            <w:r>
              <w:rPr>
                <w:rFonts w:eastAsia="仿宋_GB2312"/>
                <w:kern w:val="0"/>
                <w:szCs w:val="21"/>
              </w:rPr>
              <w:t>参加交易的企业需按照规定将保证金汇至北京华商储备商品交易所有限责任公司账户</w:t>
            </w:r>
          </w:p>
        </w:tc>
        <w:tc>
          <w:tcPr>
            <w:tcW w:w="2505" w:type="dxa"/>
            <w:noWrap w:val="0"/>
            <w:vAlign w:val="center"/>
          </w:tcPr>
          <w:p>
            <w:pPr>
              <w:widowControl/>
              <w:rPr>
                <w:rFonts w:hint="eastAsia" w:eastAsia="仿宋_GB2312"/>
                <w:kern w:val="0"/>
                <w:szCs w:val="21"/>
              </w:rPr>
            </w:pPr>
            <w:r>
              <w:rPr>
                <w:rFonts w:eastAsia="仿宋_GB2312"/>
                <w:kern w:val="0"/>
                <w:szCs w:val="21"/>
              </w:rPr>
              <w:t>未成交企业在交易结束后退还保证金，成交企业在合同执行完毕后退还保证金。如企业违约，相关保证金上交中央财政</w:t>
            </w:r>
          </w:p>
        </w:tc>
        <w:tc>
          <w:tcPr>
            <w:tcW w:w="1305" w:type="dxa"/>
            <w:noWrap w:val="0"/>
            <w:vAlign w:val="center"/>
          </w:tcPr>
          <w:p>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w:t>
            </w:r>
          </w:p>
        </w:tc>
        <w:tc>
          <w:tcPr>
            <w:tcW w:w="1320" w:type="dxa"/>
            <w:noWrap w:val="0"/>
            <w:vAlign w:val="center"/>
          </w:tcPr>
          <w:p>
            <w:pPr>
              <w:widowControl/>
              <w:rPr>
                <w:rFonts w:eastAsia="仿宋_GB2312"/>
                <w:kern w:val="0"/>
                <w:szCs w:val="21"/>
              </w:rPr>
            </w:pPr>
            <w:r>
              <w:rPr>
                <w:rFonts w:eastAsia="仿宋_GB2312"/>
                <w:kern w:val="0"/>
                <w:szCs w:val="21"/>
              </w:rPr>
              <w:t>援外项目投标保证金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tc>
        <w:tc>
          <w:tcPr>
            <w:tcW w:w="1800" w:type="dxa"/>
            <w:noWrap w:val="0"/>
            <w:vAlign w:val="center"/>
          </w:tcPr>
          <w:p>
            <w:pPr>
              <w:widowControl/>
              <w:rPr>
                <w:rFonts w:eastAsia="仿宋_GB2312"/>
                <w:kern w:val="0"/>
                <w:szCs w:val="21"/>
              </w:rPr>
            </w:pPr>
            <w:r>
              <w:rPr>
                <w:rFonts w:eastAsia="仿宋_GB2312"/>
                <w:kern w:val="0"/>
                <w:szCs w:val="21"/>
              </w:rPr>
              <w:t>《中华人民共和国政府采购法实施条例》</w:t>
            </w:r>
          </w:p>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投标保证金保函金额为援外采购项目预算金额的2%</w:t>
            </w:r>
          </w:p>
        </w:tc>
        <w:tc>
          <w:tcPr>
            <w:tcW w:w="1827" w:type="dxa"/>
            <w:noWrap w:val="0"/>
            <w:vAlign w:val="center"/>
          </w:tcPr>
          <w:p>
            <w:pPr>
              <w:widowControl/>
              <w:jc w:val="center"/>
              <w:rPr>
                <w:rFonts w:eastAsia="仿宋_GB2312"/>
                <w:kern w:val="0"/>
                <w:szCs w:val="21"/>
              </w:rPr>
            </w:pPr>
            <w:r>
              <w:rPr>
                <w:rFonts w:eastAsia="仿宋_GB2312"/>
                <w:kern w:val="0"/>
                <w:szCs w:val="21"/>
              </w:rPr>
              <w:t>可以现金或等额银行保函形式缴存</w:t>
            </w:r>
          </w:p>
        </w:tc>
        <w:tc>
          <w:tcPr>
            <w:tcW w:w="2118" w:type="dxa"/>
            <w:noWrap w:val="0"/>
            <w:vAlign w:val="center"/>
          </w:tcPr>
          <w:p>
            <w:pPr>
              <w:widowControl/>
              <w:rPr>
                <w:rFonts w:eastAsia="仿宋_GB2312"/>
                <w:kern w:val="0"/>
                <w:szCs w:val="21"/>
              </w:rPr>
            </w:pPr>
            <w:r>
              <w:rPr>
                <w:rFonts w:eastAsia="仿宋_GB2312"/>
                <w:kern w:val="0"/>
                <w:szCs w:val="21"/>
              </w:rPr>
              <w:t>参与援外项目采购投标的企业按采购文件规定随响应文件一并提交投标保证金保函</w:t>
            </w:r>
          </w:p>
        </w:tc>
        <w:tc>
          <w:tcPr>
            <w:tcW w:w="2505" w:type="dxa"/>
            <w:noWrap w:val="0"/>
            <w:vAlign w:val="center"/>
          </w:tcPr>
          <w:p>
            <w:pPr>
              <w:widowControl/>
              <w:rPr>
                <w:rFonts w:eastAsia="仿宋_GB2312"/>
                <w:kern w:val="0"/>
                <w:szCs w:val="21"/>
              </w:rPr>
            </w:pPr>
            <w:r>
              <w:rPr>
                <w:rFonts w:hint="eastAsia" w:eastAsia="仿宋_GB2312"/>
                <w:kern w:val="0"/>
                <w:szCs w:val="21"/>
              </w:rPr>
              <w:t>未中标、未成交企业的保证金保函在中标、成交通知书发出后</w:t>
            </w:r>
            <w:r>
              <w:rPr>
                <w:rFonts w:eastAsia="仿宋_GB2312"/>
                <w:kern w:val="0"/>
                <w:szCs w:val="21"/>
              </w:rPr>
              <w:t>5</w:t>
            </w:r>
            <w:r>
              <w:rPr>
                <w:rFonts w:hint="eastAsia" w:eastAsia="仿宋_GB2312"/>
                <w:kern w:val="0"/>
                <w:szCs w:val="21"/>
              </w:rPr>
              <w:t>个工作日内退还。中标、成交企业的保证金保函在援外项目合同签订后</w:t>
            </w:r>
            <w:r>
              <w:rPr>
                <w:rFonts w:eastAsia="仿宋_GB2312"/>
                <w:kern w:val="0"/>
                <w:szCs w:val="21"/>
              </w:rPr>
              <w:t>5</w:t>
            </w:r>
            <w:r>
              <w:rPr>
                <w:rFonts w:hint="eastAsia" w:eastAsia="仿宋_GB2312"/>
                <w:kern w:val="0"/>
                <w:szCs w:val="21"/>
              </w:rPr>
              <w:t>个工作日内退还</w:t>
            </w:r>
          </w:p>
        </w:tc>
        <w:tc>
          <w:tcPr>
            <w:tcW w:w="1305" w:type="dxa"/>
            <w:noWrap w:val="0"/>
            <w:vAlign w:val="center"/>
          </w:tcPr>
          <w:p>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w:t>
            </w:r>
          </w:p>
        </w:tc>
        <w:tc>
          <w:tcPr>
            <w:tcW w:w="1320" w:type="dxa"/>
            <w:noWrap w:val="0"/>
            <w:vAlign w:val="center"/>
          </w:tcPr>
          <w:p>
            <w:pPr>
              <w:widowControl/>
              <w:rPr>
                <w:rFonts w:eastAsia="仿宋_GB2312"/>
                <w:kern w:val="0"/>
                <w:szCs w:val="21"/>
              </w:rPr>
            </w:pPr>
            <w:r>
              <w:rPr>
                <w:rFonts w:eastAsia="仿宋_GB2312"/>
                <w:kern w:val="0"/>
                <w:szCs w:val="21"/>
              </w:rPr>
              <w:t>援外项目履约保证金</w:t>
            </w:r>
          </w:p>
        </w:tc>
        <w:tc>
          <w:tcPr>
            <w:tcW w:w="1455" w:type="dxa"/>
            <w:noWrap w:val="0"/>
            <w:vAlign w:val="center"/>
          </w:tcPr>
          <w:p>
            <w:pPr>
              <w:widowControl/>
              <w:jc w:val="center"/>
              <w:rPr>
                <w:rFonts w:eastAsia="仿宋_GB2312"/>
                <w:kern w:val="0"/>
                <w:szCs w:val="21"/>
              </w:rPr>
            </w:pPr>
            <w:r>
              <w:rPr>
                <w:rFonts w:eastAsia="仿宋_GB2312"/>
                <w:kern w:val="0"/>
                <w:szCs w:val="21"/>
              </w:rPr>
              <w:t>商务部</w:t>
            </w:r>
          </w:p>
        </w:tc>
        <w:tc>
          <w:tcPr>
            <w:tcW w:w="1800" w:type="dxa"/>
            <w:noWrap w:val="0"/>
            <w:vAlign w:val="center"/>
          </w:tcPr>
          <w:p>
            <w:pPr>
              <w:widowControl/>
              <w:rPr>
                <w:rFonts w:eastAsia="仿宋_GB2312"/>
                <w:kern w:val="0"/>
                <w:szCs w:val="21"/>
              </w:rPr>
            </w:pPr>
            <w:r>
              <w:rPr>
                <w:rFonts w:eastAsia="仿宋_GB2312"/>
                <w:kern w:val="0"/>
                <w:szCs w:val="21"/>
              </w:rPr>
              <w:t>《中华人民共和国政府采购法实施条例》</w:t>
            </w:r>
          </w:p>
          <w:p>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pPr>
              <w:widowControl/>
              <w:rPr>
                <w:rFonts w:eastAsia="仿宋_GB2312"/>
                <w:kern w:val="0"/>
                <w:szCs w:val="21"/>
              </w:rPr>
            </w:pPr>
            <w:r>
              <w:rPr>
                <w:rFonts w:eastAsia="仿宋_GB2312"/>
                <w:kern w:val="0"/>
                <w:szCs w:val="21"/>
              </w:rPr>
              <w:t>履约保证金保函金额不得超过援外项目采购合同金额的10%</w:t>
            </w:r>
          </w:p>
        </w:tc>
        <w:tc>
          <w:tcPr>
            <w:tcW w:w="1827" w:type="dxa"/>
            <w:noWrap w:val="0"/>
            <w:vAlign w:val="center"/>
          </w:tcPr>
          <w:p>
            <w:pPr>
              <w:widowControl/>
              <w:jc w:val="center"/>
              <w:rPr>
                <w:rFonts w:eastAsia="仿宋_GB2312"/>
                <w:kern w:val="0"/>
                <w:szCs w:val="21"/>
              </w:rPr>
            </w:pPr>
            <w:r>
              <w:rPr>
                <w:rFonts w:eastAsia="仿宋_GB2312"/>
                <w:kern w:val="0"/>
                <w:szCs w:val="21"/>
              </w:rPr>
              <w:t>可以现金或等额银行保函形式缴存</w:t>
            </w:r>
          </w:p>
        </w:tc>
        <w:tc>
          <w:tcPr>
            <w:tcW w:w="2118" w:type="dxa"/>
            <w:noWrap w:val="0"/>
            <w:vAlign w:val="center"/>
          </w:tcPr>
          <w:p>
            <w:pPr>
              <w:widowControl/>
              <w:rPr>
                <w:rFonts w:eastAsia="仿宋_GB2312"/>
                <w:kern w:val="0"/>
                <w:szCs w:val="21"/>
              </w:rPr>
            </w:pPr>
            <w:r>
              <w:rPr>
                <w:rFonts w:eastAsia="仿宋_GB2312"/>
                <w:kern w:val="0"/>
                <w:szCs w:val="21"/>
              </w:rPr>
              <w:t>援外项目实施企业需在签订内部实施合同前提交履约保证金保函</w:t>
            </w:r>
          </w:p>
        </w:tc>
        <w:tc>
          <w:tcPr>
            <w:tcW w:w="2505" w:type="dxa"/>
            <w:noWrap w:val="0"/>
            <w:vAlign w:val="center"/>
          </w:tcPr>
          <w:p>
            <w:pPr>
              <w:widowControl/>
              <w:rPr>
                <w:rFonts w:eastAsia="仿宋_GB2312"/>
                <w:kern w:val="0"/>
                <w:szCs w:val="21"/>
              </w:rPr>
            </w:pPr>
            <w:r>
              <w:rPr>
                <w:rFonts w:hint="eastAsia" w:eastAsia="仿宋_GB2312"/>
                <w:kern w:val="0"/>
                <w:szCs w:val="21"/>
              </w:rPr>
              <w:t>援外项目实施企业在项目实施合同履行完毕或质量保证期到期后取回履约保证金保函</w:t>
            </w:r>
          </w:p>
        </w:tc>
        <w:tc>
          <w:tcPr>
            <w:tcW w:w="1305" w:type="dxa"/>
            <w:noWrap w:val="0"/>
            <w:vAlign w:val="center"/>
          </w:tcPr>
          <w:p>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16</w:t>
            </w:r>
          </w:p>
        </w:tc>
        <w:tc>
          <w:tcPr>
            <w:tcW w:w="1320" w:type="dxa"/>
            <w:noWrap w:val="0"/>
            <w:vAlign w:val="center"/>
          </w:tcPr>
          <w:p>
            <w:pPr>
              <w:widowControl/>
              <w:rPr>
                <w:rFonts w:eastAsia="仿宋_GB2312"/>
                <w:kern w:val="0"/>
                <w:szCs w:val="21"/>
              </w:rPr>
            </w:pPr>
            <w:r>
              <w:rPr>
                <w:rFonts w:eastAsia="仿宋_GB2312"/>
                <w:kern w:val="0"/>
                <w:szCs w:val="21"/>
              </w:rPr>
              <w:t>海关风险类保证金</w:t>
            </w:r>
          </w:p>
        </w:tc>
        <w:tc>
          <w:tcPr>
            <w:tcW w:w="1455" w:type="dxa"/>
            <w:noWrap w:val="0"/>
            <w:vAlign w:val="center"/>
          </w:tcPr>
          <w:p>
            <w:pPr>
              <w:widowControl/>
              <w:jc w:val="center"/>
              <w:rPr>
                <w:rFonts w:eastAsia="仿宋_GB2312"/>
                <w:kern w:val="0"/>
                <w:szCs w:val="21"/>
              </w:rPr>
            </w:pPr>
            <w:r>
              <w:rPr>
                <w:rFonts w:eastAsia="仿宋_GB2312"/>
                <w:kern w:val="0"/>
                <w:szCs w:val="21"/>
              </w:rPr>
              <w:t>海关总署</w:t>
            </w:r>
          </w:p>
        </w:tc>
        <w:tc>
          <w:tcPr>
            <w:tcW w:w="1800" w:type="dxa"/>
            <w:noWrap w:val="0"/>
            <w:vAlign w:val="center"/>
          </w:tcPr>
          <w:p>
            <w:pPr>
              <w:widowControl/>
              <w:rPr>
                <w:rFonts w:eastAsia="仿宋_GB2312"/>
                <w:kern w:val="0"/>
                <w:szCs w:val="21"/>
              </w:rPr>
            </w:pPr>
            <w:r>
              <w:rPr>
                <w:rFonts w:eastAsia="仿宋_GB2312"/>
                <w:kern w:val="0"/>
                <w:szCs w:val="21"/>
              </w:rPr>
              <w:t>《中华人民共和国海关法》</w:t>
            </w:r>
          </w:p>
          <w:p>
            <w:pPr>
              <w:widowControl/>
              <w:rPr>
                <w:rFonts w:eastAsia="仿宋_GB2312"/>
                <w:kern w:val="0"/>
                <w:szCs w:val="21"/>
              </w:rPr>
            </w:pPr>
            <w:r>
              <w:rPr>
                <w:rFonts w:eastAsia="仿宋_GB2312"/>
                <w:kern w:val="0"/>
                <w:szCs w:val="21"/>
              </w:rPr>
              <w:t>《中华人民共和国海关事务担保条例》</w:t>
            </w:r>
          </w:p>
          <w:p>
            <w:pPr>
              <w:widowControl/>
              <w:rPr>
                <w:rFonts w:eastAsia="仿宋_GB2312"/>
                <w:kern w:val="0"/>
                <w:szCs w:val="21"/>
              </w:rPr>
            </w:pPr>
            <w:r>
              <w:rPr>
                <w:rFonts w:eastAsia="仿宋_GB2312"/>
                <w:kern w:val="0"/>
                <w:szCs w:val="21"/>
              </w:rPr>
              <w:t>《中华人民共和国海关加工贸易单耗管理办法》（海关总署令第243号）</w:t>
            </w:r>
          </w:p>
          <w:p>
            <w:pPr>
              <w:widowControl/>
              <w:rPr>
                <w:rFonts w:eastAsia="仿宋_GB2312"/>
                <w:kern w:val="0"/>
                <w:szCs w:val="21"/>
              </w:rPr>
            </w:pPr>
            <w:r>
              <w:rPr>
                <w:rFonts w:eastAsia="仿宋_GB2312"/>
                <w:kern w:val="0"/>
                <w:szCs w:val="21"/>
              </w:rPr>
              <w:t>《中华人民共和国海关进出口货物集中申报管理办法》（海关总署令第169号）</w:t>
            </w:r>
          </w:p>
          <w:p>
            <w:pPr>
              <w:widowControl/>
              <w:rPr>
                <w:rFonts w:eastAsia="仿宋_GB2312"/>
                <w:kern w:val="0"/>
                <w:szCs w:val="21"/>
              </w:rPr>
            </w:pPr>
            <w:r>
              <w:rPr>
                <w:rFonts w:eastAsia="仿宋_GB2312"/>
                <w:kern w:val="0"/>
                <w:szCs w:val="21"/>
              </w:rPr>
              <w:t>《中华人民共和国海关加工贸易货物监管办法》(海关总署令第262号）</w:t>
            </w:r>
          </w:p>
        </w:tc>
        <w:tc>
          <w:tcPr>
            <w:tcW w:w="3068" w:type="dxa"/>
            <w:noWrap w:val="0"/>
            <w:vAlign w:val="center"/>
          </w:tcPr>
          <w:p>
            <w:pPr>
              <w:widowControl/>
              <w:rPr>
                <w:rFonts w:eastAsia="仿宋_GB2312"/>
                <w:kern w:val="0"/>
                <w:szCs w:val="21"/>
              </w:rPr>
            </w:pPr>
            <w:r>
              <w:rPr>
                <w:rFonts w:eastAsia="仿宋_GB2312"/>
                <w:kern w:val="0"/>
                <w:szCs w:val="21"/>
              </w:rPr>
              <w:t>风险类保证金是风险担保的一种，包括保税货物保证金等类型。当事人提供的担保应当与其需要履行的法律义务相当，除《中华人民共和国海关事务担保条例》第七条第二款规定的情形外，担保金额按照下列标准确定：</w:t>
            </w:r>
          </w:p>
          <w:p>
            <w:pPr>
              <w:widowControl/>
              <w:rPr>
                <w:rFonts w:eastAsia="仿宋_GB2312"/>
                <w:kern w:val="0"/>
                <w:szCs w:val="21"/>
              </w:rPr>
            </w:pPr>
            <w:r>
              <w:rPr>
                <w:rFonts w:eastAsia="仿宋_GB2312"/>
                <w:kern w:val="0"/>
                <w:szCs w:val="21"/>
              </w:rPr>
              <w:t>1.为提前放行货物提供的担保，担保金额不得超过可能承担的最高税款总额；</w:t>
            </w:r>
          </w:p>
          <w:p>
            <w:pPr>
              <w:widowControl/>
              <w:rPr>
                <w:rFonts w:eastAsia="仿宋_GB2312"/>
                <w:kern w:val="0"/>
                <w:szCs w:val="21"/>
              </w:rPr>
            </w:pPr>
            <w:r>
              <w:rPr>
                <w:rFonts w:eastAsia="仿宋_GB2312"/>
                <w:kern w:val="0"/>
                <w:szCs w:val="21"/>
              </w:rPr>
              <w:t>2.为办理特定海关业务提供的担保，担保金额不得超过可能承担的最高税款总额或者海关总署规定的金额；</w:t>
            </w:r>
          </w:p>
          <w:p>
            <w:pPr>
              <w:widowControl/>
              <w:rPr>
                <w:rFonts w:eastAsia="仿宋_GB2312"/>
                <w:kern w:val="0"/>
                <w:szCs w:val="21"/>
              </w:rPr>
            </w:pPr>
            <w:r>
              <w:rPr>
                <w:rFonts w:eastAsia="仿宋_GB2312"/>
                <w:kern w:val="0"/>
                <w:szCs w:val="21"/>
              </w:rPr>
              <w:t>3.因有明显的转移、藏匿应税货物以及其他财产迹象被责令提供的担保，担保金额不得超过可能承担的最高税款总额；</w:t>
            </w:r>
          </w:p>
          <w:p>
            <w:pPr>
              <w:widowControl/>
              <w:rPr>
                <w:rFonts w:eastAsia="仿宋_GB2312"/>
                <w:kern w:val="0"/>
                <w:szCs w:val="21"/>
              </w:rPr>
            </w:pPr>
            <w:r>
              <w:rPr>
                <w:rFonts w:eastAsia="仿宋_GB2312"/>
                <w:kern w:val="0"/>
                <w:szCs w:val="21"/>
              </w:rPr>
              <w:t>4.为有关货物、物品、运输工具免予或者解除扣留、封存提供的担保，担保金额不得超过该货物、物品、运输工具的等值价款；</w:t>
            </w:r>
          </w:p>
          <w:p>
            <w:pPr>
              <w:widowControl/>
              <w:rPr>
                <w:rFonts w:eastAsia="仿宋_GB2312"/>
                <w:kern w:val="0"/>
                <w:szCs w:val="21"/>
              </w:rPr>
            </w:pPr>
            <w:r>
              <w:rPr>
                <w:rFonts w:eastAsia="仿宋_GB2312"/>
                <w:kern w:val="0"/>
                <w:szCs w:val="21"/>
              </w:rPr>
              <w:t>5.为罚款、违法所得或者依法应当追缴的货物、物品、走私运输工具的等值价款未缴清前出境提供的担保，担保金额应当相当于罚款、违法所得数额或者依法应当追缴的货物、物品、走私运输工具的等值价款</w:t>
            </w:r>
          </w:p>
        </w:tc>
        <w:tc>
          <w:tcPr>
            <w:tcW w:w="1827" w:type="dxa"/>
            <w:noWrap w:val="0"/>
            <w:vAlign w:val="center"/>
          </w:tcPr>
          <w:p>
            <w:pPr>
              <w:widowControl/>
              <w:rPr>
                <w:rFonts w:eastAsia="仿宋_GB2312"/>
                <w:kern w:val="0"/>
                <w:szCs w:val="21"/>
              </w:rPr>
            </w:pPr>
            <w:r>
              <w:rPr>
                <w:rFonts w:eastAsia="仿宋_GB2312"/>
                <w:kern w:val="0"/>
                <w:szCs w:val="21"/>
              </w:rPr>
              <w:t>可自主选择现金、保函（保险）形式提供担保</w:t>
            </w:r>
          </w:p>
        </w:tc>
        <w:tc>
          <w:tcPr>
            <w:tcW w:w="2118" w:type="dxa"/>
            <w:noWrap w:val="0"/>
            <w:vAlign w:val="center"/>
          </w:tcPr>
          <w:p>
            <w:pPr>
              <w:widowControl/>
              <w:rPr>
                <w:rFonts w:eastAsia="仿宋_GB2312"/>
                <w:kern w:val="0"/>
                <w:szCs w:val="21"/>
              </w:rPr>
            </w:pPr>
            <w:r>
              <w:rPr>
                <w:rFonts w:eastAsia="仿宋_GB2312"/>
                <w:kern w:val="0"/>
                <w:szCs w:val="21"/>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05" w:type="dxa"/>
            <w:noWrap w:val="0"/>
            <w:vAlign w:val="center"/>
          </w:tcPr>
          <w:p>
            <w:pPr>
              <w:widowControl/>
              <w:rPr>
                <w:rFonts w:eastAsia="仿宋_GB2312"/>
                <w:kern w:val="0"/>
                <w:szCs w:val="21"/>
              </w:rPr>
            </w:pPr>
            <w:r>
              <w:rPr>
                <w:rFonts w:eastAsia="仿宋_GB2312"/>
                <w:kern w:val="0"/>
                <w:szCs w:val="21"/>
              </w:rPr>
              <w:t>有下列情形之一的，海关应当书面通知当事人办理担保财产、权利退还手续：</w:t>
            </w:r>
          </w:p>
          <w:p>
            <w:pPr>
              <w:widowControl/>
              <w:rPr>
                <w:rFonts w:eastAsia="仿宋_GB2312"/>
                <w:kern w:val="0"/>
                <w:szCs w:val="21"/>
              </w:rPr>
            </w:pPr>
            <w:r>
              <w:rPr>
                <w:rFonts w:eastAsia="仿宋_GB2312"/>
                <w:kern w:val="0"/>
                <w:szCs w:val="21"/>
              </w:rPr>
              <w:t>1.当事人已经履行有关法律义务的；</w:t>
            </w:r>
          </w:p>
          <w:p>
            <w:pPr>
              <w:widowControl/>
              <w:rPr>
                <w:rFonts w:eastAsia="仿宋_GB2312"/>
                <w:kern w:val="0"/>
                <w:szCs w:val="21"/>
              </w:rPr>
            </w:pPr>
            <w:r>
              <w:rPr>
                <w:rFonts w:eastAsia="仿宋_GB2312"/>
                <w:kern w:val="0"/>
                <w:szCs w:val="21"/>
              </w:rPr>
              <w:t>2.当事人不再从事特定海关业务的；</w:t>
            </w:r>
          </w:p>
          <w:p>
            <w:pPr>
              <w:widowControl/>
              <w:rPr>
                <w:rFonts w:eastAsia="仿宋_GB2312"/>
                <w:kern w:val="0"/>
                <w:szCs w:val="21"/>
              </w:rPr>
            </w:pPr>
            <w:r>
              <w:rPr>
                <w:rFonts w:eastAsia="仿宋_GB2312"/>
                <w:kern w:val="0"/>
                <w:szCs w:val="21"/>
              </w:rPr>
              <w:t>3.担保财产、权利被海关采取抵缴措施后仍有剩余的；</w:t>
            </w:r>
          </w:p>
          <w:p>
            <w:pPr>
              <w:widowControl/>
              <w:rPr>
                <w:rFonts w:eastAsia="仿宋_GB2312"/>
                <w:kern w:val="0"/>
                <w:szCs w:val="21"/>
              </w:rPr>
            </w:pPr>
            <w:r>
              <w:rPr>
                <w:rFonts w:eastAsia="仿宋_GB2312"/>
                <w:kern w:val="0"/>
                <w:szCs w:val="21"/>
              </w:rPr>
              <w:t>4.其他需要退还的情形。</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17</w:t>
            </w:r>
          </w:p>
        </w:tc>
        <w:tc>
          <w:tcPr>
            <w:tcW w:w="1320" w:type="dxa"/>
            <w:noWrap w:val="0"/>
            <w:vAlign w:val="center"/>
          </w:tcPr>
          <w:p>
            <w:pPr>
              <w:widowControl/>
              <w:rPr>
                <w:rFonts w:eastAsia="仿宋_GB2312"/>
                <w:kern w:val="0"/>
                <w:szCs w:val="21"/>
              </w:rPr>
            </w:pPr>
            <w:r>
              <w:rPr>
                <w:rFonts w:eastAsia="仿宋_GB2312"/>
                <w:kern w:val="0"/>
                <w:szCs w:val="21"/>
              </w:rPr>
              <w:t>海关税款类保证金</w:t>
            </w:r>
          </w:p>
        </w:tc>
        <w:tc>
          <w:tcPr>
            <w:tcW w:w="1455" w:type="dxa"/>
            <w:noWrap w:val="0"/>
            <w:vAlign w:val="center"/>
          </w:tcPr>
          <w:p>
            <w:pPr>
              <w:widowControl/>
              <w:jc w:val="center"/>
              <w:rPr>
                <w:rFonts w:eastAsia="仿宋_GB2312"/>
                <w:kern w:val="0"/>
                <w:szCs w:val="21"/>
              </w:rPr>
            </w:pPr>
            <w:r>
              <w:rPr>
                <w:rFonts w:eastAsia="仿宋_GB2312"/>
                <w:kern w:val="0"/>
                <w:szCs w:val="21"/>
              </w:rPr>
              <w:t>海关总署</w:t>
            </w:r>
          </w:p>
        </w:tc>
        <w:tc>
          <w:tcPr>
            <w:tcW w:w="1800" w:type="dxa"/>
            <w:noWrap w:val="0"/>
            <w:vAlign w:val="center"/>
          </w:tcPr>
          <w:p>
            <w:pPr>
              <w:widowControl/>
              <w:rPr>
                <w:rFonts w:eastAsia="仿宋_GB2312"/>
                <w:kern w:val="0"/>
                <w:szCs w:val="21"/>
              </w:rPr>
            </w:pPr>
            <w:r>
              <w:rPr>
                <w:rFonts w:eastAsia="仿宋_GB2312"/>
                <w:kern w:val="0"/>
                <w:szCs w:val="21"/>
              </w:rPr>
              <w:t>《中华人民共和国海关法》</w:t>
            </w:r>
          </w:p>
          <w:p>
            <w:pPr>
              <w:widowControl/>
              <w:rPr>
                <w:rFonts w:eastAsia="仿宋_GB2312"/>
                <w:kern w:val="0"/>
                <w:szCs w:val="21"/>
              </w:rPr>
            </w:pPr>
            <w:r>
              <w:rPr>
                <w:rFonts w:eastAsia="仿宋_GB2312"/>
                <w:kern w:val="0"/>
                <w:szCs w:val="21"/>
              </w:rPr>
              <w:t>《中华人民共和国进出口关税条例》</w:t>
            </w:r>
          </w:p>
          <w:p>
            <w:pPr>
              <w:widowControl/>
              <w:rPr>
                <w:rFonts w:eastAsia="仿宋_GB2312"/>
                <w:kern w:val="0"/>
                <w:szCs w:val="21"/>
              </w:rPr>
            </w:pPr>
            <w:r>
              <w:rPr>
                <w:rFonts w:eastAsia="仿宋_GB2312"/>
                <w:kern w:val="0"/>
                <w:szCs w:val="21"/>
              </w:rPr>
              <w:t>《中华人民共和国海关事务担保条例》</w:t>
            </w:r>
          </w:p>
          <w:p>
            <w:pPr>
              <w:widowControl/>
              <w:rPr>
                <w:rFonts w:eastAsia="仿宋_GB2312"/>
                <w:kern w:val="0"/>
                <w:szCs w:val="21"/>
              </w:rPr>
            </w:pPr>
            <w:r>
              <w:rPr>
                <w:rFonts w:eastAsia="仿宋_GB2312"/>
                <w:kern w:val="0"/>
                <w:szCs w:val="21"/>
              </w:rPr>
              <w:t>《中华人民共和国船舶吨税暂行条例》</w:t>
            </w:r>
          </w:p>
          <w:p>
            <w:pPr>
              <w:widowControl/>
              <w:rPr>
                <w:rFonts w:eastAsia="仿宋_GB2312"/>
                <w:kern w:val="0"/>
                <w:szCs w:val="21"/>
              </w:rPr>
            </w:pPr>
            <w:r>
              <w:rPr>
                <w:rFonts w:eastAsia="仿宋_GB2312"/>
                <w:kern w:val="0"/>
                <w:szCs w:val="21"/>
              </w:rPr>
              <w:t>《中华人民共和国反倾销条例》</w:t>
            </w:r>
          </w:p>
          <w:p>
            <w:pPr>
              <w:widowControl/>
              <w:rPr>
                <w:rFonts w:eastAsia="仿宋_GB2312"/>
                <w:kern w:val="0"/>
                <w:szCs w:val="21"/>
              </w:rPr>
            </w:pPr>
            <w:r>
              <w:rPr>
                <w:rFonts w:eastAsia="仿宋_GB2312"/>
                <w:kern w:val="0"/>
                <w:szCs w:val="21"/>
              </w:rPr>
              <w:t>《中华人民共和国反补贴条例》</w:t>
            </w:r>
          </w:p>
          <w:p>
            <w:pPr>
              <w:widowControl/>
              <w:rPr>
                <w:rFonts w:eastAsia="仿宋_GB2312"/>
                <w:kern w:val="0"/>
                <w:szCs w:val="21"/>
              </w:rPr>
            </w:pPr>
            <w:r>
              <w:rPr>
                <w:rFonts w:eastAsia="仿宋_GB2312"/>
                <w:kern w:val="0"/>
                <w:szCs w:val="21"/>
              </w:rPr>
              <w:t>《中华人民共和国海关进出口货物征税管理办法》（海关总署令第124号）</w:t>
            </w:r>
          </w:p>
          <w:p>
            <w:pPr>
              <w:widowControl/>
              <w:rPr>
                <w:rFonts w:eastAsia="仿宋_GB2312"/>
                <w:kern w:val="0"/>
                <w:szCs w:val="21"/>
              </w:rPr>
            </w:pPr>
            <w:r>
              <w:rPr>
                <w:rFonts w:eastAsia="仿宋_GB2312"/>
                <w:kern w:val="0"/>
                <w:szCs w:val="21"/>
              </w:rPr>
              <w:t>《中华人民共和国海关进出口货物减免税管理办法》（海关总署令第245号）</w:t>
            </w:r>
          </w:p>
        </w:tc>
        <w:tc>
          <w:tcPr>
            <w:tcW w:w="3068" w:type="dxa"/>
            <w:noWrap w:val="0"/>
            <w:vAlign w:val="center"/>
          </w:tcPr>
          <w:p>
            <w:pPr>
              <w:widowControl/>
              <w:rPr>
                <w:rFonts w:eastAsia="仿宋_GB2312"/>
                <w:kern w:val="0"/>
                <w:szCs w:val="21"/>
              </w:rPr>
            </w:pPr>
            <w:r>
              <w:rPr>
                <w:rFonts w:eastAsia="仿宋_GB2312"/>
                <w:kern w:val="0"/>
                <w:szCs w:val="21"/>
              </w:rPr>
              <w:t>税款类保证金是海关税款担保的一种，包括征管、审价、反倾销反补贴、归类、原产地、减免税货物税款担保等类型，担保金额按照下列标准确定：</w:t>
            </w:r>
          </w:p>
          <w:p>
            <w:pPr>
              <w:widowControl/>
              <w:rPr>
                <w:rFonts w:eastAsia="仿宋_GB2312"/>
                <w:kern w:val="0"/>
                <w:szCs w:val="21"/>
              </w:rPr>
            </w:pPr>
            <w:r>
              <w:rPr>
                <w:rFonts w:eastAsia="仿宋_GB2312"/>
                <w:kern w:val="0"/>
                <w:szCs w:val="21"/>
              </w:rPr>
              <w:t>1.为提前放行货物提供的担保，担保金额不得超过可能承担的最高税款总额；</w:t>
            </w:r>
          </w:p>
          <w:p>
            <w:pPr>
              <w:widowControl/>
              <w:rPr>
                <w:rFonts w:eastAsia="仿宋_GB2312"/>
                <w:kern w:val="0"/>
                <w:szCs w:val="21"/>
              </w:rPr>
            </w:pPr>
            <w:r>
              <w:rPr>
                <w:rFonts w:eastAsia="仿宋_GB2312"/>
                <w:kern w:val="0"/>
                <w:szCs w:val="21"/>
              </w:rPr>
              <w:t>2.临时反倾销担保金额应当不超过商务部初裁决定确定的倾销幅度。临时反补贴担保金额由国务院关税税则委员会决定;</w:t>
            </w:r>
          </w:p>
          <w:p>
            <w:pPr>
              <w:widowControl/>
              <w:rPr>
                <w:rFonts w:eastAsia="仿宋_GB2312"/>
                <w:kern w:val="0"/>
                <w:szCs w:val="21"/>
              </w:rPr>
            </w:pPr>
            <w:r>
              <w:rPr>
                <w:rFonts w:eastAsia="仿宋_GB2312"/>
                <w:kern w:val="0"/>
                <w:szCs w:val="21"/>
              </w:rPr>
              <w:t>3.将减免税货物向银行或者非银行金融机构办理贷款抵押，或将减免税货物移作他用但移作他用时间不能确定的，税款担保金额不得超过减免税货物剩余监管年限可能需要补缴的最高税款总额</w:t>
            </w:r>
          </w:p>
        </w:tc>
        <w:tc>
          <w:tcPr>
            <w:tcW w:w="1827" w:type="dxa"/>
            <w:noWrap w:val="0"/>
            <w:vAlign w:val="center"/>
          </w:tcPr>
          <w:p>
            <w:pPr>
              <w:widowControl/>
              <w:rPr>
                <w:rFonts w:eastAsia="仿宋_GB2312"/>
                <w:kern w:val="0"/>
                <w:szCs w:val="21"/>
              </w:rPr>
            </w:pPr>
            <w:r>
              <w:rPr>
                <w:rFonts w:eastAsia="仿宋_GB2312"/>
                <w:kern w:val="0"/>
                <w:szCs w:val="21"/>
              </w:rPr>
              <w:t>除涉及临时反倾销、临时反补贴措施以外（按照商务部公告要求，企业应向海关提供保证金），</w:t>
            </w:r>
            <w:r>
              <w:rPr>
                <w:rFonts w:hint="eastAsia" w:eastAsia="仿宋_GB2312"/>
                <w:kern w:val="0"/>
                <w:szCs w:val="21"/>
              </w:rPr>
              <w:t>企业</w:t>
            </w:r>
            <w:r>
              <w:rPr>
                <w:rFonts w:eastAsia="仿宋_GB2312"/>
                <w:kern w:val="0"/>
                <w:szCs w:val="21"/>
              </w:rPr>
              <w:t>可自主选择现金、保函（保险）等方式提供担保</w:t>
            </w:r>
          </w:p>
        </w:tc>
        <w:tc>
          <w:tcPr>
            <w:tcW w:w="2118" w:type="dxa"/>
            <w:noWrap w:val="0"/>
            <w:vAlign w:val="center"/>
          </w:tcPr>
          <w:p>
            <w:pPr>
              <w:widowControl/>
              <w:rPr>
                <w:rFonts w:eastAsia="仿宋_GB2312"/>
                <w:kern w:val="0"/>
                <w:szCs w:val="21"/>
              </w:rPr>
            </w:pPr>
            <w:r>
              <w:rPr>
                <w:rFonts w:eastAsia="仿宋_GB2312"/>
                <w:kern w:val="0"/>
                <w:szCs w:val="21"/>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05" w:type="dxa"/>
            <w:noWrap w:val="0"/>
            <w:vAlign w:val="center"/>
          </w:tcPr>
          <w:p>
            <w:pPr>
              <w:widowControl/>
              <w:rPr>
                <w:rFonts w:eastAsia="仿宋_GB2312"/>
                <w:kern w:val="0"/>
                <w:szCs w:val="21"/>
              </w:rPr>
            </w:pPr>
            <w:r>
              <w:rPr>
                <w:rFonts w:eastAsia="仿宋_GB2312"/>
                <w:kern w:val="0"/>
                <w:szCs w:val="21"/>
              </w:rPr>
              <w:t>有下列情形之一的，海关应当书面通知当事人办理担保财产、权利退还手续：</w:t>
            </w:r>
          </w:p>
          <w:p>
            <w:pPr>
              <w:widowControl/>
              <w:rPr>
                <w:rFonts w:eastAsia="仿宋_GB2312"/>
                <w:kern w:val="0"/>
                <w:szCs w:val="21"/>
              </w:rPr>
            </w:pPr>
            <w:r>
              <w:rPr>
                <w:rFonts w:eastAsia="仿宋_GB2312"/>
                <w:kern w:val="0"/>
                <w:szCs w:val="21"/>
              </w:rPr>
              <w:t>1.当事人已经履行有关法律义务的；</w:t>
            </w:r>
          </w:p>
          <w:p>
            <w:pPr>
              <w:widowControl/>
              <w:rPr>
                <w:rFonts w:eastAsia="仿宋_GB2312"/>
                <w:kern w:val="0"/>
                <w:szCs w:val="21"/>
              </w:rPr>
            </w:pPr>
            <w:r>
              <w:rPr>
                <w:rFonts w:eastAsia="仿宋_GB2312"/>
                <w:kern w:val="0"/>
                <w:szCs w:val="21"/>
              </w:rPr>
              <w:t>2.当事人不再从事特定海关业务的；</w:t>
            </w:r>
          </w:p>
          <w:p>
            <w:pPr>
              <w:widowControl/>
              <w:rPr>
                <w:rFonts w:eastAsia="仿宋_GB2312"/>
                <w:kern w:val="0"/>
                <w:szCs w:val="21"/>
              </w:rPr>
            </w:pPr>
            <w:r>
              <w:rPr>
                <w:rFonts w:eastAsia="仿宋_GB2312"/>
                <w:kern w:val="0"/>
                <w:szCs w:val="21"/>
              </w:rPr>
              <w:t>3.担保财产、权利被海关采取抵缴措施后仍有剩余的；</w:t>
            </w:r>
          </w:p>
          <w:p>
            <w:pPr>
              <w:widowControl/>
              <w:rPr>
                <w:rFonts w:eastAsia="仿宋_GB2312"/>
                <w:kern w:val="0"/>
                <w:szCs w:val="21"/>
              </w:rPr>
            </w:pPr>
            <w:r>
              <w:rPr>
                <w:rFonts w:eastAsia="仿宋_GB2312"/>
                <w:kern w:val="0"/>
                <w:szCs w:val="21"/>
              </w:rPr>
              <w:t>4.其他需要退还的情形。</w:t>
            </w:r>
          </w:p>
          <w:p>
            <w:pPr>
              <w:widowControl/>
              <w:rPr>
                <w:rFonts w:eastAsia="仿宋_GB2312"/>
                <w:kern w:val="0"/>
                <w:szCs w:val="21"/>
              </w:rPr>
            </w:pPr>
            <w:r>
              <w:rPr>
                <w:rFonts w:eastAsia="仿宋_GB2312"/>
                <w:kern w:val="0"/>
                <w:szCs w:val="21"/>
              </w:rPr>
              <w:t>在海关批准的担保期限内，纳税义务人未履行纳税义务，对收取税款保证金的，海关应当自担保期限届满之日起5个工作日内完成保证金转为税款的相关手续</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18</w:t>
            </w:r>
          </w:p>
        </w:tc>
        <w:tc>
          <w:tcPr>
            <w:tcW w:w="1320" w:type="dxa"/>
            <w:noWrap w:val="0"/>
            <w:vAlign w:val="center"/>
          </w:tcPr>
          <w:p>
            <w:pPr>
              <w:widowControl/>
              <w:rPr>
                <w:rFonts w:eastAsia="仿宋_GB2312"/>
                <w:kern w:val="0"/>
                <w:szCs w:val="21"/>
              </w:rPr>
            </w:pPr>
            <w:r>
              <w:rPr>
                <w:rFonts w:eastAsia="仿宋_GB2312"/>
                <w:kern w:val="0"/>
                <w:szCs w:val="21"/>
              </w:rPr>
              <w:t>海关案件类保证金</w:t>
            </w:r>
          </w:p>
        </w:tc>
        <w:tc>
          <w:tcPr>
            <w:tcW w:w="1455" w:type="dxa"/>
            <w:noWrap w:val="0"/>
            <w:vAlign w:val="center"/>
          </w:tcPr>
          <w:p>
            <w:pPr>
              <w:widowControl/>
              <w:jc w:val="center"/>
              <w:rPr>
                <w:rFonts w:eastAsia="仿宋_GB2312"/>
                <w:kern w:val="0"/>
                <w:szCs w:val="21"/>
              </w:rPr>
            </w:pPr>
            <w:r>
              <w:rPr>
                <w:rFonts w:eastAsia="仿宋_GB2312"/>
                <w:kern w:val="0"/>
                <w:szCs w:val="21"/>
              </w:rPr>
              <w:t>海关总署</w:t>
            </w:r>
          </w:p>
        </w:tc>
        <w:tc>
          <w:tcPr>
            <w:tcW w:w="1800" w:type="dxa"/>
            <w:noWrap w:val="0"/>
            <w:vAlign w:val="center"/>
          </w:tcPr>
          <w:p>
            <w:pPr>
              <w:widowControl/>
              <w:rPr>
                <w:rFonts w:eastAsia="仿宋_GB2312"/>
                <w:kern w:val="0"/>
                <w:szCs w:val="21"/>
              </w:rPr>
            </w:pPr>
            <w:r>
              <w:rPr>
                <w:rFonts w:eastAsia="仿宋_GB2312"/>
                <w:kern w:val="0"/>
                <w:szCs w:val="21"/>
              </w:rPr>
              <w:t>《中华人民共和国海关事务担保条例》</w:t>
            </w:r>
          </w:p>
          <w:p>
            <w:pPr>
              <w:widowControl/>
              <w:rPr>
                <w:rFonts w:eastAsia="仿宋_GB2312"/>
                <w:kern w:val="0"/>
                <w:szCs w:val="21"/>
              </w:rPr>
            </w:pPr>
            <w:r>
              <w:rPr>
                <w:rFonts w:eastAsia="仿宋_GB2312"/>
                <w:kern w:val="0"/>
                <w:szCs w:val="21"/>
              </w:rPr>
              <w:t>《中华人民共和国知识产权海关保护条例》</w:t>
            </w:r>
          </w:p>
          <w:p>
            <w:pPr>
              <w:widowControl/>
              <w:rPr>
                <w:rFonts w:eastAsia="仿宋_GB2312"/>
                <w:kern w:val="0"/>
                <w:szCs w:val="21"/>
              </w:rPr>
            </w:pPr>
            <w:r>
              <w:rPr>
                <w:rFonts w:eastAsia="仿宋_GB2312"/>
                <w:kern w:val="0"/>
                <w:szCs w:val="21"/>
              </w:rPr>
              <w:t>《中华人民共和国海关行政处罚实施条例》</w:t>
            </w:r>
          </w:p>
          <w:p>
            <w:pPr>
              <w:widowControl/>
              <w:rPr>
                <w:rFonts w:eastAsia="仿宋_GB2312"/>
                <w:kern w:val="0"/>
                <w:szCs w:val="21"/>
              </w:rPr>
            </w:pPr>
            <w:r>
              <w:rPr>
                <w:rFonts w:eastAsia="仿宋_GB2312"/>
                <w:kern w:val="0"/>
                <w:szCs w:val="21"/>
              </w:rPr>
              <w:t>《中华人民共和国海关关于&lt;中华人民共和国知识产权海关保护条例&gt;的实施办法》(海关总署令第183号)</w:t>
            </w:r>
          </w:p>
          <w:p>
            <w:pPr>
              <w:widowControl/>
              <w:rPr>
                <w:rFonts w:eastAsia="仿宋_GB2312"/>
                <w:kern w:val="0"/>
                <w:szCs w:val="21"/>
              </w:rPr>
            </w:pPr>
            <w:r>
              <w:rPr>
                <w:rFonts w:eastAsia="仿宋_GB2312"/>
                <w:kern w:val="0"/>
                <w:szCs w:val="21"/>
              </w:rPr>
              <w:t>《中华人民共和国海关法》《中华人民共和国海关办理行政处罚案件程序规定》（海关总署令第250号）</w:t>
            </w:r>
          </w:p>
        </w:tc>
        <w:tc>
          <w:tcPr>
            <w:tcW w:w="3068" w:type="dxa"/>
            <w:noWrap w:val="0"/>
            <w:vAlign w:val="center"/>
          </w:tcPr>
          <w:p>
            <w:pPr>
              <w:widowControl/>
              <w:spacing w:line="300" w:lineRule="exact"/>
              <w:rPr>
                <w:rFonts w:eastAsia="仿宋_GB2312"/>
                <w:kern w:val="0"/>
                <w:szCs w:val="21"/>
              </w:rPr>
            </w:pPr>
            <w:r>
              <w:rPr>
                <w:rFonts w:eastAsia="仿宋_GB2312"/>
                <w:kern w:val="0"/>
                <w:szCs w:val="21"/>
              </w:rPr>
              <w:t>案件类保证金包括知识产权海关保护保证金、知识产权反担保担保金和其他案件类保证金，征收标准为：</w:t>
            </w:r>
          </w:p>
          <w:p>
            <w:pPr>
              <w:widowControl/>
              <w:spacing w:line="300" w:lineRule="exact"/>
              <w:rPr>
                <w:rFonts w:eastAsia="仿宋_GB2312"/>
                <w:kern w:val="0"/>
                <w:szCs w:val="21"/>
              </w:rPr>
            </w:pPr>
            <w:r>
              <w:rPr>
                <w:rFonts w:eastAsia="仿宋_GB2312"/>
                <w:kern w:val="0"/>
                <w:szCs w:val="21"/>
              </w:rPr>
              <w:t>1.按照依申请保护的知识产权海关保护保证金和知识产权反担保担保金收取标准为与被扣货物等值</w:t>
            </w:r>
            <w:r>
              <w:rPr>
                <w:rFonts w:hint="eastAsia" w:eastAsia="仿宋_GB2312"/>
                <w:kern w:val="0"/>
                <w:szCs w:val="21"/>
              </w:rPr>
              <w:t>；</w:t>
            </w:r>
          </w:p>
          <w:p>
            <w:pPr>
              <w:widowControl/>
              <w:spacing w:line="300" w:lineRule="exact"/>
              <w:rPr>
                <w:rFonts w:eastAsia="仿宋_GB2312"/>
                <w:kern w:val="0"/>
                <w:szCs w:val="21"/>
              </w:rPr>
            </w:pPr>
            <w:r>
              <w:rPr>
                <w:rFonts w:eastAsia="仿宋_GB2312"/>
                <w:kern w:val="0"/>
                <w:szCs w:val="21"/>
              </w:rPr>
              <w:t>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w:t>
            </w:r>
            <w:r>
              <w:rPr>
                <w:rFonts w:hint="eastAsia" w:eastAsia="仿宋_GB2312"/>
                <w:kern w:val="0"/>
                <w:szCs w:val="21"/>
              </w:rPr>
              <w:t>；</w:t>
            </w:r>
          </w:p>
          <w:p>
            <w:pPr>
              <w:widowControl/>
              <w:spacing w:line="300" w:lineRule="exact"/>
              <w:rPr>
                <w:rFonts w:eastAsia="仿宋_GB2312"/>
                <w:kern w:val="0"/>
                <w:szCs w:val="21"/>
              </w:rPr>
            </w:pPr>
            <w:r>
              <w:rPr>
                <w:rFonts w:eastAsia="仿宋_GB2312"/>
                <w:kern w:val="0"/>
                <w:szCs w:val="21"/>
              </w:rPr>
              <w:t>3.</w:t>
            </w:r>
            <w:r>
              <w:rPr>
                <w:rFonts w:hint="eastAsia" w:ascii="仿宋_GB2312" w:eastAsia="仿宋_GB2312" w:cs="仿宋_GB2312"/>
                <w:kern w:val="0"/>
                <w:szCs w:val="21"/>
              </w:rPr>
              <w:t>其他案件类需要提供原则上不低于海关总署规定的可能科处处罚金额的保证金或者其他担保，且应当在海关作出处理决定前缴纳</w:t>
            </w:r>
            <w:r>
              <w:rPr>
                <w:rFonts w:hint="eastAsia" w:eastAsia="仿宋_GB2312"/>
                <w:kern w:val="0"/>
                <w:szCs w:val="21"/>
              </w:rPr>
              <w:t>；</w:t>
            </w:r>
          </w:p>
          <w:p>
            <w:pPr>
              <w:widowControl/>
              <w:spacing w:line="300" w:lineRule="exact"/>
              <w:rPr>
                <w:rFonts w:eastAsia="仿宋_GB2312"/>
                <w:kern w:val="0"/>
                <w:szCs w:val="21"/>
              </w:rPr>
            </w:pPr>
            <w:r>
              <w:rPr>
                <w:rFonts w:eastAsia="仿宋_GB2312"/>
                <w:kern w:val="0"/>
                <w:szCs w:val="21"/>
              </w:rPr>
              <w:t>4.经海关总署核准总担保的，对于商标权保护的货物无需另行提交担保</w:t>
            </w:r>
          </w:p>
        </w:tc>
        <w:tc>
          <w:tcPr>
            <w:tcW w:w="1827" w:type="dxa"/>
            <w:noWrap w:val="0"/>
            <w:vAlign w:val="center"/>
          </w:tcPr>
          <w:p>
            <w:pPr>
              <w:widowControl/>
              <w:rPr>
                <w:rFonts w:eastAsia="仿宋_GB2312"/>
                <w:kern w:val="0"/>
                <w:szCs w:val="21"/>
              </w:rPr>
            </w:pPr>
            <w:r>
              <w:rPr>
                <w:rFonts w:eastAsia="仿宋_GB2312"/>
                <w:kern w:val="0"/>
                <w:szCs w:val="21"/>
              </w:rPr>
              <w:t>知识产权海关保护保证金：可自主选择现金、保函等方式提供担保</w:t>
            </w:r>
          </w:p>
          <w:p>
            <w:pPr>
              <w:widowControl/>
              <w:rPr>
                <w:rFonts w:eastAsia="仿宋_GB2312"/>
                <w:kern w:val="0"/>
                <w:szCs w:val="21"/>
              </w:rPr>
            </w:pPr>
            <w:r>
              <w:rPr>
                <w:rFonts w:eastAsia="仿宋_GB2312"/>
                <w:kern w:val="0"/>
                <w:szCs w:val="21"/>
              </w:rPr>
              <w:t>知识产权反担保担保金：现金形式提供担保。</w:t>
            </w:r>
          </w:p>
          <w:p>
            <w:pPr>
              <w:widowControl/>
              <w:rPr>
                <w:rFonts w:eastAsia="仿宋_GB2312"/>
                <w:kern w:val="0"/>
                <w:szCs w:val="21"/>
              </w:rPr>
            </w:pPr>
            <w:r>
              <w:rPr>
                <w:rFonts w:eastAsia="仿宋_GB2312"/>
                <w:kern w:val="0"/>
                <w:szCs w:val="21"/>
              </w:rPr>
              <w:t>行政处罚案件类保证金：可自主选择现金、保函等方式提供担保</w:t>
            </w:r>
          </w:p>
          <w:p>
            <w:pPr>
              <w:widowControl/>
              <w:rPr>
                <w:rFonts w:eastAsia="仿宋_GB2312"/>
                <w:kern w:val="0"/>
                <w:szCs w:val="21"/>
              </w:rPr>
            </w:pPr>
          </w:p>
        </w:tc>
        <w:tc>
          <w:tcPr>
            <w:tcW w:w="2118" w:type="dxa"/>
            <w:noWrap w:val="0"/>
            <w:vAlign w:val="center"/>
          </w:tcPr>
          <w:p>
            <w:pPr>
              <w:widowControl/>
              <w:rPr>
                <w:rFonts w:eastAsia="仿宋_GB2312"/>
                <w:kern w:val="0"/>
                <w:szCs w:val="21"/>
              </w:rPr>
            </w:pPr>
            <w:r>
              <w:rPr>
                <w:rFonts w:eastAsia="仿宋_GB2312"/>
                <w:kern w:val="0"/>
                <w:szCs w:val="21"/>
              </w:rPr>
              <w:t>海关告知当事人提交保证金的金额。当事人交纳保证金后，由海关出具保证金收据</w:t>
            </w:r>
          </w:p>
        </w:tc>
        <w:tc>
          <w:tcPr>
            <w:tcW w:w="2505" w:type="dxa"/>
            <w:noWrap w:val="0"/>
            <w:vAlign w:val="center"/>
          </w:tcPr>
          <w:p>
            <w:pPr>
              <w:widowControl/>
              <w:rPr>
                <w:rFonts w:eastAsia="仿宋_GB2312"/>
                <w:kern w:val="0"/>
                <w:szCs w:val="21"/>
              </w:rPr>
            </w:pPr>
            <w:r>
              <w:rPr>
                <w:rFonts w:eastAsia="仿宋_GB2312"/>
                <w:kern w:val="0"/>
                <w:szCs w:val="21"/>
              </w:rPr>
              <w:t>1.知识产权海关保护保证金自权利人结清货物处置等有关费用后由海关返还，或根据法院要求执行。</w:t>
            </w:r>
          </w:p>
          <w:p>
            <w:pPr>
              <w:widowControl/>
              <w:rPr>
                <w:rFonts w:eastAsia="仿宋_GB2312"/>
                <w:kern w:val="0"/>
                <w:szCs w:val="21"/>
              </w:rPr>
            </w:pPr>
            <w:r>
              <w:rPr>
                <w:rFonts w:eastAsia="仿宋_GB2312"/>
                <w:kern w:val="0"/>
                <w:szCs w:val="21"/>
              </w:rPr>
              <w:t>2.对于反担保放行货物，权利人未在海关放行货物书面通知送达之日起30个工作日内向海关提交人民法院受理案件通知书复印件的，海关应当返还知识产权反担保担保金；权利人按规定向海关提交人民法院受理案件通知书复印件的，海关根据人民法院判决结果处理知识产权反担保担保金。</w:t>
            </w:r>
          </w:p>
          <w:p>
            <w:pPr>
              <w:widowControl/>
              <w:rPr>
                <w:rFonts w:eastAsia="仿宋_GB2312"/>
                <w:kern w:val="0"/>
                <w:szCs w:val="21"/>
              </w:rPr>
            </w:pPr>
            <w:r>
              <w:rPr>
                <w:rFonts w:eastAsia="仿宋_GB2312"/>
                <w:kern w:val="0"/>
                <w:szCs w:val="21"/>
              </w:rPr>
              <w:t>3.其他案件类保证金在当事人履行完有关法律义务后返还。</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614" w:type="dxa"/>
            <w:noWrap w:val="0"/>
            <w:vAlign w:val="center"/>
          </w:tcPr>
          <w:p>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19</w:t>
            </w:r>
          </w:p>
        </w:tc>
        <w:tc>
          <w:tcPr>
            <w:tcW w:w="1320" w:type="dxa"/>
            <w:noWrap w:val="0"/>
            <w:vAlign w:val="center"/>
          </w:tcPr>
          <w:p>
            <w:pPr>
              <w:widowControl/>
              <w:rPr>
                <w:rFonts w:eastAsia="仿宋_GB2312"/>
                <w:kern w:val="0"/>
                <w:szCs w:val="21"/>
              </w:rPr>
            </w:pPr>
            <w:r>
              <w:rPr>
                <w:rFonts w:eastAsia="仿宋_GB2312"/>
                <w:kern w:val="0"/>
                <w:szCs w:val="21"/>
              </w:rPr>
              <w:t>旅游服务质量保证金</w:t>
            </w:r>
          </w:p>
        </w:tc>
        <w:tc>
          <w:tcPr>
            <w:tcW w:w="1455" w:type="dxa"/>
            <w:noWrap w:val="0"/>
            <w:vAlign w:val="center"/>
          </w:tcPr>
          <w:p>
            <w:pPr>
              <w:widowControl/>
              <w:jc w:val="center"/>
              <w:rPr>
                <w:rFonts w:eastAsia="仿宋_GB2312"/>
                <w:kern w:val="0"/>
                <w:szCs w:val="21"/>
              </w:rPr>
            </w:pPr>
            <w:r>
              <w:rPr>
                <w:rFonts w:eastAsia="仿宋_GB2312"/>
                <w:kern w:val="0"/>
                <w:szCs w:val="21"/>
              </w:rPr>
              <w:t>文化和旅游部</w:t>
            </w:r>
          </w:p>
        </w:tc>
        <w:tc>
          <w:tcPr>
            <w:tcW w:w="1800" w:type="dxa"/>
            <w:noWrap w:val="0"/>
            <w:vAlign w:val="center"/>
          </w:tcPr>
          <w:p>
            <w:pPr>
              <w:widowControl/>
              <w:rPr>
                <w:rFonts w:eastAsia="仿宋_GB2312"/>
                <w:kern w:val="0"/>
                <w:szCs w:val="21"/>
              </w:rPr>
            </w:pPr>
            <w:r>
              <w:rPr>
                <w:rFonts w:eastAsia="仿宋_GB2312"/>
                <w:kern w:val="0"/>
                <w:szCs w:val="21"/>
              </w:rPr>
              <w:t>《中华人民共和国旅游法》</w:t>
            </w:r>
          </w:p>
          <w:p>
            <w:pPr>
              <w:widowControl/>
              <w:rPr>
                <w:rFonts w:eastAsia="仿宋_GB2312"/>
                <w:kern w:val="0"/>
                <w:szCs w:val="21"/>
              </w:rPr>
            </w:pPr>
            <w:r>
              <w:rPr>
                <w:rFonts w:eastAsia="仿宋_GB2312"/>
                <w:kern w:val="0"/>
                <w:szCs w:val="21"/>
              </w:rPr>
              <w:t>《旅行社条例》</w:t>
            </w:r>
          </w:p>
        </w:tc>
        <w:tc>
          <w:tcPr>
            <w:tcW w:w="3068" w:type="dxa"/>
            <w:noWrap w:val="0"/>
            <w:vAlign w:val="center"/>
          </w:tcPr>
          <w:p>
            <w:pPr>
              <w:widowControl/>
              <w:rPr>
                <w:rFonts w:eastAsia="仿宋_GB2312"/>
                <w:kern w:val="0"/>
                <w:szCs w:val="21"/>
              </w:rPr>
            </w:pPr>
            <w:r>
              <w:rPr>
                <w:rFonts w:eastAsia="仿宋_GB2312"/>
                <w:kern w:val="0"/>
                <w:szCs w:val="21"/>
              </w:rPr>
              <w:t>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w:t>
            </w:r>
            <w:r>
              <w:rPr>
                <w:rFonts w:hint="eastAsia" w:ascii="仿宋_GB2312" w:eastAsia="仿宋_GB2312" w:cs="仿宋_GB2312"/>
                <w:kern w:val="0"/>
                <w:szCs w:val="21"/>
              </w:rPr>
              <w:t>境</w:t>
            </w:r>
            <w:r>
              <w:rPr>
                <w:rFonts w:eastAsia="仿宋_GB2312"/>
                <w:kern w:val="0"/>
                <w:szCs w:val="21"/>
              </w:rPr>
              <w:t>旅游业务的分社，应当向其保证金账户增存人民币30万元</w:t>
            </w:r>
          </w:p>
        </w:tc>
        <w:tc>
          <w:tcPr>
            <w:tcW w:w="1827" w:type="dxa"/>
            <w:noWrap w:val="0"/>
            <w:vAlign w:val="center"/>
          </w:tcPr>
          <w:p>
            <w:pPr>
              <w:widowControl/>
              <w:rPr>
                <w:rFonts w:eastAsia="仿宋_GB2312"/>
                <w:kern w:val="0"/>
                <w:szCs w:val="21"/>
              </w:rPr>
            </w:pPr>
            <w:r>
              <w:rPr>
                <w:rFonts w:hint="eastAsia" w:eastAsia="仿宋_GB2312"/>
                <w:kern w:val="0"/>
                <w:szCs w:val="21"/>
              </w:rPr>
              <w:t>现金或银行担保形式交纳</w:t>
            </w:r>
          </w:p>
        </w:tc>
        <w:tc>
          <w:tcPr>
            <w:tcW w:w="2118" w:type="dxa"/>
            <w:noWrap w:val="0"/>
            <w:vAlign w:val="center"/>
          </w:tcPr>
          <w:p>
            <w:pPr>
              <w:widowControl/>
              <w:rPr>
                <w:rFonts w:eastAsia="仿宋_GB2312"/>
                <w:kern w:val="0"/>
                <w:szCs w:val="21"/>
              </w:rPr>
            </w:pPr>
            <w:r>
              <w:rPr>
                <w:rFonts w:eastAsia="仿宋_GB2312"/>
                <w:kern w:val="0"/>
                <w:szCs w:val="21"/>
              </w:rPr>
              <w:t>旅行社应当自取得旅行社业务经营许可证之日起3个工作日内，在国务院旅游行政主管部门指定的银行开设专门的旅游服务质量保证金账户，存入旅游服务质量保证金，或者向做出许可的旅游行政管理部门提交依法取得的担保额度不低于相应保证金数额的银行担保</w:t>
            </w:r>
          </w:p>
        </w:tc>
        <w:tc>
          <w:tcPr>
            <w:tcW w:w="2505" w:type="dxa"/>
            <w:noWrap w:val="0"/>
            <w:vAlign w:val="center"/>
          </w:tcPr>
          <w:p>
            <w:pPr>
              <w:widowControl/>
              <w:rPr>
                <w:rFonts w:eastAsia="仿宋_GB2312"/>
                <w:kern w:val="0"/>
                <w:szCs w:val="21"/>
              </w:rPr>
            </w:pPr>
            <w:r>
              <w:rPr>
                <w:rFonts w:eastAsia="仿宋_GB2312"/>
                <w:kern w:val="0"/>
                <w:szCs w:val="21"/>
              </w:rPr>
              <w:t>旅行社自交纳或者补足旅游服务质量保证金之日起三年内未因侵害旅游者合法权益受到行政机关罚款以上处罚的，旅游行政管理部门应当将保证金的交存数额降低50%，并向社会公告。旅行社可凭省、自治区、直辖市旅游行政管理部门出具的凭证减少其保证金。旅行社不再从事旅游业务的，凭旅游行政管理部门出具的凭证，向银行取回保证金</w:t>
            </w:r>
          </w:p>
        </w:tc>
        <w:tc>
          <w:tcPr>
            <w:tcW w:w="1305" w:type="dxa"/>
            <w:noWrap w:val="0"/>
            <w:vAlign w:val="center"/>
          </w:tcPr>
          <w:p>
            <w:pPr>
              <w:widowControl/>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4" w:type="dxa"/>
            <w:noWrap w:val="0"/>
            <w:vAlign w:val="center"/>
          </w:tcPr>
          <w:p>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20</w:t>
            </w:r>
          </w:p>
        </w:tc>
        <w:tc>
          <w:tcPr>
            <w:tcW w:w="1320" w:type="dxa"/>
            <w:noWrap w:val="0"/>
            <w:vAlign w:val="center"/>
          </w:tcPr>
          <w:p>
            <w:pPr>
              <w:widowControl/>
              <w:rPr>
                <w:rFonts w:eastAsia="仿宋_GB2312"/>
                <w:kern w:val="0"/>
                <w:szCs w:val="21"/>
              </w:rPr>
            </w:pPr>
            <w:r>
              <w:rPr>
                <w:rFonts w:eastAsia="仿宋_GB2312"/>
                <w:kern w:val="0"/>
                <w:szCs w:val="21"/>
              </w:rPr>
              <w:t>保险公司资本保证金</w:t>
            </w:r>
          </w:p>
        </w:tc>
        <w:tc>
          <w:tcPr>
            <w:tcW w:w="1455" w:type="dxa"/>
            <w:noWrap w:val="0"/>
            <w:vAlign w:val="center"/>
          </w:tcPr>
          <w:p>
            <w:pPr>
              <w:widowControl/>
              <w:jc w:val="center"/>
              <w:rPr>
                <w:rFonts w:eastAsia="仿宋_GB2312"/>
                <w:kern w:val="0"/>
                <w:szCs w:val="21"/>
              </w:rPr>
            </w:pPr>
            <w:r>
              <w:rPr>
                <w:rFonts w:eastAsia="仿宋_GB2312"/>
                <w:kern w:val="0"/>
                <w:szCs w:val="21"/>
              </w:rPr>
              <w:t>金融监管总局</w:t>
            </w:r>
          </w:p>
        </w:tc>
        <w:tc>
          <w:tcPr>
            <w:tcW w:w="1800" w:type="dxa"/>
            <w:noWrap w:val="0"/>
            <w:vAlign w:val="center"/>
          </w:tcPr>
          <w:p>
            <w:pPr>
              <w:widowControl/>
              <w:rPr>
                <w:rFonts w:eastAsia="仿宋_GB2312"/>
                <w:kern w:val="0"/>
                <w:szCs w:val="21"/>
              </w:rPr>
            </w:pPr>
            <w:r>
              <w:rPr>
                <w:rFonts w:eastAsia="仿宋_GB2312"/>
                <w:kern w:val="0"/>
                <w:szCs w:val="21"/>
              </w:rPr>
              <w:t>《中华人民共和国保险法》</w:t>
            </w:r>
          </w:p>
          <w:p>
            <w:pPr>
              <w:widowControl/>
              <w:rPr>
                <w:rFonts w:eastAsia="仿宋_GB2312"/>
                <w:kern w:val="0"/>
                <w:szCs w:val="21"/>
              </w:rPr>
            </w:pPr>
            <w:r>
              <w:rPr>
                <w:rFonts w:eastAsia="仿宋_GB2312"/>
                <w:kern w:val="0"/>
                <w:szCs w:val="21"/>
              </w:rPr>
              <w:t>《中国保监会关于印发&lt;保险公司资本保证金管理办法&gt;的通知》（保监发〔2015〕37号）</w:t>
            </w:r>
          </w:p>
        </w:tc>
        <w:tc>
          <w:tcPr>
            <w:tcW w:w="3068" w:type="dxa"/>
            <w:noWrap w:val="0"/>
            <w:vAlign w:val="center"/>
          </w:tcPr>
          <w:p>
            <w:pPr>
              <w:widowControl/>
              <w:rPr>
                <w:rFonts w:eastAsia="仿宋_GB2312"/>
                <w:kern w:val="0"/>
                <w:szCs w:val="21"/>
              </w:rPr>
            </w:pPr>
            <w:r>
              <w:rPr>
                <w:rFonts w:eastAsia="仿宋_GB2312"/>
                <w:kern w:val="0"/>
                <w:szCs w:val="21"/>
              </w:rPr>
              <w:t>保险公司按照其注册资本总额的20%提取保证金</w:t>
            </w:r>
          </w:p>
        </w:tc>
        <w:tc>
          <w:tcPr>
            <w:tcW w:w="1827" w:type="dxa"/>
            <w:noWrap w:val="0"/>
            <w:vAlign w:val="center"/>
          </w:tcPr>
          <w:p>
            <w:pPr>
              <w:widowControl/>
              <w:jc w:val="center"/>
              <w:rPr>
                <w:rFonts w:eastAsia="仿宋_GB2312"/>
                <w:kern w:val="0"/>
                <w:szCs w:val="21"/>
              </w:rPr>
            </w:pPr>
            <w:r>
              <w:rPr>
                <w:rFonts w:eastAsia="仿宋_GB2312"/>
                <w:kern w:val="0"/>
                <w:szCs w:val="21"/>
              </w:rPr>
              <w:t>现金形式缴存</w:t>
            </w:r>
          </w:p>
        </w:tc>
        <w:tc>
          <w:tcPr>
            <w:tcW w:w="2118" w:type="dxa"/>
            <w:noWrap w:val="0"/>
            <w:vAlign w:val="center"/>
          </w:tcPr>
          <w:p>
            <w:pPr>
              <w:widowControl/>
              <w:rPr>
                <w:rFonts w:eastAsia="仿宋_GB2312"/>
                <w:kern w:val="0"/>
                <w:szCs w:val="21"/>
              </w:rPr>
            </w:pPr>
            <w:r>
              <w:rPr>
                <w:rFonts w:eastAsia="仿宋_GB2312"/>
                <w:kern w:val="0"/>
                <w:szCs w:val="21"/>
              </w:rPr>
              <w:t>保险公司应在金融监管总局批准开业后30个工作日或批准增加注册资本（营运资本）后30个工作日内，将资本保证金按时足额存入符合金融监管总局规定的银行</w:t>
            </w:r>
          </w:p>
        </w:tc>
        <w:tc>
          <w:tcPr>
            <w:tcW w:w="2505" w:type="dxa"/>
            <w:noWrap w:val="0"/>
            <w:vAlign w:val="center"/>
          </w:tcPr>
          <w:p>
            <w:pPr>
              <w:widowControl/>
              <w:rPr>
                <w:rFonts w:eastAsia="仿宋_GB2312"/>
                <w:kern w:val="0"/>
                <w:szCs w:val="21"/>
              </w:rPr>
            </w:pPr>
            <w:r>
              <w:rPr>
                <w:rFonts w:eastAsia="仿宋_GB2312"/>
                <w:kern w:val="0"/>
                <w:szCs w:val="21"/>
              </w:rPr>
              <w:t>保险公司在清算时用来偿还债务，或注册资本（营运资金）减少时可动用资本保证金</w:t>
            </w:r>
          </w:p>
        </w:tc>
        <w:tc>
          <w:tcPr>
            <w:tcW w:w="1305" w:type="dxa"/>
            <w:noWrap w:val="0"/>
            <w:vAlign w:val="center"/>
          </w:tcPr>
          <w:p>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614" w:type="dxa"/>
            <w:noWrap w:val="0"/>
            <w:vAlign w:val="center"/>
          </w:tcPr>
          <w:p>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21</w:t>
            </w:r>
          </w:p>
        </w:tc>
        <w:tc>
          <w:tcPr>
            <w:tcW w:w="1320" w:type="dxa"/>
            <w:noWrap w:val="0"/>
            <w:vAlign w:val="center"/>
          </w:tcPr>
          <w:p>
            <w:pPr>
              <w:widowControl/>
              <w:rPr>
                <w:rFonts w:eastAsia="仿宋_GB2312"/>
                <w:kern w:val="0"/>
                <w:szCs w:val="21"/>
              </w:rPr>
            </w:pPr>
            <w:r>
              <w:rPr>
                <w:rFonts w:eastAsia="仿宋_GB2312"/>
                <w:kern w:val="0"/>
                <w:szCs w:val="21"/>
              </w:rPr>
              <w:t>保险代理机构和保险经纪人保证金</w:t>
            </w:r>
          </w:p>
        </w:tc>
        <w:tc>
          <w:tcPr>
            <w:tcW w:w="1455" w:type="dxa"/>
            <w:noWrap w:val="0"/>
            <w:vAlign w:val="center"/>
          </w:tcPr>
          <w:p>
            <w:pPr>
              <w:widowControl/>
              <w:jc w:val="center"/>
              <w:rPr>
                <w:rFonts w:eastAsia="仿宋_GB2312"/>
                <w:kern w:val="0"/>
                <w:szCs w:val="21"/>
              </w:rPr>
            </w:pPr>
            <w:r>
              <w:rPr>
                <w:rFonts w:eastAsia="仿宋_GB2312"/>
                <w:kern w:val="0"/>
                <w:szCs w:val="21"/>
              </w:rPr>
              <w:t>金融监管总局</w:t>
            </w:r>
          </w:p>
        </w:tc>
        <w:tc>
          <w:tcPr>
            <w:tcW w:w="1800" w:type="dxa"/>
            <w:noWrap w:val="0"/>
            <w:vAlign w:val="center"/>
          </w:tcPr>
          <w:p>
            <w:pPr>
              <w:widowControl/>
              <w:rPr>
                <w:rFonts w:eastAsia="仿宋_GB2312"/>
                <w:kern w:val="0"/>
                <w:szCs w:val="21"/>
              </w:rPr>
            </w:pPr>
            <w:r>
              <w:rPr>
                <w:rFonts w:eastAsia="仿宋_GB2312"/>
                <w:kern w:val="0"/>
                <w:szCs w:val="21"/>
              </w:rPr>
              <w:t>《中华人民共和国保险法》</w:t>
            </w:r>
          </w:p>
          <w:p>
            <w:pPr>
              <w:widowControl/>
              <w:rPr>
                <w:rFonts w:eastAsia="仿宋_GB2312"/>
                <w:kern w:val="0"/>
                <w:szCs w:val="21"/>
              </w:rPr>
            </w:pPr>
            <w:r>
              <w:rPr>
                <w:rFonts w:eastAsia="仿宋_GB2312"/>
                <w:kern w:val="0"/>
                <w:szCs w:val="21"/>
              </w:rPr>
              <w:t>《保险代理人监管规定》（中国银行保险监督管理委员会令2020年第11号</w:t>
            </w:r>
            <w:r>
              <w:rPr>
                <w:rFonts w:hint="eastAsia" w:eastAsia="仿宋_GB2312"/>
                <w:kern w:val="0"/>
                <w:szCs w:val="21"/>
              </w:rPr>
              <w:t>）</w:t>
            </w:r>
          </w:p>
          <w:p>
            <w:pPr>
              <w:widowControl/>
              <w:rPr>
                <w:rFonts w:eastAsia="仿宋_GB2312"/>
                <w:kern w:val="0"/>
                <w:szCs w:val="21"/>
              </w:rPr>
            </w:pPr>
            <w:r>
              <w:rPr>
                <w:rFonts w:eastAsia="仿宋_GB2312"/>
                <w:kern w:val="0"/>
                <w:szCs w:val="21"/>
              </w:rPr>
              <w:t>《保险经纪人监管规定》（中国保险监督管理委员会令2018年第3号</w:t>
            </w:r>
            <w:r>
              <w:rPr>
                <w:rFonts w:hint="eastAsia" w:eastAsia="仿宋_GB2312"/>
                <w:kern w:val="0"/>
                <w:szCs w:val="21"/>
              </w:rPr>
              <w:t>）</w:t>
            </w:r>
          </w:p>
          <w:p>
            <w:pPr>
              <w:widowControl/>
              <w:rPr>
                <w:rFonts w:eastAsia="仿宋_GB2312"/>
                <w:kern w:val="0"/>
                <w:szCs w:val="21"/>
              </w:rPr>
            </w:pPr>
          </w:p>
        </w:tc>
        <w:tc>
          <w:tcPr>
            <w:tcW w:w="3068" w:type="dxa"/>
            <w:noWrap w:val="0"/>
            <w:vAlign w:val="center"/>
          </w:tcPr>
          <w:p>
            <w:pPr>
              <w:widowControl/>
              <w:rPr>
                <w:rFonts w:eastAsia="仿宋_GB2312"/>
                <w:kern w:val="0"/>
                <w:szCs w:val="21"/>
              </w:rPr>
            </w:pPr>
            <w:r>
              <w:rPr>
                <w:rFonts w:eastAsia="仿宋_GB2312"/>
                <w:kern w:val="0"/>
                <w:szCs w:val="21"/>
              </w:rPr>
              <w:t>保险专业代理机构和保险经纪人应当缴存保证金或者投保职业责任保险。选择缴存保证金的，按保险专业代理机构和保险经纪人注册资本的5%缴存保证金</w:t>
            </w:r>
          </w:p>
        </w:tc>
        <w:tc>
          <w:tcPr>
            <w:tcW w:w="1827" w:type="dxa"/>
            <w:noWrap w:val="0"/>
            <w:vAlign w:val="center"/>
          </w:tcPr>
          <w:p>
            <w:pPr>
              <w:widowControl/>
              <w:jc w:val="center"/>
              <w:rPr>
                <w:rFonts w:eastAsia="仿宋_GB2312"/>
                <w:kern w:val="0"/>
                <w:szCs w:val="21"/>
              </w:rPr>
            </w:pPr>
            <w:r>
              <w:rPr>
                <w:rFonts w:eastAsia="仿宋_GB2312"/>
                <w:kern w:val="0"/>
                <w:szCs w:val="21"/>
              </w:rPr>
              <w:t>现金形式缴存</w:t>
            </w:r>
          </w:p>
        </w:tc>
        <w:tc>
          <w:tcPr>
            <w:tcW w:w="2118" w:type="dxa"/>
            <w:noWrap w:val="0"/>
            <w:vAlign w:val="center"/>
          </w:tcPr>
          <w:p>
            <w:pPr>
              <w:widowControl/>
              <w:rPr>
                <w:rFonts w:eastAsia="仿宋_GB2312"/>
                <w:kern w:val="0"/>
                <w:szCs w:val="21"/>
              </w:rPr>
            </w:pPr>
            <w:r>
              <w:rPr>
                <w:rFonts w:eastAsia="仿宋_GB2312"/>
                <w:kern w:val="0"/>
                <w:szCs w:val="21"/>
              </w:rPr>
              <w:t>保险专业代理机构、保险经纪人应当自取得许可证之日起20日内，以银行存款形式专户存储到商业银行或以金融监管总局认可的其他形式缴存，并自缴存保证金之日起10日内，将保证金协议存款复印件、保证金入账原始凭证复印件报送金融监管总局</w:t>
            </w:r>
          </w:p>
        </w:tc>
        <w:tc>
          <w:tcPr>
            <w:tcW w:w="2505" w:type="dxa"/>
            <w:noWrap w:val="0"/>
            <w:vAlign w:val="center"/>
          </w:tcPr>
          <w:p>
            <w:pPr>
              <w:widowControl/>
              <w:rPr>
                <w:rFonts w:eastAsia="仿宋_GB2312"/>
                <w:kern w:val="0"/>
                <w:szCs w:val="21"/>
              </w:rPr>
            </w:pPr>
            <w:r>
              <w:rPr>
                <w:rFonts w:eastAsia="仿宋_GB2312"/>
                <w:kern w:val="0"/>
                <w:szCs w:val="21"/>
              </w:rPr>
              <w:t>保险专业代理机构、保险经纪人在注册资本减少、许可证被注销、投保符合条件的职业责任险以及有金融监管总局规定的其他情形时可以动用保证金，并应自动用保证金之日起5日内书面报告金融监管总局</w:t>
            </w:r>
          </w:p>
        </w:tc>
        <w:tc>
          <w:tcPr>
            <w:tcW w:w="1305" w:type="dxa"/>
            <w:noWrap w:val="0"/>
            <w:vAlign w:val="center"/>
          </w:tcPr>
          <w:p>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bl>
    <w:p>
      <w:pPr>
        <w:rPr>
          <w:rFonts w:eastAsia="仿宋_GB2312"/>
          <w:sz w:val="32"/>
          <w:szCs w:val="32"/>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8"/>
        <w:szCs w:val="28"/>
      </w:rPr>
      <w:fldChar w:fldCharType="begin"/>
    </w:r>
    <w:r>
      <w:rPr>
        <w:sz w:val="28"/>
        <w:szCs w:val="28"/>
      </w:rPr>
      <w:instrText xml:space="preserve">PAGE   \* MERGEFORMAT</w:instrText>
    </w:r>
    <w:r>
      <w:rPr>
        <w:sz w:val="28"/>
        <w:szCs w:val="28"/>
      </w:rPr>
      <w:fldChar w:fldCharType="separate"/>
    </w:r>
    <w:r>
      <w:t>1</w:t>
    </w:r>
    <w:r>
      <w:rPr>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60"/>
    <w:rsid w:val="001F7A60"/>
    <w:rsid w:val="00591DFB"/>
    <w:rsid w:val="00775F93"/>
    <w:rsid w:val="00814123"/>
    <w:rsid w:val="00834EBD"/>
    <w:rsid w:val="19B2C6BE"/>
    <w:rsid w:val="2BB33EAD"/>
    <w:rsid w:val="2F7D6D58"/>
    <w:rsid w:val="33FE8327"/>
    <w:rsid w:val="3B4A67E5"/>
    <w:rsid w:val="3CE36F93"/>
    <w:rsid w:val="3DFF0D4C"/>
    <w:rsid w:val="5ECFDD2C"/>
    <w:rsid w:val="77791072"/>
    <w:rsid w:val="777AA2BA"/>
    <w:rsid w:val="79EF87E0"/>
    <w:rsid w:val="7A5F2DFE"/>
    <w:rsid w:val="7BE38E33"/>
    <w:rsid w:val="7DEE0B4A"/>
    <w:rsid w:val="7F76505F"/>
    <w:rsid w:val="7F7D801E"/>
    <w:rsid w:val="7F9FCE68"/>
    <w:rsid w:val="7FBB3CCE"/>
    <w:rsid w:val="7FCFD1B3"/>
    <w:rsid w:val="7FED55E9"/>
    <w:rsid w:val="BB7EFDF2"/>
    <w:rsid w:val="BDBDC48A"/>
    <w:rsid w:val="BFA05D19"/>
    <w:rsid w:val="DEE50523"/>
    <w:rsid w:val="DF3FF119"/>
    <w:rsid w:val="E6D70DE1"/>
    <w:rsid w:val="F6BFFA38"/>
    <w:rsid w:val="FEDF8E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2500" w:leftChars="25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8451</Words>
  <Characters>8636</Characters>
  <Lines>60</Lines>
  <Paragraphs>17</Paragraphs>
  <TotalTime>15</TotalTime>
  <ScaleCrop>false</ScaleCrop>
  <LinksUpToDate>false</LinksUpToDate>
  <CharactersWithSpaces>8636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2023-12-08T10:28:00Z</dcterms:created>
  <dc:creator>安宇宏</dc:creator>
  <cp:lastModifiedBy>gxg</cp:lastModifiedBy>
  <cp:lastPrinted>2025-07-14T11:26:00Z</cp:lastPrinted>
  <dcterms:modified xsi:type="dcterms:W3CDTF">2026-01-05T16:00:31Z</dcterms:modified>
  <dc:title>按照国务院减轻企业负担部际联席会议《2023年全国减轻企业负担专项行动实施方案》部署，决定对2017年工业和信息化部与财政部联合发布的《国务院部门涉企保证金目录清单》进行优化调整，现予以公告。2017年《国务院部门涉企保证金目录清单》同时废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75EA123465300E3B6C827F68238171BB</vt:lpwstr>
  </property>
  <property fmtid="{D5CDD505-2E9C-101B-9397-08002B2CF9AE}" pid="4" name="KSOTemplateDocerSaveRecord">
    <vt:lpwstr>eyJoZGlkIjoiNDgxNjFkZWVhNzVjMWJmZTM1ZDhmNTBhZjcwNDE0Y2UiLCJ1c2VySWQiOiIyMzY4Mzc0NzUifQ==</vt:lpwstr>
  </property>
</Properties>
</file>