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CFA7C">
      <w:pPr>
        <w:pStyle w:val="2"/>
        <w:bidi w:val="0"/>
      </w:pPr>
      <w:r>
        <w:t>鹤山市公路水运工程招标投标评定分离</w:t>
      </w:r>
    </w:p>
    <w:p w14:paraId="023FE879">
      <w:pPr>
        <w:pStyle w:val="2"/>
        <w:bidi w:val="0"/>
      </w:pPr>
      <w:r>
        <w:t>改革试点工作指引</w:t>
      </w:r>
    </w:p>
    <w:p w14:paraId="73E0B33E"/>
    <w:p w14:paraId="235D19BD">
      <w:pPr>
        <w:ind w:firstLine="640" w:firstLineChars="200"/>
        <w:rPr>
          <w:rFonts w:hint="eastAsia"/>
          <w:lang w:val="en-US" w:eastAsia="zh-CN"/>
        </w:rPr>
      </w:pPr>
      <w:r>
        <w:rPr>
          <w:rFonts w:hint="eastAsia"/>
          <w:lang w:val="en-US" w:eastAsia="zh-CN"/>
        </w:rPr>
        <w:t>为贯彻落实《国务院办公厅关于创新完善体制机制推动招标投标市场规范健康发展的意见》（国办发〔2024〕21号）、《鹤山市人民政府关于扩大鹤山市建设工程招标投标“评定分离”改革实施范围的通知》相关精神，落实招标人负责制，规范招标人行为和权利，防范廉政风险，实现招标人权责统一和招标项目“评优择优”目标，制定本指引。</w:t>
      </w:r>
    </w:p>
    <w:p w14:paraId="2BAC07B7">
      <w:pPr>
        <w:ind w:firstLine="640" w:firstLineChars="200"/>
        <w:rPr>
          <w:rFonts w:hint="eastAsia" w:ascii="黑体" w:hAnsi="黑体" w:eastAsia="黑体" w:cs="黑体"/>
          <w:lang w:val="en-US" w:eastAsia="zh-CN"/>
        </w:rPr>
      </w:pPr>
      <w:r>
        <w:rPr>
          <w:rFonts w:hint="eastAsia" w:ascii="黑体" w:hAnsi="黑体" w:eastAsia="黑体" w:cs="黑体"/>
          <w:lang w:val="en-US" w:eastAsia="zh-CN"/>
        </w:rPr>
        <w:t xml:space="preserve">一、落实招标人首要责任制 </w:t>
      </w:r>
    </w:p>
    <w:p w14:paraId="7E821E19">
      <w:pPr>
        <w:ind w:firstLine="640" w:firstLineChars="200"/>
        <w:rPr>
          <w:rFonts w:hint="eastAsia"/>
          <w:lang w:val="en-US" w:eastAsia="zh-CN"/>
        </w:rPr>
      </w:pPr>
      <w:r>
        <w:rPr>
          <w:rFonts w:hint="eastAsia"/>
          <w:lang w:val="en-US" w:eastAsia="zh-CN"/>
        </w:rPr>
        <w:t>实行评定分离的工程招标投标活动依法由招标人负责，招标人自主决定发起招标，自主组建招标监督小组、评标委员会、定标委员会，制定入围筛选办法、评标办法、定标办法，对招标过程和结果负责。招标人应自觉夯实招标投标活动中各方主体责任，禁止任何单位和个人以任何方式非法干涉招标投标活动。</w:t>
      </w:r>
    </w:p>
    <w:p w14:paraId="1A18D0BC">
      <w:pPr>
        <w:ind w:firstLine="640" w:firstLineChars="200"/>
        <w:rPr>
          <w:rFonts w:hint="eastAsia" w:ascii="黑体" w:hAnsi="黑体" w:eastAsia="黑体" w:cs="黑体"/>
          <w:lang w:val="en-US" w:eastAsia="zh-CN"/>
        </w:rPr>
      </w:pPr>
      <w:r>
        <w:rPr>
          <w:rFonts w:hint="eastAsia" w:ascii="黑体" w:hAnsi="黑体" w:eastAsia="黑体" w:cs="黑体"/>
          <w:lang w:val="en-US" w:eastAsia="zh-CN"/>
        </w:rPr>
        <w:t xml:space="preserve">二、组建招标监督小组 </w:t>
      </w:r>
    </w:p>
    <w:p w14:paraId="7DA43EB8">
      <w:p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（一）人员数量和组成 </w:t>
      </w:r>
    </w:p>
    <w:p w14:paraId="69BF1E67">
      <w:pPr>
        <w:ind w:firstLine="640" w:firstLineChars="200"/>
        <w:rPr>
          <w:rFonts w:hint="eastAsia"/>
          <w:lang w:val="en-US" w:eastAsia="zh-CN"/>
        </w:rPr>
      </w:pPr>
      <w:r>
        <w:rPr>
          <w:rFonts w:hint="eastAsia"/>
          <w:lang w:val="en-US" w:eastAsia="zh-CN"/>
        </w:rPr>
        <w:t>招标人应在招标公告发布前组建 3 人或以上的监督小组，人员可由招标人直接委派，也可以从招标人的上级管理单位、项目业主等单位补充委派，并确定一名监督小组组长负责统筹监督工作。</w:t>
      </w:r>
    </w:p>
    <w:p w14:paraId="5835102F">
      <w:p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（二）小组职责 </w:t>
      </w:r>
    </w:p>
    <w:p w14:paraId="2D8539E0">
      <w:pPr>
        <w:ind w:firstLine="640" w:firstLineChars="200"/>
        <w:rPr>
          <w:rFonts w:hint="eastAsia"/>
          <w:lang w:val="en-US" w:eastAsia="zh-CN"/>
        </w:rPr>
      </w:pPr>
      <w:r>
        <w:rPr>
          <w:rFonts w:hint="eastAsia"/>
          <w:lang w:val="en-US" w:eastAsia="zh-CN"/>
        </w:rPr>
        <w:t xml:space="preserve">1.监督小组对招标全过程进行监督，但不得就资格审查或者入围筛选、评标、定标涉及的实质内容发表意见或者参与评标委员会、定标委员会的讨论。特殊情况导致开标、入围筛选、评标或者定标无法继续进行的、相关人员存在违反程序及纪律的行为被指出后仍拒绝纠正的、发现招标投标活动存在其他违反相关规定行为的，招标监督小组应当如实记录并及时报告招标人单位主要负责人、行政监督部门。 </w:t>
      </w:r>
    </w:p>
    <w:p w14:paraId="79BA9028">
      <w:pPr>
        <w:ind w:firstLine="640" w:firstLineChars="200"/>
        <w:rPr>
          <w:rFonts w:hint="eastAsia"/>
          <w:lang w:val="en-US" w:eastAsia="zh-CN"/>
        </w:rPr>
      </w:pPr>
      <w:r>
        <w:rPr>
          <w:rFonts w:hint="eastAsia"/>
          <w:lang w:val="en-US" w:eastAsia="zh-CN"/>
        </w:rPr>
        <w:t xml:space="preserve">2.招标监督小组负责编制本招标项目的监督报告，并于提交招标投标情况书面报告时同步向项目招标投标行政监督部门提交。监督报告内容包括招标项目基本情况、招标过程描述、定标委员会成员是否按定标办法进行定标、监督小组成员名单、职务、联系方式，对招投标过程中的异常情况及处理措施的记录。 </w:t>
      </w:r>
    </w:p>
    <w:p w14:paraId="78F373F3">
      <w:p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（三）监督方式 </w:t>
      </w:r>
    </w:p>
    <w:p w14:paraId="7DC4DE16">
      <w:pPr>
        <w:ind w:firstLine="640" w:firstLineChars="200"/>
        <w:rPr>
          <w:rFonts w:hint="eastAsia"/>
          <w:lang w:val="en-US" w:eastAsia="zh-CN"/>
        </w:rPr>
      </w:pPr>
      <w:r>
        <w:rPr>
          <w:rFonts w:hint="eastAsia"/>
          <w:lang w:val="en-US" w:eastAsia="zh-CN"/>
        </w:rPr>
        <w:t xml:space="preserve">1.招标监督小组应监督招标人在招标公告发布前，事先制定定标办法，对定标的择优标准、定标因素等内容予以明确，并存档备查。 </w:t>
      </w:r>
    </w:p>
    <w:p w14:paraId="00F17D0D">
      <w:pPr>
        <w:ind w:firstLine="640" w:firstLineChars="200"/>
        <w:rPr>
          <w:rFonts w:hint="eastAsia"/>
          <w:lang w:val="en-US" w:eastAsia="zh-CN"/>
        </w:rPr>
      </w:pPr>
      <w:r>
        <w:rPr>
          <w:rFonts w:hint="eastAsia"/>
          <w:lang w:val="en-US" w:eastAsia="zh-CN"/>
        </w:rPr>
        <w:t xml:space="preserve">2.招标监督小组通过全程现场监督的方式对招标投标活动进行监督，招标投标各方应当自觉接受监督检查。 </w:t>
      </w:r>
    </w:p>
    <w:p w14:paraId="172FA1BC">
      <w:pPr>
        <w:ind w:firstLine="640" w:firstLineChars="200"/>
        <w:rPr>
          <w:rFonts w:hint="eastAsia" w:ascii="黑体" w:hAnsi="黑体" w:eastAsia="黑体" w:cs="黑体"/>
          <w:lang w:val="en-US" w:eastAsia="zh-CN"/>
        </w:rPr>
      </w:pPr>
      <w:r>
        <w:rPr>
          <w:rFonts w:hint="eastAsia" w:ascii="黑体" w:hAnsi="黑体" w:eastAsia="黑体" w:cs="黑体"/>
          <w:lang w:val="en-US" w:eastAsia="zh-CN"/>
        </w:rPr>
        <w:t xml:space="preserve">三、确定评标定标方案 </w:t>
      </w:r>
    </w:p>
    <w:p w14:paraId="61E42E7D">
      <w:pPr>
        <w:ind w:firstLine="640" w:firstLineChars="200"/>
        <w:rPr>
          <w:rFonts w:hint="eastAsia"/>
          <w:lang w:val="en-US" w:eastAsia="zh-CN"/>
        </w:rPr>
      </w:pPr>
      <w:r>
        <w:rPr>
          <w:rFonts w:hint="eastAsia"/>
          <w:lang w:val="en-US" w:eastAsia="zh-CN"/>
        </w:rPr>
        <w:t>招标人应根据项目实际，充分考虑项目建设质量、工期、投资及有关特殊要求，按照择优与竞价相结合原则制定相应的评标方案和定标方案，以达到最佳的招标效果。</w:t>
      </w:r>
    </w:p>
    <w:p w14:paraId="01032BAC">
      <w:p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（一）评标方案的制定 </w:t>
      </w:r>
    </w:p>
    <w:p w14:paraId="1E9C04FF">
      <w:pPr>
        <w:ind w:firstLine="640" w:firstLineChars="200"/>
        <w:rPr>
          <w:rFonts w:hint="eastAsia"/>
          <w:lang w:val="en-US" w:eastAsia="zh-CN"/>
        </w:rPr>
      </w:pPr>
      <w:r>
        <w:rPr>
          <w:rFonts w:hint="eastAsia"/>
          <w:lang w:val="en-US" w:eastAsia="zh-CN"/>
        </w:rPr>
        <w:t>1.评标办法。评标办法实施定量评审，评标委员会根据招标文件规定的方法进行评审、比较、打分，并推荐定标候选人。具体评标办法按《广东省公路工程施工招标文件范本》《广东省公路工程施工监理招标文件范本》等相应范本实施，由招标人在招标文件中明确。</w:t>
      </w:r>
    </w:p>
    <w:p w14:paraId="016708DC">
      <w:pPr>
        <w:ind w:firstLine="640" w:firstLineChars="200"/>
        <w:rPr>
          <w:rFonts w:hint="eastAsia"/>
          <w:lang w:val="en-US" w:eastAsia="zh-CN"/>
        </w:rPr>
      </w:pPr>
      <w:r>
        <w:rPr>
          <w:rFonts w:hint="eastAsia"/>
          <w:lang w:val="en-US" w:eastAsia="zh-CN"/>
        </w:rPr>
        <w:t>2.推荐定标候选人。评标委员会根据招标文件确定的评审顺序和评审标准，对投标人进行评价。按照投标人评审得分由高到低排序，推荐排名前 3-5 名作为定标候选人进入定标环节，具体数量应在招标文件中事先明确。由于评标和定标环节采用不同的评价标准，因此评标环节的得分及排序不作为后续定标的参考因素，不向定标委员会推送。</w:t>
      </w:r>
    </w:p>
    <w:p w14:paraId="58EDCE75">
      <w:p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（二）定标方案的制定 </w:t>
      </w:r>
    </w:p>
    <w:p w14:paraId="754E94DA">
      <w:pPr>
        <w:ind w:firstLine="640" w:firstLineChars="200"/>
        <w:rPr>
          <w:rFonts w:hint="eastAsia"/>
          <w:lang w:val="en-US" w:eastAsia="zh-CN"/>
        </w:rPr>
      </w:pPr>
      <w:r>
        <w:rPr>
          <w:rFonts w:hint="eastAsia"/>
          <w:lang w:val="en-US" w:eastAsia="zh-CN"/>
        </w:rPr>
        <w:t>招标人应当根据项目的特点，合理选用定量评价定标法、票决定标法等方式确定中标候选人及其排序，中标候选人应当不超过 3 个。</w:t>
      </w:r>
    </w:p>
    <w:p w14:paraId="087EB4F6">
      <w:pPr>
        <w:ind w:firstLine="640" w:firstLineChars="200"/>
        <w:rPr>
          <w:rFonts w:hint="eastAsia"/>
          <w:lang w:val="en-US" w:eastAsia="zh-CN"/>
        </w:rPr>
      </w:pPr>
      <w:r>
        <w:rPr>
          <w:rFonts w:hint="eastAsia"/>
          <w:lang w:val="en-US" w:eastAsia="zh-CN"/>
        </w:rPr>
        <w:t xml:space="preserve">1.定量评价定标法。定量评价定标法是通过对定标候选人进行定量评价以确定中标候选人及其排序的方法。由定标委员会根据招标文件规定的定标因素（参考附件1）以及评分细则（由招标人制定，作为招标人的内控机制），对定标候选人进行比较、打分，按照总得分对定标候选人排序。出现定标候选人分数相同的情况时，按照去掉一个最高分和一个最低分后的总分进行排名。 </w:t>
      </w:r>
    </w:p>
    <w:p w14:paraId="32D451C6">
      <w:pPr>
        <w:ind w:firstLine="640" w:firstLineChars="200"/>
        <w:rPr>
          <w:rFonts w:hint="eastAsia"/>
          <w:lang w:val="en-US" w:eastAsia="zh-CN"/>
        </w:rPr>
      </w:pPr>
      <w:r>
        <w:rPr>
          <w:rFonts w:hint="eastAsia"/>
          <w:lang w:val="en-US" w:eastAsia="zh-CN"/>
        </w:rPr>
        <w:t xml:space="preserve">2.票决定标法。票决定标法是通过择优投票确定中标候选人及其排序的方法。定标委员会根据招标文件规定的择优标准（参考附件2）对定标候选人进行评审比较，以票决择优方式确定定标候选人的排序。 </w:t>
      </w:r>
    </w:p>
    <w:p w14:paraId="519D81F4">
      <w:pPr>
        <w:ind w:firstLine="640" w:firstLineChars="200"/>
        <w:rPr>
          <w:rFonts w:hint="eastAsia"/>
          <w:lang w:val="en-US" w:eastAsia="zh-CN"/>
        </w:rPr>
      </w:pPr>
      <w:r>
        <w:rPr>
          <w:rFonts w:hint="eastAsia"/>
          <w:lang w:val="en-US" w:eastAsia="zh-CN"/>
        </w:rPr>
        <w:t>3.符合法律法规的其他定标办法。</w:t>
      </w:r>
    </w:p>
    <w:p w14:paraId="2197CDC0">
      <w:pPr>
        <w:ind w:firstLine="640" w:firstLineChars="200"/>
        <w:rPr>
          <w:rFonts w:hint="eastAsia" w:ascii="黑体" w:hAnsi="黑体" w:eastAsia="黑体" w:cs="黑体"/>
          <w:lang w:val="en-US" w:eastAsia="zh-CN"/>
        </w:rPr>
      </w:pPr>
      <w:r>
        <w:rPr>
          <w:rFonts w:hint="eastAsia" w:ascii="黑体" w:hAnsi="黑体" w:eastAsia="黑体" w:cs="黑体"/>
          <w:lang w:val="en-US" w:eastAsia="zh-CN"/>
        </w:rPr>
        <w:t>四、筛选程序</w:t>
      </w:r>
    </w:p>
    <w:p w14:paraId="3F9B4B14">
      <w:pPr>
        <w:ind w:firstLine="640" w:firstLineChars="200"/>
        <w:rPr>
          <w:rFonts w:hint="eastAsia"/>
          <w:lang w:val="en-US" w:eastAsia="zh-CN"/>
        </w:rPr>
      </w:pPr>
      <w:r>
        <w:rPr>
          <w:rFonts w:hint="eastAsia" w:ascii="楷体_GB2312" w:hAnsi="楷体_GB2312" w:eastAsia="楷体_GB2312" w:cs="楷体_GB2312"/>
          <w:lang w:val="en-US" w:eastAsia="zh-CN"/>
        </w:rPr>
        <w:t>（一）</w:t>
      </w:r>
      <w:r>
        <w:rPr>
          <w:rFonts w:hint="eastAsia"/>
          <w:lang w:val="en-US" w:eastAsia="zh-CN"/>
        </w:rPr>
        <w:t>初步评审合格的投标人小于等于15家时，全部入围后续评标程序。</w:t>
      </w:r>
    </w:p>
    <w:p w14:paraId="7DC95305">
      <w:pPr>
        <w:ind w:firstLine="640" w:firstLineChars="200"/>
        <w:rPr>
          <w:rFonts w:hint="eastAsia"/>
          <w:lang w:val="en-US" w:eastAsia="zh-CN"/>
        </w:rPr>
      </w:pPr>
      <w:r>
        <w:rPr>
          <w:rFonts w:hint="eastAsia" w:ascii="楷体_GB2312" w:hAnsi="楷体_GB2312" w:eastAsia="楷体_GB2312" w:cs="楷体_GB2312"/>
          <w:lang w:val="en-US" w:eastAsia="zh-CN"/>
        </w:rPr>
        <w:t>（二）</w:t>
      </w:r>
      <w:r>
        <w:rPr>
          <w:rFonts w:hint="eastAsia"/>
          <w:lang w:val="en-US" w:eastAsia="zh-CN"/>
        </w:rPr>
        <w:t>初步评审合格的投标人大于15家时，参照《江门市交通运输局关于公路工程施工、监理企业和试验检测机构信用评价的管理办法》或相关行业信用评价信息应用指引中诚信优先入围方法，选取15个正式投标人入围评标程序。</w:t>
      </w:r>
    </w:p>
    <w:p w14:paraId="7B96BEB0">
      <w:pPr>
        <w:ind w:firstLine="640" w:firstLineChars="200"/>
        <w:rPr>
          <w:rFonts w:hint="eastAsia" w:ascii="黑体" w:hAnsi="黑体" w:eastAsia="黑体" w:cs="黑体"/>
          <w:lang w:val="en-US" w:eastAsia="zh-CN"/>
        </w:rPr>
      </w:pPr>
      <w:r>
        <w:rPr>
          <w:rFonts w:hint="eastAsia" w:ascii="黑体" w:hAnsi="黑体" w:eastAsia="黑体" w:cs="黑体"/>
          <w:lang w:val="en-US" w:eastAsia="zh-CN"/>
        </w:rPr>
        <w:t xml:space="preserve">五、评标程序 </w:t>
      </w:r>
    </w:p>
    <w:p w14:paraId="5C5BCFE0">
      <w:p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（一）组建评标委员会 </w:t>
      </w:r>
    </w:p>
    <w:p w14:paraId="24E98B04">
      <w:pPr>
        <w:ind w:firstLine="640" w:firstLineChars="200"/>
        <w:rPr>
          <w:rFonts w:hint="eastAsia"/>
          <w:lang w:val="en-US" w:eastAsia="zh-CN"/>
        </w:rPr>
      </w:pPr>
      <w:r>
        <w:rPr>
          <w:rFonts w:hint="eastAsia"/>
          <w:lang w:val="en-US" w:eastAsia="zh-CN"/>
        </w:rPr>
        <w:t xml:space="preserve">评标由招标人依法组建的评标委员会负责。评标委员会由招标人代表及技术、经济等方面的专家组成，人数为 5 人或以上单数，其中招标人、招标代理机构以外的技术、经济等方面专家不得少于成员总数的三分之二。招标人可优先考虑从省专家库中抽取已实施或试行评定分离方式有关地区的评标专家，以便评标委员会更准确、更公正合理地执行评定分离方式，确保评标程序顺利进行。 </w:t>
      </w:r>
    </w:p>
    <w:p w14:paraId="0FCEE1B1">
      <w:p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（二）资格审查 </w:t>
      </w:r>
    </w:p>
    <w:p w14:paraId="3CD27741">
      <w:pPr>
        <w:ind w:firstLine="640" w:firstLineChars="200"/>
        <w:rPr>
          <w:rFonts w:hint="eastAsia"/>
          <w:lang w:val="en-US" w:eastAsia="zh-CN"/>
        </w:rPr>
      </w:pPr>
      <w:r>
        <w:rPr>
          <w:rFonts w:hint="eastAsia"/>
          <w:lang w:val="en-US" w:eastAsia="zh-CN"/>
        </w:rPr>
        <w:t xml:space="preserve">由评标委员会根据招标文件中明确的资格审查要素进行评审，包括但不限于营业执照、安全生产许可、资质等级、投标保证金、项目负责人、失信被执行人信息等，资格审查结论分为合格或不合格两个等级，任一资格审查要素审查结论为不合格的，资格审查结论为不合格。所有资格审查要素审查结论均为合格的，不得以其他理由认定资格审查结论为不合格。 </w:t>
      </w:r>
    </w:p>
    <w:p w14:paraId="4EE25D11">
      <w:p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（三）详细评审 </w:t>
      </w:r>
    </w:p>
    <w:p w14:paraId="115BBFAC">
      <w:pPr>
        <w:ind w:firstLine="640" w:firstLineChars="200"/>
        <w:rPr>
          <w:rFonts w:hint="eastAsia"/>
          <w:lang w:val="en-US" w:eastAsia="zh-CN"/>
        </w:rPr>
      </w:pPr>
      <w:r>
        <w:rPr>
          <w:rFonts w:hint="eastAsia"/>
          <w:lang w:val="en-US" w:eastAsia="zh-CN"/>
        </w:rPr>
        <w:t xml:space="preserve">1.评标委员会根据招标文件中的价格标评标办法，对投标价格部分进行评审打分。 </w:t>
      </w:r>
    </w:p>
    <w:p w14:paraId="6B9190E5">
      <w:pPr>
        <w:ind w:firstLine="640" w:firstLineChars="200"/>
        <w:rPr>
          <w:rFonts w:hint="eastAsia"/>
          <w:lang w:val="en-US" w:eastAsia="zh-CN"/>
        </w:rPr>
      </w:pPr>
      <w:r>
        <w:rPr>
          <w:rFonts w:hint="eastAsia"/>
          <w:lang w:val="en-US" w:eastAsia="zh-CN"/>
        </w:rPr>
        <w:t xml:space="preserve">2.评标委员会根据招标文件中的资信（商务）标评标办法，结合投标文件资信（商务）部分中提供的企业资格、信用评价、类似工程业绩、获奖情况等材料及招标合同承诺条款进行评审打分。 </w:t>
      </w:r>
    </w:p>
    <w:p w14:paraId="05233773">
      <w:pPr>
        <w:ind w:firstLine="640" w:firstLineChars="200"/>
        <w:rPr>
          <w:rFonts w:hint="eastAsia"/>
          <w:lang w:val="en-US" w:eastAsia="zh-CN"/>
        </w:rPr>
      </w:pPr>
      <w:r>
        <w:rPr>
          <w:rFonts w:hint="eastAsia"/>
          <w:lang w:val="en-US" w:eastAsia="zh-CN"/>
        </w:rPr>
        <w:t xml:space="preserve">3.评标委员会根据招标文件中的技术标评标办法，对投标文件技术部分进行独立评审打分。 </w:t>
      </w:r>
    </w:p>
    <w:p w14:paraId="06E8CB3D">
      <w:p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（四）确定定标候选人 </w:t>
      </w:r>
    </w:p>
    <w:p w14:paraId="793B3970">
      <w:pPr>
        <w:ind w:firstLine="640" w:firstLineChars="200"/>
        <w:rPr>
          <w:rFonts w:hint="eastAsia"/>
          <w:lang w:val="en-US" w:eastAsia="zh-CN"/>
        </w:rPr>
      </w:pPr>
      <w:r>
        <w:rPr>
          <w:rFonts w:hint="eastAsia"/>
          <w:lang w:val="en-US" w:eastAsia="zh-CN"/>
        </w:rPr>
        <w:t xml:space="preserve">详细评审后，评标委员会应分别汇总各评标专家对同一投标人的评分，按照招标文件规定的办法，向招标人推荐排名前3-5名投标人作为定标候选人，定标候选人名单不排序。 </w:t>
      </w:r>
    </w:p>
    <w:p w14:paraId="68FB4EE6">
      <w:p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（五）评标报告 </w:t>
      </w:r>
    </w:p>
    <w:p w14:paraId="41D62600">
      <w:pPr>
        <w:ind w:firstLine="640" w:firstLineChars="200"/>
        <w:rPr>
          <w:rFonts w:hint="eastAsia"/>
          <w:lang w:val="en-US" w:eastAsia="zh-CN"/>
        </w:rPr>
      </w:pPr>
      <w:r>
        <w:rPr>
          <w:rFonts w:hint="eastAsia"/>
          <w:lang w:val="en-US" w:eastAsia="zh-CN"/>
        </w:rPr>
        <w:t xml:space="preserve">评标完成后，评标委员会应当向招标人提交书面评标报告。 </w:t>
      </w:r>
    </w:p>
    <w:p w14:paraId="7D4660AE">
      <w:pPr>
        <w:ind w:firstLine="640" w:firstLineChars="200"/>
        <w:rPr>
          <w:rFonts w:hint="eastAsia" w:ascii="黑体" w:hAnsi="黑体" w:eastAsia="黑体" w:cs="黑体"/>
          <w:lang w:val="en-US" w:eastAsia="zh-CN"/>
        </w:rPr>
      </w:pPr>
      <w:r>
        <w:rPr>
          <w:rFonts w:hint="eastAsia" w:ascii="黑体" w:hAnsi="黑体" w:eastAsia="黑体" w:cs="黑体"/>
          <w:lang w:val="en-US" w:eastAsia="zh-CN"/>
        </w:rPr>
        <w:t xml:space="preserve">六、定标程序 </w:t>
      </w:r>
    </w:p>
    <w:p w14:paraId="5D0A8CDC">
      <w:p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（一）定标前考察 </w:t>
      </w:r>
    </w:p>
    <w:p w14:paraId="508AB4A1">
      <w:pPr>
        <w:ind w:firstLine="640" w:firstLineChars="200"/>
        <w:rPr>
          <w:rFonts w:hint="eastAsia"/>
          <w:lang w:val="en-US" w:eastAsia="zh-CN"/>
        </w:rPr>
      </w:pPr>
      <w:r>
        <w:rPr>
          <w:rFonts w:hint="eastAsia"/>
          <w:lang w:val="en-US" w:eastAsia="zh-CN"/>
        </w:rPr>
        <w:t xml:space="preserve">招标人在定标前可以对定标候选人及拟派项目负责人进行考察，考察过程应由招标监督小组负责监督。经考察，定标候选人的投标所用业绩、奖项等弄虚作假，或是经营、财务状况发生较大变化或者存在违法行为，可能影响其履约能力的，招标人应如实记录并提交定标委员会参考。 </w:t>
      </w:r>
    </w:p>
    <w:p w14:paraId="4B5F50DD">
      <w:p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（二）组建定标委员会 </w:t>
      </w:r>
    </w:p>
    <w:p w14:paraId="6B943DE4">
      <w:pPr>
        <w:ind w:firstLine="640" w:firstLineChars="200"/>
        <w:rPr>
          <w:rFonts w:hint="eastAsia"/>
          <w:lang w:val="en-US" w:eastAsia="zh-CN"/>
        </w:rPr>
      </w:pPr>
      <w:r>
        <w:rPr>
          <w:rFonts w:hint="eastAsia"/>
          <w:lang w:val="en-US" w:eastAsia="zh-CN"/>
        </w:rPr>
        <w:t>定标委员会由招标人负责组建，招标人的法定代表人为第一责任人。组建过程应当由招标监督小组见证并由招标人存档备查。评标委员会成员不得兼任定标委员会成员。</w:t>
      </w:r>
    </w:p>
    <w:p w14:paraId="41CED973">
      <w:pPr>
        <w:ind w:firstLine="640" w:firstLineChars="200"/>
        <w:rPr>
          <w:rFonts w:hint="eastAsia"/>
          <w:lang w:val="en-US" w:eastAsia="zh-CN"/>
        </w:rPr>
      </w:pPr>
      <w:r>
        <w:rPr>
          <w:rFonts w:hint="eastAsia"/>
          <w:lang w:val="en-US" w:eastAsia="zh-CN"/>
        </w:rPr>
        <w:t>定标委员会成员为 5 人或以上单数，原则上从招标人、项目业主或者使用单位及其上下级机构中产生；确有需要的，还可从省专家库中随机抽取部分专家，财政性资金投资工程的招标人可以从本系统上下级项目主管部门中选取，非财政性国有资金投资工程的招标人可以从其母公司、子公司中选取。定标委员会成员要求为中层及以上管理人员（优先考虑具备工程经验的领导干部），或具备工程类、经济类专业初级（含）以上职称的人员，或具有工程类或经济类专业注册执业资格证的人员。</w:t>
      </w:r>
    </w:p>
    <w:p w14:paraId="0804A171">
      <w:p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（三）召开定标会 </w:t>
      </w:r>
    </w:p>
    <w:p w14:paraId="6B312CEE">
      <w:pPr>
        <w:ind w:firstLine="640" w:firstLineChars="200"/>
        <w:rPr>
          <w:rFonts w:hint="eastAsia"/>
          <w:lang w:val="en-US" w:eastAsia="zh-CN"/>
        </w:rPr>
      </w:pPr>
      <w:r>
        <w:rPr>
          <w:rFonts w:hint="eastAsia"/>
          <w:lang w:val="en-US" w:eastAsia="zh-CN"/>
        </w:rPr>
        <w:t xml:space="preserve">定标会原则上在评标结束之日起 2 个工作日内进入当地公共资源交易中心召开。如招标人需要对定标候选人或拟派项目负责人进行考察或广泛征求意见而需延期进行的，应当在评标结束之日起 10 个工作日内召开。 </w:t>
      </w:r>
    </w:p>
    <w:p w14:paraId="031136DB">
      <w:pPr>
        <w:ind w:firstLine="640" w:firstLineChars="200"/>
        <w:rPr>
          <w:rFonts w:hint="eastAsia"/>
          <w:lang w:val="en-US" w:eastAsia="zh-CN"/>
        </w:rPr>
      </w:pPr>
      <w:r>
        <w:rPr>
          <w:rFonts w:hint="eastAsia"/>
          <w:lang w:val="en-US" w:eastAsia="zh-CN"/>
        </w:rPr>
        <w:t xml:space="preserve">定标委员会应当在定标会上推荐定标组长，招标人的法定代表人或者主要负责人参加定标委员会的，由其直接担任定标委员会组长。 </w:t>
      </w:r>
    </w:p>
    <w:p w14:paraId="3F9C623C">
      <w:pPr>
        <w:ind w:firstLine="640" w:firstLineChars="200"/>
        <w:rPr>
          <w:rFonts w:hint="eastAsia"/>
          <w:lang w:val="en-US" w:eastAsia="zh-CN"/>
        </w:rPr>
      </w:pPr>
      <w:r>
        <w:rPr>
          <w:rFonts w:hint="eastAsia"/>
          <w:lang w:val="en-US" w:eastAsia="zh-CN"/>
        </w:rPr>
        <w:t xml:space="preserve">招标人在定标会上可以介绍项目情况，定标委员会成员有疑问的，可以向招标人提出。 </w:t>
      </w:r>
    </w:p>
    <w:p w14:paraId="1704DE87">
      <w:pPr>
        <w:ind w:firstLine="640" w:firstLineChars="200"/>
        <w:rPr>
          <w:rFonts w:hint="eastAsia"/>
          <w:lang w:val="en-US" w:eastAsia="zh-CN"/>
        </w:rPr>
      </w:pPr>
      <w:r>
        <w:rPr>
          <w:rFonts w:hint="eastAsia"/>
          <w:lang w:val="en-US" w:eastAsia="zh-CN"/>
        </w:rPr>
        <w:t xml:space="preserve">定标委员会应当在评标委员会推荐的定标候选人中，按照招标文件规定的定标办法确定不超过 3 个的中标候选人，并标明排序。 </w:t>
      </w:r>
    </w:p>
    <w:p w14:paraId="353D049E">
      <w:p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（四）中标候选人公示 </w:t>
      </w:r>
    </w:p>
    <w:p w14:paraId="5191FC45">
      <w:pPr>
        <w:ind w:firstLine="640" w:firstLineChars="200"/>
        <w:rPr>
          <w:rFonts w:hint="eastAsia"/>
          <w:lang w:val="en-US" w:eastAsia="zh-CN"/>
        </w:rPr>
      </w:pPr>
      <w:r>
        <w:rPr>
          <w:rFonts w:hint="eastAsia"/>
          <w:lang w:val="en-US" w:eastAsia="zh-CN"/>
        </w:rPr>
        <w:t>招标人应当在定标结束之日起3日内，在“广东省招标投标监管网”和“广东省公共资源交易平台”公示中标候选人，公示期为3日。公示内容应符合相关信息公开的管理规定。</w:t>
      </w:r>
    </w:p>
    <w:p w14:paraId="7E6F07EA">
      <w:p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（五）确定中标人 </w:t>
      </w:r>
    </w:p>
    <w:p w14:paraId="41D5F316">
      <w:pPr>
        <w:ind w:firstLine="640" w:firstLineChars="200"/>
        <w:rPr>
          <w:rFonts w:hint="eastAsia"/>
          <w:lang w:val="en-US" w:eastAsia="zh-CN"/>
        </w:rPr>
      </w:pPr>
      <w:r>
        <w:rPr>
          <w:rFonts w:hint="eastAsia"/>
          <w:lang w:val="en-US" w:eastAsia="zh-CN"/>
        </w:rPr>
        <w:t xml:space="preserve">中标候选人公示期满，招标人应当确定排名第一的中标候选人为中标人。第一中标候选人放弃中标，因不可抗力不能履行合同，不按招标文件要求提交履约保证金，或者被查实存在影响中标结果的违法行为等情形，不符合中标条件的，招标人可以按照中标候选人名单排序依次确定其他中标候选人为中标人，可以重新组织定标，也可以重新招标，具体细则应当在招标文件中明确。 </w:t>
      </w:r>
    </w:p>
    <w:p w14:paraId="3F2EB18C">
      <w:p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（六）提交书面报告 </w:t>
      </w:r>
    </w:p>
    <w:p w14:paraId="68C53D87">
      <w:pPr>
        <w:ind w:firstLine="640" w:firstLineChars="200"/>
        <w:rPr>
          <w:rFonts w:hint="eastAsia"/>
          <w:lang w:val="en-US" w:eastAsia="zh-CN"/>
        </w:rPr>
      </w:pPr>
      <w:r>
        <w:rPr>
          <w:rFonts w:hint="eastAsia"/>
          <w:lang w:val="en-US" w:eastAsia="zh-CN"/>
        </w:rPr>
        <w:t xml:space="preserve">自发出中标通知书之日起 15 日内，招标人应当向项目招标投标行政监督部门提交招标投标情况书面报告。 </w:t>
      </w:r>
    </w:p>
    <w:p w14:paraId="60AEB33C">
      <w:pPr>
        <w:ind w:firstLine="640" w:firstLineChars="200"/>
        <w:rPr>
          <w:rFonts w:hint="eastAsia" w:ascii="黑体" w:hAnsi="黑体" w:eastAsia="黑体" w:cs="黑体"/>
          <w:lang w:val="en-US" w:eastAsia="zh-CN"/>
        </w:rPr>
      </w:pPr>
      <w:r>
        <w:rPr>
          <w:rFonts w:hint="eastAsia" w:ascii="黑体" w:hAnsi="黑体" w:eastAsia="黑体" w:cs="黑体"/>
          <w:lang w:val="en-US" w:eastAsia="zh-CN"/>
        </w:rPr>
        <w:t xml:space="preserve">七、异议及投诉处理 </w:t>
      </w:r>
    </w:p>
    <w:p w14:paraId="2517172C">
      <w:pPr>
        <w:ind w:firstLine="640" w:firstLineChars="200"/>
        <w:rPr>
          <w:rFonts w:hint="eastAsia"/>
          <w:lang w:val="en-US" w:eastAsia="zh-CN"/>
        </w:rPr>
      </w:pPr>
      <w:r>
        <w:rPr>
          <w:rFonts w:hint="eastAsia"/>
          <w:lang w:val="en-US" w:eastAsia="zh-CN"/>
        </w:rPr>
        <w:t xml:space="preserve">项目招标投标活动的异议及投诉处理，严格按照招标投标有关法律法规及《工程建设项目招标投标活动投诉处理办法》的规定执行。 </w:t>
      </w:r>
    </w:p>
    <w:p w14:paraId="59BAAAA6">
      <w:pPr>
        <w:ind w:firstLine="640" w:firstLineChars="200"/>
        <w:rPr>
          <w:rFonts w:hint="eastAsia"/>
          <w:lang w:val="en-US" w:eastAsia="zh-CN"/>
        </w:rPr>
      </w:pPr>
      <w:r>
        <w:rPr>
          <w:rFonts w:hint="eastAsia"/>
          <w:lang w:val="en-US" w:eastAsia="zh-CN"/>
        </w:rPr>
        <w:t>异议和投诉处理中，招标人可以组织原评标委员会、定标委员会或重新组建评标委员会、定标委员会对异议和投诉涉及的内容进行复核。</w:t>
      </w:r>
    </w:p>
    <w:p w14:paraId="05B44698">
      <w:pPr>
        <w:ind w:firstLine="640" w:firstLineChars="200"/>
        <w:rPr>
          <w:rFonts w:hint="eastAsia" w:ascii="黑体" w:hAnsi="黑体" w:eastAsia="黑体" w:cs="黑体"/>
          <w:lang w:val="en-US" w:eastAsia="zh-CN"/>
        </w:rPr>
      </w:pPr>
      <w:r>
        <w:rPr>
          <w:rFonts w:hint="eastAsia" w:ascii="黑体" w:hAnsi="黑体" w:eastAsia="黑体" w:cs="黑体"/>
          <w:lang w:val="en-US" w:eastAsia="zh-CN"/>
        </w:rPr>
        <w:t xml:space="preserve">八、招标人内控机制 </w:t>
      </w:r>
    </w:p>
    <w:p w14:paraId="5374227A">
      <w:pPr>
        <w:ind w:firstLine="640" w:firstLineChars="200"/>
        <w:rPr>
          <w:rFonts w:hint="eastAsia"/>
          <w:lang w:val="en-US" w:eastAsia="zh-CN"/>
        </w:rPr>
      </w:pPr>
      <w:r>
        <w:rPr>
          <w:rFonts w:hint="eastAsia"/>
          <w:lang w:val="en-US" w:eastAsia="zh-CN"/>
        </w:rPr>
        <w:t xml:space="preserve">招标人应根据国家法律、法规和规章，结合工程项目的具体特点、难点，制定切实可行的评定分离方案，以达到最佳的招标效果。招标人的法定代表人或者主要负责人承担定标过程中的管理、监督责任。 </w:t>
      </w:r>
    </w:p>
    <w:p w14:paraId="6E4B0480">
      <w:p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（一）决策约束机制 </w:t>
      </w:r>
    </w:p>
    <w:p w14:paraId="1E51A45E">
      <w:pPr>
        <w:ind w:firstLine="640" w:firstLineChars="200"/>
        <w:rPr>
          <w:rFonts w:hint="eastAsia"/>
          <w:lang w:val="en-US" w:eastAsia="zh-CN"/>
        </w:rPr>
      </w:pPr>
      <w:r>
        <w:rPr>
          <w:rFonts w:hint="eastAsia"/>
          <w:lang w:val="en-US" w:eastAsia="zh-CN"/>
        </w:rPr>
        <w:t xml:space="preserve">资格审查办法、筛选办法、评标办法、定标办法、定标委员会的组建方式等纳入“三重一大”决策机制和廉洁评估范围内，不属于“三重一大”决策范围的按管理制度履行审批程序。 </w:t>
      </w:r>
    </w:p>
    <w:p w14:paraId="65A75E00">
      <w:p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（二）回避机制 </w:t>
      </w:r>
    </w:p>
    <w:p w14:paraId="1FB81D69">
      <w:pPr>
        <w:ind w:firstLine="640" w:firstLineChars="200"/>
        <w:rPr>
          <w:rFonts w:hint="eastAsia"/>
          <w:lang w:val="en-US" w:eastAsia="zh-CN"/>
        </w:rPr>
      </w:pPr>
      <w:r>
        <w:rPr>
          <w:rFonts w:hint="eastAsia"/>
          <w:lang w:val="en-US" w:eastAsia="zh-CN"/>
        </w:rPr>
        <w:t xml:space="preserve">监督小组成员、评标委员会成员、定标委员会成员与投标人存在直接利害关系的，应主动回避，并书面说明回避理由。 </w:t>
      </w:r>
    </w:p>
    <w:p w14:paraId="0522AFD0">
      <w:pPr>
        <w:ind w:firstLine="64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（三）全过程“留痕”机制 </w:t>
      </w:r>
    </w:p>
    <w:p w14:paraId="18910EA9">
      <w:pPr>
        <w:ind w:firstLine="640" w:firstLineChars="200"/>
        <w:rPr>
          <w:rFonts w:hint="eastAsia"/>
          <w:lang w:val="en-US" w:eastAsia="zh-CN"/>
        </w:rPr>
      </w:pPr>
      <w:r>
        <w:rPr>
          <w:rFonts w:hint="eastAsia"/>
          <w:lang w:val="en-US" w:eastAsia="zh-CN"/>
        </w:rPr>
        <w:t xml:space="preserve">招标人应对开标、评标、定标等环节全过程录音、录像，有关资料作为工程技术档案备查。招标人自行妥善保管有关资料，不得伪造、变造、隐匿。 </w:t>
      </w:r>
    </w:p>
    <w:p w14:paraId="09532654">
      <w:pPr>
        <w:ind w:firstLine="640" w:firstLineChars="200"/>
        <w:rPr>
          <w:rFonts w:hint="eastAsia" w:ascii="黑体" w:hAnsi="黑体" w:eastAsia="黑体" w:cs="黑体"/>
          <w:lang w:val="en-US" w:eastAsia="zh-CN"/>
        </w:rPr>
      </w:pPr>
      <w:r>
        <w:rPr>
          <w:rFonts w:hint="eastAsia" w:ascii="黑体" w:hAnsi="黑体" w:eastAsia="黑体" w:cs="黑体"/>
          <w:lang w:val="en-US" w:eastAsia="zh-CN"/>
        </w:rPr>
        <w:t xml:space="preserve">九、招标效果评估机制 </w:t>
      </w:r>
    </w:p>
    <w:p w14:paraId="0E28D095">
      <w:pPr>
        <w:ind w:firstLine="640" w:firstLineChars="200"/>
        <w:rPr>
          <w:rFonts w:hint="eastAsia"/>
          <w:lang w:val="en-US" w:eastAsia="zh-CN"/>
        </w:rPr>
      </w:pPr>
      <w:r>
        <w:rPr>
          <w:rFonts w:hint="eastAsia"/>
          <w:lang w:val="en-US" w:eastAsia="zh-CN"/>
        </w:rPr>
        <w:t>项目实施过程中，招标人应对中标人的履约情况跟踪评估。评估开始时间由招标人自行决定，原则上不超过完成招标工作一 年内。评估内容可包括：投标承诺是否兑现、项目管理人员的到位履职情况、工期、质量安全管理、变更及造价控制情况、协调配合与服务等。评估工作完成后，应撰写评估报告，评估招标效果，优化后续定标办法。行政监督部门可对评估报告开展检查，发现招投标活动存在违法、违规问题的，依法处理并将有关情况通报招标人上级主管部门和纪检监察部门。</w:t>
      </w:r>
    </w:p>
    <w:p w14:paraId="1C946452">
      <w:pPr>
        <w:ind w:firstLine="640" w:firstLineChars="200"/>
        <w:rPr>
          <w:rFonts w:hint="eastAsia"/>
          <w:lang w:val="en-US" w:eastAsia="zh-CN"/>
        </w:rPr>
      </w:pPr>
      <w:r>
        <w:rPr>
          <w:rFonts w:hint="eastAsia"/>
          <w:lang w:val="en-US" w:eastAsia="zh-CN"/>
        </w:rPr>
        <w:t>本指引自2025年x月x日起生效。</w:t>
      </w:r>
    </w:p>
    <w:p w14:paraId="3C521679">
      <w:pPr>
        <w:ind w:firstLine="640" w:firstLineChars="200"/>
        <w:rPr>
          <w:rFonts w:hint="eastAsia"/>
          <w:lang w:val="en-US" w:eastAsia="zh-CN"/>
        </w:rPr>
      </w:pPr>
    </w:p>
    <w:p w14:paraId="0FD025EC">
      <w:pPr>
        <w:ind w:firstLine="640" w:firstLineChars="200"/>
        <w:rPr>
          <w:rFonts w:hint="eastAsia"/>
          <w:lang w:val="en-US" w:eastAsia="zh-CN"/>
        </w:rPr>
      </w:pPr>
    </w:p>
    <w:p w14:paraId="05DD4D32">
      <w:pPr>
        <w:ind w:firstLine="640" w:firstLineChars="200"/>
        <w:rPr>
          <w:rFonts w:hint="eastAsia"/>
          <w:lang w:val="en-US" w:eastAsia="zh-CN"/>
        </w:rPr>
      </w:pPr>
    </w:p>
    <w:p w14:paraId="333EDDC3">
      <w:pPr>
        <w:ind w:firstLine="640" w:firstLineChars="200"/>
        <w:rPr>
          <w:rFonts w:hint="eastAsia"/>
          <w:lang w:val="en-US" w:eastAsia="zh-CN"/>
        </w:rPr>
      </w:pPr>
    </w:p>
    <w:p w14:paraId="217A6768">
      <w:pPr>
        <w:ind w:firstLine="640" w:firstLineChars="200"/>
        <w:rPr>
          <w:rFonts w:hint="eastAsia"/>
          <w:lang w:val="en-US" w:eastAsia="zh-CN"/>
        </w:rPr>
      </w:pPr>
    </w:p>
    <w:p w14:paraId="6E88986A">
      <w:pPr>
        <w:ind w:firstLine="640" w:firstLineChars="200"/>
        <w:rPr>
          <w:rFonts w:hint="eastAsia"/>
          <w:lang w:val="en-US" w:eastAsia="zh-CN"/>
        </w:rPr>
      </w:pPr>
    </w:p>
    <w:p w14:paraId="6CE0A6ED">
      <w:pPr>
        <w:ind w:firstLine="640" w:firstLineChars="200"/>
        <w:rPr>
          <w:rFonts w:hint="eastAsia"/>
          <w:lang w:val="en-US" w:eastAsia="zh-CN"/>
        </w:rPr>
      </w:pPr>
    </w:p>
    <w:p w14:paraId="0A691531">
      <w:pPr>
        <w:ind w:firstLine="640" w:firstLineChars="200"/>
        <w:rPr>
          <w:rFonts w:hint="eastAsia"/>
          <w:lang w:val="en-US" w:eastAsia="zh-CN"/>
        </w:rPr>
      </w:pPr>
    </w:p>
    <w:p w14:paraId="69D98E39">
      <w:pPr>
        <w:ind w:firstLine="640" w:firstLineChars="200"/>
        <w:rPr>
          <w:rFonts w:hint="default"/>
          <w:lang w:val="en-US" w:eastAsia="zh-CN"/>
        </w:rPr>
      </w:pPr>
    </w:p>
    <w:p w14:paraId="64E38D11">
      <w:pPr>
        <w:ind w:firstLine="640" w:firstLineChars="200"/>
        <w:rPr>
          <w:rFonts w:hint="default" w:eastAsia="仿宋_GB2312"/>
          <w:lang w:val="en-US" w:eastAsia="zh-CN"/>
        </w:rPr>
        <w:sectPr>
          <w:pgSz w:w="11906" w:h="16838"/>
          <w:pgMar w:top="1440" w:right="1800" w:bottom="1440" w:left="1800" w:header="851" w:footer="992" w:gutter="0"/>
          <w:cols w:space="425" w:num="1"/>
          <w:docGrid w:type="lines" w:linePitch="312" w:charSpace="0"/>
        </w:sectPr>
      </w:pPr>
    </w:p>
    <w:p w14:paraId="03B9610A">
      <w:pPr>
        <w:ind w:firstLine="643" w:firstLineChars="200"/>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 xml:space="preserve">附件：1 </w:t>
      </w:r>
    </w:p>
    <w:p w14:paraId="076EF09C">
      <w:pPr>
        <w:ind w:firstLine="643" w:firstLineChars="200"/>
        <w:jc w:val="center"/>
        <w:rPr>
          <w:rFonts w:hint="default" w:eastAsia="仿宋_GB2312"/>
          <w:b/>
          <w:bCs/>
          <w:lang w:val="en-US" w:eastAsia="zh-CN"/>
        </w:rPr>
      </w:pPr>
      <w:r>
        <w:rPr>
          <w:rFonts w:hint="default" w:eastAsia="仿宋_GB2312"/>
          <w:b/>
          <w:bCs/>
          <w:lang w:val="en-US" w:eastAsia="zh-CN"/>
        </w:rPr>
        <w:t>定量评价定标法定标因素</w:t>
      </w:r>
    </w:p>
    <w:p w14:paraId="335FA010">
      <w:pPr>
        <w:ind w:firstLine="640" w:firstLineChars="200"/>
        <w:rPr>
          <w:rFonts w:hint="default" w:eastAsia="仿宋_GB2312"/>
          <w:lang w:val="en-US" w:eastAsia="zh-CN"/>
        </w:rPr>
      </w:pPr>
      <w:r>
        <w:rPr>
          <w:rFonts w:hint="default" w:eastAsia="仿宋_GB2312"/>
          <w:lang w:val="en-US" w:eastAsia="zh-CN"/>
        </w:rPr>
        <w:t xml:space="preserve">招标人可以根据项目实际情况，选择技术、价格、企业实力、经济社会贡献、是否有不良信息等作为定标因素。 </w:t>
      </w:r>
    </w:p>
    <w:p w14:paraId="0612F5DE">
      <w:pPr>
        <w:ind w:firstLine="640" w:firstLineChars="200"/>
        <w:rPr>
          <w:rFonts w:hint="default" w:eastAsia="仿宋_GB2312"/>
          <w:lang w:val="en-US" w:eastAsia="zh-CN"/>
        </w:rPr>
      </w:pPr>
      <w:r>
        <w:rPr>
          <w:rFonts w:hint="eastAsia"/>
          <w:lang w:val="en-US" w:eastAsia="zh-CN"/>
        </w:rPr>
        <w:t>一、</w:t>
      </w:r>
      <w:r>
        <w:rPr>
          <w:rFonts w:hint="default" w:eastAsia="仿宋_GB2312"/>
          <w:lang w:val="en-US" w:eastAsia="zh-CN"/>
        </w:rPr>
        <w:t>技术因素可包括质量标准、质量创优目标、进度目标、安全文明施工目标、主要管理和技术人员投入等；与工程建设有关的货物可将必须响应的技术规格、技术参数、服务标准、交付或实施的时间地点等列入技术标的评价范围。</w:t>
      </w:r>
    </w:p>
    <w:p w14:paraId="09653000">
      <w:pPr>
        <w:ind w:firstLine="640" w:firstLineChars="200"/>
        <w:rPr>
          <w:rFonts w:hint="default" w:eastAsia="仿宋_GB2312"/>
          <w:lang w:val="en-US" w:eastAsia="zh-CN"/>
        </w:rPr>
      </w:pPr>
      <w:r>
        <w:rPr>
          <w:rFonts w:hint="eastAsia"/>
          <w:lang w:val="en-US" w:eastAsia="zh-CN"/>
        </w:rPr>
        <w:t>二、</w:t>
      </w:r>
      <w:r>
        <w:rPr>
          <w:rFonts w:hint="default" w:eastAsia="仿宋_GB2312"/>
          <w:lang w:val="en-US" w:eastAsia="zh-CN"/>
        </w:rPr>
        <w:t>价格因素按照定标候选人报价由低到高排序。</w:t>
      </w:r>
    </w:p>
    <w:p w14:paraId="70D89C8A">
      <w:pPr>
        <w:ind w:firstLine="640" w:firstLineChars="200"/>
        <w:rPr>
          <w:rFonts w:hint="default" w:eastAsia="仿宋_GB2312"/>
          <w:lang w:val="en-US" w:eastAsia="zh-CN"/>
        </w:rPr>
      </w:pPr>
      <w:r>
        <w:rPr>
          <w:rFonts w:hint="eastAsia"/>
          <w:lang w:val="en-US" w:eastAsia="zh-CN"/>
        </w:rPr>
        <w:t>三、</w:t>
      </w:r>
      <w:r>
        <w:rPr>
          <w:rFonts w:hint="default" w:eastAsia="仿宋_GB2312"/>
          <w:lang w:val="en-US" w:eastAsia="zh-CN"/>
        </w:rPr>
        <w:t>企业实力因素可包括资质等级、企业信用、资产负债率、过往业绩（含业绩影响力、难易程度、获奖）、履约情况等方面。</w:t>
      </w:r>
    </w:p>
    <w:p w14:paraId="729AB78E">
      <w:pPr>
        <w:ind w:firstLine="640" w:firstLineChars="200"/>
        <w:rPr>
          <w:rFonts w:hint="default" w:eastAsia="仿宋_GB2312"/>
          <w:lang w:val="en-US" w:eastAsia="zh-CN"/>
        </w:rPr>
      </w:pPr>
      <w:r>
        <w:rPr>
          <w:rFonts w:hint="eastAsia"/>
          <w:lang w:val="en-US" w:eastAsia="zh-CN"/>
        </w:rPr>
        <w:t>四、</w:t>
      </w:r>
      <w:r>
        <w:rPr>
          <w:rFonts w:hint="default" w:eastAsia="仿宋_GB2312"/>
          <w:lang w:val="en-US" w:eastAsia="zh-CN"/>
        </w:rPr>
        <w:t>经济社会贡献因素可包括企业近年对建筑业发展的带动等。</w:t>
      </w:r>
    </w:p>
    <w:p w14:paraId="793CC5DE">
      <w:pPr>
        <w:ind w:firstLine="640" w:firstLineChars="200"/>
        <w:rPr>
          <w:rFonts w:hint="default" w:eastAsia="仿宋_GB2312"/>
          <w:lang w:val="en-US" w:eastAsia="zh-CN"/>
        </w:rPr>
      </w:pPr>
      <w:r>
        <w:rPr>
          <w:rFonts w:hint="eastAsia"/>
          <w:lang w:val="en-US" w:eastAsia="zh-CN"/>
        </w:rPr>
        <w:t>五、</w:t>
      </w:r>
      <w:r>
        <w:rPr>
          <w:rFonts w:hint="default" w:eastAsia="仿宋_GB2312"/>
          <w:lang w:val="en-US" w:eastAsia="zh-CN"/>
        </w:rPr>
        <w:t>不良信息因素的评价包括行政部门作出的各种处罚和不良行为记录、建设单位对其不良行为记录、履约评价不合格记录以及其他失信记录。</w:t>
      </w:r>
    </w:p>
    <w:p w14:paraId="466649DE">
      <w:pPr>
        <w:ind w:firstLine="640" w:firstLineChars="200"/>
        <w:rPr>
          <w:rFonts w:hint="default" w:eastAsia="仿宋_GB2312"/>
          <w:lang w:val="en-US" w:eastAsia="zh-CN"/>
        </w:rPr>
      </w:pPr>
      <w:r>
        <w:rPr>
          <w:rFonts w:hint="default" w:eastAsia="仿宋_GB2312"/>
          <w:lang w:val="en-US" w:eastAsia="zh-CN"/>
        </w:rPr>
        <w:t>招标人应围绕上述定标因素制定量化评分细则，以供定标委员会在定标环节对定标候选人进行评价。</w:t>
      </w:r>
    </w:p>
    <w:p w14:paraId="78EE036F">
      <w:pPr>
        <w:ind w:firstLine="640" w:firstLineChars="200"/>
        <w:rPr>
          <w:rFonts w:hint="default" w:eastAsia="仿宋_GB2312"/>
          <w:lang w:val="en-US" w:eastAsia="zh-CN"/>
        </w:rPr>
        <w:sectPr>
          <w:pgSz w:w="11906" w:h="16838"/>
          <w:pgMar w:top="1440" w:right="1800" w:bottom="1440" w:left="1800" w:header="851" w:footer="992" w:gutter="0"/>
          <w:cols w:space="425" w:num="1"/>
          <w:docGrid w:type="lines" w:linePitch="312" w:charSpace="0"/>
        </w:sectPr>
      </w:pPr>
    </w:p>
    <w:p w14:paraId="332D7A76">
      <w:pPr>
        <w:ind w:firstLine="643" w:firstLineChars="200"/>
        <w:rPr>
          <w:rFonts w:hint="default" w:eastAsia="仿宋_GB2312"/>
          <w:b/>
          <w:bCs/>
          <w:lang w:val="en-US" w:eastAsia="zh-CN"/>
        </w:rPr>
      </w:pPr>
      <w:r>
        <w:rPr>
          <w:rFonts w:hint="default" w:eastAsia="仿宋_GB2312"/>
          <w:b/>
          <w:bCs/>
          <w:lang w:val="en-US" w:eastAsia="zh-CN"/>
        </w:rPr>
        <w:t xml:space="preserve">附件：2 </w:t>
      </w:r>
    </w:p>
    <w:p w14:paraId="2420C23D">
      <w:pPr>
        <w:ind w:firstLine="643" w:firstLineChars="200"/>
        <w:jc w:val="center"/>
        <w:rPr>
          <w:rFonts w:hint="default" w:eastAsia="仿宋_GB2312"/>
          <w:b/>
          <w:bCs/>
          <w:lang w:val="en-US" w:eastAsia="zh-CN"/>
        </w:rPr>
      </w:pPr>
      <w:r>
        <w:rPr>
          <w:rFonts w:hint="default" w:eastAsia="仿宋_GB2312"/>
          <w:b/>
          <w:bCs/>
          <w:lang w:val="en-US" w:eastAsia="zh-CN"/>
        </w:rPr>
        <w:t>票决定标法择优标准</w:t>
      </w:r>
    </w:p>
    <w:p w14:paraId="21D06903">
      <w:pPr>
        <w:ind w:firstLine="640" w:firstLineChars="200"/>
        <w:rPr>
          <w:rFonts w:hint="default" w:eastAsia="仿宋_GB2312"/>
          <w:lang w:val="en-US" w:eastAsia="zh-CN"/>
        </w:rPr>
      </w:pPr>
      <w:r>
        <w:rPr>
          <w:rFonts w:hint="eastAsia"/>
          <w:lang w:val="en-US" w:eastAsia="zh-CN"/>
        </w:rPr>
        <w:t>一、</w:t>
      </w:r>
      <w:r>
        <w:rPr>
          <w:rFonts w:hint="default" w:eastAsia="仿宋_GB2312"/>
          <w:lang w:val="en-US" w:eastAsia="zh-CN"/>
        </w:rPr>
        <w:t>信用评价好的投标人优于信用评价较差的投标人</w:t>
      </w:r>
      <w:r>
        <w:rPr>
          <w:rFonts w:hint="eastAsia"/>
          <w:lang w:val="en-US" w:eastAsia="zh-CN"/>
        </w:rPr>
        <w:t>。</w:t>
      </w:r>
    </w:p>
    <w:p w14:paraId="03199F5E">
      <w:pPr>
        <w:ind w:firstLine="640" w:firstLineChars="200"/>
        <w:rPr>
          <w:rFonts w:hint="default" w:eastAsia="仿宋_GB2312"/>
          <w:lang w:val="en-US" w:eastAsia="zh-CN"/>
        </w:rPr>
      </w:pPr>
      <w:r>
        <w:rPr>
          <w:rFonts w:hint="eastAsia"/>
          <w:lang w:val="en-US" w:eastAsia="zh-CN"/>
        </w:rPr>
        <w:t>二、</w:t>
      </w:r>
      <w:r>
        <w:rPr>
          <w:rFonts w:hint="default" w:eastAsia="仿宋_GB2312"/>
          <w:lang w:val="en-US" w:eastAsia="zh-CN"/>
        </w:rPr>
        <w:t>履约记录良好的投标人优先于有不良履约记录或没有履约记录的投标人</w:t>
      </w:r>
      <w:r>
        <w:rPr>
          <w:rFonts w:hint="eastAsia"/>
          <w:lang w:val="en-US" w:eastAsia="zh-CN"/>
        </w:rPr>
        <w:t>。</w:t>
      </w:r>
    </w:p>
    <w:p w14:paraId="610B2109">
      <w:pPr>
        <w:ind w:firstLine="640" w:firstLineChars="200"/>
        <w:rPr>
          <w:rFonts w:hint="default" w:eastAsia="仿宋_GB2312"/>
          <w:lang w:val="en-US" w:eastAsia="zh-CN"/>
        </w:rPr>
      </w:pPr>
      <w:r>
        <w:rPr>
          <w:rFonts w:hint="eastAsia"/>
          <w:lang w:val="en-US" w:eastAsia="zh-CN"/>
        </w:rPr>
        <w:t>三、</w:t>
      </w:r>
      <w:r>
        <w:rPr>
          <w:rFonts w:hint="default" w:eastAsia="仿宋_GB2312"/>
          <w:lang w:val="en-US" w:eastAsia="zh-CN"/>
        </w:rPr>
        <w:t>财务状况好的投标人优于财务状况较差的投标人</w:t>
      </w:r>
      <w:r>
        <w:rPr>
          <w:rFonts w:hint="eastAsia"/>
          <w:lang w:val="en-US" w:eastAsia="zh-CN"/>
        </w:rPr>
        <w:t>。</w:t>
      </w:r>
    </w:p>
    <w:p w14:paraId="7B89DAFE">
      <w:pPr>
        <w:ind w:firstLine="640" w:firstLineChars="200"/>
        <w:rPr>
          <w:rFonts w:hint="default" w:eastAsia="仿宋_GB2312"/>
          <w:lang w:val="en-US" w:eastAsia="zh-CN"/>
        </w:rPr>
      </w:pPr>
      <w:r>
        <w:rPr>
          <w:rFonts w:hint="eastAsia"/>
          <w:lang w:val="en-US" w:eastAsia="zh-CN"/>
        </w:rPr>
        <w:t>四、</w:t>
      </w:r>
      <w:r>
        <w:rPr>
          <w:rFonts w:hint="default" w:eastAsia="仿宋_GB2312"/>
          <w:lang w:val="en-US" w:eastAsia="zh-CN"/>
        </w:rPr>
        <w:t>团队实力强的投标人优于团队实力较差的投标人</w:t>
      </w:r>
      <w:r>
        <w:rPr>
          <w:rFonts w:hint="eastAsia"/>
          <w:lang w:val="en-US" w:eastAsia="zh-CN"/>
        </w:rPr>
        <w:t>。</w:t>
      </w:r>
    </w:p>
    <w:p w14:paraId="1DDAF902">
      <w:pPr>
        <w:ind w:firstLine="640" w:firstLineChars="200"/>
        <w:rPr>
          <w:rFonts w:hint="eastAsia"/>
          <w:lang w:val="en-US" w:eastAsia="zh-CN"/>
        </w:rPr>
      </w:pPr>
      <w:r>
        <w:rPr>
          <w:rFonts w:hint="eastAsia"/>
          <w:lang w:val="en-US" w:eastAsia="zh-CN"/>
        </w:rPr>
        <w:t>五、</w:t>
      </w:r>
      <w:r>
        <w:rPr>
          <w:rFonts w:hint="default" w:eastAsia="仿宋_GB2312"/>
          <w:lang w:val="en-US" w:eastAsia="zh-CN"/>
        </w:rPr>
        <w:t>工程业绩技术复杂、难度大、完成质量好的投标人优于工程业绩技术相对简单、难度较小、完成质量差的投标人</w:t>
      </w:r>
      <w:r>
        <w:rPr>
          <w:rFonts w:hint="eastAsia"/>
          <w:lang w:val="en-US" w:eastAsia="zh-CN"/>
        </w:rPr>
        <w:t>。</w:t>
      </w:r>
    </w:p>
    <w:p w14:paraId="7D8169D7">
      <w:pPr>
        <w:ind w:firstLine="640" w:firstLineChars="200"/>
        <w:rPr>
          <w:rFonts w:hint="default" w:eastAsia="仿宋_GB2312"/>
          <w:lang w:val="en-US" w:eastAsia="zh-CN"/>
        </w:rPr>
      </w:pPr>
      <w:r>
        <w:rPr>
          <w:rFonts w:hint="eastAsia"/>
          <w:lang w:val="en-US" w:eastAsia="zh-CN"/>
        </w:rPr>
        <w:t>六、</w:t>
      </w:r>
      <w:r>
        <w:rPr>
          <w:rFonts w:hint="default" w:eastAsia="仿宋_GB2312"/>
          <w:lang w:val="en-US" w:eastAsia="zh-CN"/>
        </w:rPr>
        <w:t>获得各级权威性荣誉多的投标人优于获得荣誉少的投标人</w:t>
      </w:r>
      <w:r>
        <w:rPr>
          <w:rFonts w:hint="eastAsia"/>
          <w:lang w:val="en-US" w:eastAsia="zh-CN"/>
        </w:rPr>
        <w:t>。</w:t>
      </w:r>
    </w:p>
    <w:p w14:paraId="4A1407BD">
      <w:pPr>
        <w:ind w:firstLine="640" w:firstLineChars="200"/>
        <w:rPr>
          <w:rFonts w:hint="default" w:eastAsia="仿宋_GB2312"/>
          <w:lang w:val="en-US" w:eastAsia="zh-CN"/>
        </w:rPr>
      </w:pPr>
      <w:r>
        <w:rPr>
          <w:rFonts w:hint="eastAsia"/>
          <w:lang w:val="en-US" w:eastAsia="zh-CN"/>
        </w:rPr>
        <w:t>七、</w:t>
      </w:r>
      <w:r>
        <w:rPr>
          <w:rFonts w:hint="default" w:eastAsia="仿宋_GB2312"/>
          <w:lang w:val="en-US" w:eastAsia="zh-CN"/>
        </w:rPr>
        <w:t>无不良行为记录的投标人优于有不良行为记录的投标人，不良行为记录较轻的投标人优于不良行为记录较重的投标人</w:t>
      </w:r>
      <w:r>
        <w:rPr>
          <w:rFonts w:hint="eastAsia"/>
          <w:lang w:val="en-US" w:eastAsia="zh-CN"/>
        </w:rPr>
        <w:t>。</w:t>
      </w:r>
    </w:p>
    <w:p w14:paraId="16D29281">
      <w:pPr>
        <w:ind w:firstLine="640" w:firstLineChars="200"/>
        <w:rPr>
          <w:rFonts w:hint="default" w:eastAsia="仿宋_GB2312"/>
          <w:lang w:val="en-US" w:eastAsia="zh-CN"/>
        </w:rPr>
      </w:pPr>
      <w:r>
        <w:rPr>
          <w:rFonts w:hint="eastAsia"/>
          <w:lang w:val="en-US" w:eastAsia="zh-CN"/>
        </w:rPr>
        <w:t>八、</w:t>
      </w:r>
      <w:r>
        <w:rPr>
          <w:rFonts w:hint="default" w:eastAsia="仿宋_GB2312"/>
          <w:lang w:val="en-US" w:eastAsia="zh-CN"/>
        </w:rPr>
        <w:t>资质高企业优于资质低企业</w:t>
      </w:r>
      <w:r>
        <w:rPr>
          <w:rFonts w:hint="eastAsia"/>
          <w:lang w:val="en-US" w:eastAsia="zh-CN"/>
        </w:rPr>
        <w:t>。</w:t>
      </w:r>
    </w:p>
    <w:p w14:paraId="4510CE36">
      <w:pPr>
        <w:ind w:firstLine="640" w:firstLineChars="200"/>
        <w:rPr>
          <w:rFonts w:hint="default" w:eastAsia="仿宋_GB2312"/>
          <w:lang w:val="en-US" w:eastAsia="zh-CN"/>
        </w:rPr>
      </w:pPr>
      <w:r>
        <w:rPr>
          <w:rFonts w:hint="eastAsia"/>
          <w:lang w:val="en-US" w:eastAsia="zh-CN"/>
        </w:rPr>
        <w:t>九、</w:t>
      </w:r>
      <w:r>
        <w:rPr>
          <w:rFonts w:hint="default" w:eastAsia="仿宋_GB2312"/>
          <w:lang w:val="en-US" w:eastAsia="zh-CN"/>
        </w:rPr>
        <w:t>项目负责人问询环节中能抓住问题重点，简明扼要表述个人见解的为优。</w:t>
      </w:r>
    </w:p>
    <w:p w14:paraId="066B23E0">
      <w:pPr>
        <w:ind w:firstLine="640" w:firstLineChars="200"/>
        <w:rPr>
          <w:rFonts w:hint="default" w:eastAsia="仿宋_GB2312"/>
          <w:lang w:val="en-US" w:eastAsia="zh-CN"/>
        </w:rPr>
      </w:pPr>
      <w:r>
        <w:rPr>
          <w:rFonts w:hint="eastAsia"/>
          <w:lang w:val="en-US" w:eastAsia="zh-CN"/>
        </w:rPr>
        <w:t>十、</w:t>
      </w:r>
      <w:r>
        <w:rPr>
          <w:rFonts w:hint="default" w:eastAsia="仿宋_GB2312"/>
          <w:lang w:val="en-US" w:eastAsia="zh-CN"/>
        </w:rPr>
        <w:t>招标人结合实际，认为有必要增加的其他方面的择优标准。</w:t>
      </w:r>
      <w:bookmarkStart w:id="0" w:name="_GoBack"/>
      <w:bookmarkEnd w:id="0"/>
    </w:p>
    <w:p w14:paraId="5CBFD8C3">
      <w:pPr>
        <w:ind w:firstLine="640" w:firstLineChars="200"/>
        <w:rPr>
          <w:rFonts w:hint="default" w:eastAsia="仿宋_GB231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FZDaBiaoSong-B06">
    <w:altName w:val="AMGD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AMGDT">
    <w:panose1 w:val="02000400000000000000"/>
    <w:charset w:val="00"/>
    <w:family w:val="auto"/>
    <w:pitch w:val="default"/>
    <w:sig w:usb0="80000003" w:usb1="10000000" w:usb2="00000000" w:usb3="00000000" w:csb0="00000001" w:csb1="00000000"/>
  </w:font>
  <w:font w:name="A beam of light">
    <w:panose1 w:val="00000500000000000000"/>
    <w:charset w:val="00"/>
    <w:family w:val="auto"/>
    <w:pitch w:val="default"/>
    <w:sig w:usb0="00000001" w:usb1="00000000" w:usb2="00000000" w:usb3="00000000" w:csb0="20000101" w:csb1="00000000"/>
  </w:font>
  <w:font w:name="华康POP3体W12">
    <w:panose1 w:val="040B0C09000000000000"/>
    <w:charset w:val="86"/>
    <w:family w:val="auto"/>
    <w:pitch w:val="default"/>
    <w:sig w:usb0="8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汉仪雅酷黑 95W">
    <w:panose1 w:val="020B0A04020202020204"/>
    <w:charset w:val="86"/>
    <w:family w:val="auto"/>
    <w:pitch w:val="default"/>
    <w:sig w:usb0="A00002FF" w:usb1="28C17CFA" w:usb2="00000016" w:usb3="00000000" w:csb0="2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06CB0"/>
    <w:rsid w:val="03C44D7E"/>
    <w:rsid w:val="063A3B54"/>
    <w:rsid w:val="0BC916A9"/>
    <w:rsid w:val="0BCE120B"/>
    <w:rsid w:val="10720031"/>
    <w:rsid w:val="1A2A2A94"/>
    <w:rsid w:val="21537630"/>
    <w:rsid w:val="270272AB"/>
    <w:rsid w:val="2A4D1627"/>
    <w:rsid w:val="354B33DB"/>
    <w:rsid w:val="3DFF2AE3"/>
    <w:rsid w:val="43BB6DBE"/>
    <w:rsid w:val="453476CD"/>
    <w:rsid w:val="47A52FBD"/>
    <w:rsid w:val="49F707D8"/>
    <w:rsid w:val="4C8E5F69"/>
    <w:rsid w:val="530A51AF"/>
    <w:rsid w:val="589A3D28"/>
    <w:rsid w:val="67406647"/>
    <w:rsid w:val="6F552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7"/>
    <w:qFormat/>
    <w:uiPriority w:val="0"/>
    <w:pPr>
      <w:keepNext/>
      <w:keepLines/>
      <w:spacing w:beforeLines="0" w:beforeAutospacing="0" w:afterLines="0" w:afterAutospacing="0" w:line="560" w:lineRule="exact"/>
      <w:jc w:val="center"/>
      <w:outlineLvl w:val="0"/>
    </w:pPr>
    <w:rPr>
      <w:rFonts w:ascii="Times New Roman" w:hAnsi="Times New Roman" w:eastAsia="方正小标宋_GBK" w:cs="Times New Roman"/>
      <w:snapToGrid w:val="0"/>
      <w:spacing w:val="6"/>
      <w:kern w:val="44"/>
      <w:sz w:val="44"/>
      <w:szCs w:val="2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ind w:left="640" w:leftChars="200"/>
      <w:outlineLvl w:val="1"/>
    </w:pPr>
    <w:rPr>
      <w:rFonts w:ascii="Arial" w:hAnsi="Arial" w:eastAsia="黑体" w:cstheme="minorBidi"/>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标题 1 Char"/>
    <w:link w:val="2"/>
    <w:qFormat/>
    <w:uiPriority w:val="0"/>
    <w:rPr>
      <w:rFonts w:ascii="Times New Roman" w:hAnsi="Times New Roman" w:eastAsia="方正小标宋_GBK" w:cs="Times New Roman"/>
      <w:snapToGrid w:val="0"/>
      <w:spacing w:val="6"/>
      <w:kern w:val="44"/>
      <w:sz w:val="4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4032</Words>
  <Characters>4060</Characters>
  <Lines>0</Lines>
  <Paragraphs>0</Paragraphs>
  <TotalTime>0</TotalTime>
  <ScaleCrop>false</ScaleCrop>
  <LinksUpToDate>false</LinksUpToDate>
  <CharactersWithSpaces>4131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2024-07-31T16:28:00Z</dcterms:created>
  <dc:creator>Bobor</dc:creator>
  <cp:lastModifiedBy>Bobor</cp:lastModifiedBy>
  <dcterms:modified xsi:type="dcterms:W3CDTF">2025-04-11T00:42:43Z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7441FAAB2AE7407F9C7F3CB42829AD25_12</vt:lpwstr>
  </property>
  <property fmtid="{D5CDD505-2E9C-101B-9397-08002B2CF9AE}" pid="4" name="KSOTemplateDocerSaveRecord">
    <vt:lpwstr>eyJoZGlkIjoiZmI5YTY2ODRmNTQxZGRkZDk4N2E1ZTFlZmZmMDNhNzIiLCJ1c2VySWQiOiI0MTkyMTE1NTYifQ==</vt:lpwstr>
  </property>
</Properties>
</file>