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autoSpaceDE/>
        <w:autoSpaceDN/>
        <w:adjustRightInd w:val="0"/>
        <w:snapToGrid w:val="0"/>
        <w:spacing w:line="360" w:lineRule="auto"/>
        <w:jc w:val="center"/>
        <w:rPr>
          <w:rFonts w:ascii="仿宋_GB2312" w:hAnsi="仿宋_GB2312" w:eastAsia="仿宋_GB2312" w:cs="仿宋_GB2312"/>
          <w:lang w:val="en-US" w:bidi="ar-SA"/>
        </w:rPr>
      </w:pPr>
      <w:r>
        <w:rPr>
          <w:rFonts w:hint="eastAsia" w:ascii="仿宋_GB2312" w:hAnsi="仿宋_GB2312" w:eastAsia="仿宋_GB2312" w:cs="仿宋_GB2312"/>
          <w:lang w:val="en-US" w:bidi="ar-SA"/>
        </w:rPr>
        <w:t>专项债券项目绩效目标表</w:t>
      </w:r>
    </w:p>
    <w:p>
      <w:pPr>
        <w:rPr>
          <w:rFonts w:ascii="仿宋_GB2312" w:hAnsi="仿宋_GB2312" w:eastAsia="仿宋_GB2312" w:cs="仿宋_GB2312"/>
          <w:lang w:val="en-US"/>
        </w:rPr>
      </w:pPr>
    </w:p>
    <w:tbl>
      <w:tblPr>
        <w:tblStyle w:val="4"/>
        <w:tblW w:w="1385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313"/>
        <w:gridCol w:w="1616"/>
        <w:gridCol w:w="1525"/>
        <w:gridCol w:w="1345"/>
        <w:gridCol w:w="2204"/>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项目名称</w:t>
            </w:r>
          </w:p>
        </w:tc>
        <w:tc>
          <w:tcPr>
            <w:tcW w:w="11874" w:type="dxa"/>
            <w:gridSpan w:val="5"/>
            <w:shd w:val="clear" w:color="auto" w:fill="auto"/>
            <w:vAlign w:val="center"/>
          </w:tcPr>
          <w:p>
            <w:pPr>
              <w:widowControl/>
              <w:jc w:val="center"/>
              <w:textAlignment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bidi="ar"/>
              </w:rPr>
              <w:t>鹤山市硅能源产业园区开发及基础设施配套工程项目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主管部门</w:t>
            </w:r>
          </w:p>
        </w:tc>
        <w:tc>
          <w:tcPr>
            <w:tcW w:w="3141"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鹤山市址山镇人民政府</w:t>
            </w:r>
          </w:p>
        </w:tc>
        <w:tc>
          <w:tcPr>
            <w:tcW w:w="1345"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实施单位</w:t>
            </w:r>
          </w:p>
        </w:tc>
        <w:tc>
          <w:tcPr>
            <w:tcW w:w="7388"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鹤山市址山镇人民政府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项目总投资</w:t>
            </w:r>
          </w:p>
        </w:tc>
        <w:tc>
          <w:tcPr>
            <w:tcW w:w="3141"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164,309.97</w:t>
            </w:r>
            <w:r>
              <w:rPr>
                <w:rFonts w:hint="eastAsia" w:ascii="仿宋_GB2312" w:hAnsi="仿宋_GB2312" w:eastAsia="仿宋_GB2312" w:cs="仿宋_GB2312"/>
                <w:sz w:val="24"/>
                <w:szCs w:val="24"/>
                <w:lang w:val="en-US" w:bidi="ar"/>
              </w:rPr>
              <w:t>万元</w:t>
            </w:r>
          </w:p>
        </w:tc>
        <w:tc>
          <w:tcPr>
            <w:tcW w:w="1345"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投向领域</w:t>
            </w:r>
          </w:p>
        </w:tc>
        <w:tc>
          <w:tcPr>
            <w:tcW w:w="7388"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市政和产业园区基础设施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专项债券资金需求</w:t>
            </w:r>
          </w:p>
        </w:tc>
        <w:tc>
          <w:tcPr>
            <w:tcW w:w="3141"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bidi="ar"/>
              </w:rPr>
              <w:t>9</w:t>
            </w:r>
            <w:r>
              <w:rPr>
                <w:rFonts w:ascii="仿宋_GB2312" w:hAnsi="仿宋_GB2312" w:eastAsia="仿宋_GB2312" w:cs="仿宋_GB2312"/>
                <w:sz w:val="24"/>
                <w:szCs w:val="24"/>
                <w:lang w:val="en-US" w:bidi="ar"/>
              </w:rPr>
              <w:t>1,300.00</w:t>
            </w:r>
            <w:r>
              <w:rPr>
                <w:rFonts w:hint="eastAsia" w:ascii="仿宋_GB2312" w:hAnsi="仿宋_GB2312" w:eastAsia="仿宋_GB2312" w:cs="仿宋_GB2312"/>
                <w:sz w:val="24"/>
                <w:szCs w:val="24"/>
                <w:lang w:val="en-US" w:bidi="ar"/>
              </w:rPr>
              <w:t>万元</w:t>
            </w:r>
          </w:p>
        </w:tc>
        <w:tc>
          <w:tcPr>
            <w:tcW w:w="1345"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申请年限</w:t>
            </w:r>
          </w:p>
        </w:tc>
        <w:tc>
          <w:tcPr>
            <w:tcW w:w="7388"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20</w:t>
            </w:r>
            <w:r>
              <w:rPr>
                <w:rFonts w:hint="eastAsia" w:ascii="仿宋_GB2312" w:hAnsi="仿宋_GB2312" w:eastAsia="仿宋_GB2312" w:cs="仿宋_GB2312"/>
                <w:sz w:val="24"/>
                <w:szCs w:val="24"/>
                <w:lang w:val="en-US"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政策依据</w:t>
            </w:r>
          </w:p>
        </w:tc>
        <w:tc>
          <w:tcPr>
            <w:tcW w:w="11874" w:type="dxa"/>
            <w:gridSpan w:val="5"/>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鹤山市发展和改革局出具《关于鹤山市硅能源产业园区开发及基础设施配套工程项目可行性研究报告的批复》（鹤发改资</w:t>
            </w:r>
            <w:r>
              <w:rPr>
                <w:rFonts w:ascii="仿宋_GB2312" w:hAnsi="仿宋_GB2312" w:eastAsia="仿宋_GB2312" w:cs="仿宋_GB2312"/>
                <w:sz w:val="24"/>
                <w:szCs w:val="24"/>
              </w:rPr>
              <w:t>[2023]14号）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建设内容</w:t>
            </w:r>
          </w:p>
        </w:tc>
        <w:tc>
          <w:tcPr>
            <w:tcW w:w="11874" w:type="dxa"/>
            <w:gridSpan w:val="5"/>
            <w:shd w:val="clear" w:color="auto" w:fill="auto"/>
            <w:vAlign w:val="center"/>
          </w:tcPr>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(一)新建规划一路：新建道路长2120米，宽40米，包括道路工程、给排水工程、公共管廊等。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(二)新建龙湾路：新建道路长1800米，宽25米，包括道路工程、给排水工程、公共管廊等。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(三)新建龙湾西路：新建道路长1500米，宽20米，包括道路工程、给排水工程、公共管廊等。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(四)新建创业路延长线：新建道路长270米，宽40米，包括道路工程、给排水工程、公共管廊等。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(五)新建规划二路：新建道路长1600米，宽40米，包括道路工程、给排水工程、公共管廊等。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(六)新建平沙路延长线：新建道路长620米，宽40米，</w:t>
            </w:r>
          </w:p>
          <w:p>
            <w:pPr>
              <w:widowControl/>
              <w:textAlignment w:val="center"/>
              <w:rPr>
                <w:rFonts w:ascii="仿宋_GB2312" w:hAnsi="仿宋_GB2312" w:eastAsia="仿宋_GB2312" w:cs="仿宋_GB2312"/>
                <w:sz w:val="24"/>
                <w:szCs w:val="24"/>
                <w:lang w:val="en-US" w:bidi="ar"/>
              </w:rPr>
            </w:pPr>
            <w:r>
              <w:rPr>
                <w:rFonts w:hint="eastAsia" w:ascii="仿宋_GB2312" w:hAnsi="仿宋_GB2312" w:eastAsia="仿宋_GB2312" w:cs="仿宋_GB2312"/>
                <w:sz w:val="24"/>
                <w:szCs w:val="24"/>
                <w:lang w:val="en-US" w:bidi="ar"/>
              </w:rPr>
              <w:t>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(七)新建规划三路：新建道路长1100米，宽40米，包括道路工程、给排水工程、公共管廊等。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(八)新建龙湾东路：新建道路长1650米，宽25米，包括道路工程、给排水工程、公共管廊等。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(九)扩建迎宾西路：改造道路长1800米，宽40米，包括道路工程、给排水工程、公共管廊等。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(十)园区配套停车场：新建大型园区停车场，面积约36945平方米，配套建设充电桩。</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(十一)硅能源核心区环境提升工程：改造园区道路6000米，宽40米，道路硬底化及维修，新建及改造排水、排污等基础设施4000米。</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(十二)园区新建配套厂房：新建园区内标准厂房10万平</w:t>
            </w:r>
          </w:p>
          <w:p>
            <w:pPr>
              <w:widowControl/>
              <w:textAlignment w:val="center"/>
              <w:rPr>
                <w:rFonts w:ascii="仿宋_GB2312" w:hAnsi="仿宋_GB2312" w:eastAsia="仿宋_GB2312" w:cs="仿宋_GB2312"/>
                <w:sz w:val="24"/>
                <w:szCs w:val="24"/>
                <w:lang w:val="en-US" w:bidi="ar"/>
              </w:rPr>
            </w:pPr>
            <w:r>
              <w:rPr>
                <w:rFonts w:hint="eastAsia" w:ascii="仿宋_GB2312" w:hAnsi="仿宋_GB2312" w:eastAsia="仿宋_GB2312" w:cs="仿宋_GB2312"/>
                <w:sz w:val="24"/>
                <w:szCs w:val="24"/>
                <w:lang w:val="en-US" w:bidi="ar"/>
              </w:rPr>
              <w:t>方米。</w:t>
            </w:r>
          </w:p>
          <w:p>
            <w:pPr>
              <w:widowControl/>
              <w:textAlignment w:val="center"/>
              <w:rPr>
                <w:rFonts w:ascii="仿宋_GB2312" w:hAnsi="仿宋_GB2312" w:eastAsia="仿宋_GB2312" w:cs="仿宋_GB2312"/>
                <w:sz w:val="24"/>
                <w:szCs w:val="24"/>
                <w:lang w:val="en-US" w:bidi="ar"/>
              </w:rPr>
            </w:pPr>
            <w:r>
              <w:rPr>
                <w:rFonts w:hint="eastAsia" w:ascii="仿宋_GB2312" w:hAnsi="仿宋_GB2312" w:eastAsia="仿宋_GB2312" w:cs="仿宋_GB2312"/>
                <w:sz w:val="24"/>
                <w:szCs w:val="24"/>
                <w:lang w:val="en-US" w:bidi="ar"/>
              </w:rPr>
              <w:t>（十三）园区北片区配套供电设施工程：新建北片区配套电力线路</w:t>
            </w:r>
            <w:r>
              <w:rPr>
                <w:rFonts w:ascii="仿宋_GB2312" w:hAnsi="仿宋_GB2312" w:eastAsia="仿宋_GB2312" w:cs="仿宋_GB2312"/>
                <w:sz w:val="24"/>
                <w:szCs w:val="24"/>
                <w:lang w:val="en-US" w:bidi="ar"/>
              </w:rPr>
              <w:t>20362米及配套的电力设备。</w:t>
            </w:r>
          </w:p>
          <w:p>
            <w:pPr>
              <w:widowControl/>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(十四)园区北片区配套供水设施工程：新建给水管总长约600米；新建加压泵房1座，建筑面积600平方米；新建容量800立方米蓄水池一座。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拟发债期限内项目收入</w:t>
            </w:r>
          </w:p>
        </w:tc>
        <w:tc>
          <w:tcPr>
            <w:tcW w:w="11874" w:type="dxa"/>
            <w:gridSpan w:val="5"/>
            <w:shd w:val="clear" w:color="auto" w:fill="auto"/>
            <w:vAlign w:val="center"/>
          </w:tcPr>
          <w:p>
            <w:pPr>
              <w:widowControl/>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295,256.60</w:t>
            </w:r>
            <w:r>
              <w:rPr>
                <w:rFonts w:hint="eastAsia" w:ascii="仿宋_GB2312" w:hAnsi="仿宋_GB2312" w:eastAsia="仿宋_GB2312" w:cs="仿宋_GB2312"/>
                <w:sz w:val="24"/>
                <w:szCs w:val="24"/>
                <w:lang w:val="en-US" w:bidi="ar"/>
              </w:rPr>
              <w:t>万元</w:t>
            </w:r>
            <w:r>
              <w:rPr>
                <w:rFonts w:hint="eastAsia" w:ascii="仿宋_GB2312" w:hAnsi="仿宋_GB2312" w:eastAsia="仿宋_GB2312" w:cs="仿宋_GB2312"/>
                <w:sz w:val="24"/>
                <w:szCs w:val="24"/>
                <w:shd w:val="clear" w:color="auto" w:fill="auto"/>
                <w:lang w:val="en-US" w:bidi="ar"/>
              </w:rPr>
              <w:t>，</w:t>
            </w:r>
            <w:r>
              <w:rPr>
                <w:rFonts w:hint="eastAsia" w:ascii="仿宋_GB2312" w:hAnsi="仿宋_GB2312" w:eastAsia="仿宋_GB2312" w:cs="仿宋_GB2312"/>
                <w:color w:val="000000" w:themeColor="text1"/>
                <w:sz w:val="24"/>
                <w:szCs w:val="24"/>
                <w:shd w:val="clear" w:color="auto" w:fill="auto"/>
                <w:lang w:val="en-US" w:bidi="ar"/>
                <w14:textFill>
                  <w14:solidFill>
                    <w14:schemeClr w14:val="tx1"/>
                  </w14:solidFill>
                </w14:textFill>
              </w:rPr>
              <w:t>其中：1.</w:t>
            </w:r>
            <w:r>
              <w:rPr>
                <w:rFonts w:hint="eastAsia"/>
                <w:color w:val="000000" w:themeColor="text1"/>
                <w:shd w:val="clear" w:color="auto" w:fill="auto"/>
                <w14:textFill>
                  <w14:solidFill>
                    <w14:schemeClr w14:val="tx1"/>
                  </w14:solidFill>
                </w14:textFill>
              </w:rPr>
              <w:t xml:space="preserve"> </w:t>
            </w:r>
            <w:r>
              <w:rPr>
                <w:rFonts w:hint="eastAsia" w:ascii="仿宋_GB2312" w:hAnsi="仿宋_GB2312" w:eastAsia="仿宋_GB2312" w:cs="仿宋_GB2312"/>
                <w:color w:val="000000" w:themeColor="text1"/>
                <w:sz w:val="24"/>
                <w:szCs w:val="24"/>
                <w:shd w:val="clear" w:color="auto" w:fill="auto"/>
                <w:lang w:val="en-US" w:bidi="ar"/>
                <w14:textFill>
                  <w14:solidFill>
                    <w14:schemeClr w14:val="tx1"/>
                  </w14:solidFill>
                </w14:textFill>
              </w:rPr>
              <w:t>道路收入</w:t>
            </w:r>
            <w:r>
              <w:rPr>
                <w:rFonts w:ascii="仿宋_GB2312" w:hAnsi="仿宋_GB2312" w:eastAsia="仿宋_GB2312" w:cs="仿宋_GB2312"/>
                <w:color w:val="000000" w:themeColor="text1"/>
                <w:sz w:val="24"/>
                <w:szCs w:val="24"/>
                <w:shd w:val="clear" w:color="auto" w:fill="auto"/>
                <w:lang w:val="en-US" w:bidi="ar"/>
                <w14:textFill>
                  <w14:solidFill>
                    <w14:schemeClr w14:val="tx1"/>
                  </w14:solidFill>
                </w14:textFill>
              </w:rPr>
              <w:t>183,941.75</w:t>
            </w:r>
            <w:r>
              <w:rPr>
                <w:rFonts w:hint="eastAsia" w:ascii="仿宋_GB2312" w:hAnsi="仿宋_GB2312" w:eastAsia="仿宋_GB2312" w:cs="仿宋_GB2312"/>
                <w:color w:val="000000" w:themeColor="text1"/>
                <w:sz w:val="24"/>
                <w:szCs w:val="24"/>
                <w:shd w:val="clear" w:color="auto" w:fill="auto"/>
                <w:lang w:val="en-US" w:eastAsia="zh-CN" w:bidi="ar"/>
                <w14:textFill>
                  <w14:solidFill>
                    <w14:schemeClr w14:val="tx1"/>
                  </w14:solidFill>
                </w14:textFill>
              </w:rPr>
              <w:t>万元</w:t>
            </w:r>
            <w:bookmarkStart w:id="0" w:name="_GoBack"/>
            <w:bookmarkEnd w:id="0"/>
            <w:r>
              <w:rPr>
                <w:rFonts w:hint="eastAsia" w:ascii="仿宋_GB2312" w:hAnsi="仿宋_GB2312" w:eastAsia="仿宋_GB2312" w:cs="仿宋_GB2312"/>
                <w:color w:val="000000" w:themeColor="text1"/>
                <w:sz w:val="24"/>
                <w:szCs w:val="24"/>
                <w:shd w:val="clear" w:color="auto" w:fill="auto"/>
                <w:lang w:val="en-US" w:bidi="ar"/>
                <w14:textFill>
                  <w14:solidFill>
                    <w14:schemeClr w14:val="tx1"/>
                  </w14:solidFill>
                </w14:textFill>
              </w:rPr>
              <w:t>、智慧停车场收入</w:t>
            </w:r>
            <w:r>
              <w:rPr>
                <w:rFonts w:ascii="仿宋_GB2312" w:hAnsi="仿宋_GB2312" w:eastAsia="仿宋_GB2312" w:cs="仿宋_GB2312"/>
                <w:color w:val="000000" w:themeColor="text1"/>
                <w:sz w:val="24"/>
                <w:szCs w:val="24"/>
                <w:shd w:val="clear" w:color="auto" w:fill="auto"/>
                <w:lang w:val="en-US" w:bidi="ar"/>
                <w14:textFill>
                  <w14:solidFill>
                    <w14:schemeClr w14:val="tx1"/>
                  </w14:solidFill>
                </w14:textFill>
              </w:rPr>
              <w:t>91,004.08</w:t>
            </w:r>
            <w:r>
              <w:rPr>
                <w:rFonts w:hint="eastAsia" w:ascii="仿宋_GB2312" w:hAnsi="仿宋_GB2312" w:eastAsia="仿宋_GB2312" w:cs="仿宋_GB2312"/>
                <w:color w:val="000000" w:themeColor="text1"/>
                <w:sz w:val="24"/>
                <w:szCs w:val="24"/>
                <w:shd w:val="clear" w:color="auto" w:fill="auto"/>
                <w:lang w:val="en-US" w:eastAsia="zh-CN" w:bidi="ar"/>
                <w14:textFill>
                  <w14:solidFill>
                    <w14:schemeClr w14:val="tx1"/>
                  </w14:solidFill>
                </w14:textFill>
              </w:rPr>
              <w:t>万元</w:t>
            </w:r>
            <w:r>
              <w:rPr>
                <w:rFonts w:hint="eastAsia" w:ascii="仿宋_GB2312" w:hAnsi="仿宋_GB2312" w:eastAsia="仿宋_GB2312" w:cs="仿宋_GB2312"/>
                <w:color w:val="000000" w:themeColor="text1"/>
                <w:sz w:val="24"/>
                <w:szCs w:val="24"/>
                <w:shd w:val="clear" w:color="auto" w:fill="auto"/>
                <w:lang w:val="en-US" w:bidi="ar"/>
                <w14:textFill>
                  <w14:solidFill>
                    <w14:schemeClr w14:val="tx1"/>
                  </w14:solidFill>
                </w14:textFill>
              </w:rPr>
              <w:t>、垃圾中转站收入</w:t>
            </w:r>
            <w:r>
              <w:rPr>
                <w:rFonts w:ascii="仿宋_GB2312" w:hAnsi="仿宋_GB2312" w:eastAsia="仿宋_GB2312" w:cs="仿宋_GB2312"/>
                <w:color w:val="000000" w:themeColor="text1"/>
                <w:sz w:val="24"/>
                <w:szCs w:val="24"/>
                <w:shd w:val="clear" w:color="auto" w:fill="auto"/>
                <w:lang w:val="en-US" w:bidi="ar"/>
                <w14:textFill>
                  <w14:solidFill>
                    <w14:schemeClr w14:val="tx1"/>
                  </w14:solidFill>
                </w14:textFill>
              </w:rPr>
              <w:t>4,083.20</w:t>
            </w:r>
            <w:r>
              <w:rPr>
                <w:rFonts w:hint="eastAsia" w:ascii="仿宋_GB2312" w:hAnsi="仿宋_GB2312" w:eastAsia="仿宋_GB2312" w:cs="仿宋_GB2312"/>
                <w:color w:val="000000" w:themeColor="text1"/>
                <w:sz w:val="24"/>
                <w:szCs w:val="24"/>
                <w:shd w:val="clear" w:color="auto" w:fill="auto"/>
                <w:lang w:val="en-US" w:eastAsia="zh-CN" w:bidi="ar"/>
                <w14:textFill>
                  <w14:solidFill>
                    <w14:schemeClr w14:val="tx1"/>
                  </w14:solidFill>
                </w14:textFill>
              </w:rPr>
              <w:t>万元</w:t>
            </w:r>
            <w:r>
              <w:rPr>
                <w:rFonts w:hint="eastAsia" w:ascii="仿宋_GB2312" w:hAnsi="仿宋_GB2312" w:eastAsia="仿宋_GB2312" w:cs="仿宋_GB2312"/>
                <w:color w:val="000000" w:themeColor="text1"/>
                <w:sz w:val="24"/>
                <w:szCs w:val="24"/>
                <w:shd w:val="clear" w:color="auto" w:fill="auto"/>
                <w:lang w:val="en-US" w:bidi="ar"/>
                <w14:textFill>
                  <w14:solidFill>
                    <w14:schemeClr w14:val="tx1"/>
                  </w14:solidFill>
                </w14:textFill>
              </w:rPr>
              <w:t>、光伏并网收入</w:t>
            </w:r>
            <w:r>
              <w:rPr>
                <w:rFonts w:ascii="仿宋_GB2312" w:hAnsi="仿宋_GB2312" w:eastAsia="仿宋_GB2312" w:cs="仿宋_GB2312"/>
                <w:color w:val="000000" w:themeColor="text1"/>
                <w:sz w:val="24"/>
                <w:szCs w:val="24"/>
                <w:shd w:val="clear" w:color="auto" w:fill="auto"/>
                <w:lang w:val="en-US" w:bidi="ar"/>
                <w14:textFill>
                  <w14:solidFill>
                    <w14:schemeClr w14:val="tx1"/>
                  </w14:solidFill>
                </w14:textFill>
              </w:rPr>
              <w:t>16,227.57</w:t>
            </w:r>
            <w:r>
              <w:rPr>
                <w:rFonts w:hint="eastAsia" w:ascii="仿宋_GB2312" w:hAnsi="仿宋_GB2312" w:eastAsia="仿宋_GB2312" w:cs="仿宋_GB2312"/>
                <w:color w:val="000000" w:themeColor="text1"/>
                <w:sz w:val="24"/>
                <w:szCs w:val="24"/>
                <w:shd w:val="clear" w:color="auto" w:fill="auto"/>
                <w:lang w:val="en-US" w:eastAsia="zh-CN" w:bidi="ar"/>
                <w14:textFill>
                  <w14:solidFill>
                    <w14:schemeClr w14:val="tx1"/>
                  </w14:solidFill>
                </w14:textFill>
              </w:rPr>
              <w:t>万元</w:t>
            </w:r>
            <w:r>
              <w:rPr>
                <w:rFonts w:hint="eastAsia" w:ascii="仿宋_GB2312" w:hAnsi="仿宋_GB2312" w:eastAsia="仿宋_GB2312" w:cs="仿宋_GB2312"/>
                <w:color w:val="000000" w:themeColor="text1"/>
                <w:sz w:val="24"/>
                <w:szCs w:val="24"/>
                <w:shd w:val="clear" w:color="auto" w:fill="auto"/>
                <w:lang w:val="en-US"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976"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总体绩效</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目标</w:t>
            </w:r>
          </w:p>
        </w:tc>
        <w:tc>
          <w:tcPr>
            <w:tcW w:w="11874" w:type="dxa"/>
            <w:gridSpan w:val="5"/>
            <w:shd w:val="clear" w:color="auto" w:fill="auto"/>
          </w:tcPr>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(一)新建规划一路：新建道路长2120米，宽40米，包括道路工程、给排水工程、公共管廊等。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(二)新建龙湾路：新建道路长1800米，宽25米，包括道路工程、给排水工程、公共管廊等。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(三)新建龙湾西路：新建道路长1500米，宽20米，包括道路工程、给排水工程、公共管廊等。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(四)新建创业路延长线：新建道路长270米，宽40米，包括道路工程、给排水工程、公共管廊等。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(五)新建规划二路：新建道路长1600米，宽40米，包括道路工程、给排水工程、公共管廊等。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(六)新建平沙路延长线：新建道路长620米，宽40米，</w:t>
            </w:r>
          </w:p>
          <w:p>
            <w:pPr>
              <w:widowControl/>
              <w:textAlignment w:val="center"/>
              <w:rPr>
                <w:rFonts w:ascii="仿宋_GB2312" w:hAnsi="仿宋_GB2312" w:eastAsia="仿宋_GB2312" w:cs="仿宋_GB2312"/>
                <w:sz w:val="24"/>
                <w:szCs w:val="24"/>
                <w:lang w:val="en-US" w:bidi="ar"/>
              </w:rPr>
            </w:pPr>
            <w:r>
              <w:rPr>
                <w:rFonts w:hint="eastAsia" w:ascii="仿宋_GB2312" w:hAnsi="仿宋_GB2312" w:eastAsia="仿宋_GB2312" w:cs="仿宋_GB2312"/>
                <w:sz w:val="24"/>
                <w:szCs w:val="24"/>
                <w:lang w:val="en-US" w:bidi="ar"/>
              </w:rPr>
              <w:t>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(七)新建规划三路：新建道路长1100米，宽40米，包括道路工程、给排水工程、公共管廊等。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(八)新建龙湾东路：新建道路长1650米，宽25米，包括道路工程、给排水工程、公共管廊等。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(九)扩建迎宾西路：改造道路长1800米，宽40米，包括道路工程、给排水工程、公共管廊等。</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(十)园区配套停车场：新建大型园区停车场，面积约36945平方米，配套建设充电桩。</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(十一)硅能源核心区环境提升工程：改造园区道路6000米，宽40米，道路硬底化及维修，新建及改造排水、排污等基础设施4000米。</w:t>
            </w:r>
          </w:p>
          <w:p>
            <w:pPr>
              <w:widowControl/>
              <w:textAlignment w:val="center"/>
              <w:rPr>
                <w:rFonts w:ascii="仿宋_GB2312" w:hAnsi="仿宋_GB2312" w:eastAsia="仿宋_GB2312" w:cs="仿宋_GB2312"/>
                <w:sz w:val="24"/>
                <w:szCs w:val="24"/>
                <w:lang w:val="en-US" w:bidi="ar"/>
              </w:rPr>
            </w:pPr>
            <w:r>
              <w:rPr>
                <w:rFonts w:ascii="仿宋_GB2312" w:hAnsi="仿宋_GB2312" w:eastAsia="仿宋_GB2312" w:cs="仿宋_GB2312"/>
                <w:sz w:val="24"/>
                <w:szCs w:val="24"/>
                <w:lang w:val="en-US" w:bidi="ar"/>
              </w:rPr>
              <w:t>(十二)园区新建配套厂房：新建园区内标准厂房10万</w:t>
            </w:r>
            <w:r>
              <w:rPr>
                <w:rFonts w:ascii="仿宋_GB2312" w:hAnsi="仿宋_GB2312" w:eastAsia="仿宋_GB2312" w:cs="仿宋_GB2312"/>
                <w:sz w:val="24"/>
                <w:szCs w:val="24"/>
                <w:shd w:val="clear" w:color="auto" w:fill="auto"/>
                <w:lang w:val="en-US" w:bidi="ar"/>
              </w:rPr>
              <w:t>平</w:t>
            </w:r>
            <w:r>
              <w:rPr>
                <w:rFonts w:hint="eastAsia" w:ascii="仿宋_GB2312" w:hAnsi="仿宋_GB2312" w:eastAsia="仿宋_GB2312" w:cs="仿宋_GB2312"/>
                <w:sz w:val="24"/>
                <w:szCs w:val="24"/>
                <w:shd w:val="clear" w:color="auto" w:fill="auto"/>
                <w:lang w:val="en-US" w:bidi="ar"/>
              </w:rPr>
              <w:t>方米</w:t>
            </w:r>
            <w:r>
              <w:rPr>
                <w:rFonts w:hint="eastAsia" w:ascii="仿宋_GB2312" w:hAnsi="仿宋_GB2312" w:eastAsia="仿宋_GB2312" w:cs="仿宋_GB2312"/>
                <w:sz w:val="24"/>
                <w:szCs w:val="24"/>
                <w:lang w:val="en-US" w:bidi="ar"/>
              </w:rPr>
              <w:t>。</w:t>
            </w:r>
          </w:p>
          <w:p>
            <w:pPr>
              <w:widowControl/>
              <w:textAlignment w:val="center"/>
              <w:rPr>
                <w:rFonts w:ascii="仿宋_GB2312" w:hAnsi="仿宋_GB2312" w:eastAsia="仿宋_GB2312" w:cs="仿宋_GB2312"/>
                <w:sz w:val="24"/>
                <w:szCs w:val="24"/>
                <w:lang w:val="en-US" w:bidi="ar"/>
              </w:rPr>
            </w:pPr>
            <w:r>
              <w:rPr>
                <w:rFonts w:hint="eastAsia" w:ascii="仿宋_GB2312" w:hAnsi="仿宋_GB2312" w:eastAsia="仿宋_GB2312" w:cs="仿宋_GB2312"/>
                <w:sz w:val="24"/>
                <w:szCs w:val="24"/>
                <w:lang w:val="en-US" w:bidi="ar"/>
              </w:rPr>
              <w:t>（十三）园区北片区配套供电设施工程：新建北片区配套电力线路</w:t>
            </w:r>
            <w:r>
              <w:rPr>
                <w:rFonts w:ascii="仿宋_GB2312" w:hAnsi="仿宋_GB2312" w:eastAsia="仿宋_GB2312" w:cs="仿宋_GB2312"/>
                <w:sz w:val="24"/>
                <w:szCs w:val="24"/>
                <w:lang w:val="en-US" w:bidi="ar"/>
              </w:rPr>
              <w:t>20362米及配套的电力设备。</w:t>
            </w:r>
          </w:p>
          <w:p>
            <w:pPr>
              <w:widowControl/>
              <w:textAlignment w:val="top"/>
              <w:rPr>
                <w:rFonts w:ascii="仿宋_GB2312" w:hAnsi="仿宋_GB2312" w:eastAsia="仿宋_GB2312" w:cs="仿宋_GB2312"/>
                <w:sz w:val="24"/>
                <w:szCs w:val="24"/>
              </w:rPr>
            </w:pPr>
            <w:r>
              <w:rPr>
                <w:rFonts w:ascii="仿宋_GB2312" w:hAnsi="仿宋_GB2312" w:eastAsia="仿宋_GB2312" w:cs="仿宋_GB2312"/>
                <w:sz w:val="24"/>
                <w:szCs w:val="24"/>
                <w:lang w:val="en-US" w:bidi="ar"/>
              </w:rPr>
              <w:t>(十四)园区北片区配套供水设施工程：新建给水管总长约600米；新建加压泵房1座，建筑面积600平方米；新建容量800立方米蓄水池一座。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3"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绩</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效</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标</w:t>
            </w:r>
          </w:p>
        </w:tc>
        <w:tc>
          <w:tcPr>
            <w:tcW w:w="1313"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一级指标</w:t>
            </w: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二级指标</w:t>
            </w:r>
          </w:p>
        </w:tc>
        <w:tc>
          <w:tcPr>
            <w:tcW w:w="2870" w:type="dxa"/>
            <w:gridSpan w:val="2"/>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三级指标</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202</w:t>
            </w:r>
            <w:r>
              <w:rPr>
                <w:rFonts w:ascii="仿宋_GB2312" w:hAnsi="仿宋_GB2312" w:eastAsia="仿宋_GB2312" w:cs="仿宋_GB2312"/>
                <w:sz w:val="24"/>
                <w:szCs w:val="24"/>
                <w:lang w:val="en-US" w:bidi="ar"/>
              </w:rPr>
              <w:t>4</w:t>
            </w:r>
            <w:r>
              <w:rPr>
                <w:rFonts w:hint="eastAsia" w:ascii="仿宋_GB2312" w:hAnsi="仿宋_GB2312" w:eastAsia="仿宋_GB2312" w:cs="仿宋_GB2312"/>
                <w:sz w:val="24"/>
                <w:szCs w:val="24"/>
                <w:lang w:val="en-US" w:bidi="ar"/>
              </w:rPr>
              <w:t>年度资金绩效</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指标值</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总体绩效指标值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产</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出</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标</w:t>
            </w: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数量指标</w:t>
            </w:r>
          </w:p>
        </w:tc>
        <w:tc>
          <w:tcPr>
            <w:tcW w:w="2870" w:type="dxa"/>
            <w:gridSpan w:val="2"/>
            <w:shd w:val="clear" w:color="auto" w:fill="auto"/>
            <w:vAlign w:val="center"/>
          </w:tcPr>
          <w:p>
            <w:pPr>
              <w:widowControl/>
              <w:textAlignment w:val="center"/>
              <w:rPr>
                <w:rFonts w:hint="eastAsia" w:ascii="仿宋_GB2312" w:hAnsi="仿宋_GB2312" w:eastAsia="仿宋_GB2312" w:cs="仿宋_GB2312"/>
                <w:strike/>
                <w:dstrike w:val="0"/>
                <w:sz w:val="24"/>
                <w:szCs w:val="24"/>
                <w:highlight w:val="yellow"/>
                <w:lang w:val="en-US" w:eastAsia="zh-CN" w:bidi="ar"/>
              </w:rPr>
            </w:pPr>
            <w:r>
              <w:rPr>
                <w:rFonts w:hint="eastAsia" w:ascii="仿宋_GB2312" w:hAnsi="仿宋_GB2312" w:eastAsia="仿宋_GB2312" w:cs="仿宋_GB2312"/>
                <w:sz w:val="24"/>
                <w:szCs w:val="24"/>
                <w:lang w:val="en-US" w:bidi="ar"/>
              </w:rPr>
              <w:t>新建道路</w:t>
            </w:r>
          </w:p>
        </w:tc>
        <w:tc>
          <w:tcPr>
            <w:tcW w:w="2204" w:type="dxa"/>
            <w:shd w:val="clear" w:color="auto" w:fill="auto"/>
            <w:vAlign w:val="center"/>
          </w:tcPr>
          <w:p>
            <w:pPr>
              <w:widowControl/>
              <w:jc w:val="center"/>
              <w:textAlignment w:val="center"/>
              <w:rPr>
                <w:rFonts w:hint="eastAsia" w:ascii="仿宋_GB2312" w:hAnsi="仿宋_GB2312" w:eastAsia="仿宋_GB2312" w:cs="仿宋_GB2312"/>
                <w:strike/>
                <w:dstrike w:val="0"/>
                <w:sz w:val="24"/>
                <w:szCs w:val="24"/>
                <w:highlight w:val="yellow"/>
                <w:lang w:val="en-US" w:bidi="ar"/>
              </w:rPr>
            </w:pPr>
            <w:r>
              <w:rPr>
                <w:rFonts w:hint="eastAsia" w:ascii="仿宋_GB2312" w:hAnsi="仿宋_GB2312" w:eastAsia="仿宋_GB2312" w:cs="仿宋_GB2312"/>
                <w:sz w:val="24"/>
                <w:szCs w:val="24"/>
                <w:highlight w:val="none"/>
                <w:shd w:val="clear" w:color="auto" w:fill="auto"/>
                <w:lang w:val="en-US" w:bidi="ar"/>
              </w:rPr>
              <w:t>0</w:t>
            </w:r>
            <w:r>
              <w:rPr>
                <w:rFonts w:hint="eastAsia" w:ascii="仿宋_GB2312" w:hAnsi="仿宋_GB2312" w:eastAsia="仿宋_GB2312" w:cs="仿宋_GB2312"/>
                <w:sz w:val="24"/>
                <w:szCs w:val="24"/>
                <w:highlight w:val="none"/>
                <w:shd w:val="clear" w:color="auto" w:fill="auto"/>
                <w:lang w:val="en-US" w:eastAsia="zh-CN" w:bidi="ar"/>
              </w:rPr>
              <w:t>公里</w:t>
            </w:r>
          </w:p>
        </w:tc>
        <w:tc>
          <w:tcPr>
            <w:tcW w:w="5184" w:type="dxa"/>
            <w:tcBorders/>
            <w:shd w:val="clear" w:color="auto" w:fill="auto"/>
            <w:vAlign w:val="center"/>
          </w:tcPr>
          <w:p>
            <w:pPr>
              <w:widowControl/>
              <w:jc w:val="center"/>
              <w:textAlignment w:val="center"/>
              <w:rPr>
                <w:rFonts w:hint="eastAsia" w:ascii="仿宋_GB2312" w:hAnsi="仿宋_GB2312" w:eastAsia="仿宋_GB2312" w:cs="仿宋_GB2312"/>
                <w:strike/>
                <w:dstrike w:val="0"/>
                <w:sz w:val="24"/>
                <w:szCs w:val="24"/>
                <w:highlight w:val="yellow"/>
                <w:lang w:val="en-US" w:bidi="ar"/>
              </w:rPr>
            </w:pPr>
            <w:r>
              <w:rPr>
                <w:rFonts w:ascii="仿宋_GB2312" w:hAnsi="仿宋_GB2312" w:eastAsia="仿宋_GB2312" w:cs="仿宋_GB2312"/>
                <w:sz w:val="24"/>
                <w:szCs w:val="24"/>
                <w:lang w:val="en-US" w:bidi="ar"/>
              </w:rPr>
              <w:t>9</w:t>
            </w:r>
            <w:r>
              <w:rPr>
                <w:rFonts w:hint="eastAsia" w:ascii="仿宋_GB2312" w:hAnsi="仿宋_GB2312" w:eastAsia="仿宋_GB2312" w:cs="仿宋_GB2312"/>
                <w:sz w:val="24"/>
                <w:szCs w:val="24"/>
                <w:lang w:val="en-US"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质量指标</w:t>
            </w:r>
          </w:p>
        </w:tc>
        <w:tc>
          <w:tcPr>
            <w:tcW w:w="2870" w:type="dxa"/>
            <w:gridSpan w:val="2"/>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变更审批合规性（%）</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vMerge w:val="continue"/>
            <w:shd w:val="clear" w:color="auto" w:fill="auto"/>
            <w:vAlign w:val="center"/>
          </w:tcPr>
          <w:p>
            <w:pPr>
              <w:jc w:val="center"/>
              <w:rPr>
                <w:rFonts w:ascii="仿宋_GB2312" w:hAnsi="仿宋_GB2312" w:eastAsia="仿宋_GB2312" w:cs="仿宋_GB2312"/>
                <w:sz w:val="24"/>
                <w:szCs w:val="24"/>
              </w:rPr>
            </w:pPr>
          </w:p>
        </w:tc>
        <w:tc>
          <w:tcPr>
            <w:tcW w:w="2870" w:type="dxa"/>
            <w:gridSpan w:val="2"/>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施工质量验收达标率（%）</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时效指标</w:t>
            </w:r>
          </w:p>
        </w:tc>
        <w:tc>
          <w:tcPr>
            <w:tcW w:w="2870" w:type="dxa"/>
            <w:gridSpan w:val="2"/>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项目开工时间</w:t>
            </w:r>
          </w:p>
        </w:tc>
        <w:tc>
          <w:tcPr>
            <w:tcW w:w="2204" w:type="dxa"/>
            <w:shd w:val="clear" w:color="auto" w:fill="auto"/>
            <w:vAlign w:val="center"/>
          </w:tcPr>
          <w:p>
            <w:pPr>
              <w:widowControl/>
              <w:jc w:val="both"/>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202</w:t>
            </w:r>
            <w:r>
              <w:rPr>
                <w:rFonts w:ascii="仿宋_GB2312" w:hAnsi="仿宋_GB2312" w:eastAsia="仿宋_GB2312" w:cs="仿宋_GB2312"/>
                <w:sz w:val="24"/>
                <w:szCs w:val="24"/>
                <w:lang w:val="en-US" w:bidi="ar"/>
              </w:rPr>
              <w:t>3</w:t>
            </w:r>
            <w:r>
              <w:rPr>
                <w:rFonts w:hint="eastAsia" w:ascii="仿宋_GB2312" w:hAnsi="仿宋_GB2312" w:eastAsia="仿宋_GB2312" w:cs="仿宋_GB2312"/>
                <w:sz w:val="24"/>
                <w:szCs w:val="24"/>
                <w:lang w:val="en-US" w:bidi="ar"/>
              </w:rPr>
              <w:t>年3月</w:t>
            </w:r>
          </w:p>
        </w:tc>
        <w:tc>
          <w:tcPr>
            <w:tcW w:w="5184" w:type="dxa"/>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202</w:t>
            </w:r>
            <w:r>
              <w:rPr>
                <w:rFonts w:ascii="仿宋_GB2312" w:hAnsi="仿宋_GB2312" w:eastAsia="仿宋_GB2312" w:cs="仿宋_GB2312"/>
                <w:sz w:val="24"/>
                <w:szCs w:val="24"/>
                <w:lang w:val="en-US" w:bidi="ar"/>
              </w:rPr>
              <w:t>3</w:t>
            </w:r>
            <w:r>
              <w:rPr>
                <w:rFonts w:hint="eastAsia" w:ascii="仿宋_GB2312" w:hAnsi="仿宋_GB2312" w:eastAsia="仿宋_GB2312" w:cs="仿宋_GB2312"/>
                <w:sz w:val="24"/>
                <w:szCs w:val="24"/>
                <w:lang w:val="en-US" w:bidi="ar"/>
              </w:rPr>
              <w:t>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vMerge w:val="continue"/>
            <w:shd w:val="clear" w:color="auto" w:fill="auto"/>
            <w:vAlign w:val="center"/>
          </w:tcPr>
          <w:p>
            <w:pPr>
              <w:jc w:val="center"/>
              <w:rPr>
                <w:rFonts w:ascii="仿宋_GB2312" w:hAnsi="仿宋_GB2312" w:eastAsia="仿宋_GB2312" w:cs="仿宋_GB2312"/>
                <w:sz w:val="24"/>
                <w:szCs w:val="24"/>
              </w:rPr>
            </w:pPr>
          </w:p>
        </w:tc>
        <w:tc>
          <w:tcPr>
            <w:tcW w:w="2870" w:type="dxa"/>
            <w:gridSpan w:val="2"/>
            <w:shd w:val="clear" w:color="auto" w:fill="auto"/>
            <w:vAlign w:val="center"/>
          </w:tcPr>
          <w:p>
            <w:pPr>
              <w:widowControl/>
              <w:textAlignment w:val="center"/>
              <w:rPr>
                <w:rFonts w:ascii="仿宋_GB2312" w:hAnsi="仿宋_GB2312" w:eastAsia="仿宋_GB2312" w:cs="仿宋_GB2312"/>
              </w:rPr>
            </w:pPr>
            <w:r>
              <w:rPr>
                <w:rFonts w:hint="eastAsia" w:ascii="仿宋_GB2312" w:hAnsi="仿宋_GB2312" w:eastAsia="仿宋_GB2312" w:cs="仿宋_GB2312"/>
                <w:lang w:val="en-US" w:bidi="ar"/>
              </w:rPr>
              <w:t xml:space="preserve"> 项目按计划开工率（%）</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成本指标</w:t>
            </w:r>
          </w:p>
        </w:tc>
        <w:tc>
          <w:tcPr>
            <w:tcW w:w="0" w:type="auto"/>
            <w:gridSpan w:val="2"/>
            <w:shd w:val="clear" w:color="auto" w:fill="auto"/>
            <w:noWrap/>
            <w:vAlign w:val="center"/>
          </w:tcPr>
          <w:p>
            <w:pPr>
              <w:widowControl/>
              <w:textAlignment w:val="center"/>
              <w:rPr>
                <w:rFonts w:ascii="仿宋_GB2312" w:hAnsi="仿宋_GB2312" w:eastAsia="仿宋_GB2312" w:cs="仿宋_GB2312"/>
              </w:rPr>
            </w:pPr>
            <w:r>
              <w:rPr>
                <w:rFonts w:hint="eastAsia" w:ascii="仿宋_GB2312" w:hAnsi="仿宋_GB2312" w:eastAsia="仿宋_GB2312" w:cs="仿宋_GB2312"/>
                <w:lang w:val="en-US" w:bidi="ar"/>
              </w:rPr>
              <w:t>项目投资概算（万元）</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bidi="ar"/>
              </w:rPr>
              <w:t>150</w:t>
            </w:r>
            <w:r>
              <w:rPr>
                <w:rFonts w:hint="eastAsia" w:ascii="仿宋_GB2312" w:hAnsi="仿宋_GB2312" w:eastAsia="仿宋_GB2312" w:cs="仿宋_GB2312"/>
                <w:sz w:val="24"/>
                <w:szCs w:val="24"/>
                <w:highlight w:val="none"/>
                <w:lang w:val="en-US" w:bidi="ar"/>
              </w:rPr>
              <w:t>00万元</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164,309.97</w:t>
            </w:r>
            <w:r>
              <w:rPr>
                <w:rFonts w:hint="eastAsia" w:ascii="仿宋_GB2312" w:hAnsi="仿宋_GB2312" w:eastAsia="仿宋_GB2312" w:cs="仿宋_GB2312"/>
                <w:sz w:val="24"/>
                <w:szCs w:val="24"/>
                <w:lang w:val="en-US"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效</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益</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标</w:t>
            </w: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经济效益</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指标</w:t>
            </w:r>
          </w:p>
        </w:tc>
        <w:tc>
          <w:tcPr>
            <w:tcW w:w="2870" w:type="dxa"/>
            <w:gridSpan w:val="2"/>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项目收入金额（万元）</w:t>
            </w:r>
          </w:p>
        </w:tc>
        <w:tc>
          <w:tcPr>
            <w:tcW w:w="2204" w:type="dxa"/>
            <w:shd w:val="clear" w:color="auto" w:fill="auto"/>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
              </w:rPr>
              <w:t>-</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295,256.60</w:t>
            </w:r>
            <w:r>
              <w:rPr>
                <w:rFonts w:hint="eastAsia" w:ascii="仿宋_GB2312" w:hAnsi="仿宋_GB2312" w:eastAsia="仿宋_GB2312" w:cs="仿宋_GB2312"/>
                <w:sz w:val="24"/>
                <w:szCs w:val="24"/>
                <w:lang w:val="en-US"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可持续影响</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指标</w:t>
            </w:r>
          </w:p>
        </w:tc>
        <w:tc>
          <w:tcPr>
            <w:tcW w:w="2870" w:type="dxa"/>
            <w:gridSpan w:val="2"/>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设计使用年限（年）</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50年</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63"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绩</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效</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指</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标</w:t>
            </w:r>
          </w:p>
        </w:tc>
        <w:tc>
          <w:tcPr>
            <w:tcW w:w="1313"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效益指标</w:t>
            </w: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服务对象</w:t>
            </w:r>
            <w:r>
              <w:rPr>
                <w:rFonts w:hint="eastAsia" w:ascii="仿宋_GB2312" w:hAnsi="仿宋_GB2312" w:eastAsia="仿宋_GB2312" w:cs="仿宋_GB2312"/>
                <w:sz w:val="24"/>
                <w:szCs w:val="24"/>
                <w:lang w:val="en-US" w:bidi="ar"/>
              </w:rPr>
              <w:br w:type="textWrapping"/>
            </w:r>
            <w:r>
              <w:rPr>
                <w:rFonts w:hint="eastAsia" w:ascii="仿宋_GB2312" w:hAnsi="仿宋_GB2312" w:eastAsia="仿宋_GB2312" w:cs="仿宋_GB2312"/>
                <w:sz w:val="24"/>
                <w:szCs w:val="24"/>
                <w:lang w:val="en-US" w:bidi="ar"/>
              </w:rPr>
              <w:t>满意度指标</w:t>
            </w:r>
          </w:p>
        </w:tc>
        <w:tc>
          <w:tcPr>
            <w:tcW w:w="2870" w:type="dxa"/>
            <w:gridSpan w:val="2"/>
            <w:shd w:val="clear" w:color="auto" w:fill="auto"/>
            <w:vAlign w:val="center"/>
          </w:tcPr>
          <w:p>
            <w:pPr>
              <w:widowControl/>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服务对象满意度（%）</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98%</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偿债风险指标</w:t>
            </w:r>
          </w:p>
        </w:tc>
        <w:tc>
          <w:tcPr>
            <w:tcW w:w="1616"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融资与收益平衡指标</w:t>
            </w:r>
          </w:p>
        </w:tc>
        <w:tc>
          <w:tcPr>
            <w:tcW w:w="2870" w:type="dxa"/>
            <w:gridSpan w:val="2"/>
            <w:shd w:val="clear" w:color="auto" w:fill="auto"/>
            <w:vAlign w:val="center"/>
          </w:tcPr>
          <w:p>
            <w:pPr>
              <w:widowControl/>
              <w:textAlignment w:val="center"/>
              <w:rPr>
                <w:rFonts w:ascii="仿宋_GB2312" w:hAnsi="仿宋_GB2312" w:eastAsia="仿宋_GB2312" w:cs="仿宋_GB2312"/>
              </w:rPr>
            </w:pPr>
            <w:r>
              <w:rPr>
                <w:rFonts w:hint="eastAsia" w:ascii="仿宋_GB2312" w:hAnsi="仿宋_GB2312" w:eastAsia="仿宋_GB2312" w:cs="仿宋_GB2312"/>
                <w:lang w:val="en-US" w:bidi="ar"/>
              </w:rPr>
              <w:t>项目全生命周期预期收益与融资规模保障倍数</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1.86</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vMerge w:val="restart"/>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债券还本付息指标</w:t>
            </w:r>
          </w:p>
        </w:tc>
        <w:tc>
          <w:tcPr>
            <w:tcW w:w="2870" w:type="dxa"/>
            <w:gridSpan w:val="2"/>
            <w:shd w:val="clear" w:color="auto" w:fill="auto"/>
            <w:vAlign w:val="center"/>
          </w:tcPr>
          <w:p>
            <w:pPr>
              <w:widowControl/>
              <w:textAlignment w:val="center"/>
              <w:rPr>
                <w:rFonts w:ascii="仿宋_GB2312" w:hAnsi="仿宋_GB2312" w:eastAsia="仿宋_GB2312" w:cs="仿宋_GB2312"/>
              </w:rPr>
            </w:pPr>
            <w:r>
              <w:rPr>
                <w:rFonts w:hint="eastAsia" w:ascii="仿宋_GB2312" w:hAnsi="仿宋_GB2312" w:eastAsia="仿宋_GB2312" w:cs="仿宋_GB2312"/>
                <w:lang w:val="en-US" w:bidi="ar"/>
              </w:rPr>
              <w:t>已还本付息金额/应还本付息金额</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3,379.65</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lang w:val="en-US" w:bidi="ar"/>
              </w:rPr>
              <w:t>154,856.50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63" w:type="dxa"/>
            <w:vMerge w:val="continue"/>
            <w:shd w:val="clear" w:color="auto" w:fill="auto"/>
            <w:vAlign w:val="center"/>
          </w:tcPr>
          <w:p>
            <w:pPr>
              <w:jc w:val="center"/>
              <w:rPr>
                <w:rFonts w:ascii="仿宋_GB2312" w:hAnsi="仿宋_GB2312" w:eastAsia="仿宋_GB2312" w:cs="仿宋_GB2312"/>
                <w:sz w:val="24"/>
                <w:szCs w:val="24"/>
              </w:rPr>
            </w:pPr>
          </w:p>
        </w:tc>
        <w:tc>
          <w:tcPr>
            <w:tcW w:w="1313" w:type="dxa"/>
            <w:vMerge w:val="continue"/>
            <w:shd w:val="clear" w:color="auto" w:fill="auto"/>
            <w:vAlign w:val="center"/>
          </w:tcPr>
          <w:p>
            <w:pPr>
              <w:jc w:val="center"/>
              <w:rPr>
                <w:rFonts w:ascii="仿宋_GB2312" w:hAnsi="仿宋_GB2312" w:eastAsia="仿宋_GB2312" w:cs="仿宋_GB2312"/>
                <w:sz w:val="24"/>
                <w:szCs w:val="24"/>
              </w:rPr>
            </w:pPr>
          </w:p>
        </w:tc>
        <w:tc>
          <w:tcPr>
            <w:tcW w:w="1616" w:type="dxa"/>
            <w:vMerge w:val="continue"/>
            <w:shd w:val="clear" w:color="auto" w:fill="auto"/>
            <w:vAlign w:val="center"/>
          </w:tcPr>
          <w:p>
            <w:pPr>
              <w:jc w:val="center"/>
              <w:rPr>
                <w:rFonts w:ascii="仿宋_GB2312" w:hAnsi="仿宋_GB2312" w:eastAsia="仿宋_GB2312" w:cs="仿宋_GB2312"/>
                <w:sz w:val="24"/>
                <w:szCs w:val="24"/>
              </w:rPr>
            </w:pPr>
          </w:p>
        </w:tc>
        <w:tc>
          <w:tcPr>
            <w:tcW w:w="2870" w:type="dxa"/>
            <w:gridSpan w:val="2"/>
            <w:shd w:val="clear" w:color="auto" w:fill="auto"/>
            <w:vAlign w:val="center"/>
          </w:tcPr>
          <w:p>
            <w:pPr>
              <w:widowControl/>
              <w:textAlignment w:val="center"/>
              <w:rPr>
                <w:rFonts w:ascii="仿宋_GB2312" w:hAnsi="仿宋_GB2312" w:eastAsia="仿宋_GB2312" w:cs="仿宋_GB2312"/>
              </w:rPr>
            </w:pPr>
            <w:r>
              <w:rPr>
                <w:rFonts w:hint="eastAsia" w:ascii="仿宋_GB2312" w:hAnsi="仿宋_GB2312" w:eastAsia="仿宋_GB2312" w:cs="仿宋_GB2312"/>
                <w:lang w:val="en-US" w:bidi="ar"/>
              </w:rPr>
              <w:t>还本付息及时率（%）</w:t>
            </w:r>
          </w:p>
        </w:tc>
        <w:tc>
          <w:tcPr>
            <w:tcW w:w="220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c>
          <w:tcPr>
            <w:tcW w:w="5184" w:type="dxa"/>
            <w:shd w:val="clear" w:color="auto" w:fill="auto"/>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bidi="ar"/>
              </w:rPr>
              <w:t>100%</w:t>
            </w:r>
          </w:p>
        </w:tc>
      </w:tr>
    </w:tbl>
    <w:p>
      <w:pPr>
        <w:pStyle w:val="3"/>
        <w:spacing w:before="224" w:line="360" w:lineRule="auto"/>
        <w:rPr>
          <w:rFonts w:ascii="仿宋_GB2312" w:hAnsi="仿宋_GB2312" w:eastAsia="仿宋_GB2312" w:cs="仿宋_GB2312"/>
          <w:lang w:val="en-US"/>
        </w:rPr>
      </w:pPr>
    </w:p>
    <w:p/>
    <w:p/>
    <w:sectPr>
      <w:pgSz w:w="16840" w:h="11910" w:orient="landscape"/>
      <w:pgMar w:top="1420" w:right="1580" w:bottom="1260" w:left="1520" w:header="0" w:footer="13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YTQwYzY3NGRlYzMyN2JiODlmODk5NmRkMzkwY2YifQ=="/>
  </w:docVars>
  <w:rsids>
    <w:rsidRoot w:val="63515397"/>
    <w:rsid w:val="01E644F8"/>
    <w:rsid w:val="30870607"/>
    <w:rsid w:val="389C3213"/>
    <w:rsid w:val="63515397"/>
    <w:rsid w:val="7CBD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heme="minorBidi"/>
      <w:color w:val="000000"/>
      <w:sz w:val="24"/>
      <w:szCs w:val="22"/>
      <w:lang w:val="en-US" w:eastAsia="zh-CN" w:bidi="ar-SA"/>
    </w:rPr>
  </w:style>
  <w:style w:type="paragraph" w:styleId="3">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江门市市政协办机关</Company>
  <Pages>3</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2024-04-29T08:52:00Z</dcterms:created>
  <dc:creator>简简</dc:creator>
  <cp:lastModifiedBy>简简</cp:lastModifiedBy>
  <dcterms:modified xsi:type="dcterms:W3CDTF">2024-05-11T07:23:27Z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95CF2C997C6A475CAE61AECF441A739C_13</vt:lpwstr>
  </property>
</Properties>
</file>