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农用地转用方案</w:t>
      </w:r>
    </w:p>
    <w:p>
      <w:pPr>
        <w:jc w:val="right"/>
        <w:rPr>
          <w:rFonts w:ascii="方正小标宋简体" w:hAnsi="方正小标宋简体" w:eastAsia="方正小标宋简体" w:cs="方正小标宋简体"/>
          <w:color w:val="494846"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color w:val="626260"/>
          <w:sz w:val="19"/>
          <w:szCs w:val="19"/>
          <w:lang w:eastAsia="zh-CN"/>
        </w:rPr>
        <w:t xml:space="preserve">     </w:t>
      </w:r>
      <w:r>
        <w:rPr>
          <w:rFonts w:ascii="宋体" w:hAnsi="宋体" w:eastAsia="宋体" w:cs="宋体"/>
          <w:sz w:val="19"/>
          <w:szCs w:val="19"/>
          <w:lang w:eastAsia="zh-CN"/>
        </w:rPr>
        <w:t>计量单位 ：公顷、公斤、公里、个、万元</w:t>
      </w:r>
    </w:p>
    <w:tbl>
      <w:tblPr>
        <w:tblStyle w:val="2"/>
        <w:tblW w:w="9139" w:type="dxa"/>
        <w:tblInd w:w="-8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8"/>
        <w:gridCol w:w="1275"/>
        <w:gridCol w:w="1084"/>
        <w:gridCol w:w="1102"/>
        <w:gridCol w:w="937"/>
        <w:gridCol w:w="1262"/>
        <w:gridCol w:w="1169"/>
        <w:gridCol w:w="113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exact"/>
        </w:trPr>
        <w:tc>
          <w:tcPr>
            <w:tcW w:w="24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建设用地项目名称</w:t>
            </w:r>
          </w:p>
        </w:tc>
        <w:tc>
          <w:tcPr>
            <w:tcW w:w="66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新建珠海至肇庆高铁江门至珠三角枢纽机场段（鹤山段）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exact"/>
        </w:trPr>
        <w:tc>
          <w:tcPr>
            <w:tcW w:w="24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申请用地总面积</w:t>
            </w:r>
          </w:p>
        </w:tc>
        <w:tc>
          <w:tcPr>
            <w:tcW w:w="2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72.26</w:t>
            </w:r>
            <w:r>
              <w:rPr>
                <w:rFonts w:hint="default" w:ascii="Times New Roman" w:hAnsi="Times New Roman" w:eastAsia="宋体" w:cs="宋体"/>
                <w:sz w:val="19"/>
                <w:szCs w:val="19"/>
                <w:lang w:val="en-US" w:eastAsia="zh-CN"/>
              </w:rPr>
              <w:t>50</w:t>
            </w:r>
          </w:p>
        </w:tc>
        <w:tc>
          <w:tcPr>
            <w:tcW w:w="2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新增建设用地</w:t>
            </w:r>
          </w:p>
        </w:tc>
        <w:tc>
          <w:tcPr>
            <w:tcW w:w="2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70.97</w:t>
            </w:r>
            <w:r>
              <w:rPr>
                <w:rFonts w:hint="default" w:ascii="Times New Roman" w:hAnsi="Times New Roman" w:eastAsia="宋体" w:cs="宋体"/>
                <w:sz w:val="19"/>
                <w:szCs w:val="19"/>
                <w:lang w:val="en-US" w:eastAsia="zh-CN"/>
              </w:rPr>
              <w:t>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exact"/>
        </w:trPr>
        <w:tc>
          <w:tcPr>
            <w:tcW w:w="11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申请转用 面积情况</w:t>
            </w:r>
          </w:p>
        </w:tc>
        <w:tc>
          <w:tcPr>
            <w:tcW w:w="2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545454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 xml:space="preserve">              权属</w:t>
            </w:r>
          </w:p>
          <w:p>
            <w:pPr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地类</w:t>
            </w:r>
          </w:p>
        </w:tc>
        <w:tc>
          <w:tcPr>
            <w:tcW w:w="33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合计</w:t>
            </w:r>
          </w:p>
        </w:tc>
        <w:tc>
          <w:tcPr>
            <w:tcW w:w="2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其中：集体用地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exact"/>
        </w:trPr>
        <w:tc>
          <w:tcPr>
            <w:tcW w:w="11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</w:p>
        </w:tc>
        <w:tc>
          <w:tcPr>
            <w:tcW w:w="2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总计</w:t>
            </w:r>
          </w:p>
        </w:tc>
        <w:tc>
          <w:tcPr>
            <w:tcW w:w="33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70.97</w:t>
            </w:r>
            <w:r>
              <w:rPr>
                <w:rFonts w:hint="default" w:ascii="Times New Roman" w:hAnsi="Times New Roman" w:eastAsia="宋体" w:cs="宋体"/>
                <w:sz w:val="19"/>
                <w:szCs w:val="19"/>
                <w:lang w:val="en-US" w:eastAsia="zh-CN"/>
              </w:rPr>
              <w:t>62</w:t>
            </w:r>
          </w:p>
        </w:tc>
        <w:tc>
          <w:tcPr>
            <w:tcW w:w="2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70.1</w:t>
            </w:r>
            <w:r>
              <w:rPr>
                <w:rFonts w:hint="default" w:ascii="Times New Roman" w:hAnsi="Times New Roman" w:eastAsia="宋体" w:cs="宋体"/>
                <w:sz w:val="19"/>
                <w:szCs w:val="19"/>
                <w:lang w:val="en-US" w:eastAsia="zh-CN"/>
              </w:rPr>
              <w:t>819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11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</w:p>
        </w:tc>
        <w:tc>
          <w:tcPr>
            <w:tcW w:w="2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（一）农用地</w:t>
            </w:r>
          </w:p>
        </w:tc>
        <w:tc>
          <w:tcPr>
            <w:tcW w:w="33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70.7</w:t>
            </w:r>
            <w:r>
              <w:rPr>
                <w:rFonts w:hint="default" w:ascii="Times New Roman" w:hAnsi="Times New Roman" w:eastAsia="宋体" w:cs="宋体"/>
                <w:sz w:val="19"/>
                <w:szCs w:val="19"/>
                <w:lang w:val="en-US" w:eastAsia="zh-CN"/>
              </w:rPr>
              <w:t>209</w:t>
            </w:r>
          </w:p>
        </w:tc>
        <w:tc>
          <w:tcPr>
            <w:tcW w:w="2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70.13</w:t>
            </w:r>
            <w:r>
              <w:rPr>
                <w:rFonts w:hint="default" w:ascii="Times New Roman" w:hAnsi="Times New Roman" w:eastAsia="宋体" w:cs="宋体"/>
                <w:sz w:val="19"/>
                <w:szCs w:val="19"/>
                <w:lang w:val="en-US" w:eastAsia="zh-CN"/>
              </w:rPr>
              <w:t>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exact"/>
        </w:trPr>
        <w:tc>
          <w:tcPr>
            <w:tcW w:w="11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</w:p>
        </w:tc>
        <w:tc>
          <w:tcPr>
            <w:tcW w:w="2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耕地</w:t>
            </w:r>
          </w:p>
        </w:tc>
        <w:tc>
          <w:tcPr>
            <w:tcW w:w="33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4.88</w:t>
            </w:r>
            <w:r>
              <w:rPr>
                <w:rFonts w:hint="default" w:ascii="Times New Roman" w:hAnsi="Times New Roman" w:eastAsia="宋体" w:cs="宋体"/>
                <w:sz w:val="19"/>
                <w:szCs w:val="19"/>
                <w:lang w:val="en-US" w:eastAsia="zh-CN"/>
              </w:rPr>
              <w:t>81</w:t>
            </w:r>
          </w:p>
        </w:tc>
        <w:tc>
          <w:tcPr>
            <w:tcW w:w="2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4.87</w:t>
            </w:r>
            <w:r>
              <w:rPr>
                <w:rFonts w:hint="default" w:ascii="Times New Roman" w:hAnsi="Times New Roman" w:eastAsia="宋体" w:cs="宋体"/>
                <w:sz w:val="19"/>
                <w:szCs w:val="19"/>
                <w:lang w:val="en-US" w:eastAsia="zh-CN"/>
              </w:rPr>
              <w:t>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exact"/>
        </w:trPr>
        <w:tc>
          <w:tcPr>
            <w:tcW w:w="11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</w:p>
        </w:tc>
        <w:tc>
          <w:tcPr>
            <w:tcW w:w="2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其中水田</w:t>
            </w:r>
          </w:p>
        </w:tc>
        <w:tc>
          <w:tcPr>
            <w:tcW w:w="33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3.75</w:t>
            </w:r>
            <w:r>
              <w:rPr>
                <w:rFonts w:hint="default" w:ascii="Times New Roman" w:hAnsi="Times New Roman" w:eastAsia="宋体" w:cs="宋体"/>
                <w:sz w:val="19"/>
                <w:szCs w:val="19"/>
                <w:lang w:val="en-US" w:eastAsia="zh-CN"/>
              </w:rPr>
              <w:t>26</w:t>
            </w:r>
          </w:p>
        </w:tc>
        <w:tc>
          <w:tcPr>
            <w:tcW w:w="2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3.73</w:t>
            </w:r>
            <w:r>
              <w:rPr>
                <w:rFonts w:hint="default" w:ascii="Times New Roman" w:hAnsi="Times New Roman" w:eastAsia="宋体" w:cs="宋体"/>
                <w:sz w:val="19"/>
                <w:szCs w:val="19"/>
                <w:lang w:val="en-US" w:eastAsia="zh-CN"/>
              </w:rPr>
              <w:t>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exact"/>
        </w:trPr>
        <w:tc>
          <w:tcPr>
            <w:tcW w:w="11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</w:p>
        </w:tc>
        <w:tc>
          <w:tcPr>
            <w:tcW w:w="2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其中永久基本农田</w:t>
            </w:r>
          </w:p>
        </w:tc>
        <w:tc>
          <w:tcPr>
            <w:tcW w:w="33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val="en-US" w:eastAsia="zh-CN"/>
              </w:rPr>
              <w:t>0</w:t>
            </w:r>
          </w:p>
        </w:tc>
        <w:tc>
          <w:tcPr>
            <w:tcW w:w="2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exact"/>
        </w:trPr>
        <w:tc>
          <w:tcPr>
            <w:tcW w:w="11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</w:p>
        </w:tc>
        <w:tc>
          <w:tcPr>
            <w:tcW w:w="2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（二）未利用地</w:t>
            </w:r>
          </w:p>
        </w:tc>
        <w:tc>
          <w:tcPr>
            <w:tcW w:w="33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0.2553</w:t>
            </w:r>
          </w:p>
        </w:tc>
        <w:tc>
          <w:tcPr>
            <w:tcW w:w="2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0.0470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exact"/>
        </w:trPr>
        <w:tc>
          <w:tcPr>
            <w:tcW w:w="91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24"/>
                <w:szCs w:val="24"/>
                <w:lang w:eastAsia="zh-CN"/>
              </w:rPr>
              <w:t>国土空间规划、土地利用计划情况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exact"/>
        </w:trPr>
        <w:tc>
          <w:tcPr>
            <w:tcW w:w="24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是否符合规划</w:t>
            </w:r>
          </w:p>
        </w:tc>
        <w:tc>
          <w:tcPr>
            <w:tcW w:w="2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符合</w:t>
            </w:r>
          </w:p>
        </w:tc>
        <w:tc>
          <w:tcPr>
            <w:tcW w:w="2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规划级别</w:t>
            </w:r>
          </w:p>
        </w:tc>
        <w:tc>
          <w:tcPr>
            <w:tcW w:w="2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县级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exact"/>
        </w:trPr>
        <w:tc>
          <w:tcPr>
            <w:tcW w:w="46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申请使用国家计划</w:t>
            </w:r>
          </w:p>
        </w:tc>
        <w:tc>
          <w:tcPr>
            <w:tcW w:w="45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已安排使用省级计划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exact"/>
        </w:trPr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年度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新增建设用地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农用地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其中：耕地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年度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新增建设用地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农用地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其中：耕地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exact"/>
        </w:trPr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2022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val="en-US" w:eastAsia="zh-CN"/>
              </w:rPr>
              <w:t>46.0496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val="en-US" w:eastAsia="zh-CN"/>
              </w:rPr>
              <w:t>45.8296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val="en-US" w:eastAsia="zh-CN"/>
              </w:rPr>
              <w:t>2.9411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val="en-US" w:eastAsia="zh-CN"/>
              </w:rPr>
              <w:t>2022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val="en-US" w:eastAsia="zh-CN"/>
              </w:rPr>
              <w:t>24.9266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val="en-US" w:eastAsia="zh-CN"/>
              </w:rPr>
              <w:t>24.8913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val="en-US" w:eastAsia="zh-CN"/>
              </w:rPr>
              <w:t>1.9724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exact"/>
        </w:trPr>
        <w:tc>
          <w:tcPr>
            <w:tcW w:w="91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24"/>
                <w:szCs w:val="24"/>
                <w:lang w:eastAsia="zh-CN"/>
              </w:rPr>
              <w:t>补充耕地情况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exact"/>
        </w:trPr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需补充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耕地数量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4.9135</w:t>
            </w:r>
          </w:p>
        </w:tc>
        <w:tc>
          <w:tcPr>
            <w:tcW w:w="2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水田规模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3.7526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标准粮食产能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66982.95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exact"/>
        </w:trPr>
        <w:tc>
          <w:tcPr>
            <w:tcW w:w="24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补充耕地确认信息编号</w:t>
            </w:r>
          </w:p>
        </w:tc>
        <w:tc>
          <w:tcPr>
            <w:tcW w:w="66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440000202209580562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exact"/>
        </w:trPr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已补充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耕地数量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4.9135</w:t>
            </w:r>
          </w:p>
        </w:tc>
        <w:tc>
          <w:tcPr>
            <w:tcW w:w="2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水田规模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3.7526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标准粮食产能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66982.95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承诺</w:t>
            </w:r>
          </w:p>
          <w:p>
            <w:pPr>
              <w:pStyle w:val="5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补充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耕地数量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</w:p>
        </w:tc>
        <w:tc>
          <w:tcPr>
            <w:tcW w:w="2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水田规模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标准粮食产能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exact"/>
        </w:trPr>
        <w:tc>
          <w:tcPr>
            <w:tcW w:w="24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承诺补充耕地完成时限</w:t>
            </w:r>
          </w:p>
        </w:tc>
        <w:tc>
          <w:tcPr>
            <w:tcW w:w="31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补充耕地</w:t>
            </w:r>
          </w:p>
          <w:p>
            <w:pPr>
              <w:pStyle w:val="5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实际总费用</w:t>
            </w:r>
          </w:p>
        </w:tc>
        <w:tc>
          <w:tcPr>
            <w:tcW w:w="2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hint="default" w:ascii="Times New Roman" w:hAnsi="Times New Roman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val="en-US" w:eastAsia="zh-CN"/>
              </w:rPr>
              <w:t>2573.10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exact"/>
        </w:trPr>
        <w:tc>
          <w:tcPr>
            <w:tcW w:w="91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24"/>
                <w:szCs w:val="24"/>
                <w:lang w:eastAsia="zh-CN"/>
              </w:rPr>
              <w:t>补划永久基本农田情况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exact"/>
        </w:trPr>
        <w:tc>
          <w:tcPr>
            <w:tcW w:w="46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补划永久基本农田</w:t>
            </w:r>
          </w:p>
        </w:tc>
        <w:tc>
          <w:tcPr>
            <w:tcW w:w="45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exact"/>
        </w:trPr>
        <w:tc>
          <w:tcPr>
            <w:tcW w:w="91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jc w:val="both"/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占用永久基本农田的必要性、合理性 ：</w:t>
            </w:r>
          </w:p>
          <w:p>
            <w:pPr>
              <w:pStyle w:val="5"/>
              <w:ind w:firstLine="380" w:firstLineChars="200"/>
              <w:jc w:val="both"/>
              <w:rPr>
                <w:rFonts w:hint="default" w:ascii="Times New Roman" w:hAnsi="Times New Roman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val="en-US" w:eastAsia="zh-CN"/>
              </w:rPr>
              <w:t>该项目不</w:t>
            </w:r>
            <w:r>
              <w:rPr>
                <w:rFonts w:hint="eastAsia" w:ascii="Times New Roman" w:hAnsi="Times New Roman" w:eastAsia="宋体" w:cs="宋体"/>
                <w:color w:val="auto"/>
                <w:sz w:val="19"/>
                <w:szCs w:val="19"/>
                <w:lang w:val="en-US" w:eastAsia="zh-CN"/>
              </w:rPr>
              <w:t>涉及</w:t>
            </w:r>
            <w:r>
              <w:rPr>
                <w:rFonts w:hint="eastAsia" w:ascii="Times New Roman" w:hAnsi="Times New Roman" w:eastAsia="宋体" w:cs="宋体"/>
                <w:sz w:val="19"/>
                <w:szCs w:val="19"/>
                <w:lang w:val="en-US" w:eastAsia="zh-CN"/>
              </w:rPr>
              <w:t>占用永久基本农田。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6" w:hRule="exact"/>
        </w:trPr>
        <w:tc>
          <w:tcPr>
            <w:tcW w:w="91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ind w:firstLine="0" w:firstLineChars="0"/>
              <w:jc w:val="both"/>
              <w:rPr>
                <w:rFonts w:hint="eastAsia" w:ascii="Times New Roman" w:hAnsi="Times New Roman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9"/>
                <w:szCs w:val="19"/>
                <w:lang w:val="en-US" w:eastAsia="zh-CN"/>
              </w:rPr>
              <w:t>补划永久基本农田的可行性：</w:t>
            </w:r>
          </w:p>
        </w:tc>
      </w:tr>
    </w:tbl>
    <w:tbl>
      <w:tblPr>
        <w:tblStyle w:val="3"/>
        <w:tblW w:w="9143" w:type="dxa"/>
        <w:tblInd w:w="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7"/>
        <w:gridCol w:w="1242"/>
        <w:gridCol w:w="1103"/>
        <w:gridCol w:w="1118"/>
        <w:gridCol w:w="1050"/>
        <w:gridCol w:w="1869"/>
        <w:gridCol w:w="15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9143" w:type="dxa"/>
            <w:gridSpan w:val="7"/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24"/>
                <w:szCs w:val="24"/>
                <w:lang w:eastAsia="zh-CN"/>
              </w:rPr>
              <w:t>节约集约用地情况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7" w:type="dxa"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功能分区</w:t>
            </w:r>
          </w:p>
        </w:tc>
        <w:tc>
          <w:tcPr>
            <w:tcW w:w="1242" w:type="dxa"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数量</w:t>
            </w: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申请用地</w:t>
            </w: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原有用地（改扩建项目）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指标控制面积</w:t>
            </w:r>
          </w:p>
        </w:tc>
        <w:tc>
          <w:tcPr>
            <w:tcW w:w="1869" w:type="dxa"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所选取单项指标对应的具体条件参数</w:t>
            </w:r>
          </w:p>
        </w:tc>
        <w:tc>
          <w:tcPr>
            <w:tcW w:w="1594" w:type="dxa"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节地技术、模式应用情况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167" w:type="dxa"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路基工程</w:t>
            </w:r>
          </w:p>
        </w:tc>
        <w:tc>
          <w:tcPr>
            <w:tcW w:w="1242" w:type="dxa"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val="en-US" w:eastAsia="zh-CN"/>
              </w:rPr>
              <w:t>4.230</w:t>
            </w: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km/</w:t>
            </w:r>
          </w:p>
          <w:p>
            <w:pPr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val="en-US" w:eastAsia="zh-CN"/>
              </w:rPr>
              <w:t>26</w:t>
            </w: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座</w:t>
            </w: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val="en-US" w:eastAsia="zh-CN"/>
              </w:rPr>
              <w:t>31.0539</w:t>
            </w: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0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val="en-US" w:eastAsia="zh-CN"/>
              </w:rPr>
              <w:t>31.5008</w:t>
            </w:r>
          </w:p>
        </w:tc>
        <w:tc>
          <w:tcPr>
            <w:tcW w:w="1869" w:type="dxa"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 xml:space="preserve">建标〔2008〕232号表4.3.6 </w:t>
            </w:r>
          </w:p>
        </w:tc>
        <w:tc>
          <w:tcPr>
            <w:tcW w:w="1594" w:type="dxa"/>
          </w:tcPr>
          <w:p>
            <w:pPr>
              <w:jc w:val="both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1167" w:type="dxa"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桥梁工程</w:t>
            </w:r>
          </w:p>
        </w:tc>
        <w:tc>
          <w:tcPr>
            <w:tcW w:w="1242" w:type="dxa"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13.000km/</w:t>
            </w:r>
          </w:p>
          <w:p>
            <w:pPr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val="en-US" w:eastAsia="zh-CN"/>
              </w:rPr>
              <w:t>23</w:t>
            </w: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座</w:t>
            </w: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2</w:t>
            </w:r>
            <w:r>
              <w:rPr>
                <w:rFonts w:hint="eastAsia" w:ascii="Times New Roman" w:hAnsi="Times New Roman" w:eastAsia="宋体" w:cs="宋体"/>
                <w:sz w:val="19"/>
                <w:szCs w:val="19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.9448</w:t>
            </w: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0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23.4000</w:t>
            </w:r>
          </w:p>
        </w:tc>
        <w:tc>
          <w:tcPr>
            <w:tcW w:w="1869" w:type="dxa"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 xml:space="preserve">建标〔2008〕232号表4.3.8  </w:t>
            </w:r>
          </w:p>
        </w:tc>
        <w:tc>
          <w:tcPr>
            <w:tcW w:w="1594" w:type="dxa"/>
          </w:tcPr>
          <w:p>
            <w:pPr>
              <w:jc w:val="both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167" w:type="dxa"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隧道工程</w:t>
            </w:r>
          </w:p>
        </w:tc>
        <w:tc>
          <w:tcPr>
            <w:tcW w:w="1242" w:type="dxa"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val="en-US" w:eastAsia="zh-CN"/>
              </w:rPr>
              <w:t>5.254</w:t>
            </w: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km/</w:t>
            </w:r>
          </w:p>
          <w:p>
            <w:pPr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5座</w:t>
            </w: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val="en-US" w:eastAsia="zh-CN"/>
              </w:rPr>
              <w:t>5.1797</w:t>
            </w: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0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应根据实际情况计算确定</w:t>
            </w:r>
          </w:p>
        </w:tc>
        <w:tc>
          <w:tcPr>
            <w:tcW w:w="1869" w:type="dxa"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建标〔2008〕232号4.3.9</w:t>
            </w:r>
          </w:p>
        </w:tc>
        <w:tc>
          <w:tcPr>
            <w:tcW w:w="1594" w:type="dxa"/>
          </w:tcPr>
          <w:p>
            <w:pPr>
              <w:jc w:val="both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167" w:type="dxa"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AT所</w:t>
            </w:r>
          </w:p>
        </w:tc>
        <w:tc>
          <w:tcPr>
            <w:tcW w:w="1242" w:type="dxa"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2处</w:t>
            </w: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1.1009</w:t>
            </w: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0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1.6800</w:t>
            </w:r>
          </w:p>
        </w:tc>
        <w:tc>
          <w:tcPr>
            <w:tcW w:w="1869" w:type="dxa"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建标〔2008〕232号表4.3.11</w:t>
            </w:r>
          </w:p>
        </w:tc>
        <w:tc>
          <w:tcPr>
            <w:tcW w:w="1594" w:type="dxa"/>
          </w:tcPr>
          <w:p>
            <w:pPr>
              <w:jc w:val="both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167" w:type="dxa"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通信基站</w:t>
            </w:r>
          </w:p>
        </w:tc>
        <w:tc>
          <w:tcPr>
            <w:tcW w:w="1242" w:type="dxa"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12处</w:t>
            </w: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0.4800</w:t>
            </w: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0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0.5400</w:t>
            </w:r>
          </w:p>
        </w:tc>
        <w:tc>
          <w:tcPr>
            <w:tcW w:w="1869" w:type="dxa"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建标〔2008〕232号4.3.13</w:t>
            </w:r>
          </w:p>
        </w:tc>
        <w:tc>
          <w:tcPr>
            <w:tcW w:w="1594" w:type="dxa"/>
          </w:tcPr>
          <w:p>
            <w:pPr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167" w:type="dxa"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自动闭塞中继站</w:t>
            </w:r>
          </w:p>
        </w:tc>
        <w:tc>
          <w:tcPr>
            <w:tcW w:w="1242" w:type="dxa"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1处</w:t>
            </w: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0.0100</w:t>
            </w: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0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0.0120</w:t>
            </w:r>
          </w:p>
        </w:tc>
        <w:tc>
          <w:tcPr>
            <w:tcW w:w="1869" w:type="dxa"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建标〔2008〕232号4.3.14</w:t>
            </w:r>
          </w:p>
        </w:tc>
        <w:tc>
          <w:tcPr>
            <w:tcW w:w="1594" w:type="dxa"/>
          </w:tcPr>
          <w:p>
            <w:pPr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167" w:type="dxa"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车站</w:t>
            </w:r>
          </w:p>
        </w:tc>
        <w:tc>
          <w:tcPr>
            <w:tcW w:w="1242" w:type="dxa"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1座</w:t>
            </w: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11.4957</w:t>
            </w: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0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21.5525</w:t>
            </w:r>
          </w:p>
        </w:tc>
        <w:tc>
          <w:tcPr>
            <w:tcW w:w="1869" w:type="dxa"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建标〔2008〕232号表4.4.3</w:t>
            </w:r>
          </w:p>
        </w:tc>
        <w:tc>
          <w:tcPr>
            <w:tcW w:w="1594" w:type="dxa"/>
          </w:tcPr>
          <w:p>
            <w:pPr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143" w:type="dxa"/>
            <w:gridSpan w:val="7"/>
          </w:tcPr>
          <w:p>
            <w:pPr>
              <w:jc w:val="both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说明开展节地评价论证情况：</w:t>
            </w:r>
          </w:p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</w:p>
          <w:p>
            <w:pPr>
              <w:jc w:val="both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项目用地规模符合《新建铁路工程项目建设用地指标》（建标〔2008〕232号）标准，无需开展节地评价。</w:t>
            </w:r>
          </w:p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5" w:hRule="atLeast"/>
        </w:trPr>
        <w:tc>
          <w:tcPr>
            <w:tcW w:w="240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市、县人民政府自然资源</w:t>
            </w:r>
          </w:p>
          <w:p>
            <w:pPr>
              <w:jc w:val="center"/>
              <w:rPr>
                <w:rFonts w:ascii="宋体" w:hAnsi="宋体" w:eastAsia="宋体" w:cs="宋体"/>
                <w:color w:val="62626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主管部门审核意见</w:t>
            </w:r>
          </w:p>
        </w:tc>
        <w:tc>
          <w:tcPr>
            <w:tcW w:w="6734" w:type="dxa"/>
            <w:gridSpan w:val="5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</w:rPr>
            </w:pPr>
          </w:p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</w:rPr>
            </w:pPr>
          </w:p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</w:rPr>
            </w:pPr>
          </w:p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</w:pPr>
          </w:p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 xml:space="preserve">主管领导：       </w:t>
            </w:r>
            <w:r>
              <w:rPr>
                <w:rFonts w:hint="eastAsia" w:ascii="宋体" w:hAnsi="宋体" w:eastAsia="宋体" w:cs="宋体"/>
                <w:color w:val="626260"/>
                <w:sz w:val="19"/>
                <w:szCs w:val="19"/>
                <w:lang w:eastAsia="zh-CN"/>
              </w:rPr>
              <w:t xml:space="preserve">                 </w:t>
            </w: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 xml:space="preserve">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8" w:hRule="atLeast"/>
        </w:trPr>
        <w:tc>
          <w:tcPr>
            <w:tcW w:w="240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市、县人民政府</w:t>
            </w:r>
          </w:p>
          <w:p>
            <w:pPr>
              <w:jc w:val="center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审核意见</w:t>
            </w:r>
          </w:p>
        </w:tc>
        <w:tc>
          <w:tcPr>
            <w:tcW w:w="6734" w:type="dxa"/>
            <w:gridSpan w:val="5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</w:pPr>
          </w:p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 xml:space="preserve">主管领导： </w:t>
            </w:r>
            <w:r>
              <w:rPr>
                <w:rFonts w:hint="eastAsia" w:ascii="宋体" w:hAnsi="宋体" w:eastAsia="宋体" w:cs="宋体"/>
                <w:color w:val="626260"/>
                <w:sz w:val="19"/>
                <w:szCs w:val="19"/>
                <w:lang w:eastAsia="zh-CN"/>
              </w:rPr>
              <w:t xml:space="preserve">                       </w:t>
            </w: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 xml:space="preserve">  日期：</w:t>
            </w:r>
          </w:p>
        </w:tc>
      </w:tr>
    </w:tbl>
    <w:p>
      <w:pPr>
        <w:rPr>
          <w:rFonts w:ascii="宋体" w:hAnsi="宋体" w:eastAsia="宋体" w:cs="宋体"/>
          <w:color w:val="626260"/>
          <w:sz w:val="19"/>
          <w:szCs w:val="19"/>
        </w:rPr>
      </w:pPr>
    </w:p>
    <w:sectPr>
      <w:pgSz w:w="11906" w:h="16838"/>
      <w:pgMar w:top="1440" w:right="1800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embedSystemFonts/>
  <w:bordersDoNotSurroundHeader w:val="1"/>
  <w:bordersDoNotSurroundFooter w:val="1"/>
  <w:trackRevisions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M3ZGRhZDgxZGVhOGJiMTlkNzA3MGNmMmM4MWUxMzMifQ=="/>
  </w:docVars>
  <w:rsids>
    <w:rsidRoot w:val="271312F0"/>
    <w:rsid w:val="000A0731"/>
    <w:rsid w:val="002C399C"/>
    <w:rsid w:val="002C61A3"/>
    <w:rsid w:val="004D1516"/>
    <w:rsid w:val="005746CF"/>
    <w:rsid w:val="005857A6"/>
    <w:rsid w:val="00D1022C"/>
    <w:rsid w:val="00DD26D1"/>
    <w:rsid w:val="00E73081"/>
    <w:rsid w:val="023F3257"/>
    <w:rsid w:val="02BD5863"/>
    <w:rsid w:val="05BD2A1B"/>
    <w:rsid w:val="06B03869"/>
    <w:rsid w:val="06D36502"/>
    <w:rsid w:val="094470D4"/>
    <w:rsid w:val="0A8604A1"/>
    <w:rsid w:val="0ACB261C"/>
    <w:rsid w:val="0F7C5956"/>
    <w:rsid w:val="1068790D"/>
    <w:rsid w:val="1D054782"/>
    <w:rsid w:val="1E551760"/>
    <w:rsid w:val="24515BA0"/>
    <w:rsid w:val="24B20082"/>
    <w:rsid w:val="24DD4EC0"/>
    <w:rsid w:val="271312F0"/>
    <w:rsid w:val="27B02471"/>
    <w:rsid w:val="28AF655C"/>
    <w:rsid w:val="28E77EED"/>
    <w:rsid w:val="2AE0377E"/>
    <w:rsid w:val="2E0D2A27"/>
    <w:rsid w:val="2E8809A7"/>
    <w:rsid w:val="316D593B"/>
    <w:rsid w:val="33542A8B"/>
    <w:rsid w:val="34E06FF8"/>
    <w:rsid w:val="352736AE"/>
    <w:rsid w:val="384D44F9"/>
    <w:rsid w:val="39CC2E2B"/>
    <w:rsid w:val="3D503285"/>
    <w:rsid w:val="3D7A6CB8"/>
    <w:rsid w:val="3DA1197A"/>
    <w:rsid w:val="3F585BE7"/>
    <w:rsid w:val="40BF5E08"/>
    <w:rsid w:val="410A77E6"/>
    <w:rsid w:val="41BA0FB4"/>
    <w:rsid w:val="43C55D14"/>
    <w:rsid w:val="450C7FAD"/>
    <w:rsid w:val="45553ADD"/>
    <w:rsid w:val="49E4090A"/>
    <w:rsid w:val="4A604DBC"/>
    <w:rsid w:val="4A7378FA"/>
    <w:rsid w:val="4B0F07DA"/>
    <w:rsid w:val="4C40213B"/>
    <w:rsid w:val="4EF10B9D"/>
    <w:rsid w:val="51CC3C64"/>
    <w:rsid w:val="54A2103A"/>
    <w:rsid w:val="56054C7E"/>
    <w:rsid w:val="5BE31546"/>
    <w:rsid w:val="5C4E4D97"/>
    <w:rsid w:val="5D285FF9"/>
    <w:rsid w:val="5E0F33AE"/>
    <w:rsid w:val="5F046D47"/>
    <w:rsid w:val="5FEC2176"/>
    <w:rsid w:val="600E3503"/>
    <w:rsid w:val="643702CF"/>
    <w:rsid w:val="651E5158"/>
    <w:rsid w:val="666B0E4B"/>
    <w:rsid w:val="6B0B1FE9"/>
    <w:rsid w:val="6B467FB8"/>
    <w:rsid w:val="6B7720E6"/>
    <w:rsid w:val="6BB747F5"/>
    <w:rsid w:val="75E9135E"/>
    <w:rsid w:val="76680A02"/>
    <w:rsid w:val="77167D6C"/>
    <w:rsid w:val="79890AE2"/>
    <w:rsid w:val="7A820971"/>
    <w:rsid w:val="7A95477F"/>
    <w:rsid w:val="7B2A3405"/>
    <w:rsid w:val="7CBB7A3A"/>
    <w:rsid w:val="7E1C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681</Words>
  <Characters>1012</Characters>
  <Lines>11</Lines>
  <Paragraphs>3</Paragraphs>
  <TotalTime>50</TotalTime>
  <ScaleCrop>false</ScaleCrop>
  <LinksUpToDate>false</LinksUpToDate>
  <CharactersWithSpaces>1089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2022-06-20T15:44:00Z</dcterms:created>
  <dc:creator>hrj</dc:creator>
  <cp:lastModifiedBy>hrj</cp:lastModifiedBy>
  <dcterms:modified xsi:type="dcterms:W3CDTF">2023-11-03T06:02:25Z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79E824BCEF8644D8AF988C0A8CA851B7_13</vt:lpwstr>
  </property>
</Properties>
</file>