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pacing w:line="520" w:lineRule="exact"/>
        <w:jc w:val="center"/>
        <w:rPr>
          <w:rFonts w:ascii="方正小标宋简体" w:hAnsi="黑体" w:eastAsia="方正小标宋简体" w:cs="宋体"/>
          <w:b/>
          <w:bCs/>
          <w:color w:val="auto"/>
          <w:sz w:val="44"/>
          <w:szCs w:val="44"/>
          <w:highlight w:val="none"/>
        </w:rPr>
      </w:pPr>
      <w:r>
        <w:rPr>
          <w:rFonts w:hint="eastAsia" w:ascii="方正小标宋简体" w:hAnsi="黑体" w:eastAsia="方正小标宋简体" w:cs="宋体"/>
          <w:b/>
          <w:bCs/>
          <w:color w:val="auto"/>
          <w:sz w:val="44"/>
          <w:szCs w:val="44"/>
          <w:highlight w:val="none"/>
        </w:rPr>
        <w:t xml:space="preserve"> </w:t>
      </w:r>
    </w:p>
    <w:p>
      <w:pPr>
        <w:pageBreakBefore w:val="0"/>
        <w:kinsoku/>
        <w:wordWrap/>
        <w:overflowPunct/>
        <w:topLinePunct w:val="0"/>
        <w:autoSpaceDE/>
        <w:autoSpaceDN/>
        <w:bidi w:val="0"/>
        <w:spacing w:line="520" w:lineRule="exact"/>
        <w:jc w:val="center"/>
        <w:rPr>
          <w:rFonts w:ascii="方正小标宋简体" w:hAnsi="黑体" w:eastAsia="方正小标宋简体" w:cs="宋体"/>
          <w:b/>
          <w:bCs/>
          <w:color w:val="auto"/>
          <w:sz w:val="44"/>
          <w:szCs w:val="44"/>
          <w:highlight w:val="none"/>
        </w:rPr>
      </w:pPr>
    </w:p>
    <w:p>
      <w:pPr>
        <w:pageBreakBefore w:val="0"/>
        <w:kinsoku/>
        <w:wordWrap/>
        <w:overflowPunct/>
        <w:topLinePunct w:val="0"/>
        <w:autoSpaceDE/>
        <w:autoSpaceDN/>
        <w:bidi w:val="0"/>
        <w:spacing w:line="520" w:lineRule="exact"/>
        <w:jc w:val="center"/>
        <w:rPr>
          <w:rFonts w:ascii="方正小标宋简体" w:hAnsi="黑体" w:eastAsia="方正小标宋简体" w:cs="宋体"/>
          <w:b/>
          <w:bCs/>
          <w:color w:val="auto"/>
          <w:sz w:val="44"/>
          <w:szCs w:val="44"/>
          <w:highlight w:val="none"/>
        </w:rPr>
      </w:pPr>
    </w:p>
    <w:p>
      <w:pPr>
        <w:pageBreakBefore w:val="0"/>
        <w:kinsoku/>
        <w:wordWrap/>
        <w:overflowPunct/>
        <w:topLinePunct w:val="0"/>
        <w:autoSpaceDE/>
        <w:autoSpaceDN/>
        <w:bidi w:val="0"/>
        <w:spacing w:line="520" w:lineRule="exact"/>
        <w:jc w:val="center"/>
        <w:rPr>
          <w:rFonts w:ascii="方正小标宋简体" w:hAnsi="黑体" w:eastAsia="方正小标宋简体" w:cs="宋体"/>
          <w:b/>
          <w:bCs/>
          <w:color w:val="auto"/>
          <w:sz w:val="44"/>
          <w:szCs w:val="44"/>
          <w:highlight w:val="none"/>
        </w:rPr>
      </w:pPr>
    </w:p>
    <w:p>
      <w:pPr>
        <w:pageBreakBefore w:val="0"/>
        <w:kinsoku/>
        <w:wordWrap/>
        <w:overflowPunct/>
        <w:topLinePunct w:val="0"/>
        <w:autoSpaceDE/>
        <w:autoSpaceDN/>
        <w:bidi w:val="0"/>
        <w:spacing w:line="520" w:lineRule="exact"/>
        <w:jc w:val="center"/>
        <w:rPr>
          <w:rFonts w:ascii="方正小标宋简体" w:hAnsi="黑体" w:eastAsia="方正小标宋简体" w:cs="宋体"/>
          <w:b/>
          <w:bCs/>
          <w:color w:val="auto"/>
          <w:sz w:val="44"/>
          <w:szCs w:val="44"/>
          <w:highlight w:val="none"/>
        </w:rPr>
      </w:pPr>
    </w:p>
    <w:p>
      <w:pPr>
        <w:pageBreakBefore w:val="0"/>
        <w:kinsoku/>
        <w:wordWrap/>
        <w:overflowPunct/>
        <w:topLinePunct w:val="0"/>
        <w:autoSpaceDE/>
        <w:autoSpaceDN/>
        <w:bidi w:val="0"/>
        <w:spacing w:line="520" w:lineRule="exact"/>
        <w:jc w:val="center"/>
        <w:rPr>
          <w:rFonts w:ascii="方正小标宋简体" w:hAnsi="黑体" w:eastAsia="方正小标宋简体" w:cs="宋体"/>
          <w:b/>
          <w:bCs/>
          <w:color w:val="auto"/>
          <w:sz w:val="44"/>
          <w:szCs w:val="44"/>
          <w:highlight w:val="none"/>
        </w:rPr>
      </w:pPr>
    </w:p>
    <w:p>
      <w:pPr>
        <w:pageBreakBefore w:val="0"/>
        <w:kinsoku/>
        <w:wordWrap/>
        <w:overflowPunct/>
        <w:topLinePunct w:val="0"/>
        <w:autoSpaceDE/>
        <w:autoSpaceDN/>
        <w:bidi w:val="0"/>
        <w:spacing w:line="520" w:lineRule="exact"/>
        <w:jc w:val="center"/>
        <w:rPr>
          <w:rFonts w:ascii="方正小标宋简体" w:hAnsi="黑体" w:eastAsia="方正小标宋简体" w:cs="宋体"/>
          <w:b/>
          <w:bCs/>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bCs/>
          <w:color w:val="auto"/>
          <w:sz w:val="44"/>
          <w:szCs w:val="44"/>
          <w:highlight w:val="none"/>
        </w:rPr>
      </w:pPr>
      <w:r>
        <w:rPr>
          <w:rFonts w:hint="eastAsia" w:ascii="方正小标宋_GBK" w:hAnsi="方正小标宋_GBK" w:eastAsia="方正小标宋_GBK" w:cs="方正小标宋_GBK"/>
          <w:b/>
          <w:bCs/>
          <w:color w:val="auto"/>
          <w:sz w:val="44"/>
          <w:szCs w:val="44"/>
          <w:highlight w:val="none"/>
        </w:rPr>
        <w:t>鹤山市养老服务体系建设“十四五”规划</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_GBK" w:hAnsi="方正小标宋_GBK" w:eastAsia="方正小标宋_GBK" w:cs="方正小标宋_GBK"/>
          <w:b/>
          <w:bCs/>
          <w:color w:val="auto"/>
          <w:sz w:val="44"/>
          <w:szCs w:val="44"/>
          <w:highlight w:val="none"/>
          <w:lang w:val="en-US" w:eastAsia="zh-CN"/>
        </w:rPr>
      </w:pPr>
      <w:r>
        <w:rPr>
          <w:rFonts w:hint="eastAsia" w:ascii="方正小标宋_GBK" w:hAnsi="方正小标宋_GBK" w:eastAsia="方正小标宋_GBK" w:cs="方正小标宋_GBK"/>
          <w:b/>
          <w:bCs/>
          <w:color w:val="auto"/>
          <w:sz w:val="44"/>
          <w:szCs w:val="44"/>
          <w:highlight w:val="none"/>
          <w:lang w:eastAsia="zh-CN"/>
        </w:rPr>
        <w:t>（</w:t>
      </w:r>
      <w:r>
        <w:rPr>
          <w:rFonts w:hint="eastAsia" w:ascii="方正小标宋_GBK" w:hAnsi="方正小标宋_GBK" w:eastAsia="方正小标宋_GBK" w:cs="方正小标宋_GBK"/>
          <w:b/>
          <w:bCs/>
          <w:color w:val="auto"/>
          <w:sz w:val="44"/>
          <w:szCs w:val="44"/>
          <w:highlight w:val="none"/>
          <w:lang w:val="en-US" w:eastAsia="zh-CN"/>
        </w:rPr>
        <w:t>2021-2025年）</w:t>
      </w:r>
    </w:p>
    <w:p>
      <w:pPr>
        <w:pageBreakBefore w:val="0"/>
        <w:kinsoku/>
        <w:wordWrap/>
        <w:overflowPunct/>
        <w:topLinePunct w:val="0"/>
        <w:autoSpaceDE/>
        <w:autoSpaceDN/>
        <w:bidi w:val="0"/>
        <w:spacing w:line="520" w:lineRule="exact"/>
        <w:rPr>
          <w:color w:val="auto"/>
          <w:highlight w:val="none"/>
        </w:rPr>
      </w:pPr>
    </w:p>
    <w:p>
      <w:pPr>
        <w:pageBreakBefore w:val="0"/>
        <w:kinsoku/>
        <w:wordWrap/>
        <w:overflowPunct/>
        <w:topLinePunct w:val="0"/>
        <w:autoSpaceDE/>
        <w:autoSpaceDN/>
        <w:bidi w:val="0"/>
        <w:spacing w:line="520" w:lineRule="exact"/>
        <w:rPr>
          <w:color w:val="auto"/>
          <w:highlight w:val="none"/>
        </w:rPr>
      </w:pPr>
    </w:p>
    <w:p>
      <w:pPr>
        <w:pageBreakBefore w:val="0"/>
        <w:kinsoku/>
        <w:wordWrap/>
        <w:overflowPunct/>
        <w:topLinePunct w:val="0"/>
        <w:autoSpaceDE/>
        <w:autoSpaceDN/>
        <w:bidi w:val="0"/>
        <w:spacing w:line="520" w:lineRule="exact"/>
        <w:rPr>
          <w:color w:val="auto"/>
          <w:highlight w:val="none"/>
        </w:rPr>
      </w:pPr>
    </w:p>
    <w:p>
      <w:pPr>
        <w:pageBreakBefore w:val="0"/>
        <w:kinsoku/>
        <w:wordWrap/>
        <w:overflowPunct/>
        <w:topLinePunct w:val="0"/>
        <w:autoSpaceDE/>
        <w:autoSpaceDN/>
        <w:bidi w:val="0"/>
        <w:spacing w:line="520" w:lineRule="exact"/>
        <w:rPr>
          <w:color w:val="auto"/>
          <w:highlight w:val="none"/>
        </w:rPr>
      </w:pPr>
    </w:p>
    <w:p>
      <w:pPr>
        <w:pageBreakBefore w:val="0"/>
        <w:kinsoku/>
        <w:wordWrap/>
        <w:overflowPunct/>
        <w:topLinePunct w:val="0"/>
        <w:autoSpaceDE/>
        <w:autoSpaceDN/>
        <w:bidi w:val="0"/>
        <w:spacing w:line="520" w:lineRule="exact"/>
        <w:rPr>
          <w:color w:val="auto"/>
          <w:highlight w:val="none"/>
        </w:rPr>
      </w:pPr>
    </w:p>
    <w:p>
      <w:pPr>
        <w:pageBreakBefore w:val="0"/>
        <w:kinsoku/>
        <w:wordWrap/>
        <w:overflowPunct/>
        <w:topLinePunct w:val="0"/>
        <w:autoSpaceDE/>
        <w:autoSpaceDN/>
        <w:bidi w:val="0"/>
        <w:spacing w:line="520" w:lineRule="exact"/>
        <w:rPr>
          <w:color w:val="auto"/>
          <w:highlight w:val="none"/>
        </w:rPr>
      </w:pPr>
    </w:p>
    <w:p>
      <w:pPr>
        <w:pageBreakBefore w:val="0"/>
        <w:kinsoku/>
        <w:wordWrap/>
        <w:overflowPunct/>
        <w:topLinePunct w:val="0"/>
        <w:autoSpaceDE/>
        <w:autoSpaceDN/>
        <w:bidi w:val="0"/>
        <w:spacing w:line="520" w:lineRule="exact"/>
        <w:rPr>
          <w:color w:val="auto"/>
          <w:highlight w:val="none"/>
        </w:rPr>
      </w:pPr>
    </w:p>
    <w:p>
      <w:pPr>
        <w:pageBreakBefore w:val="0"/>
        <w:kinsoku/>
        <w:wordWrap/>
        <w:overflowPunct/>
        <w:topLinePunct w:val="0"/>
        <w:autoSpaceDE/>
        <w:autoSpaceDN/>
        <w:bidi w:val="0"/>
        <w:spacing w:line="520" w:lineRule="exact"/>
        <w:rPr>
          <w:color w:val="auto"/>
          <w:highlight w:val="none"/>
        </w:rPr>
      </w:pPr>
    </w:p>
    <w:p>
      <w:pPr>
        <w:pageBreakBefore w:val="0"/>
        <w:kinsoku/>
        <w:wordWrap/>
        <w:overflowPunct/>
        <w:topLinePunct w:val="0"/>
        <w:autoSpaceDE/>
        <w:autoSpaceDN/>
        <w:bidi w:val="0"/>
        <w:spacing w:line="520" w:lineRule="exact"/>
        <w:rPr>
          <w:color w:val="auto"/>
          <w:highlight w:val="none"/>
        </w:rPr>
      </w:pPr>
    </w:p>
    <w:p>
      <w:pPr>
        <w:pageBreakBefore w:val="0"/>
        <w:kinsoku/>
        <w:wordWrap/>
        <w:overflowPunct/>
        <w:topLinePunct w:val="0"/>
        <w:autoSpaceDE/>
        <w:autoSpaceDN/>
        <w:bidi w:val="0"/>
        <w:spacing w:line="520" w:lineRule="exact"/>
        <w:rPr>
          <w:color w:val="auto"/>
          <w:highlight w:val="none"/>
        </w:rPr>
      </w:pPr>
    </w:p>
    <w:p>
      <w:pPr>
        <w:pageBreakBefore w:val="0"/>
        <w:kinsoku/>
        <w:wordWrap/>
        <w:overflowPunct/>
        <w:topLinePunct w:val="0"/>
        <w:autoSpaceDE/>
        <w:autoSpaceDN/>
        <w:bidi w:val="0"/>
        <w:spacing w:line="520" w:lineRule="exact"/>
        <w:rPr>
          <w:color w:val="auto"/>
          <w:highlight w:val="none"/>
        </w:rPr>
      </w:pPr>
    </w:p>
    <w:p>
      <w:pPr>
        <w:pStyle w:val="35"/>
        <w:pageBreakBefore w:val="0"/>
        <w:kinsoku/>
        <w:wordWrap/>
        <w:overflowPunct/>
        <w:topLinePunct w:val="0"/>
        <w:autoSpaceDE/>
        <w:autoSpaceDN/>
        <w:bidi w:val="0"/>
        <w:spacing w:line="520" w:lineRule="exact"/>
        <w:jc w:val="both"/>
        <w:rPr>
          <w:rFonts w:hint="eastAsia" w:ascii="宋体" w:hAnsi="宋体" w:eastAsia="宋体" w:cs="宋体"/>
          <w:b/>
          <w:bCs/>
          <w:color w:val="auto"/>
          <w:kern w:val="2"/>
          <w:sz w:val="32"/>
          <w:szCs w:val="32"/>
          <w:highlight w:val="none"/>
          <w:lang w:val="zh-CN"/>
        </w:rPr>
        <w:sectPr>
          <w:pgSz w:w="11906" w:h="16838"/>
          <w:pgMar w:top="1440" w:right="1800" w:bottom="1440" w:left="1800" w:header="851" w:footer="992" w:gutter="0"/>
          <w:pgNumType w:fmt="decimal"/>
          <w:cols w:space="425" w:num="1"/>
          <w:docGrid w:type="lines" w:linePitch="312" w:charSpace="0"/>
        </w:sectPr>
      </w:pPr>
    </w:p>
    <w:sdt>
      <w:sdtPr>
        <w:rPr>
          <w:rFonts w:hint="eastAsia" w:ascii="宋体" w:hAnsi="宋体" w:eastAsia="宋体" w:cs="宋体"/>
          <w:b/>
          <w:bCs/>
          <w:color w:val="auto"/>
          <w:kern w:val="2"/>
          <w:sz w:val="32"/>
          <w:szCs w:val="32"/>
          <w:highlight w:val="none"/>
          <w:lang w:val="zh-CN"/>
        </w:rPr>
        <w:id w:val="-1238008804"/>
        <w:docPartObj>
          <w:docPartGallery w:val="Table of Contents"/>
          <w:docPartUnique/>
        </w:docPartObj>
      </w:sdtPr>
      <w:sdtEndPr>
        <w:rPr>
          <w:rFonts w:hint="eastAsia" w:ascii="宋体" w:hAnsi="宋体" w:eastAsia="宋体" w:cs="宋体"/>
          <w:b w:val="0"/>
          <w:bCs w:val="0"/>
          <w:color w:val="auto"/>
          <w:kern w:val="2"/>
          <w:sz w:val="24"/>
          <w:szCs w:val="24"/>
          <w:highlight w:val="none"/>
          <w:lang w:val="zh-CN"/>
        </w:rPr>
      </w:sdtEndPr>
      <w:sdtContent>
        <w:sdt>
          <w:sdtPr>
            <w:rPr>
              <w:rFonts w:hint="eastAsia" w:ascii="宋体" w:hAnsi="宋体" w:eastAsia="宋体" w:cs="宋体"/>
              <w:b/>
              <w:bCs/>
              <w:color w:val="auto"/>
              <w:kern w:val="2"/>
              <w:sz w:val="32"/>
              <w:szCs w:val="32"/>
              <w:highlight w:val="none"/>
              <w:lang w:val="zh-CN"/>
            </w:rPr>
            <w:id w:val="-1238008804"/>
            <w:docPartObj>
              <w:docPartGallery w:val="Table of Contents"/>
              <w:docPartUnique/>
            </w:docPartObj>
          </w:sdtPr>
          <w:sdtEndPr>
            <w:rPr>
              <w:rFonts w:hint="eastAsia" w:ascii="宋体" w:hAnsi="宋体" w:eastAsia="宋体" w:cs="宋体"/>
              <w:b w:val="0"/>
              <w:bCs w:val="0"/>
              <w:color w:val="auto"/>
              <w:kern w:val="2"/>
              <w:sz w:val="24"/>
              <w:szCs w:val="24"/>
              <w:highlight w:val="none"/>
              <w:lang w:val="zh-CN"/>
            </w:rPr>
          </w:sdtEndPr>
          <w:sdtContent>
            <w:p>
              <w:pPr>
                <w:pStyle w:val="35"/>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sz w:val="32"/>
                  <w:szCs w:val="32"/>
                  <w:highlight w:val="none"/>
                </w:rPr>
              </w:pPr>
              <w:r>
                <w:rPr>
                  <w:rFonts w:hint="eastAsia" w:ascii="宋体" w:hAnsi="宋体" w:eastAsia="宋体" w:cs="宋体"/>
                  <w:b/>
                  <w:bCs/>
                  <w:color w:val="auto"/>
                  <w:kern w:val="2"/>
                  <w:sz w:val="32"/>
                  <w:szCs w:val="32"/>
                  <w:highlight w:val="none"/>
                  <w:lang w:val="zh-CN" w:eastAsia="zh-CN"/>
                </w:rPr>
                <w:t>目</w:t>
              </w:r>
              <w:r>
                <w:rPr>
                  <w:rFonts w:hint="eastAsia" w:ascii="宋体" w:hAnsi="宋体" w:eastAsia="宋体" w:cs="宋体"/>
                  <w:b/>
                  <w:bCs/>
                  <w:color w:val="auto"/>
                  <w:sz w:val="32"/>
                  <w:szCs w:val="32"/>
                  <w:highlight w:val="none"/>
                  <w:lang w:val="zh-CN"/>
                </w:rPr>
                <w:t>录</w:t>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TOC \o "1-3" \h \z \u </w:instrText>
              </w:r>
              <w:r>
                <w:rPr>
                  <w:rFonts w:hint="eastAsia" w:ascii="宋体" w:hAnsi="宋体" w:eastAsia="宋体" w:cs="宋体"/>
                  <w:color w:val="auto"/>
                  <w:sz w:val="24"/>
                  <w:szCs w:val="24"/>
                  <w:highlight w:val="none"/>
                </w:rPr>
                <w:fldChar w:fldCharType="separate"/>
              </w: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HYPERLINK \l _Toc24589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color w:val="auto"/>
                  <w:sz w:val="24"/>
                  <w:szCs w:val="24"/>
                  <w:highlight w:val="none"/>
                </w:rPr>
                <w:t>前言</w:t>
              </w: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zh-CN"/>
                </w:rPr>
                <w:fldChar w:fldCharType="begin"/>
              </w:r>
              <w:r>
                <w:rPr>
                  <w:rFonts w:hint="eastAsia" w:ascii="宋体" w:hAnsi="宋体" w:eastAsia="宋体" w:cs="宋体"/>
                  <w:b/>
                  <w:bCs/>
                  <w:color w:val="auto"/>
                  <w:sz w:val="24"/>
                  <w:szCs w:val="24"/>
                  <w:highlight w:val="none"/>
                  <w:lang w:val="zh-CN"/>
                </w:rPr>
                <w:instrText xml:space="preserve"> HYPERLINK \l _Toc17744 </w:instrText>
              </w:r>
              <w:r>
                <w:rPr>
                  <w:rFonts w:hint="eastAsia" w:ascii="宋体" w:hAnsi="宋体" w:eastAsia="宋体" w:cs="宋体"/>
                  <w:b/>
                  <w:bCs/>
                  <w:color w:val="auto"/>
                  <w:sz w:val="24"/>
                  <w:szCs w:val="24"/>
                  <w:highlight w:val="none"/>
                  <w:lang w:val="zh-CN"/>
                </w:rPr>
                <w:fldChar w:fldCharType="separate"/>
              </w:r>
              <w:r>
                <w:rPr>
                  <w:rFonts w:hint="eastAsia" w:ascii="宋体" w:hAnsi="宋体" w:eastAsia="宋体" w:cs="宋体"/>
                  <w:b/>
                  <w:bCs/>
                  <w:color w:val="auto"/>
                  <w:sz w:val="24"/>
                  <w:szCs w:val="24"/>
                  <w:highlight w:val="none"/>
                </w:rPr>
                <w:t xml:space="preserve">第一章 </w:t>
              </w:r>
              <w:r>
                <w:rPr>
                  <w:rFonts w:hint="eastAsia" w:ascii="宋体" w:hAnsi="宋体" w:eastAsia="宋体" w:cs="宋体"/>
                  <w:b/>
                  <w:bCs/>
                  <w:color w:val="auto"/>
                  <w:sz w:val="24"/>
                  <w:szCs w:val="24"/>
                  <w:highlight w:val="none"/>
                  <w:lang w:val="en-US" w:eastAsia="zh-CN"/>
                </w:rPr>
                <w:t>规划背景</w:t>
              </w: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lang w:val="en-US" w:eastAsia="zh-CN"/>
                </w:rPr>
                <w:t>6</w:t>
              </w:r>
              <w:r>
                <w:rPr>
                  <w:rFonts w:hint="eastAsia" w:ascii="宋体" w:hAnsi="宋体" w:eastAsia="宋体" w:cs="宋体"/>
                  <w:b/>
                  <w:bCs/>
                  <w:color w:val="auto"/>
                  <w:sz w:val="24"/>
                  <w:szCs w:val="24"/>
                  <w:highlight w:val="none"/>
                  <w:lang w:val="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zh-CN"/>
                </w:rPr>
                <w:fldChar w:fldCharType="begin"/>
              </w:r>
              <w:r>
                <w:rPr>
                  <w:rFonts w:hint="eastAsia" w:ascii="宋体" w:hAnsi="宋体" w:eastAsia="宋体" w:cs="宋体"/>
                  <w:b/>
                  <w:bCs/>
                  <w:color w:val="auto"/>
                  <w:sz w:val="24"/>
                  <w:szCs w:val="24"/>
                  <w:highlight w:val="none"/>
                  <w:lang w:val="zh-CN"/>
                </w:rPr>
                <w:instrText xml:space="preserve"> HYPERLINK \l _Toc8242 </w:instrText>
              </w:r>
              <w:r>
                <w:rPr>
                  <w:rFonts w:hint="eastAsia" w:ascii="宋体" w:hAnsi="宋体" w:eastAsia="宋体" w:cs="宋体"/>
                  <w:b/>
                  <w:bCs/>
                  <w:color w:val="auto"/>
                  <w:sz w:val="24"/>
                  <w:szCs w:val="24"/>
                  <w:highlight w:val="none"/>
                  <w:lang w:val="zh-CN"/>
                </w:rPr>
                <w:fldChar w:fldCharType="separate"/>
              </w:r>
              <w:r>
                <w:rPr>
                  <w:rFonts w:hint="eastAsia" w:ascii="宋体" w:hAnsi="宋体" w:eastAsia="宋体" w:cs="宋体"/>
                  <w:b/>
                  <w:bCs/>
                  <w:color w:val="auto"/>
                  <w:sz w:val="24"/>
                  <w:szCs w:val="24"/>
                  <w:highlight w:val="none"/>
                  <w:lang w:val="en-US" w:eastAsia="zh-CN"/>
                </w:rPr>
                <w:t>一、</w:t>
              </w:r>
              <w:r>
                <w:rPr>
                  <w:rFonts w:hint="eastAsia" w:ascii="宋体" w:hAnsi="宋体" w:eastAsia="宋体" w:cs="宋体"/>
                  <w:b/>
                  <w:bCs/>
                  <w:color w:val="auto"/>
                  <w:sz w:val="24"/>
                  <w:szCs w:val="24"/>
                  <w:highlight w:val="none"/>
                </w:rPr>
                <w:t>发展</w:t>
              </w:r>
              <w:r>
                <w:rPr>
                  <w:rFonts w:hint="eastAsia" w:ascii="宋体" w:hAnsi="宋体" w:eastAsia="宋体" w:cs="宋体"/>
                  <w:b/>
                  <w:bCs/>
                  <w:color w:val="auto"/>
                  <w:sz w:val="24"/>
                  <w:szCs w:val="24"/>
                  <w:highlight w:val="none"/>
                  <w:lang w:val="en-US" w:eastAsia="zh-CN"/>
                </w:rPr>
                <w:t>与成就</w:t>
              </w: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lang w:val="en-US" w:eastAsia="zh-CN"/>
                </w:rPr>
                <w:t>6</w:t>
              </w:r>
              <w:r>
                <w:rPr>
                  <w:rFonts w:hint="eastAsia" w:ascii="宋体" w:hAnsi="宋体" w:eastAsia="宋体" w:cs="宋体"/>
                  <w:b/>
                  <w:bCs/>
                  <w:color w:val="auto"/>
                  <w:sz w:val="24"/>
                  <w:szCs w:val="24"/>
                  <w:highlight w:val="none"/>
                  <w:lang w:val="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zh-CN"/>
                </w:rPr>
                <w:fldChar w:fldCharType="begin"/>
              </w:r>
              <w:r>
                <w:rPr>
                  <w:rFonts w:hint="eastAsia" w:ascii="宋体" w:hAnsi="宋体" w:eastAsia="宋体" w:cs="宋体"/>
                  <w:bCs/>
                  <w:color w:val="auto"/>
                  <w:sz w:val="24"/>
                  <w:szCs w:val="24"/>
                  <w:highlight w:val="none"/>
                  <w:lang w:val="zh-CN"/>
                </w:rPr>
                <w:instrText xml:space="preserve"> HYPERLINK \l _Toc21435 </w:instrText>
              </w:r>
              <w:r>
                <w:rPr>
                  <w:rFonts w:hint="eastAsia" w:ascii="宋体" w:hAnsi="宋体" w:eastAsia="宋体" w:cs="宋体"/>
                  <w:bCs/>
                  <w:color w:val="auto"/>
                  <w:sz w:val="24"/>
                  <w:szCs w:val="24"/>
                  <w:highlight w:val="none"/>
                  <w:lang w:val="zh-CN"/>
                </w:rPr>
                <w:fldChar w:fldCharType="separate"/>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健全养老服务体制机制</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val="en-US" w:eastAsia="zh-CN"/>
                </w:rPr>
                <w:t>6</w:t>
              </w:r>
              <w:r>
                <w:rPr>
                  <w:rFonts w:hint="eastAsia" w:ascii="宋体" w:hAnsi="宋体" w:eastAsia="宋体" w:cs="宋体"/>
                  <w:bCs/>
                  <w:color w:val="auto"/>
                  <w:sz w:val="24"/>
                  <w:szCs w:val="24"/>
                  <w:highlight w:val="none"/>
                  <w:lang w:val="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fldChar w:fldCharType="begin"/>
              </w:r>
              <w:r>
                <w:rPr>
                  <w:rFonts w:hint="eastAsia" w:ascii="宋体" w:hAnsi="宋体" w:eastAsia="宋体" w:cs="宋体"/>
                  <w:bCs/>
                  <w:color w:val="auto"/>
                  <w:sz w:val="24"/>
                  <w:szCs w:val="24"/>
                  <w:highlight w:val="none"/>
                  <w:lang w:val="zh-CN"/>
                </w:rPr>
                <w:instrText xml:space="preserve"> HYPERLINK \l _Toc5 </w:instrText>
              </w:r>
              <w:r>
                <w:rPr>
                  <w:rFonts w:hint="eastAsia" w:ascii="宋体" w:hAnsi="宋体" w:eastAsia="宋体" w:cs="宋体"/>
                  <w:bCs/>
                  <w:color w:val="auto"/>
                  <w:sz w:val="24"/>
                  <w:szCs w:val="24"/>
                  <w:highlight w:val="none"/>
                  <w:lang w:val="zh-CN"/>
                </w:rPr>
                <w:fldChar w:fldCharType="separate"/>
              </w:r>
              <w:r>
                <w:rPr>
                  <w:rFonts w:hint="eastAsia" w:ascii="宋体" w:hAnsi="宋体" w:eastAsia="宋体" w:cs="宋体"/>
                  <w:color w:val="auto"/>
                  <w:sz w:val="24"/>
                  <w:szCs w:val="24"/>
                  <w:highlight w:val="none"/>
                  <w:lang w:val="en-US" w:eastAsia="zh-CN"/>
                </w:rPr>
                <w:t>2.加速提升机构养老服务水平</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val="en-US" w:eastAsia="zh-CN"/>
                </w:rPr>
                <w:t>6</w:t>
              </w:r>
              <w:r>
                <w:rPr>
                  <w:rFonts w:hint="eastAsia" w:ascii="宋体" w:hAnsi="宋体" w:eastAsia="宋体" w:cs="宋体"/>
                  <w:bCs/>
                  <w:color w:val="auto"/>
                  <w:sz w:val="24"/>
                  <w:szCs w:val="24"/>
                  <w:highlight w:val="none"/>
                  <w:lang w:val="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0" w:firstLineChars="200"/>
                <w:textAlignment w:val="auto"/>
                <w:rPr>
                  <w:rFonts w:hint="eastAsia"/>
                  <w:color w:val="auto"/>
                  <w:highlight w:val="none"/>
                </w:rPr>
              </w:pPr>
              <w:r>
                <w:rPr>
                  <w:rFonts w:hint="eastAsia" w:ascii="宋体" w:hAnsi="宋体" w:eastAsia="宋体" w:cs="宋体"/>
                  <w:bCs/>
                  <w:color w:val="auto"/>
                  <w:sz w:val="24"/>
                  <w:szCs w:val="24"/>
                  <w:highlight w:val="none"/>
                  <w:lang w:val="zh-CN"/>
                </w:rPr>
                <w:fldChar w:fldCharType="begin"/>
              </w:r>
              <w:r>
                <w:rPr>
                  <w:rFonts w:hint="eastAsia" w:ascii="宋体" w:hAnsi="宋体" w:eastAsia="宋体" w:cs="宋体"/>
                  <w:bCs/>
                  <w:color w:val="auto"/>
                  <w:sz w:val="24"/>
                  <w:szCs w:val="24"/>
                  <w:highlight w:val="none"/>
                  <w:lang w:val="zh-CN"/>
                </w:rPr>
                <w:instrText xml:space="preserve"> HYPERLINK \l _Toc5 </w:instrText>
              </w:r>
              <w:r>
                <w:rPr>
                  <w:rFonts w:hint="eastAsia" w:ascii="宋体" w:hAnsi="宋体" w:eastAsia="宋体" w:cs="宋体"/>
                  <w:bCs/>
                  <w:color w:val="auto"/>
                  <w:sz w:val="24"/>
                  <w:szCs w:val="24"/>
                  <w:highlight w:val="none"/>
                  <w:lang w:val="zh-CN"/>
                </w:rPr>
                <w:fldChar w:fldCharType="separate"/>
              </w:r>
              <w:r>
                <w:rPr>
                  <w:rFonts w:hint="eastAsia" w:ascii="宋体" w:hAnsi="宋体" w:eastAsia="宋体" w:cs="宋体"/>
                  <w:color w:val="auto"/>
                  <w:sz w:val="24"/>
                  <w:szCs w:val="24"/>
                  <w:highlight w:val="none"/>
                  <w:lang w:val="en-US" w:eastAsia="zh-CN"/>
                </w:rPr>
                <w:t>3.加强安全管理</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val="en-US" w:eastAsia="zh-CN"/>
                </w:rPr>
                <w:t>8</w:t>
              </w:r>
              <w:r>
                <w:rPr>
                  <w:rFonts w:hint="eastAsia" w:ascii="宋体" w:hAnsi="宋体" w:eastAsia="宋体" w:cs="宋体"/>
                  <w:bCs/>
                  <w:color w:val="auto"/>
                  <w:sz w:val="24"/>
                  <w:szCs w:val="24"/>
                  <w:highlight w:val="none"/>
                  <w:lang w:val="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zh-CN"/>
                </w:rPr>
                <w:fldChar w:fldCharType="begin"/>
              </w:r>
              <w:r>
                <w:rPr>
                  <w:rFonts w:hint="eastAsia" w:ascii="宋体" w:hAnsi="宋体" w:eastAsia="宋体" w:cs="宋体"/>
                  <w:bCs/>
                  <w:color w:val="auto"/>
                  <w:sz w:val="24"/>
                  <w:szCs w:val="24"/>
                  <w:highlight w:val="none"/>
                  <w:lang w:val="zh-CN"/>
                </w:rPr>
                <w:instrText xml:space="preserve"> HYPERLINK \l _Toc11302 </w:instrText>
              </w:r>
              <w:r>
                <w:rPr>
                  <w:rFonts w:hint="eastAsia" w:ascii="宋体" w:hAnsi="宋体" w:eastAsia="宋体" w:cs="宋体"/>
                  <w:bCs/>
                  <w:color w:val="auto"/>
                  <w:sz w:val="24"/>
                  <w:szCs w:val="24"/>
                  <w:highlight w:val="none"/>
                  <w:lang w:val="zh-CN"/>
                </w:rPr>
                <w:fldChar w:fldCharType="separate"/>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夯实居家社区养老服务基础</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val="en-US" w:eastAsia="zh-CN"/>
                </w:rPr>
                <w:t>9</w:t>
              </w:r>
              <w:r>
                <w:rPr>
                  <w:rFonts w:hint="eastAsia" w:ascii="宋体" w:hAnsi="宋体" w:eastAsia="宋体" w:cs="宋体"/>
                  <w:bCs/>
                  <w:color w:val="auto"/>
                  <w:sz w:val="24"/>
                  <w:szCs w:val="24"/>
                  <w:highlight w:val="none"/>
                  <w:lang w:val="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Cs/>
                  <w:color w:val="auto"/>
                  <w:sz w:val="24"/>
                  <w:szCs w:val="24"/>
                  <w:highlight w:val="none"/>
                  <w:lang w:val="zh-CN"/>
                </w:rPr>
                <w:fldChar w:fldCharType="begin"/>
              </w:r>
              <w:r>
                <w:rPr>
                  <w:rFonts w:hint="eastAsia" w:ascii="宋体" w:hAnsi="宋体" w:eastAsia="宋体" w:cs="宋体"/>
                  <w:bCs/>
                  <w:color w:val="auto"/>
                  <w:sz w:val="24"/>
                  <w:szCs w:val="24"/>
                  <w:highlight w:val="none"/>
                  <w:lang w:val="zh-CN"/>
                </w:rPr>
                <w:instrText xml:space="preserve"> HYPERLINK \l _Toc17333 </w:instrText>
              </w:r>
              <w:r>
                <w:rPr>
                  <w:rFonts w:hint="eastAsia" w:ascii="宋体" w:hAnsi="宋体" w:eastAsia="宋体" w:cs="宋体"/>
                  <w:bCs/>
                  <w:color w:val="auto"/>
                  <w:sz w:val="24"/>
                  <w:szCs w:val="24"/>
                  <w:highlight w:val="none"/>
                  <w:lang w:val="zh-CN"/>
                </w:rPr>
                <w:fldChar w:fldCharType="separate"/>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强化养老服务队伍专业能力</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val="en-US" w:eastAsia="zh-CN"/>
                </w:rPr>
                <w:t>1</w:t>
              </w:r>
              <w:r>
                <w:rPr>
                  <w:rFonts w:hint="eastAsia" w:ascii="宋体" w:hAnsi="宋体" w:eastAsia="宋体" w:cs="宋体"/>
                  <w:bCs/>
                  <w:color w:val="auto"/>
                  <w:sz w:val="24"/>
                  <w:szCs w:val="24"/>
                  <w:highlight w:val="none"/>
                  <w:lang w:val="zh-CN"/>
                </w:rPr>
                <w:fldChar w:fldCharType="end"/>
              </w:r>
              <w:r>
                <w:rPr>
                  <w:rFonts w:hint="eastAsia" w:ascii="宋体" w:hAnsi="宋体" w:eastAsia="宋体" w:cs="宋体"/>
                  <w:bCs/>
                  <w:color w:val="auto"/>
                  <w:sz w:val="24"/>
                  <w:szCs w:val="24"/>
                  <w:highlight w:val="none"/>
                  <w:lang w:val="en-US" w:eastAsia="zh-CN"/>
                </w:rPr>
                <w:t>1</w:t>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zh-CN"/>
                </w:rPr>
                <w:fldChar w:fldCharType="begin"/>
              </w:r>
              <w:r>
                <w:rPr>
                  <w:rFonts w:hint="eastAsia" w:ascii="宋体" w:hAnsi="宋体" w:eastAsia="宋体" w:cs="宋体"/>
                  <w:b/>
                  <w:bCs/>
                  <w:color w:val="auto"/>
                  <w:sz w:val="24"/>
                  <w:szCs w:val="24"/>
                  <w:highlight w:val="none"/>
                  <w:lang w:val="zh-CN"/>
                </w:rPr>
                <w:instrText xml:space="preserve"> HYPERLINK \l _Toc23648 </w:instrText>
              </w:r>
              <w:r>
                <w:rPr>
                  <w:rFonts w:hint="eastAsia" w:ascii="宋体" w:hAnsi="宋体" w:eastAsia="宋体" w:cs="宋体"/>
                  <w:b/>
                  <w:bCs/>
                  <w:color w:val="auto"/>
                  <w:sz w:val="24"/>
                  <w:szCs w:val="24"/>
                  <w:highlight w:val="none"/>
                  <w:lang w:val="zh-CN"/>
                </w:rPr>
                <w:fldChar w:fldCharType="separate"/>
              </w:r>
              <w:r>
                <w:rPr>
                  <w:rFonts w:hint="eastAsia" w:ascii="宋体" w:hAnsi="宋体" w:eastAsia="宋体" w:cs="宋体"/>
                  <w:b/>
                  <w:bCs/>
                  <w:color w:val="auto"/>
                  <w:sz w:val="24"/>
                  <w:szCs w:val="24"/>
                  <w:highlight w:val="none"/>
                  <w:lang w:val="en-US" w:eastAsia="zh-CN"/>
                </w:rPr>
                <w:t>二、</w:t>
              </w:r>
              <w:r>
                <w:rPr>
                  <w:rFonts w:hint="eastAsia" w:ascii="宋体" w:hAnsi="宋体" w:eastAsia="宋体" w:cs="宋体"/>
                  <w:b/>
                  <w:bCs/>
                  <w:color w:val="auto"/>
                  <w:sz w:val="24"/>
                  <w:szCs w:val="24"/>
                  <w:highlight w:val="none"/>
                </w:rPr>
                <w:t>存在问题</w:t>
              </w: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lang w:val="zh-CN"/>
                </w:rPr>
                <w:fldChar w:fldCharType="end"/>
              </w:r>
              <w:r>
                <w:rPr>
                  <w:rFonts w:hint="eastAsia" w:ascii="宋体" w:hAnsi="宋体" w:eastAsia="宋体" w:cs="宋体"/>
                  <w:b/>
                  <w:bCs/>
                  <w:color w:val="auto"/>
                  <w:sz w:val="24"/>
                  <w:szCs w:val="24"/>
                  <w:highlight w:val="none"/>
                  <w:lang w:val="en-US" w:eastAsia="zh-CN"/>
                </w:rPr>
                <w:t>1</w:t>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zh-CN"/>
                </w:rPr>
                <w:fldChar w:fldCharType="begin"/>
              </w:r>
              <w:r>
                <w:rPr>
                  <w:rFonts w:hint="eastAsia" w:ascii="宋体" w:hAnsi="宋体" w:eastAsia="宋体" w:cs="宋体"/>
                  <w:b/>
                  <w:bCs/>
                  <w:color w:val="auto"/>
                  <w:sz w:val="24"/>
                  <w:szCs w:val="24"/>
                  <w:highlight w:val="none"/>
                  <w:lang w:val="zh-CN"/>
                </w:rPr>
                <w:instrText xml:space="preserve"> HYPERLINK \l _Toc7992 </w:instrText>
              </w:r>
              <w:r>
                <w:rPr>
                  <w:rFonts w:hint="eastAsia" w:ascii="宋体" w:hAnsi="宋体" w:eastAsia="宋体" w:cs="宋体"/>
                  <w:b/>
                  <w:bCs/>
                  <w:color w:val="auto"/>
                  <w:sz w:val="24"/>
                  <w:szCs w:val="24"/>
                  <w:highlight w:val="none"/>
                  <w:lang w:val="zh-CN"/>
                </w:rPr>
                <w:fldChar w:fldCharType="separate"/>
              </w:r>
              <w:r>
                <w:rPr>
                  <w:rFonts w:hint="eastAsia" w:ascii="宋体" w:hAnsi="宋体" w:eastAsia="宋体" w:cs="宋体"/>
                  <w:b/>
                  <w:bCs/>
                  <w:color w:val="auto"/>
                  <w:sz w:val="24"/>
                  <w:szCs w:val="24"/>
                  <w:highlight w:val="none"/>
                </w:rPr>
                <w:t>第二章 发展形势</w:t>
              </w: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lang w:val="zh-CN"/>
                </w:rPr>
                <w:fldChar w:fldCharType="end"/>
              </w:r>
              <w:r>
                <w:rPr>
                  <w:rFonts w:hint="eastAsia" w:ascii="宋体" w:hAnsi="宋体" w:eastAsia="宋体" w:cs="宋体"/>
                  <w:b/>
                  <w:bCs/>
                  <w:color w:val="auto"/>
                  <w:sz w:val="24"/>
                  <w:szCs w:val="24"/>
                  <w:highlight w:val="none"/>
                  <w:lang w:val="en-US" w:eastAsia="zh-CN"/>
                </w:rPr>
                <w:t>3</w:t>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zh-CN"/>
                </w:rPr>
                <w:fldChar w:fldCharType="begin"/>
              </w:r>
              <w:r>
                <w:rPr>
                  <w:rFonts w:hint="eastAsia" w:ascii="宋体" w:hAnsi="宋体" w:eastAsia="宋体" w:cs="宋体"/>
                  <w:b/>
                  <w:bCs/>
                  <w:color w:val="auto"/>
                  <w:sz w:val="24"/>
                  <w:szCs w:val="24"/>
                  <w:highlight w:val="none"/>
                  <w:lang w:val="zh-CN"/>
                </w:rPr>
                <w:instrText xml:space="preserve"> HYPERLINK \l _Toc21582 </w:instrText>
              </w:r>
              <w:r>
                <w:rPr>
                  <w:rFonts w:hint="eastAsia" w:ascii="宋体" w:hAnsi="宋体" w:eastAsia="宋体" w:cs="宋体"/>
                  <w:b/>
                  <w:bCs/>
                  <w:color w:val="auto"/>
                  <w:sz w:val="24"/>
                  <w:szCs w:val="24"/>
                  <w:highlight w:val="none"/>
                  <w:lang w:val="zh-CN"/>
                </w:rPr>
                <w:fldChar w:fldCharType="separate"/>
              </w:r>
              <w:r>
                <w:rPr>
                  <w:rFonts w:hint="eastAsia" w:ascii="宋体" w:hAnsi="宋体" w:eastAsia="宋体" w:cs="宋体"/>
                  <w:b/>
                  <w:bCs/>
                  <w:color w:val="auto"/>
                  <w:sz w:val="24"/>
                  <w:szCs w:val="24"/>
                  <w:highlight w:val="none"/>
                </w:rPr>
                <w:t>第三章 总体要求</w:t>
              </w: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lang w:val="zh-CN"/>
                </w:rPr>
                <w:fldChar w:fldCharType="end"/>
              </w:r>
              <w:r>
                <w:rPr>
                  <w:rFonts w:hint="eastAsia" w:ascii="宋体" w:hAnsi="宋体" w:eastAsia="宋体" w:cs="宋体"/>
                  <w:b/>
                  <w:bCs/>
                  <w:color w:val="auto"/>
                  <w:sz w:val="24"/>
                  <w:szCs w:val="24"/>
                  <w:highlight w:val="none"/>
                  <w:lang w:val="en-US" w:eastAsia="zh-CN"/>
                </w:rPr>
                <w:t>6</w:t>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zh-CN"/>
                </w:rPr>
                <w:fldChar w:fldCharType="begin"/>
              </w:r>
              <w:r>
                <w:rPr>
                  <w:rFonts w:hint="eastAsia" w:ascii="宋体" w:hAnsi="宋体" w:eastAsia="宋体" w:cs="宋体"/>
                  <w:b/>
                  <w:bCs/>
                  <w:color w:val="auto"/>
                  <w:sz w:val="24"/>
                  <w:szCs w:val="24"/>
                  <w:highlight w:val="none"/>
                  <w:lang w:val="zh-CN"/>
                </w:rPr>
                <w:instrText xml:space="preserve"> HYPERLINK \l _Toc12201 </w:instrText>
              </w:r>
              <w:r>
                <w:rPr>
                  <w:rFonts w:hint="eastAsia" w:ascii="宋体" w:hAnsi="宋体" w:eastAsia="宋体" w:cs="宋体"/>
                  <w:b/>
                  <w:bCs/>
                  <w:color w:val="auto"/>
                  <w:sz w:val="24"/>
                  <w:szCs w:val="24"/>
                  <w:highlight w:val="none"/>
                  <w:lang w:val="zh-CN"/>
                </w:rPr>
                <w:fldChar w:fldCharType="separate"/>
              </w:r>
              <w:r>
                <w:rPr>
                  <w:rFonts w:hint="eastAsia" w:ascii="宋体" w:hAnsi="宋体" w:eastAsia="宋体" w:cs="宋体"/>
                  <w:b/>
                  <w:bCs/>
                  <w:color w:val="auto"/>
                  <w:sz w:val="24"/>
                  <w:szCs w:val="24"/>
                  <w:highlight w:val="none"/>
                  <w:lang w:val="en-US" w:eastAsia="zh-CN"/>
                </w:rPr>
                <w:t>一、</w:t>
              </w:r>
              <w:r>
                <w:rPr>
                  <w:rFonts w:hint="eastAsia" w:ascii="宋体" w:hAnsi="宋体" w:eastAsia="宋体" w:cs="宋体"/>
                  <w:b/>
                  <w:bCs/>
                  <w:color w:val="auto"/>
                  <w:sz w:val="24"/>
                  <w:szCs w:val="24"/>
                  <w:highlight w:val="none"/>
                </w:rPr>
                <w:t>指导思想</w:t>
              </w: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lang w:val="zh-CN"/>
                </w:rPr>
                <w:fldChar w:fldCharType="end"/>
              </w:r>
              <w:r>
                <w:rPr>
                  <w:rFonts w:hint="eastAsia" w:ascii="宋体" w:hAnsi="宋体" w:eastAsia="宋体" w:cs="宋体"/>
                  <w:b/>
                  <w:bCs/>
                  <w:color w:val="auto"/>
                  <w:sz w:val="24"/>
                  <w:szCs w:val="24"/>
                  <w:highlight w:val="none"/>
                  <w:lang w:val="en-US" w:eastAsia="zh-CN"/>
                </w:rPr>
                <w:t>6</w:t>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二、</w:t>
              </w:r>
              <w:r>
                <w:rPr>
                  <w:rFonts w:hint="eastAsia" w:ascii="宋体" w:hAnsi="宋体" w:eastAsia="宋体" w:cs="宋体"/>
                  <w:b/>
                  <w:bCs/>
                  <w:color w:val="auto"/>
                  <w:sz w:val="24"/>
                  <w:szCs w:val="24"/>
                  <w:highlight w:val="none"/>
                  <w:lang w:eastAsia="zh-CN"/>
                </w:rPr>
                <w:t>基本原则</w:t>
              </w: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lang w:val="en-US" w:eastAsia="zh-CN"/>
                </w:rPr>
                <w:t>16</w:t>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zh-CN"/>
                </w:rPr>
                <w:fldChar w:fldCharType="begin"/>
              </w:r>
              <w:r>
                <w:rPr>
                  <w:rFonts w:hint="eastAsia" w:ascii="宋体" w:hAnsi="宋体" w:eastAsia="宋体" w:cs="宋体"/>
                  <w:b/>
                  <w:bCs/>
                  <w:color w:val="auto"/>
                  <w:sz w:val="24"/>
                  <w:szCs w:val="24"/>
                  <w:highlight w:val="none"/>
                  <w:lang w:val="zh-CN"/>
                </w:rPr>
                <w:instrText xml:space="preserve"> HYPERLINK \l _Toc18996 </w:instrText>
              </w:r>
              <w:r>
                <w:rPr>
                  <w:rFonts w:hint="eastAsia" w:ascii="宋体" w:hAnsi="宋体" w:eastAsia="宋体" w:cs="宋体"/>
                  <w:b/>
                  <w:bCs/>
                  <w:color w:val="auto"/>
                  <w:sz w:val="24"/>
                  <w:szCs w:val="24"/>
                  <w:highlight w:val="none"/>
                  <w:lang w:val="zh-CN"/>
                </w:rPr>
                <w:fldChar w:fldCharType="separate"/>
              </w:r>
              <w:r>
                <w:rPr>
                  <w:rFonts w:hint="eastAsia" w:ascii="宋体" w:hAnsi="宋体" w:eastAsia="宋体" w:cs="宋体"/>
                  <w:b/>
                  <w:bCs/>
                  <w:color w:val="auto"/>
                  <w:sz w:val="24"/>
                  <w:szCs w:val="24"/>
                  <w:highlight w:val="none"/>
                  <w:lang w:val="zh-CN"/>
                </w:rPr>
                <w:t>三</w:t>
              </w:r>
              <w:r>
                <w:rPr>
                  <w:rFonts w:hint="eastAsia" w:ascii="宋体" w:hAnsi="宋体" w:eastAsia="宋体" w:cs="宋体"/>
                  <w:b/>
                  <w:bCs/>
                  <w:color w:val="auto"/>
                  <w:sz w:val="24"/>
                  <w:szCs w:val="24"/>
                  <w:highlight w:val="none"/>
                  <w:lang w:val="en-US" w:eastAsia="zh-CN"/>
                </w:rPr>
                <w:t>、</w:t>
              </w:r>
              <w:r>
                <w:rPr>
                  <w:rFonts w:hint="eastAsia" w:ascii="宋体" w:hAnsi="宋体" w:eastAsia="宋体" w:cs="宋体"/>
                  <w:b/>
                  <w:bCs/>
                  <w:color w:val="auto"/>
                  <w:sz w:val="24"/>
                  <w:szCs w:val="24"/>
                  <w:highlight w:val="none"/>
                  <w:lang w:eastAsia="zh-CN"/>
                </w:rPr>
                <w:t>发展目标</w:t>
              </w: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lang w:val="zh-CN"/>
                </w:rPr>
                <w:fldChar w:fldCharType="end"/>
              </w:r>
              <w:r>
                <w:rPr>
                  <w:rFonts w:hint="eastAsia" w:ascii="宋体" w:hAnsi="宋体" w:eastAsia="宋体" w:cs="宋体"/>
                  <w:b/>
                  <w:bCs/>
                  <w:color w:val="auto"/>
                  <w:sz w:val="24"/>
                  <w:szCs w:val="24"/>
                  <w:highlight w:val="none"/>
                  <w:lang w:val="en-US" w:eastAsia="zh-CN"/>
                </w:rPr>
                <w:t>7</w:t>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zh-CN"/>
                </w:rPr>
                <w:fldChar w:fldCharType="begin"/>
              </w:r>
              <w:r>
                <w:rPr>
                  <w:rFonts w:hint="eastAsia" w:ascii="宋体" w:hAnsi="宋体" w:eastAsia="宋体" w:cs="宋体"/>
                  <w:b/>
                  <w:bCs/>
                  <w:color w:val="auto"/>
                  <w:sz w:val="24"/>
                  <w:szCs w:val="24"/>
                  <w:highlight w:val="none"/>
                  <w:lang w:val="zh-CN"/>
                </w:rPr>
                <w:instrText xml:space="preserve"> HYPERLINK \l _Toc24434 </w:instrText>
              </w:r>
              <w:r>
                <w:rPr>
                  <w:rFonts w:hint="eastAsia" w:ascii="宋体" w:hAnsi="宋体" w:eastAsia="宋体" w:cs="宋体"/>
                  <w:b/>
                  <w:bCs/>
                  <w:color w:val="auto"/>
                  <w:sz w:val="24"/>
                  <w:szCs w:val="24"/>
                  <w:highlight w:val="none"/>
                  <w:lang w:val="zh-CN"/>
                </w:rPr>
                <w:fldChar w:fldCharType="separate"/>
              </w:r>
              <w:r>
                <w:rPr>
                  <w:rFonts w:hint="eastAsia" w:ascii="宋体" w:hAnsi="宋体" w:eastAsia="宋体" w:cs="宋体"/>
                  <w:b/>
                  <w:bCs/>
                  <w:color w:val="auto"/>
                  <w:sz w:val="24"/>
                  <w:szCs w:val="24"/>
                  <w:highlight w:val="none"/>
                </w:rPr>
                <w:t>第四章 主要任务和实施路径</w:t>
              </w: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lang w:val="zh-CN"/>
                </w:rPr>
                <w:fldChar w:fldCharType="end"/>
              </w:r>
              <w:r>
                <w:rPr>
                  <w:rFonts w:hint="eastAsia" w:ascii="宋体" w:hAnsi="宋体" w:eastAsia="宋体" w:cs="宋体"/>
                  <w:b/>
                  <w:bCs/>
                  <w:color w:val="auto"/>
                  <w:sz w:val="24"/>
                  <w:szCs w:val="24"/>
                  <w:highlight w:val="none"/>
                  <w:lang w:val="en-US" w:eastAsia="zh-CN"/>
                </w:rPr>
                <w:t>9</w:t>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2" w:firstLineChars="200"/>
                <w:textAlignment w:val="auto"/>
                <w:rPr>
                  <w:rFonts w:hint="default"/>
                  <w:highlight w:val="none"/>
                  <w:lang w:val="en-US" w:eastAsia="zh-CN"/>
                </w:rPr>
              </w:pPr>
              <w:r>
                <w:rPr>
                  <w:rFonts w:hint="eastAsia" w:ascii="宋体" w:hAnsi="宋体" w:eastAsia="宋体" w:cs="宋体"/>
                  <w:b/>
                  <w:bCs/>
                  <w:color w:val="auto"/>
                  <w:sz w:val="24"/>
                  <w:szCs w:val="24"/>
                  <w:highlight w:val="none"/>
                  <w:lang w:val="zh-CN"/>
                </w:rPr>
                <w:t>一、健全完善基本养老服务制度</w:t>
              </w: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lang w:val="en-US" w:eastAsia="zh-CN"/>
                </w:rPr>
                <w:t>19</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2" w:firstLineChars="200"/>
                <w:textAlignment w:val="auto"/>
                <w:rPr>
                  <w:rFonts w:hint="eastAsia" w:ascii="宋体" w:hAnsi="宋体" w:eastAsia="宋体" w:cs="宋体"/>
                  <w:bCs/>
                  <w:color w:val="auto"/>
                  <w:sz w:val="24"/>
                  <w:szCs w:val="24"/>
                  <w:highlight w:val="none"/>
                  <w:lang w:val="zh-CN"/>
                </w:rPr>
              </w:pPr>
              <w:r>
                <w:rPr>
                  <w:rFonts w:hint="eastAsia" w:ascii="宋体" w:hAnsi="宋体" w:eastAsia="宋体" w:cs="宋体"/>
                  <w:b/>
                  <w:bCs/>
                  <w:color w:val="auto"/>
                  <w:kern w:val="2"/>
                  <w:sz w:val="24"/>
                  <w:szCs w:val="24"/>
                  <w:highlight w:val="none"/>
                  <w:lang w:val="zh-CN" w:eastAsia="zh-CN" w:bidi="ar-SA"/>
                </w:rPr>
                <w:t>二、不断提升和优化养老机构服务功能</w:t>
              </w:r>
              <w:r>
                <w:rPr>
                  <w:rFonts w:hint="eastAsia" w:ascii="宋体" w:hAnsi="宋体" w:eastAsia="宋体" w:cs="宋体"/>
                  <w:b/>
                  <w:bCs/>
                  <w:color w:val="auto"/>
                  <w:kern w:val="2"/>
                  <w:sz w:val="24"/>
                  <w:szCs w:val="24"/>
                  <w:highlight w:val="none"/>
                  <w:lang w:val="zh-CN" w:eastAsia="zh-CN" w:bidi="ar-SA"/>
                </w:rPr>
                <w:tab/>
              </w:r>
              <w:r>
                <w:rPr>
                  <w:rFonts w:hint="eastAsia" w:ascii="宋体" w:hAnsi="宋体" w:eastAsia="宋体" w:cs="宋体"/>
                  <w:b/>
                  <w:bCs/>
                  <w:color w:val="auto"/>
                  <w:kern w:val="2"/>
                  <w:sz w:val="24"/>
                  <w:szCs w:val="24"/>
                  <w:highlight w:val="none"/>
                  <w:lang w:val="en-US" w:eastAsia="zh-CN" w:bidi="ar-SA"/>
                </w:rPr>
                <w:t>19</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0" w:firstLineChars="200"/>
                <w:textAlignment w:val="auto"/>
                <w:rPr>
                  <w:rFonts w:hint="default" w:eastAsia="宋体"/>
                  <w:highlight w:val="none"/>
                  <w:lang w:val="en-US" w:eastAsia="zh-CN"/>
                </w:rPr>
              </w:pPr>
              <w:r>
                <w:rPr>
                  <w:rFonts w:hint="eastAsia" w:ascii="宋体" w:hAnsi="宋体" w:eastAsia="宋体" w:cs="宋体"/>
                  <w:bCs/>
                  <w:color w:val="auto"/>
                  <w:sz w:val="24"/>
                  <w:szCs w:val="24"/>
                  <w:highlight w:val="none"/>
                  <w:lang w:val="zh-CN"/>
                </w:rPr>
                <w:fldChar w:fldCharType="begin"/>
              </w:r>
              <w:r>
                <w:rPr>
                  <w:rFonts w:hint="eastAsia" w:ascii="宋体" w:hAnsi="宋体" w:eastAsia="宋体" w:cs="宋体"/>
                  <w:bCs/>
                  <w:color w:val="auto"/>
                  <w:sz w:val="24"/>
                  <w:szCs w:val="24"/>
                  <w:highlight w:val="none"/>
                  <w:lang w:val="zh-CN"/>
                </w:rPr>
                <w:instrText xml:space="preserve"> HYPERLINK \l _Toc2175 </w:instrText>
              </w:r>
              <w:r>
                <w:rPr>
                  <w:rFonts w:hint="eastAsia" w:ascii="宋体" w:hAnsi="宋体" w:eastAsia="宋体" w:cs="宋体"/>
                  <w:bCs/>
                  <w:color w:val="auto"/>
                  <w:sz w:val="24"/>
                  <w:szCs w:val="24"/>
                  <w:highlight w:val="none"/>
                  <w:lang w:val="zh-CN"/>
                </w:rPr>
                <w:fldChar w:fldCharType="separate"/>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强化公办养老机构“兜底线、保基本”功能</w:t>
              </w:r>
              <w:r>
                <w:rPr>
                  <w:rFonts w:hint="eastAsia" w:ascii="宋体" w:hAnsi="宋体" w:eastAsia="宋体" w:cs="宋体"/>
                  <w:color w:val="auto"/>
                  <w:sz w:val="24"/>
                  <w:szCs w:val="24"/>
                  <w:highlight w:val="none"/>
                </w:rPr>
                <w:tab/>
              </w:r>
              <w:r>
                <w:rPr>
                  <w:rFonts w:hint="eastAsia" w:ascii="宋体" w:hAnsi="宋体" w:eastAsia="宋体" w:cs="宋体"/>
                  <w:bCs/>
                  <w:color w:val="auto"/>
                  <w:sz w:val="24"/>
                  <w:szCs w:val="24"/>
                  <w:highlight w:val="none"/>
                  <w:lang w:val="zh-CN"/>
                </w:rPr>
                <w:fldChar w:fldCharType="end"/>
              </w:r>
              <w:r>
                <w:rPr>
                  <w:rFonts w:hint="eastAsia" w:ascii="宋体" w:hAnsi="宋体" w:eastAsia="宋体" w:cs="宋体"/>
                  <w:bCs/>
                  <w:color w:val="auto"/>
                  <w:sz w:val="24"/>
                  <w:szCs w:val="24"/>
                  <w:highlight w:val="none"/>
                  <w:lang w:val="en-US" w:eastAsia="zh-CN"/>
                </w:rPr>
                <w:t>19</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bCs/>
                  <w:color w:val="auto"/>
                  <w:sz w:val="24"/>
                  <w:szCs w:val="24"/>
                  <w:highlight w:val="none"/>
                  <w:lang w:val="zh-CN"/>
                </w:rPr>
                <w:fldChar w:fldCharType="begin"/>
              </w:r>
              <w:r>
                <w:rPr>
                  <w:rFonts w:hint="eastAsia" w:ascii="宋体" w:hAnsi="宋体" w:eastAsia="宋体" w:cs="宋体"/>
                  <w:bCs/>
                  <w:color w:val="auto"/>
                  <w:sz w:val="24"/>
                  <w:szCs w:val="24"/>
                  <w:highlight w:val="none"/>
                  <w:lang w:val="zh-CN"/>
                </w:rPr>
                <w:instrText xml:space="preserve"> HYPERLINK \l _Toc23776 </w:instrText>
              </w:r>
              <w:r>
                <w:rPr>
                  <w:rFonts w:hint="eastAsia" w:ascii="宋体" w:hAnsi="宋体" w:eastAsia="宋体" w:cs="宋体"/>
                  <w:bCs/>
                  <w:color w:val="auto"/>
                  <w:sz w:val="24"/>
                  <w:szCs w:val="24"/>
                  <w:highlight w:val="none"/>
                  <w:lang w:val="zh-CN"/>
                </w:rPr>
                <w:fldChar w:fldCharType="separate"/>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.加快特困人员供养服务设施（敬老院）改造</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val="en-US" w:eastAsia="zh-CN"/>
                </w:rPr>
                <w:t>19</w:t>
              </w:r>
              <w:r>
                <w:rPr>
                  <w:rFonts w:hint="eastAsia" w:ascii="宋体" w:hAnsi="宋体" w:eastAsia="宋体" w:cs="宋体"/>
                  <w:bCs/>
                  <w:color w:val="auto"/>
                  <w:sz w:val="24"/>
                  <w:szCs w:val="24"/>
                  <w:highlight w:val="none"/>
                  <w:lang w:val="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bCs/>
                  <w:color w:val="auto"/>
                  <w:sz w:val="24"/>
                  <w:szCs w:val="24"/>
                  <w:highlight w:val="none"/>
                  <w:lang w:val="zh-CN"/>
                </w:rPr>
                <w:fldChar w:fldCharType="begin"/>
              </w:r>
              <w:r>
                <w:rPr>
                  <w:rFonts w:hint="eastAsia" w:ascii="宋体" w:hAnsi="宋体" w:eastAsia="宋体" w:cs="宋体"/>
                  <w:bCs/>
                  <w:color w:val="auto"/>
                  <w:sz w:val="24"/>
                  <w:szCs w:val="24"/>
                  <w:highlight w:val="none"/>
                  <w:lang w:val="zh-CN"/>
                </w:rPr>
                <w:instrText xml:space="preserve"> HYPERLINK \l _Toc20768 </w:instrText>
              </w:r>
              <w:r>
                <w:rPr>
                  <w:rFonts w:hint="eastAsia" w:ascii="宋体" w:hAnsi="宋体" w:eastAsia="宋体" w:cs="宋体"/>
                  <w:bCs/>
                  <w:color w:val="auto"/>
                  <w:sz w:val="24"/>
                  <w:szCs w:val="24"/>
                  <w:highlight w:val="none"/>
                  <w:lang w:val="zh-CN"/>
                </w:rPr>
                <w:fldChar w:fldCharType="separate"/>
              </w:r>
              <w:r>
                <w:rPr>
                  <w:rFonts w:hint="eastAsia" w:ascii="宋体" w:hAnsi="宋体" w:eastAsia="宋体" w:cs="宋体"/>
                  <w:color w:val="auto"/>
                  <w:sz w:val="24"/>
                  <w:szCs w:val="24"/>
                  <w:highlight w:val="none"/>
                  <w:lang w:val="en-US" w:eastAsia="zh-CN"/>
                </w:rPr>
                <w:t>3.增强照护能力</w:t>
              </w:r>
              <w:r>
                <w:rPr>
                  <w:rFonts w:hint="eastAsia" w:ascii="宋体" w:hAnsi="宋体" w:eastAsia="宋体" w:cs="宋体"/>
                  <w:color w:val="auto"/>
                  <w:sz w:val="24"/>
                  <w:szCs w:val="24"/>
                  <w:highlight w:val="none"/>
                </w:rPr>
                <w:tab/>
              </w:r>
              <w:r>
                <w:rPr>
                  <w:rFonts w:hint="eastAsia" w:ascii="宋体" w:hAnsi="宋体" w:eastAsia="宋体" w:cs="宋体"/>
                  <w:bCs/>
                  <w:color w:val="auto"/>
                  <w:sz w:val="24"/>
                  <w:szCs w:val="24"/>
                  <w:highlight w:val="none"/>
                  <w:lang w:val="zh-CN"/>
                </w:rPr>
                <w:fldChar w:fldCharType="end"/>
              </w:r>
              <w:r>
                <w:rPr>
                  <w:rFonts w:hint="eastAsia" w:ascii="宋体" w:hAnsi="宋体" w:eastAsia="宋体" w:cs="宋体"/>
                  <w:bCs/>
                  <w:color w:val="auto"/>
                  <w:sz w:val="24"/>
                  <w:szCs w:val="24"/>
                  <w:highlight w:val="none"/>
                  <w:lang w:val="en-US" w:eastAsia="zh-CN"/>
                </w:rPr>
                <w:t>20</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bCs/>
                  <w:color w:val="auto"/>
                  <w:sz w:val="24"/>
                  <w:szCs w:val="24"/>
                  <w:highlight w:val="none"/>
                  <w:lang w:val="zh-CN"/>
                </w:rPr>
                <w:fldChar w:fldCharType="begin"/>
              </w:r>
              <w:r>
                <w:rPr>
                  <w:rFonts w:hint="eastAsia" w:ascii="宋体" w:hAnsi="宋体" w:eastAsia="宋体" w:cs="宋体"/>
                  <w:bCs/>
                  <w:color w:val="auto"/>
                  <w:sz w:val="24"/>
                  <w:szCs w:val="24"/>
                  <w:highlight w:val="none"/>
                  <w:lang w:val="zh-CN"/>
                </w:rPr>
                <w:instrText xml:space="preserve"> HYPERLINK \l _Toc6953 </w:instrText>
              </w:r>
              <w:r>
                <w:rPr>
                  <w:rFonts w:hint="eastAsia" w:ascii="宋体" w:hAnsi="宋体" w:eastAsia="宋体" w:cs="宋体"/>
                  <w:bCs/>
                  <w:color w:val="auto"/>
                  <w:sz w:val="24"/>
                  <w:szCs w:val="24"/>
                  <w:highlight w:val="none"/>
                  <w:lang w:val="zh-CN"/>
                </w:rPr>
                <w:fldChar w:fldCharType="separate"/>
              </w:r>
              <w:r>
                <w:rPr>
                  <w:rFonts w:hint="eastAsia" w:ascii="宋体" w:hAnsi="宋体" w:eastAsia="宋体" w:cs="宋体"/>
                  <w:color w:val="auto"/>
                  <w:sz w:val="24"/>
                  <w:szCs w:val="24"/>
                  <w:highlight w:val="none"/>
                  <w:lang w:val="en-US" w:eastAsia="zh-CN"/>
                </w:rPr>
                <w:t>4.深化公办养老机构改革</w:t>
              </w:r>
              <w:r>
                <w:rPr>
                  <w:rFonts w:hint="eastAsia" w:ascii="宋体" w:hAnsi="宋体" w:eastAsia="宋体" w:cs="宋体"/>
                  <w:color w:val="auto"/>
                  <w:sz w:val="24"/>
                  <w:szCs w:val="24"/>
                  <w:highlight w:val="none"/>
                </w:rPr>
                <w:tab/>
              </w:r>
              <w:r>
                <w:rPr>
                  <w:rFonts w:hint="eastAsia" w:ascii="宋体" w:hAnsi="宋体" w:eastAsia="宋体" w:cs="宋体"/>
                  <w:bCs/>
                  <w:color w:val="auto"/>
                  <w:sz w:val="24"/>
                  <w:szCs w:val="24"/>
                  <w:highlight w:val="none"/>
                  <w:lang w:val="zh-CN"/>
                </w:rPr>
                <w:fldChar w:fldCharType="end"/>
              </w:r>
              <w:r>
                <w:rPr>
                  <w:rFonts w:hint="eastAsia" w:ascii="宋体" w:hAnsi="宋体" w:eastAsia="宋体" w:cs="宋体"/>
                  <w:bCs/>
                  <w:color w:val="auto"/>
                  <w:sz w:val="24"/>
                  <w:szCs w:val="24"/>
                  <w:highlight w:val="none"/>
                  <w:lang w:val="en-US" w:eastAsia="zh-CN"/>
                </w:rPr>
                <w:t>22</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zh-CN"/>
                </w:rPr>
                <w:fldChar w:fldCharType="begin"/>
              </w:r>
              <w:r>
                <w:rPr>
                  <w:rFonts w:hint="eastAsia" w:ascii="宋体" w:hAnsi="宋体" w:eastAsia="宋体" w:cs="宋体"/>
                  <w:bCs/>
                  <w:color w:val="auto"/>
                  <w:sz w:val="24"/>
                  <w:szCs w:val="24"/>
                  <w:highlight w:val="none"/>
                  <w:lang w:val="zh-CN"/>
                </w:rPr>
                <w:instrText xml:space="preserve"> HYPERLINK \l _Toc25529 </w:instrText>
              </w:r>
              <w:r>
                <w:rPr>
                  <w:rFonts w:hint="eastAsia" w:ascii="宋体" w:hAnsi="宋体" w:eastAsia="宋体" w:cs="宋体"/>
                  <w:bCs/>
                  <w:color w:val="auto"/>
                  <w:sz w:val="24"/>
                  <w:szCs w:val="24"/>
                  <w:highlight w:val="none"/>
                  <w:lang w:val="zh-CN"/>
                </w:rPr>
                <w:fldChar w:fldCharType="separate"/>
              </w:r>
              <w:r>
                <w:rPr>
                  <w:rFonts w:hint="eastAsia" w:ascii="宋体" w:hAnsi="宋体" w:eastAsia="宋体" w:cs="宋体"/>
                  <w:bCs/>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.引导扶持社会办养老机构发展</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val="en-US" w:eastAsia="zh-CN"/>
                </w:rPr>
                <w:t>2</w:t>
              </w:r>
              <w:r>
                <w:rPr>
                  <w:rFonts w:hint="eastAsia" w:ascii="宋体" w:hAnsi="宋体" w:eastAsia="宋体" w:cs="宋体"/>
                  <w:bCs/>
                  <w:color w:val="auto"/>
                  <w:sz w:val="24"/>
                  <w:szCs w:val="24"/>
                  <w:highlight w:val="none"/>
                  <w:lang w:val="zh-CN"/>
                </w:rPr>
                <w:fldChar w:fldCharType="end"/>
              </w:r>
              <w:r>
                <w:rPr>
                  <w:rFonts w:hint="eastAsia" w:ascii="宋体" w:hAnsi="宋体" w:eastAsia="宋体" w:cs="宋体"/>
                  <w:bCs/>
                  <w:color w:val="auto"/>
                  <w:sz w:val="24"/>
                  <w:szCs w:val="24"/>
                  <w:highlight w:val="none"/>
                  <w:lang w:val="en-US" w:eastAsia="zh-CN"/>
                </w:rPr>
                <w:t>2</w:t>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zh-CN"/>
                </w:rPr>
                <w:fldChar w:fldCharType="begin"/>
              </w:r>
              <w:r>
                <w:rPr>
                  <w:rFonts w:hint="eastAsia" w:ascii="宋体" w:hAnsi="宋体" w:eastAsia="宋体" w:cs="宋体"/>
                  <w:b/>
                  <w:bCs/>
                  <w:color w:val="auto"/>
                  <w:sz w:val="24"/>
                  <w:szCs w:val="24"/>
                  <w:highlight w:val="none"/>
                  <w:lang w:val="zh-CN"/>
                </w:rPr>
                <w:instrText xml:space="preserve"> HYPERLINK \l _Toc748 </w:instrText>
              </w:r>
              <w:r>
                <w:rPr>
                  <w:rFonts w:hint="eastAsia" w:ascii="宋体" w:hAnsi="宋体" w:eastAsia="宋体" w:cs="宋体"/>
                  <w:b/>
                  <w:bCs/>
                  <w:color w:val="auto"/>
                  <w:sz w:val="24"/>
                  <w:szCs w:val="24"/>
                  <w:highlight w:val="none"/>
                  <w:lang w:val="zh-CN"/>
                </w:rPr>
                <w:fldChar w:fldCharType="separate"/>
              </w:r>
              <w:r>
                <w:rPr>
                  <w:rFonts w:hint="eastAsia" w:ascii="宋体" w:hAnsi="宋体" w:eastAsia="宋体" w:cs="宋体"/>
                  <w:b/>
                  <w:bCs/>
                  <w:color w:val="auto"/>
                  <w:sz w:val="24"/>
                  <w:szCs w:val="24"/>
                  <w:highlight w:val="none"/>
                  <w:lang w:val="zh-CN"/>
                </w:rPr>
                <w:t>三</w:t>
              </w:r>
              <w:r>
                <w:rPr>
                  <w:rFonts w:hint="eastAsia" w:ascii="宋体" w:hAnsi="宋体" w:eastAsia="宋体" w:cs="宋体"/>
                  <w:b/>
                  <w:bCs/>
                  <w:color w:val="auto"/>
                  <w:sz w:val="24"/>
                  <w:szCs w:val="24"/>
                  <w:highlight w:val="none"/>
                  <w:lang w:val="en-US" w:eastAsia="zh-CN"/>
                </w:rPr>
                <w:t>、全力推动居家社区养老服务扩容提质</w:t>
              </w: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lang w:val="zh-CN"/>
                </w:rPr>
                <w:fldChar w:fldCharType="end"/>
              </w:r>
              <w:r>
                <w:rPr>
                  <w:rFonts w:hint="eastAsia" w:ascii="宋体" w:hAnsi="宋体" w:eastAsia="宋体" w:cs="宋体"/>
                  <w:b/>
                  <w:bCs/>
                  <w:color w:val="auto"/>
                  <w:sz w:val="24"/>
                  <w:szCs w:val="24"/>
                  <w:highlight w:val="none"/>
                  <w:lang w:val="en-US" w:eastAsia="zh-CN"/>
                </w:rPr>
                <w:t>23</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zh-CN"/>
                </w:rPr>
                <w:fldChar w:fldCharType="begin"/>
              </w:r>
              <w:r>
                <w:rPr>
                  <w:rFonts w:hint="eastAsia" w:ascii="宋体" w:hAnsi="宋体" w:eastAsia="宋体" w:cs="宋体"/>
                  <w:b w:val="0"/>
                  <w:bCs/>
                  <w:color w:val="auto"/>
                  <w:sz w:val="24"/>
                  <w:szCs w:val="24"/>
                  <w:highlight w:val="none"/>
                  <w:lang w:val="zh-CN"/>
                </w:rPr>
                <w:instrText xml:space="preserve"> HYPERLINK \l _Toc768 </w:instrText>
              </w:r>
              <w:r>
                <w:rPr>
                  <w:rFonts w:hint="eastAsia" w:ascii="宋体" w:hAnsi="宋体" w:eastAsia="宋体" w:cs="宋体"/>
                  <w:b w:val="0"/>
                  <w:bCs/>
                  <w:color w:val="auto"/>
                  <w:sz w:val="24"/>
                  <w:szCs w:val="24"/>
                  <w:highlight w:val="none"/>
                  <w:lang w:val="zh-CN"/>
                </w:rPr>
                <w:fldChar w:fldCharType="separate"/>
              </w:r>
              <w:r>
                <w:rPr>
                  <w:rFonts w:hint="eastAsia" w:ascii="宋体" w:hAnsi="宋体" w:eastAsia="宋体" w:cs="宋体"/>
                  <w:b w:val="0"/>
                  <w:bCs/>
                  <w:color w:val="auto"/>
                  <w:sz w:val="24"/>
                  <w:szCs w:val="24"/>
                  <w:highlight w:val="none"/>
                  <w:lang w:val="en-US" w:eastAsia="zh-CN"/>
                </w:rPr>
                <w:t>6</w:t>
              </w:r>
              <w:r>
                <w:rPr>
                  <w:rFonts w:hint="eastAsia" w:ascii="宋体" w:hAnsi="宋体" w:eastAsia="宋体" w:cs="宋体"/>
                  <w:b w:val="0"/>
                  <w:bCs/>
                  <w:color w:val="auto"/>
                  <w:kern w:val="0"/>
                  <w:sz w:val="24"/>
                  <w:szCs w:val="24"/>
                  <w:highlight w:val="none"/>
                  <w:lang w:val="en-US" w:eastAsia="zh-CN" w:bidi="ar"/>
                </w:rPr>
                <w:t>.发挥家庭养老基础功能</w:t>
              </w:r>
              <w:r>
                <w:rPr>
                  <w:rFonts w:hint="eastAsia" w:ascii="宋体" w:hAnsi="宋体" w:eastAsia="宋体" w:cs="宋体"/>
                  <w:b w:val="0"/>
                  <w:bCs/>
                  <w:color w:val="auto"/>
                  <w:sz w:val="24"/>
                  <w:szCs w:val="24"/>
                  <w:highlight w:val="none"/>
                </w:rPr>
                <w:tab/>
              </w:r>
              <w:r>
                <w:rPr>
                  <w:rFonts w:hint="eastAsia" w:ascii="宋体" w:hAnsi="宋体" w:eastAsia="宋体" w:cs="宋体"/>
                  <w:b w:val="0"/>
                  <w:bCs/>
                  <w:color w:val="auto"/>
                  <w:sz w:val="24"/>
                  <w:szCs w:val="24"/>
                  <w:highlight w:val="none"/>
                  <w:lang w:val="en-US" w:eastAsia="zh-CN"/>
                </w:rPr>
                <w:t>23</w:t>
              </w:r>
              <w:r>
                <w:rPr>
                  <w:rFonts w:hint="eastAsia" w:ascii="宋体" w:hAnsi="宋体" w:eastAsia="宋体" w:cs="宋体"/>
                  <w:b w:val="0"/>
                  <w:bCs/>
                  <w:color w:val="auto"/>
                  <w:sz w:val="24"/>
                  <w:szCs w:val="24"/>
                  <w:highlight w:val="none"/>
                  <w:lang w:val="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 w:val="0"/>
                  <w:bCs/>
                  <w:color w:val="auto"/>
                  <w:sz w:val="24"/>
                  <w:szCs w:val="24"/>
                  <w:highlight w:val="none"/>
                  <w:lang w:val="zh-CN"/>
                </w:rPr>
                <w:fldChar w:fldCharType="begin"/>
              </w:r>
              <w:r>
                <w:rPr>
                  <w:rFonts w:hint="eastAsia" w:ascii="宋体" w:hAnsi="宋体" w:eastAsia="宋体" w:cs="宋体"/>
                  <w:b w:val="0"/>
                  <w:bCs/>
                  <w:color w:val="auto"/>
                  <w:sz w:val="24"/>
                  <w:szCs w:val="24"/>
                  <w:highlight w:val="none"/>
                  <w:lang w:val="zh-CN"/>
                </w:rPr>
                <w:instrText xml:space="preserve"> HYPERLINK \l _Toc30698 </w:instrText>
              </w:r>
              <w:r>
                <w:rPr>
                  <w:rFonts w:hint="eastAsia" w:ascii="宋体" w:hAnsi="宋体" w:eastAsia="宋体" w:cs="宋体"/>
                  <w:b w:val="0"/>
                  <w:bCs/>
                  <w:color w:val="auto"/>
                  <w:sz w:val="24"/>
                  <w:szCs w:val="24"/>
                  <w:highlight w:val="none"/>
                  <w:lang w:val="zh-CN"/>
                </w:rPr>
                <w:fldChar w:fldCharType="separate"/>
              </w:r>
              <w:r>
                <w:rPr>
                  <w:rFonts w:hint="eastAsia" w:ascii="宋体" w:hAnsi="宋体" w:eastAsia="宋体" w:cs="宋体"/>
                  <w:b w:val="0"/>
                  <w:bCs/>
                  <w:color w:val="auto"/>
                  <w:kern w:val="0"/>
                  <w:sz w:val="24"/>
                  <w:szCs w:val="24"/>
                  <w:highlight w:val="none"/>
                  <w:lang w:val="en-US" w:eastAsia="zh-CN" w:bidi="ar"/>
                </w:rPr>
                <w:t>7.完善居家社区服务设施</w:t>
              </w:r>
              <w:r>
                <w:rPr>
                  <w:rFonts w:hint="eastAsia" w:ascii="宋体" w:hAnsi="宋体" w:eastAsia="宋体" w:cs="宋体"/>
                  <w:b w:val="0"/>
                  <w:bCs/>
                  <w:color w:val="auto"/>
                  <w:sz w:val="24"/>
                  <w:szCs w:val="24"/>
                  <w:highlight w:val="none"/>
                </w:rPr>
                <w:tab/>
              </w:r>
              <w:r>
                <w:rPr>
                  <w:rFonts w:hint="eastAsia" w:ascii="宋体" w:hAnsi="宋体" w:eastAsia="宋体" w:cs="宋体"/>
                  <w:b w:val="0"/>
                  <w:bCs/>
                  <w:color w:val="auto"/>
                  <w:sz w:val="24"/>
                  <w:szCs w:val="24"/>
                  <w:highlight w:val="none"/>
                  <w:lang w:val="en-US" w:eastAsia="zh-CN"/>
                </w:rPr>
                <w:t>23</w:t>
              </w:r>
              <w:r>
                <w:rPr>
                  <w:rFonts w:hint="eastAsia" w:ascii="宋体" w:hAnsi="宋体" w:eastAsia="宋体" w:cs="宋体"/>
                  <w:b w:val="0"/>
                  <w:bCs/>
                  <w:color w:val="auto"/>
                  <w:sz w:val="24"/>
                  <w:szCs w:val="24"/>
                  <w:highlight w:val="none"/>
                  <w:lang w:val="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zh-CN"/>
                </w:rPr>
                <w:fldChar w:fldCharType="begin"/>
              </w:r>
              <w:r>
                <w:rPr>
                  <w:rFonts w:hint="eastAsia" w:ascii="宋体" w:hAnsi="宋体" w:eastAsia="宋体" w:cs="宋体"/>
                  <w:bCs/>
                  <w:color w:val="auto"/>
                  <w:sz w:val="24"/>
                  <w:szCs w:val="24"/>
                  <w:highlight w:val="none"/>
                  <w:lang w:val="zh-CN"/>
                </w:rPr>
                <w:instrText xml:space="preserve"> HYPERLINK \l _Toc20266 </w:instrText>
              </w:r>
              <w:r>
                <w:rPr>
                  <w:rFonts w:hint="eastAsia" w:ascii="宋体" w:hAnsi="宋体" w:eastAsia="宋体" w:cs="宋体"/>
                  <w:bCs/>
                  <w:color w:val="auto"/>
                  <w:sz w:val="24"/>
                  <w:szCs w:val="24"/>
                  <w:highlight w:val="none"/>
                  <w:lang w:val="zh-CN"/>
                </w:rPr>
                <w:fldChar w:fldCharType="separate"/>
              </w:r>
              <w:r>
                <w:rPr>
                  <w:rFonts w:hint="eastAsia" w:ascii="宋体" w:hAnsi="宋体" w:eastAsia="宋体" w:cs="宋体"/>
                  <w:color w:val="auto"/>
                  <w:kern w:val="0"/>
                  <w:sz w:val="24"/>
                  <w:szCs w:val="24"/>
                  <w:highlight w:val="none"/>
                  <w:lang w:val="en-US" w:eastAsia="zh-CN" w:bidi="ar"/>
                </w:rPr>
                <w:t>8.提高运营服务水平</w:t>
              </w:r>
              <w:r>
                <w:rPr>
                  <w:rFonts w:hint="eastAsia" w:ascii="宋体" w:hAnsi="宋体" w:eastAsia="宋体" w:cs="宋体"/>
                  <w:color w:val="auto"/>
                  <w:sz w:val="24"/>
                  <w:szCs w:val="24"/>
                  <w:highlight w:val="none"/>
                </w:rPr>
                <w:tab/>
              </w:r>
              <w:r>
                <w:rPr>
                  <w:rFonts w:hint="eastAsia" w:ascii="宋体" w:hAnsi="宋体" w:eastAsia="宋体" w:cs="宋体"/>
                  <w:bCs/>
                  <w:color w:val="auto"/>
                  <w:sz w:val="24"/>
                  <w:szCs w:val="24"/>
                  <w:highlight w:val="none"/>
                  <w:lang w:val="en-US" w:eastAsia="zh-CN"/>
                </w:rPr>
                <w:t>25</w:t>
              </w:r>
              <w:r>
                <w:rPr>
                  <w:rFonts w:hint="eastAsia" w:ascii="宋体" w:hAnsi="宋体" w:eastAsia="宋体" w:cs="宋体"/>
                  <w:bCs/>
                  <w:color w:val="auto"/>
                  <w:sz w:val="24"/>
                  <w:szCs w:val="24"/>
                  <w:highlight w:val="none"/>
                  <w:lang w:val="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fldChar w:fldCharType="begin"/>
              </w:r>
              <w:r>
                <w:rPr>
                  <w:rFonts w:hint="eastAsia" w:ascii="宋体" w:hAnsi="宋体" w:eastAsia="宋体" w:cs="宋体"/>
                  <w:bCs/>
                  <w:color w:val="auto"/>
                  <w:sz w:val="24"/>
                  <w:szCs w:val="24"/>
                  <w:highlight w:val="none"/>
                  <w:lang w:val="zh-CN"/>
                </w:rPr>
                <w:instrText xml:space="preserve"> HYPERLINK \l _Toc20266 </w:instrText>
              </w:r>
              <w:r>
                <w:rPr>
                  <w:rFonts w:hint="eastAsia" w:ascii="宋体" w:hAnsi="宋体" w:eastAsia="宋体" w:cs="宋体"/>
                  <w:bCs/>
                  <w:color w:val="auto"/>
                  <w:sz w:val="24"/>
                  <w:szCs w:val="24"/>
                  <w:highlight w:val="none"/>
                  <w:lang w:val="zh-CN"/>
                </w:rPr>
                <w:fldChar w:fldCharType="separate"/>
              </w:r>
              <w:r>
                <w:rPr>
                  <w:rFonts w:hint="eastAsia" w:ascii="宋体" w:hAnsi="宋体" w:eastAsia="宋体" w:cs="宋体"/>
                  <w:color w:val="auto"/>
                  <w:kern w:val="0"/>
                  <w:sz w:val="24"/>
                  <w:szCs w:val="24"/>
                  <w:highlight w:val="none"/>
                  <w:lang w:val="en-US" w:eastAsia="zh-CN" w:bidi="ar"/>
                </w:rPr>
                <w:t>9.补足农村居家养老服务短板</w:t>
              </w:r>
              <w:r>
                <w:rPr>
                  <w:rFonts w:hint="eastAsia" w:ascii="宋体" w:hAnsi="宋体" w:eastAsia="宋体" w:cs="宋体"/>
                  <w:color w:val="auto"/>
                  <w:sz w:val="24"/>
                  <w:szCs w:val="24"/>
                  <w:highlight w:val="none"/>
                </w:rPr>
                <w:tab/>
              </w:r>
              <w:r>
                <w:rPr>
                  <w:rFonts w:hint="eastAsia" w:ascii="宋体" w:hAnsi="宋体" w:eastAsia="宋体" w:cs="宋体"/>
                  <w:bCs/>
                  <w:color w:val="auto"/>
                  <w:sz w:val="24"/>
                  <w:szCs w:val="24"/>
                  <w:highlight w:val="none"/>
                  <w:lang w:val="zh-CN"/>
                </w:rPr>
                <w:fldChar w:fldCharType="end"/>
              </w:r>
              <w:r>
                <w:rPr>
                  <w:rFonts w:hint="eastAsia" w:ascii="宋体" w:hAnsi="宋体" w:eastAsia="宋体" w:cs="宋体"/>
                  <w:bCs/>
                  <w:color w:val="auto"/>
                  <w:sz w:val="24"/>
                  <w:szCs w:val="24"/>
                  <w:highlight w:val="none"/>
                  <w:lang w:val="en-US" w:eastAsia="zh-CN"/>
                </w:rPr>
                <w:t>25</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0" w:firstLineChars="200"/>
                <w:textAlignment w:val="auto"/>
                <w:rPr>
                  <w:rFonts w:hint="default"/>
                  <w:highlight w:val="none"/>
                  <w:lang w:val="en-US" w:eastAsia="zh-CN"/>
                </w:rPr>
              </w:pPr>
              <w:r>
                <w:rPr>
                  <w:rFonts w:hint="eastAsia" w:ascii="宋体" w:hAnsi="宋体" w:eastAsia="宋体" w:cs="宋体"/>
                  <w:bCs/>
                  <w:color w:val="auto"/>
                  <w:sz w:val="24"/>
                  <w:szCs w:val="24"/>
                  <w:highlight w:val="none"/>
                  <w:lang w:val="zh-CN"/>
                </w:rPr>
                <w:fldChar w:fldCharType="begin"/>
              </w:r>
              <w:r>
                <w:rPr>
                  <w:rFonts w:hint="eastAsia" w:ascii="宋体" w:hAnsi="宋体" w:eastAsia="宋体" w:cs="宋体"/>
                  <w:bCs/>
                  <w:color w:val="auto"/>
                  <w:sz w:val="24"/>
                  <w:szCs w:val="24"/>
                  <w:highlight w:val="none"/>
                  <w:lang w:val="zh-CN"/>
                </w:rPr>
                <w:instrText xml:space="preserve"> HYPERLINK \l _Toc20266 </w:instrText>
              </w:r>
              <w:r>
                <w:rPr>
                  <w:rFonts w:hint="eastAsia" w:ascii="宋体" w:hAnsi="宋体" w:eastAsia="宋体" w:cs="宋体"/>
                  <w:bCs/>
                  <w:color w:val="auto"/>
                  <w:sz w:val="24"/>
                  <w:szCs w:val="24"/>
                  <w:highlight w:val="none"/>
                  <w:lang w:val="zh-CN"/>
                </w:rPr>
                <w:fldChar w:fldCharType="separate"/>
              </w:r>
              <w:r>
                <w:rPr>
                  <w:rFonts w:hint="eastAsia" w:ascii="宋体" w:hAnsi="宋体" w:eastAsia="宋体" w:cs="宋体"/>
                  <w:color w:val="auto"/>
                  <w:kern w:val="0"/>
                  <w:sz w:val="24"/>
                  <w:szCs w:val="24"/>
                  <w:highlight w:val="none"/>
                  <w:lang w:val="en-US" w:eastAsia="zh-CN" w:bidi="ar"/>
                </w:rPr>
                <w:t>10.发展为老志愿服务</w:t>
              </w:r>
              <w:r>
                <w:rPr>
                  <w:rFonts w:hint="eastAsia" w:ascii="宋体" w:hAnsi="宋体" w:eastAsia="宋体" w:cs="宋体"/>
                  <w:color w:val="auto"/>
                  <w:sz w:val="24"/>
                  <w:szCs w:val="24"/>
                  <w:highlight w:val="none"/>
                </w:rPr>
                <w:tab/>
              </w:r>
              <w:r>
                <w:rPr>
                  <w:rFonts w:hint="eastAsia" w:ascii="宋体" w:hAnsi="宋体" w:eastAsia="宋体" w:cs="宋体"/>
                  <w:bCs/>
                  <w:color w:val="auto"/>
                  <w:sz w:val="24"/>
                  <w:szCs w:val="24"/>
                  <w:highlight w:val="none"/>
                  <w:lang w:val="zh-CN"/>
                </w:rPr>
                <w:fldChar w:fldCharType="end"/>
              </w:r>
              <w:r>
                <w:rPr>
                  <w:rFonts w:hint="eastAsia" w:ascii="宋体" w:hAnsi="宋体" w:eastAsia="宋体" w:cs="宋体"/>
                  <w:bCs/>
                  <w:color w:val="auto"/>
                  <w:sz w:val="24"/>
                  <w:szCs w:val="24"/>
                  <w:highlight w:val="none"/>
                  <w:lang w:val="en-US" w:eastAsia="zh-CN"/>
                </w:rPr>
                <w:t>26</w:t>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zh-CN"/>
                </w:rPr>
                <w:fldChar w:fldCharType="begin"/>
              </w:r>
              <w:r>
                <w:rPr>
                  <w:rFonts w:hint="eastAsia" w:ascii="宋体" w:hAnsi="宋体" w:eastAsia="宋体" w:cs="宋体"/>
                  <w:b/>
                  <w:bCs/>
                  <w:color w:val="auto"/>
                  <w:sz w:val="24"/>
                  <w:szCs w:val="24"/>
                  <w:highlight w:val="none"/>
                  <w:lang w:val="zh-CN"/>
                </w:rPr>
                <w:instrText xml:space="preserve"> HYPERLINK \l _Toc18166 </w:instrText>
              </w:r>
              <w:r>
                <w:rPr>
                  <w:rFonts w:hint="eastAsia" w:ascii="宋体" w:hAnsi="宋体" w:eastAsia="宋体" w:cs="宋体"/>
                  <w:b/>
                  <w:bCs/>
                  <w:color w:val="auto"/>
                  <w:sz w:val="24"/>
                  <w:szCs w:val="24"/>
                  <w:highlight w:val="none"/>
                  <w:lang w:val="zh-CN"/>
                </w:rPr>
                <w:fldChar w:fldCharType="separate"/>
              </w:r>
              <w:r>
                <w:rPr>
                  <w:rFonts w:hint="eastAsia" w:ascii="宋体" w:hAnsi="宋体" w:eastAsia="宋体" w:cs="宋体"/>
                  <w:b/>
                  <w:bCs/>
                  <w:color w:val="auto"/>
                  <w:sz w:val="24"/>
                  <w:szCs w:val="24"/>
                  <w:highlight w:val="none"/>
                  <w:lang w:val="en-US" w:eastAsia="zh-CN"/>
                </w:rPr>
                <w:t>四、多措并举推进养老服务提质增效</w:t>
              </w: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lang w:val="en-US" w:eastAsia="zh-CN"/>
                </w:rPr>
                <w:t>27</w:t>
              </w:r>
              <w:r>
                <w:rPr>
                  <w:rFonts w:hint="eastAsia" w:ascii="宋体" w:hAnsi="宋体" w:eastAsia="宋体" w:cs="宋体"/>
                  <w:b/>
                  <w:bCs/>
                  <w:color w:val="auto"/>
                  <w:sz w:val="24"/>
                  <w:szCs w:val="24"/>
                  <w:highlight w:val="none"/>
                  <w:lang w:val="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Cs/>
                  <w:color w:val="auto"/>
                  <w:sz w:val="24"/>
                  <w:szCs w:val="24"/>
                  <w:highlight w:val="none"/>
                  <w:lang w:val="zh-CN"/>
                </w:rPr>
                <w:fldChar w:fldCharType="begin"/>
              </w:r>
              <w:r>
                <w:rPr>
                  <w:rFonts w:hint="eastAsia" w:ascii="宋体" w:hAnsi="宋体" w:eastAsia="宋体" w:cs="宋体"/>
                  <w:bCs/>
                  <w:color w:val="auto"/>
                  <w:sz w:val="24"/>
                  <w:szCs w:val="24"/>
                  <w:highlight w:val="none"/>
                  <w:lang w:val="zh-CN"/>
                </w:rPr>
                <w:instrText xml:space="preserve"> HYPERLINK \l _Toc28021 </w:instrText>
              </w:r>
              <w:r>
                <w:rPr>
                  <w:rFonts w:hint="eastAsia" w:ascii="宋体" w:hAnsi="宋体" w:eastAsia="宋体" w:cs="宋体"/>
                  <w:bCs/>
                  <w:color w:val="auto"/>
                  <w:sz w:val="24"/>
                  <w:szCs w:val="24"/>
                  <w:highlight w:val="none"/>
                  <w:lang w:val="zh-CN"/>
                </w:rPr>
                <w:fldChar w:fldCharType="separate"/>
              </w:r>
              <w:r>
                <w:rPr>
                  <w:rFonts w:hint="eastAsia" w:ascii="宋体" w:hAnsi="宋体" w:eastAsia="宋体" w:cs="宋体"/>
                  <w:color w:val="auto"/>
                  <w:kern w:val="0"/>
                  <w:sz w:val="24"/>
                  <w:szCs w:val="24"/>
                  <w:highlight w:val="none"/>
                  <w:lang w:val="en-US" w:eastAsia="zh-CN" w:bidi="ar"/>
                </w:rPr>
                <w:t>11.激发养老服务市场化活力</w:t>
              </w:r>
              <w:r>
                <w:rPr>
                  <w:rFonts w:hint="eastAsia" w:ascii="宋体" w:hAnsi="宋体" w:eastAsia="宋体" w:cs="宋体"/>
                  <w:color w:val="auto"/>
                  <w:sz w:val="24"/>
                  <w:szCs w:val="24"/>
                  <w:highlight w:val="none"/>
                </w:rPr>
                <w:tab/>
              </w:r>
              <w:r>
                <w:rPr>
                  <w:rFonts w:hint="eastAsia" w:ascii="宋体" w:hAnsi="宋体" w:eastAsia="宋体" w:cs="宋体"/>
                  <w:bCs/>
                  <w:color w:val="auto"/>
                  <w:sz w:val="24"/>
                  <w:szCs w:val="24"/>
                  <w:highlight w:val="none"/>
                  <w:lang w:val="zh-CN"/>
                </w:rPr>
                <w:fldChar w:fldCharType="end"/>
              </w:r>
              <w:r>
                <w:rPr>
                  <w:rFonts w:hint="eastAsia" w:ascii="宋体" w:hAnsi="宋体" w:eastAsia="宋体" w:cs="宋体"/>
                  <w:bCs/>
                  <w:color w:val="auto"/>
                  <w:sz w:val="24"/>
                  <w:szCs w:val="24"/>
                  <w:highlight w:val="none"/>
                  <w:lang w:val="en-US" w:eastAsia="zh-CN"/>
                </w:rPr>
                <w:t>27</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Cs/>
                  <w:color w:val="auto"/>
                  <w:sz w:val="24"/>
                  <w:szCs w:val="24"/>
                  <w:highlight w:val="none"/>
                  <w:lang w:val="zh-CN"/>
                </w:rPr>
                <w:fldChar w:fldCharType="begin"/>
              </w:r>
              <w:r>
                <w:rPr>
                  <w:rFonts w:hint="eastAsia" w:ascii="宋体" w:hAnsi="宋体" w:eastAsia="宋体" w:cs="宋体"/>
                  <w:bCs/>
                  <w:color w:val="auto"/>
                  <w:sz w:val="24"/>
                  <w:szCs w:val="24"/>
                  <w:highlight w:val="none"/>
                  <w:lang w:val="zh-CN"/>
                </w:rPr>
                <w:instrText xml:space="preserve"> HYPERLINK \l _Toc12419 </w:instrText>
              </w:r>
              <w:r>
                <w:rPr>
                  <w:rFonts w:hint="eastAsia" w:ascii="宋体" w:hAnsi="宋体" w:eastAsia="宋体" w:cs="宋体"/>
                  <w:bCs/>
                  <w:color w:val="auto"/>
                  <w:sz w:val="24"/>
                  <w:szCs w:val="24"/>
                  <w:highlight w:val="none"/>
                  <w:lang w:val="zh-CN"/>
                </w:rPr>
                <w:fldChar w:fldCharType="separate"/>
              </w:r>
              <w:r>
                <w:rPr>
                  <w:rFonts w:hint="eastAsia" w:ascii="宋体" w:hAnsi="宋体" w:eastAsia="宋体" w:cs="宋体"/>
                  <w:color w:val="auto"/>
                  <w:kern w:val="0"/>
                  <w:sz w:val="24"/>
                  <w:szCs w:val="24"/>
                  <w:highlight w:val="none"/>
                  <w:lang w:val="en-US" w:eastAsia="zh-CN" w:bidi="ar"/>
                </w:rPr>
                <w:t>12.规范养老服务标准化建设</w:t>
              </w:r>
              <w:r>
                <w:rPr>
                  <w:rFonts w:hint="eastAsia" w:ascii="宋体" w:hAnsi="宋体" w:eastAsia="宋体" w:cs="宋体"/>
                  <w:color w:val="auto"/>
                  <w:sz w:val="24"/>
                  <w:szCs w:val="24"/>
                  <w:highlight w:val="none"/>
                </w:rPr>
                <w:tab/>
              </w:r>
              <w:r>
                <w:rPr>
                  <w:rFonts w:hint="eastAsia" w:ascii="宋体" w:hAnsi="宋体" w:eastAsia="宋体" w:cs="宋体"/>
                  <w:bCs/>
                  <w:color w:val="auto"/>
                  <w:sz w:val="24"/>
                  <w:szCs w:val="24"/>
                  <w:highlight w:val="none"/>
                  <w:lang w:val="en-US" w:eastAsia="zh-CN"/>
                </w:rPr>
                <w:t>28</w:t>
              </w:r>
              <w:r>
                <w:rPr>
                  <w:rFonts w:hint="eastAsia" w:ascii="宋体" w:hAnsi="宋体" w:eastAsia="宋体" w:cs="宋体"/>
                  <w:bCs/>
                  <w:color w:val="auto"/>
                  <w:sz w:val="24"/>
                  <w:szCs w:val="24"/>
                  <w:highlight w:val="none"/>
                  <w:lang w:val="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zh-CN"/>
                </w:rPr>
                <w:fldChar w:fldCharType="begin"/>
              </w:r>
              <w:r>
                <w:rPr>
                  <w:rFonts w:hint="eastAsia" w:ascii="宋体" w:hAnsi="宋体" w:eastAsia="宋体" w:cs="宋体"/>
                  <w:bCs/>
                  <w:color w:val="auto"/>
                  <w:sz w:val="24"/>
                  <w:szCs w:val="24"/>
                  <w:highlight w:val="none"/>
                  <w:lang w:val="zh-CN"/>
                </w:rPr>
                <w:instrText xml:space="preserve"> HYPERLINK \l _Toc10857 </w:instrText>
              </w:r>
              <w:r>
                <w:rPr>
                  <w:rFonts w:hint="eastAsia" w:ascii="宋体" w:hAnsi="宋体" w:eastAsia="宋体" w:cs="宋体"/>
                  <w:bCs/>
                  <w:color w:val="auto"/>
                  <w:sz w:val="24"/>
                  <w:szCs w:val="24"/>
                  <w:highlight w:val="none"/>
                  <w:lang w:val="zh-CN"/>
                </w:rPr>
                <w:fldChar w:fldCharType="separate"/>
              </w:r>
              <w:r>
                <w:rPr>
                  <w:rFonts w:hint="eastAsia" w:ascii="宋体" w:hAnsi="宋体" w:eastAsia="宋体" w:cs="宋体"/>
                  <w:color w:val="auto"/>
                  <w:kern w:val="0"/>
                  <w:sz w:val="24"/>
                  <w:szCs w:val="24"/>
                  <w:highlight w:val="none"/>
                  <w:lang w:val="en-US" w:eastAsia="zh-CN" w:bidi="ar"/>
                </w:rPr>
                <w:t>13.打破老年人数字鸿沟</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val="en-US" w:eastAsia="zh-CN"/>
                </w:rPr>
                <w:t>2</w:t>
              </w:r>
              <w:r>
                <w:rPr>
                  <w:rFonts w:hint="eastAsia" w:ascii="宋体" w:hAnsi="宋体" w:eastAsia="宋体" w:cs="宋体"/>
                  <w:bCs/>
                  <w:color w:val="auto"/>
                  <w:sz w:val="24"/>
                  <w:szCs w:val="24"/>
                  <w:highlight w:val="none"/>
                  <w:lang w:val="zh-CN"/>
                </w:rPr>
                <w:fldChar w:fldCharType="end"/>
              </w:r>
              <w:r>
                <w:rPr>
                  <w:rFonts w:hint="eastAsia" w:ascii="宋体" w:hAnsi="宋体" w:eastAsia="宋体" w:cs="宋体"/>
                  <w:bCs/>
                  <w:color w:val="auto"/>
                  <w:sz w:val="24"/>
                  <w:szCs w:val="24"/>
                  <w:highlight w:val="none"/>
                  <w:lang w:val="en-US" w:eastAsia="zh-CN"/>
                </w:rPr>
                <w:t>8</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bidi="ar"/>
                </w:rPr>
                <w:t>14.完善老年人关爱服务体系</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val="en-US" w:eastAsia="zh-CN"/>
                </w:rPr>
                <w:t>30</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bidi="ar"/>
                </w:rPr>
                <w:t>15.健全养老社会保障制度体系</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val="en-US" w:eastAsia="zh-CN"/>
                </w:rPr>
                <w:t>31</w:t>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zh-CN"/>
                </w:rPr>
                <w:fldChar w:fldCharType="begin"/>
              </w:r>
              <w:r>
                <w:rPr>
                  <w:rFonts w:hint="eastAsia" w:ascii="宋体" w:hAnsi="宋体" w:eastAsia="宋体" w:cs="宋体"/>
                  <w:b/>
                  <w:bCs/>
                  <w:color w:val="auto"/>
                  <w:sz w:val="24"/>
                  <w:szCs w:val="24"/>
                  <w:highlight w:val="none"/>
                  <w:lang w:val="zh-CN"/>
                </w:rPr>
                <w:instrText xml:space="preserve"> HYPERLINK \l _Toc32625 </w:instrText>
              </w:r>
              <w:r>
                <w:rPr>
                  <w:rFonts w:hint="eastAsia" w:ascii="宋体" w:hAnsi="宋体" w:eastAsia="宋体" w:cs="宋体"/>
                  <w:b/>
                  <w:bCs/>
                  <w:color w:val="auto"/>
                  <w:sz w:val="24"/>
                  <w:szCs w:val="24"/>
                  <w:highlight w:val="none"/>
                  <w:lang w:val="zh-CN"/>
                </w:rPr>
                <w:fldChar w:fldCharType="separate"/>
              </w:r>
              <w:r>
                <w:rPr>
                  <w:rFonts w:hint="eastAsia" w:ascii="宋体" w:hAnsi="宋体" w:eastAsia="宋体" w:cs="宋体"/>
                  <w:b/>
                  <w:bCs/>
                  <w:color w:val="auto"/>
                  <w:sz w:val="24"/>
                  <w:szCs w:val="24"/>
                  <w:highlight w:val="none"/>
                  <w:lang w:val="en-US" w:eastAsia="zh-CN"/>
                </w:rPr>
                <w:t>五、发展壮大养老服务产业</w:t>
              </w: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zh-CN"/>
                </w:rPr>
                <w:fldChar w:fldCharType="end"/>
              </w:r>
              <w:r>
                <w:rPr>
                  <w:rFonts w:hint="eastAsia" w:ascii="宋体" w:hAnsi="宋体" w:eastAsia="宋体" w:cs="宋体"/>
                  <w:b/>
                  <w:bCs/>
                  <w:color w:val="auto"/>
                  <w:sz w:val="24"/>
                  <w:szCs w:val="24"/>
                  <w:highlight w:val="none"/>
                  <w:lang w:val="en-US" w:eastAsia="zh-CN"/>
                </w:rPr>
                <w:t>0</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bCs/>
                  <w:color w:val="auto"/>
                  <w:sz w:val="24"/>
                  <w:szCs w:val="24"/>
                  <w:highlight w:val="none"/>
                  <w:lang w:val="zh-CN"/>
                </w:rPr>
                <w:fldChar w:fldCharType="begin"/>
              </w:r>
              <w:r>
                <w:rPr>
                  <w:rFonts w:hint="eastAsia" w:ascii="宋体" w:hAnsi="宋体" w:eastAsia="宋体" w:cs="宋体"/>
                  <w:bCs/>
                  <w:color w:val="auto"/>
                  <w:sz w:val="24"/>
                  <w:szCs w:val="24"/>
                  <w:highlight w:val="none"/>
                  <w:lang w:val="zh-CN"/>
                </w:rPr>
                <w:instrText xml:space="preserve"> HYPERLINK \l _Toc21598 </w:instrText>
              </w:r>
              <w:r>
                <w:rPr>
                  <w:rFonts w:hint="eastAsia" w:ascii="宋体" w:hAnsi="宋体" w:eastAsia="宋体" w:cs="宋体"/>
                  <w:bCs/>
                  <w:color w:val="auto"/>
                  <w:sz w:val="24"/>
                  <w:szCs w:val="24"/>
                  <w:highlight w:val="none"/>
                  <w:lang w:val="zh-CN"/>
                </w:rPr>
                <w:fldChar w:fldCharType="separate"/>
              </w:r>
              <w:r>
                <w:rPr>
                  <w:rFonts w:hint="eastAsia" w:ascii="宋体" w:hAnsi="宋体" w:eastAsia="宋体" w:cs="宋体"/>
                  <w:color w:val="auto"/>
                  <w:kern w:val="0"/>
                  <w:sz w:val="24"/>
                  <w:szCs w:val="24"/>
                  <w:highlight w:val="none"/>
                  <w:lang w:val="en-US" w:eastAsia="zh-CN" w:bidi="ar"/>
                </w:rPr>
                <w:t>16.推动养老服务业态融合发展</w:t>
              </w:r>
              <w:r>
                <w:rPr>
                  <w:rFonts w:hint="eastAsia" w:ascii="宋体" w:hAnsi="宋体" w:eastAsia="宋体" w:cs="宋体"/>
                  <w:color w:val="auto"/>
                  <w:sz w:val="24"/>
                  <w:szCs w:val="24"/>
                  <w:highlight w:val="none"/>
                </w:rPr>
                <w:tab/>
              </w:r>
              <w:r>
                <w:rPr>
                  <w:rFonts w:hint="eastAsia" w:ascii="宋体" w:hAnsi="宋体" w:eastAsia="宋体" w:cs="宋体"/>
                  <w:bCs/>
                  <w:color w:val="auto"/>
                  <w:sz w:val="24"/>
                  <w:szCs w:val="24"/>
                  <w:highlight w:val="none"/>
                  <w:lang w:val="zh-CN"/>
                </w:rPr>
                <w:fldChar w:fldCharType="end"/>
              </w:r>
              <w:r>
                <w:rPr>
                  <w:rFonts w:hint="eastAsia" w:ascii="宋体" w:hAnsi="宋体" w:eastAsia="宋体" w:cs="宋体"/>
                  <w:bCs/>
                  <w:color w:val="auto"/>
                  <w:sz w:val="24"/>
                  <w:szCs w:val="24"/>
                  <w:highlight w:val="none"/>
                  <w:lang w:val="en-US" w:eastAsia="zh-CN"/>
                </w:rPr>
                <w:t>31</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Cs/>
                  <w:color w:val="auto"/>
                  <w:sz w:val="24"/>
                  <w:szCs w:val="24"/>
                  <w:highlight w:val="none"/>
                  <w:lang w:val="zh-CN"/>
                </w:rPr>
                <w:fldChar w:fldCharType="begin"/>
              </w:r>
              <w:r>
                <w:rPr>
                  <w:rFonts w:hint="eastAsia" w:ascii="宋体" w:hAnsi="宋体" w:eastAsia="宋体" w:cs="宋体"/>
                  <w:bCs/>
                  <w:color w:val="auto"/>
                  <w:sz w:val="24"/>
                  <w:szCs w:val="24"/>
                  <w:highlight w:val="none"/>
                  <w:lang w:val="zh-CN"/>
                </w:rPr>
                <w:instrText xml:space="preserve"> HYPERLINK \l _Toc17658 </w:instrText>
              </w:r>
              <w:r>
                <w:rPr>
                  <w:rFonts w:hint="eastAsia" w:ascii="宋体" w:hAnsi="宋体" w:eastAsia="宋体" w:cs="宋体"/>
                  <w:bCs/>
                  <w:color w:val="auto"/>
                  <w:sz w:val="24"/>
                  <w:szCs w:val="24"/>
                  <w:highlight w:val="none"/>
                  <w:lang w:val="zh-CN"/>
                </w:rPr>
                <w:fldChar w:fldCharType="separate"/>
              </w:r>
              <w:r>
                <w:rPr>
                  <w:rFonts w:hint="eastAsia" w:ascii="宋体" w:hAnsi="宋体" w:eastAsia="宋体" w:cs="宋体"/>
                  <w:color w:val="auto"/>
                  <w:kern w:val="0"/>
                  <w:sz w:val="24"/>
                  <w:szCs w:val="24"/>
                  <w:highlight w:val="none"/>
                  <w:lang w:val="en-US" w:eastAsia="zh-CN" w:bidi="ar"/>
                </w:rPr>
                <w:t>17.扩大新型养老服务消费</w:t>
              </w:r>
              <w:r>
                <w:rPr>
                  <w:rFonts w:hint="eastAsia" w:ascii="宋体" w:hAnsi="宋体" w:eastAsia="宋体" w:cs="宋体"/>
                  <w:color w:val="auto"/>
                  <w:sz w:val="24"/>
                  <w:szCs w:val="24"/>
                  <w:highlight w:val="none"/>
                </w:rPr>
                <w:tab/>
              </w: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lang w:val="zh-CN"/>
                </w:rPr>
                <w:fldChar w:fldCharType="end"/>
              </w:r>
              <w:r>
                <w:rPr>
                  <w:rFonts w:hint="eastAsia" w:ascii="宋体" w:hAnsi="宋体" w:eastAsia="宋体" w:cs="宋体"/>
                  <w:bCs/>
                  <w:color w:val="auto"/>
                  <w:sz w:val="24"/>
                  <w:szCs w:val="24"/>
                  <w:highlight w:val="none"/>
                  <w:lang w:val="en-US" w:eastAsia="zh-CN"/>
                </w:rPr>
                <w:t>1</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0" w:firstLineChars="200"/>
                <w:textAlignment w:val="auto"/>
                <w:rPr>
                  <w:rFonts w:hint="default" w:ascii="宋体" w:hAnsi="宋体" w:eastAsia="宋体" w:cs="宋体"/>
                  <w:color w:val="auto"/>
                  <w:sz w:val="24"/>
                  <w:szCs w:val="24"/>
                  <w:highlight w:val="none"/>
                  <w:lang w:val="en-US"/>
                </w:rPr>
              </w:pPr>
              <w:r>
                <w:rPr>
                  <w:rFonts w:hint="eastAsia" w:ascii="宋体" w:hAnsi="宋体" w:eastAsia="宋体" w:cs="宋体"/>
                  <w:bCs/>
                  <w:color w:val="auto"/>
                  <w:sz w:val="24"/>
                  <w:szCs w:val="24"/>
                  <w:highlight w:val="none"/>
                  <w:lang w:val="zh-CN"/>
                </w:rPr>
                <w:fldChar w:fldCharType="begin"/>
              </w:r>
              <w:r>
                <w:rPr>
                  <w:rFonts w:hint="eastAsia" w:ascii="宋体" w:hAnsi="宋体" w:eastAsia="宋体" w:cs="宋体"/>
                  <w:bCs/>
                  <w:color w:val="auto"/>
                  <w:sz w:val="24"/>
                  <w:szCs w:val="24"/>
                  <w:highlight w:val="none"/>
                  <w:lang w:val="zh-CN"/>
                </w:rPr>
                <w:instrText xml:space="preserve"> HYPERLINK \l _Toc8876 </w:instrText>
              </w:r>
              <w:r>
                <w:rPr>
                  <w:rFonts w:hint="eastAsia" w:ascii="宋体" w:hAnsi="宋体" w:eastAsia="宋体" w:cs="宋体"/>
                  <w:bCs/>
                  <w:color w:val="auto"/>
                  <w:sz w:val="24"/>
                  <w:szCs w:val="24"/>
                  <w:highlight w:val="none"/>
                  <w:lang w:val="zh-CN"/>
                </w:rPr>
                <w:fldChar w:fldCharType="separate"/>
              </w:r>
              <w:r>
                <w:rPr>
                  <w:rFonts w:hint="eastAsia" w:ascii="宋体" w:hAnsi="宋体" w:eastAsia="宋体" w:cs="宋体"/>
                  <w:color w:val="auto"/>
                  <w:kern w:val="0"/>
                  <w:sz w:val="24"/>
                  <w:szCs w:val="24"/>
                  <w:highlight w:val="none"/>
                  <w:lang w:val="en-US" w:eastAsia="zh-CN" w:bidi="ar"/>
                </w:rPr>
                <w:t>18.提升老年人消费能力</w:t>
              </w:r>
              <w:r>
                <w:rPr>
                  <w:rFonts w:hint="eastAsia" w:ascii="宋体" w:hAnsi="宋体" w:eastAsia="宋体" w:cs="宋体"/>
                  <w:color w:val="auto"/>
                  <w:sz w:val="24"/>
                  <w:szCs w:val="24"/>
                  <w:highlight w:val="none"/>
                </w:rPr>
                <w:tab/>
              </w:r>
              <w:r>
                <w:rPr>
                  <w:rFonts w:hint="eastAsia" w:ascii="宋体" w:hAnsi="宋体" w:eastAsia="宋体" w:cs="宋体"/>
                  <w:bCs/>
                  <w:color w:val="auto"/>
                  <w:sz w:val="24"/>
                  <w:szCs w:val="24"/>
                  <w:highlight w:val="none"/>
                  <w:lang w:val="zh-CN"/>
                </w:rPr>
                <w:fldChar w:fldCharType="end"/>
              </w:r>
              <w:r>
                <w:rPr>
                  <w:rFonts w:hint="eastAsia" w:ascii="宋体" w:hAnsi="宋体" w:eastAsia="宋体" w:cs="宋体"/>
                  <w:bCs/>
                  <w:color w:val="auto"/>
                  <w:sz w:val="24"/>
                  <w:szCs w:val="24"/>
                  <w:highlight w:val="none"/>
                  <w:lang w:val="en-US" w:eastAsia="zh-CN"/>
                </w:rPr>
                <w:t>32</w:t>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zh-CN"/>
                </w:rPr>
                <w:fldChar w:fldCharType="begin"/>
              </w:r>
              <w:r>
                <w:rPr>
                  <w:rFonts w:hint="eastAsia" w:ascii="宋体" w:hAnsi="宋体" w:eastAsia="宋体" w:cs="宋体"/>
                  <w:b/>
                  <w:bCs/>
                  <w:color w:val="auto"/>
                  <w:sz w:val="24"/>
                  <w:szCs w:val="24"/>
                  <w:highlight w:val="none"/>
                  <w:lang w:val="zh-CN"/>
                </w:rPr>
                <w:instrText xml:space="preserve"> HYPERLINK \l _Toc9760 </w:instrText>
              </w:r>
              <w:r>
                <w:rPr>
                  <w:rFonts w:hint="eastAsia" w:ascii="宋体" w:hAnsi="宋体" w:eastAsia="宋体" w:cs="宋体"/>
                  <w:b/>
                  <w:bCs/>
                  <w:color w:val="auto"/>
                  <w:sz w:val="24"/>
                  <w:szCs w:val="24"/>
                  <w:highlight w:val="none"/>
                  <w:lang w:val="zh-CN"/>
                </w:rPr>
                <w:fldChar w:fldCharType="separate"/>
              </w:r>
              <w:r>
                <w:rPr>
                  <w:rFonts w:hint="eastAsia" w:ascii="宋体" w:hAnsi="宋体" w:eastAsia="宋体" w:cs="宋体"/>
                  <w:b/>
                  <w:bCs/>
                  <w:color w:val="auto"/>
                  <w:sz w:val="24"/>
                  <w:szCs w:val="24"/>
                  <w:highlight w:val="none"/>
                  <w:lang w:val="en-US" w:eastAsia="zh-CN"/>
                </w:rPr>
                <w:t>六、强化养老服务发展资源要素保障</w:t>
              </w: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zh-CN"/>
                </w:rPr>
                <w:fldChar w:fldCharType="end"/>
              </w:r>
              <w:r>
                <w:rPr>
                  <w:rFonts w:hint="eastAsia" w:ascii="宋体" w:hAnsi="宋体" w:eastAsia="宋体" w:cs="宋体"/>
                  <w:b/>
                  <w:bCs/>
                  <w:color w:val="auto"/>
                  <w:sz w:val="24"/>
                  <w:szCs w:val="24"/>
                  <w:highlight w:val="none"/>
                  <w:lang w:val="en-US" w:eastAsia="zh-CN"/>
                </w:rPr>
                <w:t>2</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Cs/>
                  <w:color w:val="auto"/>
                  <w:sz w:val="24"/>
                  <w:szCs w:val="24"/>
                  <w:highlight w:val="none"/>
                  <w:lang w:val="zh-CN"/>
                </w:rPr>
                <w:fldChar w:fldCharType="begin"/>
              </w:r>
              <w:r>
                <w:rPr>
                  <w:rFonts w:hint="eastAsia" w:ascii="宋体" w:hAnsi="宋体" w:eastAsia="宋体" w:cs="宋体"/>
                  <w:bCs/>
                  <w:color w:val="auto"/>
                  <w:sz w:val="24"/>
                  <w:szCs w:val="24"/>
                  <w:highlight w:val="none"/>
                  <w:lang w:val="zh-CN"/>
                </w:rPr>
                <w:instrText xml:space="preserve"> HYPERLINK \l _Toc12784 </w:instrText>
              </w:r>
              <w:r>
                <w:rPr>
                  <w:rFonts w:hint="eastAsia" w:ascii="宋体" w:hAnsi="宋体" w:eastAsia="宋体" w:cs="宋体"/>
                  <w:bCs/>
                  <w:color w:val="auto"/>
                  <w:sz w:val="24"/>
                  <w:szCs w:val="24"/>
                  <w:highlight w:val="none"/>
                  <w:lang w:val="zh-CN"/>
                </w:rPr>
                <w:fldChar w:fldCharType="separate"/>
              </w:r>
              <w:r>
                <w:rPr>
                  <w:rFonts w:hint="eastAsia" w:ascii="宋体" w:hAnsi="宋体" w:eastAsia="宋体" w:cs="宋体"/>
                  <w:color w:val="auto"/>
                  <w:kern w:val="0"/>
                  <w:sz w:val="24"/>
                  <w:szCs w:val="24"/>
                  <w:highlight w:val="none"/>
                  <w:lang w:val="en-US" w:eastAsia="zh-CN" w:bidi="ar"/>
                </w:rPr>
                <w:t>19.加强养老服务人才培训</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val="en-US" w:eastAsia="zh-CN"/>
                </w:rPr>
                <w:t>32</w:t>
              </w:r>
              <w:r>
                <w:rPr>
                  <w:rFonts w:hint="eastAsia" w:ascii="宋体" w:hAnsi="宋体" w:eastAsia="宋体" w:cs="宋体"/>
                  <w:bCs/>
                  <w:color w:val="auto"/>
                  <w:sz w:val="24"/>
                  <w:szCs w:val="24"/>
                  <w:highlight w:val="none"/>
                  <w:lang w:val="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Cs/>
                  <w:color w:val="auto"/>
                  <w:sz w:val="24"/>
                  <w:szCs w:val="24"/>
                  <w:highlight w:val="none"/>
                  <w:lang w:val="zh-CN"/>
                </w:rPr>
                <w:fldChar w:fldCharType="begin"/>
              </w:r>
              <w:r>
                <w:rPr>
                  <w:rFonts w:hint="eastAsia" w:ascii="宋体" w:hAnsi="宋体" w:eastAsia="宋体" w:cs="宋体"/>
                  <w:bCs/>
                  <w:color w:val="auto"/>
                  <w:sz w:val="24"/>
                  <w:szCs w:val="24"/>
                  <w:highlight w:val="none"/>
                  <w:lang w:val="zh-CN"/>
                </w:rPr>
                <w:instrText xml:space="preserve"> HYPERLINK \l _Toc10838 </w:instrText>
              </w:r>
              <w:r>
                <w:rPr>
                  <w:rFonts w:hint="eastAsia" w:ascii="宋体" w:hAnsi="宋体" w:eastAsia="宋体" w:cs="宋体"/>
                  <w:bCs/>
                  <w:color w:val="auto"/>
                  <w:sz w:val="24"/>
                  <w:szCs w:val="24"/>
                  <w:highlight w:val="none"/>
                  <w:lang w:val="zh-CN"/>
                </w:rPr>
                <w:fldChar w:fldCharType="separate"/>
              </w:r>
              <w:r>
                <w:rPr>
                  <w:rFonts w:hint="eastAsia" w:ascii="宋体" w:hAnsi="宋体" w:eastAsia="宋体" w:cs="宋体"/>
                  <w:color w:val="auto"/>
                  <w:kern w:val="0"/>
                  <w:sz w:val="24"/>
                  <w:szCs w:val="24"/>
                  <w:highlight w:val="none"/>
                  <w:lang w:val="en-US" w:eastAsia="zh-CN" w:bidi="ar"/>
                </w:rPr>
                <w:t>20.建立养老护理人员薪酬激励机制</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val="en-US" w:eastAsia="zh-CN"/>
                </w:rPr>
                <w:t>3</w:t>
              </w:r>
              <w:r>
                <w:rPr>
                  <w:rFonts w:hint="eastAsia" w:ascii="宋体" w:hAnsi="宋体" w:eastAsia="宋体" w:cs="宋体"/>
                  <w:bCs/>
                  <w:color w:val="auto"/>
                  <w:sz w:val="24"/>
                  <w:szCs w:val="24"/>
                  <w:highlight w:val="none"/>
                  <w:lang w:val="zh-CN"/>
                </w:rPr>
                <w:fldChar w:fldCharType="end"/>
              </w:r>
              <w:r>
                <w:rPr>
                  <w:rFonts w:hint="eastAsia" w:ascii="宋体" w:hAnsi="宋体" w:eastAsia="宋体" w:cs="宋体"/>
                  <w:bCs/>
                  <w:color w:val="auto"/>
                  <w:sz w:val="24"/>
                  <w:szCs w:val="24"/>
                  <w:highlight w:val="none"/>
                  <w:lang w:val="en-US" w:eastAsia="zh-CN"/>
                </w:rPr>
                <w:t>3</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zh-CN"/>
                </w:rPr>
                <w:fldChar w:fldCharType="begin"/>
              </w:r>
              <w:r>
                <w:rPr>
                  <w:rFonts w:hint="eastAsia" w:ascii="宋体" w:hAnsi="宋体" w:eastAsia="宋体" w:cs="宋体"/>
                  <w:bCs/>
                  <w:color w:val="auto"/>
                  <w:sz w:val="24"/>
                  <w:szCs w:val="24"/>
                  <w:highlight w:val="none"/>
                  <w:lang w:val="zh-CN"/>
                </w:rPr>
                <w:instrText xml:space="preserve"> HYPERLINK \l _Toc24471 </w:instrText>
              </w:r>
              <w:r>
                <w:rPr>
                  <w:rFonts w:hint="eastAsia" w:ascii="宋体" w:hAnsi="宋体" w:eastAsia="宋体" w:cs="宋体"/>
                  <w:bCs/>
                  <w:color w:val="auto"/>
                  <w:sz w:val="24"/>
                  <w:szCs w:val="24"/>
                  <w:highlight w:val="none"/>
                  <w:lang w:val="zh-CN"/>
                </w:rPr>
                <w:fldChar w:fldCharType="separate"/>
              </w:r>
              <w:r>
                <w:rPr>
                  <w:rFonts w:hint="eastAsia" w:ascii="宋体" w:hAnsi="宋体" w:eastAsia="宋体" w:cs="宋体"/>
                  <w:bCs/>
                  <w:color w:val="auto"/>
                  <w:sz w:val="24"/>
                  <w:szCs w:val="24"/>
                  <w:highlight w:val="none"/>
                  <w:lang w:val="en-US" w:eastAsia="zh-CN"/>
                </w:rPr>
                <w:t>21.推动医护人员从事医养结合服务</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val="en-US" w:eastAsia="zh-CN"/>
                </w:rPr>
                <w:t>3</w:t>
              </w:r>
              <w:r>
                <w:rPr>
                  <w:rFonts w:hint="eastAsia" w:ascii="宋体" w:hAnsi="宋体" w:eastAsia="宋体" w:cs="宋体"/>
                  <w:bCs/>
                  <w:color w:val="auto"/>
                  <w:sz w:val="24"/>
                  <w:szCs w:val="24"/>
                  <w:highlight w:val="none"/>
                  <w:lang w:val="zh-CN"/>
                </w:rPr>
                <w:fldChar w:fldCharType="end"/>
              </w:r>
              <w:r>
                <w:rPr>
                  <w:rFonts w:hint="eastAsia" w:ascii="宋体" w:hAnsi="宋体" w:eastAsia="宋体" w:cs="宋体"/>
                  <w:bCs/>
                  <w:color w:val="auto"/>
                  <w:sz w:val="24"/>
                  <w:szCs w:val="24"/>
                  <w:highlight w:val="none"/>
                  <w:lang w:val="en-US" w:eastAsia="zh-CN"/>
                </w:rPr>
                <w:t>3</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zh-CN"/>
                </w:rPr>
                <w:fldChar w:fldCharType="begin"/>
              </w:r>
              <w:r>
                <w:rPr>
                  <w:rFonts w:hint="eastAsia" w:ascii="宋体" w:hAnsi="宋体" w:eastAsia="宋体" w:cs="宋体"/>
                  <w:bCs/>
                  <w:color w:val="auto"/>
                  <w:sz w:val="24"/>
                  <w:szCs w:val="24"/>
                  <w:highlight w:val="none"/>
                  <w:lang w:val="zh-CN"/>
                </w:rPr>
                <w:instrText xml:space="preserve"> HYPERLINK \l _Toc24471 </w:instrText>
              </w:r>
              <w:r>
                <w:rPr>
                  <w:rFonts w:hint="eastAsia" w:ascii="宋体" w:hAnsi="宋体" w:eastAsia="宋体" w:cs="宋体"/>
                  <w:bCs/>
                  <w:color w:val="auto"/>
                  <w:sz w:val="24"/>
                  <w:szCs w:val="24"/>
                  <w:highlight w:val="none"/>
                  <w:lang w:val="zh-CN"/>
                </w:rPr>
                <w:fldChar w:fldCharType="separate"/>
              </w:r>
              <w:r>
                <w:rPr>
                  <w:rFonts w:hint="eastAsia" w:ascii="宋体" w:hAnsi="宋体" w:eastAsia="宋体" w:cs="宋体"/>
                  <w:bCs/>
                  <w:color w:val="auto"/>
                  <w:sz w:val="24"/>
                  <w:szCs w:val="24"/>
                  <w:highlight w:val="none"/>
                  <w:lang w:val="en-US" w:eastAsia="zh-CN"/>
                </w:rPr>
                <w:t>22.建立养老服务行业就业创业机制</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val="en-US" w:eastAsia="zh-CN"/>
                </w:rPr>
                <w:t>3</w:t>
              </w:r>
              <w:r>
                <w:rPr>
                  <w:rFonts w:hint="eastAsia" w:ascii="宋体" w:hAnsi="宋体" w:eastAsia="宋体" w:cs="宋体"/>
                  <w:bCs/>
                  <w:color w:val="auto"/>
                  <w:sz w:val="24"/>
                  <w:szCs w:val="24"/>
                  <w:highlight w:val="none"/>
                  <w:lang w:val="zh-CN"/>
                </w:rPr>
                <w:fldChar w:fldCharType="end"/>
              </w:r>
              <w:r>
                <w:rPr>
                  <w:rFonts w:hint="eastAsia" w:ascii="宋体" w:hAnsi="宋体" w:eastAsia="宋体" w:cs="宋体"/>
                  <w:bCs/>
                  <w:color w:val="auto"/>
                  <w:sz w:val="24"/>
                  <w:szCs w:val="24"/>
                  <w:highlight w:val="none"/>
                  <w:lang w:val="en-US" w:eastAsia="zh-CN"/>
                </w:rPr>
                <w:t>3</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0" w:firstLineChars="200"/>
                <w:textAlignment w:val="auto"/>
                <w:rPr>
                  <w:rFonts w:hint="default"/>
                  <w:highlight w:val="none"/>
                  <w:lang w:val="en-US" w:eastAsia="zh-CN"/>
                </w:rPr>
              </w:pPr>
              <w:r>
                <w:rPr>
                  <w:rFonts w:hint="eastAsia" w:ascii="宋体" w:hAnsi="宋体" w:eastAsia="宋体" w:cs="宋体"/>
                  <w:bCs/>
                  <w:color w:val="auto"/>
                  <w:sz w:val="24"/>
                  <w:szCs w:val="24"/>
                  <w:highlight w:val="none"/>
                  <w:lang w:val="zh-CN"/>
                </w:rPr>
                <w:fldChar w:fldCharType="begin"/>
              </w:r>
              <w:r>
                <w:rPr>
                  <w:rFonts w:hint="eastAsia" w:ascii="宋体" w:hAnsi="宋体" w:eastAsia="宋体" w:cs="宋体"/>
                  <w:bCs/>
                  <w:color w:val="auto"/>
                  <w:sz w:val="24"/>
                  <w:szCs w:val="24"/>
                  <w:highlight w:val="none"/>
                  <w:lang w:val="zh-CN"/>
                </w:rPr>
                <w:instrText xml:space="preserve"> HYPERLINK \l _Toc24471 </w:instrText>
              </w:r>
              <w:r>
                <w:rPr>
                  <w:rFonts w:hint="eastAsia" w:ascii="宋体" w:hAnsi="宋体" w:eastAsia="宋体" w:cs="宋体"/>
                  <w:bCs/>
                  <w:color w:val="auto"/>
                  <w:sz w:val="24"/>
                  <w:szCs w:val="24"/>
                  <w:highlight w:val="none"/>
                  <w:lang w:val="zh-CN"/>
                </w:rPr>
                <w:fldChar w:fldCharType="separate"/>
              </w:r>
              <w:r>
                <w:rPr>
                  <w:rFonts w:hint="eastAsia" w:ascii="宋体" w:hAnsi="宋体" w:eastAsia="宋体" w:cs="宋体"/>
                  <w:bCs/>
                  <w:color w:val="auto"/>
                  <w:sz w:val="24"/>
                  <w:szCs w:val="24"/>
                  <w:highlight w:val="none"/>
                  <w:lang w:val="en-US" w:eastAsia="zh-CN"/>
                </w:rPr>
                <w:t>23. 加强养老服务行业信用体系管理</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val="en-US" w:eastAsia="zh-CN"/>
                </w:rPr>
                <w:t>3</w:t>
              </w:r>
              <w:r>
                <w:rPr>
                  <w:rFonts w:hint="eastAsia" w:ascii="宋体" w:hAnsi="宋体" w:eastAsia="宋体" w:cs="宋体"/>
                  <w:bCs/>
                  <w:color w:val="auto"/>
                  <w:sz w:val="24"/>
                  <w:szCs w:val="24"/>
                  <w:highlight w:val="none"/>
                  <w:lang w:val="zh-CN"/>
                </w:rPr>
                <w:fldChar w:fldCharType="end"/>
              </w:r>
              <w:r>
                <w:rPr>
                  <w:rFonts w:hint="eastAsia" w:ascii="宋体" w:hAnsi="宋体" w:eastAsia="宋体" w:cs="宋体"/>
                  <w:bCs/>
                  <w:color w:val="auto"/>
                  <w:sz w:val="24"/>
                  <w:szCs w:val="24"/>
                  <w:highlight w:val="none"/>
                  <w:lang w:val="en-US" w:eastAsia="zh-CN"/>
                </w:rPr>
                <w:t>4</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bCs/>
                  <w:color w:val="auto"/>
                  <w:sz w:val="24"/>
                  <w:szCs w:val="24"/>
                  <w:highlight w:val="none"/>
                  <w:lang w:val="zh-CN"/>
                </w:rPr>
                <w:fldChar w:fldCharType="begin"/>
              </w:r>
              <w:r>
                <w:rPr>
                  <w:rFonts w:hint="eastAsia" w:ascii="宋体" w:hAnsi="宋体" w:eastAsia="宋体" w:cs="宋体"/>
                  <w:bCs/>
                  <w:color w:val="auto"/>
                  <w:sz w:val="24"/>
                  <w:szCs w:val="24"/>
                  <w:highlight w:val="none"/>
                  <w:lang w:val="zh-CN"/>
                </w:rPr>
                <w:instrText xml:space="preserve"> HYPERLINK \l _Toc31687 </w:instrText>
              </w:r>
              <w:r>
                <w:rPr>
                  <w:rFonts w:hint="eastAsia" w:ascii="宋体" w:hAnsi="宋体" w:eastAsia="宋体" w:cs="宋体"/>
                  <w:bCs/>
                  <w:color w:val="auto"/>
                  <w:sz w:val="24"/>
                  <w:szCs w:val="24"/>
                  <w:highlight w:val="none"/>
                  <w:lang w:val="zh-CN"/>
                </w:rPr>
                <w:fldChar w:fldCharType="separate"/>
              </w:r>
              <w:r>
                <w:rPr>
                  <w:rFonts w:hint="eastAsia" w:ascii="宋体" w:hAnsi="宋体" w:eastAsia="宋体" w:cs="宋体"/>
                  <w:color w:val="auto"/>
                  <w:kern w:val="0"/>
                  <w:sz w:val="24"/>
                  <w:szCs w:val="24"/>
                  <w:highlight w:val="none"/>
                  <w:lang w:val="en-US" w:eastAsia="zh-CN" w:bidi="ar"/>
                </w:rPr>
                <w:t>24.落实简化医养结合机构审批流程</w:t>
              </w:r>
              <w:r>
                <w:rPr>
                  <w:rFonts w:hint="eastAsia" w:ascii="宋体" w:hAnsi="宋体" w:eastAsia="宋体" w:cs="宋体"/>
                  <w:color w:val="auto"/>
                  <w:sz w:val="24"/>
                  <w:szCs w:val="24"/>
                  <w:highlight w:val="none"/>
                </w:rPr>
                <w:tab/>
              </w:r>
              <w:r>
                <w:rPr>
                  <w:rFonts w:hint="eastAsia" w:ascii="宋体" w:hAnsi="宋体" w:eastAsia="宋体" w:cs="宋体"/>
                  <w:bCs/>
                  <w:color w:val="auto"/>
                  <w:sz w:val="24"/>
                  <w:szCs w:val="24"/>
                  <w:highlight w:val="none"/>
                  <w:lang w:val="zh-CN"/>
                </w:rPr>
                <w:fldChar w:fldCharType="end"/>
              </w:r>
              <w:r>
                <w:rPr>
                  <w:rFonts w:hint="eastAsia" w:ascii="宋体" w:hAnsi="宋体" w:eastAsia="宋体" w:cs="宋体"/>
                  <w:bCs/>
                  <w:color w:val="auto"/>
                  <w:sz w:val="24"/>
                  <w:szCs w:val="24"/>
                  <w:highlight w:val="none"/>
                  <w:lang w:val="en-US" w:eastAsia="zh-CN"/>
                </w:rPr>
                <w:t>34</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Cs/>
                  <w:color w:val="auto"/>
                  <w:sz w:val="24"/>
                  <w:szCs w:val="24"/>
                  <w:highlight w:val="none"/>
                  <w:lang w:val="zh-CN"/>
                </w:rPr>
                <w:fldChar w:fldCharType="begin"/>
              </w:r>
              <w:r>
                <w:rPr>
                  <w:rFonts w:hint="eastAsia" w:ascii="宋体" w:hAnsi="宋体" w:eastAsia="宋体" w:cs="宋体"/>
                  <w:bCs/>
                  <w:color w:val="auto"/>
                  <w:sz w:val="24"/>
                  <w:szCs w:val="24"/>
                  <w:highlight w:val="none"/>
                  <w:lang w:val="zh-CN"/>
                </w:rPr>
                <w:instrText xml:space="preserve"> HYPERLINK \l _Toc25221 </w:instrText>
              </w:r>
              <w:r>
                <w:rPr>
                  <w:rFonts w:hint="eastAsia" w:ascii="宋体" w:hAnsi="宋体" w:eastAsia="宋体" w:cs="宋体"/>
                  <w:bCs/>
                  <w:color w:val="auto"/>
                  <w:sz w:val="24"/>
                  <w:szCs w:val="24"/>
                  <w:highlight w:val="none"/>
                  <w:lang w:val="zh-CN"/>
                </w:rPr>
                <w:fldChar w:fldCharType="separate"/>
              </w:r>
              <w:r>
                <w:rPr>
                  <w:rFonts w:hint="eastAsia" w:ascii="宋体" w:hAnsi="宋体" w:eastAsia="宋体" w:cs="宋体"/>
                  <w:color w:val="auto"/>
                  <w:kern w:val="0"/>
                  <w:sz w:val="24"/>
                  <w:szCs w:val="24"/>
                  <w:highlight w:val="none"/>
                  <w:lang w:val="en-US" w:eastAsia="zh-CN" w:bidi="ar"/>
                </w:rPr>
                <w:t>25.支持多种模式发展医养结合服务</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val="en-US" w:eastAsia="zh-CN"/>
                </w:rPr>
                <w:t>3</w:t>
              </w:r>
              <w:r>
                <w:rPr>
                  <w:rFonts w:hint="eastAsia" w:ascii="宋体" w:hAnsi="宋体" w:eastAsia="宋体" w:cs="宋体"/>
                  <w:bCs/>
                  <w:color w:val="auto"/>
                  <w:sz w:val="24"/>
                  <w:szCs w:val="24"/>
                  <w:highlight w:val="none"/>
                  <w:lang w:val="zh-CN"/>
                </w:rPr>
                <w:fldChar w:fldCharType="end"/>
              </w:r>
              <w:r>
                <w:rPr>
                  <w:rFonts w:hint="eastAsia" w:ascii="宋体" w:hAnsi="宋体" w:eastAsia="宋体" w:cs="宋体"/>
                  <w:bCs/>
                  <w:color w:val="auto"/>
                  <w:sz w:val="24"/>
                  <w:szCs w:val="24"/>
                  <w:highlight w:val="none"/>
                  <w:lang w:val="en-US" w:eastAsia="zh-CN"/>
                </w:rPr>
                <w:t>5</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zh-CN"/>
                </w:rPr>
                <w:fldChar w:fldCharType="begin"/>
              </w:r>
              <w:r>
                <w:rPr>
                  <w:rFonts w:hint="eastAsia" w:ascii="宋体" w:hAnsi="宋体" w:eastAsia="宋体" w:cs="宋体"/>
                  <w:bCs/>
                  <w:color w:val="auto"/>
                  <w:sz w:val="24"/>
                  <w:szCs w:val="24"/>
                  <w:highlight w:val="none"/>
                  <w:lang w:val="zh-CN"/>
                </w:rPr>
                <w:instrText xml:space="preserve"> HYPERLINK \l _Toc17245 </w:instrText>
              </w:r>
              <w:r>
                <w:rPr>
                  <w:rFonts w:hint="eastAsia" w:ascii="宋体" w:hAnsi="宋体" w:eastAsia="宋体" w:cs="宋体"/>
                  <w:bCs/>
                  <w:color w:val="auto"/>
                  <w:sz w:val="24"/>
                  <w:szCs w:val="24"/>
                  <w:highlight w:val="none"/>
                  <w:lang w:val="zh-CN"/>
                </w:rPr>
                <w:fldChar w:fldCharType="separate"/>
              </w:r>
              <w:r>
                <w:rPr>
                  <w:rFonts w:hint="eastAsia" w:ascii="宋体" w:hAnsi="宋体" w:eastAsia="宋体" w:cs="宋体"/>
                  <w:bCs/>
                  <w:color w:val="auto"/>
                  <w:sz w:val="24"/>
                  <w:szCs w:val="24"/>
                  <w:highlight w:val="none"/>
                  <w:lang w:val="en-US" w:eastAsia="zh-CN"/>
                </w:rPr>
                <w:t>26.推进养老机构照护服务能力建设</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val="en-US" w:eastAsia="zh-CN"/>
                </w:rPr>
                <w:t>3</w:t>
              </w:r>
              <w:r>
                <w:rPr>
                  <w:rFonts w:hint="eastAsia" w:ascii="宋体" w:hAnsi="宋体" w:eastAsia="宋体" w:cs="宋体"/>
                  <w:bCs/>
                  <w:color w:val="auto"/>
                  <w:sz w:val="24"/>
                  <w:szCs w:val="24"/>
                  <w:highlight w:val="none"/>
                  <w:lang w:val="zh-CN"/>
                </w:rPr>
                <w:fldChar w:fldCharType="end"/>
              </w:r>
              <w:r>
                <w:rPr>
                  <w:rFonts w:hint="eastAsia" w:ascii="宋体" w:hAnsi="宋体" w:eastAsia="宋体" w:cs="宋体"/>
                  <w:bCs/>
                  <w:color w:val="auto"/>
                  <w:sz w:val="24"/>
                  <w:szCs w:val="24"/>
                  <w:highlight w:val="none"/>
                  <w:lang w:val="en-US" w:eastAsia="zh-CN"/>
                </w:rPr>
                <w:t>5</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zh-CN"/>
                </w:rPr>
                <w:fldChar w:fldCharType="begin"/>
              </w:r>
              <w:r>
                <w:rPr>
                  <w:rFonts w:hint="eastAsia" w:ascii="宋体" w:hAnsi="宋体" w:eastAsia="宋体" w:cs="宋体"/>
                  <w:bCs/>
                  <w:color w:val="auto"/>
                  <w:sz w:val="24"/>
                  <w:szCs w:val="24"/>
                  <w:highlight w:val="none"/>
                  <w:lang w:val="zh-CN"/>
                </w:rPr>
                <w:instrText xml:space="preserve"> HYPERLINK \l _Toc17245 </w:instrText>
              </w:r>
              <w:r>
                <w:rPr>
                  <w:rFonts w:hint="eastAsia" w:ascii="宋体" w:hAnsi="宋体" w:eastAsia="宋体" w:cs="宋体"/>
                  <w:bCs/>
                  <w:color w:val="auto"/>
                  <w:sz w:val="24"/>
                  <w:szCs w:val="24"/>
                  <w:highlight w:val="none"/>
                  <w:lang w:val="zh-CN"/>
                </w:rPr>
                <w:fldChar w:fldCharType="separate"/>
              </w:r>
              <w:r>
                <w:rPr>
                  <w:rFonts w:hint="eastAsia" w:ascii="宋体" w:hAnsi="宋体" w:eastAsia="宋体" w:cs="宋体"/>
                  <w:bCs/>
                  <w:color w:val="auto"/>
                  <w:sz w:val="24"/>
                  <w:szCs w:val="24"/>
                  <w:highlight w:val="none"/>
                  <w:lang w:val="en-US" w:eastAsia="zh-CN"/>
                </w:rPr>
                <w:t>27.发展“养老+商保”照护保障项目。</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val="en-US" w:eastAsia="zh-CN"/>
                </w:rPr>
                <w:t>3</w:t>
              </w:r>
              <w:r>
                <w:rPr>
                  <w:rFonts w:hint="eastAsia" w:ascii="宋体" w:hAnsi="宋体" w:eastAsia="宋体" w:cs="宋体"/>
                  <w:bCs/>
                  <w:color w:val="auto"/>
                  <w:sz w:val="24"/>
                  <w:szCs w:val="24"/>
                  <w:highlight w:val="none"/>
                  <w:lang w:val="zh-CN"/>
                </w:rPr>
                <w:fldChar w:fldCharType="end"/>
              </w:r>
              <w:r>
                <w:rPr>
                  <w:rFonts w:hint="eastAsia" w:ascii="宋体" w:hAnsi="宋体" w:eastAsia="宋体" w:cs="宋体"/>
                  <w:bCs/>
                  <w:color w:val="auto"/>
                  <w:sz w:val="24"/>
                  <w:szCs w:val="24"/>
                  <w:highlight w:val="none"/>
                  <w:lang w:val="en-US" w:eastAsia="zh-CN"/>
                </w:rPr>
                <w:t>5</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zh-CN"/>
                </w:rPr>
                <w:fldChar w:fldCharType="begin"/>
              </w:r>
              <w:r>
                <w:rPr>
                  <w:rFonts w:hint="eastAsia" w:ascii="宋体" w:hAnsi="宋体" w:eastAsia="宋体" w:cs="宋体"/>
                  <w:bCs/>
                  <w:color w:val="auto"/>
                  <w:sz w:val="24"/>
                  <w:szCs w:val="24"/>
                  <w:highlight w:val="none"/>
                  <w:lang w:val="zh-CN"/>
                </w:rPr>
                <w:instrText xml:space="preserve"> HYPERLINK \l _Toc17245 </w:instrText>
              </w:r>
              <w:r>
                <w:rPr>
                  <w:rFonts w:hint="eastAsia" w:ascii="宋体" w:hAnsi="宋体" w:eastAsia="宋体" w:cs="宋体"/>
                  <w:bCs/>
                  <w:color w:val="auto"/>
                  <w:sz w:val="24"/>
                  <w:szCs w:val="24"/>
                  <w:highlight w:val="none"/>
                  <w:lang w:val="zh-CN"/>
                </w:rPr>
                <w:fldChar w:fldCharType="separate"/>
              </w:r>
              <w:r>
                <w:rPr>
                  <w:rFonts w:hint="eastAsia" w:ascii="宋体" w:hAnsi="宋体" w:eastAsia="宋体" w:cs="宋体"/>
                  <w:bCs/>
                  <w:color w:val="auto"/>
                  <w:sz w:val="24"/>
                  <w:szCs w:val="24"/>
                  <w:highlight w:val="none"/>
                  <w:lang w:val="en-US" w:eastAsia="zh-CN"/>
                </w:rPr>
                <w:t>28.加强基层医疗卫生机构与社区养老服务机构规划建设</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val="en-US" w:eastAsia="zh-CN"/>
                </w:rPr>
                <w:t>3</w:t>
              </w:r>
              <w:r>
                <w:rPr>
                  <w:rFonts w:hint="eastAsia" w:ascii="宋体" w:hAnsi="宋体" w:eastAsia="宋体" w:cs="宋体"/>
                  <w:bCs/>
                  <w:color w:val="auto"/>
                  <w:sz w:val="24"/>
                  <w:szCs w:val="24"/>
                  <w:highlight w:val="none"/>
                  <w:lang w:val="zh-CN"/>
                </w:rPr>
                <w:fldChar w:fldCharType="end"/>
              </w:r>
              <w:r>
                <w:rPr>
                  <w:rFonts w:hint="eastAsia" w:ascii="宋体" w:hAnsi="宋体" w:eastAsia="宋体" w:cs="宋体"/>
                  <w:bCs/>
                  <w:color w:val="auto"/>
                  <w:sz w:val="24"/>
                  <w:szCs w:val="24"/>
                  <w:highlight w:val="none"/>
                  <w:lang w:val="en-US" w:eastAsia="zh-CN"/>
                </w:rPr>
                <w:t>6</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fldChar w:fldCharType="begin"/>
              </w:r>
              <w:r>
                <w:rPr>
                  <w:rFonts w:hint="eastAsia" w:ascii="宋体" w:hAnsi="宋体" w:eastAsia="宋体" w:cs="宋体"/>
                  <w:bCs/>
                  <w:color w:val="auto"/>
                  <w:sz w:val="24"/>
                  <w:szCs w:val="24"/>
                  <w:highlight w:val="none"/>
                  <w:lang w:val="zh-CN"/>
                </w:rPr>
                <w:instrText xml:space="preserve"> HYPERLINK \l _Toc17245 </w:instrText>
              </w:r>
              <w:r>
                <w:rPr>
                  <w:rFonts w:hint="eastAsia" w:ascii="宋体" w:hAnsi="宋体" w:eastAsia="宋体" w:cs="宋体"/>
                  <w:bCs/>
                  <w:color w:val="auto"/>
                  <w:sz w:val="24"/>
                  <w:szCs w:val="24"/>
                  <w:highlight w:val="none"/>
                  <w:lang w:val="zh-CN"/>
                </w:rPr>
                <w:fldChar w:fldCharType="separate"/>
              </w:r>
              <w:r>
                <w:rPr>
                  <w:rFonts w:hint="eastAsia" w:ascii="宋体" w:hAnsi="宋体" w:eastAsia="宋体" w:cs="宋体"/>
                  <w:bCs/>
                  <w:color w:val="auto"/>
                  <w:sz w:val="24"/>
                  <w:szCs w:val="24"/>
                  <w:highlight w:val="none"/>
                  <w:lang w:val="en-US" w:eastAsia="zh-CN"/>
                </w:rPr>
                <w:t>29.丰富社区医养服务内容</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val="en-US" w:eastAsia="zh-CN"/>
                </w:rPr>
                <w:t>3</w:t>
              </w:r>
              <w:r>
                <w:rPr>
                  <w:rFonts w:hint="eastAsia" w:ascii="宋体" w:hAnsi="宋体" w:eastAsia="宋体" w:cs="宋体"/>
                  <w:bCs/>
                  <w:color w:val="auto"/>
                  <w:sz w:val="24"/>
                  <w:szCs w:val="24"/>
                  <w:highlight w:val="none"/>
                  <w:lang w:val="zh-CN"/>
                </w:rPr>
                <w:fldChar w:fldCharType="end"/>
              </w:r>
              <w:r>
                <w:rPr>
                  <w:rFonts w:hint="eastAsia" w:ascii="宋体" w:hAnsi="宋体" w:eastAsia="宋体" w:cs="宋体"/>
                  <w:bCs/>
                  <w:color w:val="auto"/>
                  <w:sz w:val="24"/>
                  <w:szCs w:val="24"/>
                  <w:highlight w:val="none"/>
                  <w:lang w:val="en-US" w:eastAsia="zh-CN"/>
                </w:rPr>
                <w:t>6</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fldChar w:fldCharType="begin"/>
              </w:r>
              <w:r>
                <w:rPr>
                  <w:rFonts w:hint="eastAsia" w:ascii="宋体" w:hAnsi="宋体" w:eastAsia="宋体" w:cs="宋体"/>
                  <w:bCs/>
                  <w:color w:val="auto"/>
                  <w:sz w:val="24"/>
                  <w:szCs w:val="24"/>
                  <w:highlight w:val="none"/>
                  <w:lang w:val="zh-CN"/>
                </w:rPr>
                <w:instrText xml:space="preserve"> HYPERLINK \l _Toc17245 </w:instrText>
              </w:r>
              <w:r>
                <w:rPr>
                  <w:rFonts w:hint="eastAsia" w:ascii="宋体" w:hAnsi="宋体" w:eastAsia="宋体" w:cs="宋体"/>
                  <w:bCs/>
                  <w:color w:val="auto"/>
                  <w:sz w:val="24"/>
                  <w:szCs w:val="24"/>
                  <w:highlight w:val="none"/>
                  <w:lang w:val="zh-CN"/>
                </w:rPr>
                <w:fldChar w:fldCharType="separate"/>
              </w:r>
              <w:r>
                <w:rPr>
                  <w:rFonts w:hint="eastAsia" w:ascii="宋体" w:hAnsi="宋体" w:eastAsia="宋体" w:cs="宋体"/>
                  <w:bCs/>
                  <w:color w:val="auto"/>
                  <w:sz w:val="24"/>
                  <w:szCs w:val="24"/>
                  <w:highlight w:val="none"/>
                  <w:lang w:val="en-US" w:eastAsia="zh-CN"/>
                </w:rPr>
                <w:t>30.加大财税支持</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val="en-US" w:eastAsia="zh-CN"/>
                </w:rPr>
                <w:t>3</w:t>
              </w:r>
              <w:r>
                <w:rPr>
                  <w:rFonts w:hint="eastAsia" w:ascii="宋体" w:hAnsi="宋体" w:eastAsia="宋体" w:cs="宋体"/>
                  <w:bCs/>
                  <w:color w:val="auto"/>
                  <w:sz w:val="24"/>
                  <w:szCs w:val="24"/>
                  <w:highlight w:val="none"/>
                  <w:lang w:val="zh-CN"/>
                </w:rPr>
                <w:fldChar w:fldCharType="end"/>
              </w:r>
              <w:r>
                <w:rPr>
                  <w:rFonts w:hint="eastAsia" w:ascii="宋体" w:hAnsi="宋体" w:eastAsia="宋体" w:cs="宋体"/>
                  <w:bCs/>
                  <w:color w:val="auto"/>
                  <w:sz w:val="24"/>
                  <w:szCs w:val="24"/>
                  <w:highlight w:val="none"/>
                  <w:lang w:val="en-US" w:eastAsia="zh-CN"/>
                </w:rPr>
                <w:t>7</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0" w:firstLineChars="200"/>
                <w:textAlignment w:val="auto"/>
                <w:rPr>
                  <w:rFonts w:hint="eastAsia"/>
                  <w:highlight w:val="none"/>
                  <w:lang w:val="en-US" w:eastAsia="zh-CN"/>
                </w:rPr>
              </w:pPr>
              <w:r>
                <w:rPr>
                  <w:rFonts w:hint="eastAsia" w:ascii="宋体" w:hAnsi="宋体" w:eastAsia="宋体" w:cs="宋体"/>
                  <w:bCs/>
                  <w:color w:val="auto"/>
                  <w:sz w:val="24"/>
                  <w:szCs w:val="24"/>
                  <w:highlight w:val="none"/>
                  <w:lang w:val="zh-CN"/>
                </w:rPr>
                <w:fldChar w:fldCharType="begin"/>
              </w:r>
              <w:r>
                <w:rPr>
                  <w:rFonts w:hint="eastAsia" w:ascii="宋体" w:hAnsi="宋体" w:eastAsia="宋体" w:cs="宋体"/>
                  <w:bCs/>
                  <w:color w:val="auto"/>
                  <w:sz w:val="24"/>
                  <w:szCs w:val="24"/>
                  <w:highlight w:val="none"/>
                  <w:lang w:val="zh-CN"/>
                </w:rPr>
                <w:instrText xml:space="preserve"> HYPERLINK \l _Toc17245 </w:instrText>
              </w:r>
              <w:r>
                <w:rPr>
                  <w:rFonts w:hint="eastAsia" w:ascii="宋体" w:hAnsi="宋体" w:eastAsia="宋体" w:cs="宋体"/>
                  <w:bCs/>
                  <w:color w:val="auto"/>
                  <w:sz w:val="24"/>
                  <w:szCs w:val="24"/>
                  <w:highlight w:val="none"/>
                  <w:lang w:val="zh-CN"/>
                </w:rPr>
                <w:fldChar w:fldCharType="separate"/>
              </w:r>
              <w:r>
                <w:rPr>
                  <w:rFonts w:hint="eastAsia" w:ascii="宋体" w:hAnsi="宋体" w:eastAsia="宋体" w:cs="宋体"/>
                  <w:bCs/>
                  <w:color w:val="auto"/>
                  <w:sz w:val="24"/>
                  <w:szCs w:val="24"/>
                  <w:highlight w:val="none"/>
                  <w:lang w:val="en-US" w:eastAsia="zh-CN"/>
                </w:rPr>
                <w:t>31.大力发展银发经济</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val="en-US" w:eastAsia="zh-CN"/>
                </w:rPr>
                <w:t>3</w:t>
              </w:r>
              <w:r>
                <w:rPr>
                  <w:rFonts w:hint="eastAsia" w:ascii="宋体" w:hAnsi="宋体" w:eastAsia="宋体" w:cs="宋体"/>
                  <w:bCs/>
                  <w:color w:val="auto"/>
                  <w:sz w:val="24"/>
                  <w:szCs w:val="24"/>
                  <w:highlight w:val="none"/>
                  <w:lang w:val="zh-CN"/>
                </w:rPr>
                <w:fldChar w:fldCharType="end"/>
              </w:r>
              <w:r>
                <w:rPr>
                  <w:rFonts w:hint="eastAsia" w:ascii="宋体" w:hAnsi="宋体" w:eastAsia="宋体" w:cs="宋体"/>
                  <w:bCs/>
                  <w:color w:val="auto"/>
                  <w:sz w:val="24"/>
                  <w:szCs w:val="24"/>
                  <w:highlight w:val="none"/>
                  <w:lang w:val="en-US" w:eastAsia="zh-CN"/>
                </w:rPr>
                <w:t>7</w:t>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2"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zh-CN"/>
                </w:rPr>
                <w:fldChar w:fldCharType="begin"/>
              </w:r>
              <w:r>
                <w:rPr>
                  <w:rFonts w:hint="eastAsia" w:ascii="宋体" w:hAnsi="宋体" w:eastAsia="宋体" w:cs="宋体"/>
                  <w:b/>
                  <w:bCs/>
                  <w:color w:val="auto"/>
                  <w:sz w:val="24"/>
                  <w:szCs w:val="24"/>
                  <w:highlight w:val="none"/>
                  <w:lang w:val="zh-CN"/>
                </w:rPr>
                <w:instrText xml:space="preserve"> HYPERLINK \l _Toc22133 </w:instrText>
              </w:r>
              <w:r>
                <w:rPr>
                  <w:rFonts w:hint="eastAsia" w:ascii="宋体" w:hAnsi="宋体" w:eastAsia="宋体" w:cs="宋体"/>
                  <w:b/>
                  <w:bCs/>
                  <w:color w:val="auto"/>
                  <w:sz w:val="24"/>
                  <w:szCs w:val="24"/>
                  <w:highlight w:val="none"/>
                  <w:lang w:val="zh-CN"/>
                </w:rPr>
                <w:fldChar w:fldCharType="separate"/>
              </w:r>
              <w:r>
                <w:rPr>
                  <w:rFonts w:hint="eastAsia" w:ascii="宋体" w:hAnsi="宋体" w:eastAsia="宋体" w:cs="宋体"/>
                  <w:b/>
                  <w:bCs/>
                  <w:color w:val="auto"/>
                  <w:sz w:val="24"/>
                  <w:szCs w:val="24"/>
                  <w:highlight w:val="none"/>
                  <w:lang w:val="en-US" w:eastAsia="zh-CN"/>
                </w:rPr>
                <w:t>七、建立健全养老服务监管机制</w:t>
              </w: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lang w:val="zh-CN"/>
                </w:rPr>
                <w:fldChar w:fldCharType="end"/>
              </w:r>
              <w:r>
                <w:rPr>
                  <w:rFonts w:hint="eastAsia" w:ascii="宋体" w:hAnsi="宋体" w:eastAsia="宋体" w:cs="宋体"/>
                  <w:b/>
                  <w:bCs/>
                  <w:color w:val="auto"/>
                  <w:sz w:val="24"/>
                  <w:szCs w:val="24"/>
                  <w:highlight w:val="none"/>
                  <w:lang w:val="en-US" w:eastAsia="zh-CN"/>
                </w:rPr>
                <w:t>38</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lang w:val="zh-CN"/>
                </w:rPr>
                <w:fldChar w:fldCharType="begin"/>
              </w:r>
              <w:r>
                <w:rPr>
                  <w:rFonts w:hint="eastAsia" w:ascii="宋体" w:hAnsi="宋体" w:eastAsia="宋体" w:cs="宋体"/>
                  <w:bCs/>
                  <w:color w:val="auto"/>
                  <w:sz w:val="24"/>
                  <w:szCs w:val="24"/>
                  <w:highlight w:val="none"/>
                  <w:lang w:val="zh-CN"/>
                </w:rPr>
                <w:instrText xml:space="preserve"> HYPERLINK \l _Toc31687 </w:instrText>
              </w:r>
              <w:r>
                <w:rPr>
                  <w:rFonts w:hint="eastAsia" w:ascii="宋体" w:hAnsi="宋体" w:eastAsia="宋体" w:cs="宋体"/>
                  <w:bCs/>
                  <w:color w:val="auto"/>
                  <w:sz w:val="24"/>
                  <w:szCs w:val="24"/>
                  <w:highlight w:val="none"/>
                  <w:lang w:val="zh-CN"/>
                </w:rPr>
                <w:fldChar w:fldCharType="separate"/>
              </w:r>
              <w:r>
                <w:rPr>
                  <w:rFonts w:hint="eastAsia" w:ascii="宋体" w:hAnsi="宋体" w:eastAsia="宋体" w:cs="宋体"/>
                  <w:color w:val="auto"/>
                  <w:kern w:val="0"/>
                  <w:sz w:val="24"/>
                  <w:szCs w:val="24"/>
                  <w:highlight w:val="none"/>
                  <w:lang w:val="en-US" w:eastAsia="zh-CN" w:bidi="ar"/>
                </w:rPr>
                <w:t>2.聚焦养老服务监管重点领域</w:t>
              </w:r>
              <w:r>
                <w:rPr>
                  <w:rFonts w:hint="eastAsia" w:ascii="宋体" w:hAnsi="宋体" w:eastAsia="宋体" w:cs="宋体"/>
                  <w:color w:val="auto"/>
                  <w:sz w:val="24"/>
                  <w:szCs w:val="24"/>
                  <w:highlight w:val="none"/>
                </w:rPr>
                <w:tab/>
              </w:r>
              <w:r>
                <w:rPr>
                  <w:rFonts w:hint="eastAsia" w:ascii="宋体" w:hAnsi="宋体" w:eastAsia="宋体" w:cs="宋体"/>
                  <w:bCs/>
                  <w:color w:val="auto"/>
                  <w:sz w:val="24"/>
                  <w:szCs w:val="24"/>
                  <w:highlight w:val="none"/>
                  <w:lang w:val="zh-CN"/>
                </w:rPr>
                <w:fldChar w:fldCharType="end"/>
              </w:r>
              <w:r>
                <w:rPr>
                  <w:rFonts w:hint="eastAsia" w:ascii="宋体" w:hAnsi="宋体" w:eastAsia="宋体" w:cs="宋体"/>
                  <w:bCs/>
                  <w:color w:val="auto"/>
                  <w:sz w:val="24"/>
                  <w:szCs w:val="24"/>
                  <w:highlight w:val="none"/>
                  <w:lang w:val="en-US" w:eastAsia="zh-CN"/>
                </w:rPr>
                <w:t>38</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lang w:val="zh-CN"/>
                </w:rPr>
                <w:fldChar w:fldCharType="begin"/>
              </w:r>
              <w:r>
                <w:rPr>
                  <w:rFonts w:hint="eastAsia" w:ascii="宋体" w:hAnsi="宋体" w:eastAsia="宋体" w:cs="宋体"/>
                  <w:bCs/>
                  <w:color w:val="auto"/>
                  <w:sz w:val="24"/>
                  <w:szCs w:val="24"/>
                  <w:highlight w:val="none"/>
                  <w:lang w:val="zh-CN"/>
                </w:rPr>
                <w:instrText xml:space="preserve"> HYPERLINK \l _Toc25221 </w:instrText>
              </w:r>
              <w:r>
                <w:rPr>
                  <w:rFonts w:hint="eastAsia" w:ascii="宋体" w:hAnsi="宋体" w:eastAsia="宋体" w:cs="宋体"/>
                  <w:bCs/>
                  <w:color w:val="auto"/>
                  <w:sz w:val="24"/>
                  <w:szCs w:val="24"/>
                  <w:highlight w:val="none"/>
                  <w:lang w:val="zh-CN"/>
                </w:rPr>
                <w:fldChar w:fldCharType="separate"/>
              </w:r>
              <w:r>
                <w:rPr>
                  <w:rFonts w:hint="eastAsia" w:ascii="宋体" w:hAnsi="宋体" w:eastAsia="宋体" w:cs="宋体"/>
                  <w:color w:val="auto"/>
                  <w:kern w:val="0"/>
                  <w:sz w:val="24"/>
                  <w:szCs w:val="24"/>
                  <w:highlight w:val="none"/>
                  <w:lang w:val="en-US" w:eastAsia="zh-CN" w:bidi="ar"/>
                </w:rPr>
                <w:t>3.创新养老服务监管方式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val="en-US" w:eastAsia="zh-CN"/>
                </w:rPr>
                <w:t>3</w:t>
              </w:r>
              <w:r>
                <w:rPr>
                  <w:rFonts w:hint="eastAsia" w:ascii="宋体" w:hAnsi="宋体" w:eastAsia="宋体" w:cs="宋体"/>
                  <w:bCs/>
                  <w:color w:val="auto"/>
                  <w:sz w:val="24"/>
                  <w:szCs w:val="24"/>
                  <w:highlight w:val="none"/>
                  <w:lang w:val="zh-CN"/>
                </w:rPr>
                <w:fldChar w:fldCharType="end"/>
              </w:r>
              <w:r>
                <w:rPr>
                  <w:rFonts w:hint="eastAsia" w:ascii="宋体" w:hAnsi="宋体" w:eastAsia="宋体" w:cs="宋体"/>
                  <w:bCs/>
                  <w:color w:val="auto"/>
                  <w:sz w:val="24"/>
                  <w:szCs w:val="24"/>
                  <w:highlight w:val="none"/>
                  <w:lang w:val="en-US" w:eastAsia="zh-CN"/>
                </w:rPr>
                <w:t>8</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0" w:firstLineChars="200"/>
                <w:textAlignment w:val="auto"/>
                <w:rPr>
                  <w:rFonts w:hint="eastAsia"/>
                  <w:highlight w:val="none"/>
                  <w:lang w:val="en-US" w:eastAsia="zh-CN"/>
                </w:rPr>
              </w:pP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lang w:val="zh-CN"/>
                </w:rPr>
                <w:fldChar w:fldCharType="begin"/>
              </w:r>
              <w:r>
                <w:rPr>
                  <w:rFonts w:hint="eastAsia" w:ascii="宋体" w:hAnsi="宋体" w:eastAsia="宋体" w:cs="宋体"/>
                  <w:bCs/>
                  <w:color w:val="auto"/>
                  <w:sz w:val="24"/>
                  <w:szCs w:val="24"/>
                  <w:highlight w:val="none"/>
                  <w:lang w:val="zh-CN"/>
                </w:rPr>
                <w:instrText xml:space="preserve"> HYPERLINK \l _Toc17245 </w:instrText>
              </w:r>
              <w:r>
                <w:rPr>
                  <w:rFonts w:hint="eastAsia" w:ascii="宋体" w:hAnsi="宋体" w:eastAsia="宋体" w:cs="宋体"/>
                  <w:bCs/>
                  <w:color w:val="auto"/>
                  <w:sz w:val="24"/>
                  <w:szCs w:val="24"/>
                  <w:highlight w:val="none"/>
                  <w:lang w:val="zh-CN"/>
                </w:rPr>
                <w:fldChar w:fldCharType="separate"/>
              </w:r>
              <w:r>
                <w:rPr>
                  <w:rFonts w:hint="eastAsia" w:ascii="宋体" w:hAnsi="宋体" w:eastAsia="宋体" w:cs="宋体"/>
                  <w:bCs/>
                  <w:color w:val="auto"/>
                  <w:sz w:val="24"/>
                  <w:szCs w:val="24"/>
                  <w:highlight w:val="none"/>
                  <w:lang w:val="en-US" w:eastAsia="zh-CN"/>
                </w:rPr>
                <w:t>4</w:t>
              </w:r>
              <w:r>
                <w:rPr>
                  <w:rFonts w:hint="eastAsia" w:ascii="宋体" w:hAnsi="宋体" w:eastAsia="宋体" w:cs="宋体"/>
                  <w:color w:val="auto"/>
                  <w:kern w:val="0"/>
                  <w:sz w:val="24"/>
                  <w:szCs w:val="24"/>
                  <w:highlight w:val="none"/>
                  <w:lang w:val="en-US" w:eastAsia="zh-CN" w:bidi="ar"/>
                </w:rPr>
                <w:t>.提升养老服务领域应急管理水平</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val="en-US" w:eastAsia="zh-CN"/>
                </w:rPr>
                <w:t>3</w:t>
              </w:r>
              <w:r>
                <w:rPr>
                  <w:rFonts w:hint="eastAsia" w:ascii="宋体" w:hAnsi="宋体" w:eastAsia="宋体" w:cs="宋体"/>
                  <w:bCs/>
                  <w:color w:val="auto"/>
                  <w:sz w:val="24"/>
                  <w:szCs w:val="24"/>
                  <w:highlight w:val="none"/>
                  <w:lang w:val="zh-CN"/>
                </w:rPr>
                <w:fldChar w:fldCharType="end"/>
              </w:r>
              <w:r>
                <w:rPr>
                  <w:rFonts w:hint="eastAsia" w:ascii="宋体" w:hAnsi="宋体" w:eastAsia="宋体" w:cs="宋体"/>
                  <w:bCs/>
                  <w:color w:val="auto"/>
                  <w:sz w:val="24"/>
                  <w:szCs w:val="24"/>
                  <w:highlight w:val="none"/>
                  <w:lang w:val="en-US" w:eastAsia="zh-CN"/>
                </w:rPr>
                <w:t>9</w:t>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zh-CN"/>
                </w:rPr>
                <w:fldChar w:fldCharType="begin"/>
              </w:r>
              <w:r>
                <w:rPr>
                  <w:rFonts w:hint="eastAsia" w:ascii="宋体" w:hAnsi="宋体" w:eastAsia="宋体" w:cs="宋体"/>
                  <w:b/>
                  <w:bCs/>
                  <w:color w:val="auto"/>
                  <w:sz w:val="24"/>
                  <w:szCs w:val="24"/>
                  <w:highlight w:val="none"/>
                  <w:lang w:val="zh-CN"/>
                </w:rPr>
                <w:instrText xml:space="preserve"> HYPERLINK \l _Toc22029 </w:instrText>
              </w:r>
              <w:r>
                <w:rPr>
                  <w:rFonts w:hint="eastAsia" w:ascii="宋体" w:hAnsi="宋体" w:eastAsia="宋体" w:cs="宋体"/>
                  <w:b/>
                  <w:bCs/>
                  <w:color w:val="auto"/>
                  <w:sz w:val="24"/>
                  <w:szCs w:val="24"/>
                  <w:highlight w:val="none"/>
                  <w:lang w:val="zh-CN"/>
                </w:rPr>
                <w:fldChar w:fldCharType="separate"/>
              </w:r>
              <w:r>
                <w:rPr>
                  <w:rFonts w:hint="eastAsia" w:ascii="宋体" w:hAnsi="宋体" w:eastAsia="宋体" w:cs="宋体"/>
                  <w:b/>
                  <w:bCs/>
                  <w:color w:val="auto"/>
                  <w:sz w:val="24"/>
                  <w:szCs w:val="24"/>
                  <w:highlight w:val="none"/>
                </w:rPr>
                <w:t>第五章 保障措施</w:t>
              </w: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lang w:val="zh-CN"/>
                </w:rPr>
                <w:fldChar w:fldCharType="end"/>
              </w:r>
              <w:r>
                <w:rPr>
                  <w:rFonts w:hint="eastAsia" w:ascii="宋体" w:hAnsi="宋体" w:eastAsia="宋体" w:cs="宋体"/>
                  <w:b/>
                  <w:bCs/>
                  <w:color w:val="auto"/>
                  <w:sz w:val="24"/>
                  <w:szCs w:val="24"/>
                  <w:highlight w:val="none"/>
                  <w:lang w:val="en-US" w:eastAsia="zh-CN"/>
                </w:rPr>
                <w:t>40</w:t>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zh-CN"/>
                </w:rPr>
                <w:fldChar w:fldCharType="begin"/>
              </w:r>
              <w:r>
                <w:rPr>
                  <w:rFonts w:hint="eastAsia" w:ascii="宋体" w:hAnsi="宋体" w:eastAsia="宋体" w:cs="宋体"/>
                  <w:b/>
                  <w:bCs/>
                  <w:color w:val="auto"/>
                  <w:sz w:val="24"/>
                  <w:szCs w:val="24"/>
                  <w:highlight w:val="none"/>
                  <w:lang w:val="zh-CN"/>
                </w:rPr>
                <w:instrText xml:space="preserve"> HYPERLINK \l _Toc24834 </w:instrText>
              </w:r>
              <w:r>
                <w:rPr>
                  <w:rFonts w:hint="eastAsia" w:ascii="宋体" w:hAnsi="宋体" w:eastAsia="宋体" w:cs="宋体"/>
                  <w:b/>
                  <w:bCs/>
                  <w:color w:val="auto"/>
                  <w:sz w:val="24"/>
                  <w:szCs w:val="24"/>
                  <w:highlight w:val="none"/>
                  <w:lang w:val="zh-CN"/>
                </w:rPr>
                <w:fldChar w:fldCharType="separate"/>
              </w:r>
              <w:r>
                <w:rPr>
                  <w:rFonts w:hint="eastAsia" w:ascii="宋体" w:hAnsi="宋体" w:eastAsia="宋体" w:cs="宋体"/>
                  <w:b/>
                  <w:bCs/>
                  <w:color w:val="auto"/>
                  <w:sz w:val="24"/>
                  <w:szCs w:val="24"/>
                  <w:highlight w:val="none"/>
                </w:rPr>
                <w:t>一</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加强组织领导</w:t>
              </w: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lang w:val="zh-CN"/>
                </w:rPr>
                <w:fldChar w:fldCharType="end"/>
              </w:r>
              <w:r>
                <w:rPr>
                  <w:rFonts w:hint="eastAsia" w:ascii="宋体" w:hAnsi="宋体" w:eastAsia="宋体" w:cs="宋体"/>
                  <w:b/>
                  <w:bCs/>
                  <w:color w:val="auto"/>
                  <w:sz w:val="24"/>
                  <w:szCs w:val="24"/>
                  <w:highlight w:val="none"/>
                  <w:lang w:val="en-US" w:eastAsia="zh-CN"/>
                </w:rPr>
                <w:t>40</w:t>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zh-CN"/>
                </w:rPr>
                <w:fldChar w:fldCharType="begin"/>
              </w:r>
              <w:r>
                <w:rPr>
                  <w:rFonts w:hint="eastAsia" w:ascii="宋体" w:hAnsi="宋体" w:eastAsia="宋体" w:cs="宋体"/>
                  <w:b/>
                  <w:bCs/>
                  <w:color w:val="auto"/>
                  <w:sz w:val="24"/>
                  <w:szCs w:val="24"/>
                  <w:highlight w:val="none"/>
                  <w:lang w:val="zh-CN"/>
                </w:rPr>
                <w:instrText xml:space="preserve"> HYPERLINK \l _Toc3844 </w:instrText>
              </w:r>
              <w:r>
                <w:rPr>
                  <w:rFonts w:hint="eastAsia" w:ascii="宋体" w:hAnsi="宋体" w:eastAsia="宋体" w:cs="宋体"/>
                  <w:b/>
                  <w:bCs/>
                  <w:color w:val="auto"/>
                  <w:sz w:val="24"/>
                  <w:szCs w:val="24"/>
                  <w:highlight w:val="none"/>
                  <w:lang w:val="zh-CN"/>
                </w:rPr>
                <w:fldChar w:fldCharType="separate"/>
              </w:r>
              <w:r>
                <w:rPr>
                  <w:rFonts w:hint="eastAsia" w:ascii="宋体" w:hAnsi="宋体" w:eastAsia="宋体" w:cs="宋体"/>
                  <w:b/>
                  <w:bCs/>
                  <w:color w:val="auto"/>
                  <w:sz w:val="24"/>
                  <w:szCs w:val="24"/>
                  <w:highlight w:val="none"/>
                  <w:lang w:val="en-US" w:eastAsia="zh-CN"/>
                </w:rPr>
                <w:t>二、强化合力推进</w:t>
              </w: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lang w:val="zh-CN"/>
                </w:rPr>
                <w:fldChar w:fldCharType="end"/>
              </w:r>
              <w:r>
                <w:rPr>
                  <w:rFonts w:hint="eastAsia" w:ascii="宋体" w:hAnsi="宋体" w:eastAsia="宋体" w:cs="宋体"/>
                  <w:b/>
                  <w:bCs/>
                  <w:color w:val="auto"/>
                  <w:sz w:val="24"/>
                  <w:szCs w:val="24"/>
                  <w:highlight w:val="none"/>
                  <w:lang w:val="en-US" w:eastAsia="zh-CN"/>
                </w:rPr>
                <w:t>40</w:t>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zh-CN"/>
                </w:rPr>
                <w:fldChar w:fldCharType="begin"/>
              </w:r>
              <w:r>
                <w:rPr>
                  <w:rFonts w:hint="eastAsia" w:ascii="宋体" w:hAnsi="宋体" w:eastAsia="宋体" w:cs="宋体"/>
                  <w:b/>
                  <w:bCs/>
                  <w:color w:val="auto"/>
                  <w:sz w:val="24"/>
                  <w:szCs w:val="24"/>
                  <w:highlight w:val="none"/>
                  <w:lang w:val="zh-CN"/>
                </w:rPr>
                <w:instrText xml:space="preserve"> HYPERLINK \l _Toc4237 </w:instrText>
              </w:r>
              <w:r>
                <w:rPr>
                  <w:rFonts w:hint="eastAsia" w:ascii="宋体" w:hAnsi="宋体" w:eastAsia="宋体" w:cs="宋体"/>
                  <w:b/>
                  <w:bCs/>
                  <w:color w:val="auto"/>
                  <w:sz w:val="24"/>
                  <w:szCs w:val="24"/>
                  <w:highlight w:val="none"/>
                  <w:lang w:val="zh-CN"/>
                </w:rPr>
                <w:fldChar w:fldCharType="separate"/>
              </w:r>
              <w:r>
                <w:rPr>
                  <w:rFonts w:hint="eastAsia" w:ascii="宋体" w:hAnsi="宋体" w:eastAsia="宋体" w:cs="宋体"/>
                  <w:b/>
                  <w:bCs/>
                  <w:color w:val="auto"/>
                  <w:sz w:val="24"/>
                  <w:szCs w:val="24"/>
                  <w:highlight w:val="none"/>
                  <w:lang w:val="en-US" w:eastAsia="zh-CN"/>
                </w:rPr>
                <w:t>三、加大资金投入</w:t>
              </w: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lang w:val="zh-CN"/>
                </w:rPr>
                <w:fldChar w:fldCharType="end"/>
              </w:r>
              <w:r>
                <w:rPr>
                  <w:rFonts w:hint="eastAsia" w:ascii="宋体" w:hAnsi="宋体" w:eastAsia="宋体" w:cs="宋体"/>
                  <w:b/>
                  <w:bCs/>
                  <w:color w:val="auto"/>
                  <w:sz w:val="24"/>
                  <w:szCs w:val="24"/>
                  <w:highlight w:val="none"/>
                  <w:lang w:val="en-US" w:eastAsia="zh-CN"/>
                </w:rPr>
                <w:t>40</w:t>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zh-CN"/>
                </w:rPr>
                <w:fldChar w:fldCharType="begin"/>
              </w:r>
              <w:r>
                <w:rPr>
                  <w:rFonts w:hint="eastAsia" w:ascii="宋体" w:hAnsi="宋体" w:eastAsia="宋体" w:cs="宋体"/>
                  <w:b/>
                  <w:bCs/>
                  <w:color w:val="auto"/>
                  <w:sz w:val="24"/>
                  <w:szCs w:val="24"/>
                  <w:highlight w:val="none"/>
                  <w:lang w:val="zh-CN"/>
                </w:rPr>
                <w:instrText xml:space="preserve"> HYPERLINK \l _Toc16564 </w:instrText>
              </w:r>
              <w:r>
                <w:rPr>
                  <w:rFonts w:hint="eastAsia" w:ascii="宋体" w:hAnsi="宋体" w:eastAsia="宋体" w:cs="宋体"/>
                  <w:b/>
                  <w:bCs/>
                  <w:color w:val="auto"/>
                  <w:sz w:val="24"/>
                  <w:szCs w:val="24"/>
                  <w:highlight w:val="none"/>
                  <w:lang w:val="zh-CN"/>
                </w:rPr>
                <w:fldChar w:fldCharType="separate"/>
              </w:r>
              <w:r>
                <w:rPr>
                  <w:rFonts w:hint="eastAsia" w:ascii="宋体" w:hAnsi="宋体" w:eastAsia="宋体" w:cs="宋体"/>
                  <w:b/>
                  <w:bCs/>
                  <w:color w:val="auto"/>
                  <w:sz w:val="24"/>
                  <w:szCs w:val="24"/>
                  <w:highlight w:val="none"/>
                  <w:lang w:val="en-US" w:eastAsia="zh-CN"/>
                </w:rPr>
                <w:t>四、深化改革创新</w:t>
              </w: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lang w:val="en-US" w:eastAsia="zh-CN"/>
                </w:rPr>
                <w:t>4</w:t>
              </w:r>
              <w:r>
                <w:rPr>
                  <w:rFonts w:hint="eastAsia" w:ascii="宋体" w:hAnsi="宋体" w:eastAsia="宋体" w:cs="宋体"/>
                  <w:b/>
                  <w:bCs/>
                  <w:color w:val="auto"/>
                  <w:sz w:val="24"/>
                  <w:szCs w:val="24"/>
                  <w:highlight w:val="none"/>
                  <w:lang w:val="zh-CN"/>
                </w:rPr>
                <w:fldChar w:fldCharType="end"/>
              </w:r>
              <w:r>
                <w:rPr>
                  <w:rFonts w:hint="eastAsia" w:ascii="宋体" w:hAnsi="宋体" w:eastAsia="宋体" w:cs="宋体"/>
                  <w:b/>
                  <w:bCs/>
                  <w:color w:val="auto"/>
                  <w:sz w:val="24"/>
                  <w:szCs w:val="24"/>
                  <w:highlight w:val="none"/>
                  <w:lang w:val="en-US" w:eastAsia="zh-CN"/>
                </w:rPr>
                <w:t>1</w:t>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zh-CN"/>
                </w:rPr>
                <w:fldChar w:fldCharType="begin"/>
              </w:r>
              <w:r>
                <w:rPr>
                  <w:rFonts w:hint="eastAsia" w:ascii="宋体" w:hAnsi="宋体" w:eastAsia="宋体" w:cs="宋体"/>
                  <w:b/>
                  <w:bCs/>
                  <w:color w:val="auto"/>
                  <w:sz w:val="24"/>
                  <w:szCs w:val="24"/>
                  <w:highlight w:val="none"/>
                  <w:lang w:val="zh-CN"/>
                </w:rPr>
                <w:instrText xml:space="preserve"> HYPERLINK \l _Toc19366 </w:instrText>
              </w:r>
              <w:r>
                <w:rPr>
                  <w:rFonts w:hint="eastAsia" w:ascii="宋体" w:hAnsi="宋体" w:eastAsia="宋体" w:cs="宋体"/>
                  <w:b/>
                  <w:bCs/>
                  <w:color w:val="auto"/>
                  <w:sz w:val="24"/>
                  <w:szCs w:val="24"/>
                  <w:highlight w:val="none"/>
                  <w:lang w:val="zh-CN"/>
                </w:rPr>
                <w:fldChar w:fldCharType="separate"/>
              </w:r>
              <w:r>
                <w:rPr>
                  <w:rFonts w:hint="eastAsia" w:ascii="宋体" w:hAnsi="宋体" w:eastAsia="宋体" w:cs="宋体"/>
                  <w:b/>
                  <w:bCs/>
                  <w:color w:val="auto"/>
                  <w:sz w:val="24"/>
                  <w:szCs w:val="24"/>
                  <w:highlight w:val="none"/>
                  <w:lang w:val="en-US" w:eastAsia="zh-CN"/>
                </w:rPr>
                <w:t>五、强化监管评估</w:t>
              </w: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lang w:val="en-US" w:eastAsia="zh-CN"/>
                </w:rPr>
                <w:t>4</w:t>
              </w:r>
              <w:r>
                <w:rPr>
                  <w:rFonts w:hint="eastAsia" w:ascii="宋体" w:hAnsi="宋体" w:eastAsia="宋体" w:cs="宋体"/>
                  <w:b/>
                  <w:bCs/>
                  <w:color w:val="auto"/>
                  <w:sz w:val="24"/>
                  <w:szCs w:val="24"/>
                  <w:highlight w:val="none"/>
                  <w:lang w:val="zh-CN"/>
                </w:rPr>
                <w:fldChar w:fldCharType="end"/>
              </w:r>
              <w:r>
                <w:rPr>
                  <w:rFonts w:hint="eastAsia" w:ascii="宋体" w:hAnsi="宋体" w:eastAsia="宋体" w:cs="宋体"/>
                  <w:b/>
                  <w:bCs/>
                  <w:color w:val="auto"/>
                  <w:sz w:val="24"/>
                  <w:szCs w:val="24"/>
                  <w:highlight w:val="none"/>
                  <w:lang w:val="en-US" w:eastAsia="zh-CN"/>
                </w:rPr>
                <w:t>1</w:t>
              </w:r>
            </w:p>
            <w:p>
              <w:pPr>
                <w:pageBreakBefore w:val="0"/>
                <w:kinsoku/>
                <w:wordWrap/>
                <w:overflowPunct/>
                <w:topLinePunct w:val="0"/>
                <w:autoSpaceDE/>
                <w:autoSpaceDN/>
                <w:bidi w:val="0"/>
                <w:adjustRightInd/>
                <w:snapToGrid/>
                <w:spacing w:line="480" w:lineRule="exact"/>
                <w:textAlignment w:val="auto"/>
                <w:rPr>
                  <w:rFonts w:hint="eastAsia" w:ascii="方正小标宋_GBK" w:hAnsi="方正小标宋_GBK" w:eastAsia="方正小标宋_GBK" w:cs="方正小标宋_GBK"/>
                  <w:color w:val="auto"/>
                  <w:sz w:val="44"/>
                  <w:szCs w:val="44"/>
                  <w:highlight w:val="none"/>
                </w:rPr>
              </w:pPr>
              <w:r>
                <w:rPr>
                  <w:rFonts w:hint="eastAsia" w:ascii="宋体" w:hAnsi="宋体" w:eastAsia="宋体" w:cs="宋体"/>
                  <w:bCs/>
                  <w:color w:val="auto"/>
                  <w:sz w:val="24"/>
                  <w:szCs w:val="24"/>
                  <w:highlight w:val="none"/>
                  <w:lang w:val="zh-CN"/>
                </w:rPr>
                <w:fldChar w:fldCharType="end"/>
              </w:r>
            </w:p>
          </w:sdtContent>
        </w:sdt>
      </w:sdtContent>
    </w:sdt>
    <w:p>
      <w:pPr>
        <w:rPr>
          <w:rFonts w:hint="eastAsia"/>
          <w:color w:val="auto"/>
          <w:highlight w:val="none"/>
        </w:rPr>
      </w:pPr>
    </w:p>
    <w:p>
      <w:pPr>
        <w:pStyle w:val="4"/>
        <w:pageBreakBefore w:val="0"/>
        <w:kinsoku/>
        <w:wordWrap/>
        <w:overflowPunct/>
        <w:topLinePunct w:val="0"/>
        <w:autoSpaceDE/>
        <w:autoSpaceDN/>
        <w:bidi w:val="0"/>
        <w:spacing w:before="0" w:after="0" w:line="560" w:lineRule="exact"/>
        <w:jc w:val="center"/>
        <w:rPr>
          <w:rFonts w:hint="eastAsia" w:ascii="方正小标宋_GBK" w:hAnsi="方正小标宋_GBK" w:eastAsia="方正小标宋_GBK" w:cs="方正小标宋_GBK"/>
          <w:color w:val="auto"/>
          <w:sz w:val="44"/>
          <w:szCs w:val="44"/>
          <w:highlight w:val="none"/>
        </w:rPr>
      </w:pPr>
    </w:p>
    <w:p>
      <w:pPr>
        <w:pStyle w:val="4"/>
        <w:pageBreakBefore w:val="0"/>
        <w:kinsoku/>
        <w:wordWrap/>
        <w:overflowPunct/>
        <w:topLinePunct w:val="0"/>
        <w:autoSpaceDE/>
        <w:autoSpaceDN/>
        <w:bidi w:val="0"/>
        <w:spacing w:before="0" w:after="0" w:line="560" w:lineRule="exact"/>
        <w:jc w:val="center"/>
        <w:rPr>
          <w:rFonts w:hint="eastAsia" w:ascii="方正小标宋_GBK" w:hAnsi="方正小标宋_GBK" w:eastAsia="方正小标宋_GBK" w:cs="方正小标宋_GBK"/>
          <w:color w:val="auto"/>
          <w:sz w:val="44"/>
          <w:szCs w:val="44"/>
          <w:highlight w:val="none"/>
        </w:rPr>
      </w:pPr>
    </w:p>
    <w:p>
      <w:pPr>
        <w:pStyle w:val="4"/>
        <w:pageBreakBefore w:val="0"/>
        <w:kinsoku/>
        <w:wordWrap/>
        <w:overflowPunct/>
        <w:topLinePunct w:val="0"/>
        <w:autoSpaceDE/>
        <w:autoSpaceDN/>
        <w:bidi w:val="0"/>
        <w:spacing w:before="0" w:after="0" w:line="560" w:lineRule="exact"/>
        <w:jc w:val="center"/>
        <w:rPr>
          <w:rFonts w:hint="eastAsia" w:ascii="方正小标宋_GBK" w:hAnsi="方正小标宋_GBK" w:eastAsia="方正小标宋_GBK" w:cs="方正小标宋_GBK"/>
          <w:color w:val="auto"/>
          <w:sz w:val="44"/>
          <w:szCs w:val="44"/>
          <w:highlight w:val="none"/>
        </w:rPr>
      </w:pPr>
    </w:p>
    <w:p>
      <w:pPr>
        <w:pStyle w:val="4"/>
        <w:pageBreakBefore w:val="0"/>
        <w:kinsoku/>
        <w:wordWrap/>
        <w:overflowPunct/>
        <w:topLinePunct w:val="0"/>
        <w:autoSpaceDE/>
        <w:autoSpaceDN/>
        <w:bidi w:val="0"/>
        <w:spacing w:before="0" w:after="0" w:line="560" w:lineRule="exact"/>
        <w:jc w:val="center"/>
        <w:rPr>
          <w:rFonts w:hint="eastAsia" w:ascii="方正小标宋_GBK" w:hAnsi="方正小标宋_GBK" w:eastAsia="方正小标宋_GBK" w:cs="方正小标宋_GBK"/>
          <w:color w:val="auto"/>
          <w:sz w:val="44"/>
          <w:szCs w:val="44"/>
          <w:highlight w:val="none"/>
        </w:rPr>
      </w:pPr>
    </w:p>
    <w:p>
      <w:pPr>
        <w:pStyle w:val="4"/>
        <w:pageBreakBefore w:val="0"/>
        <w:kinsoku/>
        <w:wordWrap/>
        <w:overflowPunct/>
        <w:topLinePunct w:val="0"/>
        <w:autoSpaceDE/>
        <w:autoSpaceDN/>
        <w:bidi w:val="0"/>
        <w:spacing w:before="0" w:after="0" w:line="560" w:lineRule="exact"/>
        <w:jc w:val="center"/>
        <w:rPr>
          <w:rFonts w:hint="eastAsia" w:ascii="方正小标宋_GBK" w:hAnsi="方正小标宋_GBK" w:eastAsia="方正小标宋_GBK" w:cs="方正小标宋_GBK"/>
          <w:color w:val="auto"/>
          <w:sz w:val="44"/>
          <w:szCs w:val="44"/>
          <w:highlight w:val="none"/>
        </w:rPr>
      </w:pPr>
    </w:p>
    <w:p>
      <w:pPr>
        <w:pStyle w:val="4"/>
        <w:pageBreakBefore w:val="0"/>
        <w:kinsoku/>
        <w:wordWrap/>
        <w:overflowPunct/>
        <w:topLinePunct w:val="0"/>
        <w:autoSpaceDE/>
        <w:autoSpaceDN/>
        <w:bidi w:val="0"/>
        <w:spacing w:before="0" w:after="0" w:line="560" w:lineRule="exact"/>
        <w:jc w:val="center"/>
        <w:rPr>
          <w:rFonts w:hint="eastAsia" w:ascii="方正小标宋_GBK" w:hAnsi="方正小标宋_GBK" w:eastAsia="方正小标宋_GBK" w:cs="方正小标宋_GBK"/>
          <w:color w:val="auto"/>
          <w:sz w:val="44"/>
          <w:szCs w:val="44"/>
          <w:highlight w:val="none"/>
        </w:rPr>
      </w:pPr>
    </w:p>
    <w:p>
      <w:pPr>
        <w:pStyle w:val="4"/>
        <w:pageBreakBefore w:val="0"/>
        <w:kinsoku/>
        <w:wordWrap/>
        <w:overflowPunct/>
        <w:topLinePunct w:val="0"/>
        <w:autoSpaceDE/>
        <w:autoSpaceDN/>
        <w:bidi w:val="0"/>
        <w:spacing w:before="0" w:after="0" w:line="560" w:lineRule="exact"/>
        <w:jc w:val="center"/>
        <w:rPr>
          <w:rFonts w:hint="eastAsia" w:ascii="方正小标宋_GBK" w:hAnsi="方正小标宋_GBK" w:eastAsia="方正小标宋_GBK" w:cs="方正小标宋_GBK"/>
          <w:color w:val="auto"/>
          <w:sz w:val="44"/>
          <w:szCs w:val="44"/>
          <w:highlight w:val="none"/>
        </w:rPr>
      </w:pPr>
    </w:p>
    <w:p>
      <w:pPr>
        <w:rPr>
          <w:rFonts w:hint="eastAsia" w:ascii="方正小标宋_GBK" w:hAnsi="方正小标宋_GBK" w:eastAsia="方正小标宋_GBK" w:cs="方正小标宋_GBK"/>
          <w:color w:val="auto"/>
          <w:sz w:val="44"/>
          <w:szCs w:val="44"/>
          <w:highlight w:val="none"/>
        </w:rPr>
      </w:pPr>
      <w:r>
        <w:rPr>
          <w:rFonts w:hint="eastAsia" w:ascii="方正小标宋_GBK" w:hAnsi="方正小标宋_GBK" w:eastAsia="方正小标宋_GBK" w:cs="方正小标宋_GBK"/>
          <w:color w:val="auto"/>
          <w:sz w:val="44"/>
          <w:szCs w:val="44"/>
          <w:highlight w:val="none"/>
        </w:rPr>
        <w:br w:type="page"/>
      </w:r>
    </w:p>
    <w:p>
      <w:pPr>
        <w:pStyle w:val="4"/>
        <w:pageBreakBefore w:val="0"/>
        <w:kinsoku/>
        <w:wordWrap/>
        <w:overflowPunct/>
        <w:topLinePunct w:val="0"/>
        <w:autoSpaceDE/>
        <w:autoSpaceDN/>
        <w:bidi w:val="0"/>
        <w:spacing w:before="0" w:after="0" w:line="560" w:lineRule="exact"/>
        <w:jc w:val="center"/>
        <w:rPr>
          <w:color w:val="auto"/>
          <w:highlight w:val="none"/>
        </w:rPr>
      </w:pPr>
      <w:r>
        <w:rPr>
          <w:rFonts w:hint="eastAsia" w:ascii="方正小标宋_GBK" w:hAnsi="方正小标宋_GBK" w:eastAsia="方正小标宋_GBK" w:cs="方正小标宋_GBK"/>
          <w:color w:val="auto"/>
          <w:sz w:val="44"/>
          <w:szCs w:val="44"/>
          <w:highlight w:val="none"/>
        </w:rPr>
        <w:t>前</w:t>
      </w:r>
      <w:r>
        <w:rPr>
          <w:rFonts w:hint="eastAsia" w:ascii="方正小标宋_GBK" w:hAnsi="方正小标宋_GBK" w:eastAsia="方正小标宋_GBK" w:cs="方正小标宋_GBK"/>
          <w:color w:val="auto"/>
          <w:sz w:val="44"/>
          <w:szCs w:val="44"/>
          <w:highlight w:val="none"/>
          <w:lang w:val="en-US" w:eastAsia="zh-CN"/>
        </w:rPr>
        <w:t xml:space="preserve">  </w:t>
      </w:r>
      <w:r>
        <w:rPr>
          <w:rFonts w:hint="eastAsia" w:ascii="方正小标宋_GBK" w:hAnsi="方正小标宋_GBK" w:eastAsia="方正小标宋_GBK" w:cs="方正小标宋_GBK"/>
          <w:color w:val="auto"/>
          <w:sz w:val="44"/>
          <w:szCs w:val="44"/>
          <w:highlight w:val="none"/>
        </w:rPr>
        <w:t>言</w:t>
      </w:r>
    </w:p>
    <w:p>
      <w:pPr>
        <w:pageBreakBefore w:val="0"/>
        <w:kinsoku/>
        <w:wordWrap/>
        <w:overflowPunct/>
        <w:topLinePunct w:val="0"/>
        <w:autoSpaceDE/>
        <w:autoSpaceDN/>
        <w:bidi w:val="0"/>
        <w:snapToGrid w:val="0"/>
        <w:spacing w:line="560" w:lineRule="exact"/>
        <w:ind w:firstLine="640" w:firstLineChars="200"/>
        <w:jc w:val="left"/>
        <w:rPr>
          <w:rFonts w:hint="eastAsia" w:ascii="方正仿宋_GBK" w:hAnsi="方正仿宋_GBK" w:eastAsia="方正仿宋_GBK" w:cs="方正仿宋_GBK"/>
          <w:color w:val="auto"/>
          <w:sz w:val="32"/>
          <w:szCs w:val="32"/>
          <w:highlight w:val="none"/>
        </w:rPr>
      </w:pPr>
    </w:p>
    <w:p>
      <w:pPr>
        <w:pageBreakBefore w:val="0"/>
        <w:kinsoku/>
        <w:wordWrap/>
        <w:overflowPunct/>
        <w:topLinePunct w:val="0"/>
        <w:autoSpaceDE/>
        <w:autoSpaceDN/>
        <w:bidi w:val="0"/>
        <w:snapToGrid w:val="0"/>
        <w:spacing w:line="560" w:lineRule="exact"/>
        <w:ind w:firstLine="640" w:firstLineChars="200"/>
        <w:jc w:val="left"/>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十三五”期间，鹤山市委、市政府积极应对人口老龄化问题，将发展养老服务产业、提高养老服务水平、建构适老化社会纳入重点民生工作。五年间，鹤山市在推动养老机构发展、促进医养结合、切实提高老人福利待遇等方面进行了行之有效的探索，初步构建了以居家为基础、社区为依托、机构为补充、医养康养相结合的多元化养老服务体系。养老</w:t>
      </w:r>
      <w:r>
        <w:rPr>
          <w:rFonts w:hint="eastAsia" w:ascii="方正仿宋_GBK" w:hAnsi="方正仿宋_GBK" w:eastAsia="方正仿宋_GBK" w:cs="方正仿宋_GBK"/>
          <w:color w:val="auto"/>
          <w:sz w:val="32"/>
          <w:szCs w:val="32"/>
          <w:highlight w:val="none"/>
          <w:lang w:eastAsia="zh-CN"/>
        </w:rPr>
        <w:t>服务</w:t>
      </w:r>
      <w:r>
        <w:rPr>
          <w:rFonts w:hint="eastAsia" w:ascii="方正仿宋_GBK" w:hAnsi="方正仿宋_GBK" w:eastAsia="方正仿宋_GBK" w:cs="方正仿宋_GBK"/>
          <w:color w:val="auto"/>
          <w:sz w:val="32"/>
          <w:szCs w:val="32"/>
          <w:highlight w:val="none"/>
        </w:rPr>
        <w:t>工作取得一定成效。</w:t>
      </w:r>
    </w:p>
    <w:p>
      <w:pPr>
        <w:pageBreakBefore w:val="0"/>
        <w:kinsoku/>
        <w:wordWrap/>
        <w:overflowPunct/>
        <w:topLinePunct w:val="0"/>
        <w:autoSpaceDE/>
        <w:autoSpaceDN/>
        <w:bidi w:val="0"/>
        <w:snapToGrid w:val="0"/>
        <w:spacing w:line="560" w:lineRule="exact"/>
        <w:ind w:firstLine="640" w:firstLineChars="200"/>
        <w:jc w:val="left"/>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“十四五”时期是我国建成小康社会，实现第一个百年奋斗目标之后，开启全面建设社会主义现代化国家新征程、向第二个百年目标进军的第一个五年。随着人口老龄化问题愈加凸显，养老</w:t>
      </w:r>
      <w:r>
        <w:rPr>
          <w:rFonts w:hint="eastAsia" w:ascii="方正仿宋_GBK" w:hAnsi="方正仿宋_GBK" w:eastAsia="方正仿宋_GBK" w:cs="方正仿宋_GBK"/>
          <w:color w:val="auto"/>
          <w:sz w:val="32"/>
          <w:szCs w:val="32"/>
          <w:highlight w:val="none"/>
          <w:lang w:eastAsia="zh-CN"/>
        </w:rPr>
        <w:t>服务</w:t>
      </w:r>
      <w:r>
        <w:rPr>
          <w:rFonts w:hint="eastAsia" w:ascii="方正仿宋_GBK" w:hAnsi="方正仿宋_GBK" w:eastAsia="方正仿宋_GBK" w:cs="方正仿宋_GBK"/>
          <w:color w:val="auto"/>
          <w:sz w:val="32"/>
          <w:szCs w:val="32"/>
          <w:highlight w:val="none"/>
        </w:rPr>
        <w:t>工作已经成为横跨民生及经济两大领域的重要工作。加强养老服务体系建设的顶层设计与全面布局既有利于凝聚社会力量，全面提高老年人福祉，有效应对人口老龄化问题；也有利于增加就业岗位、拉动消费，更好实现小康社会建设目标。</w:t>
      </w:r>
    </w:p>
    <w:p>
      <w:pPr>
        <w:pageBreakBefore w:val="0"/>
        <w:kinsoku/>
        <w:wordWrap/>
        <w:overflowPunct/>
        <w:topLinePunct w:val="0"/>
        <w:autoSpaceDE/>
        <w:autoSpaceDN/>
        <w:bidi w:val="0"/>
        <w:snapToGrid w:val="0"/>
        <w:spacing w:line="560" w:lineRule="exact"/>
        <w:ind w:firstLine="640" w:firstLineChars="200"/>
        <w:jc w:val="left"/>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2020年8月，习近平总书记对如何做好“十四五”规划编制工作做出重要指示。他强调编制工作应把加强顶层设计和坚持“问计于民”统一起来，使之既满足社会需求、又聚合人民智慧与各界力量。鹤山市养老服务体系“十四五”规划的编制贯彻了习近平总书记的重要指示精神，立足地方、开门问策，紧抓粤港澳大湾区建设和支持深圳建设中国特色社会主义先行示范区的重大机遇，以完善区域养老产业布局、夯实养老服务质量、提升养老服务水平为抓手，建构</w:t>
      </w:r>
      <w:r>
        <w:rPr>
          <w:rStyle w:val="28"/>
          <w:rFonts w:hint="eastAsia" w:ascii="方正仿宋_GBK" w:hAnsi="方正仿宋_GBK" w:eastAsia="方正仿宋_GBK" w:cs="方正仿宋_GBK"/>
          <w:color w:val="auto"/>
          <w:sz w:val="32"/>
          <w:szCs w:val="32"/>
          <w:highlight w:val="none"/>
        </w:rPr>
        <w:t>居家社区机构相协调、医养康养相结合、</w:t>
      </w:r>
      <w:r>
        <w:rPr>
          <w:rFonts w:hint="eastAsia" w:ascii="方正仿宋_GBK" w:hAnsi="方正仿宋_GBK" w:eastAsia="方正仿宋_GBK" w:cs="方正仿宋_GBK"/>
          <w:color w:val="auto"/>
          <w:sz w:val="32"/>
          <w:szCs w:val="32"/>
          <w:highlight w:val="none"/>
        </w:rPr>
        <w:t>具有鹤山特色的大养老体系，全面推动鹤山养老</w:t>
      </w:r>
      <w:r>
        <w:rPr>
          <w:rFonts w:hint="eastAsia" w:ascii="方正仿宋_GBK" w:hAnsi="方正仿宋_GBK" w:eastAsia="方正仿宋_GBK" w:cs="方正仿宋_GBK"/>
          <w:color w:val="auto"/>
          <w:sz w:val="32"/>
          <w:szCs w:val="32"/>
          <w:highlight w:val="none"/>
          <w:lang w:eastAsia="zh-CN"/>
        </w:rPr>
        <w:t>服务</w:t>
      </w:r>
      <w:r>
        <w:rPr>
          <w:rFonts w:hint="eastAsia" w:ascii="方正仿宋_GBK" w:hAnsi="方正仿宋_GBK" w:eastAsia="方正仿宋_GBK" w:cs="方正仿宋_GBK"/>
          <w:color w:val="auto"/>
          <w:sz w:val="32"/>
          <w:szCs w:val="32"/>
          <w:highlight w:val="none"/>
        </w:rPr>
        <w:t>工作的高质量发展。规划期为2021年至2025年。</w:t>
      </w:r>
    </w:p>
    <w:p>
      <w:pPr>
        <w:pStyle w:val="2"/>
        <w:pageBreakBefore w:val="0"/>
        <w:kinsoku/>
        <w:wordWrap/>
        <w:overflowPunct/>
        <w:topLinePunct w:val="0"/>
        <w:autoSpaceDE/>
        <w:autoSpaceDN/>
        <w:bidi w:val="0"/>
        <w:spacing w:line="560" w:lineRule="exact"/>
        <w:ind w:left="0" w:leftChars="0" w:firstLine="0" w:firstLineChars="0"/>
        <w:rPr>
          <w:rFonts w:hint="eastAsia" w:ascii="方正仿宋_GBK" w:hAnsi="方正仿宋_GBK" w:eastAsia="方正仿宋_GBK" w:cs="方正仿宋_GBK"/>
          <w:color w:val="auto"/>
          <w:highlight w:val="none"/>
        </w:rPr>
      </w:pPr>
    </w:p>
    <w:p>
      <w:pPr>
        <w:rPr>
          <w:rFonts w:hint="eastAsia" w:ascii="方正仿宋_GBK" w:hAnsi="方正仿宋_GBK" w:eastAsia="方正仿宋_GBK" w:cs="方正仿宋_GBK"/>
          <w:color w:val="auto"/>
          <w:sz w:val="32"/>
          <w:szCs w:val="32"/>
          <w:highlight w:val="none"/>
        </w:rPr>
      </w:pPr>
    </w:p>
    <w:p>
      <w:pPr>
        <w:pStyle w:val="4"/>
        <w:pageBreakBefore w:val="0"/>
        <w:kinsoku/>
        <w:wordWrap/>
        <w:overflowPunct/>
        <w:topLinePunct w:val="0"/>
        <w:autoSpaceDE/>
        <w:autoSpaceDN/>
        <w:bidi w:val="0"/>
        <w:spacing w:line="560" w:lineRule="exact"/>
        <w:jc w:val="center"/>
        <w:rPr>
          <w:rFonts w:hint="eastAsia" w:ascii="方正仿宋_GBK" w:hAnsi="方正仿宋_GBK" w:eastAsia="方正仿宋_GBK" w:cs="方正仿宋_GBK"/>
          <w:color w:val="auto"/>
          <w:sz w:val="32"/>
          <w:szCs w:val="32"/>
          <w:highlight w:val="none"/>
        </w:rPr>
      </w:pPr>
    </w:p>
    <w:p>
      <w:pPr>
        <w:pStyle w:val="4"/>
        <w:pageBreakBefore w:val="0"/>
        <w:kinsoku/>
        <w:wordWrap/>
        <w:overflowPunct/>
        <w:topLinePunct w:val="0"/>
        <w:autoSpaceDE/>
        <w:autoSpaceDN/>
        <w:bidi w:val="0"/>
        <w:spacing w:line="560" w:lineRule="exact"/>
        <w:jc w:val="center"/>
        <w:rPr>
          <w:rFonts w:hint="eastAsia" w:ascii="方正仿宋_GBK" w:hAnsi="方正仿宋_GBK" w:eastAsia="方正仿宋_GBK" w:cs="方正仿宋_GBK"/>
          <w:color w:val="auto"/>
          <w:sz w:val="32"/>
          <w:szCs w:val="32"/>
          <w:highlight w:val="none"/>
        </w:rPr>
      </w:pPr>
    </w:p>
    <w:p>
      <w:pPr>
        <w:pStyle w:val="4"/>
        <w:pageBreakBefore w:val="0"/>
        <w:kinsoku/>
        <w:wordWrap/>
        <w:overflowPunct/>
        <w:topLinePunct w:val="0"/>
        <w:autoSpaceDE/>
        <w:autoSpaceDN/>
        <w:bidi w:val="0"/>
        <w:spacing w:line="560" w:lineRule="exact"/>
        <w:jc w:val="center"/>
        <w:rPr>
          <w:rFonts w:hint="eastAsia" w:ascii="方正仿宋_GBK" w:hAnsi="方正仿宋_GBK" w:eastAsia="方正仿宋_GBK" w:cs="方正仿宋_GBK"/>
          <w:color w:val="auto"/>
          <w:sz w:val="32"/>
          <w:szCs w:val="32"/>
          <w:highlight w:val="none"/>
        </w:rPr>
      </w:pPr>
    </w:p>
    <w:p>
      <w:pPr>
        <w:pStyle w:val="4"/>
        <w:pageBreakBefore w:val="0"/>
        <w:kinsoku/>
        <w:wordWrap/>
        <w:overflowPunct/>
        <w:topLinePunct w:val="0"/>
        <w:autoSpaceDE/>
        <w:autoSpaceDN/>
        <w:bidi w:val="0"/>
        <w:spacing w:line="560" w:lineRule="exact"/>
        <w:jc w:val="center"/>
        <w:rPr>
          <w:rFonts w:hint="eastAsia" w:ascii="方正仿宋_GBK" w:hAnsi="方正仿宋_GBK" w:eastAsia="方正仿宋_GBK" w:cs="方正仿宋_GBK"/>
          <w:color w:val="auto"/>
          <w:sz w:val="32"/>
          <w:szCs w:val="32"/>
          <w:highlight w:val="none"/>
        </w:rPr>
      </w:pPr>
    </w:p>
    <w:p>
      <w:pPr>
        <w:pStyle w:val="4"/>
        <w:pageBreakBefore w:val="0"/>
        <w:kinsoku/>
        <w:wordWrap/>
        <w:overflowPunct/>
        <w:topLinePunct w:val="0"/>
        <w:autoSpaceDE/>
        <w:autoSpaceDN/>
        <w:bidi w:val="0"/>
        <w:spacing w:line="560" w:lineRule="exact"/>
        <w:jc w:val="center"/>
        <w:rPr>
          <w:rFonts w:hint="eastAsia" w:ascii="方正仿宋_GBK" w:hAnsi="方正仿宋_GBK" w:eastAsia="方正仿宋_GBK" w:cs="方正仿宋_GBK"/>
          <w:color w:val="auto"/>
          <w:sz w:val="32"/>
          <w:szCs w:val="32"/>
          <w:highlight w:val="none"/>
        </w:rPr>
      </w:pPr>
    </w:p>
    <w:p>
      <w:pPr>
        <w:pStyle w:val="4"/>
        <w:pageBreakBefore w:val="0"/>
        <w:kinsoku/>
        <w:wordWrap/>
        <w:overflowPunct/>
        <w:topLinePunct w:val="0"/>
        <w:autoSpaceDE/>
        <w:autoSpaceDN/>
        <w:bidi w:val="0"/>
        <w:spacing w:line="560" w:lineRule="exact"/>
        <w:jc w:val="center"/>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rPr>
        <w:br w:type="column"/>
      </w:r>
      <w:r>
        <w:rPr>
          <w:rFonts w:hint="eastAsia" w:ascii="方正黑体_GBK" w:hAnsi="方正黑体_GBK" w:eastAsia="方正黑体_GBK" w:cs="方正黑体_GBK"/>
          <w:color w:val="auto"/>
          <w:sz w:val="44"/>
          <w:szCs w:val="44"/>
          <w:highlight w:val="none"/>
        </w:rPr>
        <w:t xml:space="preserve">第一章 </w:t>
      </w:r>
      <w:r>
        <w:rPr>
          <w:rFonts w:hint="eastAsia" w:ascii="方正黑体_GBK" w:hAnsi="方正黑体_GBK" w:eastAsia="方正黑体_GBK" w:cs="方正黑体_GBK"/>
          <w:color w:val="auto"/>
          <w:sz w:val="44"/>
          <w:szCs w:val="44"/>
          <w:highlight w:val="none"/>
          <w:lang w:val="en-US" w:eastAsia="zh-CN"/>
        </w:rPr>
        <w:t>规划背景</w:t>
      </w:r>
    </w:p>
    <w:p>
      <w:pPr>
        <w:pStyle w:val="5"/>
        <w:keepNext/>
        <w:keepLines/>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方正楷体_GBK" w:hAnsi="方正楷体_GBK" w:eastAsia="方正楷体_GBK" w:cs="方正楷体_GBK"/>
          <w:color w:val="auto"/>
          <w:sz w:val="32"/>
          <w:szCs w:val="32"/>
          <w:highlight w:val="none"/>
          <w:lang w:val="en-US" w:eastAsia="zh-CN"/>
        </w:rPr>
      </w:pPr>
      <w:r>
        <w:rPr>
          <w:rFonts w:hint="eastAsia" w:ascii="方正楷体_GBK" w:hAnsi="方正楷体_GBK" w:eastAsia="方正楷体_GBK" w:cs="方正楷体_GBK"/>
          <w:color w:val="auto"/>
          <w:sz w:val="32"/>
          <w:szCs w:val="32"/>
          <w:highlight w:val="none"/>
          <w:lang w:val="en-US" w:eastAsia="zh-CN"/>
        </w:rPr>
        <w:t>一、</w:t>
      </w:r>
      <w:r>
        <w:rPr>
          <w:rFonts w:hint="eastAsia" w:ascii="方正楷体_GBK" w:hAnsi="方正楷体_GBK" w:eastAsia="方正楷体_GBK" w:cs="方正楷体_GBK"/>
          <w:color w:val="auto"/>
          <w:sz w:val="32"/>
          <w:szCs w:val="32"/>
          <w:highlight w:val="none"/>
        </w:rPr>
        <w:t>发展</w:t>
      </w:r>
      <w:r>
        <w:rPr>
          <w:rFonts w:hint="eastAsia" w:ascii="方正楷体_GBK" w:hAnsi="方正楷体_GBK" w:eastAsia="方正楷体_GBK" w:cs="方正楷体_GBK"/>
          <w:color w:val="auto"/>
          <w:sz w:val="32"/>
          <w:szCs w:val="32"/>
          <w:highlight w:val="none"/>
          <w:lang w:val="en-US" w:eastAsia="zh-CN"/>
        </w:rPr>
        <w:t>与成就</w:t>
      </w:r>
    </w:p>
    <w:p>
      <w:pPr>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十三五期间，鹤山市贯彻落实省市两级政府的养老</w:t>
      </w:r>
      <w:r>
        <w:rPr>
          <w:rFonts w:hint="eastAsia" w:ascii="方正仿宋_GBK" w:hAnsi="方正仿宋_GBK" w:eastAsia="方正仿宋_GBK" w:cs="方正仿宋_GBK"/>
          <w:color w:val="auto"/>
          <w:sz w:val="32"/>
          <w:szCs w:val="32"/>
          <w:highlight w:val="none"/>
          <w:lang w:eastAsia="zh-CN"/>
        </w:rPr>
        <w:t>服务</w:t>
      </w:r>
      <w:r>
        <w:rPr>
          <w:rFonts w:hint="eastAsia" w:ascii="方正仿宋_GBK" w:hAnsi="方正仿宋_GBK" w:eastAsia="方正仿宋_GBK" w:cs="方正仿宋_GBK"/>
          <w:color w:val="auto"/>
          <w:sz w:val="32"/>
          <w:szCs w:val="32"/>
          <w:highlight w:val="none"/>
        </w:rPr>
        <w:t>工作要求、全面提升养老服务水平，初步建立了多元化的养老服务体系。</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jc w:val="left"/>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bCs/>
          <w:color w:val="auto"/>
          <w:sz w:val="32"/>
          <w:szCs w:val="32"/>
          <w:highlight w:val="none"/>
          <w:lang w:val="en-US" w:eastAsia="zh-CN"/>
        </w:rPr>
        <w:t>1.</w:t>
      </w:r>
      <w:r>
        <w:rPr>
          <w:rFonts w:hint="eastAsia" w:ascii="方正仿宋_GBK" w:hAnsi="方正仿宋_GBK" w:eastAsia="方正仿宋_GBK" w:cs="方正仿宋_GBK"/>
          <w:b/>
          <w:bCs/>
          <w:color w:val="auto"/>
          <w:sz w:val="32"/>
          <w:szCs w:val="32"/>
          <w:highlight w:val="none"/>
        </w:rPr>
        <w:t>健全养老服务体制机制</w:t>
      </w:r>
      <w:r>
        <w:rPr>
          <w:rFonts w:hint="eastAsia" w:ascii="方正仿宋_GBK" w:hAnsi="方正仿宋_GBK" w:eastAsia="方正仿宋_GBK" w:cs="方正仿宋_GBK"/>
          <w:b/>
          <w:bCs/>
          <w:color w:val="auto"/>
          <w:sz w:val="32"/>
          <w:szCs w:val="32"/>
          <w:highlight w:val="none"/>
          <w:lang w:eastAsia="zh-CN"/>
        </w:rPr>
        <w:t>。</w:t>
      </w:r>
      <w:r>
        <w:rPr>
          <w:rFonts w:hint="eastAsia" w:ascii="方正仿宋_GBK" w:hAnsi="方正仿宋_GBK" w:eastAsia="方正仿宋_GBK" w:cs="方正仿宋_GBK"/>
          <w:b w:val="0"/>
          <w:bCs w:val="0"/>
          <w:color w:val="auto"/>
          <w:kern w:val="2"/>
          <w:sz w:val="32"/>
          <w:szCs w:val="32"/>
          <w:highlight w:val="none"/>
          <w:lang w:val="en-US" w:eastAsia="zh-CN" w:bidi="ar-SA"/>
        </w:rPr>
        <w:t>在全面贯彻落实省市两级政府提出的关于“发展医养结合”、“发展康养”、“提升养老机构服务质量”、“发展居家社区养老”等工作要求的基础上，根据本市特点，先后出台了包括《鹤山市养老扶残设施布局专项规划（2015—2020）》、养老机构服务质量提升、老年人能力评估、留守老人巡访、高龄老人补贴、平安通、乘车优惠在内等系列养老服务工作政策及惠老政策，初步建立了符合鹤山实际的养老服务政策体系，保障了“十三五”期间养老服务工作的高质量发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jc w:val="left"/>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b/>
          <w:bCs/>
          <w:i w:val="0"/>
          <w:iCs w:val="0"/>
          <w:color w:val="auto"/>
          <w:sz w:val="32"/>
          <w:szCs w:val="32"/>
          <w:highlight w:val="none"/>
          <w:lang w:val="en-US" w:eastAsia="zh-CN"/>
        </w:rPr>
        <w:t>2.加速提升机构养老服务水平。</w:t>
      </w:r>
      <w:r>
        <w:rPr>
          <w:rFonts w:hint="eastAsia" w:ascii="方正仿宋_GBK" w:hAnsi="方正仿宋_GBK" w:eastAsia="方正仿宋_GBK" w:cs="方正仿宋_GBK"/>
          <w:color w:val="auto"/>
          <w:sz w:val="32"/>
          <w:szCs w:val="32"/>
          <w:highlight w:val="none"/>
        </w:rPr>
        <w:t>“十三五”期间我市共有养老机构1</w:t>
      </w:r>
      <w:r>
        <w:rPr>
          <w:rFonts w:hint="eastAsia" w:ascii="方正仿宋_GBK" w:hAnsi="方正仿宋_GBK" w:eastAsia="方正仿宋_GBK" w:cs="方正仿宋_GBK"/>
          <w:color w:val="auto"/>
          <w:sz w:val="32"/>
          <w:szCs w:val="32"/>
          <w:highlight w:val="none"/>
          <w:lang w:val="en-US" w:eastAsia="zh-CN"/>
        </w:rPr>
        <w:t>4</w:t>
      </w:r>
      <w:r>
        <w:rPr>
          <w:rFonts w:hint="eastAsia" w:ascii="方正仿宋_GBK" w:hAnsi="方正仿宋_GBK" w:eastAsia="方正仿宋_GBK" w:cs="方正仿宋_GBK"/>
          <w:color w:val="auto"/>
          <w:sz w:val="32"/>
          <w:szCs w:val="32"/>
          <w:highlight w:val="none"/>
        </w:rPr>
        <w:t>家，包括</w:t>
      </w:r>
      <w:r>
        <w:rPr>
          <w:rFonts w:hint="eastAsia" w:ascii="方正仿宋_GBK" w:hAnsi="方正仿宋_GBK" w:eastAsia="方正仿宋_GBK" w:cs="方正仿宋_GBK"/>
          <w:color w:val="auto"/>
          <w:sz w:val="32"/>
          <w:szCs w:val="32"/>
          <w:highlight w:val="none"/>
          <w:lang w:val="en-US" w:eastAsia="zh-CN"/>
        </w:rPr>
        <w:t>4</w:t>
      </w:r>
      <w:r>
        <w:rPr>
          <w:rFonts w:hint="eastAsia" w:ascii="方正仿宋_GBK" w:hAnsi="方正仿宋_GBK" w:eastAsia="方正仿宋_GBK" w:cs="方正仿宋_GBK"/>
          <w:color w:val="auto"/>
          <w:sz w:val="32"/>
          <w:szCs w:val="32"/>
          <w:highlight w:val="none"/>
        </w:rPr>
        <w:t>家公建民营、</w:t>
      </w:r>
      <w:r>
        <w:rPr>
          <w:rFonts w:hint="eastAsia" w:ascii="方正仿宋_GBK" w:hAnsi="方正仿宋_GBK" w:eastAsia="方正仿宋_GBK" w:cs="方正仿宋_GBK"/>
          <w:color w:val="auto"/>
          <w:sz w:val="32"/>
          <w:szCs w:val="32"/>
          <w:highlight w:val="none"/>
          <w:lang w:val="en-US" w:eastAsia="zh-CN"/>
        </w:rPr>
        <w:t>8</w:t>
      </w:r>
      <w:r>
        <w:rPr>
          <w:rFonts w:hint="eastAsia" w:ascii="方正仿宋_GBK" w:hAnsi="方正仿宋_GBK" w:eastAsia="方正仿宋_GBK" w:cs="方正仿宋_GBK"/>
          <w:color w:val="auto"/>
          <w:sz w:val="32"/>
          <w:szCs w:val="32"/>
          <w:highlight w:val="none"/>
        </w:rPr>
        <w:t>家公办以及2家民办机构。通过“公建民营”模式，鼓励社会组织以委托管理方式运营公有产权的养老服务设施</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近年来共引入社会资本约1700万元，对雅瑶镇敬老院、龙口镇敬老院、沙坪街道敬老院、鹤城镇敬老院进行升级改造</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为提升机构服务质量，我市组织开展养老院服务质量大检查及“回头看”</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“再回头看”等专项行动对机构的</w:t>
      </w:r>
      <w:r>
        <w:rPr>
          <w:rFonts w:hint="eastAsia" w:ascii="方正仿宋_GBK" w:hAnsi="方正仿宋_GBK" w:eastAsia="方正仿宋_GBK" w:cs="方正仿宋_GBK"/>
          <w:color w:val="auto"/>
          <w:sz w:val="32"/>
          <w:szCs w:val="32"/>
          <w:highlight w:val="none"/>
          <w:lang w:eastAsia="zh-CN"/>
        </w:rPr>
        <w:t>管理、</w:t>
      </w:r>
      <w:r>
        <w:rPr>
          <w:rFonts w:hint="eastAsia" w:ascii="方正仿宋_GBK" w:hAnsi="方正仿宋_GBK" w:eastAsia="方正仿宋_GBK" w:cs="方正仿宋_GBK"/>
          <w:color w:val="auto"/>
          <w:sz w:val="32"/>
          <w:szCs w:val="32"/>
          <w:highlight w:val="none"/>
        </w:rPr>
        <w:t>服务、安全、配套设施等方面进行检查，</w:t>
      </w:r>
      <w:r>
        <w:rPr>
          <w:rFonts w:hint="eastAsia" w:ascii="方正仿宋_GBK" w:hAnsi="方正仿宋_GBK" w:eastAsia="方正仿宋_GBK" w:cs="方正仿宋_GBK"/>
          <w:color w:val="auto"/>
          <w:sz w:val="32"/>
          <w:szCs w:val="32"/>
          <w:highlight w:val="none"/>
          <w:u w:val="none"/>
          <w:lang w:eastAsia="zh-CN"/>
        </w:rPr>
        <w:t>推动养老服务</w:t>
      </w:r>
      <w:r>
        <w:rPr>
          <w:rFonts w:hint="eastAsia" w:ascii="方正仿宋_GBK" w:hAnsi="方正仿宋_GBK" w:eastAsia="方正仿宋_GBK" w:cs="方正仿宋_GBK"/>
          <w:color w:val="auto"/>
          <w:sz w:val="32"/>
          <w:szCs w:val="32"/>
          <w:highlight w:val="none"/>
          <w:u w:val="none"/>
        </w:rPr>
        <w:t>机构落实安全责任</w:t>
      </w:r>
      <w:r>
        <w:rPr>
          <w:rFonts w:hint="eastAsia" w:ascii="方正仿宋_GBK" w:hAnsi="方正仿宋_GBK" w:eastAsia="方正仿宋_GBK" w:cs="方正仿宋_GBK"/>
          <w:color w:val="auto"/>
          <w:sz w:val="32"/>
          <w:szCs w:val="32"/>
          <w:highlight w:val="none"/>
          <w:u w:val="none"/>
          <w:lang w:eastAsia="zh-CN"/>
        </w:rPr>
        <w:t>；加强养老服务机构全方位保障，实施</w:t>
      </w:r>
      <w:r>
        <w:rPr>
          <w:rFonts w:hint="eastAsia" w:ascii="方正仿宋_GBK" w:hAnsi="方正仿宋_GBK" w:eastAsia="方正仿宋_GBK" w:cs="方正仿宋_GBK"/>
          <w:color w:val="auto"/>
          <w:sz w:val="32"/>
          <w:szCs w:val="32"/>
          <w:highlight w:val="none"/>
          <w:u w:val="none"/>
        </w:rPr>
        <w:t>责任保险统保工作；</w:t>
      </w:r>
      <w:r>
        <w:rPr>
          <w:rFonts w:hint="eastAsia" w:ascii="方正仿宋_GBK" w:hAnsi="方正仿宋_GBK" w:eastAsia="方正仿宋_GBK" w:cs="方正仿宋_GBK"/>
          <w:color w:val="auto"/>
          <w:sz w:val="32"/>
          <w:szCs w:val="32"/>
          <w:highlight w:val="none"/>
        </w:rPr>
        <w:t>通过财政拨款</w:t>
      </w:r>
      <w:r>
        <w:rPr>
          <w:rFonts w:hint="eastAsia" w:ascii="方正仿宋_GBK" w:hAnsi="方正仿宋_GBK" w:eastAsia="方正仿宋_GBK" w:cs="方正仿宋_GBK"/>
          <w:color w:val="auto"/>
          <w:sz w:val="32"/>
          <w:szCs w:val="32"/>
          <w:highlight w:val="none"/>
          <w:lang w:eastAsia="zh-CN"/>
        </w:rPr>
        <w:t>和</w:t>
      </w:r>
      <w:r>
        <w:rPr>
          <w:rFonts w:hint="eastAsia" w:ascii="方正仿宋_GBK" w:hAnsi="方正仿宋_GBK" w:eastAsia="方正仿宋_GBK" w:cs="方正仿宋_GBK"/>
          <w:color w:val="auto"/>
          <w:sz w:val="32"/>
          <w:szCs w:val="32"/>
          <w:highlight w:val="none"/>
        </w:rPr>
        <w:t>引入社会资本等方式深化公办养老机构改革，提升公办机构服务质量</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积极探索民办养老机构建设，通过政策指导</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及时兑现优惠政策等措施，于2016年</w:t>
      </w:r>
      <w:r>
        <w:rPr>
          <w:rFonts w:hint="eastAsia" w:ascii="方正仿宋_GBK" w:hAnsi="方正仿宋_GBK" w:eastAsia="方正仿宋_GBK" w:cs="方正仿宋_GBK"/>
          <w:color w:val="auto"/>
          <w:sz w:val="32"/>
          <w:szCs w:val="32"/>
          <w:highlight w:val="none"/>
          <w:lang w:eastAsia="zh-CN"/>
        </w:rPr>
        <w:t>和</w:t>
      </w:r>
      <w:r>
        <w:rPr>
          <w:rFonts w:hint="eastAsia" w:ascii="方正仿宋_GBK" w:hAnsi="方正仿宋_GBK" w:eastAsia="方正仿宋_GBK" w:cs="方正仿宋_GBK"/>
          <w:color w:val="auto"/>
          <w:sz w:val="32"/>
          <w:szCs w:val="32"/>
          <w:highlight w:val="none"/>
          <w:lang w:val="en-US" w:eastAsia="zh-CN"/>
        </w:rPr>
        <w:t>2019年分别</w:t>
      </w:r>
      <w:r>
        <w:rPr>
          <w:rFonts w:hint="eastAsia" w:ascii="方正仿宋_GBK" w:hAnsi="方正仿宋_GBK" w:eastAsia="方正仿宋_GBK" w:cs="方正仿宋_GBK"/>
          <w:color w:val="auto"/>
          <w:sz w:val="32"/>
          <w:szCs w:val="32"/>
          <w:highlight w:val="none"/>
        </w:rPr>
        <w:t>引进社会资本1800多万元</w:t>
      </w:r>
      <w:r>
        <w:rPr>
          <w:rFonts w:hint="eastAsia" w:ascii="方正仿宋_GBK" w:hAnsi="方正仿宋_GBK" w:eastAsia="方正仿宋_GBK" w:cs="方正仿宋_GBK"/>
          <w:color w:val="auto"/>
          <w:sz w:val="32"/>
          <w:szCs w:val="32"/>
          <w:highlight w:val="none"/>
          <w:lang w:eastAsia="zh-CN"/>
        </w:rPr>
        <w:t>和</w:t>
      </w:r>
      <w:r>
        <w:rPr>
          <w:rFonts w:hint="eastAsia" w:ascii="方正仿宋_GBK" w:hAnsi="方正仿宋_GBK" w:eastAsia="方正仿宋_GBK" w:cs="方正仿宋_GBK"/>
          <w:color w:val="auto"/>
          <w:sz w:val="32"/>
          <w:szCs w:val="32"/>
          <w:highlight w:val="none"/>
          <w:lang w:val="en-US" w:eastAsia="zh-CN"/>
        </w:rPr>
        <w:t>8500多万元</w:t>
      </w:r>
      <w:r>
        <w:rPr>
          <w:rFonts w:hint="eastAsia" w:ascii="方正仿宋_GBK" w:hAnsi="方正仿宋_GBK" w:eastAsia="方正仿宋_GBK" w:cs="方正仿宋_GBK"/>
          <w:color w:val="auto"/>
          <w:sz w:val="32"/>
          <w:szCs w:val="32"/>
          <w:highlight w:val="none"/>
        </w:rPr>
        <w:t>，建成</w:t>
      </w:r>
      <w:r>
        <w:rPr>
          <w:rFonts w:hint="eastAsia" w:ascii="方正仿宋_GBK" w:hAnsi="方正仿宋_GBK" w:eastAsia="方正仿宋_GBK" w:cs="方正仿宋_GBK"/>
          <w:color w:val="auto"/>
          <w:sz w:val="32"/>
          <w:szCs w:val="32"/>
          <w:highlight w:val="none"/>
          <w:lang w:val="en-US" w:eastAsia="zh-CN"/>
        </w:rPr>
        <w:t>2家高端</w:t>
      </w:r>
      <w:r>
        <w:rPr>
          <w:rFonts w:hint="eastAsia" w:ascii="方正仿宋_GBK" w:hAnsi="方正仿宋_GBK" w:eastAsia="方正仿宋_GBK" w:cs="方正仿宋_GBK"/>
          <w:color w:val="auto"/>
          <w:sz w:val="32"/>
          <w:szCs w:val="32"/>
          <w:highlight w:val="none"/>
        </w:rPr>
        <w:t>民办养老机构</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有效增加我市高层次养老服务供给，提升我市机构养老服务整体水平。</w:t>
      </w:r>
      <w:r>
        <w:rPr>
          <w:rFonts w:hint="eastAsia" w:ascii="方正仿宋_GBK" w:hAnsi="方正仿宋_GBK" w:eastAsia="方正仿宋_GBK" w:cs="方正仿宋_GBK"/>
          <w:color w:val="auto"/>
          <w:sz w:val="32"/>
          <w:szCs w:val="32"/>
          <w:highlight w:val="none"/>
          <w:lang w:eastAsia="zh-CN"/>
        </w:rPr>
        <w:t>其中，</w:t>
      </w:r>
      <w:r>
        <w:rPr>
          <w:rFonts w:hint="eastAsia" w:ascii="方正仿宋_GBK" w:hAnsi="方正仿宋_GBK" w:eastAsia="方正仿宋_GBK" w:cs="方正仿宋_GBK"/>
          <w:color w:val="auto"/>
          <w:sz w:val="32"/>
          <w:szCs w:val="32"/>
          <w:highlight w:val="none"/>
        </w:rPr>
        <w:t>幸福寿星安老之家于2020年被评定为“广东省五星级</w:t>
      </w:r>
      <w:r>
        <w:rPr>
          <w:rFonts w:hint="eastAsia" w:ascii="方正仿宋_GBK" w:hAnsi="方正仿宋_GBK" w:eastAsia="方正仿宋_GBK" w:cs="方正仿宋_GBK"/>
          <w:color w:val="auto"/>
          <w:sz w:val="32"/>
          <w:szCs w:val="32"/>
          <w:highlight w:val="none"/>
          <w:lang w:eastAsia="zh-CN"/>
        </w:rPr>
        <w:t>示范</w:t>
      </w:r>
      <w:r>
        <w:rPr>
          <w:rFonts w:hint="eastAsia" w:ascii="方正仿宋_GBK" w:hAnsi="方正仿宋_GBK" w:eastAsia="方正仿宋_GBK" w:cs="方正仿宋_GBK"/>
          <w:color w:val="auto"/>
          <w:sz w:val="32"/>
          <w:szCs w:val="32"/>
          <w:highlight w:val="none"/>
        </w:rPr>
        <w:t>性养老机构”，成为江门市第一家获此殊荣的民办养老</w:t>
      </w:r>
      <w:r>
        <w:rPr>
          <w:rFonts w:hint="eastAsia" w:ascii="方正仿宋_GBK" w:hAnsi="方正仿宋_GBK" w:eastAsia="方正仿宋_GBK" w:cs="方正仿宋_GBK"/>
          <w:color w:val="auto"/>
          <w:sz w:val="32"/>
          <w:szCs w:val="32"/>
          <w:highlight w:val="none"/>
          <w:lang w:eastAsia="zh-CN"/>
        </w:rPr>
        <w:t>机构</w:t>
      </w:r>
      <w:r>
        <w:rPr>
          <w:rFonts w:hint="eastAsia" w:ascii="方正仿宋_GBK" w:hAnsi="方正仿宋_GBK" w:eastAsia="方正仿宋_GBK" w:cs="方正仿宋_GBK"/>
          <w:color w:val="auto"/>
          <w:sz w:val="32"/>
          <w:szCs w:val="32"/>
          <w:highlight w:val="none"/>
        </w:rPr>
        <w:t>。</w:t>
      </w:r>
    </w:p>
    <w:p>
      <w:pPr>
        <w:pageBreakBefore w:val="0"/>
        <w:kinsoku/>
        <w:wordWrap/>
        <w:overflowPunct/>
        <w:topLinePunct w:val="0"/>
        <w:autoSpaceDE/>
        <w:autoSpaceDN/>
        <w:bidi w:val="0"/>
        <w:snapToGrid w:val="0"/>
        <w:spacing w:line="560" w:lineRule="exact"/>
        <w:ind w:firstLine="640" w:firstLineChars="200"/>
        <w:jc w:val="left"/>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积极落实江门市提出的医养结合工作方案，制定《关于深入推进医养结合发展的实施方案》，大力发展以医疗机构为基础的医养结合新模式，同时鼓励现有养老机构与医疗机构签订合作协议，全面提升机构养老服务水平。</w:t>
      </w:r>
      <w:r>
        <w:rPr>
          <w:rFonts w:hint="eastAsia" w:ascii="方正仿宋_GBK" w:hAnsi="方正仿宋_GBK" w:eastAsia="方正仿宋_GBK" w:cs="方正仿宋_GBK"/>
          <w:color w:val="auto"/>
          <w:sz w:val="32"/>
          <w:szCs w:val="32"/>
          <w:highlight w:val="none"/>
          <w:lang w:eastAsia="zh-CN"/>
        </w:rPr>
        <w:t>十三五期间，</w:t>
      </w:r>
      <w:r>
        <w:rPr>
          <w:rFonts w:hint="eastAsia" w:ascii="方正仿宋_GBK" w:hAnsi="方正仿宋_GBK" w:eastAsia="方正仿宋_GBK" w:cs="方正仿宋_GBK"/>
          <w:color w:val="auto"/>
          <w:sz w:val="32"/>
          <w:szCs w:val="32"/>
          <w:highlight w:val="none"/>
          <w:lang w:val="en-US" w:eastAsia="zh-CN"/>
        </w:rPr>
        <w:t>5</w:t>
      </w:r>
      <w:r>
        <w:rPr>
          <w:rFonts w:hint="eastAsia" w:ascii="方正仿宋_GBK" w:hAnsi="方正仿宋_GBK" w:eastAsia="方正仿宋_GBK" w:cs="方正仿宋_GBK"/>
          <w:color w:val="auto"/>
          <w:sz w:val="32"/>
          <w:szCs w:val="32"/>
          <w:highlight w:val="none"/>
          <w:lang w:eastAsia="zh-CN"/>
        </w:rPr>
        <w:t>家医养结合机构采取在公立医院建立养老中心或在养老中心设立医疗机构的模式开展医养结合工作，</w:t>
      </w:r>
      <w:r>
        <w:rPr>
          <w:rFonts w:hint="eastAsia" w:ascii="方正仿宋_GBK" w:hAnsi="方正仿宋_GBK" w:eastAsia="方正仿宋_GBK" w:cs="方正仿宋_GBK"/>
          <w:color w:val="auto"/>
          <w:sz w:val="32"/>
          <w:szCs w:val="32"/>
          <w:highlight w:val="none"/>
        </w:rPr>
        <w:t>基本满足全市老年人</w:t>
      </w:r>
      <w:r>
        <w:rPr>
          <w:rFonts w:hint="eastAsia" w:ascii="方正仿宋_GBK" w:hAnsi="方正仿宋_GBK" w:eastAsia="方正仿宋_GBK" w:cs="方正仿宋_GBK"/>
          <w:color w:val="auto"/>
          <w:sz w:val="32"/>
          <w:szCs w:val="32"/>
          <w:highlight w:val="none"/>
          <w:lang w:eastAsia="zh-CN"/>
        </w:rPr>
        <w:t>医养结合</w:t>
      </w:r>
      <w:r>
        <w:rPr>
          <w:rFonts w:hint="eastAsia" w:ascii="方正仿宋_GBK" w:hAnsi="方正仿宋_GBK" w:eastAsia="方正仿宋_GBK" w:cs="方正仿宋_GBK"/>
          <w:color w:val="auto"/>
          <w:sz w:val="32"/>
          <w:szCs w:val="32"/>
          <w:highlight w:val="none"/>
        </w:rPr>
        <w:t>服务的需要。全市14家养老机构，均通过内设医疗机构、与周边医疗机构签订合作协议等模式，实现医养结合100%全覆盖，养老服务水平再上</w:t>
      </w:r>
      <w:r>
        <w:rPr>
          <w:rFonts w:hint="eastAsia" w:ascii="方正仿宋_GBK" w:hAnsi="方正仿宋_GBK" w:eastAsia="方正仿宋_GBK" w:cs="方正仿宋_GBK"/>
          <w:color w:val="auto"/>
          <w:sz w:val="32"/>
          <w:szCs w:val="32"/>
          <w:highlight w:val="none"/>
          <w:lang w:eastAsia="zh-CN"/>
        </w:rPr>
        <w:t>新</w:t>
      </w:r>
      <w:r>
        <w:rPr>
          <w:rFonts w:hint="eastAsia" w:ascii="方正仿宋_GBK" w:hAnsi="方正仿宋_GBK" w:eastAsia="方正仿宋_GBK" w:cs="方正仿宋_GBK"/>
          <w:color w:val="auto"/>
          <w:sz w:val="32"/>
          <w:szCs w:val="32"/>
          <w:highlight w:val="none"/>
        </w:rPr>
        <w:t>台阶。</w:t>
      </w:r>
    </w:p>
    <w:tbl>
      <w:tblPr>
        <w:tblStyle w:val="19"/>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98"/>
        <w:gridCol w:w="1694"/>
        <w:gridCol w:w="991"/>
        <w:gridCol w:w="1457"/>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640" w:type="dxa"/>
            <w:gridSpan w:val="5"/>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default" w:ascii="方正仿宋_GBK" w:hAnsi="方正仿宋_GBK" w:eastAsia="方正仿宋_GBK" w:cs="方正仿宋_GBK"/>
                <w:b/>
                <w:bCs/>
                <w:color w:val="auto"/>
                <w:sz w:val="28"/>
                <w:szCs w:val="28"/>
                <w:highlight w:val="none"/>
                <w:lang w:val="en-US" w:eastAsia="zh-CN"/>
              </w:rPr>
            </w:pPr>
            <w:r>
              <w:rPr>
                <w:rFonts w:hint="eastAsia" w:ascii="方正仿宋_GBK" w:hAnsi="方正仿宋_GBK" w:eastAsia="方正仿宋_GBK" w:cs="方正仿宋_GBK"/>
                <w:b/>
                <w:bCs/>
                <w:color w:val="auto"/>
                <w:sz w:val="28"/>
                <w:szCs w:val="28"/>
                <w:highlight w:val="none"/>
                <w:lang w:eastAsia="zh-CN"/>
              </w:rPr>
              <w:t>专栏</w:t>
            </w:r>
            <w:r>
              <w:rPr>
                <w:rFonts w:hint="eastAsia" w:ascii="方正仿宋_GBK" w:hAnsi="方正仿宋_GBK" w:eastAsia="方正仿宋_GBK" w:cs="方正仿宋_GBK"/>
                <w:b/>
                <w:bCs/>
                <w:color w:val="auto"/>
                <w:sz w:val="28"/>
                <w:szCs w:val="28"/>
                <w:highlight w:val="none"/>
                <w:lang w:val="en-US" w:eastAsia="zh-CN"/>
              </w:rPr>
              <w:t>1：“十三五”期间</w:t>
            </w:r>
            <w:r>
              <w:rPr>
                <w:rFonts w:hint="eastAsia" w:ascii="方正仿宋_GBK" w:hAnsi="方正仿宋_GBK" w:eastAsia="方正仿宋_GBK" w:cs="方正仿宋_GBK"/>
                <w:b/>
                <w:bCs/>
                <w:color w:val="auto"/>
                <w:sz w:val="28"/>
                <w:szCs w:val="28"/>
                <w:highlight w:val="none"/>
                <w:lang w:eastAsia="zh-CN"/>
              </w:rPr>
              <w:t>鹤山</w:t>
            </w:r>
            <w:r>
              <w:rPr>
                <w:rFonts w:hint="eastAsia" w:ascii="方正仿宋_GBK" w:hAnsi="方正仿宋_GBK" w:eastAsia="方正仿宋_GBK" w:cs="方正仿宋_GBK"/>
                <w:b/>
                <w:bCs/>
                <w:color w:val="auto"/>
                <w:sz w:val="28"/>
                <w:szCs w:val="28"/>
                <w:highlight w:val="none"/>
              </w:rPr>
              <w:t>市养老机构</w:t>
            </w:r>
            <w:r>
              <w:rPr>
                <w:rFonts w:hint="eastAsia" w:ascii="方正仿宋_GBK" w:hAnsi="方正仿宋_GBK" w:eastAsia="方正仿宋_GBK" w:cs="方正仿宋_GBK"/>
                <w:b/>
                <w:bCs/>
                <w:color w:val="auto"/>
                <w:sz w:val="28"/>
                <w:szCs w:val="28"/>
                <w:highlight w:val="none"/>
                <w:lang w:eastAsia="zh-CN"/>
              </w:rPr>
              <w:t>发展现状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3098"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机构名称</w:t>
            </w:r>
          </w:p>
        </w:tc>
        <w:tc>
          <w:tcPr>
            <w:tcW w:w="1694"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机构性质</w:t>
            </w:r>
          </w:p>
        </w:tc>
        <w:tc>
          <w:tcPr>
            <w:tcW w:w="991"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床位数</w:t>
            </w:r>
          </w:p>
        </w:tc>
        <w:tc>
          <w:tcPr>
            <w:tcW w:w="1457"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sz w:val="28"/>
                <w:szCs w:val="28"/>
                <w:highlight w:val="none"/>
                <w:lang w:eastAsia="zh-CN"/>
              </w:rPr>
            </w:pPr>
            <w:r>
              <w:rPr>
                <w:rFonts w:hint="eastAsia" w:ascii="方正仿宋_GBK" w:hAnsi="方正仿宋_GBK" w:eastAsia="方正仿宋_GBK" w:cs="方正仿宋_GBK"/>
                <w:color w:val="auto"/>
                <w:sz w:val="28"/>
                <w:szCs w:val="28"/>
                <w:highlight w:val="none"/>
                <w:lang w:eastAsia="zh-CN"/>
              </w:rPr>
              <w:t>护理型床位</w:t>
            </w:r>
          </w:p>
        </w:tc>
        <w:tc>
          <w:tcPr>
            <w:tcW w:w="1400"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kern w:val="2"/>
                <w:sz w:val="28"/>
                <w:szCs w:val="28"/>
                <w:highlight w:val="none"/>
                <w:u w:val="none"/>
                <w:lang w:val="en-US" w:eastAsia="zh-CN" w:bidi="ar-SA"/>
              </w:rPr>
            </w:pPr>
            <w:r>
              <w:rPr>
                <w:rFonts w:hint="eastAsia" w:ascii="方正仿宋_GBK" w:hAnsi="方正仿宋_GBK" w:eastAsia="方正仿宋_GBK" w:cs="方正仿宋_GBK"/>
                <w:color w:val="auto"/>
                <w:sz w:val="28"/>
                <w:szCs w:val="28"/>
                <w:highlight w:val="none"/>
                <w:u w:val="none"/>
              </w:rPr>
              <w:t>入住率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098"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sz w:val="28"/>
                <w:szCs w:val="28"/>
                <w:highlight w:val="none"/>
              </w:rPr>
              <w:t>鹤山市社会福利院</w:t>
            </w:r>
          </w:p>
        </w:tc>
        <w:tc>
          <w:tcPr>
            <w:tcW w:w="1694"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sz w:val="28"/>
                <w:szCs w:val="28"/>
                <w:highlight w:val="none"/>
              </w:rPr>
              <w:t>公办</w:t>
            </w:r>
          </w:p>
        </w:tc>
        <w:tc>
          <w:tcPr>
            <w:tcW w:w="991"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sz w:val="28"/>
                <w:szCs w:val="28"/>
                <w:highlight w:val="none"/>
                <w:lang w:val="en-US" w:eastAsia="zh-CN"/>
              </w:rPr>
              <w:t>150</w:t>
            </w:r>
          </w:p>
        </w:tc>
        <w:tc>
          <w:tcPr>
            <w:tcW w:w="1457"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72</w:t>
            </w:r>
          </w:p>
        </w:tc>
        <w:tc>
          <w:tcPr>
            <w:tcW w:w="1400"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kern w:val="2"/>
                <w:sz w:val="28"/>
                <w:szCs w:val="28"/>
                <w:highlight w:val="none"/>
                <w:u w:val="none"/>
                <w:lang w:val="en-US" w:eastAsia="zh-CN" w:bidi="ar-SA"/>
              </w:rPr>
            </w:pPr>
            <w:r>
              <w:rPr>
                <w:rFonts w:hint="eastAsia" w:ascii="方正仿宋_GBK" w:hAnsi="方正仿宋_GBK" w:eastAsia="方正仿宋_GBK" w:cs="方正仿宋_GBK"/>
                <w:color w:val="auto"/>
                <w:sz w:val="28"/>
                <w:szCs w:val="28"/>
                <w:highlight w:val="none"/>
                <w:u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098"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龙口镇敬老院</w:t>
            </w:r>
          </w:p>
        </w:tc>
        <w:tc>
          <w:tcPr>
            <w:tcW w:w="1694"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公建民营</w:t>
            </w:r>
          </w:p>
        </w:tc>
        <w:tc>
          <w:tcPr>
            <w:tcW w:w="991"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75</w:t>
            </w:r>
          </w:p>
        </w:tc>
        <w:tc>
          <w:tcPr>
            <w:tcW w:w="1457"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30</w:t>
            </w:r>
          </w:p>
        </w:tc>
        <w:tc>
          <w:tcPr>
            <w:tcW w:w="1400"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kern w:val="2"/>
                <w:sz w:val="28"/>
                <w:szCs w:val="28"/>
                <w:highlight w:val="none"/>
                <w:u w:val="none"/>
                <w:lang w:val="en-US" w:eastAsia="zh-CN" w:bidi="ar-SA"/>
              </w:rPr>
            </w:pPr>
            <w:r>
              <w:rPr>
                <w:rFonts w:hint="eastAsia" w:ascii="方正仿宋_GBK" w:hAnsi="方正仿宋_GBK" w:eastAsia="方正仿宋_GBK" w:cs="方正仿宋_GBK"/>
                <w:color w:val="auto"/>
                <w:sz w:val="28"/>
                <w:szCs w:val="28"/>
                <w:highlight w:val="none"/>
                <w:u w:val="none"/>
                <w:lang w:val="en-US" w:eastAsia="zh-CN"/>
              </w:rPr>
              <w:t>82.67%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098"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雅瑶镇敬老院</w:t>
            </w:r>
          </w:p>
        </w:tc>
        <w:tc>
          <w:tcPr>
            <w:tcW w:w="1694"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公建民营</w:t>
            </w:r>
          </w:p>
        </w:tc>
        <w:tc>
          <w:tcPr>
            <w:tcW w:w="991"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200</w:t>
            </w:r>
          </w:p>
        </w:tc>
        <w:tc>
          <w:tcPr>
            <w:tcW w:w="1457"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75</w:t>
            </w:r>
          </w:p>
        </w:tc>
        <w:tc>
          <w:tcPr>
            <w:tcW w:w="1400"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kern w:val="2"/>
                <w:sz w:val="28"/>
                <w:szCs w:val="28"/>
                <w:highlight w:val="none"/>
                <w:u w:val="none"/>
                <w:lang w:val="en-US" w:eastAsia="zh-CN" w:bidi="ar-SA"/>
              </w:rPr>
            </w:pPr>
            <w:r>
              <w:rPr>
                <w:rFonts w:hint="eastAsia" w:ascii="方正仿宋_GBK" w:hAnsi="方正仿宋_GBK" w:eastAsia="方正仿宋_GBK" w:cs="方正仿宋_GBK"/>
                <w:color w:val="auto"/>
                <w:sz w:val="28"/>
                <w:szCs w:val="28"/>
                <w:highlight w:val="none"/>
                <w:u w:val="none"/>
                <w:lang w:val="en-US" w:eastAsia="zh-CN"/>
              </w:rPr>
              <w:t>75.50%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098"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沙坪</w:t>
            </w:r>
            <w:r>
              <w:rPr>
                <w:rFonts w:hint="eastAsia" w:ascii="方正仿宋_GBK" w:hAnsi="方正仿宋_GBK" w:eastAsia="方正仿宋_GBK" w:cs="方正仿宋_GBK"/>
                <w:color w:val="auto"/>
                <w:sz w:val="28"/>
                <w:szCs w:val="28"/>
                <w:highlight w:val="none"/>
                <w:lang w:eastAsia="zh-CN"/>
              </w:rPr>
              <w:t>街道</w:t>
            </w:r>
            <w:r>
              <w:rPr>
                <w:rFonts w:hint="eastAsia" w:ascii="方正仿宋_GBK" w:hAnsi="方正仿宋_GBK" w:eastAsia="方正仿宋_GBK" w:cs="方正仿宋_GBK"/>
                <w:color w:val="auto"/>
                <w:sz w:val="28"/>
                <w:szCs w:val="28"/>
                <w:highlight w:val="none"/>
              </w:rPr>
              <w:t>敬老院</w:t>
            </w:r>
          </w:p>
        </w:tc>
        <w:tc>
          <w:tcPr>
            <w:tcW w:w="1694"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公建民营</w:t>
            </w:r>
          </w:p>
        </w:tc>
        <w:tc>
          <w:tcPr>
            <w:tcW w:w="991"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108</w:t>
            </w:r>
          </w:p>
        </w:tc>
        <w:tc>
          <w:tcPr>
            <w:tcW w:w="1457"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30</w:t>
            </w:r>
          </w:p>
        </w:tc>
        <w:tc>
          <w:tcPr>
            <w:tcW w:w="1400"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kern w:val="2"/>
                <w:sz w:val="28"/>
                <w:szCs w:val="28"/>
                <w:highlight w:val="none"/>
                <w:u w:val="none"/>
                <w:lang w:val="en-US" w:eastAsia="zh-CN" w:bidi="ar-SA"/>
              </w:rPr>
            </w:pPr>
            <w:r>
              <w:rPr>
                <w:rFonts w:hint="eastAsia" w:ascii="方正仿宋_GBK" w:hAnsi="方正仿宋_GBK" w:eastAsia="方正仿宋_GBK" w:cs="方正仿宋_GBK"/>
                <w:color w:val="auto"/>
                <w:sz w:val="28"/>
                <w:szCs w:val="28"/>
                <w:highlight w:val="none"/>
                <w:u w:val="none"/>
                <w:lang w:val="en-US" w:eastAsia="zh-CN"/>
              </w:rPr>
              <w:t>22.22%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098"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鹤城镇敬老院</w:t>
            </w:r>
          </w:p>
        </w:tc>
        <w:tc>
          <w:tcPr>
            <w:tcW w:w="1694"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公建民营</w:t>
            </w:r>
          </w:p>
        </w:tc>
        <w:tc>
          <w:tcPr>
            <w:tcW w:w="991"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104</w:t>
            </w:r>
          </w:p>
        </w:tc>
        <w:tc>
          <w:tcPr>
            <w:tcW w:w="1457"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40</w:t>
            </w:r>
          </w:p>
        </w:tc>
        <w:tc>
          <w:tcPr>
            <w:tcW w:w="1400"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kern w:val="2"/>
                <w:sz w:val="28"/>
                <w:szCs w:val="28"/>
                <w:highlight w:val="none"/>
                <w:u w:val="none"/>
                <w:lang w:val="en-US" w:eastAsia="zh-CN" w:bidi="ar-SA"/>
              </w:rPr>
            </w:pPr>
            <w:r>
              <w:rPr>
                <w:rFonts w:hint="eastAsia" w:ascii="方正仿宋_GBK" w:hAnsi="方正仿宋_GBK" w:eastAsia="方正仿宋_GBK" w:cs="方正仿宋_GBK"/>
                <w:color w:val="auto"/>
                <w:sz w:val="28"/>
                <w:szCs w:val="28"/>
                <w:highlight w:val="none"/>
                <w:u w:val="none"/>
                <w:lang w:val="en-US" w:eastAsia="zh-CN"/>
              </w:rPr>
              <w:t>45.19%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3098"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古劳镇敬老院（慈善安老院）</w:t>
            </w:r>
          </w:p>
        </w:tc>
        <w:tc>
          <w:tcPr>
            <w:tcW w:w="1694"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公建民营</w:t>
            </w:r>
          </w:p>
        </w:tc>
        <w:tc>
          <w:tcPr>
            <w:tcW w:w="991"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88</w:t>
            </w:r>
          </w:p>
        </w:tc>
        <w:tc>
          <w:tcPr>
            <w:tcW w:w="1457"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5</w:t>
            </w:r>
          </w:p>
        </w:tc>
        <w:tc>
          <w:tcPr>
            <w:tcW w:w="1400"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kern w:val="2"/>
                <w:sz w:val="28"/>
                <w:szCs w:val="28"/>
                <w:highlight w:val="none"/>
                <w:u w:val="none"/>
                <w:lang w:val="en-US" w:eastAsia="zh-CN" w:bidi="ar-SA"/>
              </w:rPr>
            </w:pPr>
            <w:r>
              <w:rPr>
                <w:rFonts w:hint="eastAsia" w:ascii="方正仿宋_GBK" w:hAnsi="方正仿宋_GBK" w:eastAsia="方正仿宋_GBK" w:cs="方正仿宋_GBK"/>
                <w:color w:val="auto"/>
                <w:sz w:val="28"/>
                <w:szCs w:val="28"/>
                <w:highlight w:val="none"/>
                <w:u w:val="none"/>
                <w:lang w:val="en-US" w:eastAsia="zh-CN"/>
              </w:rPr>
              <w:t>71.59%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098"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sz w:val="28"/>
                <w:szCs w:val="28"/>
                <w:highlight w:val="none"/>
              </w:rPr>
              <w:t>桃源</w:t>
            </w:r>
            <w:r>
              <w:rPr>
                <w:rFonts w:hint="eastAsia" w:ascii="方正仿宋_GBK" w:hAnsi="方正仿宋_GBK" w:eastAsia="方正仿宋_GBK" w:cs="方正仿宋_GBK"/>
                <w:color w:val="auto"/>
                <w:sz w:val="28"/>
                <w:szCs w:val="28"/>
                <w:highlight w:val="none"/>
                <w:lang w:eastAsia="zh-CN"/>
              </w:rPr>
              <w:t>镇</w:t>
            </w:r>
            <w:r>
              <w:rPr>
                <w:rFonts w:hint="eastAsia" w:ascii="方正仿宋_GBK" w:hAnsi="方正仿宋_GBK" w:eastAsia="方正仿宋_GBK" w:cs="方正仿宋_GBK"/>
                <w:color w:val="auto"/>
                <w:sz w:val="28"/>
                <w:szCs w:val="28"/>
                <w:highlight w:val="none"/>
              </w:rPr>
              <w:t>敬老院</w:t>
            </w:r>
          </w:p>
        </w:tc>
        <w:tc>
          <w:tcPr>
            <w:tcW w:w="1694"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sz w:val="28"/>
                <w:szCs w:val="28"/>
                <w:highlight w:val="none"/>
              </w:rPr>
              <w:t>公办</w:t>
            </w:r>
          </w:p>
        </w:tc>
        <w:tc>
          <w:tcPr>
            <w:tcW w:w="991"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sz w:val="28"/>
                <w:szCs w:val="28"/>
                <w:highlight w:val="none"/>
                <w:lang w:val="en-US" w:eastAsia="zh-CN"/>
              </w:rPr>
              <w:t>44</w:t>
            </w:r>
          </w:p>
        </w:tc>
        <w:tc>
          <w:tcPr>
            <w:tcW w:w="1457"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2</w:t>
            </w:r>
          </w:p>
        </w:tc>
        <w:tc>
          <w:tcPr>
            <w:tcW w:w="1400"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kern w:val="2"/>
                <w:sz w:val="28"/>
                <w:szCs w:val="28"/>
                <w:highlight w:val="none"/>
                <w:u w:val="none"/>
                <w:lang w:val="en-US" w:eastAsia="zh-CN" w:bidi="ar-SA"/>
              </w:rPr>
            </w:pPr>
            <w:r>
              <w:rPr>
                <w:rFonts w:hint="eastAsia" w:ascii="方正仿宋_GBK" w:hAnsi="方正仿宋_GBK" w:eastAsia="方正仿宋_GBK" w:cs="方正仿宋_GBK"/>
                <w:color w:val="auto"/>
                <w:sz w:val="28"/>
                <w:szCs w:val="28"/>
                <w:highlight w:val="none"/>
                <w:u w:val="none"/>
                <w:lang w:val="en-US" w:eastAsia="zh-CN"/>
              </w:rPr>
              <w:t>36.36%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098"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址山镇敬老院</w:t>
            </w:r>
          </w:p>
        </w:tc>
        <w:tc>
          <w:tcPr>
            <w:tcW w:w="1694"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公办</w:t>
            </w:r>
          </w:p>
        </w:tc>
        <w:tc>
          <w:tcPr>
            <w:tcW w:w="991"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33</w:t>
            </w:r>
          </w:p>
        </w:tc>
        <w:tc>
          <w:tcPr>
            <w:tcW w:w="1457"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0</w:t>
            </w:r>
          </w:p>
        </w:tc>
        <w:tc>
          <w:tcPr>
            <w:tcW w:w="1400"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kern w:val="2"/>
                <w:sz w:val="28"/>
                <w:szCs w:val="28"/>
                <w:highlight w:val="none"/>
                <w:u w:val="none"/>
                <w:lang w:val="en-US" w:eastAsia="zh-CN" w:bidi="ar-SA"/>
              </w:rPr>
            </w:pPr>
            <w:r>
              <w:rPr>
                <w:rFonts w:hint="eastAsia" w:ascii="方正仿宋_GBK" w:hAnsi="方正仿宋_GBK" w:eastAsia="方正仿宋_GBK" w:cs="方正仿宋_GBK"/>
                <w:color w:val="auto"/>
                <w:sz w:val="28"/>
                <w:szCs w:val="28"/>
                <w:highlight w:val="none"/>
                <w:u w:val="none"/>
                <w:lang w:val="en-US" w:eastAsia="zh-CN"/>
              </w:rPr>
              <w:t>39.39%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098"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sz w:val="28"/>
                <w:szCs w:val="28"/>
                <w:highlight w:val="none"/>
              </w:rPr>
              <w:t>双合镇</w:t>
            </w:r>
            <w:r>
              <w:rPr>
                <w:rFonts w:hint="eastAsia" w:ascii="方正仿宋_GBK" w:hAnsi="方正仿宋_GBK" w:eastAsia="方正仿宋_GBK" w:cs="方正仿宋_GBK"/>
                <w:color w:val="auto"/>
                <w:sz w:val="28"/>
                <w:szCs w:val="28"/>
                <w:highlight w:val="none"/>
                <w:lang w:eastAsia="zh-CN"/>
              </w:rPr>
              <w:t>敬老院</w:t>
            </w:r>
          </w:p>
        </w:tc>
        <w:tc>
          <w:tcPr>
            <w:tcW w:w="1694"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sz w:val="28"/>
                <w:szCs w:val="28"/>
                <w:highlight w:val="none"/>
              </w:rPr>
              <w:t>公办</w:t>
            </w:r>
          </w:p>
        </w:tc>
        <w:tc>
          <w:tcPr>
            <w:tcW w:w="991"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sz w:val="28"/>
                <w:szCs w:val="28"/>
                <w:highlight w:val="none"/>
                <w:lang w:val="en-US" w:eastAsia="zh-CN"/>
              </w:rPr>
              <w:t>27</w:t>
            </w:r>
          </w:p>
        </w:tc>
        <w:tc>
          <w:tcPr>
            <w:tcW w:w="1457"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0</w:t>
            </w:r>
          </w:p>
        </w:tc>
        <w:tc>
          <w:tcPr>
            <w:tcW w:w="1400"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kern w:val="2"/>
                <w:sz w:val="28"/>
                <w:szCs w:val="28"/>
                <w:highlight w:val="none"/>
                <w:u w:val="none"/>
                <w:lang w:val="en-US" w:eastAsia="zh-CN" w:bidi="ar-SA"/>
              </w:rPr>
            </w:pPr>
            <w:r>
              <w:rPr>
                <w:rFonts w:hint="eastAsia" w:ascii="方正仿宋_GBK" w:hAnsi="方正仿宋_GBK" w:eastAsia="方正仿宋_GBK" w:cs="方正仿宋_GBK"/>
                <w:color w:val="auto"/>
                <w:sz w:val="28"/>
                <w:szCs w:val="28"/>
                <w:highlight w:val="none"/>
                <w:u w:val="none"/>
                <w:lang w:val="en-US" w:eastAsia="zh-CN"/>
              </w:rPr>
              <w:t>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098"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sz w:val="28"/>
                <w:szCs w:val="28"/>
                <w:highlight w:val="none"/>
              </w:rPr>
              <w:t>共和镇敬老院</w:t>
            </w:r>
          </w:p>
        </w:tc>
        <w:tc>
          <w:tcPr>
            <w:tcW w:w="1694"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sz w:val="28"/>
                <w:szCs w:val="28"/>
                <w:highlight w:val="none"/>
              </w:rPr>
              <w:t>公办</w:t>
            </w:r>
          </w:p>
        </w:tc>
        <w:tc>
          <w:tcPr>
            <w:tcW w:w="991"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sz w:val="28"/>
                <w:szCs w:val="28"/>
                <w:highlight w:val="none"/>
                <w:lang w:val="en-US" w:eastAsia="zh-CN"/>
              </w:rPr>
              <w:t>80</w:t>
            </w:r>
          </w:p>
        </w:tc>
        <w:tc>
          <w:tcPr>
            <w:tcW w:w="1457"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30</w:t>
            </w:r>
          </w:p>
        </w:tc>
        <w:tc>
          <w:tcPr>
            <w:tcW w:w="1400"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kern w:val="2"/>
                <w:sz w:val="28"/>
                <w:szCs w:val="28"/>
                <w:highlight w:val="none"/>
                <w:u w:val="none"/>
                <w:lang w:val="en-US" w:eastAsia="zh-CN" w:bidi="ar-SA"/>
              </w:rPr>
            </w:pPr>
            <w:r>
              <w:rPr>
                <w:rFonts w:hint="eastAsia" w:ascii="方正仿宋_GBK" w:hAnsi="方正仿宋_GBK" w:eastAsia="方正仿宋_GBK" w:cs="方正仿宋_GBK"/>
                <w:color w:val="auto"/>
                <w:sz w:val="28"/>
                <w:szCs w:val="28"/>
                <w:highlight w:val="none"/>
                <w:u w:val="none"/>
                <w:lang w:val="en-US" w:eastAsia="zh-CN"/>
              </w:rPr>
              <w:t>26.25%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098"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sz w:val="28"/>
                <w:szCs w:val="28"/>
                <w:highlight w:val="none"/>
                <w:lang w:eastAsia="zh-CN"/>
              </w:rPr>
              <w:t>宅梧镇敬老院</w:t>
            </w:r>
          </w:p>
        </w:tc>
        <w:tc>
          <w:tcPr>
            <w:tcW w:w="1694"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sz w:val="28"/>
                <w:szCs w:val="28"/>
                <w:highlight w:val="none"/>
                <w:lang w:eastAsia="zh-CN"/>
              </w:rPr>
              <w:t>公办</w:t>
            </w:r>
          </w:p>
        </w:tc>
        <w:tc>
          <w:tcPr>
            <w:tcW w:w="991"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sz w:val="28"/>
                <w:szCs w:val="28"/>
                <w:highlight w:val="none"/>
                <w:lang w:val="en-US" w:eastAsia="zh-CN"/>
              </w:rPr>
              <w:t>30</w:t>
            </w:r>
          </w:p>
        </w:tc>
        <w:tc>
          <w:tcPr>
            <w:tcW w:w="1457"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0</w:t>
            </w:r>
          </w:p>
        </w:tc>
        <w:tc>
          <w:tcPr>
            <w:tcW w:w="1400"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kern w:val="2"/>
                <w:sz w:val="28"/>
                <w:szCs w:val="28"/>
                <w:highlight w:val="none"/>
                <w:u w:val="none"/>
                <w:lang w:val="en-US" w:eastAsia="zh-CN" w:bidi="ar-SA"/>
              </w:rPr>
            </w:pPr>
            <w:r>
              <w:rPr>
                <w:rFonts w:hint="eastAsia" w:ascii="方正仿宋_GBK" w:hAnsi="方正仿宋_GBK" w:eastAsia="方正仿宋_GBK" w:cs="方正仿宋_GBK"/>
                <w:color w:val="auto"/>
                <w:sz w:val="28"/>
                <w:szCs w:val="28"/>
                <w:highlight w:val="none"/>
                <w:u w:val="none"/>
                <w:lang w:val="en-US" w:eastAsia="zh-CN"/>
              </w:rPr>
              <w:t>43.33%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3098"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sz w:val="28"/>
                <w:szCs w:val="28"/>
                <w:highlight w:val="none"/>
              </w:rPr>
              <w:t>沙坪街道卫生院养老服务中心</w:t>
            </w:r>
          </w:p>
        </w:tc>
        <w:tc>
          <w:tcPr>
            <w:tcW w:w="1694"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sz w:val="28"/>
                <w:szCs w:val="28"/>
                <w:highlight w:val="none"/>
              </w:rPr>
              <w:t>公办</w:t>
            </w:r>
          </w:p>
        </w:tc>
        <w:tc>
          <w:tcPr>
            <w:tcW w:w="991"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sz w:val="28"/>
                <w:szCs w:val="28"/>
                <w:highlight w:val="none"/>
                <w:lang w:val="en-US" w:eastAsia="zh-CN"/>
              </w:rPr>
              <w:t>200</w:t>
            </w:r>
          </w:p>
        </w:tc>
        <w:tc>
          <w:tcPr>
            <w:tcW w:w="1457"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200</w:t>
            </w:r>
          </w:p>
        </w:tc>
        <w:tc>
          <w:tcPr>
            <w:tcW w:w="1400"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kern w:val="2"/>
                <w:sz w:val="28"/>
                <w:szCs w:val="28"/>
                <w:highlight w:val="none"/>
                <w:u w:val="none"/>
                <w:lang w:val="en-US" w:eastAsia="zh-CN" w:bidi="ar-SA"/>
              </w:rPr>
            </w:pPr>
            <w:r>
              <w:rPr>
                <w:rFonts w:hint="eastAsia" w:ascii="方正仿宋_GBK" w:hAnsi="方正仿宋_GBK" w:eastAsia="方正仿宋_GBK" w:cs="方正仿宋_GBK"/>
                <w:color w:val="auto"/>
                <w:sz w:val="28"/>
                <w:szCs w:val="28"/>
                <w:highlight w:val="none"/>
                <w:u w:val="no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098"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雁鸣湖畔养老养生公寓</w:t>
            </w:r>
          </w:p>
        </w:tc>
        <w:tc>
          <w:tcPr>
            <w:tcW w:w="1694"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民办</w:t>
            </w:r>
          </w:p>
        </w:tc>
        <w:tc>
          <w:tcPr>
            <w:tcW w:w="991"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288</w:t>
            </w:r>
          </w:p>
        </w:tc>
        <w:tc>
          <w:tcPr>
            <w:tcW w:w="1457"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288</w:t>
            </w:r>
          </w:p>
        </w:tc>
        <w:tc>
          <w:tcPr>
            <w:tcW w:w="1400"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kern w:val="2"/>
                <w:sz w:val="28"/>
                <w:szCs w:val="28"/>
                <w:highlight w:val="none"/>
                <w:u w:val="none"/>
                <w:lang w:val="en-US" w:eastAsia="zh-CN" w:bidi="ar-SA"/>
              </w:rPr>
            </w:pPr>
            <w:r>
              <w:rPr>
                <w:rFonts w:hint="eastAsia" w:ascii="方正仿宋_GBK" w:hAnsi="方正仿宋_GBK" w:eastAsia="方正仿宋_GBK" w:cs="方正仿宋_GBK"/>
                <w:color w:val="auto"/>
                <w:sz w:val="28"/>
                <w:szCs w:val="28"/>
                <w:highlight w:val="none"/>
                <w:u w:val="none"/>
                <w:lang w:val="en-US" w:eastAsia="zh-CN"/>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3098"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幸福寿星安老之家</w:t>
            </w:r>
          </w:p>
        </w:tc>
        <w:tc>
          <w:tcPr>
            <w:tcW w:w="1694"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民办</w:t>
            </w:r>
          </w:p>
        </w:tc>
        <w:tc>
          <w:tcPr>
            <w:tcW w:w="991"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309</w:t>
            </w:r>
          </w:p>
        </w:tc>
        <w:tc>
          <w:tcPr>
            <w:tcW w:w="1457"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100</w:t>
            </w:r>
          </w:p>
        </w:tc>
        <w:tc>
          <w:tcPr>
            <w:tcW w:w="1400"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sz w:val="28"/>
                <w:szCs w:val="28"/>
                <w:highlight w:val="none"/>
                <w:u w:val="none"/>
                <w:lang w:val="en-US" w:eastAsia="zh-CN"/>
              </w:rPr>
            </w:pPr>
            <w:r>
              <w:rPr>
                <w:rFonts w:hint="eastAsia" w:ascii="方正仿宋_GBK" w:hAnsi="方正仿宋_GBK" w:eastAsia="方正仿宋_GBK" w:cs="方正仿宋_GBK"/>
                <w:color w:val="auto"/>
                <w:sz w:val="28"/>
                <w:szCs w:val="28"/>
                <w:highlight w:val="none"/>
                <w:u w:val="none"/>
                <w:lang w:val="en-US" w:eastAsia="zh-CN"/>
              </w:rPr>
              <w:t>70.55%</w:t>
            </w:r>
          </w:p>
        </w:tc>
      </w:tr>
    </w:tbl>
    <w:p>
      <w:pPr>
        <w:pStyle w:val="6"/>
        <w:keepNext/>
        <w:keepLines/>
        <w:pageBreakBefore w:val="0"/>
        <w:widowControl w:val="0"/>
        <w:numPr>
          <w:ilvl w:val="0"/>
          <w:numId w:val="0"/>
        </w:numPr>
        <w:kinsoku/>
        <w:wordWrap/>
        <w:overflowPunct/>
        <w:topLinePunct w:val="0"/>
        <w:autoSpaceDE/>
        <w:autoSpaceDN/>
        <w:bidi w:val="0"/>
        <w:adjustRightInd w:val="0"/>
        <w:snapToGrid w:val="0"/>
        <w:spacing w:before="0" w:after="0" w:line="560" w:lineRule="exact"/>
        <w:ind w:firstLine="643" w:firstLineChars="200"/>
        <w:textAlignment w:val="auto"/>
        <w:rPr>
          <w:rFonts w:hint="eastAsia" w:ascii="方正仿宋_GBK" w:hAnsi="方正仿宋_GBK" w:eastAsia="方正仿宋_GBK" w:cs="方正仿宋_GBK"/>
          <w:b w:val="0"/>
          <w:bCs w:val="0"/>
          <w:strike w:val="0"/>
          <w:dstrike w:val="0"/>
          <w:color w:val="auto"/>
          <w:sz w:val="32"/>
          <w:szCs w:val="32"/>
          <w:highlight w:val="none"/>
          <w:u w:val="none"/>
          <w:lang w:val="en-US" w:eastAsia="zh-CN"/>
        </w:rPr>
      </w:pPr>
      <w:r>
        <w:rPr>
          <w:rFonts w:hint="eastAsia" w:ascii="方正仿宋_GBK" w:hAnsi="方正仿宋_GBK" w:eastAsia="方正仿宋_GBK" w:cs="方正仿宋_GBK"/>
          <w:color w:val="auto"/>
          <w:sz w:val="32"/>
          <w:szCs w:val="32"/>
          <w:highlight w:val="none"/>
          <w:lang w:val="en-US" w:eastAsia="zh-CN"/>
        </w:rPr>
        <w:t>3.加强安全管理。</w:t>
      </w:r>
      <w:r>
        <w:rPr>
          <w:rFonts w:hint="eastAsia" w:ascii="方正仿宋_GBK" w:hAnsi="方正仿宋_GBK" w:eastAsia="方正仿宋_GBK" w:cs="方正仿宋_GBK"/>
          <w:b w:val="0"/>
          <w:bCs w:val="0"/>
          <w:strike w:val="0"/>
          <w:dstrike w:val="0"/>
          <w:color w:val="auto"/>
          <w:sz w:val="32"/>
          <w:szCs w:val="32"/>
          <w:highlight w:val="none"/>
          <w:u w:val="none"/>
          <w:lang w:val="en-US" w:eastAsia="zh-CN"/>
        </w:rPr>
        <w:t>十三五期间，全市12家养老服务机构依法取得食品经营许可证，接入“互联网+明厨亮灶”平台。所有养老机构食堂均建立健全食品安全管理制度，配备专职食品安全管理人员，严格执行从业人员健康管理制度，所有从业人员取得健康证明后上岗，并定期参加食品安全培训考核。实施养老机构消防安全达标工程，以机构自查、部门联合检查、第三方消防技术服务机构评估为抓手，全面摸清养老服务机构的消防安全状况，建立安全问题和责任清单，开展消防安全标准化管理建设。</w:t>
      </w:r>
    </w:p>
    <w:p>
      <w:pPr>
        <w:pStyle w:val="2"/>
        <w:ind w:left="0" w:leftChars="0" w:firstLine="0" w:firstLineChars="0"/>
        <w:rPr>
          <w:rFonts w:hint="eastAsia" w:ascii="方正仿宋_GBK" w:hAnsi="方正仿宋_GBK" w:eastAsia="方正仿宋_GBK" w:cs="方正仿宋_GBK"/>
          <w:color w:val="auto"/>
          <w:sz w:val="32"/>
          <w:szCs w:val="32"/>
          <w:highlight w:val="none"/>
        </w:rPr>
      </w:pPr>
    </w:p>
    <w:p>
      <w:pPr>
        <w:pStyle w:val="6"/>
        <w:keepNext/>
        <w:keepLines/>
        <w:pageBreakBefore w:val="0"/>
        <w:widowControl w:val="0"/>
        <w:numPr>
          <w:ilvl w:val="0"/>
          <w:numId w:val="0"/>
        </w:numPr>
        <w:kinsoku/>
        <w:wordWrap/>
        <w:overflowPunct/>
        <w:topLinePunct w:val="0"/>
        <w:autoSpaceDE/>
        <w:autoSpaceDN/>
        <w:bidi w:val="0"/>
        <w:adjustRightInd w:val="0"/>
        <w:snapToGrid w:val="0"/>
        <w:spacing w:before="0" w:after="0" w:line="560" w:lineRule="exact"/>
        <w:ind w:firstLine="643" w:firstLineChars="200"/>
        <w:textAlignment w:val="auto"/>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color w:val="auto"/>
          <w:sz w:val="32"/>
          <w:szCs w:val="32"/>
          <w:highlight w:val="none"/>
          <w:lang w:val="en-US" w:eastAsia="zh-CN"/>
        </w:rPr>
        <w:t>4.</w:t>
      </w:r>
      <w:r>
        <w:rPr>
          <w:rFonts w:hint="eastAsia" w:ascii="方正仿宋_GBK" w:hAnsi="方正仿宋_GBK" w:eastAsia="方正仿宋_GBK" w:cs="方正仿宋_GBK"/>
          <w:color w:val="auto"/>
          <w:sz w:val="32"/>
          <w:szCs w:val="32"/>
          <w:highlight w:val="none"/>
        </w:rPr>
        <w:t>夯实居家社区养老服务基础</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完善居家社区养老服务网络，推进居家养老服务建设。</w:t>
      </w:r>
      <w:r>
        <w:rPr>
          <w:rFonts w:hint="eastAsia" w:ascii="方正仿宋_GBK" w:hAnsi="方正仿宋_GBK" w:eastAsia="方正仿宋_GBK" w:cs="方正仿宋_GBK"/>
          <w:b w:val="0"/>
          <w:bCs w:val="0"/>
          <w:color w:val="auto"/>
          <w:sz w:val="32"/>
          <w:szCs w:val="32"/>
          <w:highlight w:val="none"/>
          <w:lang w:eastAsia="zh-CN"/>
        </w:rPr>
        <w:t>十三五期间</w:t>
      </w:r>
      <w:r>
        <w:rPr>
          <w:rFonts w:hint="eastAsia" w:ascii="方正仿宋_GBK" w:hAnsi="方正仿宋_GBK" w:eastAsia="方正仿宋_GBK" w:cs="方正仿宋_GBK"/>
          <w:b w:val="0"/>
          <w:bCs w:val="0"/>
          <w:color w:val="auto"/>
          <w:sz w:val="32"/>
          <w:szCs w:val="32"/>
          <w:highlight w:val="none"/>
        </w:rPr>
        <w:t>，通过点面结合，整合资源，推进居家养老服务站点</w:t>
      </w:r>
      <w:r>
        <w:rPr>
          <w:rFonts w:hint="eastAsia" w:ascii="方正仿宋_GBK" w:hAnsi="方正仿宋_GBK" w:eastAsia="方正仿宋_GBK" w:cs="方正仿宋_GBK"/>
          <w:b w:val="0"/>
          <w:bCs w:val="0"/>
          <w:color w:val="auto"/>
          <w:sz w:val="32"/>
          <w:szCs w:val="32"/>
          <w:highlight w:val="none"/>
          <w:lang w:eastAsia="zh-CN"/>
        </w:rPr>
        <w:t>建设，</w:t>
      </w:r>
      <w:r>
        <w:rPr>
          <w:rFonts w:hint="eastAsia" w:ascii="方正仿宋_GBK" w:hAnsi="方正仿宋_GBK" w:eastAsia="方正仿宋_GBK" w:cs="方正仿宋_GBK"/>
          <w:b w:val="0"/>
          <w:bCs w:val="0"/>
          <w:color w:val="auto"/>
          <w:sz w:val="32"/>
          <w:szCs w:val="32"/>
          <w:highlight w:val="none"/>
        </w:rPr>
        <w:t>建有</w:t>
      </w:r>
      <w:r>
        <w:rPr>
          <w:rFonts w:hint="eastAsia" w:ascii="方正仿宋_GBK" w:hAnsi="方正仿宋_GBK" w:eastAsia="方正仿宋_GBK" w:cs="方正仿宋_GBK"/>
          <w:b w:val="0"/>
          <w:bCs w:val="0"/>
          <w:color w:val="auto"/>
          <w:sz w:val="32"/>
          <w:szCs w:val="32"/>
          <w:highlight w:val="none"/>
          <w:lang w:eastAsia="zh-CN"/>
        </w:rPr>
        <w:t>57间</w:t>
      </w:r>
      <w:r>
        <w:rPr>
          <w:rFonts w:hint="eastAsia" w:ascii="方正仿宋_GBK" w:hAnsi="方正仿宋_GBK" w:eastAsia="方正仿宋_GBK" w:cs="方正仿宋_GBK"/>
          <w:b w:val="0"/>
          <w:bCs w:val="0"/>
          <w:color w:val="auto"/>
          <w:sz w:val="32"/>
          <w:szCs w:val="32"/>
          <w:highlight w:val="none"/>
        </w:rPr>
        <w:t>居家社区养老服务机构，覆盖</w:t>
      </w:r>
      <w:r>
        <w:rPr>
          <w:rFonts w:hint="eastAsia" w:ascii="方正仿宋_GBK" w:hAnsi="方正仿宋_GBK" w:eastAsia="方正仿宋_GBK" w:cs="方正仿宋_GBK"/>
          <w:b w:val="0"/>
          <w:bCs w:val="0"/>
          <w:color w:val="auto"/>
          <w:sz w:val="32"/>
          <w:szCs w:val="32"/>
          <w:highlight w:val="none"/>
          <w:lang w:eastAsia="zh-CN"/>
        </w:rPr>
        <w:t>各</w:t>
      </w:r>
      <w:r>
        <w:rPr>
          <w:rFonts w:hint="eastAsia" w:ascii="方正仿宋_GBK" w:hAnsi="方正仿宋_GBK" w:eastAsia="方正仿宋_GBK" w:cs="方正仿宋_GBK"/>
          <w:b w:val="0"/>
          <w:bCs w:val="0"/>
          <w:color w:val="auto"/>
          <w:sz w:val="32"/>
          <w:szCs w:val="32"/>
          <w:highlight w:val="none"/>
        </w:rPr>
        <w:t>镇</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街</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w:t>
      </w:r>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color w:val="auto"/>
          <w:sz w:val="32"/>
          <w:szCs w:val="32"/>
          <w:highlight w:val="none"/>
        </w:rPr>
      </w:pPr>
      <w:r>
        <w:rPr>
          <w:rFonts w:hint="eastAsia" w:ascii="方正仿宋_GBK" w:hAnsi="方正仿宋_GBK" w:eastAsia="方正仿宋_GBK" w:cs="方正仿宋_GBK"/>
          <w:color w:val="auto"/>
          <w:sz w:val="32"/>
          <w:szCs w:val="32"/>
          <w:highlight w:val="none"/>
          <w:lang w:eastAsia="zh-CN"/>
        </w:rPr>
        <w:t>此外，以居家社区养老服务设施建设为抓手，</w:t>
      </w:r>
      <w:r>
        <w:rPr>
          <w:rFonts w:hint="eastAsia" w:ascii="方正仿宋_GBK" w:hAnsi="方正仿宋_GBK" w:eastAsia="方正仿宋_GBK" w:cs="方正仿宋_GBK"/>
          <w:color w:val="auto"/>
          <w:sz w:val="32"/>
          <w:szCs w:val="32"/>
          <w:highlight w:val="none"/>
        </w:rPr>
        <w:t>全力打造</w:t>
      </w:r>
      <w:r>
        <w:rPr>
          <w:rFonts w:hint="eastAsia" w:ascii="方正仿宋_GBK" w:hAnsi="方正仿宋_GBK" w:eastAsia="方正仿宋_GBK" w:cs="方正仿宋_GBK"/>
          <w:color w:val="auto"/>
          <w:sz w:val="32"/>
          <w:szCs w:val="32"/>
          <w:highlight w:val="none"/>
          <w:lang w:eastAsia="zh-CN"/>
        </w:rPr>
        <w:t>居家养老助残服务</w:t>
      </w:r>
      <w:r>
        <w:rPr>
          <w:rFonts w:hint="eastAsia" w:ascii="方正仿宋_GBK" w:hAnsi="方正仿宋_GBK" w:eastAsia="方正仿宋_GBK" w:cs="方正仿宋_GBK"/>
          <w:color w:val="auto"/>
          <w:sz w:val="32"/>
          <w:szCs w:val="32"/>
          <w:highlight w:val="none"/>
        </w:rPr>
        <w:t>“平安通”</w:t>
      </w:r>
      <w:r>
        <w:rPr>
          <w:rFonts w:hint="eastAsia" w:ascii="方正仿宋_GBK" w:hAnsi="方正仿宋_GBK" w:eastAsia="方正仿宋_GBK" w:cs="方正仿宋_GBK"/>
          <w:color w:val="auto"/>
          <w:sz w:val="32"/>
          <w:szCs w:val="32"/>
          <w:highlight w:val="none"/>
          <w:lang w:eastAsia="zh-CN"/>
        </w:rPr>
        <w:t>项目</w:t>
      </w:r>
      <w:r>
        <w:rPr>
          <w:rFonts w:hint="eastAsia" w:ascii="方正仿宋_GBK" w:hAnsi="方正仿宋_GBK" w:eastAsia="方正仿宋_GBK" w:cs="方正仿宋_GBK"/>
          <w:color w:val="auto"/>
          <w:sz w:val="32"/>
          <w:szCs w:val="32"/>
          <w:highlight w:val="none"/>
        </w:rPr>
        <w:t>、“鹤友”</w:t>
      </w:r>
      <w:r>
        <w:rPr>
          <w:rFonts w:hint="eastAsia" w:ascii="方正仿宋_GBK" w:hAnsi="方正仿宋_GBK" w:eastAsia="方正仿宋_GBK" w:cs="方正仿宋_GBK"/>
          <w:color w:val="auto"/>
          <w:sz w:val="32"/>
          <w:szCs w:val="32"/>
          <w:highlight w:val="none"/>
          <w:lang w:eastAsia="zh-CN"/>
        </w:rPr>
        <w:t>长者食堂</w:t>
      </w:r>
      <w:r>
        <w:rPr>
          <w:rFonts w:hint="eastAsia" w:ascii="方正仿宋_GBK" w:hAnsi="方正仿宋_GBK" w:eastAsia="方正仿宋_GBK" w:cs="方正仿宋_GBK"/>
          <w:color w:val="auto"/>
          <w:sz w:val="32"/>
          <w:szCs w:val="32"/>
          <w:highlight w:val="none"/>
        </w:rPr>
        <w:t>“大助餐”项目</w:t>
      </w:r>
      <w:r>
        <w:rPr>
          <w:rFonts w:hint="eastAsia" w:ascii="方正仿宋_GBK" w:hAnsi="方正仿宋_GBK" w:eastAsia="方正仿宋_GBK" w:cs="方正仿宋_GBK"/>
          <w:color w:val="auto"/>
          <w:sz w:val="32"/>
          <w:szCs w:val="32"/>
          <w:highlight w:val="none"/>
          <w:lang w:eastAsia="zh-CN"/>
        </w:rPr>
        <w:t>、老年人能力评估项目</w:t>
      </w:r>
      <w:r>
        <w:rPr>
          <w:rFonts w:hint="eastAsia" w:ascii="方正仿宋_GBK" w:hAnsi="方正仿宋_GBK" w:eastAsia="方正仿宋_GBK" w:cs="方正仿宋_GBK"/>
          <w:color w:val="auto"/>
          <w:sz w:val="32"/>
          <w:szCs w:val="32"/>
          <w:highlight w:val="none"/>
        </w:rPr>
        <w:t>等</w:t>
      </w:r>
      <w:r>
        <w:rPr>
          <w:rFonts w:hint="eastAsia" w:ascii="方正仿宋_GBK" w:hAnsi="方正仿宋_GBK" w:eastAsia="方正仿宋_GBK" w:cs="方正仿宋_GBK"/>
          <w:color w:val="auto"/>
          <w:sz w:val="32"/>
          <w:szCs w:val="32"/>
          <w:highlight w:val="none"/>
          <w:lang w:eastAsia="zh-CN"/>
        </w:rPr>
        <w:t>居家养老服务设施建设</w:t>
      </w:r>
      <w:r>
        <w:rPr>
          <w:rFonts w:hint="eastAsia" w:ascii="方正仿宋_GBK" w:hAnsi="方正仿宋_GBK" w:eastAsia="方正仿宋_GBK" w:cs="方正仿宋_GBK"/>
          <w:color w:val="auto"/>
          <w:sz w:val="32"/>
          <w:szCs w:val="32"/>
          <w:highlight w:val="none"/>
        </w:rPr>
        <w:t>，不断完善我市</w:t>
      </w:r>
      <w:r>
        <w:rPr>
          <w:rFonts w:hint="eastAsia" w:ascii="方正仿宋_GBK" w:hAnsi="方正仿宋_GBK" w:eastAsia="方正仿宋_GBK" w:cs="方正仿宋_GBK"/>
          <w:color w:val="auto"/>
          <w:sz w:val="32"/>
          <w:szCs w:val="32"/>
          <w:highlight w:val="none"/>
          <w:lang w:eastAsia="zh-CN"/>
        </w:rPr>
        <w:t>居家</w:t>
      </w:r>
      <w:r>
        <w:rPr>
          <w:rFonts w:hint="eastAsia" w:ascii="方正仿宋_GBK" w:hAnsi="方正仿宋_GBK" w:eastAsia="方正仿宋_GBK" w:cs="方正仿宋_GBK"/>
          <w:color w:val="auto"/>
          <w:sz w:val="32"/>
          <w:szCs w:val="32"/>
          <w:highlight w:val="none"/>
        </w:rPr>
        <w:t>养老体系建设，满足老年人在家门口养老</w:t>
      </w:r>
      <w:r>
        <w:rPr>
          <w:rFonts w:hint="eastAsia" w:ascii="方正仿宋_GBK" w:hAnsi="方正仿宋_GBK" w:eastAsia="方正仿宋_GBK" w:cs="方正仿宋_GBK"/>
          <w:color w:val="auto"/>
          <w:sz w:val="32"/>
          <w:szCs w:val="32"/>
          <w:highlight w:val="none"/>
          <w:lang w:eastAsia="zh-CN"/>
        </w:rPr>
        <w:t>的</w:t>
      </w:r>
      <w:r>
        <w:rPr>
          <w:rFonts w:hint="eastAsia" w:ascii="方正仿宋_GBK" w:hAnsi="方正仿宋_GBK" w:eastAsia="方正仿宋_GBK" w:cs="方正仿宋_GBK"/>
          <w:color w:val="auto"/>
          <w:sz w:val="32"/>
          <w:szCs w:val="32"/>
          <w:highlight w:val="none"/>
        </w:rPr>
        <w:t>需求。</w:t>
      </w:r>
    </w:p>
    <w:tbl>
      <w:tblPr>
        <w:tblStyle w:val="19"/>
        <w:tblW w:w="87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2"/>
        <w:gridCol w:w="3053"/>
        <w:gridCol w:w="3825"/>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6" w:type="dxa"/>
            <w:gridSpan w:val="4"/>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baseline"/>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b/>
                <w:bCs/>
                <w:color w:val="auto"/>
                <w:kern w:val="2"/>
                <w:sz w:val="28"/>
                <w:szCs w:val="28"/>
                <w:highlight w:val="none"/>
                <w:lang w:val="en-US" w:eastAsia="zh-CN" w:bidi="ar-SA"/>
              </w:rPr>
              <w:t>专栏2：“十三五”期间鹤山市居家社区养老服务项目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baseline"/>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项目名称</w:t>
            </w:r>
          </w:p>
        </w:tc>
        <w:tc>
          <w:tcPr>
            <w:tcW w:w="3105"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baseline"/>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项目内容</w:t>
            </w:r>
          </w:p>
        </w:tc>
        <w:tc>
          <w:tcPr>
            <w:tcW w:w="3870"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baseline"/>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项目成效</w:t>
            </w:r>
          </w:p>
        </w:tc>
        <w:tc>
          <w:tcPr>
            <w:tcW w:w="958"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baseline"/>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覆盖镇（街）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baseline"/>
              <w:rPr>
                <w:rFonts w:hint="eastAsia" w:ascii="方正仿宋_GBK" w:hAnsi="方正仿宋_GBK" w:eastAsia="方正仿宋_GBK" w:cs="方正仿宋_GBK"/>
                <w:color w:val="auto"/>
                <w:sz w:val="28"/>
                <w:szCs w:val="28"/>
                <w:highlight w:val="none"/>
                <w:vertAlign w:val="baseline"/>
              </w:rPr>
            </w:pPr>
            <w:r>
              <w:rPr>
                <w:rFonts w:hint="eastAsia" w:ascii="方正仿宋_GBK" w:hAnsi="方正仿宋_GBK" w:eastAsia="方正仿宋_GBK" w:cs="方正仿宋_GBK"/>
                <w:color w:val="auto"/>
                <w:sz w:val="28"/>
                <w:szCs w:val="28"/>
                <w:highlight w:val="none"/>
                <w:lang w:eastAsia="zh-CN"/>
              </w:rPr>
              <w:t>居家养老助残服务</w:t>
            </w:r>
            <w:r>
              <w:rPr>
                <w:rFonts w:hint="eastAsia" w:ascii="方正仿宋_GBK" w:hAnsi="方正仿宋_GBK" w:eastAsia="方正仿宋_GBK" w:cs="方正仿宋_GBK"/>
                <w:color w:val="auto"/>
                <w:sz w:val="28"/>
                <w:szCs w:val="28"/>
                <w:highlight w:val="none"/>
              </w:rPr>
              <w:t>“平安通”</w:t>
            </w:r>
            <w:r>
              <w:rPr>
                <w:rFonts w:hint="eastAsia" w:ascii="方正仿宋_GBK" w:hAnsi="方正仿宋_GBK" w:eastAsia="方正仿宋_GBK" w:cs="方正仿宋_GBK"/>
                <w:color w:val="auto"/>
                <w:sz w:val="28"/>
                <w:szCs w:val="28"/>
                <w:highlight w:val="none"/>
                <w:lang w:eastAsia="zh-CN"/>
              </w:rPr>
              <w:t>项目</w:t>
            </w:r>
          </w:p>
        </w:tc>
        <w:tc>
          <w:tcPr>
            <w:tcW w:w="3105"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baseline"/>
              <w:rPr>
                <w:rFonts w:hint="eastAsia" w:ascii="方正仿宋_GBK" w:hAnsi="方正仿宋_GBK" w:eastAsia="方正仿宋_GBK" w:cs="方正仿宋_GBK"/>
                <w:color w:val="auto"/>
                <w:sz w:val="28"/>
                <w:szCs w:val="28"/>
                <w:highlight w:val="none"/>
                <w:vertAlign w:val="baseline"/>
              </w:rPr>
            </w:pPr>
            <w:r>
              <w:rPr>
                <w:rFonts w:hint="eastAsia" w:ascii="方正仿宋_GBK" w:hAnsi="方正仿宋_GBK" w:eastAsia="方正仿宋_GBK" w:cs="方正仿宋_GBK"/>
                <w:color w:val="auto"/>
                <w:sz w:val="28"/>
                <w:szCs w:val="28"/>
                <w:highlight w:val="none"/>
                <w:lang w:eastAsia="zh-CN"/>
              </w:rPr>
              <w:t>项目通过整合政府和社会资源，建立居家养老助残服务</w:t>
            </w:r>
            <w:r>
              <w:rPr>
                <w:rFonts w:hint="eastAsia" w:ascii="方正仿宋_GBK" w:hAnsi="方正仿宋_GBK" w:eastAsia="方正仿宋_GBK" w:cs="方正仿宋_GBK"/>
                <w:color w:val="auto"/>
                <w:sz w:val="28"/>
                <w:szCs w:val="28"/>
                <w:highlight w:val="none"/>
              </w:rPr>
              <w:t>“平安通”</w:t>
            </w:r>
            <w:r>
              <w:rPr>
                <w:rFonts w:hint="eastAsia" w:ascii="方正仿宋_GBK" w:hAnsi="方正仿宋_GBK" w:eastAsia="方正仿宋_GBK" w:cs="方正仿宋_GBK"/>
                <w:color w:val="auto"/>
                <w:sz w:val="28"/>
                <w:szCs w:val="28"/>
                <w:highlight w:val="none"/>
                <w:lang w:eastAsia="zh-CN"/>
              </w:rPr>
              <w:t>服务平台，为老年人、残疾人提供全天候紧急支援、医疗急救、主动关怀、情绪支援、政策咨询、信息查询、资源链接与转介等服务。</w:t>
            </w:r>
          </w:p>
        </w:tc>
        <w:tc>
          <w:tcPr>
            <w:tcW w:w="3870"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方正仿宋_GBK" w:hAnsi="方正仿宋_GBK" w:eastAsia="方正仿宋_GBK" w:cs="方正仿宋_GBK"/>
                <w:color w:val="auto"/>
                <w:sz w:val="28"/>
                <w:szCs w:val="28"/>
                <w:highlight w:val="none"/>
                <w:vertAlign w:val="baseline"/>
                <w:lang w:val="en-US"/>
              </w:rPr>
            </w:pPr>
            <w:r>
              <w:rPr>
                <w:rFonts w:hint="eastAsia" w:ascii="方正仿宋_GBK" w:hAnsi="方正仿宋_GBK" w:eastAsia="方正仿宋_GBK" w:cs="方正仿宋_GBK"/>
                <w:color w:val="auto"/>
                <w:kern w:val="2"/>
                <w:sz w:val="28"/>
                <w:szCs w:val="28"/>
                <w:highlight w:val="none"/>
                <w:u w:val="none"/>
                <w:lang w:val="en-US" w:eastAsia="zh-CN" w:bidi="ar-SA"/>
              </w:rPr>
              <w:t>截至2020年12月底，我市平安通累计服务1089人，提供紧急呼唤服务4宗，心理情绪疏导185人次，咨询转介服务121人次，主动关爱服务约679人次，及时帮助老人化解困境。</w:t>
            </w:r>
          </w:p>
        </w:tc>
        <w:tc>
          <w:tcPr>
            <w:tcW w:w="958"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baseline"/>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沙坪街道、古劳镇、桃源镇、龙口镇和全市分散特困供养人员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baseline"/>
              <w:rPr>
                <w:rFonts w:hint="eastAsia" w:ascii="方正仿宋_GBK" w:hAnsi="方正仿宋_GBK" w:eastAsia="方正仿宋_GBK" w:cs="方正仿宋_GBK"/>
                <w:color w:val="auto"/>
                <w:sz w:val="28"/>
                <w:szCs w:val="28"/>
                <w:highlight w:val="none"/>
                <w:vertAlign w:val="baseline"/>
              </w:rPr>
            </w:pPr>
            <w:r>
              <w:rPr>
                <w:rFonts w:hint="eastAsia" w:ascii="方正仿宋_GBK" w:hAnsi="方正仿宋_GBK" w:eastAsia="方正仿宋_GBK" w:cs="方正仿宋_GBK"/>
                <w:color w:val="auto"/>
                <w:sz w:val="28"/>
                <w:szCs w:val="28"/>
                <w:highlight w:val="none"/>
                <w:lang w:eastAsia="zh-CN"/>
              </w:rPr>
              <w:t>“鹤友”长者食堂</w:t>
            </w:r>
            <w:r>
              <w:rPr>
                <w:rFonts w:hint="eastAsia" w:ascii="方正仿宋_GBK" w:hAnsi="方正仿宋_GBK" w:eastAsia="方正仿宋_GBK" w:cs="方正仿宋_GBK"/>
                <w:color w:val="auto"/>
                <w:sz w:val="28"/>
                <w:szCs w:val="28"/>
                <w:highlight w:val="none"/>
              </w:rPr>
              <w:t>“大助餐”项目</w:t>
            </w:r>
          </w:p>
        </w:tc>
        <w:tc>
          <w:tcPr>
            <w:tcW w:w="3105"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baseline"/>
              <w:rPr>
                <w:rFonts w:hint="eastAsia" w:ascii="方正仿宋_GBK" w:hAnsi="方正仿宋_GBK" w:eastAsia="方正仿宋_GBK" w:cs="方正仿宋_GBK"/>
                <w:color w:val="auto"/>
                <w:sz w:val="28"/>
                <w:szCs w:val="28"/>
                <w:highlight w:val="none"/>
                <w:vertAlign w:val="baseline"/>
                <w:lang w:eastAsia="zh-CN"/>
              </w:rPr>
            </w:pPr>
            <w:r>
              <w:rPr>
                <w:rFonts w:hint="eastAsia" w:ascii="方正仿宋_GBK" w:hAnsi="方正仿宋_GBK" w:eastAsia="方正仿宋_GBK" w:cs="方正仿宋_GBK"/>
                <w:color w:val="auto"/>
                <w:kern w:val="2"/>
                <w:sz w:val="28"/>
                <w:szCs w:val="28"/>
                <w:highlight w:val="none"/>
                <w:lang w:val="en-US" w:eastAsia="zh-CN" w:bidi="ar-SA"/>
              </w:rPr>
              <w:t>为推进我市居家养老服务发展，我市以解决居家长者用餐需求为切入点，以“政府搭台、慈善组织资助、社区积极参与、机构运营”的模式推进长者食堂建设，为长者提供用餐服务，满足老年人多层次多元化养老服务需求。</w:t>
            </w:r>
          </w:p>
        </w:tc>
        <w:tc>
          <w:tcPr>
            <w:tcW w:w="3870"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baseline"/>
              <w:rPr>
                <w:rFonts w:hint="eastAsia" w:ascii="方正仿宋_GBK" w:hAnsi="方正仿宋_GBK" w:eastAsia="方正仿宋_GBK" w:cs="方正仿宋_GBK"/>
                <w:color w:val="auto"/>
                <w:kern w:val="2"/>
                <w:sz w:val="28"/>
                <w:szCs w:val="28"/>
                <w:highlight w:val="none"/>
                <w:u w:val="none"/>
                <w:lang w:val="en-US" w:eastAsia="zh-CN" w:bidi="ar-SA"/>
              </w:rPr>
            </w:pPr>
            <w:r>
              <w:rPr>
                <w:rFonts w:hint="eastAsia" w:ascii="方正仿宋_GBK" w:hAnsi="方正仿宋_GBK" w:eastAsia="方正仿宋_GBK" w:cs="方正仿宋_GBK"/>
                <w:color w:val="auto"/>
                <w:kern w:val="2"/>
                <w:sz w:val="28"/>
                <w:szCs w:val="28"/>
                <w:highlight w:val="none"/>
                <w:u w:val="none"/>
                <w:lang w:val="en-US" w:eastAsia="zh-CN" w:bidi="ar-SA"/>
              </w:rPr>
              <w:t>2019-2020年，我市共投入约400万元建设7个长者食堂项目：沙坪街道桂林社区、沙坪街道新升社区、沙坪街道南山公园、址山镇四九村、桃源镇龙溪村、龙口镇湴蓼村和双合镇泗合村长者食堂。</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baseline"/>
              <w:rPr>
                <w:rFonts w:hint="eastAsia" w:ascii="方正仿宋_GBK" w:hAnsi="方正仿宋_GBK" w:eastAsia="方正仿宋_GBK" w:cs="方正仿宋_GBK"/>
                <w:color w:val="auto"/>
                <w:sz w:val="28"/>
                <w:szCs w:val="28"/>
                <w:highlight w:val="none"/>
                <w:vertAlign w:val="baseline"/>
              </w:rPr>
            </w:pPr>
            <w:r>
              <w:rPr>
                <w:rFonts w:hint="eastAsia" w:ascii="方正仿宋_GBK" w:hAnsi="方正仿宋_GBK" w:eastAsia="方正仿宋_GBK" w:cs="方正仿宋_GBK"/>
                <w:color w:val="auto"/>
                <w:kern w:val="2"/>
                <w:sz w:val="28"/>
                <w:szCs w:val="28"/>
                <w:highlight w:val="none"/>
                <w:lang w:val="en-US" w:eastAsia="zh-CN" w:bidi="ar-SA"/>
              </w:rPr>
              <w:t>“大助餐”试点项目自2019年6月运营以来反响十分热烈，受到社会广泛关注。同时，市民政局对接市慈善会资源，资助长者饭堂就餐的特困、低保和重残等困难老人群体。</w:t>
            </w:r>
          </w:p>
        </w:tc>
        <w:tc>
          <w:tcPr>
            <w:tcW w:w="958"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baseline"/>
              <w:rPr>
                <w:rFonts w:hint="eastAsia" w:ascii="方正仿宋_GBK" w:hAnsi="方正仿宋_GBK" w:eastAsia="方正仿宋_GBK" w:cs="方正仿宋_GBK"/>
                <w:color w:val="auto"/>
                <w:sz w:val="28"/>
                <w:szCs w:val="28"/>
                <w:highlight w:val="none"/>
                <w:vertAlign w:val="baseline"/>
                <w:lang w:eastAsia="zh-CN"/>
              </w:rPr>
            </w:pPr>
            <w:r>
              <w:rPr>
                <w:rFonts w:hint="eastAsia" w:ascii="方正仿宋_GBK" w:hAnsi="方正仿宋_GBK" w:eastAsia="方正仿宋_GBK" w:cs="方正仿宋_GBK"/>
                <w:color w:val="auto"/>
                <w:kern w:val="2"/>
                <w:sz w:val="28"/>
                <w:szCs w:val="28"/>
                <w:highlight w:val="none"/>
                <w:lang w:val="en-US" w:eastAsia="zh-CN" w:bidi="ar-SA"/>
              </w:rPr>
              <w:t>沙坪街道、桃源镇、龙口镇、址山镇、双合镇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baseline"/>
              <w:rPr>
                <w:rFonts w:hint="eastAsia" w:ascii="方正仿宋_GBK" w:hAnsi="方正仿宋_GBK" w:eastAsia="方正仿宋_GBK" w:cs="方正仿宋_GBK"/>
                <w:color w:val="auto"/>
                <w:sz w:val="28"/>
                <w:szCs w:val="28"/>
                <w:highlight w:val="none"/>
                <w:vertAlign w:val="baseline"/>
              </w:rPr>
            </w:pPr>
            <w:r>
              <w:rPr>
                <w:rFonts w:hint="eastAsia" w:ascii="方正仿宋_GBK" w:hAnsi="方正仿宋_GBK" w:eastAsia="方正仿宋_GBK" w:cs="方正仿宋_GBK"/>
                <w:color w:val="auto"/>
                <w:sz w:val="28"/>
                <w:szCs w:val="28"/>
                <w:highlight w:val="none"/>
                <w:lang w:eastAsia="zh-CN"/>
              </w:rPr>
              <w:t>老年人能力评估项目</w:t>
            </w:r>
          </w:p>
        </w:tc>
        <w:tc>
          <w:tcPr>
            <w:tcW w:w="3105" w:type="dxa"/>
            <w:vAlign w:val="center"/>
          </w:tcPr>
          <w:p>
            <w:pPr>
              <w:pageBreakBefore w:val="0"/>
              <w:widowControl w:val="0"/>
              <w:kinsoku/>
              <w:wordWrap/>
              <w:overflowPunct/>
              <w:topLinePunct w:val="0"/>
              <w:autoSpaceDE/>
              <w:autoSpaceDN/>
              <w:bidi w:val="0"/>
              <w:spacing w:line="560" w:lineRule="exact"/>
              <w:ind w:firstLine="560" w:firstLineChars="200"/>
              <w:jc w:val="both"/>
              <w:rPr>
                <w:rFonts w:hint="eastAsia" w:ascii="方正仿宋_GBK" w:hAnsi="方正仿宋_GBK" w:eastAsia="方正仿宋_GBK" w:cs="方正仿宋_GBK"/>
                <w:color w:val="auto"/>
                <w:sz w:val="28"/>
                <w:szCs w:val="28"/>
                <w:highlight w:val="none"/>
                <w:vertAlign w:val="baseline"/>
              </w:rPr>
            </w:pPr>
            <w:r>
              <w:rPr>
                <w:rFonts w:hint="eastAsia" w:ascii="方正仿宋_GBK" w:hAnsi="方正仿宋_GBK" w:eastAsia="方正仿宋_GBK" w:cs="方正仿宋_GBK"/>
                <w:color w:val="auto"/>
                <w:kern w:val="2"/>
                <w:sz w:val="28"/>
                <w:szCs w:val="28"/>
                <w:highlight w:val="none"/>
                <w:lang w:val="en-US" w:eastAsia="zh-CN" w:bidi="ar-SA"/>
              </w:rPr>
              <w:t>通过开展老年人能力评估，科学确定老年人养老服务需求、护理等级，实现照护服务与老年人照护需求合理匹配，促进养老服务资源公平有效配置。评估结果将作为未来我市老年人享受养老服务补贴、申请养老服务资源等政策的依据。</w:t>
            </w:r>
          </w:p>
        </w:tc>
        <w:tc>
          <w:tcPr>
            <w:tcW w:w="3870"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baseline"/>
              <w:rPr>
                <w:rFonts w:hint="default" w:ascii="方正仿宋_GBK" w:hAnsi="方正仿宋_GBK" w:eastAsia="方正仿宋_GBK" w:cs="方正仿宋_GBK"/>
                <w:color w:val="auto"/>
                <w:sz w:val="28"/>
                <w:szCs w:val="28"/>
                <w:highlight w:val="none"/>
                <w:vertAlign w:val="baseline"/>
                <w:lang w:val="en-US"/>
              </w:rPr>
            </w:pPr>
            <w:r>
              <w:rPr>
                <w:rFonts w:hint="eastAsia" w:ascii="方正仿宋_GBK" w:hAnsi="方正仿宋_GBK" w:eastAsia="方正仿宋_GBK" w:cs="方正仿宋_GBK"/>
                <w:color w:val="auto"/>
                <w:kern w:val="2"/>
                <w:sz w:val="28"/>
                <w:szCs w:val="28"/>
                <w:highlight w:val="none"/>
                <w:lang w:val="en-US" w:eastAsia="zh-CN" w:bidi="ar-SA"/>
              </w:rPr>
              <w:t>评估对象覆盖全市低保家庭、低收入家庭和特困供养60岁以上老人，截</w:t>
            </w:r>
            <w:r>
              <w:rPr>
                <w:rFonts w:hint="eastAsia" w:ascii="方正仿宋_GBK" w:hAnsi="方正仿宋_GBK" w:eastAsia="方正仿宋_GBK" w:cs="方正仿宋_GBK"/>
                <w:strike w:val="0"/>
                <w:dstrike w:val="0"/>
                <w:color w:val="auto"/>
                <w:kern w:val="2"/>
                <w:sz w:val="28"/>
                <w:szCs w:val="28"/>
                <w:highlight w:val="none"/>
                <w:u w:val="none"/>
                <w:lang w:val="en-US" w:eastAsia="zh-CN" w:bidi="ar-SA"/>
              </w:rPr>
              <w:t>至2020年12月，共评估1929人。</w:t>
            </w:r>
          </w:p>
        </w:tc>
        <w:tc>
          <w:tcPr>
            <w:tcW w:w="958"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baseline"/>
              <w:rPr>
                <w:rFonts w:hint="eastAsia" w:ascii="方正仿宋_GBK" w:hAnsi="方正仿宋_GBK" w:eastAsia="方正仿宋_GBK" w:cs="方正仿宋_GBK"/>
                <w:color w:val="auto"/>
                <w:sz w:val="28"/>
                <w:szCs w:val="28"/>
                <w:highlight w:val="none"/>
                <w:vertAlign w:val="baseline"/>
                <w:lang w:eastAsia="zh-CN"/>
              </w:rPr>
            </w:pPr>
            <w:r>
              <w:rPr>
                <w:rFonts w:hint="eastAsia" w:ascii="方正仿宋_GBK" w:hAnsi="方正仿宋_GBK" w:eastAsia="方正仿宋_GBK" w:cs="方正仿宋_GBK"/>
                <w:color w:val="auto"/>
                <w:kern w:val="2"/>
                <w:sz w:val="28"/>
                <w:szCs w:val="28"/>
                <w:highlight w:val="none"/>
                <w:lang w:val="en-US" w:eastAsia="zh-CN" w:bidi="ar-SA"/>
              </w:rPr>
              <w:t>全市</w:t>
            </w:r>
          </w:p>
        </w:tc>
      </w:tr>
    </w:tbl>
    <w:p>
      <w:pPr>
        <w:pStyle w:val="6"/>
        <w:keepNext/>
        <w:keepLines/>
        <w:pageBreakBefore w:val="0"/>
        <w:widowControl w:val="0"/>
        <w:kinsoku/>
        <w:wordWrap/>
        <w:overflowPunct/>
        <w:topLinePunct w:val="0"/>
        <w:autoSpaceDE/>
        <w:autoSpaceDN/>
        <w:bidi w:val="0"/>
        <w:adjustRightInd w:val="0"/>
        <w:snapToGrid w:val="0"/>
        <w:spacing w:before="0" w:after="0" w:line="560" w:lineRule="exact"/>
        <w:ind w:firstLine="643"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val="en-US" w:eastAsia="zh-CN"/>
        </w:rPr>
        <w:t>5.</w:t>
      </w:r>
      <w:r>
        <w:rPr>
          <w:rFonts w:hint="eastAsia" w:ascii="方正仿宋_GBK" w:hAnsi="方正仿宋_GBK" w:eastAsia="方正仿宋_GBK" w:cs="方正仿宋_GBK"/>
          <w:color w:val="auto"/>
          <w:sz w:val="32"/>
          <w:szCs w:val="32"/>
          <w:highlight w:val="none"/>
        </w:rPr>
        <w:t>强化养老服务队伍专业能力</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b w:val="0"/>
          <w:bCs w:val="0"/>
          <w:color w:val="auto"/>
          <w:kern w:val="2"/>
          <w:sz w:val="32"/>
          <w:szCs w:val="32"/>
          <w:highlight w:val="none"/>
          <w:lang w:val="en-US" w:eastAsia="zh-CN" w:bidi="ar-SA"/>
        </w:rPr>
        <w:t>加大政策支持与经费投入，通过政府组织及机构自行定制等多种形式，从专业技能、职业道德、安全应急等多方面对养老从业人员进行常态化培训，推动人才队伍的专业化发展。“十三五”期间，我市共组织相关培训19场，参与人数累计545人次。</w:t>
      </w:r>
    </w:p>
    <w:p>
      <w:pPr>
        <w:pageBreakBefore w:val="0"/>
        <w:kinsoku/>
        <w:wordWrap/>
        <w:overflowPunct/>
        <w:topLinePunct w:val="0"/>
        <w:autoSpaceDE/>
        <w:autoSpaceDN/>
        <w:bidi w:val="0"/>
        <w:snapToGrid w:val="0"/>
        <w:spacing w:line="560" w:lineRule="exact"/>
        <w:ind w:firstLine="640" w:firstLineChars="200"/>
        <w:jc w:val="left"/>
        <w:rPr>
          <w:rFonts w:hint="default" w:ascii="方正仿宋_GBK" w:hAnsi="方正仿宋_GBK" w:eastAsia="方正仿宋_GBK" w:cs="方正仿宋_GBK"/>
          <w:color w:val="auto"/>
          <w:sz w:val="32"/>
          <w:szCs w:val="32"/>
          <w:highlight w:val="none"/>
          <w:u w:val="single"/>
          <w:lang w:val="en-US" w:eastAsia="zh-CN"/>
        </w:rPr>
      </w:pPr>
      <w:r>
        <w:rPr>
          <w:rFonts w:hint="eastAsia" w:ascii="方正仿宋_GBK" w:hAnsi="方正仿宋_GBK" w:eastAsia="方正仿宋_GBK" w:cs="方正仿宋_GBK"/>
          <w:color w:val="auto"/>
          <w:sz w:val="32"/>
          <w:szCs w:val="32"/>
          <w:highlight w:val="none"/>
        </w:rPr>
        <w:t>积极组织参与</w:t>
      </w:r>
      <w:r>
        <w:rPr>
          <w:rFonts w:hint="eastAsia" w:ascii="方正仿宋_GBK" w:hAnsi="方正仿宋_GBK" w:eastAsia="方正仿宋_GBK" w:cs="方正仿宋_GBK"/>
          <w:color w:val="auto"/>
          <w:sz w:val="32"/>
          <w:szCs w:val="32"/>
          <w:highlight w:val="none"/>
          <w:lang w:eastAsia="zh-CN"/>
        </w:rPr>
        <w:t>广东省“</w:t>
      </w:r>
      <w:r>
        <w:rPr>
          <w:rFonts w:hint="eastAsia" w:ascii="方正仿宋_GBK" w:hAnsi="方正仿宋_GBK" w:eastAsia="方正仿宋_GBK" w:cs="方正仿宋_GBK"/>
          <w:color w:val="auto"/>
          <w:sz w:val="32"/>
          <w:szCs w:val="32"/>
          <w:highlight w:val="none"/>
        </w:rPr>
        <w:t>南粤家政</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江门市“五邑家政”养老护理员职业技能竞赛等各类养老服务专业技能大赛及“福彩杯”——广东“老有所依天使在身边”大型公益活动，通过竞赛及评选宣传先进典型，树立学习榜样，激励养老服务从业人员不断提高服务能力、管理水平和职业素养</w:t>
      </w:r>
      <w:r>
        <w:rPr>
          <w:rFonts w:hint="eastAsia" w:ascii="方正仿宋_GBK" w:hAnsi="方正仿宋_GBK" w:eastAsia="方正仿宋_GBK" w:cs="方正仿宋_GBK"/>
          <w:color w:val="auto"/>
          <w:sz w:val="32"/>
          <w:szCs w:val="32"/>
          <w:highlight w:val="none"/>
          <w:lang w:eastAsia="zh-CN"/>
        </w:rPr>
        <w:t>，其中获得国家级证书</w:t>
      </w: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lang w:eastAsia="zh-CN"/>
        </w:rPr>
        <w:t>人次，省级证书</w:t>
      </w:r>
      <w:r>
        <w:rPr>
          <w:rFonts w:hint="eastAsia" w:ascii="方正仿宋_GBK" w:hAnsi="方正仿宋_GBK" w:eastAsia="方正仿宋_GBK" w:cs="方正仿宋_GBK"/>
          <w:color w:val="auto"/>
          <w:sz w:val="32"/>
          <w:szCs w:val="32"/>
          <w:highlight w:val="none"/>
          <w:lang w:val="en-US" w:eastAsia="zh-CN"/>
        </w:rPr>
        <w:t>1人次。</w:t>
      </w:r>
    </w:p>
    <w:tbl>
      <w:tblPr>
        <w:tblStyle w:val="19"/>
        <w:tblpPr w:leftFromText="180" w:rightFromText="180" w:vertAnchor="text" w:horzAnchor="page" w:tblpX="1845" w:tblpY="23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1590"/>
        <w:gridCol w:w="885"/>
        <w:gridCol w:w="1635"/>
        <w:gridCol w:w="825"/>
        <w:gridCol w:w="1605"/>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701" w:type="dxa"/>
            <w:gridSpan w:val="7"/>
            <w:vAlign w:val="center"/>
          </w:tcPr>
          <w:p>
            <w:pPr>
              <w:pageBreakBefore w:val="0"/>
              <w:kinsoku/>
              <w:wordWrap/>
              <w:overflowPunct/>
              <w:topLinePunct w:val="0"/>
              <w:autoSpaceDE/>
              <w:autoSpaceDN/>
              <w:bidi w:val="0"/>
              <w:snapToGrid w:val="0"/>
              <w:spacing w:line="560" w:lineRule="exact"/>
              <w:jc w:val="cente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b/>
                <w:bCs/>
                <w:color w:val="auto"/>
                <w:sz w:val="28"/>
                <w:szCs w:val="28"/>
                <w:highlight w:val="none"/>
                <w:lang w:eastAsia="zh-CN"/>
              </w:rPr>
              <w:t>专栏</w:t>
            </w:r>
            <w:r>
              <w:rPr>
                <w:rFonts w:hint="eastAsia" w:ascii="方正仿宋_GBK" w:hAnsi="方正仿宋_GBK" w:eastAsia="方正仿宋_GBK" w:cs="方正仿宋_GBK"/>
                <w:b/>
                <w:bCs/>
                <w:color w:val="auto"/>
                <w:sz w:val="28"/>
                <w:szCs w:val="28"/>
                <w:highlight w:val="none"/>
                <w:lang w:val="en-US" w:eastAsia="zh-CN"/>
              </w:rPr>
              <w:t>3：“十三五”期间</w:t>
            </w:r>
            <w:r>
              <w:rPr>
                <w:rFonts w:hint="eastAsia" w:ascii="方正仿宋_GBK" w:hAnsi="方正仿宋_GBK" w:eastAsia="方正仿宋_GBK" w:cs="方正仿宋_GBK"/>
                <w:b/>
                <w:bCs/>
                <w:color w:val="auto"/>
                <w:sz w:val="28"/>
                <w:szCs w:val="28"/>
                <w:highlight w:val="none"/>
              </w:rPr>
              <w:t>政府部门组织的培训基本情况表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125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年度</w:t>
            </w:r>
          </w:p>
        </w:tc>
        <w:tc>
          <w:tcPr>
            <w:tcW w:w="1590"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专业技能培训（场次）</w:t>
            </w:r>
          </w:p>
        </w:tc>
        <w:tc>
          <w:tcPr>
            <w:tcW w:w="88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参与人次</w:t>
            </w:r>
          </w:p>
        </w:tc>
        <w:tc>
          <w:tcPr>
            <w:tcW w:w="163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职业道德培训（场次）</w:t>
            </w:r>
          </w:p>
        </w:tc>
        <w:tc>
          <w:tcPr>
            <w:tcW w:w="82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参与人次</w:t>
            </w:r>
          </w:p>
        </w:tc>
        <w:tc>
          <w:tcPr>
            <w:tcW w:w="160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安全及应急培训（场次）</w:t>
            </w:r>
          </w:p>
        </w:tc>
        <w:tc>
          <w:tcPr>
            <w:tcW w:w="906"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参与人次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pageBreakBefore w:val="0"/>
              <w:kinsoku/>
              <w:wordWrap/>
              <w:overflowPunct/>
              <w:topLinePunct w:val="0"/>
              <w:autoSpaceDE/>
              <w:autoSpaceDN/>
              <w:bidi w:val="0"/>
              <w:snapToGrid w:val="0"/>
              <w:spacing w:line="560" w:lineRule="exact"/>
              <w:jc w:val="cente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2016</w:t>
            </w:r>
          </w:p>
        </w:tc>
        <w:tc>
          <w:tcPr>
            <w:tcW w:w="1590" w:type="dxa"/>
            <w:vAlign w:val="center"/>
          </w:tcPr>
          <w:p>
            <w:pPr>
              <w:pageBreakBefore w:val="0"/>
              <w:kinsoku/>
              <w:wordWrap/>
              <w:overflowPunct/>
              <w:topLinePunct w:val="0"/>
              <w:autoSpaceDE/>
              <w:autoSpaceDN/>
              <w:bidi w:val="0"/>
              <w:snapToGrid w:val="0"/>
              <w:spacing w:line="560" w:lineRule="exact"/>
              <w:jc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w:t>
            </w:r>
          </w:p>
        </w:tc>
        <w:tc>
          <w:tcPr>
            <w:tcW w:w="885" w:type="dxa"/>
            <w:vAlign w:val="center"/>
          </w:tcPr>
          <w:p>
            <w:pPr>
              <w:pageBreakBefore w:val="0"/>
              <w:kinsoku/>
              <w:wordWrap/>
              <w:overflowPunct/>
              <w:topLinePunct w:val="0"/>
              <w:autoSpaceDE/>
              <w:autoSpaceDN/>
              <w:bidi w:val="0"/>
              <w:snapToGrid w:val="0"/>
              <w:spacing w:line="560" w:lineRule="exact"/>
              <w:jc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32</w:t>
            </w:r>
          </w:p>
        </w:tc>
        <w:tc>
          <w:tcPr>
            <w:tcW w:w="1635" w:type="dxa"/>
            <w:vAlign w:val="center"/>
          </w:tcPr>
          <w:p>
            <w:pPr>
              <w:pageBreakBefore w:val="0"/>
              <w:kinsoku/>
              <w:wordWrap/>
              <w:overflowPunct/>
              <w:topLinePunct w:val="0"/>
              <w:autoSpaceDE/>
              <w:autoSpaceDN/>
              <w:bidi w:val="0"/>
              <w:snapToGrid w:val="0"/>
              <w:spacing w:line="560" w:lineRule="exact"/>
              <w:jc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w:t>
            </w:r>
          </w:p>
        </w:tc>
        <w:tc>
          <w:tcPr>
            <w:tcW w:w="825" w:type="dxa"/>
            <w:vAlign w:val="center"/>
          </w:tcPr>
          <w:p>
            <w:pPr>
              <w:pageBreakBefore w:val="0"/>
              <w:kinsoku/>
              <w:wordWrap/>
              <w:overflowPunct/>
              <w:topLinePunct w:val="0"/>
              <w:autoSpaceDE/>
              <w:autoSpaceDN/>
              <w:bidi w:val="0"/>
              <w:snapToGrid w:val="0"/>
              <w:spacing w:line="560" w:lineRule="exact"/>
              <w:jc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20</w:t>
            </w:r>
          </w:p>
        </w:tc>
        <w:tc>
          <w:tcPr>
            <w:tcW w:w="1605" w:type="dxa"/>
            <w:vAlign w:val="center"/>
          </w:tcPr>
          <w:p>
            <w:pPr>
              <w:pageBreakBefore w:val="0"/>
              <w:kinsoku/>
              <w:wordWrap/>
              <w:overflowPunct/>
              <w:topLinePunct w:val="0"/>
              <w:autoSpaceDE/>
              <w:autoSpaceDN/>
              <w:bidi w:val="0"/>
              <w:snapToGrid w:val="0"/>
              <w:spacing w:line="560" w:lineRule="exact"/>
              <w:jc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w:t>
            </w:r>
          </w:p>
        </w:tc>
        <w:tc>
          <w:tcPr>
            <w:tcW w:w="906" w:type="dxa"/>
            <w:vAlign w:val="center"/>
          </w:tcPr>
          <w:p>
            <w:pPr>
              <w:pageBreakBefore w:val="0"/>
              <w:kinsoku/>
              <w:wordWrap/>
              <w:overflowPunct/>
              <w:topLinePunct w:val="0"/>
              <w:autoSpaceDE/>
              <w:autoSpaceDN/>
              <w:bidi w:val="0"/>
              <w:snapToGrid w:val="0"/>
              <w:spacing w:line="560" w:lineRule="exact"/>
              <w:jc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pageBreakBefore w:val="0"/>
              <w:kinsoku/>
              <w:wordWrap/>
              <w:overflowPunct/>
              <w:topLinePunct w:val="0"/>
              <w:autoSpaceDE/>
              <w:autoSpaceDN/>
              <w:bidi w:val="0"/>
              <w:snapToGrid w:val="0"/>
              <w:spacing w:line="560" w:lineRule="exact"/>
              <w:jc w:val="cente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2017</w:t>
            </w:r>
          </w:p>
        </w:tc>
        <w:tc>
          <w:tcPr>
            <w:tcW w:w="1590" w:type="dxa"/>
            <w:vAlign w:val="center"/>
          </w:tcPr>
          <w:p>
            <w:pPr>
              <w:pageBreakBefore w:val="0"/>
              <w:kinsoku/>
              <w:wordWrap/>
              <w:overflowPunct/>
              <w:topLinePunct w:val="0"/>
              <w:autoSpaceDE/>
              <w:autoSpaceDN/>
              <w:bidi w:val="0"/>
              <w:snapToGrid w:val="0"/>
              <w:spacing w:line="560" w:lineRule="exact"/>
              <w:jc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w:t>
            </w:r>
          </w:p>
        </w:tc>
        <w:tc>
          <w:tcPr>
            <w:tcW w:w="885" w:type="dxa"/>
            <w:vAlign w:val="center"/>
          </w:tcPr>
          <w:p>
            <w:pPr>
              <w:pageBreakBefore w:val="0"/>
              <w:kinsoku/>
              <w:wordWrap/>
              <w:overflowPunct/>
              <w:topLinePunct w:val="0"/>
              <w:autoSpaceDE/>
              <w:autoSpaceDN/>
              <w:bidi w:val="0"/>
              <w:snapToGrid w:val="0"/>
              <w:spacing w:line="560" w:lineRule="exact"/>
              <w:jc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22</w:t>
            </w:r>
          </w:p>
        </w:tc>
        <w:tc>
          <w:tcPr>
            <w:tcW w:w="1635" w:type="dxa"/>
            <w:vAlign w:val="center"/>
          </w:tcPr>
          <w:p>
            <w:pPr>
              <w:pageBreakBefore w:val="0"/>
              <w:kinsoku/>
              <w:wordWrap/>
              <w:overflowPunct/>
              <w:topLinePunct w:val="0"/>
              <w:autoSpaceDE/>
              <w:autoSpaceDN/>
              <w:bidi w:val="0"/>
              <w:snapToGrid w:val="0"/>
              <w:spacing w:line="560" w:lineRule="exact"/>
              <w:jc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0</w:t>
            </w:r>
          </w:p>
        </w:tc>
        <w:tc>
          <w:tcPr>
            <w:tcW w:w="825" w:type="dxa"/>
            <w:vAlign w:val="center"/>
          </w:tcPr>
          <w:p>
            <w:pPr>
              <w:pageBreakBefore w:val="0"/>
              <w:kinsoku/>
              <w:wordWrap/>
              <w:overflowPunct/>
              <w:topLinePunct w:val="0"/>
              <w:autoSpaceDE/>
              <w:autoSpaceDN/>
              <w:bidi w:val="0"/>
              <w:snapToGrid w:val="0"/>
              <w:spacing w:line="560" w:lineRule="exact"/>
              <w:jc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0</w:t>
            </w:r>
          </w:p>
        </w:tc>
        <w:tc>
          <w:tcPr>
            <w:tcW w:w="1605" w:type="dxa"/>
            <w:vAlign w:val="center"/>
          </w:tcPr>
          <w:p>
            <w:pPr>
              <w:pageBreakBefore w:val="0"/>
              <w:kinsoku/>
              <w:wordWrap/>
              <w:overflowPunct/>
              <w:topLinePunct w:val="0"/>
              <w:autoSpaceDE/>
              <w:autoSpaceDN/>
              <w:bidi w:val="0"/>
              <w:snapToGrid w:val="0"/>
              <w:spacing w:line="560" w:lineRule="exact"/>
              <w:jc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2</w:t>
            </w:r>
          </w:p>
        </w:tc>
        <w:tc>
          <w:tcPr>
            <w:tcW w:w="906" w:type="dxa"/>
            <w:vAlign w:val="center"/>
          </w:tcPr>
          <w:p>
            <w:pPr>
              <w:pageBreakBefore w:val="0"/>
              <w:kinsoku/>
              <w:wordWrap/>
              <w:overflowPunct/>
              <w:topLinePunct w:val="0"/>
              <w:autoSpaceDE/>
              <w:autoSpaceDN/>
              <w:bidi w:val="0"/>
              <w:snapToGrid w:val="0"/>
              <w:spacing w:line="560" w:lineRule="exact"/>
              <w:jc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pageBreakBefore w:val="0"/>
              <w:kinsoku/>
              <w:wordWrap/>
              <w:overflowPunct/>
              <w:topLinePunct w:val="0"/>
              <w:autoSpaceDE/>
              <w:autoSpaceDN/>
              <w:bidi w:val="0"/>
              <w:snapToGrid w:val="0"/>
              <w:spacing w:line="560" w:lineRule="exact"/>
              <w:jc w:val="cente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2018</w:t>
            </w:r>
          </w:p>
        </w:tc>
        <w:tc>
          <w:tcPr>
            <w:tcW w:w="1590" w:type="dxa"/>
            <w:vAlign w:val="center"/>
          </w:tcPr>
          <w:p>
            <w:pPr>
              <w:pageBreakBefore w:val="0"/>
              <w:kinsoku/>
              <w:wordWrap/>
              <w:overflowPunct/>
              <w:topLinePunct w:val="0"/>
              <w:autoSpaceDE/>
              <w:autoSpaceDN/>
              <w:bidi w:val="0"/>
              <w:snapToGrid w:val="0"/>
              <w:spacing w:line="560" w:lineRule="exact"/>
              <w:jc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2</w:t>
            </w:r>
          </w:p>
        </w:tc>
        <w:tc>
          <w:tcPr>
            <w:tcW w:w="885" w:type="dxa"/>
            <w:vAlign w:val="center"/>
          </w:tcPr>
          <w:p>
            <w:pPr>
              <w:pageBreakBefore w:val="0"/>
              <w:kinsoku/>
              <w:wordWrap/>
              <w:overflowPunct/>
              <w:topLinePunct w:val="0"/>
              <w:autoSpaceDE/>
              <w:autoSpaceDN/>
              <w:bidi w:val="0"/>
              <w:snapToGrid w:val="0"/>
              <w:spacing w:line="560" w:lineRule="exact"/>
              <w:jc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46</w:t>
            </w:r>
          </w:p>
        </w:tc>
        <w:tc>
          <w:tcPr>
            <w:tcW w:w="1635" w:type="dxa"/>
            <w:vAlign w:val="center"/>
          </w:tcPr>
          <w:p>
            <w:pPr>
              <w:pageBreakBefore w:val="0"/>
              <w:kinsoku/>
              <w:wordWrap/>
              <w:overflowPunct/>
              <w:topLinePunct w:val="0"/>
              <w:autoSpaceDE/>
              <w:autoSpaceDN/>
              <w:bidi w:val="0"/>
              <w:snapToGrid w:val="0"/>
              <w:spacing w:line="560" w:lineRule="exact"/>
              <w:jc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w:t>
            </w:r>
          </w:p>
        </w:tc>
        <w:tc>
          <w:tcPr>
            <w:tcW w:w="825" w:type="dxa"/>
            <w:vAlign w:val="center"/>
          </w:tcPr>
          <w:p>
            <w:pPr>
              <w:pageBreakBefore w:val="0"/>
              <w:kinsoku/>
              <w:wordWrap/>
              <w:overflowPunct/>
              <w:topLinePunct w:val="0"/>
              <w:autoSpaceDE/>
              <w:autoSpaceDN/>
              <w:bidi w:val="0"/>
              <w:snapToGrid w:val="0"/>
              <w:spacing w:line="560" w:lineRule="exact"/>
              <w:jc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40</w:t>
            </w:r>
          </w:p>
        </w:tc>
        <w:tc>
          <w:tcPr>
            <w:tcW w:w="1605" w:type="dxa"/>
            <w:vAlign w:val="center"/>
          </w:tcPr>
          <w:p>
            <w:pPr>
              <w:pageBreakBefore w:val="0"/>
              <w:kinsoku/>
              <w:wordWrap/>
              <w:overflowPunct/>
              <w:topLinePunct w:val="0"/>
              <w:autoSpaceDE/>
              <w:autoSpaceDN/>
              <w:bidi w:val="0"/>
              <w:snapToGrid w:val="0"/>
              <w:spacing w:line="560" w:lineRule="exact"/>
              <w:jc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w:t>
            </w:r>
          </w:p>
        </w:tc>
        <w:tc>
          <w:tcPr>
            <w:tcW w:w="906" w:type="dxa"/>
            <w:vAlign w:val="center"/>
          </w:tcPr>
          <w:p>
            <w:pPr>
              <w:pageBreakBefore w:val="0"/>
              <w:kinsoku/>
              <w:wordWrap/>
              <w:overflowPunct/>
              <w:topLinePunct w:val="0"/>
              <w:autoSpaceDE/>
              <w:autoSpaceDN/>
              <w:bidi w:val="0"/>
              <w:snapToGrid w:val="0"/>
              <w:spacing w:line="560" w:lineRule="exact"/>
              <w:jc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pageBreakBefore w:val="0"/>
              <w:kinsoku/>
              <w:wordWrap/>
              <w:overflowPunct/>
              <w:topLinePunct w:val="0"/>
              <w:autoSpaceDE/>
              <w:autoSpaceDN/>
              <w:bidi w:val="0"/>
              <w:snapToGrid w:val="0"/>
              <w:spacing w:line="560" w:lineRule="exact"/>
              <w:jc w:val="cente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2019</w:t>
            </w:r>
          </w:p>
        </w:tc>
        <w:tc>
          <w:tcPr>
            <w:tcW w:w="1590" w:type="dxa"/>
            <w:vAlign w:val="center"/>
          </w:tcPr>
          <w:p>
            <w:pPr>
              <w:pageBreakBefore w:val="0"/>
              <w:kinsoku/>
              <w:wordWrap/>
              <w:overflowPunct/>
              <w:topLinePunct w:val="0"/>
              <w:autoSpaceDE/>
              <w:autoSpaceDN/>
              <w:bidi w:val="0"/>
              <w:snapToGrid w:val="0"/>
              <w:spacing w:line="560" w:lineRule="exact"/>
              <w:jc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2</w:t>
            </w:r>
          </w:p>
        </w:tc>
        <w:tc>
          <w:tcPr>
            <w:tcW w:w="885" w:type="dxa"/>
            <w:vAlign w:val="center"/>
          </w:tcPr>
          <w:p>
            <w:pPr>
              <w:pageBreakBefore w:val="0"/>
              <w:kinsoku/>
              <w:wordWrap/>
              <w:overflowPunct/>
              <w:topLinePunct w:val="0"/>
              <w:autoSpaceDE/>
              <w:autoSpaceDN/>
              <w:bidi w:val="0"/>
              <w:snapToGrid w:val="0"/>
              <w:spacing w:line="560" w:lineRule="exact"/>
              <w:jc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48</w:t>
            </w:r>
          </w:p>
        </w:tc>
        <w:tc>
          <w:tcPr>
            <w:tcW w:w="1635" w:type="dxa"/>
            <w:vAlign w:val="center"/>
          </w:tcPr>
          <w:p>
            <w:pPr>
              <w:pageBreakBefore w:val="0"/>
              <w:kinsoku/>
              <w:wordWrap/>
              <w:overflowPunct/>
              <w:topLinePunct w:val="0"/>
              <w:autoSpaceDE/>
              <w:autoSpaceDN/>
              <w:bidi w:val="0"/>
              <w:snapToGrid w:val="0"/>
              <w:spacing w:line="560" w:lineRule="exact"/>
              <w:jc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0</w:t>
            </w:r>
          </w:p>
        </w:tc>
        <w:tc>
          <w:tcPr>
            <w:tcW w:w="825" w:type="dxa"/>
            <w:vAlign w:val="center"/>
          </w:tcPr>
          <w:p>
            <w:pPr>
              <w:pageBreakBefore w:val="0"/>
              <w:kinsoku/>
              <w:wordWrap/>
              <w:overflowPunct/>
              <w:topLinePunct w:val="0"/>
              <w:autoSpaceDE/>
              <w:autoSpaceDN/>
              <w:bidi w:val="0"/>
              <w:snapToGrid w:val="0"/>
              <w:spacing w:line="560" w:lineRule="exact"/>
              <w:jc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0</w:t>
            </w:r>
          </w:p>
        </w:tc>
        <w:tc>
          <w:tcPr>
            <w:tcW w:w="1605" w:type="dxa"/>
            <w:vAlign w:val="center"/>
          </w:tcPr>
          <w:p>
            <w:pPr>
              <w:pageBreakBefore w:val="0"/>
              <w:kinsoku/>
              <w:wordWrap/>
              <w:overflowPunct/>
              <w:topLinePunct w:val="0"/>
              <w:autoSpaceDE/>
              <w:autoSpaceDN/>
              <w:bidi w:val="0"/>
              <w:snapToGrid w:val="0"/>
              <w:spacing w:line="560" w:lineRule="exact"/>
              <w:jc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w:t>
            </w:r>
          </w:p>
        </w:tc>
        <w:tc>
          <w:tcPr>
            <w:tcW w:w="906" w:type="dxa"/>
            <w:vAlign w:val="center"/>
          </w:tcPr>
          <w:p>
            <w:pPr>
              <w:pageBreakBefore w:val="0"/>
              <w:kinsoku/>
              <w:wordWrap/>
              <w:overflowPunct/>
              <w:topLinePunct w:val="0"/>
              <w:autoSpaceDE/>
              <w:autoSpaceDN/>
              <w:bidi w:val="0"/>
              <w:snapToGrid w:val="0"/>
              <w:spacing w:line="560" w:lineRule="exact"/>
              <w:jc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pageBreakBefore w:val="0"/>
              <w:kinsoku/>
              <w:wordWrap/>
              <w:overflowPunct/>
              <w:topLinePunct w:val="0"/>
              <w:autoSpaceDE/>
              <w:autoSpaceDN/>
              <w:bidi w:val="0"/>
              <w:snapToGrid w:val="0"/>
              <w:spacing w:line="560" w:lineRule="exact"/>
              <w:jc w:val="cente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2020</w:t>
            </w:r>
          </w:p>
        </w:tc>
        <w:tc>
          <w:tcPr>
            <w:tcW w:w="1590" w:type="dxa"/>
            <w:vAlign w:val="center"/>
          </w:tcPr>
          <w:p>
            <w:pPr>
              <w:pageBreakBefore w:val="0"/>
              <w:kinsoku/>
              <w:wordWrap/>
              <w:overflowPunct/>
              <w:topLinePunct w:val="0"/>
              <w:autoSpaceDE/>
              <w:autoSpaceDN/>
              <w:bidi w:val="0"/>
              <w:snapToGrid w:val="0"/>
              <w:spacing w:line="560" w:lineRule="exact"/>
              <w:jc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5</w:t>
            </w:r>
          </w:p>
        </w:tc>
        <w:tc>
          <w:tcPr>
            <w:tcW w:w="885" w:type="dxa"/>
            <w:vAlign w:val="center"/>
          </w:tcPr>
          <w:p>
            <w:pPr>
              <w:pageBreakBefore w:val="0"/>
              <w:kinsoku/>
              <w:wordWrap/>
              <w:overflowPunct/>
              <w:topLinePunct w:val="0"/>
              <w:autoSpaceDE/>
              <w:autoSpaceDN/>
              <w:bidi w:val="0"/>
              <w:snapToGrid w:val="0"/>
              <w:spacing w:line="560" w:lineRule="exact"/>
              <w:jc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187</w:t>
            </w:r>
          </w:p>
        </w:tc>
        <w:tc>
          <w:tcPr>
            <w:tcW w:w="1635" w:type="dxa"/>
            <w:vAlign w:val="center"/>
          </w:tcPr>
          <w:p>
            <w:pPr>
              <w:pageBreakBefore w:val="0"/>
              <w:kinsoku/>
              <w:wordWrap/>
              <w:overflowPunct/>
              <w:topLinePunct w:val="0"/>
              <w:autoSpaceDE/>
              <w:autoSpaceDN/>
              <w:bidi w:val="0"/>
              <w:snapToGrid w:val="0"/>
              <w:spacing w:line="560" w:lineRule="exact"/>
              <w:jc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0</w:t>
            </w:r>
          </w:p>
        </w:tc>
        <w:tc>
          <w:tcPr>
            <w:tcW w:w="825" w:type="dxa"/>
            <w:vAlign w:val="center"/>
          </w:tcPr>
          <w:p>
            <w:pPr>
              <w:pageBreakBefore w:val="0"/>
              <w:kinsoku/>
              <w:wordWrap/>
              <w:overflowPunct/>
              <w:topLinePunct w:val="0"/>
              <w:autoSpaceDE/>
              <w:autoSpaceDN/>
              <w:bidi w:val="0"/>
              <w:snapToGrid w:val="0"/>
              <w:spacing w:line="560" w:lineRule="exact"/>
              <w:jc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0</w:t>
            </w:r>
          </w:p>
        </w:tc>
        <w:tc>
          <w:tcPr>
            <w:tcW w:w="1605" w:type="dxa"/>
            <w:vAlign w:val="center"/>
          </w:tcPr>
          <w:p>
            <w:pPr>
              <w:pageBreakBefore w:val="0"/>
              <w:kinsoku/>
              <w:wordWrap/>
              <w:overflowPunct/>
              <w:topLinePunct w:val="0"/>
              <w:autoSpaceDE/>
              <w:autoSpaceDN/>
              <w:bidi w:val="0"/>
              <w:snapToGrid w:val="0"/>
              <w:spacing w:line="560" w:lineRule="exact"/>
              <w:jc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w:t>
            </w:r>
          </w:p>
        </w:tc>
        <w:tc>
          <w:tcPr>
            <w:tcW w:w="906" w:type="dxa"/>
            <w:vAlign w:val="center"/>
          </w:tcPr>
          <w:p>
            <w:pPr>
              <w:pageBreakBefore w:val="0"/>
              <w:kinsoku/>
              <w:wordWrap/>
              <w:overflowPunct/>
              <w:topLinePunct w:val="0"/>
              <w:autoSpaceDE/>
              <w:autoSpaceDN/>
              <w:bidi w:val="0"/>
              <w:snapToGrid w:val="0"/>
              <w:spacing w:line="560" w:lineRule="exact"/>
              <w:jc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pageBreakBefore w:val="0"/>
              <w:kinsoku/>
              <w:wordWrap/>
              <w:overflowPunct/>
              <w:topLinePunct w:val="0"/>
              <w:autoSpaceDE/>
              <w:autoSpaceDN/>
              <w:bidi w:val="0"/>
              <w:snapToGrid w:val="0"/>
              <w:spacing w:line="560" w:lineRule="exact"/>
              <w:jc w:val="center"/>
              <w:rPr>
                <w:rFonts w:hint="eastAsia" w:ascii="方正仿宋_GBK" w:hAnsi="方正仿宋_GBK" w:eastAsia="方正仿宋_GBK" w:cs="方正仿宋_GBK"/>
                <w:color w:val="auto"/>
                <w:sz w:val="28"/>
                <w:szCs w:val="28"/>
                <w:highlight w:val="none"/>
                <w:lang w:eastAsia="zh-CN"/>
              </w:rPr>
            </w:pPr>
            <w:r>
              <w:rPr>
                <w:rFonts w:hint="eastAsia" w:ascii="方正仿宋_GBK" w:hAnsi="方正仿宋_GBK" w:eastAsia="方正仿宋_GBK" w:cs="方正仿宋_GBK"/>
                <w:color w:val="auto"/>
                <w:sz w:val="28"/>
                <w:szCs w:val="28"/>
                <w:highlight w:val="none"/>
                <w:lang w:eastAsia="zh-CN"/>
              </w:rPr>
              <w:t>合计</w:t>
            </w:r>
          </w:p>
        </w:tc>
        <w:tc>
          <w:tcPr>
            <w:tcW w:w="1590" w:type="dxa"/>
            <w:vAlign w:val="center"/>
          </w:tcPr>
          <w:p>
            <w:pPr>
              <w:pageBreakBefore w:val="0"/>
              <w:kinsoku/>
              <w:wordWrap/>
              <w:overflowPunct/>
              <w:topLinePunct w:val="0"/>
              <w:autoSpaceDE/>
              <w:autoSpaceDN/>
              <w:bidi w:val="0"/>
              <w:snapToGrid w:val="0"/>
              <w:spacing w:line="560" w:lineRule="exact"/>
              <w:jc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11</w:t>
            </w:r>
          </w:p>
        </w:tc>
        <w:tc>
          <w:tcPr>
            <w:tcW w:w="885" w:type="dxa"/>
            <w:vAlign w:val="center"/>
          </w:tcPr>
          <w:p>
            <w:pPr>
              <w:pageBreakBefore w:val="0"/>
              <w:kinsoku/>
              <w:wordWrap/>
              <w:overflowPunct/>
              <w:topLinePunct w:val="0"/>
              <w:autoSpaceDE/>
              <w:autoSpaceDN/>
              <w:bidi w:val="0"/>
              <w:snapToGrid w:val="0"/>
              <w:spacing w:line="560" w:lineRule="exact"/>
              <w:jc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335</w:t>
            </w:r>
          </w:p>
        </w:tc>
        <w:tc>
          <w:tcPr>
            <w:tcW w:w="1635" w:type="dxa"/>
            <w:vAlign w:val="center"/>
          </w:tcPr>
          <w:p>
            <w:pPr>
              <w:pageBreakBefore w:val="0"/>
              <w:kinsoku/>
              <w:wordWrap/>
              <w:overflowPunct/>
              <w:topLinePunct w:val="0"/>
              <w:autoSpaceDE/>
              <w:autoSpaceDN/>
              <w:bidi w:val="0"/>
              <w:snapToGrid w:val="0"/>
              <w:spacing w:line="560" w:lineRule="exact"/>
              <w:jc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2</w:t>
            </w:r>
          </w:p>
        </w:tc>
        <w:tc>
          <w:tcPr>
            <w:tcW w:w="825" w:type="dxa"/>
            <w:vAlign w:val="center"/>
          </w:tcPr>
          <w:p>
            <w:pPr>
              <w:pageBreakBefore w:val="0"/>
              <w:kinsoku/>
              <w:wordWrap/>
              <w:overflowPunct/>
              <w:topLinePunct w:val="0"/>
              <w:autoSpaceDE/>
              <w:autoSpaceDN/>
              <w:bidi w:val="0"/>
              <w:snapToGrid w:val="0"/>
              <w:spacing w:line="560" w:lineRule="exact"/>
              <w:jc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60</w:t>
            </w:r>
          </w:p>
        </w:tc>
        <w:tc>
          <w:tcPr>
            <w:tcW w:w="1605" w:type="dxa"/>
            <w:vAlign w:val="center"/>
          </w:tcPr>
          <w:p>
            <w:pPr>
              <w:pageBreakBefore w:val="0"/>
              <w:kinsoku/>
              <w:wordWrap/>
              <w:overflowPunct/>
              <w:topLinePunct w:val="0"/>
              <w:autoSpaceDE/>
              <w:autoSpaceDN/>
              <w:bidi w:val="0"/>
              <w:snapToGrid w:val="0"/>
              <w:spacing w:line="560" w:lineRule="exact"/>
              <w:jc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6</w:t>
            </w:r>
          </w:p>
        </w:tc>
        <w:tc>
          <w:tcPr>
            <w:tcW w:w="906" w:type="dxa"/>
            <w:vAlign w:val="center"/>
          </w:tcPr>
          <w:p>
            <w:pPr>
              <w:pageBreakBefore w:val="0"/>
              <w:kinsoku/>
              <w:wordWrap/>
              <w:overflowPunct/>
              <w:topLinePunct w:val="0"/>
              <w:autoSpaceDE/>
              <w:autoSpaceDN/>
              <w:bidi w:val="0"/>
              <w:snapToGrid w:val="0"/>
              <w:spacing w:line="560" w:lineRule="exact"/>
              <w:jc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150</w:t>
            </w:r>
          </w:p>
        </w:tc>
      </w:tr>
    </w:tbl>
    <w:p>
      <w:pPr>
        <w:pStyle w:val="5"/>
        <w:keepNext/>
        <w:keepLines/>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方正楷体_GBK" w:hAnsi="方正楷体_GBK" w:eastAsia="方正楷体_GBK" w:cs="方正楷体_GBK"/>
          <w:color w:val="auto"/>
          <w:sz w:val="32"/>
          <w:szCs w:val="32"/>
          <w:highlight w:val="none"/>
          <w:lang w:val="en-US" w:eastAsia="zh-CN"/>
        </w:rPr>
      </w:pPr>
      <w:r>
        <w:rPr>
          <w:rFonts w:hint="eastAsia" w:ascii="方正楷体_GBK" w:hAnsi="方正楷体_GBK" w:eastAsia="方正楷体_GBK" w:cs="方正楷体_GBK"/>
          <w:color w:val="auto"/>
          <w:sz w:val="32"/>
          <w:szCs w:val="32"/>
          <w:highlight w:val="none"/>
          <w:lang w:val="en-US" w:eastAsia="zh-CN"/>
        </w:rPr>
        <w:t>二、存在问题</w:t>
      </w:r>
    </w:p>
    <w:p>
      <w:pPr>
        <w:pageBreakBefore w:val="0"/>
        <w:kinsoku/>
        <w:wordWrap/>
        <w:overflowPunct/>
        <w:topLinePunct w:val="0"/>
        <w:autoSpaceDE/>
        <w:autoSpaceDN/>
        <w:bidi w:val="0"/>
        <w:snapToGrid w:val="0"/>
        <w:spacing w:line="560" w:lineRule="exact"/>
        <w:ind w:firstLine="640" w:firstLineChars="200"/>
        <w:jc w:val="left"/>
        <w:rPr>
          <w:rFonts w:hint="eastAsia" w:ascii="方正仿宋_GBK" w:hAnsi="方正仿宋_GBK" w:eastAsia="方正仿宋_GBK" w:cs="方正仿宋_GBK"/>
          <w:bCs/>
          <w:color w:val="auto"/>
          <w:sz w:val="32"/>
          <w:szCs w:val="32"/>
          <w:highlight w:val="none"/>
        </w:rPr>
      </w:pPr>
      <w:r>
        <w:rPr>
          <w:rFonts w:hint="eastAsia" w:ascii="方正仿宋_GBK" w:hAnsi="方正仿宋_GBK" w:eastAsia="方正仿宋_GBK" w:cs="方正仿宋_GBK"/>
          <w:color w:val="auto"/>
          <w:sz w:val="32"/>
          <w:szCs w:val="32"/>
          <w:highlight w:val="none"/>
        </w:rPr>
        <w:t>我</w:t>
      </w:r>
      <w:r>
        <w:rPr>
          <w:rFonts w:hint="eastAsia" w:ascii="方正仿宋_GBK" w:hAnsi="方正仿宋_GBK" w:eastAsia="方正仿宋_GBK" w:cs="方正仿宋_GBK"/>
          <w:bCs/>
          <w:color w:val="auto"/>
          <w:sz w:val="32"/>
          <w:szCs w:val="32"/>
          <w:highlight w:val="none"/>
        </w:rPr>
        <w:t>市养老服务事业在取得显著成绩的同时也暴露出若干问题。主要表现在：养老服务工作总体投入不足，资金短缺问题凸显；养老管理体制机制还不健全，部门协调机制尚未建立，管理岗位职责不清，管理较为粗放；公办机构养老服务质量不高，大量资源闲置，民办机构资源短缺，难以满足社会养老需求；</w:t>
      </w:r>
      <w:r>
        <w:rPr>
          <w:rFonts w:hint="eastAsia" w:ascii="方正仿宋_GBK" w:hAnsi="方正仿宋_GBK" w:eastAsia="方正仿宋_GBK" w:cs="方正仿宋_GBK"/>
          <w:color w:val="auto"/>
          <w:sz w:val="32"/>
          <w:szCs w:val="32"/>
          <w:highlight w:val="none"/>
        </w:rPr>
        <w:t>居家社区养老服务仍不成熟，社区养老服务机构规模过小，服务单一，无法满足居家社区养老需求；</w:t>
      </w:r>
      <w:r>
        <w:rPr>
          <w:rFonts w:hint="eastAsia" w:ascii="方正仿宋_GBK" w:hAnsi="方正仿宋_GBK" w:eastAsia="方正仿宋_GBK" w:cs="方正仿宋_GBK"/>
          <w:bCs/>
          <w:color w:val="auto"/>
          <w:sz w:val="32"/>
          <w:szCs w:val="32"/>
          <w:highlight w:val="none"/>
        </w:rPr>
        <w:t>服务队伍专业化水平普遍不高、年龄偏大，队伍流失情况较为严重，基层服务力量严重不足；养老服务信息化水平较低，无法实现养老服务信息的共建共享</w:t>
      </w:r>
      <w:r>
        <w:rPr>
          <w:rFonts w:hint="eastAsia" w:ascii="方正仿宋_GBK" w:hAnsi="方正仿宋_GBK" w:eastAsia="方正仿宋_GBK" w:cs="方正仿宋_GBK"/>
          <w:color w:val="auto"/>
          <w:sz w:val="32"/>
          <w:szCs w:val="32"/>
          <w:highlight w:val="none"/>
        </w:rPr>
        <w:t>，智慧养老发展迟滞</w:t>
      </w:r>
      <w:r>
        <w:rPr>
          <w:rFonts w:hint="eastAsia" w:ascii="方正仿宋_GBK" w:hAnsi="方正仿宋_GBK" w:eastAsia="方正仿宋_GBK" w:cs="方正仿宋_GBK"/>
          <w:bCs/>
          <w:color w:val="auto"/>
          <w:sz w:val="32"/>
          <w:szCs w:val="32"/>
          <w:highlight w:val="none"/>
        </w:rPr>
        <w:t>。</w:t>
      </w:r>
    </w:p>
    <w:p>
      <w:pPr>
        <w:pageBreakBefore w:val="0"/>
        <w:kinsoku/>
        <w:wordWrap/>
        <w:overflowPunct/>
        <w:topLinePunct w:val="0"/>
        <w:autoSpaceDE/>
        <w:autoSpaceDN/>
        <w:bidi w:val="0"/>
        <w:spacing w:line="560" w:lineRule="exact"/>
        <w:rPr>
          <w:rFonts w:hint="eastAsia" w:ascii="方正仿宋_GBK" w:hAnsi="方正仿宋_GBK" w:eastAsia="方正仿宋_GBK" w:cs="方正仿宋_GBK"/>
          <w:bCs/>
          <w:color w:val="auto"/>
          <w:sz w:val="32"/>
          <w:szCs w:val="32"/>
          <w:highlight w:val="none"/>
        </w:rPr>
      </w:pPr>
      <w:r>
        <w:rPr>
          <w:rFonts w:hint="eastAsia" w:ascii="方正仿宋_GBK" w:hAnsi="方正仿宋_GBK" w:eastAsia="方正仿宋_GBK" w:cs="方正仿宋_GBK"/>
          <w:bCs/>
          <w:color w:val="auto"/>
          <w:sz w:val="32"/>
          <w:szCs w:val="32"/>
          <w:highlight w:val="none"/>
        </w:rPr>
        <w:br w:type="page"/>
      </w:r>
    </w:p>
    <w:p>
      <w:pPr>
        <w:pStyle w:val="4"/>
        <w:pageBreakBefore w:val="0"/>
        <w:kinsoku/>
        <w:wordWrap/>
        <w:overflowPunct/>
        <w:topLinePunct w:val="0"/>
        <w:autoSpaceDE/>
        <w:autoSpaceDN/>
        <w:bidi w:val="0"/>
        <w:spacing w:line="560" w:lineRule="exact"/>
        <w:jc w:val="center"/>
        <w:rPr>
          <w:rFonts w:hint="eastAsia" w:ascii="方正黑体_GBK" w:hAnsi="方正黑体_GBK" w:eastAsia="方正黑体_GBK" w:cs="方正黑体_GBK"/>
          <w:color w:val="auto"/>
          <w:sz w:val="44"/>
          <w:szCs w:val="44"/>
          <w:highlight w:val="none"/>
        </w:rPr>
      </w:pPr>
      <w:r>
        <w:rPr>
          <w:rFonts w:hint="eastAsia" w:ascii="方正黑体_GBK" w:hAnsi="方正黑体_GBK" w:eastAsia="方正黑体_GBK" w:cs="方正黑体_GBK"/>
          <w:color w:val="auto"/>
          <w:sz w:val="44"/>
          <w:szCs w:val="44"/>
          <w:highlight w:val="none"/>
        </w:rPr>
        <w:t>第二章 发展形势</w:t>
      </w:r>
    </w:p>
    <w:p>
      <w:pPr>
        <w:pageBreakBefore w:val="0"/>
        <w:kinsoku/>
        <w:wordWrap/>
        <w:overflowPunct/>
        <w:topLinePunct w:val="0"/>
        <w:autoSpaceDE/>
        <w:autoSpaceDN/>
        <w:bidi w:val="0"/>
        <w:adjustRightInd w:val="0"/>
        <w:snapToGrid w:val="0"/>
        <w:spacing w:line="560" w:lineRule="exact"/>
        <w:ind w:firstLine="640" w:firstLineChars="200"/>
        <w:jc w:val="left"/>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 xml:space="preserve">党的十九大报告提出，中国从2020年到2035年，在全面建成小康社会的基础上，再奋斗十五年，基本实现社会主义现代化。“十四五”时期是我国全面建成小康社会、实现第一个百年奋斗目标之后，乘势而上开启全面建设社会主义现代化国家新征程、向第二个百年奋斗目标进军的第一个五年。纵观国内外发展形势和当前养老服务体系建设现状，“十四五”期间，鹤山市养老事业面临的机遇和挑战交织并存。 </w:t>
      </w:r>
    </w:p>
    <w:p>
      <w:pPr>
        <w:pageBreakBefore w:val="0"/>
        <w:kinsoku/>
        <w:wordWrap/>
        <w:overflowPunct/>
        <w:topLinePunct w:val="0"/>
        <w:autoSpaceDE/>
        <w:autoSpaceDN/>
        <w:bidi w:val="0"/>
        <w:adjustRightInd w:val="0"/>
        <w:snapToGrid w:val="0"/>
        <w:spacing w:line="560" w:lineRule="exact"/>
        <w:ind w:firstLine="643" w:firstLineChars="200"/>
        <w:jc w:val="left"/>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b/>
          <w:bCs/>
          <w:color w:val="auto"/>
          <w:sz w:val="32"/>
          <w:szCs w:val="32"/>
          <w:highlight w:val="none"/>
        </w:rPr>
        <w:t>从国际形势看</w:t>
      </w:r>
      <w:r>
        <w:rPr>
          <w:rFonts w:hint="eastAsia" w:ascii="方正仿宋_GBK" w:hAnsi="方正仿宋_GBK" w:eastAsia="方正仿宋_GBK" w:cs="方正仿宋_GBK"/>
          <w:color w:val="auto"/>
          <w:sz w:val="32"/>
          <w:szCs w:val="32"/>
          <w:highlight w:val="none"/>
        </w:rPr>
        <w:t>：当今世界正经历百年未有之大变局，新冠肺炎疫情全球大流行使这个大变局加速演进，经济全球化遭遇逆流，世界经济低迷，世界进入动荡变革期。当前错综复杂的国际形势和经济形势，习近平总书记强调，要努力形成以国内大循环为主体、国内国际双循环相互促进的新发展格局。养老服务既是民生领域的重要工作，又是经济领域的重要工作。养老行业潜力巨大，市场广阔，加快推进养老服务业发展，对于全面建成小康社会、推动经济转型升级，是应对目前国际形势的重要手段。</w:t>
      </w:r>
    </w:p>
    <w:p>
      <w:pPr>
        <w:pageBreakBefore w:val="0"/>
        <w:kinsoku/>
        <w:wordWrap/>
        <w:overflowPunct/>
        <w:topLinePunct w:val="0"/>
        <w:autoSpaceDE/>
        <w:autoSpaceDN/>
        <w:bidi w:val="0"/>
        <w:adjustRightInd w:val="0"/>
        <w:snapToGrid w:val="0"/>
        <w:spacing w:line="560" w:lineRule="exact"/>
        <w:ind w:firstLine="643" w:firstLineChars="200"/>
        <w:jc w:val="left"/>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b/>
          <w:bCs/>
          <w:color w:val="auto"/>
          <w:sz w:val="32"/>
          <w:szCs w:val="32"/>
          <w:highlight w:val="none"/>
        </w:rPr>
        <w:t>从国内形势看</w:t>
      </w:r>
      <w:r>
        <w:rPr>
          <w:rFonts w:hint="eastAsia" w:ascii="方正仿宋_GBK" w:hAnsi="方正仿宋_GBK" w:eastAsia="方正仿宋_GBK" w:cs="方正仿宋_GBK"/>
          <w:color w:val="auto"/>
          <w:sz w:val="32"/>
          <w:szCs w:val="32"/>
          <w:highlight w:val="none"/>
        </w:rPr>
        <w:t>：我国正处于实现中华民族伟大复兴的关键时期，我国社会主要矛盾发生变化，人民对美好生活的要求不断提高。同时，我国经济正处在转变发展方式、优化经济结构、转换增长动力的攻关期，实现高质量发展还有许多短板弱项，其中，在民生领域，养老服务体系的建设得到了高度的重视。十八大以来，国家出台了加快发展养老服务业、全面放开养老服务市场、推进医养结合、扫清破除养老服务发展障碍等政策措施，大力推动养老服务体系建设发展。</w:t>
      </w:r>
    </w:p>
    <w:p>
      <w:pPr>
        <w:pageBreakBefore w:val="0"/>
        <w:kinsoku/>
        <w:wordWrap/>
        <w:overflowPunct/>
        <w:topLinePunct w:val="0"/>
        <w:autoSpaceDE/>
        <w:autoSpaceDN/>
        <w:bidi w:val="0"/>
        <w:adjustRightInd w:val="0"/>
        <w:snapToGrid w:val="0"/>
        <w:spacing w:line="560" w:lineRule="exact"/>
        <w:ind w:firstLine="643" w:firstLineChars="200"/>
        <w:jc w:val="left"/>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b/>
          <w:bCs/>
          <w:color w:val="auto"/>
          <w:sz w:val="32"/>
          <w:szCs w:val="32"/>
          <w:highlight w:val="none"/>
        </w:rPr>
        <w:t>从广东形势看：</w:t>
      </w:r>
      <w:r>
        <w:rPr>
          <w:rFonts w:hint="eastAsia" w:ascii="方正仿宋_GBK" w:hAnsi="方正仿宋_GBK" w:eastAsia="方正仿宋_GBK" w:cs="方正仿宋_GBK"/>
          <w:color w:val="auto"/>
          <w:sz w:val="32"/>
          <w:szCs w:val="32"/>
          <w:highlight w:val="none"/>
        </w:rPr>
        <w:t>“十三五”以来，省委、省政府顺应时势发展要求，提出构建民政领域“大救助、大养老、大儿童保障、大慈善、大社会治理”五大工作体系，在构建“大养老”体系过程中先后出台了40多个政策文件，在社区居家养老服务、机构养老服务、养老人才培养、市场化导向、服务质量提升等方面提出了要求。全省各地按要求构建完善符合地方实际、具有地方特色的养老服务体系，其中，广州、深圳更创新发展，发挥示范引领作用，为全省各地养老服务的发展提供可参考的发展模式。</w:t>
      </w:r>
    </w:p>
    <w:p>
      <w:pPr>
        <w:pageBreakBefore w:val="0"/>
        <w:kinsoku/>
        <w:wordWrap/>
        <w:overflowPunct/>
        <w:topLinePunct w:val="0"/>
        <w:autoSpaceDE/>
        <w:autoSpaceDN/>
        <w:bidi w:val="0"/>
        <w:adjustRightInd w:val="0"/>
        <w:snapToGrid w:val="0"/>
        <w:spacing w:line="560" w:lineRule="exact"/>
        <w:ind w:firstLine="643" w:firstLineChars="200"/>
        <w:jc w:val="left"/>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b/>
          <w:bCs/>
          <w:color w:val="auto"/>
          <w:sz w:val="32"/>
          <w:szCs w:val="32"/>
          <w:highlight w:val="none"/>
        </w:rPr>
        <w:t>从鹤山形势看：</w:t>
      </w:r>
      <w:r>
        <w:rPr>
          <w:rFonts w:hint="eastAsia" w:ascii="方正仿宋_GBK" w:hAnsi="方正仿宋_GBK" w:eastAsia="方正仿宋_GBK" w:cs="方正仿宋_GBK"/>
          <w:color w:val="auto"/>
          <w:sz w:val="32"/>
          <w:szCs w:val="32"/>
          <w:highlight w:val="none"/>
        </w:rPr>
        <w:t>鹤山市是江门市的</w:t>
      </w:r>
      <w:r>
        <w:rPr>
          <w:rFonts w:hint="eastAsia" w:ascii="方正仿宋_GBK" w:hAnsi="方正仿宋_GBK" w:eastAsia="方正仿宋_GBK" w:cs="方正仿宋_GBK"/>
          <w:color w:val="auto"/>
          <w:sz w:val="32"/>
          <w:szCs w:val="32"/>
          <w:highlight w:val="none"/>
          <w:lang w:eastAsia="zh-CN"/>
        </w:rPr>
        <w:t>县</w:t>
      </w:r>
      <w:r>
        <w:rPr>
          <w:rFonts w:hint="eastAsia" w:ascii="方正仿宋_GBK" w:hAnsi="方正仿宋_GBK" w:eastAsia="方正仿宋_GBK" w:cs="方正仿宋_GBK"/>
          <w:color w:val="auto"/>
          <w:sz w:val="32"/>
          <w:szCs w:val="32"/>
          <w:highlight w:val="none"/>
        </w:rPr>
        <w:t>级城市，“十三五”期间，江门市和鹤山市纷纷出台相应的养老服务政策文件，为我市构建养老服务体系建设打下初步的基础。</w:t>
      </w:r>
      <w:r>
        <w:rPr>
          <w:rFonts w:hint="eastAsia" w:ascii="方正仿宋_GBK" w:hAnsi="方正仿宋_GBK" w:eastAsia="方正仿宋_GBK" w:cs="方正仿宋_GBK"/>
          <w:color w:val="auto"/>
          <w:sz w:val="32"/>
          <w:szCs w:val="32"/>
          <w:highlight w:val="none"/>
          <w:u w:val="none"/>
        </w:rPr>
        <w:t>我市养老服务体系发展</w:t>
      </w:r>
      <w:r>
        <w:rPr>
          <w:rFonts w:hint="eastAsia" w:ascii="方正仿宋_GBK" w:hAnsi="方正仿宋_GBK" w:eastAsia="方正仿宋_GBK" w:cs="方正仿宋_GBK"/>
          <w:color w:val="auto"/>
          <w:sz w:val="32"/>
          <w:szCs w:val="32"/>
          <w:highlight w:val="none"/>
          <w:u w:val="none"/>
          <w:lang w:eastAsia="zh-CN"/>
        </w:rPr>
        <w:t>较</w:t>
      </w:r>
      <w:r>
        <w:rPr>
          <w:rFonts w:hint="eastAsia" w:ascii="方正仿宋_GBK" w:hAnsi="方正仿宋_GBK" w:eastAsia="方正仿宋_GBK" w:cs="方正仿宋_GBK"/>
          <w:color w:val="auto"/>
          <w:sz w:val="32"/>
          <w:szCs w:val="32"/>
          <w:highlight w:val="none"/>
          <w:u w:val="none"/>
        </w:rPr>
        <w:t>不平衡、不完善，养老服务设施建设</w:t>
      </w:r>
      <w:r>
        <w:rPr>
          <w:rFonts w:hint="eastAsia" w:ascii="方正仿宋_GBK" w:hAnsi="方正仿宋_GBK" w:eastAsia="方正仿宋_GBK" w:cs="方正仿宋_GBK"/>
          <w:color w:val="auto"/>
          <w:sz w:val="32"/>
          <w:szCs w:val="32"/>
          <w:highlight w:val="none"/>
          <w:u w:val="none"/>
          <w:lang w:eastAsia="zh-CN"/>
        </w:rPr>
        <w:t>相对</w:t>
      </w:r>
      <w:r>
        <w:rPr>
          <w:rFonts w:hint="eastAsia" w:ascii="方正仿宋_GBK" w:hAnsi="方正仿宋_GBK" w:eastAsia="方正仿宋_GBK" w:cs="方正仿宋_GBK"/>
          <w:color w:val="auto"/>
          <w:sz w:val="32"/>
          <w:szCs w:val="32"/>
          <w:highlight w:val="none"/>
          <w:u w:val="none"/>
        </w:rPr>
        <w:t>滞后，部分养老服务处于起步阶段，</w:t>
      </w:r>
      <w:r>
        <w:rPr>
          <w:rFonts w:hint="eastAsia" w:ascii="方正仿宋_GBK" w:hAnsi="方正仿宋_GBK" w:eastAsia="方正仿宋_GBK" w:cs="方正仿宋_GBK"/>
          <w:color w:val="auto"/>
          <w:sz w:val="32"/>
          <w:szCs w:val="32"/>
          <w:highlight w:val="none"/>
        </w:rPr>
        <w:t>人口老龄化进程加快的事实要求鹤山市优化并大力推动养老服务体系建设，发展符合本地实际、具有本地特色的养老服务模式。</w:t>
      </w:r>
    </w:p>
    <w:p>
      <w:pPr>
        <w:pageBreakBefore w:val="0"/>
        <w:kinsoku/>
        <w:wordWrap/>
        <w:overflowPunct/>
        <w:topLinePunct w:val="0"/>
        <w:autoSpaceDE/>
        <w:autoSpaceDN/>
        <w:bidi w:val="0"/>
        <w:adjustRightInd w:val="0"/>
        <w:snapToGrid w:val="0"/>
        <w:spacing w:line="560" w:lineRule="exact"/>
        <w:ind w:firstLine="643" w:firstLineChars="200"/>
        <w:jc w:val="both"/>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b/>
          <w:bCs/>
          <w:color w:val="auto"/>
          <w:sz w:val="32"/>
          <w:szCs w:val="32"/>
          <w:highlight w:val="none"/>
        </w:rPr>
        <w:t>挑战方面：</w:t>
      </w:r>
      <w:r>
        <w:rPr>
          <w:rFonts w:hint="eastAsia" w:ascii="方正仿宋_GBK" w:hAnsi="方正仿宋_GBK" w:eastAsia="方正仿宋_GBK" w:cs="方正仿宋_GBK"/>
          <w:color w:val="auto"/>
          <w:sz w:val="32"/>
          <w:szCs w:val="32"/>
          <w:highlight w:val="none"/>
          <w:lang w:val="en-US" w:eastAsia="zh-CN"/>
        </w:rPr>
        <w:t>根据鹤山市第七次全国人口普查公报数据显示，按照常住人口统计，全市60周岁及以上常住人口8.3万人，占常住人口总数15.64%（江门市常住总人口比例为18.26%，省常住老年人比例为12.35%）；按户籍人口统计，2020年底，我市60周岁及以上户籍老年人8.01万，占户籍人口总数20.7%（江门市户籍老年人比例为21.35%，省户籍老年人比例为15.27%）。鹤山市常住老年人比例和户籍老年人比例低于江门市水平，但都远高于全省平均水平。</w:t>
      </w:r>
      <w:r>
        <w:rPr>
          <w:rFonts w:hint="eastAsia" w:ascii="方正仿宋_GBK" w:hAnsi="方正仿宋_GBK" w:eastAsia="方正仿宋_GBK" w:cs="方正仿宋_GBK"/>
          <w:color w:val="auto"/>
          <w:sz w:val="32"/>
          <w:szCs w:val="32"/>
          <w:highlight w:val="none"/>
        </w:rPr>
        <w:t>我市的养老服务体系发展</w:t>
      </w:r>
      <w:r>
        <w:rPr>
          <w:rFonts w:hint="eastAsia" w:ascii="方正仿宋_GBK" w:hAnsi="方正仿宋_GBK" w:eastAsia="方正仿宋_GBK" w:cs="方正仿宋_GBK"/>
          <w:color w:val="auto"/>
          <w:sz w:val="32"/>
          <w:szCs w:val="32"/>
          <w:highlight w:val="none"/>
          <w:lang w:eastAsia="zh-CN"/>
        </w:rPr>
        <w:t>较</w:t>
      </w:r>
      <w:r>
        <w:rPr>
          <w:rFonts w:hint="eastAsia" w:ascii="方正仿宋_GBK" w:hAnsi="方正仿宋_GBK" w:eastAsia="方正仿宋_GBK" w:cs="方正仿宋_GBK"/>
          <w:color w:val="auto"/>
          <w:sz w:val="32"/>
          <w:szCs w:val="32"/>
          <w:highlight w:val="none"/>
        </w:rPr>
        <w:t>不平衡，发展规模不大，功能单一，服务质量不高，服务监管力度</w:t>
      </w:r>
      <w:r>
        <w:rPr>
          <w:rFonts w:hint="eastAsia" w:ascii="方正仿宋_GBK" w:hAnsi="方正仿宋_GBK" w:eastAsia="方正仿宋_GBK" w:cs="方正仿宋_GBK"/>
          <w:color w:val="auto"/>
          <w:sz w:val="32"/>
          <w:szCs w:val="32"/>
          <w:highlight w:val="none"/>
          <w:lang w:eastAsia="zh-CN"/>
        </w:rPr>
        <w:t>较</w:t>
      </w:r>
      <w:r>
        <w:rPr>
          <w:rFonts w:hint="eastAsia" w:ascii="方正仿宋_GBK" w:hAnsi="方正仿宋_GBK" w:eastAsia="方正仿宋_GBK" w:cs="方正仿宋_GBK"/>
          <w:color w:val="auto"/>
          <w:sz w:val="32"/>
          <w:szCs w:val="32"/>
          <w:highlight w:val="none"/>
        </w:rPr>
        <w:t>弱，民间资本投入热情</w:t>
      </w:r>
      <w:r>
        <w:rPr>
          <w:rFonts w:hint="eastAsia" w:ascii="方正仿宋_GBK" w:hAnsi="方正仿宋_GBK" w:eastAsia="方正仿宋_GBK" w:cs="方正仿宋_GBK"/>
          <w:color w:val="auto"/>
          <w:sz w:val="32"/>
          <w:szCs w:val="32"/>
          <w:highlight w:val="none"/>
          <w:lang w:eastAsia="zh-CN"/>
        </w:rPr>
        <w:t>不高</w:t>
      </w:r>
      <w:r>
        <w:rPr>
          <w:rFonts w:hint="eastAsia" w:ascii="方正仿宋_GBK" w:hAnsi="方正仿宋_GBK" w:eastAsia="方正仿宋_GBK" w:cs="方正仿宋_GBK"/>
          <w:color w:val="auto"/>
          <w:sz w:val="32"/>
          <w:szCs w:val="32"/>
          <w:highlight w:val="none"/>
        </w:rPr>
        <w:t>，多以政府购买的养老服务为主，普惠性、基础性、兜底性养老服务发展</w:t>
      </w:r>
      <w:r>
        <w:rPr>
          <w:rFonts w:hint="eastAsia" w:ascii="方正仿宋_GBK" w:hAnsi="方正仿宋_GBK" w:eastAsia="方正仿宋_GBK" w:cs="方正仿宋_GBK"/>
          <w:color w:val="auto"/>
          <w:sz w:val="32"/>
          <w:szCs w:val="32"/>
          <w:highlight w:val="none"/>
          <w:lang w:eastAsia="zh-CN"/>
        </w:rPr>
        <w:t>不够</w:t>
      </w:r>
      <w:r>
        <w:rPr>
          <w:rFonts w:hint="eastAsia" w:ascii="方正仿宋_GBK" w:hAnsi="方正仿宋_GBK" w:eastAsia="方正仿宋_GBK" w:cs="方正仿宋_GBK"/>
          <w:color w:val="auto"/>
          <w:sz w:val="32"/>
          <w:szCs w:val="32"/>
          <w:highlight w:val="none"/>
        </w:rPr>
        <w:t>完善。2020年，受新冠疫情影响，鹤山市中小企业和部分服务业受到较大冲击，养老</w:t>
      </w:r>
      <w:r>
        <w:rPr>
          <w:rFonts w:hint="eastAsia" w:ascii="方正仿宋_GBK" w:hAnsi="方正仿宋_GBK" w:eastAsia="方正仿宋_GBK" w:cs="方正仿宋_GBK"/>
          <w:color w:val="auto"/>
          <w:sz w:val="32"/>
          <w:szCs w:val="32"/>
          <w:highlight w:val="none"/>
          <w:lang w:eastAsia="zh-CN"/>
        </w:rPr>
        <w:t>服务</w:t>
      </w:r>
      <w:r>
        <w:rPr>
          <w:rFonts w:hint="eastAsia" w:ascii="方正仿宋_GBK" w:hAnsi="方正仿宋_GBK" w:eastAsia="方正仿宋_GBK" w:cs="方正仿宋_GBK"/>
          <w:color w:val="auto"/>
          <w:sz w:val="32"/>
          <w:szCs w:val="32"/>
          <w:highlight w:val="none"/>
        </w:rPr>
        <w:t>行业首当其冲，特别是民办养老服务机构，其收入锐减、运营支出大增，造成了巨大的经营压力。当前，</w:t>
      </w:r>
      <w:r>
        <w:rPr>
          <w:rFonts w:hint="eastAsia" w:ascii="方正仿宋_GBK" w:hAnsi="方正仿宋_GBK" w:eastAsia="方正仿宋_GBK" w:cs="方正仿宋_GBK"/>
          <w:color w:val="auto"/>
          <w:sz w:val="32"/>
          <w:szCs w:val="32"/>
          <w:highlight w:val="none"/>
          <w:lang w:eastAsia="zh-CN"/>
        </w:rPr>
        <w:t>虽然</w:t>
      </w:r>
      <w:r>
        <w:rPr>
          <w:rFonts w:hint="eastAsia" w:ascii="方正仿宋_GBK" w:hAnsi="方正仿宋_GBK" w:eastAsia="方正仿宋_GBK" w:cs="方正仿宋_GBK"/>
          <w:color w:val="auto"/>
          <w:sz w:val="32"/>
          <w:szCs w:val="32"/>
          <w:highlight w:val="none"/>
        </w:rPr>
        <w:t>已经恢复养老服务秩序，实施常态化疫情防控，养老服务机构的运营和管理依然面临着较大的挑战。</w:t>
      </w:r>
    </w:p>
    <w:p>
      <w:pPr>
        <w:pageBreakBefore w:val="0"/>
        <w:kinsoku/>
        <w:wordWrap/>
        <w:overflowPunct/>
        <w:topLinePunct w:val="0"/>
        <w:autoSpaceDE/>
        <w:autoSpaceDN/>
        <w:bidi w:val="0"/>
        <w:adjustRightInd w:val="0"/>
        <w:snapToGrid w:val="0"/>
        <w:spacing w:line="560" w:lineRule="exact"/>
        <w:ind w:firstLine="643" w:firstLineChars="200"/>
        <w:jc w:val="both"/>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b/>
          <w:bCs/>
          <w:color w:val="auto"/>
          <w:sz w:val="32"/>
          <w:szCs w:val="32"/>
          <w:highlight w:val="none"/>
        </w:rPr>
        <w:t>机遇方面：</w:t>
      </w:r>
      <w:r>
        <w:rPr>
          <w:rFonts w:hint="eastAsia" w:ascii="方正仿宋_GBK" w:hAnsi="方正仿宋_GBK" w:eastAsia="方正仿宋_GBK" w:cs="方正仿宋_GBK"/>
          <w:color w:val="auto"/>
          <w:sz w:val="32"/>
          <w:szCs w:val="32"/>
          <w:highlight w:val="none"/>
        </w:rPr>
        <w:t>2019年，江门市纳入粤港澳大湾区规划发展，未来一段时期内，江门市人口吸引效能将进一步加大，人口老龄化将进一步加快，人口城镇化将进入新阶段。随着城镇化和老龄化水平持续提高，养老、医疗、护理等需求大幅增加，人口与资源环境的紧张关系持续凸显。作为江门的</w:t>
      </w:r>
      <w:r>
        <w:rPr>
          <w:rFonts w:hint="eastAsia" w:ascii="方正仿宋_GBK" w:hAnsi="方正仿宋_GBK" w:eastAsia="方正仿宋_GBK" w:cs="方正仿宋_GBK"/>
          <w:color w:val="auto"/>
          <w:sz w:val="32"/>
          <w:szCs w:val="32"/>
          <w:highlight w:val="none"/>
          <w:u w:val="none"/>
        </w:rPr>
        <w:t>一</w:t>
      </w:r>
      <w:r>
        <w:rPr>
          <w:rFonts w:hint="eastAsia" w:ascii="方正仿宋_GBK" w:hAnsi="方正仿宋_GBK" w:eastAsia="方正仿宋_GBK" w:cs="方正仿宋_GBK"/>
          <w:color w:val="auto"/>
          <w:sz w:val="32"/>
          <w:szCs w:val="32"/>
          <w:highlight w:val="none"/>
          <w:u w:val="none"/>
          <w:lang w:eastAsia="zh-CN"/>
        </w:rPr>
        <w:t>个</w:t>
      </w:r>
      <w:r>
        <w:rPr>
          <w:rFonts w:hint="eastAsia" w:ascii="方正仿宋_GBK" w:hAnsi="方正仿宋_GBK" w:eastAsia="方正仿宋_GBK" w:cs="方正仿宋_GBK"/>
          <w:color w:val="auto"/>
          <w:sz w:val="32"/>
          <w:szCs w:val="32"/>
          <w:highlight w:val="none"/>
          <w:lang w:eastAsia="zh-CN"/>
        </w:rPr>
        <w:t>县</w:t>
      </w:r>
      <w:r>
        <w:rPr>
          <w:rFonts w:hint="eastAsia" w:ascii="方正仿宋_GBK" w:hAnsi="方正仿宋_GBK" w:eastAsia="方正仿宋_GBK" w:cs="方正仿宋_GBK"/>
          <w:color w:val="auto"/>
          <w:sz w:val="32"/>
          <w:szCs w:val="32"/>
          <w:highlight w:val="none"/>
        </w:rPr>
        <w:t>级城市，鹤山市是我国著名的侨乡之一，旅游资源丰富，气候宜人，四季如春，适合海外华侨和港澳同胞回乡度假和养老。鹤山市现代工业发展</w:t>
      </w:r>
      <w:r>
        <w:rPr>
          <w:rFonts w:hint="eastAsia" w:ascii="方正仿宋_GBK" w:hAnsi="方正仿宋_GBK" w:eastAsia="方正仿宋_GBK" w:cs="方正仿宋_GBK"/>
          <w:color w:val="auto"/>
          <w:sz w:val="32"/>
          <w:szCs w:val="32"/>
          <w:highlight w:val="none"/>
          <w:u w:val="none"/>
        </w:rPr>
        <w:t>较好</w:t>
      </w:r>
      <w:r>
        <w:rPr>
          <w:rFonts w:hint="eastAsia" w:ascii="方正仿宋_GBK" w:hAnsi="方正仿宋_GBK" w:eastAsia="方正仿宋_GBK" w:cs="方正仿宋_GBK"/>
          <w:color w:val="auto"/>
          <w:sz w:val="32"/>
          <w:szCs w:val="32"/>
          <w:highlight w:val="none"/>
        </w:rPr>
        <w:t>，有较好的经济发展基础。对标深圳、广州等先进城市的做法，紧紧抓住粤港澳大湾区发展机遇，有助于推动我市养老服务体系往高质量方向发展。</w:t>
      </w:r>
    </w:p>
    <w:p>
      <w:pPr>
        <w:pageBreakBefore w:val="0"/>
        <w:kinsoku/>
        <w:wordWrap/>
        <w:overflowPunct/>
        <w:topLinePunct w:val="0"/>
        <w:autoSpaceDE/>
        <w:autoSpaceDN/>
        <w:bidi w:val="0"/>
        <w:adjustRightInd w:val="0"/>
        <w:snapToGrid w:val="0"/>
        <w:spacing w:line="560" w:lineRule="exact"/>
        <w:ind w:firstLine="640" w:firstLineChars="200"/>
        <w:jc w:val="left"/>
        <w:rPr>
          <w:rFonts w:hint="eastAsia" w:ascii="方正仿宋_GBK" w:hAnsi="方正仿宋_GBK" w:eastAsia="方正仿宋_GBK" w:cs="方正仿宋_GBK"/>
          <w:color w:val="auto"/>
          <w:sz w:val="32"/>
          <w:szCs w:val="32"/>
          <w:highlight w:val="none"/>
        </w:rPr>
      </w:pPr>
    </w:p>
    <w:p>
      <w:pPr>
        <w:pageBreakBefore w:val="0"/>
        <w:kinsoku/>
        <w:wordWrap/>
        <w:overflowPunct/>
        <w:topLinePunct w:val="0"/>
        <w:autoSpaceDE/>
        <w:autoSpaceDN/>
        <w:bidi w:val="0"/>
        <w:adjustRightInd w:val="0"/>
        <w:snapToGrid w:val="0"/>
        <w:spacing w:line="560" w:lineRule="exact"/>
        <w:jc w:val="left"/>
        <w:rPr>
          <w:rFonts w:hint="eastAsia" w:ascii="方正仿宋_GBK" w:hAnsi="方正仿宋_GBK" w:eastAsia="方正仿宋_GBK" w:cs="方正仿宋_GBK"/>
          <w:color w:val="auto"/>
          <w:sz w:val="32"/>
          <w:szCs w:val="32"/>
          <w:highlight w:val="none"/>
        </w:rPr>
      </w:pPr>
    </w:p>
    <w:p>
      <w:pPr>
        <w:pStyle w:val="2"/>
        <w:pageBreakBefore w:val="0"/>
        <w:kinsoku/>
        <w:wordWrap/>
        <w:overflowPunct/>
        <w:topLinePunct w:val="0"/>
        <w:autoSpaceDE/>
        <w:autoSpaceDN/>
        <w:bidi w:val="0"/>
        <w:spacing w:line="560" w:lineRule="exact"/>
        <w:rPr>
          <w:rFonts w:hint="eastAsia" w:ascii="方正仿宋_GBK" w:hAnsi="方正仿宋_GBK" w:eastAsia="方正仿宋_GBK" w:cs="方正仿宋_GBK"/>
          <w:color w:val="auto"/>
          <w:sz w:val="28"/>
          <w:szCs w:val="28"/>
          <w:highlight w:val="none"/>
        </w:rPr>
      </w:pPr>
    </w:p>
    <w:p>
      <w:pPr>
        <w:pageBreakBefore w:val="0"/>
        <w:kinsoku/>
        <w:wordWrap/>
        <w:overflowPunct/>
        <w:topLinePunct w:val="0"/>
        <w:autoSpaceDE/>
        <w:autoSpaceDN/>
        <w:bidi w:val="0"/>
        <w:spacing w:line="560" w:lineRule="exact"/>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br w:type="page"/>
      </w:r>
    </w:p>
    <w:p>
      <w:pPr>
        <w:pStyle w:val="4"/>
        <w:pageBreakBefore w:val="0"/>
        <w:kinsoku/>
        <w:wordWrap/>
        <w:overflowPunct/>
        <w:topLinePunct w:val="0"/>
        <w:autoSpaceDE/>
        <w:autoSpaceDN/>
        <w:bidi w:val="0"/>
        <w:spacing w:line="560" w:lineRule="exact"/>
        <w:jc w:val="center"/>
        <w:rPr>
          <w:rFonts w:hint="eastAsia" w:ascii="方正黑体_GBK" w:hAnsi="方正黑体_GBK" w:eastAsia="方正黑体_GBK" w:cs="方正黑体_GBK"/>
          <w:color w:val="auto"/>
          <w:sz w:val="44"/>
          <w:szCs w:val="44"/>
          <w:highlight w:val="none"/>
        </w:rPr>
      </w:pPr>
      <w:r>
        <w:rPr>
          <w:rFonts w:hint="eastAsia" w:ascii="方正黑体_GBK" w:hAnsi="方正黑体_GBK" w:eastAsia="方正黑体_GBK" w:cs="方正黑体_GBK"/>
          <w:color w:val="auto"/>
          <w:sz w:val="44"/>
          <w:szCs w:val="44"/>
          <w:highlight w:val="none"/>
        </w:rPr>
        <w:t>第三章 总体要求</w:t>
      </w:r>
    </w:p>
    <w:p>
      <w:pPr>
        <w:pStyle w:val="5"/>
        <w:keepNext/>
        <w:keepLines/>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方正楷体_GBK" w:hAnsi="方正楷体_GBK" w:eastAsia="方正楷体_GBK" w:cs="方正楷体_GBK"/>
          <w:color w:val="auto"/>
          <w:sz w:val="32"/>
          <w:szCs w:val="32"/>
          <w:highlight w:val="none"/>
          <w:lang w:val="en-US" w:eastAsia="zh-CN"/>
        </w:rPr>
      </w:pPr>
      <w:r>
        <w:rPr>
          <w:rFonts w:hint="eastAsia" w:ascii="方正楷体_GBK" w:hAnsi="方正楷体_GBK" w:eastAsia="方正楷体_GBK" w:cs="方正楷体_GBK"/>
          <w:color w:val="auto"/>
          <w:sz w:val="32"/>
          <w:szCs w:val="32"/>
          <w:highlight w:val="none"/>
          <w:lang w:val="en-US" w:eastAsia="zh-CN"/>
        </w:rPr>
        <w:t>一、</w:t>
      </w:r>
      <w:r>
        <w:rPr>
          <w:rFonts w:hint="eastAsia" w:ascii="方正楷体_GBK" w:hAnsi="方正楷体_GBK" w:eastAsia="方正楷体_GBK" w:cs="方正楷体_GBK"/>
          <w:color w:val="auto"/>
          <w:sz w:val="32"/>
          <w:szCs w:val="32"/>
          <w:highlight w:val="none"/>
        </w:rPr>
        <w:t>指导思想</w:t>
      </w:r>
    </w:p>
    <w:p>
      <w:pPr>
        <w:pStyle w:val="9"/>
        <w:pageBreakBefore w:val="0"/>
        <w:widowControl w:val="0"/>
        <w:kinsoku/>
        <w:wordWrap/>
        <w:overflowPunct/>
        <w:topLinePunct w:val="0"/>
        <w:autoSpaceDE/>
        <w:autoSpaceDN/>
        <w:bidi w:val="0"/>
        <w:adjustRightInd w:val="0"/>
        <w:snapToGrid w:val="0"/>
        <w:spacing w:line="560" w:lineRule="exact"/>
        <w:ind w:firstLine="640"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坚持以习近平新时代中国特色社会主义思想为指导，贯彻落实习近平总书记对广东系列重要讲话和指示批示精神</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val="en-US" w:eastAsia="zh-CN"/>
        </w:rPr>
        <w:t>坚持以人民为中心，充分发挥政府的主导作用和社会力量的主体作用，依托鹤山特有的资源优势，以基本养老服务为抓手</w:t>
      </w:r>
      <w:r>
        <w:rPr>
          <w:rFonts w:hint="eastAsia" w:ascii="方正仿宋_GBK" w:hAnsi="方正仿宋_GBK" w:eastAsia="方正仿宋_GBK" w:cs="方正仿宋_GBK"/>
          <w:color w:val="auto"/>
          <w:sz w:val="32"/>
          <w:szCs w:val="32"/>
          <w:highlight w:val="none"/>
          <w:u w:val="none"/>
          <w:lang w:val="en-US" w:eastAsia="zh-CN"/>
        </w:rPr>
        <w:t>，</w:t>
      </w:r>
      <w:r>
        <w:rPr>
          <w:rFonts w:hint="eastAsia" w:ascii="方正仿宋_GBK" w:hAnsi="方正仿宋_GBK" w:eastAsia="方正仿宋_GBK" w:cs="方正仿宋_GBK"/>
          <w:color w:val="auto"/>
          <w:kern w:val="2"/>
          <w:sz w:val="32"/>
          <w:szCs w:val="32"/>
          <w:highlight w:val="none"/>
          <w:u w:val="none"/>
          <w:lang w:val="en-US" w:eastAsia="zh-CN" w:bidi="zh-CN"/>
        </w:rPr>
        <w:t>加快构建居家社区机构相协调、医养康养相结合的养老服务体系，</w:t>
      </w:r>
      <w:r>
        <w:rPr>
          <w:rFonts w:hint="eastAsia" w:ascii="方正仿宋_GBK" w:hAnsi="方正仿宋_GBK" w:eastAsia="方正仿宋_GBK" w:cs="方正仿宋_GBK"/>
          <w:color w:val="auto"/>
          <w:sz w:val="32"/>
          <w:szCs w:val="32"/>
          <w:highlight w:val="none"/>
          <w:u w:val="none"/>
          <w:lang w:val="en-US" w:eastAsia="zh-CN"/>
        </w:rPr>
        <w:t>统</w:t>
      </w:r>
      <w:r>
        <w:rPr>
          <w:rFonts w:hint="eastAsia" w:ascii="方正仿宋_GBK" w:hAnsi="方正仿宋_GBK" w:eastAsia="方正仿宋_GBK" w:cs="方正仿宋_GBK"/>
          <w:color w:val="auto"/>
          <w:sz w:val="32"/>
          <w:szCs w:val="32"/>
          <w:highlight w:val="none"/>
          <w:lang w:val="en-US" w:eastAsia="zh-CN"/>
        </w:rPr>
        <w:t>筹推进养老事业和养老产业协调发展，着力破解养老服务发展障碍，打通“堵点”，消除“痛点”，有效增加优质养老服务供给，扎实推进养老服务高质量发展，满足人民群众日益增长的多样化养老服务需求，切实增强老年人及其家庭的获得感、幸福感、安全感。</w:t>
      </w:r>
    </w:p>
    <w:p>
      <w:pPr>
        <w:pStyle w:val="9"/>
        <w:pageBreakBefore w:val="0"/>
        <w:widowControl w:val="0"/>
        <w:kinsoku/>
        <w:wordWrap/>
        <w:overflowPunct/>
        <w:topLinePunct w:val="0"/>
        <w:autoSpaceDE/>
        <w:autoSpaceDN/>
        <w:bidi w:val="0"/>
        <w:adjustRightInd w:val="0"/>
        <w:snapToGrid w:val="0"/>
        <w:spacing w:line="560" w:lineRule="exact"/>
        <w:ind w:firstLine="643" w:firstLineChars="200"/>
        <w:rPr>
          <w:rFonts w:hint="eastAsia" w:ascii="方正楷体_GBK" w:hAnsi="方正楷体_GBK" w:eastAsia="方正楷体_GBK" w:cs="方正楷体_GBK"/>
          <w:b/>
          <w:bCs/>
          <w:color w:val="auto"/>
          <w:sz w:val="32"/>
          <w:szCs w:val="32"/>
          <w:highlight w:val="none"/>
          <w:lang w:val="en-US" w:eastAsia="zh-CN"/>
        </w:rPr>
      </w:pPr>
      <w:r>
        <w:rPr>
          <w:rFonts w:hint="eastAsia" w:ascii="方正楷体_GBK" w:hAnsi="方正楷体_GBK" w:eastAsia="方正楷体_GBK" w:cs="方正楷体_GBK"/>
          <w:b/>
          <w:bCs/>
          <w:color w:val="auto"/>
          <w:sz w:val="32"/>
          <w:szCs w:val="32"/>
          <w:highlight w:val="none"/>
          <w:lang w:val="en-US" w:eastAsia="zh-CN"/>
        </w:rPr>
        <w:t>二、基本原则</w:t>
      </w:r>
    </w:p>
    <w:p>
      <w:pPr>
        <w:pStyle w:val="9"/>
        <w:pageBreakBefore w:val="0"/>
        <w:widowControl w:val="0"/>
        <w:kinsoku/>
        <w:wordWrap/>
        <w:overflowPunct/>
        <w:topLinePunct w:val="0"/>
        <w:autoSpaceDE/>
        <w:autoSpaceDN/>
        <w:bidi w:val="0"/>
        <w:adjustRightInd w:val="0"/>
        <w:snapToGrid w:val="0"/>
        <w:spacing w:line="560" w:lineRule="exact"/>
        <w:ind w:firstLine="643"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b/>
          <w:bCs/>
          <w:color w:val="auto"/>
          <w:sz w:val="32"/>
          <w:szCs w:val="32"/>
          <w:highlight w:val="none"/>
          <w:lang w:val="en-US" w:eastAsia="zh-CN"/>
        </w:rPr>
        <w:t>——多元参与，共建共享。</w:t>
      </w:r>
      <w:r>
        <w:rPr>
          <w:rFonts w:hint="eastAsia" w:ascii="方正仿宋_GBK" w:hAnsi="方正仿宋_GBK" w:eastAsia="方正仿宋_GBK" w:cs="方正仿宋_GBK"/>
          <w:color w:val="auto"/>
          <w:sz w:val="32"/>
          <w:szCs w:val="32"/>
          <w:highlight w:val="none"/>
          <w:lang w:val="en-US" w:eastAsia="zh-CN"/>
        </w:rPr>
        <w:t>坚持供给与需求双侧发力，充分发挥各级党委的统筹领导作用、政府的政策引导作用、市场在资源配置中的决定作用、社会力量在养老服务中的主体作用、家庭在养老服务中的基础作用，汇聚养老服务多元参与合力，形成政府、市场、社会、家庭共建共享的新时代养老服务发展格局。</w:t>
      </w:r>
    </w:p>
    <w:p>
      <w:pPr>
        <w:pStyle w:val="9"/>
        <w:pageBreakBefore w:val="0"/>
        <w:widowControl w:val="0"/>
        <w:kinsoku/>
        <w:wordWrap/>
        <w:overflowPunct/>
        <w:topLinePunct w:val="0"/>
        <w:autoSpaceDE/>
        <w:autoSpaceDN/>
        <w:bidi w:val="0"/>
        <w:adjustRightInd w:val="0"/>
        <w:snapToGrid w:val="0"/>
        <w:spacing w:line="560" w:lineRule="exact"/>
        <w:ind w:firstLine="643"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b/>
          <w:bCs/>
          <w:color w:val="auto"/>
          <w:sz w:val="32"/>
          <w:szCs w:val="32"/>
          <w:highlight w:val="none"/>
          <w:lang w:val="en-US" w:eastAsia="zh-CN"/>
        </w:rPr>
        <w:t>——保障基本，统筹协调。</w:t>
      </w:r>
      <w:r>
        <w:rPr>
          <w:rFonts w:hint="eastAsia" w:ascii="方正仿宋_GBK" w:hAnsi="方正仿宋_GBK" w:eastAsia="方正仿宋_GBK" w:cs="方正仿宋_GBK"/>
          <w:color w:val="auto"/>
          <w:sz w:val="32"/>
          <w:szCs w:val="32"/>
          <w:highlight w:val="none"/>
          <w:lang w:val="en-US" w:eastAsia="zh-CN"/>
        </w:rPr>
        <w:t>坚持基本与普惠双向并举，强化政府兜底线、保基本职能，重点优先保障特殊困难老年人群体的基本养老服务需求，逐步实现基本养老服务惠及全市老年人。推进居家社区机构养老相协调，推动医养康养相结合，加大对基层和农村养老服务的投入，推动城乡基本养老服务均等化。</w:t>
      </w:r>
    </w:p>
    <w:p>
      <w:pPr>
        <w:pStyle w:val="9"/>
        <w:pageBreakBefore w:val="0"/>
        <w:widowControl w:val="0"/>
        <w:kinsoku/>
        <w:wordWrap/>
        <w:overflowPunct/>
        <w:topLinePunct w:val="0"/>
        <w:autoSpaceDE/>
        <w:autoSpaceDN/>
        <w:bidi w:val="0"/>
        <w:adjustRightInd w:val="0"/>
        <w:snapToGrid w:val="0"/>
        <w:spacing w:line="560" w:lineRule="exact"/>
        <w:ind w:firstLine="643"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b/>
          <w:bCs/>
          <w:color w:val="auto"/>
          <w:sz w:val="32"/>
          <w:szCs w:val="32"/>
          <w:highlight w:val="none"/>
          <w:lang w:val="en-US" w:eastAsia="zh-CN"/>
        </w:rPr>
        <w:t>——突出重点，高质发展。</w:t>
      </w:r>
      <w:r>
        <w:rPr>
          <w:rFonts w:hint="eastAsia" w:ascii="方正仿宋_GBK" w:hAnsi="方正仿宋_GBK" w:eastAsia="方正仿宋_GBK" w:cs="方正仿宋_GBK"/>
          <w:color w:val="auto"/>
          <w:sz w:val="32"/>
          <w:szCs w:val="32"/>
          <w:highlight w:val="none"/>
          <w:lang w:val="en-US" w:eastAsia="zh-CN"/>
        </w:rPr>
        <w:t>坚持事业和产业双轮驱动，夯实家庭在养老服务的基础作用，完善居家社区养老服务网络，聚焦机构养老失能照护功能，加强基本养老服务供给，促进养老服务高质量发展。推进养老服务业标准化、品牌化建设，培育养老服务新业态，推动养老事业与产业协同发展。</w:t>
      </w:r>
    </w:p>
    <w:p>
      <w:pPr>
        <w:pStyle w:val="9"/>
        <w:pageBreakBefore w:val="0"/>
        <w:widowControl w:val="0"/>
        <w:kinsoku/>
        <w:wordWrap/>
        <w:overflowPunct/>
        <w:topLinePunct w:val="0"/>
        <w:autoSpaceDE/>
        <w:autoSpaceDN/>
        <w:bidi w:val="0"/>
        <w:adjustRightInd w:val="0"/>
        <w:snapToGrid w:val="0"/>
        <w:spacing w:line="560" w:lineRule="exact"/>
        <w:ind w:firstLine="643"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b/>
          <w:bCs/>
          <w:color w:val="auto"/>
          <w:sz w:val="32"/>
          <w:szCs w:val="32"/>
          <w:highlight w:val="none"/>
          <w:lang w:val="en-US" w:eastAsia="zh-CN"/>
        </w:rPr>
        <w:t>——改革创新，激发活力。</w:t>
      </w:r>
      <w:r>
        <w:rPr>
          <w:rFonts w:hint="eastAsia" w:ascii="方正仿宋_GBK" w:hAnsi="方正仿宋_GBK" w:eastAsia="方正仿宋_GBK" w:cs="方正仿宋_GBK"/>
          <w:color w:val="auto"/>
          <w:sz w:val="32"/>
          <w:szCs w:val="32"/>
          <w:highlight w:val="none"/>
          <w:lang w:val="en-US" w:eastAsia="zh-CN"/>
        </w:rPr>
        <w:t>坚持开放与监管双管齐下，落实养老服务扶持政策措施，健全行业标准制度规范，完善综合监管制度机制，营造高效规范、公平竞争的市场环境，充分激发各类市场主体活力。</w:t>
      </w:r>
    </w:p>
    <w:p>
      <w:pPr>
        <w:pStyle w:val="5"/>
        <w:keepNext/>
        <w:keepLines/>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方正楷体_GBK" w:hAnsi="方正楷体_GBK" w:eastAsia="方正楷体_GBK" w:cs="方正楷体_GBK"/>
          <w:color w:val="auto"/>
          <w:sz w:val="32"/>
          <w:szCs w:val="32"/>
          <w:highlight w:val="none"/>
          <w:lang w:eastAsia="zh-CN"/>
        </w:rPr>
      </w:pPr>
      <w:r>
        <w:rPr>
          <w:rFonts w:hint="eastAsia" w:ascii="方正楷体_GBK" w:hAnsi="方正楷体_GBK" w:eastAsia="方正楷体_GBK" w:cs="方正楷体_GBK"/>
          <w:color w:val="auto"/>
          <w:sz w:val="32"/>
          <w:szCs w:val="32"/>
          <w:highlight w:val="none"/>
          <w:lang w:val="en-US" w:eastAsia="zh-CN"/>
        </w:rPr>
        <w:t>三、</w:t>
      </w:r>
      <w:r>
        <w:rPr>
          <w:rFonts w:hint="eastAsia" w:ascii="方正楷体_GBK" w:hAnsi="方正楷体_GBK" w:eastAsia="方正楷体_GBK" w:cs="方正楷体_GBK"/>
          <w:color w:val="auto"/>
          <w:sz w:val="32"/>
          <w:szCs w:val="32"/>
          <w:highlight w:val="none"/>
          <w:lang w:eastAsia="zh-CN"/>
        </w:rPr>
        <w:t>发展目标</w:t>
      </w:r>
    </w:p>
    <w:p>
      <w:pPr>
        <w:pageBreakBefore w:val="0"/>
        <w:widowControl w:val="0"/>
        <w:kinsoku/>
        <w:wordWrap/>
        <w:overflowPunct/>
        <w:topLinePunct w:val="0"/>
        <w:autoSpaceDE/>
        <w:autoSpaceDN/>
        <w:bidi w:val="0"/>
        <w:adjustRightInd w:val="0"/>
        <w:snapToGrid w:val="0"/>
        <w:spacing w:line="560" w:lineRule="exact"/>
        <w:ind w:firstLine="640" w:firstLineChars="200"/>
        <w:jc w:val="left"/>
        <w:rPr>
          <w:rFonts w:hint="eastAsia" w:ascii="方正仿宋_GBK" w:hAnsi="方正仿宋_GBK" w:eastAsia="方正仿宋_GBK" w:cs="方正仿宋_GBK"/>
          <w:color w:val="auto"/>
          <w:kern w:val="2"/>
          <w:sz w:val="32"/>
          <w:szCs w:val="32"/>
          <w:highlight w:val="none"/>
          <w:lang w:val="en-US" w:eastAsia="zh-CN" w:bidi="zh-CN"/>
        </w:rPr>
      </w:pPr>
      <w:r>
        <w:rPr>
          <w:rFonts w:hint="eastAsia" w:ascii="方正仿宋_GBK" w:hAnsi="方正仿宋_GBK" w:eastAsia="方正仿宋_GBK" w:cs="方正仿宋_GBK"/>
          <w:color w:val="auto"/>
          <w:kern w:val="2"/>
          <w:sz w:val="32"/>
          <w:szCs w:val="32"/>
          <w:highlight w:val="none"/>
          <w:lang w:val="en-US" w:eastAsia="zh-CN" w:bidi="zh-CN"/>
        </w:rPr>
        <w:t>“十四五”时期，全市养老服务发展的总体目标定位是，积极应对人口老龄化，高质量完成省、江门市部署的各项任务，基本建成居家社区机构相协调、医养康养相结合的养老服务体系，逐步形成兜底保障有力度、普惠供给高质量、高端服务可选择的多层次养老服务供给机制，推动养老事业和养老产业协同发展。令养老服务供给结构不断优化、社会有效投资明显扩大、养老服务消费潜力充分释放、养老服务质量持续改善。</w:t>
      </w:r>
    </w:p>
    <w:p>
      <w:pPr>
        <w:pageBreakBefore w:val="0"/>
        <w:widowControl w:val="0"/>
        <w:kinsoku/>
        <w:wordWrap/>
        <w:overflowPunct/>
        <w:topLinePunct w:val="0"/>
        <w:autoSpaceDE/>
        <w:autoSpaceDN/>
        <w:bidi w:val="0"/>
        <w:adjustRightInd w:val="0"/>
        <w:snapToGrid w:val="0"/>
        <w:spacing w:line="560" w:lineRule="exact"/>
        <w:ind w:firstLine="643" w:firstLineChars="200"/>
        <w:jc w:val="left"/>
        <w:rPr>
          <w:rFonts w:hint="eastAsia"/>
          <w:highlight w:val="none"/>
          <w:lang w:val="en-US" w:eastAsia="zh-CN"/>
        </w:rPr>
      </w:pPr>
      <w:r>
        <w:rPr>
          <w:rFonts w:hint="eastAsia" w:ascii="方正仿宋_GBK" w:hAnsi="方正仿宋_GBK" w:eastAsia="方正仿宋_GBK" w:cs="方正仿宋_GBK"/>
          <w:b/>
          <w:bCs/>
          <w:color w:val="000000" w:themeColor="text1"/>
          <w:kern w:val="2"/>
          <w:sz w:val="32"/>
          <w:szCs w:val="32"/>
          <w:highlight w:val="none"/>
          <w:lang w:val="en-US" w:eastAsia="zh-CN" w:bidi="zh-CN"/>
          <w14:textFill>
            <w14:solidFill>
              <w14:schemeClr w14:val="tx1"/>
            </w14:solidFill>
          </w14:textFill>
        </w:rPr>
        <w:t>——“增量”：</w:t>
      </w:r>
      <w:r>
        <w:rPr>
          <w:rFonts w:hint="eastAsia" w:ascii="方正仿宋_GBK" w:hAnsi="方正仿宋_GBK" w:eastAsia="方正仿宋_GBK" w:cs="方正仿宋_GBK"/>
          <w:color w:val="000000" w:themeColor="text1"/>
          <w:kern w:val="2"/>
          <w:sz w:val="32"/>
          <w:szCs w:val="32"/>
          <w:highlight w:val="none"/>
          <w:lang w:val="en-US" w:eastAsia="zh-CN" w:bidi="zh-CN"/>
          <w14:textFill>
            <w14:solidFill>
              <w14:schemeClr w14:val="tx1"/>
            </w14:solidFill>
          </w14:textFill>
        </w:rPr>
        <w:t>以加强家庭养老、社区居家养老、机构养老基础设施建设为抓手，从新建城区、新建居住（小）区配套建设社区养老服务设施、居家养老服务示范点、老年助餐服务场所、全市养老机构数量、护理型床位占比、养老从业人员培训等指标去加强养老服务设施建设要素保障。</w:t>
      </w:r>
    </w:p>
    <w:p>
      <w:pPr>
        <w:pStyle w:val="2"/>
        <w:pageBreakBefore w:val="0"/>
        <w:widowControl w:val="0"/>
        <w:kinsoku/>
        <w:wordWrap/>
        <w:overflowPunct/>
        <w:topLinePunct w:val="0"/>
        <w:autoSpaceDE/>
        <w:autoSpaceDN/>
        <w:bidi w:val="0"/>
        <w:adjustRightInd w:val="0"/>
        <w:snapToGrid w:val="0"/>
        <w:spacing w:line="560" w:lineRule="exact"/>
        <w:rPr>
          <w:rFonts w:hint="eastAsia" w:ascii="方正仿宋_GBK" w:hAnsi="方正仿宋_GBK" w:eastAsia="方正仿宋_GBK" w:cs="方正仿宋_GBK"/>
          <w:color w:val="000000" w:themeColor="text1"/>
          <w:kern w:val="2"/>
          <w:sz w:val="32"/>
          <w:szCs w:val="32"/>
          <w:highlight w:val="none"/>
          <w:lang w:val="en-US" w:eastAsia="zh-CN" w:bidi="zh-CN"/>
          <w14:textFill>
            <w14:solidFill>
              <w14:schemeClr w14:val="tx1"/>
            </w14:solidFill>
          </w14:textFill>
        </w:rPr>
      </w:pPr>
      <w:r>
        <w:rPr>
          <w:rFonts w:hint="eastAsia" w:ascii="方正仿宋_GBK" w:hAnsi="方正仿宋_GBK" w:eastAsia="方正仿宋_GBK" w:cs="方正仿宋_GBK"/>
          <w:b/>
          <w:bCs/>
          <w:color w:val="000000" w:themeColor="text1"/>
          <w:kern w:val="2"/>
          <w:sz w:val="32"/>
          <w:szCs w:val="32"/>
          <w:highlight w:val="none"/>
          <w:lang w:val="en-US" w:eastAsia="zh-CN" w:bidi="zh-CN"/>
          <w14:textFill>
            <w14:solidFill>
              <w14:schemeClr w14:val="tx1"/>
            </w14:solidFill>
          </w14:textFill>
        </w:rPr>
        <w:t>——“增能”：</w:t>
      </w:r>
      <w:r>
        <w:rPr>
          <w:rFonts w:hint="eastAsia" w:ascii="方正仿宋_GBK" w:hAnsi="方正仿宋_GBK" w:eastAsia="方正仿宋_GBK" w:cs="方正仿宋_GBK"/>
          <w:color w:val="000000" w:themeColor="text1"/>
          <w:kern w:val="2"/>
          <w:sz w:val="32"/>
          <w:szCs w:val="32"/>
          <w:highlight w:val="none"/>
          <w:lang w:val="en-US" w:eastAsia="zh-CN" w:bidi="zh-CN"/>
          <w14:textFill>
            <w14:solidFill>
              <w14:schemeClr w14:val="tx1"/>
            </w14:solidFill>
          </w14:textFill>
        </w:rPr>
        <w:t>努力实现养老服务从“有”到“优”，</w:t>
      </w:r>
      <w:r>
        <w:rPr>
          <w:rFonts w:hint="eastAsia" w:ascii="方正仿宋_GBK" w:hAnsi="方正仿宋_GBK" w:eastAsia="方正仿宋_GBK" w:cs="方正仿宋_GBK"/>
          <w:color w:val="auto"/>
          <w:kern w:val="2"/>
          <w:sz w:val="32"/>
          <w:szCs w:val="32"/>
          <w:highlight w:val="none"/>
          <w:lang w:val="en-US" w:eastAsia="zh-CN" w:bidi="zh-CN"/>
        </w:rPr>
        <w:t>建立健全基本养老服务制度，</w:t>
      </w:r>
      <w:r>
        <w:rPr>
          <w:rFonts w:hint="eastAsia" w:ascii="方正仿宋_GBK" w:hAnsi="方正仿宋_GBK" w:eastAsia="方正仿宋_GBK" w:cs="方正仿宋_GBK"/>
          <w:color w:val="000000" w:themeColor="text1"/>
          <w:kern w:val="2"/>
          <w:sz w:val="32"/>
          <w:szCs w:val="32"/>
          <w:highlight w:val="none"/>
          <w:lang w:val="en-US" w:eastAsia="zh-CN" w:bidi="zh-CN"/>
          <w14:textFill>
            <w14:solidFill>
              <w14:schemeClr w14:val="tx1"/>
            </w14:solidFill>
          </w14:textFill>
        </w:rPr>
        <w:t>不断强化养老服务“兜底线、保基本”功能，</w:t>
      </w:r>
      <w:r>
        <w:rPr>
          <w:rFonts w:hint="eastAsia" w:ascii="方正仿宋_GBK" w:hAnsi="方正仿宋_GBK" w:eastAsia="方正仿宋_GBK" w:cs="方正仿宋_GBK"/>
          <w:color w:val="auto"/>
          <w:kern w:val="2"/>
          <w:sz w:val="32"/>
          <w:szCs w:val="32"/>
          <w:highlight w:val="none"/>
          <w:lang w:val="en-US" w:eastAsia="zh-CN" w:bidi="zh-CN"/>
        </w:rPr>
        <w:t>全面提升养老机构管理水平、护理水平、服务质量，有效推进社会办养老机构规模化、高质量发展，</w:t>
      </w:r>
      <w:r>
        <w:rPr>
          <w:rFonts w:hint="eastAsia" w:ascii="方正仿宋_GBK" w:hAnsi="方正仿宋_GBK" w:eastAsia="方正仿宋_GBK" w:cs="方正仿宋_GBK"/>
          <w:color w:val="000000" w:themeColor="text1"/>
          <w:kern w:val="2"/>
          <w:sz w:val="32"/>
          <w:szCs w:val="32"/>
          <w:highlight w:val="none"/>
          <w:lang w:val="en-US" w:eastAsia="zh-CN" w:bidi="zh-CN"/>
          <w14:textFill>
            <w14:solidFill>
              <w14:schemeClr w14:val="tx1"/>
            </w14:solidFill>
          </w14:textFill>
        </w:rPr>
        <w:t>全面提升医养结合能力，积极推进养老服务标准化和智能化发展，逐步完善多元化养老服务供给体系。</w:t>
      </w:r>
    </w:p>
    <w:p>
      <w:pPr>
        <w:pStyle w:val="2"/>
        <w:keepNext w:val="0"/>
        <w:keepLines w:val="0"/>
        <w:pageBreakBefore w:val="0"/>
        <w:widowControl w:val="0"/>
        <w:numPr>
          <w:ilvl w:val="0"/>
          <w:numId w:val="0"/>
        </w:numPr>
        <w:tabs>
          <w:tab w:val="left" w:pos="3256"/>
        </w:tabs>
        <w:kinsoku/>
        <w:wordWrap/>
        <w:overflowPunct/>
        <w:topLinePunct w:val="0"/>
        <w:autoSpaceDE/>
        <w:autoSpaceDN/>
        <w:bidi w:val="0"/>
        <w:adjustRightInd w:val="0"/>
        <w:snapToGrid w:val="0"/>
        <w:spacing w:line="560" w:lineRule="exact"/>
        <w:ind w:firstLine="643" w:firstLineChars="200"/>
        <w:textAlignment w:val="baseline"/>
        <w:rPr>
          <w:rFonts w:hint="eastAsia" w:ascii="方正仿宋_GBK" w:hAnsi="方正仿宋_GBK" w:eastAsia="方正仿宋_GBK" w:cs="方正仿宋_GBK"/>
          <w:b/>
          <w:bCs/>
          <w:color w:val="auto"/>
          <w:kern w:val="2"/>
          <w:sz w:val="32"/>
          <w:szCs w:val="32"/>
          <w:highlight w:val="none"/>
          <w:lang w:val="en-US" w:eastAsia="zh-CN" w:bidi="zh-CN"/>
        </w:rPr>
      </w:pPr>
      <w:r>
        <w:rPr>
          <w:rFonts w:hint="eastAsia" w:ascii="方正仿宋_GBK" w:hAnsi="方正仿宋_GBK" w:eastAsia="方正仿宋_GBK" w:cs="方正仿宋_GBK"/>
          <w:b/>
          <w:bCs/>
          <w:color w:val="000000" w:themeColor="text1"/>
          <w:kern w:val="2"/>
          <w:sz w:val="32"/>
          <w:szCs w:val="32"/>
          <w:highlight w:val="none"/>
          <w:lang w:val="en-US" w:eastAsia="zh-CN" w:bidi="zh-CN"/>
          <w14:textFill>
            <w14:solidFill>
              <w14:schemeClr w14:val="tx1"/>
            </w14:solidFill>
          </w14:textFill>
        </w:rPr>
        <w:t>——“增效”</w:t>
      </w:r>
      <w:r>
        <w:rPr>
          <w:rFonts w:hint="eastAsia" w:ascii="方正仿宋_GBK" w:hAnsi="方正仿宋_GBK" w:eastAsia="方正仿宋_GBK" w:cs="方正仿宋_GBK"/>
          <w:color w:val="000000" w:themeColor="text1"/>
          <w:kern w:val="2"/>
          <w:sz w:val="32"/>
          <w:szCs w:val="32"/>
          <w:highlight w:val="none"/>
          <w:lang w:val="en-US" w:eastAsia="zh-CN" w:bidi="zh-CN"/>
          <w14:textFill>
            <w14:solidFill>
              <w14:schemeClr w14:val="tx1"/>
            </w14:solidFill>
          </w14:textFill>
        </w:rPr>
        <w:t>：发展旅居养老服务新业态，发展壮大养老服务产业，社会有效投资明显扩大，养老服务消费潜力充分释放，综合监管制度建立健全，养老服务的效率、效益、效能全面增强，各类市场主体的活力充分激发，公平竞争、健康有序的养老服务市场环境稳健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kern w:val="2"/>
          <w:sz w:val="32"/>
          <w:szCs w:val="32"/>
          <w:highlight w:val="none"/>
          <w:lang w:val="en-US" w:eastAsia="zh-CN" w:bidi="zh-CN"/>
        </w:rPr>
      </w:pPr>
    </w:p>
    <w:p>
      <w:pPr>
        <w:pStyle w:val="4"/>
        <w:pageBreakBefore w:val="0"/>
        <w:kinsoku/>
        <w:wordWrap/>
        <w:overflowPunct/>
        <w:topLinePunct w:val="0"/>
        <w:autoSpaceDE/>
        <w:autoSpaceDN/>
        <w:bidi w:val="0"/>
        <w:spacing w:line="560" w:lineRule="exact"/>
        <w:jc w:val="center"/>
        <w:rPr>
          <w:rFonts w:hint="eastAsia" w:ascii="方正黑体_GBK" w:hAnsi="方正黑体_GBK" w:eastAsia="方正黑体_GBK" w:cs="方正黑体_GBK"/>
          <w:color w:val="auto"/>
          <w:sz w:val="44"/>
          <w:szCs w:val="44"/>
          <w:highlight w:val="none"/>
        </w:rPr>
      </w:pPr>
      <w:r>
        <w:rPr>
          <w:rFonts w:hint="eastAsia" w:ascii="方正黑体_GBK" w:hAnsi="方正黑体_GBK" w:eastAsia="方正黑体_GBK" w:cs="方正黑体_GBK"/>
          <w:color w:val="auto"/>
          <w:sz w:val="44"/>
          <w:szCs w:val="44"/>
          <w:highlight w:val="none"/>
        </w:rPr>
        <w:t>第四章 主要任务和实施路径</w:t>
      </w:r>
    </w:p>
    <w:p>
      <w:pPr>
        <w:pStyle w:val="5"/>
        <w:keepNext/>
        <w:keepLines/>
        <w:pageBreakBefore w:val="0"/>
        <w:widowControl w:val="0"/>
        <w:kinsoku/>
        <w:wordWrap/>
        <w:overflowPunct/>
        <w:topLinePunct w:val="0"/>
        <w:autoSpaceDE/>
        <w:autoSpaceDN/>
        <w:bidi w:val="0"/>
        <w:adjustRightInd w:val="0"/>
        <w:snapToGrid w:val="0"/>
        <w:spacing w:before="0" w:after="0" w:line="560" w:lineRule="exact"/>
        <w:ind w:firstLine="643" w:firstLineChars="200"/>
        <w:jc w:val="both"/>
        <w:textAlignment w:val="auto"/>
        <w:rPr>
          <w:rFonts w:hint="eastAsia" w:ascii="方正楷体_GBK" w:hAnsi="方正楷体_GBK" w:eastAsia="方正楷体_GBK" w:cs="方正楷体_GBK"/>
          <w:b/>
          <w:bCs/>
          <w:i w:val="0"/>
          <w:caps w:val="0"/>
          <w:color w:val="auto"/>
          <w:spacing w:val="0"/>
          <w:kern w:val="0"/>
          <w:sz w:val="32"/>
          <w:szCs w:val="32"/>
          <w:highlight w:val="none"/>
          <w:lang w:val="en-US" w:eastAsia="zh-CN" w:bidi="ar"/>
        </w:rPr>
      </w:pPr>
      <w:r>
        <w:rPr>
          <w:rFonts w:hint="eastAsia" w:ascii="方正楷体_GBK" w:hAnsi="方正楷体_GBK" w:eastAsia="方正楷体_GBK" w:cs="方正楷体_GBK"/>
          <w:b/>
          <w:bCs/>
          <w:i w:val="0"/>
          <w:caps w:val="0"/>
          <w:color w:val="auto"/>
          <w:spacing w:val="0"/>
          <w:kern w:val="0"/>
          <w:sz w:val="32"/>
          <w:szCs w:val="32"/>
          <w:highlight w:val="none"/>
          <w:lang w:val="en-US" w:eastAsia="zh-CN" w:bidi="ar"/>
        </w:rPr>
        <w:t>一、健全完善基本养老服务制度</w:t>
      </w:r>
      <w:bookmarkStart w:id="0" w:name="_Toc768"/>
    </w:p>
    <w:p>
      <w:pPr>
        <w:pStyle w:val="5"/>
        <w:keepNext/>
        <w:keepLines/>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hint="eastAsia" w:ascii="方正仿宋_GBK" w:hAnsi="方正仿宋_GBK" w:eastAsia="方正仿宋_GBK" w:cs="方正仿宋_GBK"/>
          <w:b w:val="0"/>
          <w:bCs w:val="0"/>
          <w:i w:val="0"/>
          <w:caps w:val="0"/>
          <w:color w:val="auto"/>
          <w:spacing w:val="0"/>
          <w:kern w:val="0"/>
          <w:sz w:val="32"/>
          <w:szCs w:val="32"/>
          <w:highlight w:val="none"/>
          <w:lang w:val="en-US" w:eastAsia="zh-CN" w:bidi="ar"/>
        </w:rPr>
      </w:pPr>
      <w:r>
        <w:rPr>
          <w:rFonts w:hint="eastAsia" w:ascii="方正仿宋_GBK" w:hAnsi="方正仿宋_GBK" w:eastAsia="方正仿宋_GBK" w:cs="方正仿宋_GBK"/>
          <w:b w:val="0"/>
          <w:bCs w:val="0"/>
          <w:i w:val="0"/>
          <w:caps w:val="0"/>
          <w:color w:val="auto"/>
          <w:spacing w:val="0"/>
          <w:kern w:val="0"/>
          <w:sz w:val="32"/>
          <w:szCs w:val="32"/>
          <w:highlight w:val="none"/>
          <w:lang w:val="en-US" w:eastAsia="zh-CN" w:bidi="ar"/>
        </w:rPr>
        <w:t>强化政府兜底保障职能，完善特困老年人兜底供养制度。建立基本养老服务清单制度，推动实现人人享有基本养老服务。推进高龄津贴和护理补贴等老年人福利补贴优化整合，推动与残疾人两项补贴、社会救助等政策进一步衔接。逐步构建以养老保险为基础，从居家、社区到专业机构相衔接，社会救助、社会福利、慈善事业、商业保险为补充的多层次照护保障体系。实施老年人能力综合评估，健全养老服务评估制度，建立养老服务监测分析与发展评价机制。</w:t>
      </w:r>
    </w:p>
    <w:p>
      <w:pPr>
        <w:pStyle w:val="5"/>
        <w:keepNext/>
        <w:keepLines/>
        <w:pageBreakBefore w:val="0"/>
        <w:widowControl w:val="0"/>
        <w:kinsoku/>
        <w:wordWrap/>
        <w:overflowPunct/>
        <w:topLinePunct w:val="0"/>
        <w:autoSpaceDE/>
        <w:autoSpaceDN/>
        <w:bidi w:val="0"/>
        <w:adjustRightInd w:val="0"/>
        <w:snapToGrid w:val="0"/>
        <w:spacing w:before="0" w:after="0" w:line="560" w:lineRule="exact"/>
        <w:ind w:firstLine="643" w:firstLineChars="200"/>
        <w:jc w:val="both"/>
        <w:textAlignment w:val="auto"/>
        <w:rPr>
          <w:rFonts w:hint="eastAsia" w:ascii="方正仿宋_GBK" w:hAnsi="方正仿宋_GBK" w:eastAsia="方正仿宋_GBK" w:cs="方正仿宋_GBK"/>
          <w:b w:val="0"/>
          <w:bCs w:val="0"/>
          <w:i w:val="0"/>
          <w:caps w:val="0"/>
          <w:color w:val="auto"/>
          <w:spacing w:val="0"/>
          <w:kern w:val="0"/>
          <w:sz w:val="32"/>
          <w:szCs w:val="32"/>
          <w:highlight w:val="none"/>
          <w:lang w:val="en-US" w:eastAsia="zh-CN" w:bidi="ar"/>
        </w:rPr>
      </w:pPr>
      <w:r>
        <w:rPr>
          <w:rFonts w:hint="eastAsia" w:ascii="方正楷体_GBK" w:hAnsi="方正楷体_GBK" w:eastAsia="方正楷体_GBK" w:cs="方正楷体_GBK"/>
          <w:b/>
          <w:bCs/>
          <w:i w:val="0"/>
          <w:caps w:val="0"/>
          <w:color w:val="auto"/>
          <w:spacing w:val="0"/>
          <w:kern w:val="0"/>
          <w:sz w:val="32"/>
          <w:szCs w:val="32"/>
          <w:highlight w:val="none"/>
          <w:lang w:val="en-US" w:eastAsia="zh-CN" w:bidi="ar"/>
        </w:rPr>
        <w:t>二、不断提升和优化养老机构服务功能</w:t>
      </w:r>
    </w:p>
    <w:p>
      <w:pPr>
        <w:pStyle w:val="5"/>
        <w:keepNext/>
        <w:keepLines/>
        <w:pageBreakBefore w:val="0"/>
        <w:widowControl w:val="0"/>
        <w:kinsoku/>
        <w:wordWrap/>
        <w:overflowPunct/>
        <w:topLinePunct w:val="0"/>
        <w:autoSpaceDE/>
        <w:autoSpaceDN/>
        <w:bidi w:val="0"/>
        <w:adjustRightInd w:val="0"/>
        <w:snapToGrid w:val="0"/>
        <w:spacing w:before="0" w:after="0" w:line="560" w:lineRule="exact"/>
        <w:ind w:firstLine="643" w:firstLineChars="200"/>
        <w:jc w:val="both"/>
        <w:textAlignment w:val="auto"/>
        <w:rPr>
          <w:rFonts w:hint="eastAsia" w:ascii="方正仿宋_GBK" w:hAnsi="方正仿宋_GBK" w:eastAsia="方正仿宋_GBK" w:cs="方正仿宋_GBK"/>
          <w:b w:val="0"/>
          <w:bCs w:val="0"/>
          <w:i w:val="0"/>
          <w:caps w:val="0"/>
          <w:color w:val="auto"/>
          <w:spacing w:val="0"/>
          <w:kern w:val="0"/>
          <w:sz w:val="32"/>
          <w:szCs w:val="32"/>
          <w:highlight w:val="none"/>
          <w:lang w:val="en-US" w:eastAsia="zh-CN" w:bidi="ar"/>
        </w:rPr>
      </w:pPr>
      <w:r>
        <w:rPr>
          <w:rStyle w:val="37"/>
          <w:rFonts w:hint="eastAsia" w:ascii="方正仿宋_GBK" w:hAnsi="方正仿宋_GBK" w:eastAsia="方正仿宋_GBK" w:cs="方正仿宋_GBK"/>
          <w:b/>
          <w:color w:val="auto"/>
          <w:kern w:val="0"/>
          <w:sz w:val="32"/>
          <w:szCs w:val="32"/>
          <w:highlight w:val="none"/>
          <w:lang w:val="en-US" w:eastAsia="zh-CN" w:bidi="ar"/>
        </w:rPr>
        <w:t>1.强化</w:t>
      </w:r>
      <w:r>
        <w:rPr>
          <w:rFonts w:hint="eastAsia" w:ascii="方正仿宋_GBK" w:hAnsi="方正仿宋_GBK" w:eastAsia="方正仿宋_GBK" w:cs="方正仿宋_GBK"/>
          <w:b/>
          <w:bCs/>
          <w:i w:val="0"/>
          <w:caps w:val="0"/>
          <w:color w:val="auto"/>
          <w:spacing w:val="0"/>
          <w:kern w:val="0"/>
          <w:sz w:val="32"/>
          <w:szCs w:val="32"/>
          <w:highlight w:val="none"/>
          <w:lang w:val="en-US" w:eastAsia="zh-CN" w:bidi="ar"/>
        </w:rPr>
        <w:t>公办养老机构</w:t>
      </w:r>
      <w:r>
        <w:rPr>
          <w:rStyle w:val="37"/>
          <w:rFonts w:hint="eastAsia" w:ascii="方正仿宋_GBK" w:hAnsi="方正仿宋_GBK" w:eastAsia="方正仿宋_GBK" w:cs="方正仿宋_GBK"/>
          <w:b/>
          <w:color w:val="auto"/>
          <w:kern w:val="0"/>
          <w:sz w:val="32"/>
          <w:szCs w:val="32"/>
          <w:highlight w:val="none"/>
          <w:lang w:val="en-US" w:eastAsia="zh-CN" w:bidi="ar"/>
        </w:rPr>
        <w:t>“兜底线、保基本”功能</w:t>
      </w:r>
      <w:bookmarkEnd w:id="0"/>
      <w:r>
        <w:rPr>
          <w:rFonts w:hint="eastAsia" w:ascii="方正仿宋_GBK" w:hAnsi="方正仿宋_GBK" w:eastAsia="方正仿宋_GBK" w:cs="方正仿宋_GBK"/>
          <w:b/>
          <w:bCs/>
          <w:i w:val="0"/>
          <w:caps w:val="0"/>
          <w:color w:val="auto"/>
          <w:spacing w:val="0"/>
          <w:kern w:val="0"/>
          <w:sz w:val="32"/>
          <w:szCs w:val="32"/>
          <w:highlight w:val="none"/>
          <w:lang w:val="en-US" w:eastAsia="zh-CN" w:bidi="ar"/>
        </w:rPr>
        <w:t>。</w:t>
      </w:r>
      <w:r>
        <w:rPr>
          <w:rFonts w:hint="eastAsia" w:ascii="方正仿宋_GBK" w:hAnsi="方正仿宋_GBK" w:eastAsia="方正仿宋_GBK" w:cs="方正仿宋_GBK"/>
          <w:b w:val="0"/>
          <w:bCs w:val="0"/>
          <w:i w:val="0"/>
          <w:caps w:val="0"/>
          <w:color w:val="auto"/>
          <w:spacing w:val="0"/>
          <w:kern w:val="0"/>
          <w:sz w:val="32"/>
          <w:szCs w:val="32"/>
          <w:highlight w:val="none"/>
          <w:lang w:val="en-US" w:eastAsia="zh-CN" w:bidi="ar"/>
        </w:rPr>
        <w:t>健全城乡特困老人供养服务制度，始终坚持公办（含公建民营等委托经营模式）养老机构兜底保障核心功能，充分发挥公办养老机构兜底、普惠和示范作用，对符合特困供养条件的老年人实现“应保尽保、应养尽养”。建立健全公办养老机构入住评估轮候制度，在满足特困人员集中供养需求基础上，重点保障城乡低收入家庭及经济困难的计划生育特殊家庭、退役军人和其他优抚对象中失能老年人的入住托养需求，优先接收事实无人照料的孤寡、独居、空巢、留守、高龄失能老年人。</w:t>
      </w:r>
    </w:p>
    <w:p>
      <w:pPr>
        <w:pageBreakBefore w:val="0"/>
        <w:kinsoku/>
        <w:wordWrap/>
        <w:overflowPunct/>
        <w:topLinePunct w:val="0"/>
        <w:autoSpaceDE/>
        <w:autoSpaceDN/>
        <w:bidi w:val="0"/>
        <w:spacing w:line="560" w:lineRule="exact"/>
        <w:rPr>
          <w:rFonts w:hint="eastAsia" w:ascii="方正仿宋_GBK" w:hAnsi="方正仿宋_GBK" w:eastAsia="方正仿宋_GBK" w:cs="方正仿宋_GBK"/>
          <w:b w:val="0"/>
          <w:bCs w:val="0"/>
          <w:i w:val="0"/>
          <w:caps w:val="0"/>
          <w:color w:val="auto"/>
          <w:spacing w:val="0"/>
          <w:kern w:val="0"/>
          <w:sz w:val="32"/>
          <w:szCs w:val="32"/>
          <w:highlight w:val="none"/>
          <w:lang w:val="en-US" w:eastAsia="zh-CN" w:bidi="ar"/>
        </w:rPr>
      </w:pPr>
      <w:r>
        <w:rPr>
          <w:rFonts w:hint="eastAsia"/>
          <w:color w:val="auto"/>
          <w:sz w:val="32"/>
          <w:szCs w:val="32"/>
          <w:highlight w:val="none"/>
          <w:lang w:val="en-US" w:eastAsia="zh-CN"/>
        </w:rPr>
        <w:t xml:space="preserve">    </w:t>
      </w:r>
      <w:r>
        <w:rPr>
          <w:rStyle w:val="37"/>
          <w:rFonts w:hint="eastAsia" w:ascii="方正仿宋_GBK" w:hAnsi="方正仿宋_GBK" w:eastAsia="方正仿宋_GBK" w:cs="方正仿宋_GBK"/>
          <w:b/>
          <w:color w:val="auto"/>
          <w:kern w:val="0"/>
          <w:sz w:val="32"/>
          <w:szCs w:val="32"/>
          <w:highlight w:val="none"/>
          <w:lang w:val="en-US" w:eastAsia="zh-CN" w:bidi="ar"/>
        </w:rPr>
        <w:t>2.加快特困人员供养服务设施（敬老院）改造。</w:t>
      </w:r>
      <w:r>
        <w:rPr>
          <w:rFonts w:hint="eastAsia" w:ascii="方正仿宋_GBK" w:hAnsi="方正仿宋_GBK" w:eastAsia="方正仿宋_GBK" w:cs="方正仿宋_GBK"/>
          <w:b w:val="0"/>
          <w:bCs w:val="0"/>
          <w:i w:val="0"/>
          <w:caps w:val="0"/>
          <w:color w:val="auto"/>
          <w:spacing w:val="0"/>
          <w:kern w:val="0"/>
          <w:sz w:val="32"/>
          <w:szCs w:val="32"/>
          <w:highlight w:val="none"/>
          <w:lang w:val="en-US" w:eastAsia="zh-CN" w:bidi="ar"/>
        </w:rPr>
        <w:t>围绕优化结构布局、改善基础设施、配齐人员队伍、强化服务管理等方面，全面提升特困人员供养服务设施（敬老院）建设，提升供养服务与照护服务能力。对偏、远、小（规模小、供养人员少）、服务能力较弱且改造可行性低的敬老院进行整合转型，对入住供养人员数量多、环境设施和地理位置较好的敬老院实施改扩建与适老化改造，或通过整合乡镇撤并后空置的学校、政府办公场所等资源改建、扩建、置换等方法，建成具有辐射功能的区域性养老服务中心。到2022年底前，将市福利院改造完善成为符合省三星级以上标准，以失能、部分失能特困人员专业照护为主的县级供养服务设施。到2023年底，全市建设不少于2家区域性养老服务中心并发挥区域性集中供养功能；到2025年，基本形成能够满足供养对象需求、县镇供养服务设施相衔接、布局科学、配置均衡、服务完善的养老服务兜底保障网络。</w:t>
      </w:r>
    </w:p>
    <w:tbl>
      <w:tblPr>
        <w:tblStyle w:val="19"/>
        <w:tblW w:w="8700" w:type="dxa"/>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0"/>
        <w:gridCol w:w="1575"/>
        <w:gridCol w:w="2723"/>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0" w:type="dxa"/>
            <w:gridSpan w:val="4"/>
          </w:tcPr>
          <w:p>
            <w:pPr>
              <w:pStyle w:val="2"/>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center"/>
              <w:rPr>
                <w:rFonts w:hint="eastAsia" w:ascii="方正仿宋_GBK" w:hAnsi="方正仿宋_GBK" w:eastAsia="方正仿宋_GBK" w:cs="方正仿宋_GBK"/>
                <w:i w:val="0"/>
                <w:caps w:val="0"/>
                <w:color w:val="auto"/>
                <w:spacing w:val="0"/>
                <w:kern w:val="0"/>
                <w:sz w:val="28"/>
                <w:szCs w:val="28"/>
                <w:highlight w:val="none"/>
                <w:vertAlign w:val="baseline"/>
                <w:lang w:val="en-US" w:eastAsia="zh-CN" w:bidi="ar"/>
              </w:rPr>
            </w:pPr>
            <w:r>
              <w:rPr>
                <w:rFonts w:hint="eastAsia" w:ascii="方正仿宋_GBK" w:hAnsi="方正仿宋_GBK" w:eastAsia="方正仿宋_GBK" w:cs="方正仿宋_GBK"/>
                <w:b/>
                <w:bCs/>
                <w:color w:val="auto"/>
                <w:sz w:val="28"/>
                <w:szCs w:val="28"/>
                <w:highlight w:val="none"/>
                <w:lang w:eastAsia="zh-CN"/>
              </w:rPr>
              <w:t>专栏</w:t>
            </w:r>
            <w:r>
              <w:rPr>
                <w:rFonts w:hint="eastAsia" w:ascii="方正仿宋_GBK" w:hAnsi="方正仿宋_GBK" w:eastAsia="方正仿宋_GBK" w:cs="方正仿宋_GBK"/>
                <w:b/>
                <w:bCs/>
                <w:color w:val="auto"/>
                <w:sz w:val="28"/>
                <w:szCs w:val="28"/>
                <w:highlight w:val="none"/>
                <w:lang w:val="en-US" w:eastAsia="zh-CN"/>
              </w:rPr>
              <w:t>4：“十四五”期间</w:t>
            </w:r>
            <w:r>
              <w:rPr>
                <w:rFonts w:hint="eastAsia" w:ascii="方正仿宋_GBK" w:hAnsi="方正仿宋_GBK" w:eastAsia="方正仿宋_GBK" w:cs="方正仿宋_GBK"/>
                <w:b/>
                <w:bCs/>
                <w:color w:val="auto"/>
                <w:sz w:val="28"/>
                <w:szCs w:val="28"/>
                <w:highlight w:val="none"/>
                <w:lang w:eastAsia="zh-CN"/>
              </w:rPr>
              <w:t>鹤山</w:t>
            </w:r>
            <w:r>
              <w:rPr>
                <w:rFonts w:hint="eastAsia" w:ascii="方正仿宋_GBK" w:hAnsi="方正仿宋_GBK" w:eastAsia="方正仿宋_GBK" w:cs="方正仿宋_GBK"/>
                <w:b/>
                <w:bCs/>
                <w:color w:val="auto"/>
                <w:sz w:val="28"/>
                <w:szCs w:val="28"/>
                <w:highlight w:val="none"/>
              </w:rPr>
              <w:t>市</w:t>
            </w:r>
            <w:r>
              <w:rPr>
                <w:rFonts w:hint="eastAsia" w:ascii="方正仿宋_GBK" w:hAnsi="方正仿宋_GBK" w:eastAsia="方正仿宋_GBK" w:cs="方正仿宋_GBK"/>
                <w:b/>
                <w:bCs/>
                <w:color w:val="auto"/>
                <w:sz w:val="28"/>
                <w:szCs w:val="28"/>
                <w:highlight w:val="none"/>
                <w:lang w:eastAsia="zh-CN"/>
              </w:rPr>
              <w:t>公办</w:t>
            </w:r>
            <w:r>
              <w:rPr>
                <w:rFonts w:hint="eastAsia" w:ascii="方正仿宋_GBK" w:hAnsi="方正仿宋_GBK" w:eastAsia="方正仿宋_GBK" w:cs="方正仿宋_GBK"/>
                <w:b/>
                <w:bCs/>
                <w:color w:val="auto"/>
                <w:sz w:val="28"/>
                <w:szCs w:val="28"/>
                <w:highlight w:val="none"/>
              </w:rPr>
              <w:t>养老机构</w:t>
            </w:r>
            <w:r>
              <w:rPr>
                <w:rFonts w:hint="eastAsia" w:ascii="方正仿宋_GBK" w:hAnsi="方正仿宋_GBK" w:eastAsia="方正仿宋_GBK" w:cs="方正仿宋_GBK"/>
                <w:b/>
                <w:bCs/>
                <w:color w:val="auto"/>
                <w:sz w:val="28"/>
                <w:szCs w:val="28"/>
                <w:highlight w:val="none"/>
                <w:lang w:eastAsia="zh-CN"/>
              </w:rPr>
              <w:t>建设目标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Pr>
          <w:p>
            <w:pPr>
              <w:pStyle w:val="2"/>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center"/>
              <w:rPr>
                <w:rFonts w:hint="eastAsia" w:ascii="方正仿宋_GBK" w:hAnsi="方正仿宋_GBK" w:eastAsia="方正仿宋_GBK" w:cs="方正仿宋_GBK"/>
                <w:i w:val="0"/>
                <w:caps w:val="0"/>
                <w:color w:val="auto"/>
                <w:spacing w:val="0"/>
                <w:kern w:val="0"/>
                <w:sz w:val="28"/>
                <w:szCs w:val="28"/>
                <w:highlight w:val="none"/>
                <w:vertAlign w:val="baseline"/>
                <w:lang w:val="en-US" w:eastAsia="zh-CN" w:bidi="ar"/>
              </w:rPr>
            </w:pPr>
            <w:r>
              <w:rPr>
                <w:rFonts w:hint="eastAsia" w:ascii="方正仿宋_GBK" w:hAnsi="方正仿宋_GBK" w:eastAsia="方正仿宋_GBK" w:cs="方正仿宋_GBK"/>
                <w:i w:val="0"/>
                <w:caps w:val="0"/>
                <w:color w:val="auto"/>
                <w:spacing w:val="0"/>
                <w:kern w:val="0"/>
                <w:sz w:val="28"/>
                <w:szCs w:val="28"/>
                <w:highlight w:val="none"/>
                <w:vertAlign w:val="baseline"/>
                <w:lang w:val="en-US" w:eastAsia="zh-CN" w:bidi="ar"/>
              </w:rPr>
              <w:t>名称</w:t>
            </w:r>
          </w:p>
        </w:tc>
        <w:tc>
          <w:tcPr>
            <w:tcW w:w="1575" w:type="dxa"/>
          </w:tcPr>
          <w:p>
            <w:pPr>
              <w:pStyle w:val="2"/>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center"/>
              <w:rPr>
                <w:rFonts w:hint="eastAsia" w:ascii="方正仿宋_GBK" w:hAnsi="方正仿宋_GBK" w:eastAsia="方正仿宋_GBK" w:cs="方正仿宋_GBK"/>
                <w:i w:val="0"/>
                <w:caps w:val="0"/>
                <w:color w:val="auto"/>
                <w:spacing w:val="0"/>
                <w:kern w:val="0"/>
                <w:sz w:val="28"/>
                <w:szCs w:val="28"/>
                <w:highlight w:val="none"/>
                <w:vertAlign w:val="baseline"/>
                <w:lang w:val="en-US" w:eastAsia="zh-CN" w:bidi="ar"/>
              </w:rPr>
            </w:pPr>
            <w:r>
              <w:rPr>
                <w:rFonts w:hint="eastAsia" w:ascii="方正仿宋_GBK" w:hAnsi="方正仿宋_GBK" w:eastAsia="方正仿宋_GBK" w:cs="方正仿宋_GBK"/>
                <w:i w:val="0"/>
                <w:caps w:val="0"/>
                <w:color w:val="auto"/>
                <w:spacing w:val="0"/>
                <w:kern w:val="0"/>
                <w:sz w:val="28"/>
                <w:szCs w:val="28"/>
                <w:highlight w:val="none"/>
                <w:vertAlign w:val="baseline"/>
                <w:lang w:val="en-US" w:eastAsia="zh-CN" w:bidi="ar"/>
              </w:rPr>
              <w:t>建设目标</w:t>
            </w:r>
          </w:p>
        </w:tc>
        <w:tc>
          <w:tcPr>
            <w:tcW w:w="2723" w:type="dxa"/>
          </w:tcPr>
          <w:p>
            <w:pPr>
              <w:pStyle w:val="2"/>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center"/>
              <w:rPr>
                <w:rFonts w:hint="eastAsia" w:ascii="方正仿宋_GBK" w:hAnsi="方正仿宋_GBK" w:eastAsia="方正仿宋_GBK" w:cs="方正仿宋_GBK"/>
                <w:i w:val="0"/>
                <w:caps w:val="0"/>
                <w:color w:val="auto"/>
                <w:spacing w:val="0"/>
                <w:kern w:val="0"/>
                <w:sz w:val="28"/>
                <w:szCs w:val="28"/>
                <w:highlight w:val="none"/>
                <w:vertAlign w:val="baseline"/>
                <w:lang w:val="en-US" w:eastAsia="zh-CN" w:bidi="ar"/>
              </w:rPr>
            </w:pPr>
            <w:r>
              <w:rPr>
                <w:rFonts w:hint="eastAsia" w:ascii="方正仿宋_GBK" w:hAnsi="方正仿宋_GBK" w:eastAsia="方正仿宋_GBK" w:cs="方正仿宋_GBK"/>
                <w:i w:val="0"/>
                <w:caps w:val="0"/>
                <w:color w:val="auto"/>
                <w:spacing w:val="0"/>
                <w:kern w:val="0"/>
                <w:sz w:val="28"/>
                <w:szCs w:val="28"/>
                <w:highlight w:val="none"/>
                <w:vertAlign w:val="baseline"/>
                <w:lang w:val="en-US" w:eastAsia="zh-CN" w:bidi="ar"/>
              </w:rPr>
              <w:t>建设内容</w:t>
            </w:r>
          </w:p>
        </w:tc>
        <w:tc>
          <w:tcPr>
            <w:tcW w:w="2092" w:type="dxa"/>
          </w:tcPr>
          <w:p>
            <w:pPr>
              <w:pStyle w:val="2"/>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center"/>
              <w:rPr>
                <w:rFonts w:hint="eastAsia" w:ascii="方正仿宋_GBK" w:hAnsi="方正仿宋_GBK" w:eastAsia="方正仿宋_GBK" w:cs="方正仿宋_GBK"/>
                <w:i w:val="0"/>
                <w:caps w:val="0"/>
                <w:color w:val="auto"/>
                <w:spacing w:val="0"/>
                <w:kern w:val="0"/>
                <w:sz w:val="28"/>
                <w:szCs w:val="28"/>
                <w:highlight w:val="none"/>
                <w:vertAlign w:val="baseline"/>
                <w:lang w:val="en-US" w:eastAsia="zh-CN" w:bidi="ar"/>
              </w:rPr>
            </w:pPr>
            <w:r>
              <w:rPr>
                <w:rFonts w:hint="eastAsia" w:ascii="方正仿宋_GBK" w:hAnsi="方正仿宋_GBK" w:eastAsia="方正仿宋_GBK" w:cs="方正仿宋_GBK"/>
                <w:i w:val="0"/>
                <w:caps w:val="0"/>
                <w:color w:val="auto"/>
                <w:spacing w:val="0"/>
                <w:kern w:val="0"/>
                <w:sz w:val="28"/>
                <w:szCs w:val="28"/>
                <w:highlight w:val="none"/>
                <w:vertAlign w:val="baseline"/>
                <w:lang w:val="en-US" w:eastAsia="zh-CN" w:bidi="ar"/>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vAlign w:val="center"/>
          </w:tcPr>
          <w:p>
            <w:pPr>
              <w:pStyle w:val="2"/>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center"/>
              <w:rPr>
                <w:rFonts w:hint="eastAsia" w:ascii="方正仿宋_GBK" w:hAnsi="方正仿宋_GBK" w:eastAsia="方正仿宋_GBK" w:cs="方正仿宋_GBK"/>
                <w:i w:val="0"/>
                <w:caps w:val="0"/>
                <w:color w:val="auto"/>
                <w:spacing w:val="0"/>
                <w:kern w:val="0"/>
                <w:sz w:val="28"/>
                <w:szCs w:val="28"/>
                <w:highlight w:val="none"/>
                <w:vertAlign w:val="baseline"/>
                <w:lang w:val="en-US" w:eastAsia="zh-CN" w:bidi="ar"/>
              </w:rPr>
            </w:pPr>
            <w:r>
              <w:rPr>
                <w:rFonts w:hint="eastAsia" w:ascii="方正仿宋_GBK" w:hAnsi="方正仿宋_GBK" w:eastAsia="方正仿宋_GBK" w:cs="方正仿宋_GBK"/>
                <w:color w:val="auto"/>
                <w:sz w:val="28"/>
                <w:szCs w:val="28"/>
                <w:highlight w:val="none"/>
              </w:rPr>
              <w:t>鹤山市社会福利院</w:t>
            </w:r>
          </w:p>
        </w:tc>
        <w:tc>
          <w:tcPr>
            <w:tcW w:w="1575" w:type="dxa"/>
            <w:vAlign w:val="center"/>
          </w:tcPr>
          <w:p>
            <w:pPr>
              <w:pStyle w:val="2"/>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center"/>
              <w:rPr>
                <w:rFonts w:hint="eastAsia" w:ascii="方正仿宋_GBK" w:hAnsi="方正仿宋_GBK" w:eastAsia="方正仿宋_GBK" w:cs="方正仿宋_GBK"/>
                <w:i w:val="0"/>
                <w:caps w:val="0"/>
                <w:color w:val="auto"/>
                <w:spacing w:val="0"/>
                <w:kern w:val="0"/>
                <w:sz w:val="28"/>
                <w:szCs w:val="28"/>
                <w:highlight w:val="none"/>
                <w:vertAlign w:val="baseline"/>
                <w:lang w:val="en-US" w:eastAsia="zh-CN" w:bidi="ar"/>
              </w:rPr>
            </w:pPr>
            <w:r>
              <w:rPr>
                <w:rFonts w:hint="eastAsia" w:ascii="方正仿宋_GBK" w:hAnsi="方正仿宋_GBK" w:eastAsia="方正仿宋_GBK" w:cs="方正仿宋_GBK"/>
                <w:i w:val="0"/>
                <w:caps w:val="0"/>
                <w:color w:val="auto"/>
                <w:spacing w:val="0"/>
                <w:kern w:val="0"/>
                <w:sz w:val="28"/>
                <w:szCs w:val="28"/>
                <w:highlight w:val="none"/>
                <w:lang w:val="en-US" w:eastAsia="zh-CN" w:bidi="ar"/>
              </w:rPr>
              <w:t>三星级县级供养服务设施</w:t>
            </w:r>
          </w:p>
        </w:tc>
        <w:tc>
          <w:tcPr>
            <w:tcW w:w="2723" w:type="dxa"/>
            <w:vAlign w:val="center"/>
          </w:tcPr>
          <w:p>
            <w:pPr>
              <w:keepNext w:val="0"/>
              <w:keepLines w:val="0"/>
              <w:pageBreakBefore w:val="0"/>
              <w:widowControl w:val="0"/>
              <w:kinsoku/>
              <w:wordWrap/>
              <w:overflowPunct/>
              <w:topLinePunct w:val="0"/>
              <w:autoSpaceDE/>
              <w:autoSpaceDN/>
              <w:bidi w:val="0"/>
              <w:spacing w:line="560" w:lineRule="exact"/>
              <w:ind w:firstLine="560" w:firstLineChars="200"/>
              <w:jc w:val="both"/>
              <w:rPr>
                <w:rFonts w:hint="eastAsia" w:ascii="方正仿宋_GBK" w:hAnsi="方正仿宋_GBK" w:eastAsia="方正仿宋_GBK" w:cs="方正仿宋_GBK"/>
                <w:i w:val="0"/>
                <w:caps w:val="0"/>
                <w:color w:val="auto"/>
                <w:spacing w:val="0"/>
                <w:kern w:val="0"/>
                <w:sz w:val="28"/>
                <w:szCs w:val="28"/>
                <w:highlight w:val="none"/>
                <w:vertAlign w:val="baseline"/>
                <w:lang w:val="en-US" w:eastAsia="zh-CN" w:bidi="ar"/>
              </w:rPr>
            </w:pPr>
            <w:r>
              <w:rPr>
                <w:rFonts w:hint="eastAsia" w:ascii="方正仿宋_GBK" w:hAnsi="方正仿宋_GBK" w:eastAsia="方正仿宋_GBK" w:cs="方正仿宋_GBK"/>
                <w:i w:val="0"/>
                <w:caps w:val="0"/>
                <w:color w:val="auto"/>
                <w:spacing w:val="0"/>
                <w:kern w:val="0"/>
                <w:sz w:val="28"/>
                <w:szCs w:val="28"/>
                <w:highlight w:val="none"/>
                <w:lang w:val="en-US" w:eastAsia="zh-CN" w:bidi="ar"/>
              </w:rPr>
              <w:t>增强失能、部分失能特困人员照护能力；以广东省三星级养老机构为标准进行改造。</w:t>
            </w:r>
          </w:p>
        </w:tc>
        <w:tc>
          <w:tcPr>
            <w:tcW w:w="2092" w:type="dxa"/>
            <w:vAlign w:val="center"/>
          </w:tcPr>
          <w:p>
            <w:pPr>
              <w:pStyle w:val="2"/>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left"/>
              <w:rPr>
                <w:rFonts w:hint="default" w:ascii="方正仿宋_GBK" w:hAnsi="方正仿宋_GBK" w:eastAsia="方正仿宋_GBK" w:cs="方正仿宋_GBK"/>
                <w:i w:val="0"/>
                <w:caps w:val="0"/>
                <w:color w:val="auto"/>
                <w:spacing w:val="0"/>
                <w:kern w:val="0"/>
                <w:sz w:val="28"/>
                <w:szCs w:val="28"/>
                <w:highlight w:val="none"/>
                <w:vertAlign w:val="baseline"/>
                <w:lang w:val="en-US" w:eastAsia="zh-CN" w:bidi="ar"/>
              </w:rPr>
            </w:pPr>
            <w:r>
              <w:rPr>
                <w:rFonts w:hint="eastAsia" w:ascii="方正仿宋_GBK" w:hAnsi="方正仿宋_GBK" w:eastAsia="方正仿宋_GBK" w:cs="方正仿宋_GBK"/>
                <w:i w:val="0"/>
                <w:caps w:val="0"/>
                <w:color w:val="auto"/>
                <w:spacing w:val="0"/>
                <w:kern w:val="0"/>
                <w:sz w:val="28"/>
                <w:szCs w:val="28"/>
                <w:highlight w:val="none"/>
                <w:vertAlign w:val="baseline"/>
                <w:lang w:val="en-US" w:eastAsia="zh-CN" w:bidi="ar"/>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2310" w:type="dxa"/>
            <w:vAlign w:val="center"/>
          </w:tcPr>
          <w:p>
            <w:pPr>
              <w:pStyle w:val="2"/>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cente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雅瑶镇敬老院</w:t>
            </w:r>
          </w:p>
        </w:tc>
        <w:tc>
          <w:tcPr>
            <w:tcW w:w="1575" w:type="dxa"/>
            <w:vMerge w:val="restart"/>
            <w:vAlign w:val="center"/>
          </w:tcPr>
          <w:p>
            <w:pPr>
              <w:pStyle w:val="2"/>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center"/>
              <w:rPr>
                <w:rFonts w:hint="eastAsia" w:ascii="方正仿宋_GBK" w:hAnsi="方正仿宋_GBK" w:eastAsia="方正仿宋_GBK" w:cs="方正仿宋_GBK"/>
                <w:i w:val="0"/>
                <w:caps w:val="0"/>
                <w:color w:val="auto"/>
                <w:spacing w:val="0"/>
                <w:kern w:val="0"/>
                <w:sz w:val="28"/>
                <w:szCs w:val="28"/>
                <w:highlight w:val="none"/>
                <w:lang w:val="en-US" w:eastAsia="zh-CN" w:bidi="ar"/>
              </w:rPr>
            </w:pPr>
            <w:r>
              <w:rPr>
                <w:rFonts w:hint="eastAsia" w:ascii="方正仿宋_GBK" w:hAnsi="方正仿宋_GBK" w:eastAsia="方正仿宋_GBK" w:cs="方正仿宋_GBK"/>
                <w:i w:val="0"/>
                <w:caps w:val="0"/>
                <w:color w:val="auto"/>
                <w:spacing w:val="0"/>
                <w:kern w:val="0"/>
                <w:sz w:val="28"/>
                <w:szCs w:val="28"/>
                <w:highlight w:val="none"/>
                <w:lang w:val="en-US" w:eastAsia="zh-CN" w:bidi="ar"/>
              </w:rPr>
              <w:t>区域性养老服务中心</w:t>
            </w:r>
          </w:p>
        </w:tc>
        <w:tc>
          <w:tcPr>
            <w:tcW w:w="2723" w:type="dxa"/>
            <w:vMerge w:val="restart"/>
            <w:vAlign w:val="center"/>
          </w:tcPr>
          <w:p>
            <w:pPr>
              <w:pStyle w:val="2"/>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jc w:val="both"/>
              <w:rPr>
                <w:rFonts w:hint="eastAsia" w:ascii="方正仿宋_GBK" w:hAnsi="方正仿宋_GBK" w:eastAsia="方正仿宋_GBK" w:cs="方正仿宋_GBK"/>
                <w:i w:val="0"/>
                <w:caps w:val="0"/>
                <w:color w:val="auto"/>
                <w:spacing w:val="0"/>
                <w:kern w:val="0"/>
                <w:sz w:val="28"/>
                <w:szCs w:val="28"/>
                <w:highlight w:val="none"/>
                <w:lang w:val="en-US" w:eastAsia="zh-CN" w:bidi="ar"/>
              </w:rPr>
            </w:pPr>
            <w:r>
              <w:rPr>
                <w:rFonts w:hint="eastAsia" w:ascii="方正仿宋_GBK" w:hAnsi="方正仿宋_GBK" w:eastAsia="方正仿宋_GBK" w:cs="方正仿宋_GBK"/>
                <w:i w:val="0"/>
                <w:caps w:val="0"/>
                <w:color w:val="auto"/>
                <w:spacing w:val="0"/>
                <w:kern w:val="0"/>
                <w:sz w:val="28"/>
                <w:szCs w:val="28"/>
                <w:highlight w:val="none"/>
                <w:lang w:val="en-US" w:eastAsia="zh-CN" w:bidi="ar"/>
              </w:rPr>
              <w:t>按照“环境优美、功能齐全、服务优质、管理完善”标准进行规划改造。</w:t>
            </w:r>
          </w:p>
        </w:tc>
        <w:tc>
          <w:tcPr>
            <w:tcW w:w="2092" w:type="dxa"/>
            <w:vAlign w:val="center"/>
          </w:tcPr>
          <w:p>
            <w:pPr>
              <w:pStyle w:val="2"/>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left"/>
              <w:rPr>
                <w:rFonts w:hint="default" w:ascii="方正仿宋_GBK" w:hAnsi="方正仿宋_GBK" w:eastAsia="方正仿宋_GBK" w:cs="方正仿宋_GBK"/>
                <w:i w:val="0"/>
                <w:caps w:val="0"/>
                <w:color w:val="auto"/>
                <w:spacing w:val="0"/>
                <w:kern w:val="0"/>
                <w:sz w:val="28"/>
                <w:szCs w:val="28"/>
                <w:highlight w:val="none"/>
                <w:vertAlign w:val="baseline"/>
                <w:lang w:val="en-US" w:eastAsia="zh-CN" w:bidi="ar"/>
              </w:rPr>
            </w:pPr>
            <w:r>
              <w:rPr>
                <w:rFonts w:hint="eastAsia" w:ascii="方正仿宋_GBK" w:hAnsi="方正仿宋_GBK" w:eastAsia="方正仿宋_GBK" w:cs="方正仿宋_GBK"/>
                <w:i w:val="0"/>
                <w:caps w:val="0"/>
                <w:color w:val="auto"/>
                <w:spacing w:val="0"/>
                <w:kern w:val="0"/>
                <w:sz w:val="28"/>
                <w:szCs w:val="28"/>
                <w:highlight w:val="none"/>
                <w:vertAlign w:val="baseline"/>
                <w:lang w:val="en-US" w:eastAsia="zh-CN" w:bidi="ar"/>
              </w:rPr>
              <w:t>2022年（预期性）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vAlign w:val="center"/>
          </w:tcPr>
          <w:p>
            <w:pPr>
              <w:pStyle w:val="2"/>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cente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双合镇</w:t>
            </w:r>
            <w:r>
              <w:rPr>
                <w:rFonts w:hint="eastAsia" w:ascii="方正仿宋_GBK" w:hAnsi="方正仿宋_GBK" w:eastAsia="方正仿宋_GBK" w:cs="方正仿宋_GBK"/>
                <w:color w:val="auto"/>
                <w:sz w:val="28"/>
                <w:szCs w:val="28"/>
                <w:highlight w:val="none"/>
                <w:lang w:eastAsia="zh-CN"/>
              </w:rPr>
              <w:t>卫生院康泰缘服务中心</w:t>
            </w:r>
          </w:p>
        </w:tc>
        <w:tc>
          <w:tcPr>
            <w:tcW w:w="1575" w:type="dxa"/>
            <w:vMerge w:val="continue"/>
            <w:vAlign w:val="center"/>
          </w:tcPr>
          <w:p>
            <w:pPr>
              <w:pStyle w:val="2"/>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center"/>
              <w:rPr>
                <w:rFonts w:hint="eastAsia" w:ascii="方正仿宋_GBK" w:hAnsi="方正仿宋_GBK" w:eastAsia="方正仿宋_GBK" w:cs="方正仿宋_GBK"/>
                <w:i w:val="0"/>
                <w:caps w:val="0"/>
                <w:color w:val="auto"/>
                <w:spacing w:val="0"/>
                <w:kern w:val="0"/>
                <w:sz w:val="28"/>
                <w:szCs w:val="28"/>
                <w:highlight w:val="none"/>
                <w:lang w:val="en-US" w:eastAsia="zh-CN" w:bidi="ar"/>
              </w:rPr>
            </w:pPr>
          </w:p>
        </w:tc>
        <w:tc>
          <w:tcPr>
            <w:tcW w:w="2723" w:type="dxa"/>
            <w:vMerge w:val="continue"/>
            <w:vAlign w:val="center"/>
          </w:tcPr>
          <w:p>
            <w:pPr>
              <w:pStyle w:val="2"/>
              <w:keepNext w:val="0"/>
              <w:keepLines w:val="0"/>
              <w:pageBreakBefore w:val="0"/>
              <w:widowControl w:val="0"/>
              <w:kinsoku/>
              <w:wordWrap/>
              <w:overflowPunct/>
              <w:topLinePunct w:val="0"/>
              <w:autoSpaceDE/>
              <w:autoSpaceDN/>
              <w:bidi w:val="0"/>
              <w:adjustRightInd w:val="0"/>
              <w:snapToGrid w:val="0"/>
              <w:spacing w:line="560" w:lineRule="exact"/>
              <w:jc w:val="center"/>
              <w:rPr>
                <w:rFonts w:hint="eastAsia" w:ascii="方正仿宋_GBK" w:hAnsi="方正仿宋_GBK" w:eastAsia="方正仿宋_GBK" w:cs="方正仿宋_GBK"/>
                <w:i w:val="0"/>
                <w:caps w:val="0"/>
                <w:color w:val="auto"/>
                <w:spacing w:val="0"/>
                <w:kern w:val="0"/>
                <w:sz w:val="28"/>
                <w:szCs w:val="28"/>
                <w:highlight w:val="none"/>
                <w:lang w:val="en-US" w:eastAsia="zh-CN" w:bidi="ar"/>
              </w:rPr>
            </w:pPr>
          </w:p>
        </w:tc>
        <w:tc>
          <w:tcPr>
            <w:tcW w:w="2092" w:type="dxa"/>
            <w:vAlign w:val="center"/>
          </w:tcPr>
          <w:p>
            <w:pPr>
              <w:pStyle w:val="2"/>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left"/>
              <w:rPr>
                <w:rFonts w:hint="eastAsia" w:ascii="方正仿宋_GBK" w:hAnsi="方正仿宋_GBK" w:eastAsia="方正仿宋_GBK" w:cs="方正仿宋_GBK"/>
                <w:i w:val="0"/>
                <w:caps w:val="0"/>
                <w:color w:val="auto"/>
                <w:spacing w:val="0"/>
                <w:kern w:val="0"/>
                <w:sz w:val="28"/>
                <w:szCs w:val="28"/>
                <w:highlight w:val="none"/>
                <w:vertAlign w:val="baseline"/>
                <w:lang w:val="en-US" w:eastAsia="zh-CN" w:bidi="ar"/>
              </w:rPr>
            </w:pPr>
            <w:r>
              <w:rPr>
                <w:rFonts w:hint="eastAsia" w:ascii="方正仿宋_GBK" w:hAnsi="方正仿宋_GBK" w:eastAsia="方正仿宋_GBK" w:cs="方正仿宋_GBK"/>
                <w:i w:val="0"/>
                <w:caps w:val="0"/>
                <w:color w:val="auto"/>
                <w:spacing w:val="0"/>
                <w:kern w:val="0"/>
                <w:sz w:val="28"/>
                <w:szCs w:val="28"/>
                <w:highlight w:val="none"/>
                <w:u w:val="none"/>
                <w:vertAlign w:val="baseline"/>
                <w:lang w:val="en-US" w:eastAsia="zh-CN" w:bidi="ar"/>
              </w:rPr>
              <w:t>2023年</w:t>
            </w:r>
            <w:r>
              <w:rPr>
                <w:rFonts w:hint="eastAsia" w:ascii="方正仿宋_GBK" w:hAnsi="方正仿宋_GBK" w:eastAsia="方正仿宋_GBK" w:cs="方正仿宋_GBK"/>
                <w:i w:val="0"/>
                <w:caps w:val="0"/>
                <w:color w:val="auto"/>
                <w:spacing w:val="0"/>
                <w:kern w:val="0"/>
                <w:sz w:val="28"/>
                <w:szCs w:val="28"/>
                <w:highlight w:val="none"/>
                <w:vertAlign w:val="baseline"/>
                <w:lang w:val="en-US" w:eastAsia="zh-CN" w:bidi="ar"/>
              </w:rPr>
              <w:t>（预期性）</w:t>
            </w:r>
          </w:p>
        </w:tc>
      </w:tr>
    </w:tbl>
    <w:p>
      <w:pPr>
        <w:pStyle w:val="2"/>
        <w:keepNext w:val="0"/>
        <w:keepLines w:val="0"/>
        <w:pageBreakBefore w:val="0"/>
        <w:widowControl w:val="0"/>
        <w:kinsoku/>
        <w:wordWrap/>
        <w:overflowPunct/>
        <w:topLinePunct w:val="0"/>
        <w:autoSpaceDE/>
        <w:autoSpaceDN/>
        <w:bidi w:val="0"/>
        <w:adjustRightInd w:val="0"/>
        <w:snapToGrid w:val="0"/>
        <w:spacing w:line="560" w:lineRule="exact"/>
        <w:jc w:val="left"/>
        <w:rPr>
          <w:rFonts w:hint="eastAsia" w:ascii="方正仿宋_GBK" w:hAnsi="方正仿宋_GBK" w:eastAsia="方正仿宋_GBK" w:cs="方正仿宋_GBK"/>
          <w:i w:val="0"/>
          <w:caps w:val="0"/>
          <w:color w:val="auto"/>
          <w:spacing w:val="0"/>
          <w:kern w:val="0"/>
          <w:sz w:val="32"/>
          <w:szCs w:val="32"/>
          <w:highlight w:val="none"/>
          <w:lang w:val="en-US" w:eastAsia="zh-CN" w:bidi="ar"/>
        </w:rPr>
      </w:pPr>
      <w:bookmarkStart w:id="1" w:name="_Toc30698"/>
      <w:r>
        <w:rPr>
          <w:rStyle w:val="37"/>
          <w:rFonts w:hint="eastAsia" w:ascii="方正仿宋_GBK" w:hAnsi="方正仿宋_GBK" w:eastAsia="方正仿宋_GBK" w:cs="方正仿宋_GBK"/>
          <w:color w:val="auto"/>
          <w:kern w:val="0"/>
          <w:sz w:val="32"/>
          <w:szCs w:val="32"/>
          <w:highlight w:val="none"/>
          <w:lang w:val="en-US" w:eastAsia="zh-CN" w:bidi="ar"/>
        </w:rPr>
        <w:t>3.增强照护能力</w:t>
      </w:r>
      <w:bookmarkEnd w:id="1"/>
      <w:r>
        <w:rPr>
          <w:rFonts w:hint="eastAsia" w:ascii="方正仿宋_GBK" w:hAnsi="方正仿宋_GBK" w:eastAsia="方正仿宋_GBK" w:cs="方正仿宋_GBK"/>
          <w:b/>
          <w:bCs/>
          <w:i w:val="0"/>
          <w:caps w:val="0"/>
          <w:color w:val="auto"/>
          <w:spacing w:val="0"/>
          <w:kern w:val="0"/>
          <w:sz w:val="32"/>
          <w:szCs w:val="32"/>
          <w:highlight w:val="none"/>
          <w:lang w:val="en-US" w:eastAsia="zh-CN" w:bidi="ar"/>
        </w:rPr>
        <w:t>。</w:t>
      </w:r>
      <w:r>
        <w:rPr>
          <w:rFonts w:hint="eastAsia" w:ascii="方正仿宋_GBK" w:hAnsi="方正仿宋_GBK" w:eastAsia="方正仿宋_GBK" w:cs="方正仿宋_GBK"/>
          <w:i w:val="0"/>
          <w:caps w:val="0"/>
          <w:color w:val="auto"/>
          <w:spacing w:val="0"/>
          <w:kern w:val="0"/>
          <w:sz w:val="32"/>
          <w:szCs w:val="32"/>
          <w:highlight w:val="none"/>
          <w:lang w:val="en-US" w:eastAsia="zh-CN" w:bidi="ar"/>
        </w:rPr>
        <w:t>推进公办养老机构照护服务能力建设，提高护理型床位设置比例，到2022年底，县级特困人员供养服务机构护理型床位不低于70%，到2025年，全市养老机构护理型床位占比不低于55%。积极扶持发展以失智、失能老年人照护服务为主的养老机构。</w:t>
      </w:r>
    </w:p>
    <w:tbl>
      <w:tblPr>
        <w:tblStyle w:val="19"/>
        <w:tblW w:w="8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2"/>
        <w:gridCol w:w="819"/>
        <w:gridCol w:w="854"/>
        <w:gridCol w:w="1046"/>
        <w:gridCol w:w="1172"/>
        <w:gridCol w:w="1116"/>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7" w:type="dxa"/>
            <w:gridSpan w:val="7"/>
            <w:vAlign w:val="center"/>
          </w:tcPr>
          <w:p>
            <w:pPr>
              <w:pageBreakBefore w:val="0"/>
              <w:kinsoku/>
              <w:wordWrap/>
              <w:overflowPunct/>
              <w:topLinePunct w:val="0"/>
              <w:autoSpaceDE/>
              <w:autoSpaceDN/>
              <w:bidi w:val="0"/>
              <w:snapToGrid w:val="0"/>
              <w:spacing w:line="560" w:lineRule="exact"/>
              <w:jc w:val="center"/>
              <w:rPr>
                <w:rFonts w:hint="eastAsia" w:ascii="方正仿宋_GBK" w:hAnsi="方正仿宋_GBK" w:eastAsia="方正仿宋_GBK" w:cs="方正仿宋_GBK"/>
                <w:i w:val="0"/>
                <w:caps w:val="0"/>
                <w:color w:val="auto"/>
                <w:spacing w:val="0"/>
                <w:kern w:val="0"/>
                <w:sz w:val="28"/>
                <w:szCs w:val="28"/>
                <w:highlight w:val="none"/>
                <w:lang w:val="en-US" w:eastAsia="zh-CN" w:bidi="ar"/>
              </w:rPr>
            </w:pPr>
            <w:r>
              <w:rPr>
                <w:rFonts w:hint="eastAsia" w:ascii="方正仿宋_GBK" w:hAnsi="方正仿宋_GBK" w:eastAsia="方正仿宋_GBK" w:cs="方正仿宋_GBK"/>
                <w:b/>
                <w:bCs/>
                <w:color w:val="auto"/>
                <w:sz w:val="28"/>
                <w:szCs w:val="28"/>
                <w:highlight w:val="none"/>
                <w:lang w:eastAsia="zh-CN"/>
              </w:rPr>
              <w:t>专栏</w:t>
            </w:r>
            <w:r>
              <w:rPr>
                <w:rFonts w:hint="eastAsia" w:ascii="方正仿宋_GBK" w:hAnsi="方正仿宋_GBK" w:eastAsia="方正仿宋_GBK" w:cs="方正仿宋_GBK"/>
                <w:b/>
                <w:bCs/>
                <w:color w:val="auto"/>
                <w:sz w:val="28"/>
                <w:szCs w:val="28"/>
                <w:highlight w:val="none"/>
                <w:lang w:val="en-US" w:eastAsia="zh-CN"/>
              </w:rPr>
              <w:t>5：“十四五”期间鹤山市养老机构护理型床位建设目标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3"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机构名称</w:t>
            </w:r>
          </w:p>
        </w:tc>
        <w:tc>
          <w:tcPr>
            <w:tcW w:w="82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机构性质</w:t>
            </w:r>
          </w:p>
        </w:tc>
        <w:tc>
          <w:tcPr>
            <w:tcW w:w="85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床位数</w:t>
            </w:r>
          </w:p>
        </w:tc>
        <w:tc>
          <w:tcPr>
            <w:tcW w:w="1050"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lang w:eastAsia="zh-CN"/>
              </w:rPr>
            </w:pPr>
            <w:r>
              <w:rPr>
                <w:rFonts w:hint="eastAsia" w:ascii="方正仿宋_GBK" w:hAnsi="方正仿宋_GBK" w:eastAsia="方正仿宋_GBK" w:cs="方正仿宋_GBK"/>
                <w:color w:val="auto"/>
                <w:sz w:val="28"/>
                <w:szCs w:val="28"/>
                <w:highlight w:val="none"/>
                <w:lang w:eastAsia="zh-CN"/>
              </w:rPr>
              <w:t>护理型床位</w:t>
            </w:r>
          </w:p>
        </w:tc>
        <w:tc>
          <w:tcPr>
            <w:tcW w:w="1110"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i w:val="0"/>
                <w:caps w:val="0"/>
                <w:color w:val="auto"/>
                <w:spacing w:val="0"/>
                <w:kern w:val="0"/>
                <w:sz w:val="28"/>
                <w:szCs w:val="28"/>
                <w:highlight w:val="none"/>
                <w:lang w:val="en-US" w:eastAsia="zh-CN" w:bidi="ar"/>
              </w:rPr>
              <w:t>目前护理型床位占比</w:t>
            </w:r>
          </w:p>
        </w:tc>
        <w:tc>
          <w:tcPr>
            <w:tcW w:w="112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i w:val="0"/>
                <w:caps w:val="0"/>
                <w:color w:val="auto"/>
                <w:spacing w:val="0"/>
                <w:kern w:val="0"/>
                <w:sz w:val="28"/>
                <w:szCs w:val="28"/>
                <w:highlight w:val="none"/>
                <w:lang w:val="en-US" w:eastAsia="zh-CN" w:bidi="ar"/>
              </w:rPr>
            </w:pPr>
            <w:r>
              <w:rPr>
                <w:rFonts w:hint="eastAsia" w:ascii="方正仿宋_GBK" w:hAnsi="方正仿宋_GBK" w:eastAsia="方正仿宋_GBK" w:cs="方正仿宋_GBK"/>
                <w:i w:val="0"/>
                <w:caps w:val="0"/>
                <w:color w:val="auto"/>
                <w:spacing w:val="0"/>
                <w:kern w:val="0"/>
                <w:sz w:val="28"/>
                <w:szCs w:val="28"/>
                <w:highlight w:val="none"/>
                <w:lang w:val="en-US" w:eastAsia="zh-CN" w:bidi="ar"/>
              </w:rPr>
              <w:t>护理型床位目标占比</w:t>
            </w:r>
          </w:p>
        </w:tc>
        <w:tc>
          <w:tcPr>
            <w:tcW w:w="1179"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i w:val="0"/>
                <w:caps w:val="0"/>
                <w:color w:val="auto"/>
                <w:spacing w:val="0"/>
                <w:kern w:val="0"/>
                <w:sz w:val="28"/>
                <w:szCs w:val="28"/>
                <w:highlight w:val="none"/>
                <w:lang w:val="en-US" w:eastAsia="zh-CN" w:bidi="ar"/>
              </w:rPr>
            </w:pPr>
            <w:r>
              <w:rPr>
                <w:rFonts w:hint="eastAsia" w:ascii="方正仿宋_GBK" w:hAnsi="方正仿宋_GBK" w:eastAsia="方正仿宋_GBK" w:cs="方正仿宋_GBK"/>
                <w:i w:val="0"/>
                <w:caps w:val="0"/>
                <w:color w:val="auto"/>
                <w:spacing w:val="0"/>
                <w:kern w:val="0"/>
                <w:sz w:val="28"/>
                <w:szCs w:val="28"/>
                <w:highlight w:val="none"/>
                <w:lang w:val="en-US" w:eastAsia="zh-CN" w:bidi="ar"/>
              </w:rPr>
              <w:t>需要增设护理型床位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3"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sz w:val="28"/>
                <w:szCs w:val="28"/>
                <w:highlight w:val="none"/>
              </w:rPr>
              <w:t>鹤山市社会福利院</w:t>
            </w:r>
          </w:p>
        </w:tc>
        <w:tc>
          <w:tcPr>
            <w:tcW w:w="82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sz w:val="28"/>
                <w:szCs w:val="28"/>
                <w:highlight w:val="none"/>
              </w:rPr>
              <w:t>公办</w:t>
            </w:r>
          </w:p>
        </w:tc>
        <w:tc>
          <w:tcPr>
            <w:tcW w:w="855"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85</w:t>
            </w:r>
          </w:p>
        </w:tc>
        <w:tc>
          <w:tcPr>
            <w:tcW w:w="1050"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72</w:t>
            </w:r>
          </w:p>
        </w:tc>
        <w:tc>
          <w:tcPr>
            <w:tcW w:w="1110"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84.71%</w:t>
            </w:r>
          </w:p>
        </w:tc>
        <w:tc>
          <w:tcPr>
            <w:tcW w:w="112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70%</w:t>
            </w:r>
          </w:p>
        </w:tc>
        <w:tc>
          <w:tcPr>
            <w:tcW w:w="1179"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3"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龙口镇敬老院</w:t>
            </w:r>
          </w:p>
        </w:tc>
        <w:tc>
          <w:tcPr>
            <w:tcW w:w="82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公建民营</w:t>
            </w:r>
          </w:p>
        </w:tc>
        <w:tc>
          <w:tcPr>
            <w:tcW w:w="855"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75</w:t>
            </w:r>
          </w:p>
        </w:tc>
        <w:tc>
          <w:tcPr>
            <w:tcW w:w="1050"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30</w:t>
            </w:r>
          </w:p>
        </w:tc>
        <w:tc>
          <w:tcPr>
            <w:tcW w:w="1110"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40.00%</w:t>
            </w:r>
          </w:p>
        </w:tc>
        <w:tc>
          <w:tcPr>
            <w:tcW w:w="112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55%</w:t>
            </w:r>
          </w:p>
        </w:tc>
        <w:tc>
          <w:tcPr>
            <w:tcW w:w="1179"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3"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雅瑶镇敬老院</w:t>
            </w:r>
          </w:p>
        </w:tc>
        <w:tc>
          <w:tcPr>
            <w:tcW w:w="82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公建民营</w:t>
            </w:r>
          </w:p>
        </w:tc>
        <w:tc>
          <w:tcPr>
            <w:tcW w:w="855"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200</w:t>
            </w:r>
          </w:p>
        </w:tc>
        <w:tc>
          <w:tcPr>
            <w:tcW w:w="1050"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75</w:t>
            </w:r>
          </w:p>
        </w:tc>
        <w:tc>
          <w:tcPr>
            <w:tcW w:w="1110"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37.50%</w:t>
            </w:r>
          </w:p>
        </w:tc>
        <w:tc>
          <w:tcPr>
            <w:tcW w:w="112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55%</w:t>
            </w:r>
          </w:p>
        </w:tc>
        <w:tc>
          <w:tcPr>
            <w:tcW w:w="1179"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3"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沙坪</w:t>
            </w:r>
            <w:r>
              <w:rPr>
                <w:rFonts w:hint="eastAsia" w:ascii="方正仿宋_GBK" w:hAnsi="方正仿宋_GBK" w:eastAsia="方正仿宋_GBK" w:cs="方正仿宋_GBK"/>
                <w:color w:val="auto"/>
                <w:sz w:val="28"/>
                <w:szCs w:val="28"/>
                <w:highlight w:val="none"/>
                <w:lang w:eastAsia="zh-CN"/>
              </w:rPr>
              <w:t>街道</w:t>
            </w:r>
            <w:r>
              <w:rPr>
                <w:rFonts w:hint="eastAsia" w:ascii="方正仿宋_GBK" w:hAnsi="方正仿宋_GBK" w:eastAsia="方正仿宋_GBK" w:cs="方正仿宋_GBK"/>
                <w:color w:val="auto"/>
                <w:sz w:val="28"/>
                <w:szCs w:val="28"/>
                <w:highlight w:val="none"/>
              </w:rPr>
              <w:t>敬老院</w:t>
            </w:r>
          </w:p>
        </w:tc>
        <w:tc>
          <w:tcPr>
            <w:tcW w:w="82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公建民营</w:t>
            </w:r>
          </w:p>
        </w:tc>
        <w:tc>
          <w:tcPr>
            <w:tcW w:w="855"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108</w:t>
            </w:r>
          </w:p>
        </w:tc>
        <w:tc>
          <w:tcPr>
            <w:tcW w:w="1050"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30</w:t>
            </w:r>
          </w:p>
        </w:tc>
        <w:tc>
          <w:tcPr>
            <w:tcW w:w="1110"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27.78%</w:t>
            </w:r>
          </w:p>
        </w:tc>
        <w:tc>
          <w:tcPr>
            <w:tcW w:w="112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55%</w:t>
            </w:r>
          </w:p>
        </w:tc>
        <w:tc>
          <w:tcPr>
            <w:tcW w:w="1179"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533"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鹤城镇敬老院</w:t>
            </w:r>
          </w:p>
        </w:tc>
        <w:tc>
          <w:tcPr>
            <w:tcW w:w="82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公建民营</w:t>
            </w:r>
          </w:p>
        </w:tc>
        <w:tc>
          <w:tcPr>
            <w:tcW w:w="855"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104</w:t>
            </w:r>
          </w:p>
        </w:tc>
        <w:tc>
          <w:tcPr>
            <w:tcW w:w="1050"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40</w:t>
            </w:r>
          </w:p>
        </w:tc>
        <w:tc>
          <w:tcPr>
            <w:tcW w:w="1110"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38.46%</w:t>
            </w:r>
          </w:p>
        </w:tc>
        <w:tc>
          <w:tcPr>
            <w:tcW w:w="112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55%</w:t>
            </w:r>
          </w:p>
        </w:tc>
        <w:tc>
          <w:tcPr>
            <w:tcW w:w="1179"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3"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古劳镇敬老院（慈善安老院）</w:t>
            </w:r>
          </w:p>
        </w:tc>
        <w:tc>
          <w:tcPr>
            <w:tcW w:w="82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公建民营</w:t>
            </w:r>
          </w:p>
        </w:tc>
        <w:tc>
          <w:tcPr>
            <w:tcW w:w="855"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88</w:t>
            </w:r>
          </w:p>
        </w:tc>
        <w:tc>
          <w:tcPr>
            <w:tcW w:w="1050"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49</w:t>
            </w:r>
          </w:p>
        </w:tc>
        <w:tc>
          <w:tcPr>
            <w:tcW w:w="1110"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55.68%</w:t>
            </w:r>
          </w:p>
        </w:tc>
        <w:tc>
          <w:tcPr>
            <w:tcW w:w="112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55%</w:t>
            </w:r>
          </w:p>
        </w:tc>
        <w:tc>
          <w:tcPr>
            <w:tcW w:w="1179"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3"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sz w:val="28"/>
                <w:szCs w:val="28"/>
                <w:highlight w:val="none"/>
              </w:rPr>
              <w:t>桃源</w:t>
            </w:r>
            <w:r>
              <w:rPr>
                <w:rFonts w:hint="eastAsia" w:ascii="方正仿宋_GBK" w:hAnsi="方正仿宋_GBK" w:eastAsia="方正仿宋_GBK" w:cs="方正仿宋_GBK"/>
                <w:color w:val="auto"/>
                <w:sz w:val="28"/>
                <w:szCs w:val="28"/>
                <w:highlight w:val="none"/>
                <w:lang w:eastAsia="zh-CN"/>
              </w:rPr>
              <w:t>镇</w:t>
            </w:r>
            <w:r>
              <w:rPr>
                <w:rFonts w:hint="eastAsia" w:ascii="方正仿宋_GBK" w:hAnsi="方正仿宋_GBK" w:eastAsia="方正仿宋_GBK" w:cs="方正仿宋_GBK"/>
                <w:color w:val="auto"/>
                <w:sz w:val="28"/>
                <w:szCs w:val="28"/>
                <w:highlight w:val="none"/>
              </w:rPr>
              <w:t>敬老院</w:t>
            </w:r>
          </w:p>
        </w:tc>
        <w:tc>
          <w:tcPr>
            <w:tcW w:w="82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sz w:val="28"/>
                <w:szCs w:val="28"/>
                <w:highlight w:val="none"/>
              </w:rPr>
              <w:t>公办</w:t>
            </w:r>
          </w:p>
        </w:tc>
        <w:tc>
          <w:tcPr>
            <w:tcW w:w="855"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44</w:t>
            </w:r>
          </w:p>
        </w:tc>
        <w:tc>
          <w:tcPr>
            <w:tcW w:w="1050"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12</w:t>
            </w:r>
          </w:p>
        </w:tc>
        <w:tc>
          <w:tcPr>
            <w:tcW w:w="1110"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27.27%</w:t>
            </w:r>
          </w:p>
        </w:tc>
        <w:tc>
          <w:tcPr>
            <w:tcW w:w="112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55%</w:t>
            </w:r>
          </w:p>
        </w:tc>
        <w:tc>
          <w:tcPr>
            <w:tcW w:w="1179"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3"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址山镇敬老院</w:t>
            </w:r>
          </w:p>
        </w:tc>
        <w:tc>
          <w:tcPr>
            <w:tcW w:w="82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公办</w:t>
            </w:r>
          </w:p>
        </w:tc>
        <w:tc>
          <w:tcPr>
            <w:tcW w:w="855"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33</w:t>
            </w:r>
          </w:p>
        </w:tc>
        <w:tc>
          <w:tcPr>
            <w:tcW w:w="1050"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14</w:t>
            </w:r>
          </w:p>
        </w:tc>
        <w:tc>
          <w:tcPr>
            <w:tcW w:w="1110"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42.42%</w:t>
            </w:r>
          </w:p>
        </w:tc>
        <w:tc>
          <w:tcPr>
            <w:tcW w:w="112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55%</w:t>
            </w:r>
          </w:p>
        </w:tc>
        <w:tc>
          <w:tcPr>
            <w:tcW w:w="1179"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3"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sz w:val="28"/>
                <w:szCs w:val="28"/>
                <w:highlight w:val="none"/>
              </w:rPr>
              <w:t>双合镇</w:t>
            </w:r>
            <w:r>
              <w:rPr>
                <w:rFonts w:hint="eastAsia" w:ascii="方正仿宋_GBK" w:hAnsi="方正仿宋_GBK" w:eastAsia="方正仿宋_GBK" w:cs="方正仿宋_GBK"/>
                <w:color w:val="auto"/>
                <w:sz w:val="28"/>
                <w:szCs w:val="28"/>
                <w:highlight w:val="none"/>
                <w:lang w:eastAsia="zh-CN"/>
              </w:rPr>
              <w:t>敬老院</w:t>
            </w:r>
          </w:p>
        </w:tc>
        <w:tc>
          <w:tcPr>
            <w:tcW w:w="82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sz w:val="28"/>
                <w:szCs w:val="28"/>
                <w:highlight w:val="none"/>
              </w:rPr>
              <w:t>公办</w:t>
            </w:r>
          </w:p>
        </w:tc>
        <w:tc>
          <w:tcPr>
            <w:tcW w:w="855"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27</w:t>
            </w:r>
          </w:p>
        </w:tc>
        <w:tc>
          <w:tcPr>
            <w:tcW w:w="1050"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0</w:t>
            </w:r>
          </w:p>
        </w:tc>
        <w:tc>
          <w:tcPr>
            <w:tcW w:w="1110"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0.00%</w:t>
            </w:r>
          </w:p>
        </w:tc>
        <w:tc>
          <w:tcPr>
            <w:tcW w:w="112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55%</w:t>
            </w:r>
          </w:p>
        </w:tc>
        <w:tc>
          <w:tcPr>
            <w:tcW w:w="1179"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3"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sz w:val="28"/>
                <w:szCs w:val="28"/>
                <w:highlight w:val="none"/>
              </w:rPr>
              <w:t>共和镇敬老院</w:t>
            </w:r>
          </w:p>
        </w:tc>
        <w:tc>
          <w:tcPr>
            <w:tcW w:w="82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sz w:val="28"/>
                <w:szCs w:val="28"/>
                <w:highlight w:val="none"/>
              </w:rPr>
              <w:t>公办</w:t>
            </w:r>
          </w:p>
        </w:tc>
        <w:tc>
          <w:tcPr>
            <w:tcW w:w="855"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80</w:t>
            </w:r>
          </w:p>
        </w:tc>
        <w:tc>
          <w:tcPr>
            <w:tcW w:w="1050"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30</w:t>
            </w:r>
          </w:p>
        </w:tc>
        <w:tc>
          <w:tcPr>
            <w:tcW w:w="1110"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37.50%</w:t>
            </w:r>
          </w:p>
        </w:tc>
        <w:tc>
          <w:tcPr>
            <w:tcW w:w="112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55%</w:t>
            </w:r>
          </w:p>
        </w:tc>
        <w:tc>
          <w:tcPr>
            <w:tcW w:w="1179"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3"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sz w:val="28"/>
                <w:szCs w:val="28"/>
                <w:highlight w:val="none"/>
                <w:lang w:eastAsia="zh-CN"/>
              </w:rPr>
              <w:t>宅梧镇敬老院</w:t>
            </w:r>
          </w:p>
        </w:tc>
        <w:tc>
          <w:tcPr>
            <w:tcW w:w="82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sz w:val="28"/>
                <w:szCs w:val="28"/>
                <w:highlight w:val="none"/>
                <w:lang w:eastAsia="zh-CN"/>
              </w:rPr>
              <w:t>公办</w:t>
            </w:r>
          </w:p>
        </w:tc>
        <w:tc>
          <w:tcPr>
            <w:tcW w:w="855"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30</w:t>
            </w:r>
          </w:p>
        </w:tc>
        <w:tc>
          <w:tcPr>
            <w:tcW w:w="1050"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10</w:t>
            </w:r>
          </w:p>
        </w:tc>
        <w:tc>
          <w:tcPr>
            <w:tcW w:w="1110"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33.33%</w:t>
            </w:r>
          </w:p>
        </w:tc>
        <w:tc>
          <w:tcPr>
            <w:tcW w:w="112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55%</w:t>
            </w:r>
          </w:p>
        </w:tc>
        <w:tc>
          <w:tcPr>
            <w:tcW w:w="1179"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3"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sz w:val="28"/>
                <w:szCs w:val="28"/>
                <w:highlight w:val="none"/>
              </w:rPr>
              <w:t>沙坪街道卫生院养老服务中心</w:t>
            </w:r>
          </w:p>
        </w:tc>
        <w:tc>
          <w:tcPr>
            <w:tcW w:w="82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sz w:val="28"/>
                <w:szCs w:val="28"/>
                <w:highlight w:val="none"/>
              </w:rPr>
              <w:t>公办</w:t>
            </w:r>
          </w:p>
        </w:tc>
        <w:tc>
          <w:tcPr>
            <w:tcW w:w="855"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200</w:t>
            </w:r>
          </w:p>
        </w:tc>
        <w:tc>
          <w:tcPr>
            <w:tcW w:w="1050"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200</w:t>
            </w:r>
          </w:p>
        </w:tc>
        <w:tc>
          <w:tcPr>
            <w:tcW w:w="1110"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100.00%</w:t>
            </w:r>
          </w:p>
        </w:tc>
        <w:tc>
          <w:tcPr>
            <w:tcW w:w="112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55%</w:t>
            </w:r>
          </w:p>
        </w:tc>
        <w:tc>
          <w:tcPr>
            <w:tcW w:w="1179"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3"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雁鸣湖畔养老养生公寓</w:t>
            </w:r>
          </w:p>
        </w:tc>
        <w:tc>
          <w:tcPr>
            <w:tcW w:w="82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民办</w:t>
            </w:r>
          </w:p>
        </w:tc>
        <w:tc>
          <w:tcPr>
            <w:tcW w:w="855"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288</w:t>
            </w:r>
          </w:p>
        </w:tc>
        <w:tc>
          <w:tcPr>
            <w:tcW w:w="1050"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288</w:t>
            </w:r>
          </w:p>
        </w:tc>
        <w:tc>
          <w:tcPr>
            <w:tcW w:w="1110"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100.00%</w:t>
            </w:r>
          </w:p>
        </w:tc>
        <w:tc>
          <w:tcPr>
            <w:tcW w:w="112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55%</w:t>
            </w:r>
          </w:p>
        </w:tc>
        <w:tc>
          <w:tcPr>
            <w:tcW w:w="1179"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3"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幸福寿星安老之家</w:t>
            </w:r>
          </w:p>
        </w:tc>
        <w:tc>
          <w:tcPr>
            <w:tcW w:w="82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民办</w:t>
            </w:r>
          </w:p>
        </w:tc>
        <w:tc>
          <w:tcPr>
            <w:tcW w:w="855"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309</w:t>
            </w:r>
          </w:p>
        </w:tc>
        <w:tc>
          <w:tcPr>
            <w:tcW w:w="1050"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100</w:t>
            </w:r>
          </w:p>
        </w:tc>
        <w:tc>
          <w:tcPr>
            <w:tcW w:w="1110"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32.36%</w:t>
            </w:r>
          </w:p>
        </w:tc>
        <w:tc>
          <w:tcPr>
            <w:tcW w:w="112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55%</w:t>
            </w:r>
          </w:p>
        </w:tc>
        <w:tc>
          <w:tcPr>
            <w:tcW w:w="1179"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3"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lang w:eastAsia="zh-CN"/>
              </w:rPr>
            </w:pPr>
            <w:r>
              <w:rPr>
                <w:rFonts w:hint="eastAsia" w:ascii="方正仿宋_GBK" w:hAnsi="方正仿宋_GBK" w:eastAsia="方正仿宋_GBK" w:cs="方正仿宋_GBK"/>
                <w:color w:val="auto"/>
                <w:sz w:val="28"/>
                <w:szCs w:val="28"/>
                <w:highlight w:val="none"/>
                <w:lang w:eastAsia="zh-CN"/>
              </w:rPr>
              <w:t>双合镇卫生院康泰缘服务中心</w:t>
            </w:r>
          </w:p>
        </w:tc>
        <w:tc>
          <w:tcPr>
            <w:tcW w:w="82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lang w:eastAsia="zh-CN"/>
              </w:rPr>
            </w:pPr>
            <w:r>
              <w:rPr>
                <w:rFonts w:hint="eastAsia" w:ascii="方正仿宋_GBK" w:hAnsi="方正仿宋_GBK" w:eastAsia="方正仿宋_GBK" w:cs="方正仿宋_GBK"/>
                <w:color w:val="auto"/>
                <w:sz w:val="28"/>
                <w:szCs w:val="28"/>
                <w:highlight w:val="none"/>
                <w:lang w:eastAsia="zh-CN"/>
              </w:rPr>
              <w:t>公办</w:t>
            </w:r>
          </w:p>
        </w:tc>
        <w:tc>
          <w:tcPr>
            <w:tcW w:w="855"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70</w:t>
            </w:r>
          </w:p>
        </w:tc>
        <w:tc>
          <w:tcPr>
            <w:tcW w:w="1050"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70</w:t>
            </w:r>
          </w:p>
        </w:tc>
        <w:tc>
          <w:tcPr>
            <w:tcW w:w="1110"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100.00%</w:t>
            </w:r>
          </w:p>
        </w:tc>
        <w:tc>
          <w:tcPr>
            <w:tcW w:w="112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55%</w:t>
            </w:r>
          </w:p>
        </w:tc>
        <w:tc>
          <w:tcPr>
            <w:tcW w:w="1179"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3"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lang w:eastAsia="zh-CN"/>
              </w:rPr>
            </w:pPr>
            <w:r>
              <w:rPr>
                <w:rFonts w:hint="eastAsia" w:ascii="方正仿宋_GBK" w:hAnsi="方正仿宋_GBK" w:eastAsia="方正仿宋_GBK" w:cs="方正仿宋_GBK"/>
                <w:color w:val="auto"/>
                <w:sz w:val="28"/>
                <w:szCs w:val="28"/>
                <w:highlight w:val="none"/>
                <w:lang w:eastAsia="zh-CN"/>
              </w:rPr>
              <w:t>共和镇卫生院</w:t>
            </w:r>
          </w:p>
        </w:tc>
        <w:tc>
          <w:tcPr>
            <w:tcW w:w="82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lang w:eastAsia="zh-CN"/>
              </w:rPr>
            </w:pPr>
            <w:r>
              <w:rPr>
                <w:rFonts w:hint="eastAsia" w:ascii="方正仿宋_GBK" w:hAnsi="方正仿宋_GBK" w:eastAsia="方正仿宋_GBK" w:cs="方正仿宋_GBK"/>
                <w:color w:val="auto"/>
                <w:sz w:val="28"/>
                <w:szCs w:val="28"/>
                <w:highlight w:val="none"/>
                <w:lang w:eastAsia="zh-CN"/>
              </w:rPr>
              <w:t>公办</w:t>
            </w:r>
          </w:p>
        </w:tc>
        <w:tc>
          <w:tcPr>
            <w:tcW w:w="855"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66</w:t>
            </w:r>
          </w:p>
        </w:tc>
        <w:tc>
          <w:tcPr>
            <w:tcW w:w="1050"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66</w:t>
            </w:r>
          </w:p>
        </w:tc>
        <w:tc>
          <w:tcPr>
            <w:tcW w:w="1110"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100.00%</w:t>
            </w:r>
          </w:p>
        </w:tc>
        <w:tc>
          <w:tcPr>
            <w:tcW w:w="112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55%</w:t>
            </w:r>
          </w:p>
        </w:tc>
        <w:tc>
          <w:tcPr>
            <w:tcW w:w="1179"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3"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lang w:eastAsia="zh-CN"/>
              </w:rPr>
            </w:pPr>
            <w:r>
              <w:rPr>
                <w:rFonts w:hint="eastAsia" w:ascii="方正仿宋_GBK" w:hAnsi="方正仿宋_GBK" w:eastAsia="方正仿宋_GBK" w:cs="方正仿宋_GBK"/>
                <w:color w:val="auto"/>
                <w:sz w:val="28"/>
                <w:szCs w:val="28"/>
                <w:highlight w:val="none"/>
                <w:lang w:eastAsia="zh-CN"/>
              </w:rPr>
              <w:t>合计</w:t>
            </w:r>
          </w:p>
        </w:tc>
        <w:tc>
          <w:tcPr>
            <w:tcW w:w="82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lang w:eastAsia="zh-CN"/>
              </w:rPr>
            </w:pPr>
          </w:p>
        </w:tc>
        <w:tc>
          <w:tcPr>
            <w:tcW w:w="855"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1807</w:t>
            </w:r>
          </w:p>
        </w:tc>
        <w:tc>
          <w:tcPr>
            <w:tcW w:w="1050"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1086</w:t>
            </w:r>
          </w:p>
        </w:tc>
        <w:tc>
          <w:tcPr>
            <w:tcW w:w="1110"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60.10%</w:t>
            </w:r>
          </w:p>
        </w:tc>
        <w:tc>
          <w:tcPr>
            <w:tcW w:w="112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w:t>
            </w:r>
          </w:p>
        </w:tc>
        <w:tc>
          <w:tcPr>
            <w:tcW w:w="1179" w:type="dxa"/>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i w:val="0"/>
                <w:iCs w:val="0"/>
                <w:color w:val="auto"/>
                <w:kern w:val="0"/>
                <w:sz w:val="28"/>
                <w:szCs w:val="28"/>
                <w:highlight w:val="none"/>
                <w:u w:val="none"/>
                <w:lang w:val="en-US" w:eastAsia="zh-CN" w:bidi="ar"/>
              </w:rPr>
              <w:t>—</w:t>
            </w:r>
          </w:p>
        </w:tc>
      </w:tr>
    </w:tbl>
    <w:p>
      <w:pPr>
        <w:pStyle w:val="2"/>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jc w:val="both"/>
        <w:textAlignment w:val="baseline"/>
        <w:rPr>
          <w:rFonts w:hint="eastAsia" w:ascii="方正仿宋_GBK" w:hAnsi="方正仿宋_GBK" w:eastAsia="方正仿宋_GBK" w:cs="方正仿宋_GBK"/>
          <w:i w:val="0"/>
          <w:caps w:val="0"/>
          <w:color w:val="auto"/>
          <w:spacing w:val="0"/>
          <w:kern w:val="0"/>
          <w:sz w:val="32"/>
          <w:szCs w:val="32"/>
          <w:highlight w:val="none"/>
          <w:lang w:val="en-US" w:eastAsia="zh-CN" w:bidi="ar"/>
        </w:rPr>
      </w:pPr>
      <w:bookmarkStart w:id="2" w:name="_Toc20266"/>
      <w:r>
        <w:rPr>
          <w:rFonts w:hint="eastAsia" w:ascii="方正仿宋_GBK" w:hAnsi="方正仿宋_GBK" w:eastAsia="方正仿宋_GBK" w:cs="方正仿宋_GBK"/>
          <w:b/>
          <w:bCs/>
          <w:color w:val="auto"/>
          <w:sz w:val="32"/>
          <w:szCs w:val="32"/>
          <w:highlight w:val="none"/>
          <w:lang w:val="en-US" w:eastAsia="zh-CN"/>
        </w:rPr>
        <w:t>4</w:t>
      </w:r>
      <w:r>
        <w:rPr>
          <w:rStyle w:val="37"/>
          <w:rFonts w:hint="eastAsia" w:ascii="方正仿宋_GBK" w:hAnsi="方正仿宋_GBK" w:eastAsia="方正仿宋_GBK" w:cs="方正仿宋_GBK"/>
          <w:b/>
          <w:bCs/>
          <w:color w:val="auto"/>
          <w:kern w:val="0"/>
          <w:sz w:val="32"/>
          <w:szCs w:val="32"/>
          <w:highlight w:val="none"/>
          <w:lang w:val="en-US" w:eastAsia="zh-CN" w:bidi="ar"/>
        </w:rPr>
        <w:t>.深化</w:t>
      </w:r>
      <w:r>
        <w:rPr>
          <w:rStyle w:val="37"/>
          <w:rFonts w:hint="eastAsia" w:ascii="方正仿宋_GBK" w:hAnsi="方正仿宋_GBK" w:eastAsia="方正仿宋_GBK" w:cs="方正仿宋_GBK"/>
          <w:color w:val="auto"/>
          <w:kern w:val="0"/>
          <w:sz w:val="32"/>
          <w:szCs w:val="32"/>
          <w:highlight w:val="none"/>
          <w:lang w:val="en-US" w:eastAsia="zh-CN" w:bidi="ar"/>
        </w:rPr>
        <w:t>公办养老机构改革。</w:t>
      </w:r>
      <w:r>
        <w:rPr>
          <w:rFonts w:hint="eastAsia" w:ascii="方正仿宋_GBK" w:hAnsi="方正仿宋_GBK" w:eastAsia="方正仿宋_GBK" w:cs="方正仿宋_GBK"/>
          <w:i w:val="0"/>
          <w:caps w:val="0"/>
          <w:color w:val="auto"/>
          <w:spacing w:val="0"/>
          <w:kern w:val="0"/>
          <w:sz w:val="32"/>
          <w:szCs w:val="32"/>
          <w:highlight w:val="none"/>
          <w:lang w:val="en-US" w:eastAsia="zh-CN" w:bidi="ar"/>
        </w:rPr>
        <w:t>坚持公办养老机构公益属性，探索具备条件的公办养老机构实行委托经营、资产租赁或改制为国有养老服务企业等模式，在充分发挥兜底保障作用的基础上，面向社会提供普遍适用的养老服务。总结公建民营改革试点经验，完善委托经营等养老机构管理制度办法，采取多种方式支持公办养老机构改革发展。</w:t>
      </w:r>
    </w:p>
    <w:p>
      <w:pPr>
        <w:pStyle w:val="2"/>
        <w:pageBreakBefore w:val="0"/>
        <w:kinsoku/>
        <w:wordWrap/>
        <w:overflowPunct/>
        <w:topLinePunct w:val="0"/>
        <w:autoSpaceDE/>
        <w:autoSpaceDN/>
        <w:bidi w:val="0"/>
        <w:adjustRightInd w:val="0"/>
        <w:snapToGrid w:val="0"/>
        <w:spacing w:line="560" w:lineRule="exact"/>
        <w:ind w:firstLine="634" w:firstLineChars="0"/>
        <w:rPr>
          <w:rFonts w:hint="eastAsia" w:ascii="方正楷体_GBK" w:hAnsi="方正楷体_GBK" w:eastAsia="方正楷体_GBK" w:cs="方正楷体_GBK"/>
          <w:b/>
          <w:bCs/>
          <w:i w:val="0"/>
          <w:caps w:val="0"/>
          <w:color w:val="auto"/>
          <w:spacing w:val="0"/>
          <w:kern w:val="0"/>
          <w:sz w:val="32"/>
          <w:szCs w:val="32"/>
          <w:highlight w:val="none"/>
          <w:lang w:val="en-US" w:eastAsia="zh-CN" w:bidi="ar"/>
        </w:rPr>
      </w:pPr>
      <w:r>
        <w:rPr>
          <w:rStyle w:val="37"/>
          <w:rFonts w:hint="eastAsia" w:ascii="方正仿宋_GBK" w:hAnsi="方正仿宋_GBK" w:eastAsia="方正仿宋_GBK" w:cs="方正仿宋_GBK"/>
          <w:color w:val="auto"/>
          <w:kern w:val="0"/>
          <w:sz w:val="32"/>
          <w:szCs w:val="32"/>
          <w:highlight w:val="none"/>
          <w:lang w:val="en-US" w:eastAsia="zh-CN" w:bidi="ar"/>
        </w:rPr>
        <w:t>5.</w:t>
      </w:r>
      <w:bookmarkEnd w:id="2"/>
      <w:r>
        <w:rPr>
          <w:rStyle w:val="37"/>
          <w:rFonts w:hint="eastAsia" w:ascii="方正仿宋_GBK" w:hAnsi="方正仿宋_GBK" w:eastAsia="方正仿宋_GBK" w:cs="方正仿宋_GBK"/>
          <w:color w:val="auto"/>
          <w:kern w:val="0"/>
          <w:sz w:val="32"/>
          <w:szCs w:val="32"/>
          <w:highlight w:val="none"/>
          <w:lang w:val="en-US" w:eastAsia="zh-CN" w:bidi="ar"/>
        </w:rPr>
        <w:t>引导扶持社会办养老机构发展</w:t>
      </w:r>
      <w:r>
        <w:rPr>
          <w:rFonts w:hint="eastAsia" w:ascii="方正仿宋_GBK" w:hAnsi="方正仿宋_GBK" w:eastAsia="方正仿宋_GBK" w:cs="方正仿宋_GBK"/>
          <w:b/>
          <w:bCs/>
          <w:i w:val="0"/>
          <w:caps w:val="0"/>
          <w:color w:val="auto"/>
          <w:spacing w:val="0"/>
          <w:kern w:val="0"/>
          <w:sz w:val="32"/>
          <w:szCs w:val="32"/>
          <w:highlight w:val="none"/>
          <w:lang w:val="en-US" w:eastAsia="zh-CN" w:bidi="ar"/>
        </w:rPr>
        <w:t>。</w:t>
      </w:r>
      <w:r>
        <w:rPr>
          <w:rFonts w:hint="eastAsia" w:ascii="方正仿宋_GBK" w:hAnsi="方正仿宋_GBK" w:eastAsia="方正仿宋_GBK" w:cs="方正仿宋_GBK"/>
          <w:i w:val="0"/>
          <w:caps w:val="0"/>
          <w:color w:val="auto"/>
          <w:spacing w:val="0"/>
          <w:kern w:val="0"/>
          <w:sz w:val="32"/>
          <w:szCs w:val="32"/>
          <w:highlight w:val="none"/>
          <w:lang w:val="en-US" w:eastAsia="zh-CN" w:bidi="ar"/>
        </w:rPr>
        <w:t>加强养老服务信息公开和政策指引，及时更新公布政策措施、供需信息及投资指南。开展城企协同推进养老服务发展行动计划，支持引导社会力量发展面向中低收入群体的普惠型养老服务机构，规范引导社会力量根据市场需要适度有序发展面向中高收入群体的中高端养老机构。引导企业、公益慈善组织及其他社会力量参与养老服务设施建设、运行、管理。落实社会办养老机构扶持优惠政策，探索以奖代补形式推动民办养老机构品牌化、连锁化、标准化发展。促进养老机构提升服务质量和管理效能，推动养老机构运营规范化、专业化、标准化发展。建立申报养老机构星级评定长效机制，积极营造评星舆论环境，强化巩固提升，发挥星级养老机构示范引领作用，推进养老机构高质量发展。</w:t>
      </w:r>
    </w:p>
    <w:p>
      <w:pPr>
        <w:pStyle w:val="5"/>
        <w:keepNext/>
        <w:keepLines/>
        <w:pageBreakBefore w:val="0"/>
        <w:widowControl w:val="0"/>
        <w:kinsoku/>
        <w:wordWrap/>
        <w:overflowPunct/>
        <w:topLinePunct w:val="0"/>
        <w:autoSpaceDE/>
        <w:autoSpaceDN/>
        <w:bidi w:val="0"/>
        <w:adjustRightInd w:val="0"/>
        <w:snapToGrid w:val="0"/>
        <w:spacing w:before="0" w:after="0" w:line="560" w:lineRule="exact"/>
        <w:ind w:firstLine="643" w:firstLineChars="200"/>
        <w:jc w:val="both"/>
        <w:textAlignment w:val="auto"/>
        <w:rPr>
          <w:rFonts w:hint="eastAsia" w:ascii="方正楷体_GBK" w:hAnsi="方正楷体_GBK" w:eastAsia="方正楷体_GBK" w:cs="方正楷体_GBK"/>
          <w:b/>
          <w:bCs/>
          <w:i w:val="0"/>
          <w:caps w:val="0"/>
          <w:color w:val="auto"/>
          <w:spacing w:val="0"/>
          <w:kern w:val="0"/>
          <w:sz w:val="32"/>
          <w:szCs w:val="32"/>
          <w:highlight w:val="none"/>
          <w:lang w:val="en-US" w:eastAsia="zh-CN" w:bidi="ar"/>
        </w:rPr>
      </w:pPr>
      <w:r>
        <w:rPr>
          <w:rFonts w:hint="eastAsia" w:ascii="方正楷体_GBK" w:hAnsi="方正楷体_GBK" w:eastAsia="方正楷体_GBK" w:cs="方正楷体_GBK"/>
          <w:b/>
          <w:bCs/>
          <w:i w:val="0"/>
          <w:caps w:val="0"/>
          <w:color w:val="auto"/>
          <w:spacing w:val="0"/>
          <w:kern w:val="0"/>
          <w:sz w:val="32"/>
          <w:szCs w:val="32"/>
          <w:highlight w:val="none"/>
          <w:lang w:val="en-US" w:eastAsia="zh-CN" w:bidi="ar"/>
        </w:rPr>
        <w:t>三、全力推动居家社区养老服务扩容提质</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Style w:val="37"/>
          <w:rFonts w:hint="eastAsia" w:ascii="方正仿宋_GBK" w:hAnsi="方正仿宋_GBK" w:eastAsia="方正仿宋_GBK" w:cs="方正仿宋_GBK"/>
          <w:b w:val="0"/>
          <w:bCs/>
          <w:color w:val="auto"/>
          <w:sz w:val="32"/>
          <w:szCs w:val="32"/>
          <w:highlight w:val="none"/>
          <w:lang w:val="en-US" w:eastAsia="zh-CN"/>
        </w:rPr>
      </w:pPr>
      <w:r>
        <w:rPr>
          <w:rStyle w:val="37"/>
          <w:rFonts w:hint="eastAsia" w:ascii="方正仿宋_GBK" w:hAnsi="方正仿宋_GBK" w:eastAsia="方正仿宋_GBK" w:cs="方正仿宋_GBK"/>
          <w:b w:val="0"/>
          <w:bCs/>
          <w:color w:val="auto"/>
          <w:sz w:val="32"/>
          <w:szCs w:val="32"/>
          <w:highlight w:val="none"/>
          <w:lang w:val="en-US" w:eastAsia="zh-CN"/>
        </w:rPr>
        <w:t>加强镇（街）养老服务设施建设和社区养老服务设施配建，推动形成一批具有示范带动作用的养老服务综合体。加快发展社区嵌入式养老服务机构或日间照料中心，推进多元化养老服务模式，因地制宜发展多种形式的养老服务项目，打造具有鹤山特色的居家社区养老服务体系。探索居家社区养老服务规模化、连锁化运营。到2025年基本形成“社区15分钟居家养老服务圈”。</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firstLine="643" w:firstLineChars="200"/>
        <w:jc w:val="both"/>
        <w:textAlignment w:val="auto"/>
        <w:rPr>
          <w:rStyle w:val="37"/>
          <w:rFonts w:hint="eastAsia" w:ascii="方正仿宋_GBK" w:hAnsi="方正仿宋_GBK" w:eastAsia="方正仿宋_GBK" w:cs="方正仿宋_GBK"/>
          <w:color w:val="auto"/>
          <w:sz w:val="32"/>
          <w:szCs w:val="32"/>
          <w:highlight w:val="none"/>
        </w:rPr>
      </w:pPr>
      <w:r>
        <w:rPr>
          <w:rStyle w:val="37"/>
          <w:rFonts w:hint="eastAsia" w:ascii="方正仿宋_GBK" w:hAnsi="方正仿宋_GBK" w:eastAsia="方正仿宋_GBK" w:cs="方正仿宋_GBK"/>
          <w:b/>
          <w:bCs w:val="0"/>
          <w:color w:val="auto"/>
          <w:sz w:val="32"/>
          <w:szCs w:val="32"/>
          <w:highlight w:val="none"/>
          <w:lang w:val="en-US" w:eastAsia="zh-CN"/>
        </w:rPr>
        <w:t>6.</w:t>
      </w:r>
      <w:r>
        <w:rPr>
          <w:rStyle w:val="37"/>
          <w:rFonts w:hint="eastAsia" w:ascii="方正仿宋_GBK" w:hAnsi="方正仿宋_GBK" w:eastAsia="方正仿宋_GBK" w:cs="方正仿宋_GBK"/>
          <w:b/>
          <w:bCs w:val="0"/>
          <w:color w:val="auto"/>
          <w:sz w:val="32"/>
          <w:szCs w:val="32"/>
          <w:highlight w:val="none"/>
        </w:rPr>
        <w:t>发挥家庭养老基础功能。</w:t>
      </w:r>
      <w:r>
        <w:rPr>
          <w:rStyle w:val="37"/>
          <w:rFonts w:hint="eastAsia" w:ascii="方正仿宋_GBK" w:hAnsi="方正仿宋_GBK" w:eastAsia="方正仿宋_GBK" w:cs="方正仿宋_GBK"/>
          <w:b w:val="0"/>
          <w:bCs/>
          <w:color w:val="auto"/>
          <w:sz w:val="32"/>
          <w:szCs w:val="32"/>
          <w:highlight w:val="none"/>
        </w:rPr>
        <w:t>不断夯实家庭养老基础地位，支持养老服务机构</w:t>
      </w:r>
      <w:r>
        <w:rPr>
          <w:rStyle w:val="37"/>
          <w:rFonts w:hint="eastAsia" w:ascii="方正仿宋_GBK" w:hAnsi="方正仿宋_GBK" w:eastAsia="方正仿宋_GBK" w:cs="方正仿宋_GBK"/>
          <w:b w:val="0"/>
          <w:bCs/>
          <w:color w:val="auto"/>
          <w:sz w:val="32"/>
          <w:szCs w:val="32"/>
          <w:highlight w:val="none"/>
          <w:lang w:eastAsia="zh-CN"/>
        </w:rPr>
        <w:t>、家政机构等机构</w:t>
      </w:r>
      <w:r>
        <w:rPr>
          <w:rStyle w:val="37"/>
          <w:rFonts w:hint="eastAsia" w:ascii="方正仿宋_GBK" w:hAnsi="方正仿宋_GBK" w:eastAsia="方正仿宋_GBK" w:cs="方正仿宋_GBK"/>
          <w:b w:val="0"/>
          <w:bCs/>
          <w:color w:val="auto"/>
          <w:sz w:val="32"/>
          <w:szCs w:val="32"/>
          <w:highlight w:val="none"/>
        </w:rPr>
        <w:t>将专业化服务延伸至家庭，向居家老年人提供居家上门、生活照料、家务料理、康复护理、培训支持、精神慰藉等服务。大力发展家庭照护床位，支持养老机构运营家庭养老床位并提供专业服务。鼓励老年人培养积极心态，开展社会交往，加强健身运动，提升自我保健康复能力。</w:t>
      </w:r>
      <w:r>
        <w:rPr>
          <w:rFonts w:hint="eastAsia" w:ascii="方正仿宋_GBK" w:hAnsi="方正仿宋_GBK" w:eastAsia="方正仿宋_GBK" w:cs="方正仿宋_GBK"/>
          <w:i w:val="0"/>
          <w:caps w:val="0"/>
          <w:color w:val="auto"/>
          <w:spacing w:val="0"/>
          <w:sz w:val="32"/>
          <w:szCs w:val="32"/>
          <w:highlight w:val="none"/>
        </w:rPr>
        <w:t>对照护失能失智老年人的家庭成员开展护理技能培训</w:t>
      </w:r>
      <w:r>
        <w:rPr>
          <w:rFonts w:hint="eastAsia" w:ascii="方正仿宋_GBK" w:hAnsi="方正仿宋_GBK" w:eastAsia="方正仿宋_GBK" w:cs="方正仿宋_GBK"/>
          <w:i w:val="0"/>
          <w:caps w:val="0"/>
          <w:color w:val="auto"/>
          <w:spacing w:val="0"/>
          <w:sz w:val="32"/>
          <w:szCs w:val="32"/>
          <w:highlight w:val="none"/>
          <w:lang w:eastAsia="zh-CN"/>
        </w:rPr>
        <w:t>。</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firstLine="643" w:firstLineChars="200"/>
        <w:jc w:val="both"/>
        <w:textAlignment w:val="auto"/>
        <w:rPr>
          <w:rFonts w:hint="eastAsia" w:ascii="方正仿宋_GBK" w:hAnsi="方正仿宋_GBK" w:eastAsia="方正仿宋_GBK" w:cs="方正仿宋_GBK"/>
          <w:i w:val="0"/>
          <w:caps w:val="0"/>
          <w:color w:val="auto"/>
          <w:spacing w:val="0"/>
          <w:sz w:val="32"/>
          <w:szCs w:val="32"/>
          <w:highlight w:val="none"/>
        </w:rPr>
      </w:pPr>
      <w:r>
        <w:rPr>
          <w:rStyle w:val="37"/>
          <w:rFonts w:hint="eastAsia" w:ascii="方正仿宋_GBK" w:hAnsi="方正仿宋_GBK" w:eastAsia="方正仿宋_GBK" w:cs="方正仿宋_GBK"/>
          <w:color w:val="auto"/>
          <w:sz w:val="32"/>
          <w:szCs w:val="32"/>
          <w:highlight w:val="none"/>
          <w:lang w:val="en-US" w:eastAsia="zh-CN"/>
        </w:rPr>
        <w:t>7.</w:t>
      </w:r>
      <w:r>
        <w:rPr>
          <w:rStyle w:val="37"/>
          <w:rFonts w:hint="eastAsia" w:ascii="方正仿宋_GBK" w:hAnsi="方正仿宋_GBK" w:eastAsia="方正仿宋_GBK" w:cs="方正仿宋_GBK"/>
          <w:color w:val="auto"/>
          <w:sz w:val="32"/>
          <w:szCs w:val="32"/>
          <w:highlight w:val="none"/>
        </w:rPr>
        <w:t>完善居家社区服务设施</w:t>
      </w:r>
      <w:r>
        <w:rPr>
          <w:rStyle w:val="37"/>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i w:val="0"/>
          <w:caps w:val="0"/>
          <w:color w:val="auto"/>
          <w:spacing w:val="0"/>
          <w:sz w:val="32"/>
          <w:szCs w:val="32"/>
          <w:highlight w:val="none"/>
          <w:lang w:eastAsia="zh-CN"/>
        </w:rPr>
        <w:t>严格配套建设社区居家养老服务设施。建立健全养老服务设施规划和用地保障政策，实现养老服务设施布局专项规划与国土空间总体规划和详细规划有效衔接。制定整合利用闲置资源建设养老服务设施优惠政策措施，盘活整合闲置资产用于建设养老服务设施。</w:t>
      </w:r>
      <w:r>
        <w:rPr>
          <w:rFonts w:hint="eastAsia" w:ascii="方正仿宋_GBK" w:hAnsi="方正仿宋_GBK" w:eastAsia="方正仿宋_GBK" w:cs="方正仿宋_GBK"/>
          <w:i w:val="0"/>
          <w:caps w:val="0"/>
          <w:color w:val="auto"/>
          <w:spacing w:val="0"/>
          <w:sz w:val="32"/>
          <w:szCs w:val="32"/>
          <w:highlight w:val="none"/>
        </w:rPr>
        <w:t>居家社区养老服务设施纳入城乡社区配套用房建设范围，</w:t>
      </w:r>
      <w:r>
        <w:rPr>
          <w:rFonts w:hint="eastAsia" w:ascii="方正仿宋_GBK" w:hAnsi="方正仿宋_GBK" w:eastAsia="方正仿宋_GBK" w:cs="方正仿宋_GBK"/>
          <w:i w:val="0"/>
          <w:caps w:val="0"/>
          <w:color w:val="auto"/>
          <w:spacing w:val="0"/>
          <w:sz w:val="32"/>
          <w:szCs w:val="32"/>
          <w:highlight w:val="none"/>
          <w:lang w:val="en-US" w:eastAsia="zh-CN"/>
        </w:rPr>
        <w:t>到2025年，新建城区、新建居住（小）区按照每百户不低于20平方米的标准配套建设养老服务设施。旧城区和已建住宅小区按照每百户不低于15平方米的标准配置补齐养老服务设施。</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方正仿宋_GBK" w:hAnsi="方正仿宋_GBK" w:eastAsia="方正仿宋_GBK" w:cs="方正仿宋_GBK"/>
          <w:i w:val="0"/>
          <w:caps w:val="0"/>
          <w:color w:val="auto"/>
          <w:spacing w:val="0"/>
          <w:sz w:val="32"/>
          <w:szCs w:val="32"/>
          <w:highlight w:val="none"/>
        </w:rPr>
      </w:pPr>
      <w:r>
        <w:rPr>
          <w:rFonts w:hint="eastAsia" w:ascii="方正仿宋_GBK" w:hAnsi="方正仿宋_GBK" w:eastAsia="方正仿宋_GBK" w:cs="方正仿宋_GBK"/>
          <w:i w:val="0"/>
          <w:caps w:val="0"/>
          <w:color w:val="auto"/>
          <w:spacing w:val="0"/>
          <w:sz w:val="32"/>
          <w:szCs w:val="32"/>
          <w:highlight w:val="none"/>
        </w:rPr>
        <w:t>实施</w:t>
      </w:r>
      <w:r>
        <w:rPr>
          <w:rFonts w:hint="eastAsia" w:ascii="方正仿宋_GBK" w:hAnsi="方正仿宋_GBK" w:eastAsia="方正仿宋_GBK" w:cs="方正仿宋_GBK"/>
          <w:i w:val="0"/>
          <w:caps w:val="0"/>
          <w:color w:val="auto"/>
          <w:spacing w:val="0"/>
          <w:sz w:val="32"/>
          <w:szCs w:val="32"/>
          <w:highlight w:val="none"/>
          <w:lang w:eastAsia="zh-CN"/>
        </w:rPr>
        <w:t>老年人居家</w:t>
      </w:r>
      <w:r>
        <w:rPr>
          <w:rFonts w:hint="eastAsia" w:ascii="方正仿宋_GBK" w:hAnsi="方正仿宋_GBK" w:eastAsia="方正仿宋_GBK" w:cs="方正仿宋_GBK"/>
          <w:i w:val="0"/>
          <w:caps w:val="0"/>
          <w:color w:val="auto"/>
          <w:spacing w:val="0"/>
          <w:sz w:val="32"/>
          <w:szCs w:val="32"/>
          <w:highlight w:val="none"/>
        </w:rPr>
        <w:t>适老化改造</w:t>
      </w:r>
      <w:r>
        <w:rPr>
          <w:rFonts w:hint="eastAsia" w:ascii="方正仿宋_GBK" w:hAnsi="方正仿宋_GBK" w:eastAsia="方正仿宋_GBK" w:cs="方正仿宋_GBK"/>
          <w:i w:val="0"/>
          <w:caps w:val="0"/>
          <w:color w:val="auto"/>
          <w:spacing w:val="0"/>
          <w:sz w:val="32"/>
          <w:szCs w:val="32"/>
          <w:highlight w:val="none"/>
          <w:lang w:eastAsia="zh-CN"/>
        </w:rPr>
        <w:t>。通过专业化服务和市场化运作，采取施工改造、设施配置、辅具适配等方式实施老年人居家适老化改造，改善老年人居家生活照护条件，增强居家生活设施安全性、便利性和舒适性，提升居家养老服务质量。</w:t>
      </w:r>
      <w:r>
        <w:rPr>
          <w:rFonts w:hint="eastAsia" w:ascii="方正仿宋_GBK" w:hAnsi="方正仿宋_GBK" w:eastAsia="方正仿宋_GBK" w:cs="方正仿宋_GBK"/>
          <w:i w:val="0"/>
          <w:caps w:val="0"/>
          <w:color w:val="auto"/>
          <w:spacing w:val="0"/>
          <w:sz w:val="32"/>
          <w:szCs w:val="32"/>
          <w:highlight w:val="none"/>
        </w:rPr>
        <w:t>20</w:t>
      </w:r>
      <w:r>
        <w:rPr>
          <w:rFonts w:hint="eastAsia" w:ascii="方正仿宋_GBK" w:hAnsi="方正仿宋_GBK" w:eastAsia="方正仿宋_GBK" w:cs="方正仿宋_GBK"/>
          <w:i w:val="0"/>
          <w:caps w:val="0"/>
          <w:color w:val="auto"/>
          <w:spacing w:val="0"/>
          <w:sz w:val="32"/>
          <w:szCs w:val="32"/>
          <w:highlight w:val="none"/>
          <w:lang w:val="en-US" w:eastAsia="zh-CN"/>
        </w:rPr>
        <w:t>23</w:t>
      </w:r>
      <w:r>
        <w:rPr>
          <w:rFonts w:hint="eastAsia" w:ascii="方正仿宋_GBK" w:hAnsi="方正仿宋_GBK" w:eastAsia="方正仿宋_GBK" w:cs="方正仿宋_GBK"/>
          <w:i w:val="0"/>
          <w:caps w:val="0"/>
          <w:color w:val="auto"/>
          <w:spacing w:val="0"/>
          <w:sz w:val="32"/>
          <w:szCs w:val="32"/>
          <w:highlight w:val="none"/>
        </w:rPr>
        <w:t>年底前，</w:t>
      </w:r>
      <w:r>
        <w:rPr>
          <w:rFonts w:hint="eastAsia" w:ascii="方正仿宋_GBK" w:hAnsi="方正仿宋_GBK" w:eastAsia="方正仿宋_GBK" w:cs="方正仿宋_GBK"/>
          <w:i w:val="0"/>
          <w:caps w:val="0"/>
          <w:color w:val="auto"/>
          <w:spacing w:val="0"/>
          <w:sz w:val="32"/>
          <w:szCs w:val="32"/>
          <w:highlight w:val="none"/>
          <w:lang w:eastAsia="zh-CN"/>
        </w:rPr>
        <w:t>实现</w:t>
      </w:r>
      <w:r>
        <w:rPr>
          <w:rFonts w:hint="eastAsia" w:ascii="方正仿宋_GBK" w:hAnsi="方正仿宋_GBK" w:eastAsia="方正仿宋_GBK" w:cs="方正仿宋_GBK"/>
          <w:i w:val="0"/>
          <w:caps w:val="0"/>
          <w:color w:val="auto"/>
          <w:spacing w:val="0"/>
          <w:sz w:val="32"/>
          <w:szCs w:val="32"/>
          <w:highlight w:val="none"/>
        </w:rPr>
        <w:t>对本市户籍的纳入分散供养特困人员</w:t>
      </w:r>
      <w:r>
        <w:rPr>
          <w:rFonts w:hint="eastAsia" w:ascii="方正仿宋_GBK" w:hAnsi="方正仿宋_GBK" w:eastAsia="方正仿宋_GBK" w:cs="方正仿宋_GBK"/>
          <w:i w:val="0"/>
          <w:caps w:val="0"/>
          <w:color w:val="auto"/>
          <w:spacing w:val="0"/>
          <w:sz w:val="32"/>
          <w:szCs w:val="32"/>
          <w:highlight w:val="none"/>
          <w:lang w:eastAsia="zh-CN"/>
        </w:rPr>
        <w:t>、城乡最低生活保障对象</w:t>
      </w:r>
      <w:r>
        <w:rPr>
          <w:rFonts w:hint="eastAsia" w:ascii="方正仿宋_GBK" w:hAnsi="方正仿宋_GBK" w:eastAsia="方正仿宋_GBK" w:cs="方正仿宋_GBK"/>
          <w:i w:val="0"/>
          <w:caps w:val="0"/>
          <w:color w:val="auto"/>
          <w:spacing w:val="0"/>
          <w:sz w:val="32"/>
          <w:szCs w:val="32"/>
          <w:highlight w:val="none"/>
        </w:rPr>
        <w:t>和原建档立卡贫困人口范围的高龄、失能、残疾老年人家庭实施适老化家居环境改造</w:t>
      </w:r>
      <w:r>
        <w:rPr>
          <w:rFonts w:hint="eastAsia" w:ascii="方正仿宋_GBK" w:hAnsi="方正仿宋_GBK" w:eastAsia="方正仿宋_GBK" w:cs="方正仿宋_GBK"/>
          <w:i w:val="0"/>
          <w:caps w:val="0"/>
          <w:color w:val="auto"/>
          <w:spacing w:val="0"/>
          <w:sz w:val="32"/>
          <w:szCs w:val="32"/>
          <w:highlight w:val="none"/>
          <w:lang w:eastAsia="zh-CN"/>
        </w:rPr>
        <w:t>全覆盖</w:t>
      </w:r>
      <w:r>
        <w:rPr>
          <w:rFonts w:hint="eastAsia" w:ascii="方正仿宋_GBK" w:hAnsi="方正仿宋_GBK" w:eastAsia="方正仿宋_GBK" w:cs="方正仿宋_GBK"/>
          <w:i w:val="0"/>
          <w:caps w:val="0"/>
          <w:color w:val="auto"/>
          <w:spacing w:val="0"/>
          <w:sz w:val="32"/>
          <w:szCs w:val="32"/>
          <w:highlight w:val="none"/>
        </w:rPr>
        <w:t>，</w:t>
      </w:r>
      <w:r>
        <w:rPr>
          <w:rFonts w:hint="eastAsia" w:ascii="方正仿宋_GBK" w:hAnsi="方正仿宋_GBK" w:eastAsia="方正仿宋_GBK" w:cs="方正仿宋_GBK"/>
          <w:i w:val="0"/>
          <w:caps w:val="0"/>
          <w:color w:val="auto"/>
          <w:spacing w:val="0"/>
          <w:sz w:val="32"/>
          <w:szCs w:val="32"/>
          <w:highlight w:val="none"/>
          <w:lang w:eastAsia="zh-CN"/>
        </w:rPr>
        <w:t>积极</w:t>
      </w:r>
      <w:r>
        <w:rPr>
          <w:rFonts w:hint="eastAsia" w:ascii="方正仿宋_GBK" w:hAnsi="方正仿宋_GBK" w:eastAsia="方正仿宋_GBK" w:cs="方正仿宋_GBK"/>
          <w:i w:val="0"/>
          <w:caps w:val="0"/>
          <w:color w:val="auto"/>
          <w:spacing w:val="0"/>
          <w:sz w:val="32"/>
          <w:szCs w:val="32"/>
          <w:highlight w:val="none"/>
        </w:rPr>
        <w:t>引导社会家庭开展居家环境适老化改造。</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方正仿宋_GBK" w:hAnsi="方正仿宋_GBK" w:eastAsia="方正仿宋_GBK" w:cs="方正仿宋_GBK"/>
          <w:i w:val="0"/>
          <w:caps w:val="0"/>
          <w:color w:val="auto"/>
          <w:spacing w:val="0"/>
          <w:sz w:val="32"/>
          <w:szCs w:val="32"/>
          <w:highlight w:val="none"/>
          <w:lang w:eastAsia="zh-CN"/>
        </w:rPr>
      </w:pPr>
      <w:r>
        <w:rPr>
          <w:rFonts w:hint="eastAsia" w:ascii="方正仿宋_GBK" w:hAnsi="方正仿宋_GBK" w:eastAsia="方正仿宋_GBK" w:cs="方正仿宋_GBK"/>
          <w:i w:val="0"/>
          <w:caps w:val="0"/>
          <w:color w:val="auto"/>
          <w:spacing w:val="0"/>
          <w:sz w:val="32"/>
          <w:szCs w:val="32"/>
          <w:highlight w:val="none"/>
          <w:lang w:eastAsia="zh-CN"/>
        </w:rPr>
        <w:t>健全信息网络。发挥江门市居家养老助残服务“平安通”项目在保障老年人居家生命安全、加强社区高龄独居老人与农村留守老年人定期巡防、防范化解重大安全风险等方面的积极作用，力争到 202</w:t>
      </w:r>
      <w:r>
        <w:rPr>
          <w:rFonts w:hint="eastAsia" w:ascii="方正仿宋_GBK" w:hAnsi="方正仿宋_GBK" w:eastAsia="方正仿宋_GBK" w:cs="方正仿宋_GBK"/>
          <w:i w:val="0"/>
          <w:caps w:val="0"/>
          <w:color w:val="auto"/>
          <w:spacing w:val="0"/>
          <w:sz w:val="32"/>
          <w:szCs w:val="32"/>
          <w:highlight w:val="none"/>
          <w:lang w:val="en-US" w:eastAsia="zh-CN"/>
        </w:rPr>
        <w:t>5</w:t>
      </w:r>
      <w:r>
        <w:rPr>
          <w:rFonts w:hint="eastAsia" w:ascii="方正仿宋_GBK" w:hAnsi="方正仿宋_GBK" w:eastAsia="方正仿宋_GBK" w:cs="方正仿宋_GBK"/>
          <w:i w:val="0"/>
          <w:caps w:val="0"/>
          <w:color w:val="auto"/>
          <w:spacing w:val="0"/>
          <w:sz w:val="32"/>
          <w:szCs w:val="32"/>
          <w:highlight w:val="none"/>
          <w:lang w:eastAsia="zh-CN"/>
        </w:rPr>
        <w:t>年底，实现政府资助对象应急救援网络全覆盖，为老年人提供紧急援助、生活照料、情感慰藉以及政策咨询等的专业化服务。</w:t>
      </w:r>
      <w:r>
        <w:rPr>
          <w:rFonts w:hint="eastAsia" w:ascii="方正仿宋_GBK" w:hAnsi="方正仿宋_GBK" w:eastAsia="方正仿宋_GBK" w:cs="方正仿宋_GBK"/>
          <w:sz w:val="32"/>
          <w:szCs w:val="32"/>
          <w:highlight w:val="none"/>
          <w:lang w:bidi="zh-CN"/>
        </w:rPr>
        <w:t>推进居家养老助残服务“平安通”平台提质扩面，发展“平安通”平台线上线下服务。建设“平安通1+7”服务中心，建立“平安通”平台与镇（街）、村（社区）居家养老服务站、养老机构联动机制，实现资源共享、服务对接、双向转介、数据动态管理，形成“线上”“线下”互动合力。</w:t>
      </w:r>
    </w:p>
    <w:p>
      <w:pPr>
        <w:pStyle w:val="1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left"/>
        <w:textAlignment w:val="auto"/>
        <w:rPr>
          <w:rFonts w:hint="eastAsia" w:ascii="方正仿宋_GBK" w:hAnsi="方正仿宋_GBK" w:eastAsia="方正仿宋_GBK" w:cs="方正仿宋_GBK"/>
          <w:b/>
          <w:bCs/>
          <w:i w:val="0"/>
          <w:caps w:val="0"/>
          <w:color w:val="auto"/>
          <w:spacing w:val="0"/>
          <w:sz w:val="32"/>
          <w:szCs w:val="32"/>
          <w:highlight w:val="none"/>
          <w:lang w:val="en-US" w:eastAsia="zh-CN"/>
        </w:rPr>
      </w:pPr>
      <w:r>
        <w:rPr>
          <w:rFonts w:hint="eastAsia" w:ascii="方正仿宋_GBK" w:hAnsi="方正仿宋_GBK" w:eastAsia="方正仿宋_GBK" w:cs="方正仿宋_GBK"/>
          <w:i w:val="0"/>
          <w:caps w:val="0"/>
          <w:color w:val="auto"/>
          <w:spacing w:val="0"/>
          <w:sz w:val="32"/>
          <w:szCs w:val="32"/>
          <w:highlight w:val="none"/>
        </w:rPr>
        <w:t>支持居家</w:t>
      </w:r>
      <w:r>
        <w:rPr>
          <w:rFonts w:hint="eastAsia" w:ascii="方正仿宋_GBK" w:hAnsi="方正仿宋_GBK" w:eastAsia="方正仿宋_GBK" w:cs="方正仿宋_GBK"/>
          <w:i w:val="0"/>
          <w:caps w:val="0"/>
          <w:color w:val="auto"/>
          <w:spacing w:val="0"/>
          <w:sz w:val="32"/>
          <w:szCs w:val="32"/>
          <w:highlight w:val="none"/>
          <w:lang w:eastAsia="zh-CN"/>
        </w:rPr>
        <w:t>社区</w:t>
      </w:r>
      <w:r>
        <w:rPr>
          <w:rFonts w:hint="eastAsia" w:ascii="方正仿宋_GBK" w:hAnsi="方正仿宋_GBK" w:eastAsia="方正仿宋_GBK" w:cs="方正仿宋_GBK"/>
          <w:i w:val="0"/>
          <w:caps w:val="0"/>
          <w:color w:val="auto"/>
          <w:spacing w:val="0"/>
          <w:sz w:val="32"/>
          <w:szCs w:val="32"/>
          <w:highlight w:val="none"/>
        </w:rPr>
        <w:t>养老</w:t>
      </w:r>
      <w:r>
        <w:rPr>
          <w:rFonts w:hint="eastAsia" w:ascii="方正仿宋_GBK" w:hAnsi="方正仿宋_GBK" w:eastAsia="方正仿宋_GBK" w:cs="方正仿宋_GBK"/>
          <w:i w:val="0"/>
          <w:caps w:val="0"/>
          <w:color w:val="auto"/>
          <w:spacing w:val="0"/>
          <w:sz w:val="32"/>
          <w:szCs w:val="32"/>
          <w:highlight w:val="none"/>
          <w:lang w:eastAsia="zh-CN"/>
        </w:rPr>
        <w:t>产业发展</w:t>
      </w:r>
      <w:r>
        <w:rPr>
          <w:rFonts w:hint="eastAsia" w:ascii="方正仿宋_GBK" w:hAnsi="方正仿宋_GBK" w:eastAsia="方正仿宋_GBK" w:cs="方正仿宋_GBK"/>
          <w:i w:val="0"/>
          <w:caps w:val="0"/>
          <w:color w:val="auto"/>
          <w:spacing w:val="0"/>
          <w:sz w:val="32"/>
          <w:szCs w:val="32"/>
          <w:highlight w:val="none"/>
        </w:rPr>
        <w:t>。鼓励社会力量</w:t>
      </w:r>
      <w:r>
        <w:rPr>
          <w:rFonts w:hint="eastAsia" w:ascii="方正仿宋_GBK" w:hAnsi="方正仿宋_GBK" w:eastAsia="方正仿宋_GBK" w:cs="方正仿宋_GBK"/>
          <w:i w:val="0"/>
          <w:caps w:val="0"/>
          <w:color w:val="auto"/>
          <w:spacing w:val="0"/>
          <w:sz w:val="32"/>
          <w:szCs w:val="32"/>
          <w:highlight w:val="none"/>
          <w:lang w:val="en-US" w:eastAsia="zh-CN"/>
        </w:rPr>
        <w:t>参与</w:t>
      </w:r>
      <w:r>
        <w:rPr>
          <w:rFonts w:hint="eastAsia" w:ascii="方正仿宋_GBK" w:hAnsi="方正仿宋_GBK" w:eastAsia="方正仿宋_GBK" w:cs="方正仿宋_GBK"/>
          <w:i w:val="0"/>
          <w:caps w:val="0"/>
          <w:color w:val="auto"/>
          <w:spacing w:val="0"/>
          <w:sz w:val="32"/>
          <w:szCs w:val="32"/>
          <w:highlight w:val="none"/>
        </w:rPr>
        <w:t>为社区老年人开展日间照料、</w:t>
      </w:r>
      <w:r>
        <w:rPr>
          <w:rFonts w:hint="eastAsia" w:ascii="方正仿宋_GBK" w:hAnsi="方正仿宋_GBK" w:eastAsia="方正仿宋_GBK" w:cs="方正仿宋_GBK"/>
          <w:i w:val="0"/>
          <w:caps w:val="0"/>
          <w:color w:val="auto"/>
          <w:spacing w:val="0"/>
          <w:sz w:val="32"/>
          <w:szCs w:val="32"/>
          <w:highlight w:val="none"/>
          <w:lang w:eastAsia="zh-CN"/>
        </w:rPr>
        <w:t>护理保健</w:t>
      </w:r>
      <w:r>
        <w:rPr>
          <w:rFonts w:hint="eastAsia" w:ascii="方正仿宋_GBK" w:hAnsi="方正仿宋_GBK" w:eastAsia="方正仿宋_GBK" w:cs="方正仿宋_GBK"/>
          <w:i w:val="0"/>
          <w:caps w:val="0"/>
          <w:color w:val="auto"/>
          <w:spacing w:val="0"/>
          <w:sz w:val="32"/>
          <w:szCs w:val="32"/>
          <w:highlight w:val="none"/>
        </w:rPr>
        <w:t>、助餐助行、老年教育</w:t>
      </w:r>
      <w:r>
        <w:rPr>
          <w:rFonts w:hint="eastAsia" w:ascii="方正仿宋_GBK" w:hAnsi="方正仿宋_GBK" w:eastAsia="方正仿宋_GBK" w:cs="方正仿宋_GBK"/>
          <w:i w:val="0"/>
          <w:caps w:val="0"/>
          <w:color w:val="auto"/>
          <w:spacing w:val="0"/>
          <w:sz w:val="32"/>
          <w:szCs w:val="32"/>
          <w:highlight w:val="none"/>
          <w:lang w:eastAsia="zh-CN"/>
        </w:rPr>
        <w:t>、精神慰藉、陪诊转介</w:t>
      </w:r>
      <w:r>
        <w:rPr>
          <w:rFonts w:hint="eastAsia" w:ascii="方正仿宋_GBK" w:hAnsi="方正仿宋_GBK" w:eastAsia="方正仿宋_GBK" w:cs="方正仿宋_GBK"/>
          <w:i w:val="0"/>
          <w:caps w:val="0"/>
          <w:color w:val="auto"/>
          <w:spacing w:val="0"/>
          <w:sz w:val="32"/>
          <w:szCs w:val="32"/>
          <w:highlight w:val="none"/>
        </w:rPr>
        <w:t>等服务。支持居家社区养</w:t>
      </w:r>
      <w:bookmarkStart w:id="6" w:name="_GoBack"/>
      <w:bookmarkEnd w:id="6"/>
      <w:r>
        <w:rPr>
          <w:rFonts w:hint="eastAsia" w:ascii="方正仿宋_GBK" w:hAnsi="方正仿宋_GBK" w:eastAsia="方正仿宋_GBK" w:cs="方正仿宋_GBK"/>
          <w:i w:val="0"/>
          <w:caps w:val="0"/>
          <w:color w:val="auto"/>
          <w:spacing w:val="0"/>
          <w:sz w:val="32"/>
          <w:szCs w:val="32"/>
          <w:highlight w:val="none"/>
        </w:rPr>
        <w:t>老站点或物业服务企业提供助餐送餐等为老服务</w:t>
      </w:r>
      <w:r>
        <w:rPr>
          <w:rFonts w:hint="eastAsia" w:ascii="方正仿宋_GBK" w:hAnsi="方正仿宋_GBK" w:eastAsia="方正仿宋_GBK" w:cs="方正仿宋_GBK"/>
          <w:i w:val="0"/>
          <w:caps w:val="0"/>
          <w:color w:val="auto"/>
          <w:spacing w:val="0"/>
          <w:sz w:val="32"/>
          <w:szCs w:val="32"/>
          <w:highlight w:val="none"/>
          <w:lang w:eastAsia="zh-CN"/>
        </w:rPr>
        <w:t>，</w:t>
      </w:r>
      <w:r>
        <w:rPr>
          <w:rFonts w:hint="eastAsia" w:ascii="方正仿宋_GBK" w:hAnsi="方正仿宋_GBK" w:eastAsia="方正仿宋_GBK" w:cs="方正仿宋_GBK"/>
          <w:i w:val="0"/>
          <w:caps w:val="0"/>
          <w:color w:val="auto"/>
          <w:spacing w:val="0"/>
          <w:sz w:val="32"/>
          <w:szCs w:val="32"/>
          <w:highlight w:val="none"/>
        </w:rPr>
        <w:t>扩大助餐配送餐服务覆盖面。</w:t>
      </w:r>
    </w:p>
    <w:p>
      <w:pPr>
        <w:pStyle w:val="1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rightChars="0" w:firstLine="643" w:firstLineChars="200"/>
        <w:jc w:val="both"/>
        <w:textAlignment w:val="auto"/>
        <w:rPr>
          <w:rFonts w:hint="eastAsia" w:ascii="方正仿宋_GBK" w:hAnsi="方正仿宋_GBK" w:eastAsia="方正仿宋_GBK" w:cs="方正仿宋_GBK"/>
          <w:i w:val="0"/>
          <w:caps w:val="0"/>
          <w:color w:val="auto"/>
          <w:spacing w:val="0"/>
          <w:sz w:val="32"/>
          <w:szCs w:val="32"/>
          <w:highlight w:val="none"/>
          <w:lang w:eastAsia="zh-CN"/>
        </w:rPr>
      </w:pPr>
      <w:r>
        <w:rPr>
          <w:rStyle w:val="37"/>
          <w:rFonts w:hint="eastAsia" w:ascii="方正仿宋_GBK" w:hAnsi="方正仿宋_GBK" w:eastAsia="方正仿宋_GBK" w:cs="方正仿宋_GBK"/>
          <w:color w:val="auto"/>
          <w:sz w:val="32"/>
          <w:szCs w:val="32"/>
          <w:highlight w:val="none"/>
          <w:lang w:val="en-US" w:eastAsia="zh-CN"/>
        </w:rPr>
        <w:t>8.提高运营服务水平</w:t>
      </w:r>
      <w:r>
        <w:rPr>
          <w:rFonts w:hint="eastAsia" w:ascii="方正仿宋_GBK" w:hAnsi="方正仿宋_GBK" w:eastAsia="方正仿宋_GBK" w:cs="方正仿宋_GBK"/>
          <w:i w:val="0"/>
          <w:caps w:val="0"/>
          <w:color w:val="auto"/>
          <w:spacing w:val="0"/>
          <w:sz w:val="32"/>
          <w:szCs w:val="32"/>
          <w:highlight w:val="none"/>
        </w:rPr>
        <w:t>。深化居家和社区养老服务改革试点。完善居家和社区养老服务设施长效运行机制。推动居家、社区与机构养老融合发展，支持专业养老机构运营居家养老服务机构，将服务延伸到居家社区。打造以社区为平台、社会组织为载体、社会工作者为支撑的居家社区养老服务“三社联动”机制。鼓励居家和社区养老设施与社区医疗、康复、文体等设施资源共享，深度融合社区养老与社区医疗、康复、文体、家政等服务。</w:t>
      </w:r>
      <w:r>
        <w:rPr>
          <w:rFonts w:hint="eastAsia" w:ascii="方正仿宋_GBK" w:hAnsi="方正仿宋_GBK" w:eastAsia="方正仿宋_GBK" w:cs="方正仿宋_GBK"/>
          <w:i w:val="0"/>
          <w:caps w:val="0"/>
          <w:color w:val="auto"/>
          <w:spacing w:val="0"/>
          <w:sz w:val="32"/>
          <w:szCs w:val="32"/>
          <w:highlight w:val="none"/>
          <w:lang w:eastAsia="zh-CN"/>
        </w:rPr>
        <w:t>加快推进在乡镇（街道）层面设立具备全托、日托、上门服务、对下指导等综合功能的综合养老服务中心，增加城乡社区嵌入式、综合性、多功能、普惠性优质养老服务供给，满足老年人就近就便的养老服务需求</w:t>
      </w:r>
      <w:r>
        <w:rPr>
          <w:rFonts w:hint="eastAsia" w:ascii="方正仿宋_GBK" w:hAnsi="方正仿宋_GBK" w:eastAsia="方正仿宋_GBK" w:cs="方正仿宋_GBK"/>
          <w:i w:val="0"/>
          <w:caps w:val="0"/>
          <w:color w:val="auto"/>
          <w:spacing w:val="0"/>
          <w:sz w:val="32"/>
          <w:szCs w:val="32"/>
          <w:highlight w:val="none"/>
        </w:rPr>
        <w:t>。</w:t>
      </w:r>
      <w:r>
        <w:rPr>
          <w:rFonts w:hint="eastAsia" w:ascii="方正仿宋_GBK" w:hAnsi="方正仿宋_GBK" w:eastAsia="方正仿宋_GBK" w:cs="方正仿宋_GBK"/>
          <w:i w:val="0"/>
          <w:caps w:val="0"/>
          <w:color w:val="auto"/>
          <w:spacing w:val="0"/>
          <w:sz w:val="32"/>
          <w:szCs w:val="32"/>
          <w:highlight w:val="none"/>
          <w:lang w:eastAsia="zh-CN"/>
        </w:rPr>
        <w:t>推动</w:t>
      </w:r>
      <w:r>
        <w:rPr>
          <w:rFonts w:hint="eastAsia" w:ascii="方正仿宋_GBK" w:hAnsi="方正仿宋_GBK" w:eastAsia="方正仿宋_GBK" w:cs="方正仿宋_GBK"/>
          <w:i w:val="0"/>
          <w:caps w:val="0"/>
          <w:color w:val="auto"/>
          <w:spacing w:val="0"/>
          <w:sz w:val="32"/>
          <w:szCs w:val="32"/>
          <w:highlight w:val="none"/>
        </w:rPr>
        <w:t>有条件的镇</w:t>
      </w:r>
      <w:r>
        <w:rPr>
          <w:rFonts w:hint="eastAsia" w:ascii="方正仿宋_GBK" w:hAnsi="方正仿宋_GBK" w:eastAsia="方正仿宋_GBK" w:cs="方正仿宋_GBK"/>
          <w:i w:val="0"/>
          <w:caps w:val="0"/>
          <w:color w:val="auto"/>
          <w:spacing w:val="0"/>
          <w:sz w:val="32"/>
          <w:szCs w:val="32"/>
          <w:highlight w:val="none"/>
          <w:lang w:eastAsia="zh-CN"/>
        </w:rPr>
        <w:t>（街）</w:t>
      </w:r>
      <w:r>
        <w:rPr>
          <w:rFonts w:hint="eastAsia" w:ascii="方正仿宋_GBK" w:hAnsi="方正仿宋_GBK" w:eastAsia="方正仿宋_GBK" w:cs="方正仿宋_GBK"/>
          <w:i w:val="0"/>
          <w:caps w:val="0"/>
          <w:color w:val="auto"/>
          <w:spacing w:val="0"/>
          <w:sz w:val="32"/>
          <w:szCs w:val="32"/>
          <w:highlight w:val="none"/>
        </w:rPr>
        <w:t>建有至少1家具备全托、日托、上门服务、协调指导等功能的综合性养老服务机构（中心）；到2023年，全市镇（街）范围具备综合功能的养老服务机构覆盖率达40%以上；到2025年，全市镇（街）范围具备综合功能的养老服务机构覆盖率达60%以上。</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firstLine="643" w:firstLineChars="200"/>
        <w:jc w:val="left"/>
        <w:textAlignment w:val="auto"/>
        <w:rPr>
          <w:rFonts w:hint="eastAsia" w:ascii="方正仿宋_GBK" w:hAnsi="方正仿宋_GBK" w:eastAsia="方正仿宋_GBK" w:cs="方正仿宋_GBK"/>
          <w:i w:val="0"/>
          <w:caps w:val="0"/>
          <w:color w:val="auto"/>
          <w:spacing w:val="0"/>
          <w:sz w:val="32"/>
          <w:szCs w:val="32"/>
          <w:highlight w:val="none"/>
        </w:rPr>
      </w:pPr>
      <w:r>
        <w:rPr>
          <w:rStyle w:val="37"/>
          <w:rFonts w:hint="eastAsia" w:ascii="方正仿宋_GBK" w:hAnsi="方正仿宋_GBK" w:eastAsia="方正仿宋_GBK" w:cs="方正仿宋_GBK"/>
          <w:color w:val="auto"/>
          <w:sz w:val="32"/>
          <w:szCs w:val="32"/>
          <w:highlight w:val="none"/>
          <w:lang w:val="en-US" w:eastAsia="zh-CN"/>
        </w:rPr>
        <w:t>9.补足农村居家养老服务短板</w:t>
      </w:r>
      <w:r>
        <w:rPr>
          <w:rFonts w:hint="eastAsia" w:ascii="方正仿宋_GBK" w:hAnsi="方正仿宋_GBK" w:eastAsia="方正仿宋_GBK" w:cs="方正仿宋_GBK"/>
          <w:b/>
          <w:bCs/>
          <w:i w:val="0"/>
          <w:caps w:val="0"/>
          <w:color w:val="auto"/>
          <w:spacing w:val="0"/>
          <w:sz w:val="32"/>
          <w:szCs w:val="32"/>
          <w:highlight w:val="none"/>
        </w:rPr>
        <w:t>。</w:t>
      </w:r>
      <w:r>
        <w:rPr>
          <w:rFonts w:hint="eastAsia" w:ascii="方正仿宋_GBK" w:hAnsi="方正仿宋_GBK" w:eastAsia="方正仿宋_GBK" w:cs="方正仿宋_GBK"/>
          <w:i w:val="0"/>
          <w:caps w:val="0"/>
          <w:color w:val="auto"/>
          <w:spacing w:val="0"/>
          <w:sz w:val="32"/>
          <w:szCs w:val="32"/>
          <w:highlight w:val="none"/>
        </w:rPr>
        <w:t>坚持“分级建设、规模适度”的原则，</w:t>
      </w:r>
      <w:r>
        <w:rPr>
          <w:rFonts w:hint="eastAsia" w:ascii="方正仿宋_GBK" w:hAnsi="方正仿宋_GBK" w:eastAsia="方正仿宋_GBK" w:cs="方正仿宋_GBK"/>
          <w:i w:val="0"/>
          <w:caps w:val="0"/>
          <w:color w:val="auto"/>
          <w:spacing w:val="0"/>
          <w:sz w:val="32"/>
          <w:szCs w:val="32"/>
          <w:highlight w:val="none"/>
          <w:lang w:val="en-US" w:eastAsia="zh-CN"/>
        </w:rPr>
        <w:t>构建农村居家养老服务网络</w:t>
      </w:r>
      <w:r>
        <w:rPr>
          <w:rFonts w:hint="eastAsia" w:ascii="方正仿宋_GBK" w:hAnsi="方正仿宋_GBK" w:eastAsia="方正仿宋_GBK" w:cs="方正仿宋_GBK"/>
          <w:i w:val="0"/>
          <w:caps w:val="0"/>
          <w:color w:val="auto"/>
          <w:spacing w:val="0"/>
          <w:sz w:val="32"/>
          <w:szCs w:val="32"/>
          <w:highlight w:val="none"/>
        </w:rPr>
        <w:t>，实现资源共享</w:t>
      </w:r>
      <w:r>
        <w:rPr>
          <w:rFonts w:hint="eastAsia" w:ascii="方正仿宋_GBK" w:hAnsi="方正仿宋_GBK" w:eastAsia="方正仿宋_GBK" w:cs="方正仿宋_GBK"/>
          <w:i w:val="0"/>
          <w:caps w:val="0"/>
          <w:color w:val="auto"/>
          <w:spacing w:val="0"/>
          <w:sz w:val="32"/>
          <w:szCs w:val="32"/>
          <w:highlight w:val="none"/>
          <w:lang w:eastAsia="zh-CN"/>
        </w:rPr>
        <w:t>。</w:t>
      </w:r>
      <w:r>
        <w:rPr>
          <w:rFonts w:hint="eastAsia" w:ascii="方正仿宋_GBK" w:hAnsi="方正仿宋_GBK" w:eastAsia="方正仿宋_GBK" w:cs="方正仿宋_GBK"/>
          <w:i w:val="0"/>
          <w:caps w:val="0"/>
          <w:color w:val="auto"/>
          <w:spacing w:val="0"/>
          <w:sz w:val="32"/>
          <w:szCs w:val="32"/>
          <w:highlight w:val="none"/>
        </w:rPr>
        <w:t>整合农村幸福院等设施</w:t>
      </w:r>
      <w:r>
        <w:rPr>
          <w:rFonts w:hint="eastAsia" w:ascii="方正仿宋_GBK" w:hAnsi="方正仿宋_GBK" w:eastAsia="方正仿宋_GBK" w:cs="方正仿宋_GBK"/>
          <w:i w:val="0"/>
          <w:caps w:val="0"/>
          <w:color w:val="auto"/>
          <w:spacing w:val="0"/>
          <w:sz w:val="32"/>
          <w:szCs w:val="32"/>
          <w:highlight w:val="none"/>
          <w:lang w:eastAsia="zh-CN"/>
        </w:rPr>
        <w:t>，</w:t>
      </w:r>
      <w:r>
        <w:rPr>
          <w:rFonts w:hint="eastAsia" w:ascii="方正仿宋_GBK" w:hAnsi="方正仿宋_GBK" w:eastAsia="方正仿宋_GBK" w:cs="方正仿宋_GBK"/>
          <w:i w:val="0"/>
          <w:caps w:val="0"/>
          <w:color w:val="auto"/>
          <w:spacing w:val="0"/>
          <w:sz w:val="32"/>
          <w:szCs w:val="32"/>
          <w:highlight w:val="none"/>
        </w:rPr>
        <w:t>利用闲置学校、祠堂等资源用于农村居家养老发展</w:t>
      </w:r>
      <w:r>
        <w:rPr>
          <w:rFonts w:hint="eastAsia" w:ascii="方正仿宋_GBK" w:hAnsi="方正仿宋_GBK" w:eastAsia="方正仿宋_GBK" w:cs="方正仿宋_GBK"/>
          <w:i w:val="0"/>
          <w:caps w:val="0"/>
          <w:color w:val="auto"/>
          <w:spacing w:val="0"/>
          <w:sz w:val="32"/>
          <w:szCs w:val="32"/>
          <w:highlight w:val="none"/>
          <w:lang w:eastAsia="zh-CN"/>
        </w:rPr>
        <w:t>，打造农村社区养老服务平台或居家养老服务站点。</w:t>
      </w:r>
      <w:r>
        <w:rPr>
          <w:rFonts w:hint="eastAsia" w:ascii="方正仿宋_GBK" w:hAnsi="方正仿宋_GBK" w:eastAsia="方正仿宋_GBK" w:cs="方正仿宋_GBK"/>
          <w:i w:val="0"/>
          <w:caps w:val="0"/>
          <w:color w:val="auto"/>
          <w:spacing w:val="0"/>
          <w:sz w:val="32"/>
          <w:szCs w:val="32"/>
          <w:highlight w:val="none"/>
        </w:rPr>
        <w:t>发挥村民委员会、</w:t>
      </w:r>
      <w:r>
        <w:rPr>
          <w:rFonts w:hint="eastAsia" w:ascii="方正仿宋_GBK" w:hAnsi="方正仿宋_GBK" w:eastAsia="方正仿宋_GBK" w:cs="方正仿宋_GBK"/>
          <w:i w:val="0"/>
          <w:caps w:val="0"/>
          <w:color w:val="auto"/>
          <w:spacing w:val="0"/>
          <w:sz w:val="32"/>
          <w:szCs w:val="32"/>
          <w:highlight w:val="none"/>
          <w:lang w:eastAsia="zh-CN"/>
        </w:rPr>
        <w:t>老年协会</w:t>
      </w:r>
      <w:r>
        <w:rPr>
          <w:rFonts w:hint="eastAsia" w:ascii="方正仿宋_GBK" w:hAnsi="方正仿宋_GBK" w:eastAsia="方正仿宋_GBK" w:cs="方正仿宋_GBK"/>
          <w:i w:val="0"/>
          <w:caps w:val="0"/>
          <w:color w:val="auto"/>
          <w:spacing w:val="0"/>
          <w:sz w:val="32"/>
          <w:szCs w:val="32"/>
          <w:highlight w:val="none"/>
        </w:rPr>
        <w:t>等组织自主管理作用，鼓励农村妇女、低龄健康老年人等群体照护高龄、失能失智老年人。建立农村留守空巢老年人关爱制度，定期开展日常探视巡访</w:t>
      </w:r>
      <w:r>
        <w:rPr>
          <w:rFonts w:hint="eastAsia" w:ascii="方正仿宋_GBK" w:hAnsi="方正仿宋_GBK" w:eastAsia="方正仿宋_GBK" w:cs="方正仿宋_GBK"/>
          <w:i w:val="0"/>
          <w:caps w:val="0"/>
          <w:color w:val="auto"/>
          <w:spacing w:val="0"/>
          <w:sz w:val="32"/>
          <w:szCs w:val="32"/>
          <w:highlight w:val="none"/>
          <w:lang w:eastAsia="zh-CN"/>
        </w:rPr>
        <w:t>，</w:t>
      </w:r>
      <w:r>
        <w:rPr>
          <w:rFonts w:hint="eastAsia" w:ascii="方正仿宋_GBK" w:hAnsi="方正仿宋_GBK" w:eastAsia="方正仿宋_GBK" w:cs="方正仿宋_GBK"/>
          <w:i w:val="0"/>
          <w:caps w:val="0"/>
          <w:color w:val="auto"/>
          <w:spacing w:val="0"/>
          <w:sz w:val="32"/>
          <w:szCs w:val="32"/>
          <w:highlight w:val="none"/>
        </w:rPr>
        <w:t>提供援助服务。</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firstLine="643" w:firstLineChars="200"/>
        <w:jc w:val="left"/>
        <w:textAlignment w:val="auto"/>
        <w:rPr>
          <w:rFonts w:hint="eastAsia" w:ascii="方正仿宋_GBK" w:hAnsi="方正仿宋_GBK" w:eastAsia="方正仿宋_GBK" w:cs="方正仿宋_GBK"/>
          <w:i w:val="0"/>
          <w:caps w:val="0"/>
          <w:color w:val="auto"/>
          <w:spacing w:val="0"/>
          <w:sz w:val="32"/>
          <w:szCs w:val="32"/>
          <w:highlight w:val="none"/>
        </w:rPr>
      </w:pPr>
      <w:r>
        <w:rPr>
          <w:rFonts w:hint="eastAsia" w:ascii="方正仿宋_GBK" w:hAnsi="方正仿宋_GBK" w:eastAsia="方正仿宋_GBK" w:cs="方正仿宋_GBK"/>
          <w:b/>
          <w:bCs/>
          <w:i w:val="0"/>
          <w:caps w:val="0"/>
          <w:color w:val="auto"/>
          <w:spacing w:val="0"/>
          <w:sz w:val="32"/>
          <w:szCs w:val="32"/>
          <w:highlight w:val="none"/>
          <w:lang w:val="en-US" w:eastAsia="zh-CN"/>
        </w:rPr>
        <w:t>10.</w:t>
      </w:r>
      <w:r>
        <w:rPr>
          <w:rFonts w:hint="default" w:ascii="方正仿宋_GBK" w:hAnsi="方正仿宋_GBK" w:eastAsia="方正仿宋_GBK" w:cs="方正仿宋_GBK"/>
          <w:b/>
          <w:bCs/>
          <w:i w:val="0"/>
          <w:caps w:val="0"/>
          <w:color w:val="auto"/>
          <w:spacing w:val="0"/>
          <w:sz w:val="32"/>
          <w:szCs w:val="32"/>
          <w:highlight w:val="none"/>
          <w:lang w:val="en-US" w:eastAsia="zh-CN"/>
        </w:rPr>
        <w:t>发展为老志愿服务。</w:t>
      </w:r>
      <w:r>
        <w:rPr>
          <w:rFonts w:hint="default" w:ascii="方正仿宋_GBK" w:hAnsi="方正仿宋_GBK" w:eastAsia="方正仿宋_GBK" w:cs="方正仿宋_GBK"/>
          <w:i w:val="0"/>
          <w:caps w:val="0"/>
          <w:color w:val="auto"/>
          <w:spacing w:val="0"/>
          <w:sz w:val="32"/>
          <w:szCs w:val="32"/>
          <w:highlight w:val="none"/>
          <w:lang w:val="en-US" w:eastAsia="zh-CN"/>
        </w:rPr>
        <w:t>结合广东社工“双百工程”，依托乡镇（街道）社会工作服务站、村（居）社会工作服务点，通过社工扎根村居，为老年人等困难群体提供社会融入、能力提升、心理慰藉、精神疏导、资源链接、宣传倡导等专业化、精准化、精细化服务，切实加强基层养老力量和经办服务能力。大力培养为老服务社会工作者队伍，鼓励在养老服务机构中开发设置社会工作者岗位，为老年人提供专业化、精准化、精细化社会工作服务。扶持培育各类养老服务社会组织，配合支持各类为老志愿服务开展。以党建为引领，结合在职党员进社区活动，引导党员干部、社会工作者、志愿者、义工、健康低龄老年人等为失独、空巢、失能、留守老年人开展帮扶活动。</w:t>
      </w:r>
    </w:p>
    <w:tbl>
      <w:tblPr>
        <w:tblStyle w:val="19"/>
        <w:tblW w:w="8685" w:type="dxa"/>
        <w:tblInd w:w="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68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bCs/>
                <w:color w:val="auto"/>
                <w:sz w:val="28"/>
                <w:szCs w:val="28"/>
                <w:highlight w:val="none"/>
                <w:lang w:val="en-US" w:eastAsia="zh-CN"/>
              </w:rPr>
            </w:pPr>
            <w:r>
              <w:rPr>
                <w:rFonts w:hint="eastAsia" w:ascii="方正仿宋_GBK" w:hAnsi="方正仿宋_GBK" w:eastAsia="方正仿宋_GBK" w:cs="方正仿宋_GBK"/>
                <w:b/>
                <w:bCs/>
                <w:color w:val="auto"/>
                <w:sz w:val="28"/>
                <w:szCs w:val="28"/>
                <w:highlight w:val="none"/>
                <w:lang w:eastAsia="zh-CN"/>
              </w:rPr>
              <w:t>专栏</w:t>
            </w:r>
            <w:r>
              <w:rPr>
                <w:rFonts w:hint="eastAsia" w:ascii="方正仿宋_GBK" w:hAnsi="方正仿宋_GBK" w:eastAsia="方正仿宋_GBK" w:cs="方正仿宋_GBK"/>
                <w:b/>
                <w:bCs/>
                <w:color w:val="auto"/>
                <w:sz w:val="28"/>
                <w:szCs w:val="28"/>
                <w:highlight w:val="none"/>
                <w:lang w:val="en-US" w:eastAsia="zh-CN"/>
              </w:rPr>
              <w:t>6：“十四五”期间构建鹤山市社区“15分钟”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bCs/>
                <w:color w:val="auto"/>
                <w:spacing w:val="0"/>
                <w:sz w:val="24"/>
                <w:szCs w:val="24"/>
                <w:highlight w:val="none"/>
                <w:lang w:val="en-US" w:eastAsia="zh-CN"/>
              </w:rPr>
            </w:pPr>
            <w:r>
              <w:rPr>
                <w:rFonts w:hint="eastAsia" w:ascii="方正仿宋_GBK" w:hAnsi="方正仿宋_GBK" w:eastAsia="方正仿宋_GBK" w:cs="方正仿宋_GBK"/>
                <w:b/>
                <w:bCs/>
                <w:color w:val="auto"/>
                <w:sz w:val="28"/>
                <w:szCs w:val="28"/>
                <w:highlight w:val="none"/>
                <w:lang w:val="en-US" w:eastAsia="zh-CN"/>
              </w:rPr>
              <w:t>居家养老服务圈目标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8685" w:type="dxa"/>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Cs/>
                <w:color w:val="auto"/>
                <w:sz w:val="28"/>
                <w:szCs w:val="28"/>
                <w:highlight w:val="none"/>
                <w:lang w:val="en-US" w:eastAsia="zh-CN"/>
              </w:rPr>
              <w:t>1.</w:t>
            </w:r>
            <w:r>
              <w:rPr>
                <w:rFonts w:hint="eastAsia" w:ascii="方正仿宋_GBK" w:hAnsi="方正仿宋_GBK" w:eastAsia="方正仿宋_GBK" w:cs="方正仿宋_GBK"/>
                <w:bCs/>
                <w:color w:val="auto"/>
                <w:sz w:val="28"/>
                <w:szCs w:val="28"/>
                <w:highlight w:val="none"/>
              </w:rPr>
              <w:t>到202</w:t>
            </w:r>
            <w:r>
              <w:rPr>
                <w:rFonts w:hint="eastAsia" w:ascii="方正仿宋_GBK" w:hAnsi="方正仿宋_GBK" w:eastAsia="方正仿宋_GBK" w:cs="方正仿宋_GBK"/>
                <w:bCs/>
                <w:color w:val="auto"/>
                <w:sz w:val="28"/>
                <w:szCs w:val="28"/>
                <w:highlight w:val="none"/>
                <w:lang w:val="en-US" w:eastAsia="zh-CN"/>
              </w:rPr>
              <w:t>5</w:t>
            </w:r>
            <w:r>
              <w:rPr>
                <w:rFonts w:hint="eastAsia" w:ascii="方正仿宋_GBK" w:hAnsi="方正仿宋_GBK" w:eastAsia="方正仿宋_GBK" w:cs="方正仿宋_GBK"/>
                <w:bCs/>
                <w:color w:val="auto"/>
                <w:sz w:val="28"/>
                <w:szCs w:val="28"/>
                <w:highlight w:val="none"/>
              </w:rPr>
              <w:t>年，新建城区、新建居住（小）区按照每百户不低于20平方米的标准配套建设养老服务设施。到2025年，旧城区和已建住宅小区按照每百户不低于15平方米的标准配置补齐养老服务设施。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Cs/>
                <w:color w:val="auto"/>
                <w:sz w:val="28"/>
                <w:szCs w:val="28"/>
                <w:highlight w:val="none"/>
                <w:lang w:val="en-US" w:eastAsia="zh-CN"/>
              </w:rPr>
              <w:t>2.推动有条件的镇（街）建有至少1家具备全托、日托、上门服务、协调指导等功能的综合性养老服务机构（中心）；到2023年，全市镇（街）范围具备综合功能的养老服务机构覆盖率达40%以上；到2025年，全市镇（街）范围具备综合功能的养老服务机构覆盖率达60%以上</w:t>
            </w:r>
            <w:r>
              <w:rPr>
                <w:rFonts w:hint="eastAsia" w:ascii="方正仿宋_GBK" w:hAnsi="方正仿宋_GBK" w:eastAsia="方正仿宋_GBK" w:cs="方正仿宋_GBK"/>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Cs/>
                <w:color w:val="auto"/>
                <w:sz w:val="28"/>
                <w:szCs w:val="28"/>
                <w:highlight w:val="none"/>
                <w:lang w:val="en-US" w:eastAsia="zh-CN"/>
              </w:rPr>
              <w:t>3.</w:t>
            </w:r>
            <w:r>
              <w:rPr>
                <w:rFonts w:hint="eastAsia" w:ascii="方正仿宋_GBK" w:hAnsi="方正仿宋_GBK" w:eastAsia="方正仿宋_GBK" w:cs="方正仿宋_GBK"/>
                <w:bCs/>
                <w:color w:val="auto"/>
                <w:sz w:val="28"/>
                <w:szCs w:val="28"/>
                <w:highlight w:val="none"/>
              </w:rPr>
              <w:t>持续推进居家养老“大配餐”、社区养老长者食堂等助餐配餐服务模式，健全完善助餐配餐服务点。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color w:val="auto"/>
                <w:sz w:val="28"/>
                <w:szCs w:val="28"/>
                <w:highlight w:val="none"/>
                <w:lang w:val="en-US" w:eastAsia="zh-CN"/>
              </w:rPr>
            </w:pPr>
            <w:r>
              <w:rPr>
                <w:rFonts w:hint="eastAsia" w:ascii="方正仿宋_GBK" w:hAnsi="方正仿宋_GBK" w:eastAsia="方正仿宋_GBK" w:cs="方正仿宋_GBK"/>
                <w:bCs/>
                <w:color w:val="auto"/>
                <w:sz w:val="28"/>
                <w:szCs w:val="28"/>
                <w:highlight w:val="none"/>
                <w:lang w:val="en-US" w:eastAsia="zh-CN"/>
              </w:rPr>
              <w:t>4.</w:t>
            </w:r>
            <w:r>
              <w:rPr>
                <w:rFonts w:hint="eastAsia" w:ascii="方正仿宋_GBK" w:hAnsi="方正仿宋_GBK" w:eastAsia="方正仿宋_GBK" w:cs="方正仿宋_GBK"/>
                <w:bCs/>
                <w:color w:val="auto"/>
                <w:sz w:val="28"/>
                <w:szCs w:val="28"/>
                <w:highlight w:val="none"/>
              </w:rPr>
              <w:t>依托居家养老服务“平安通”等建立健全居家老年人“一键呼救”紧急救援响应机制，保障居家老年人紧急救援应急需求。持续推进“平安通”服务扩面扩容。</w:t>
            </w:r>
            <w:r>
              <w:rPr>
                <w:rFonts w:hint="eastAsia" w:ascii="方正仿宋_GBK" w:hAnsi="方正仿宋_GBK" w:eastAsia="方正仿宋_GBK" w:cs="方正仿宋_GBK"/>
                <w:bCs/>
                <w:color w:val="auto"/>
                <w:sz w:val="28"/>
                <w:szCs w:val="28"/>
                <w:highlight w:val="none"/>
                <w:lang w:val="en-US" w:eastAsia="zh-CN"/>
              </w:rPr>
              <w:t>2022年前服务人数达到2750人。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Cs/>
                <w:color w:val="auto"/>
                <w:sz w:val="28"/>
                <w:szCs w:val="28"/>
                <w:highlight w:val="none"/>
                <w:lang w:val="en-US" w:eastAsia="zh-CN"/>
              </w:rPr>
              <w:t>5.</w:t>
            </w:r>
            <w:r>
              <w:rPr>
                <w:rFonts w:hint="eastAsia" w:ascii="方正仿宋_GBK" w:hAnsi="方正仿宋_GBK" w:eastAsia="方正仿宋_GBK" w:cs="方正仿宋_GBK"/>
                <w:bCs/>
                <w:color w:val="auto"/>
                <w:sz w:val="28"/>
                <w:szCs w:val="28"/>
                <w:highlight w:val="none"/>
              </w:rPr>
              <w:t>到2022年，全面建立居家社区老年人定期探访制度，重点关注特殊困难老年人，月探访率达到100%。</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color w:val="auto"/>
                <w:spacing w:val="0"/>
                <w:sz w:val="28"/>
                <w:szCs w:val="28"/>
                <w:highlight w:val="none"/>
              </w:rPr>
            </w:pPr>
            <w:r>
              <w:rPr>
                <w:rFonts w:hint="eastAsia" w:ascii="方正仿宋_GBK" w:hAnsi="方正仿宋_GBK" w:eastAsia="方正仿宋_GBK" w:cs="方正仿宋_GBK"/>
                <w:bCs/>
                <w:color w:val="auto"/>
                <w:spacing w:val="0"/>
                <w:sz w:val="28"/>
                <w:szCs w:val="28"/>
                <w:highlight w:val="none"/>
                <w:lang w:val="en-US" w:eastAsia="zh-CN"/>
              </w:rPr>
              <w:t>6.</w:t>
            </w:r>
            <w:r>
              <w:rPr>
                <w:rFonts w:hint="eastAsia" w:ascii="方正仿宋_GBK" w:hAnsi="方正仿宋_GBK" w:eastAsia="方正仿宋_GBK" w:cs="方正仿宋_GBK"/>
                <w:bCs/>
                <w:color w:val="auto"/>
                <w:spacing w:val="0"/>
                <w:sz w:val="28"/>
                <w:szCs w:val="28"/>
                <w:highlight w:val="none"/>
              </w:rPr>
              <w:t>“十四五”期间，</w:t>
            </w:r>
            <w:r>
              <w:rPr>
                <w:rFonts w:hint="eastAsia" w:ascii="方正仿宋_GBK" w:hAnsi="方正仿宋_GBK" w:eastAsia="方正仿宋_GBK" w:cs="方正仿宋_GBK"/>
                <w:bCs/>
                <w:color w:val="auto"/>
                <w:spacing w:val="0"/>
                <w:sz w:val="28"/>
                <w:szCs w:val="28"/>
                <w:highlight w:val="none"/>
                <w:lang w:eastAsia="zh-CN"/>
              </w:rPr>
              <w:t>全市</w:t>
            </w:r>
            <w:r>
              <w:rPr>
                <w:rFonts w:hint="eastAsia" w:ascii="方正仿宋_GBK" w:hAnsi="方正仿宋_GBK" w:eastAsia="方正仿宋_GBK" w:cs="方正仿宋_GBK"/>
                <w:bCs/>
                <w:color w:val="auto"/>
                <w:spacing w:val="0"/>
                <w:sz w:val="28"/>
                <w:szCs w:val="28"/>
                <w:highlight w:val="none"/>
              </w:rPr>
              <w:t>力争建成不少于</w:t>
            </w:r>
            <w:r>
              <w:rPr>
                <w:rFonts w:hint="eastAsia" w:ascii="方正仿宋_GBK" w:hAnsi="方正仿宋_GBK" w:eastAsia="方正仿宋_GBK" w:cs="方正仿宋_GBK"/>
                <w:bCs/>
                <w:color w:val="auto"/>
                <w:spacing w:val="0"/>
                <w:sz w:val="28"/>
                <w:szCs w:val="28"/>
                <w:highlight w:val="none"/>
                <w:u w:val="none"/>
                <w:lang w:val="en-US" w:eastAsia="zh-CN"/>
              </w:rPr>
              <w:t>3</w:t>
            </w:r>
            <w:r>
              <w:rPr>
                <w:rFonts w:hint="eastAsia" w:ascii="方正仿宋_GBK" w:hAnsi="方正仿宋_GBK" w:eastAsia="方正仿宋_GBK" w:cs="方正仿宋_GBK"/>
                <w:bCs/>
                <w:color w:val="auto"/>
                <w:spacing w:val="0"/>
                <w:sz w:val="28"/>
                <w:szCs w:val="28"/>
                <w:highlight w:val="none"/>
                <w:u w:val="none"/>
              </w:rPr>
              <w:t>个</w:t>
            </w:r>
            <w:r>
              <w:rPr>
                <w:rFonts w:hint="eastAsia" w:ascii="方正仿宋_GBK" w:hAnsi="方正仿宋_GBK" w:eastAsia="方正仿宋_GBK" w:cs="方正仿宋_GBK"/>
                <w:bCs/>
                <w:color w:val="auto"/>
                <w:spacing w:val="0"/>
                <w:sz w:val="28"/>
                <w:szCs w:val="28"/>
                <w:highlight w:val="none"/>
              </w:rPr>
              <w:t>居家社区养老服务示范站点。持续发展“长者食堂”“家门口的社区老年大学”“老年人心理健康服务站”“慈善+适老化资源链接服务”“居家养老护理链接服务”“社区养老床位”等服务功能。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bCs/>
                <w:color w:val="auto"/>
                <w:spacing w:val="0"/>
                <w:sz w:val="28"/>
                <w:szCs w:val="28"/>
                <w:highlight w:val="none"/>
                <w:lang w:val="en-US" w:eastAsia="zh-CN"/>
              </w:rPr>
              <w:t>7.探索发展家庭养老模式，支持养老服务机构、家政服务机构等将专业化将专业化服务延伸至家庭。</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仿宋_GB2312" w:cs="仿宋_GB2312"/>
                <w:bCs/>
                <w:color w:val="auto"/>
                <w:sz w:val="24"/>
                <w:szCs w:val="24"/>
                <w:highlight w:val="none"/>
              </w:rPr>
            </w:pPr>
            <w:r>
              <w:rPr>
                <w:rFonts w:hint="eastAsia" w:ascii="方正仿宋_GBK" w:hAnsi="方正仿宋_GBK" w:eastAsia="方正仿宋_GBK" w:cs="方正仿宋_GBK"/>
                <w:bCs/>
                <w:color w:val="auto"/>
                <w:spacing w:val="0"/>
                <w:sz w:val="28"/>
                <w:szCs w:val="28"/>
                <w:highlight w:val="none"/>
                <w:lang w:val="en-US" w:eastAsia="zh-CN"/>
              </w:rPr>
              <w:t>8.</w:t>
            </w:r>
            <w:r>
              <w:rPr>
                <w:rFonts w:hint="eastAsia" w:ascii="方正仿宋_GBK" w:hAnsi="方正仿宋_GBK" w:eastAsia="方正仿宋_GBK" w:cs="方正仿宋_GBK"/>
                <w:bCs/>
                <w:color w:val="auto"/>
                <w:spacing w:val="0"/>
                <w:sz w:val="28"/>
                <w:szCs w:val="28"/>
                <w:highlight w:val="none"/>
              </w:rPr>
              <w:t>实现对本市户籍的纳入分散供养特困人员、城乡最低生活保障对象和原建档立卡贫困人口范围的高龄、失能、残疾老年人家庭实施适老化家居环境改造全覆盖，积极引导社会家庭开展居家环境适老化改造。</w:t>
            </w:r>
          </w:p>
        </w:tc>
      </w:tr>
    </w:tbl>
    <w:p>
      <w:pPr>
        <w:pStyle w:val="5"/>
        <w:keepNext/>
        <w:keepLines/>
        <w:pageBreakBefore w:val="0"/>
        <w:widowControl w:val="0"/>
        <w:kinsoku/>
        <w:wordWrap/>
        <w:overflowPunct/>
        <w:topLinePunct w:val="0"/>
        <w:autoSpaceDE/>
        <w:autoSpaceDN/>
        <w:bidi w:val="0"/>
        <w:adjustRightInd w:val="0"/>
        <w:snapToGrid w:val="0"/>
        <w:spacing w:before="0" w:after="0" w:line="560" w:lineRule="exact"/>
        <w:ind w:firstLine="643" w:firstLineChars="200"/>
        <w:textAlignment w:val="auto"/>
        <w:rPr>
          <w:rFonts w:hint="eastAsia" w:ascii="方正楷体_GBK" w:hAnsi="方正楷体_GBK" w:eastAsia="方正楷体_GBK" w:cs="方正楷体_GBK"/>
          <w:color w:val="auto"/>
          <w:sz w:val="32"/>
          <w:szCs w:val="32"/>
          <w:highlight w:val="none"/>
          <w:lang w:val="en-US" w:eastAsia="zh-CN"/>
        </w:rPr>
      </w:pPr>
      <w:bookmarkStart w:id="3" w:name="_Toc18166"/>
      <w:r>
        <w:rPr>
          <w:rFonts w:hint="eastAsia" w:ascii="方正楷体_GBK" w:hAnsi="方正楷体_GBK" w:eastAsia="方正楷体_GBK" w:cs="方正楷体_GBK"/>
          <w:color w:val="auto"/>
          <w:sz w:val="32"/>
          <w:szCs w:val="32"/>
          <w:highlight w:val="none"/>
          <w:lang w:val="en-US" w:eastAsia="zh-CN"/>
        </w:rPr>
        <w:t>四、</w:t>
      </w:r>
      <w:r>
        <w:rPr>
          <w:rFonts w:hint="eastAsia" w:ascii="方正楷体_GBK" w:hAnsi="方正楷体_GBK" w:eastAsia="方正楷体_GBK" w:cs="方正楷体_GBK"/>
          <w:b/>
          <w:bCs/>
          <w:i w:val="0"/>
          <w:caps w:val="0"/>
          <w:color w:val="auto"/>
          <w:spacing w:val="0"/>
          <w:kern w:val="0"/>
          <w:sz w:val="32"/>
          <w:szCs w:val="32"/>
          <w:highlight w:val="none"/>
          <w:lang w:val="en-US" w:eastAsia="zh-CN" w:bidi="ar"/>
        </w:rPr>
        <w:t>多措并举推进养老服务提质增效</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rPr>
          <w:rFonts w:hint="eastAsia" w:ascii="方正仿宋_GBK" w:hAnsi="方正仿宋_GBK" w:eastAsia="方正仿宋_GBK" w:cs="方正仿宋_GBK"/>
          <w:i w:val="0"/>
          <w:caps w:val="0"/>
          <w:color w:val="auto"/>
          <w:spacing w:val="0"/>
          <w:kern w:val="0"/>
          <w:sz w:val="32"/>
          <w:szCs w:val="32"/>
          <w:highlight w:val="none"/>
          <w:lang w:val="en-US" w:eastAsia="zh-CN" w:bidi="ar"/>
        </w:rPr>
      </w:pPr>
      <w:bookmarkStart w:id="4" w:name="_Toc28021"/>
      <w:r>
        <w:rPr>
          <w:rStyle w:val="37"/>
          <w:rFonts w:hint="eastAsia" w:ascii="方正仿宋_GBK" w:hAnsi="方正仿宋_GBK" w:eastAsia="方正仿宋_GBK" w:cs="方正仿宋_GBK"/>
          <w:color w:val="auto"/>
          <w:kern w:val="0"/>
          <w:sz w:val="32"/>
          <w:szCs w:val="32"/>
          <w:highlight w:val="none"/>
          <w:lang w:val="en-US" w:eastAsia="zh-CN" w:bidi="ar"/>
        </w:rPr>
        <w:t>11.激发养老服务市场化活力</w:t>
      </w:r>
      <w:r>
        <w:rPr>
          <w:rFonts w:hint="eastAsia" w:ascii="方正仿宋_GBK" w:hAnsi="方正仿宋_GBK" w:eastAsia="方正仿宋_GBK" w:cs="方正仿宋_GBK"/>
          <w:b/>
          <w:bCs/>
          <w:i w:val="0"/>
          <w:caps w:val="0"/>
          <w:color w:val="auto"/>
          <w:spacing w:val="0"/>
          <w:kern w:val="0"/>
          <w:sz w:val="32"/>
          <w:szCs w:val="32"/>
          <w:highlight w:val="none"/>
          <w:lang w:val="en-US" w:eastAsia="zh-CN" w:bidi="ar"/>
        </w:rPr>
        <w:t>。</w:t>
      </w:r>
      <w:r>
        <w:rPr>
          <w:rFonts w:hint="eastAsia" w:ascii="方正仿宋_GBK" w:hAnsi="方正仿宋_GBK" w:eastAsia="方正仿宋_GBK" w:cs="方正仿宋_GBK"/>
          <w:i w:val="0"/>
          <w:caps w:val="0"/>
          <w:color w:val="auto"/>
          <w:spacing w:val="0"/>
          <w:kern w:val="0"/>
          <w:sz w:val="32"/>
          <w:szCs w:val="32"/>
          <w:highlight w:val="none"/>
          <w:lang w:val="en-US" w:eastAsia="zh-CN" w:bidi="ar"/>
        </w:rPr>
        <w:t>全面放开养老服务市场，实行养老机构登记备案制度，落实养老服务领域公平竞争审查制度，支持各类所有制养老机构平等发展，进一步激励市场活力和社会资本潜力，探索更多社会力量参与养老服务发展模式，推进养老服务供给的市场化、多元化、优质化。加快乡镇敬老院转型步伐，支持将具备条件的公办养老机构</w:t>
      </w:r>
      <w:bookmarkStart w:id="5" w:name="_Toc10019"/>
      <w:r>
        <w:rPr>
          <w:rFonts w:hint="eastAsia" w:ascii="方正仿宋_GBK" w:hAnsi="方正仿宋_GBK" w:eastAsia="方正仿宋_GBK" w:cs="方正仿宋_GBK"/>
          <w:i w:val="0"/>
          <w:caps w:val="0"/>
          <w:color w:val="auto"/>
          <w:spacing w:val="0"/>
          <w:kern w:val="0"/>
          <w:sz w:val="32"/>
          <w:szCs w:val="32"/>
          <w:highlight w:val="none"/>
          <w:lang w:val="en-US" w:eastAsia="zh-CN" w:bidi="ar"/>
        </w:rPr>
        <w:t>采取政府购买服务、政府和社会资本合作等方式，实施公办养老服务设施社会化运营。</w:t>
      </w:r>
      <w:bookmarkEnd w:id="5"/>
    </w:p>
    <w:p>
      <w:pPr>
        <w:pStyle w:val="2"/>
        <w:keepNext w:val="0"/>
        <w:keepLines w:val="0"/>
        <w:pageBreakBefore w:val="0"/>
        <w:widowControl w:val="0"/>
        <w:numPr>
          <w:ilvl w:val="0"/>
          <w:numId w:val="0"/>
        </w:numPr>
        <w:tabs>
          <w:tab w:val="left" w:pos="3256"/>
        </w:tabs>
        <w:kinsoku/>
        <w:wordWrap/>
        <w:overflowPunct/>
        <w:topLinePunct w:val="0"/>
        <w:autoSpaceDE/>
        <w:autoSpaceDN/>
        <w:bidi w:val="0"/>
        <w:adjustRightInd w:val="0"/>
        <w:snapToGrid w:val="0"/>
        <w:spacing w:line="560" w:lineRule="exact"/>
        <w:ind w:leftChars="0" w:firstLine="643" w:firstLineChars="200"/>
        <w:textAlignment w:val="baseline"/>
        <w:rPr>
          <w:rStyle w:val="37"/>
          <w:rFonts w:hint="eastAsia" w:ascii="方正仿宋_GBK" w:hAnsi="方正仿宋_GBK" w:eastAsia="方正仿宋_GBK" w:cs="方正仿宋_GBK"/>
          <w:color w:val="auto"/>
          <w:kern w:val="0"/>
          <w:sz w:val="32"/>
          <w:szCs w:val="32"/>
          <w:highlight w:val="none"/>
          <w:lang w:val="en-US" w:eastAsia="zh-CN" w:bidi="ar"/>
        </w:rPr>
      </w:pPr>
      <w:r>
        <w:rPr>
          <w:rStyle w:val="37"/>
          <w:rFonts w:hint="eastAsia" w:ascii="方正仿宋_GBK" w:hAnsi="方正仿宋_GBK" w:eastAsia="方正仿宋_GBK" w:cs="方正仿宋_GBK"/>
          <w:color w:val="auto"/>
          <w:kern w:val="0"/>
          <w:sz w:val="32"/>
          <w:szCs w:val="32"/>
          <w:highlight w:val="none"/>
          <w:lang w:val="en-US" w:eastAsia="zh-CN" w:bidi="ar"/>
        </w:rPr>
        <w:t>12.规范养老服务标准化建设</w:t>
      </w:r>
      <w:bookmarkEnd w:id="4"/>
      <w:r>
        <w:rPr>
          <w:rFonts w:hint="eastAsia" w:ascii="方正仿宋_GBK" w:hAnsi="方正仿宋_GBK" w:eastAsia="方正仿宋_GBK" w:cs="方正仿宋_GBK"/>
          <w:b/>
          <w:bCs/>
          <w:color w:val="auto"/>
          <w:sz w:val="32"/>
          <w:szCs w:val="32"/>
          <w:highlight w:val="none"/>
          <w:lang w:val="en-US" w:eastAsia="zh-CN"/>
        </w:rPr>
        <w:t>。</w:t>
      </w:r>
      <w:r>
        <w:rPr>
          <w:rFonts w:hint="eastAsia" w:ascii="方正仿宋_GBK" w:hAnsi="方正仿宋_GBK" w:eastAsia="方正仿宋_GBK" w:cs="方正仿宋_GBK"/>
          <w:i w:val="0"/>
          <w:caps w:val="0"/>
          <w:color w:val="auto"/>
          <w:spacing w:val="0"/>
          <w:kern w:val="0"/>
          <w:sz w:val="32"/>
          <w:szCs w:val="32"/>
          <w:highlight w:val="none"/>
          <w:lang w:val="en-US" w:eastAsia="zh-CN" w:bidi="ar"/>
        </w:rPr>
        <w:t>发挥标准规范引领作用，支持养老服务行业组织和机构建立健全养老服务标准和评价体系，实施养老机构服务质量、安全基本规范等标准，推动养老服务高质量发展。加快完善居家上门服务规范，提高社区居家养老设施设备配置和服务标准化水平。建设居家社区养老服务示范点，建立居家社区养老长效工作机制。持续开展养老机构等级评定，对照国家标准开展标准化建设和等级评定活动，引领养老机构建立健全与评定结果挂钩的收费和政策扶持体系。积极支持现有养老机构通过改造提升基础设施，健全各项服务标准，提升服务能力，及时申报评定相应等级。</w:t>
      </w:r>
    </w:p>
    <w:p>
      <w:pPr>
        <w:pStyle w:val="5"/>
        <w:keepNext/>
        <w:keepLines/>
        <w:pageBreakBefore w:val="0"/>
        <w:widowControl w:val="0"/>
        <w:kinsoku/>
        <w:wordWrap/>
        <w:overflowPunct/>
        <w:topLinePunct w:val="0"/>
        <w:autoSpaceDE/>
        <w:autoSpaceDN/>
        <w:bidi w:val="0"/>
        <w:adjustRightInd w:val="0"/>
        <w:snapToGrid w:val="0"/>
        <w:spacing w:before="0" w:after="0" w:line="560" w:lineRule="exact"/>
        <w:ind w:firstLine="643" w:firstLineChars="200"/>
        <w:jc w:val="both"/>
        <w:textAlignment w:val="auto"/>
        <w:rPr>
          <w:rFonts w:hint="eastAsia" w:ascii="方正仿宋_GBK" w:hAnsi="方正仿宋_GBK" w:eastAsia="方正仿宋_GBK" w:cs="方正仿宋_GBK"/>
          <w:b w:val="0"/>
          <w:bCs w:val="0"/>
          <w:i w:val="0"/>
          <w:caps w:val="0"/>
          <w:color w:val="auto"/>
          <w:spacing w:val="0"/>
          <w:kern w:val="0"/>
          <w:sz w:val="32"/>
          <w:szCs w:val="32"/>
          <w:highlight w:val="none"/>
          <w:lang w:val="en-US" w:eastAsia="zh-CN" w:bidi="ar"/>
        </w:rPr>
      </w:pPr>
      <w:r>
        <w:rPr>
          <w:rFonts w:hint="eastAsia" w:ascii="方正仿宋_GBK" w:hAnsi="方正仿宋_GBK" w:eastAsia="方正仿宋_GBK" w:cs="方正仿宋_GBK"/>
          <w:b/>
          <w:bCs/>
          <w:i w:val="0"/>
          <w:caps w:val="0"/>
          <w:color w:val="auto"/>
          <w:spacing w:val="0"/>
          <w:kern w:val="0"/>
          <w:sz w:val="32"/>
          <w:szCs w:val="32"/>
          <w:highlight w:val="none"/>
          <w:lang w:val="en-US" w:eastAsia="zh-CN" w:bidi="ar"/>
        </w:rPr>
        <w:t>13.打破老年人数字鸿沟。</w:t>
      </w:r>
      <w:r>
        <w:rPr>
          <w:rFonts w:hint="eastAsia" w:ascii="方正仿宋_GBK" w:hAnsi="方正仿宋_GBK" w:eastAsia="方正仿宋_GBK" w:cs="方正仿宋_GBK"/>
          <w:b w:val="0"/>
          <w:bCs w:val="0"/>
          <w:i w:val="0"/>
          <w:caps w:val="0"/>
          <w:color w:val="auto"/>
          <w:spacing w:val="0"/>
          <w:kern w:val="0"/>
          <w:sz w:val="32"/>
          <w:szCs w:val="32"/>
          <w:highlight w:val="none"/>
          <w:lang w:val="en-US" w:eastAsia="zh-CN" w:bidi="ar"/>
        </w:rPr>
        <w:t>依托“平安通”项目平台，大力推进我市智慧养老工程建设，提升市、镇（街）、村（居）养老服务的智慧化管理水平，完成兜底民生安全网构建，保障散居特困、高龄独居老年人等在家实现紧急救援呼叫服务全覆盖。促进养生、旅游、医疗、购物、家政、援助等行业融合发展，探索老年人与平台、商家、社会组织之间的供需对接机制，联动落地机构，实现资源共享、服务对接，形成“线上”“线下”互动合力。</w:t>
      </w:r>
    </w:p>
    <w:tbl>
      <w:tblPr>
        <w:tblStyle w:val="19"/>
        <w:tblW w:w="8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560"/>
        <w:gridCol w:w="4110"/>
        <w:gridCol w:w="1140"/>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7" w:type="dxa"/>
            <w:gridSpan w:val="5"/>
          </w:tcPr>
          <w:p>
            <w:pPr>
              <w:pStyle w:val="2"/>
              <w:keepNext w:val="0"/>
              <w:keepLines w:val="0"/>
              <w:pageBreakBefore w:val="0"/>
              <w:widowControl w:val="0"/>
              <w:numPr>
                <w:ilvl w:val="0"/>
                <w:numId w:val="0"/>
              </w:numPr>
              <w:tabs>
                <w:tab w:val="left" w:pos="3256"/>
              </w:tabs>
              <w:kinsoku/>
              <w:wordWrap/>
              <w:overflowPunct/>
              <w:topLinePunct w:val="0"/>
              <w:autoSpaceDE/>
              <w:autoSpaceDN/>
              <w:bidi w:val="0"/>
              <w:adjustRightInd w:val="0"/>
              <w:snapToGrid w:val="0"/>
              <w:spacing w:line="560" w:lineRule="exact"/>
              <w:jc w:val="center"/>
              <w:textAlignment w:val="baseline"/>
              <w:rPr>
                <w:rFonts w:hint="eastAsia" w:ascii="方正仿宋_GBK" w:hAnsi="方正仿宋_GBK" w:eastAsia="方正仿宋_GBK" w:cs="方正仿宋_GBK"/>
                <w:b/>
                <w:bCs/>
                <w:color w:val="auto"/>
                <w:sz w:val="28"/>
                <w:szCs w:val="28"/>
                <w:highlight w:val="none"/>
                <w:lang w:val="en-US" w:eastAsia="zh-CN"/>
              </w:rPr>
            </w:pPr>
            <w:r>
              <w:rPr>
                <w:rFonts w:hint="eastAsia" w:ascii="方正仿宋_GBK" w:hAnsi="方正仿宋_GBK" w:eastAsia="方正仿宋_GBK" w:cs="方正仿宋_GBK"/>
                <w:b/>
                <w:bCs/>
                <w:color w:val="auto"/>
                <w:sz w:val="28"/>
                <w:szCs w:val="28"/>
                <w:highlight w:val="none"/>
                <w:lang w:eastAsia="zh-CN"/>
              </w:rPr>
              <w:t>专栏</w:t>
            </w:r>
            <w:r>
              <w:rPr>
                <w:rFonts w:hint="eastAsia" w:ascii="方正仿宋_GBK" w:hAnsi="方正仿宋_GBK" w:eastAsia="方正仿宋_GBK" w:cs="方正仿宋_GBK"/>
                <w:b/>
                <w:bCs/>
                <w:color w:val="auto"/>
                <w:sz w:val="28"/>
                <w:szCs w:val="28"/>
                <w:highlight w:val="none"/>
                <w:lang w:val="en-US" w:eastAsia="zh-CN"/>
              </w:rPr>
              <w:t>7：“十四五”期间鹤山市居家养老助残服务“平安通”项目</w:t>
            </w:r>
          </w:p>
          <w:p>
            <w:pPr>
              <w:pStyle w:val="2"/>
              <w:keepNext w:val="0"/>
              <w:keepLines w:val="0"/>
              <w:pageBreakBefore w:val="0"/>
              <w:widowControl w:val="0"/>
              <w:numPr>
                <w:ilvl w:val="0"/>
                <w:numId w:val="0"/>
              </w:numPr>
              <w:tabs>
                <w:tab w:val="left" w:pos="3256"/>
              </w:tabs>
              <w:kinsoku/>
              <w:wordWrap/>
              <w:overflowPunct/>
              <w:topLinePunct w:val="0"/>
              <w:autoSpaceDE/>
              <w:autoSpaceDN/>
              <w:bidi w:val="0"/>
              <w:adjustRightInd w:val="0"/>
              <w:snapToGrid w:val="0"/>
              <w:spacing w:line="560" w:lineRule="exact"/>
              <w:jc w:val="center"/>
              <w:textAlignment w:val="baseline"/>
              <w:rPr>
                <w:rFonts w:hint="eastAsia" w:ascii="方正仿宋_GBK" w:hAnsi="方正仿宋_GBK" w:eastAsia="方正仿宋_GBK" w:cs="方正仿宋_GBK"/>
                <w:color w:val="auto"/>
                <w:kern w:val="2"/>
                <w:sz w:val="24"/>
                <w:szCs w:val="24"/>
                <w:highlight w:val="none"/>
                <w:lang w:val="en-US" w:eastAsia="zh-CN" w:bidi="ar-SA"/>
              </w:rPr>
            </w:pPr>
            <w:r>
              <w:rPr>
                <w:rFonts w:hint="eastAsia" w:ascii="方正仿宋_GBK" w:hAnsi="方正仿宋_GBK" w:eastAsia="方正仿宋_GBK" w:cs="方正仿宋_GBK"/>
                <w:b/>
                <w:bCs/>
                <w:color w:val="auto"/>
                <w:sz w:val="28"/>
                <w:szCs w:val="28"/>
                <w:highlight w:val="none"/>
                <w:lang w:val="en-US" w:eastAsia="zh-CN"/>
              </w:rPr>
              <w:t>建设目标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baseline"/>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项目名称</w:t>
            </w:r>
          </w:p>
        </w:tc>
        <w:tc>
          <w:tcPr>
            <w:tcW w:w="1560" w:type="dxa"/>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baseline"/>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项目内容</w:t>
            </w:r>
          </w:p>
        </w:tc>
        <w:tc>
          <w:tcPr>
            <w:tcW w:w="4110" w:type="dxa"/>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baseline"/>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政府资助对象</w:t>
            </w:r>
          </w:p>
        </w:tc>
        <w:tc>
          <w:tcPr>
            <w:tcW w:w="1140" w:type="dxa"/>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baseline"/>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覆盖镇（街）</w:t>
            </w:r>
          </w:p>
        </w:tc>
        <w:tc>
          <w:tcPr>
            <w:tcW w:w="1014" w:type="dxa"/>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baseline"/>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建设目标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baseline"/>
              <w:rPr>
                <w:rFonts w:hint="eastAsia" w:ascii="方正仿宋_GBK" w:hAnsi="方正仿宋_GBK" w:eastAsia="方正仿宋_GBK" w:cs="方正仿宋_GBK"/>
                <w:color w:val="auto"/>
                <w:sz w:val="28"/>
                <w:szCs w:val="28"/>
                <w:highlight w:val="none"/>
                <w:vertAlign w:val="baseline"/>
              </w:rPr>
            </w:pPr>
            <w:r>
              <w:rPr>
                <w:rFonts w:hint="eastAsia" w:ascii="方正仿宋_GBK" w:hAnsi="方正仿宋_GBK" w:eastAsia="方正仿宋_GBK" w:cs="方正仿宋_GBK"/>
                <w:color w:val="auto"/>
                <w:sz w:val="28"/>
                <w:szCs w:val="28"/>
                <w:highlight w:val="none"/>
                <w:lang w:eastAsia="zh-CN"/>
              </w:rPr>
              <w:t>居家养老助残服务</w:t>
            </w:r>
            <w:r>
              <w:rPr>
                <w:rFonts w:hint="eastAsia" w:ascii="方正仿宋_GBK" w:hAnsi="方正仿宋_GBK" w:eastAsia="方正仿宋_GBK" w:cs="方正仿宋_GBK"/>
                <w:color w:val="auto"/>
                <w:sz w:val="28"/>
                <w:szCs w:val="28"/>
                <w:highlight w:val="none"/>
              </w:rPr>
              <w:t>“平安通”</w:t>
            </w:r>
            <w:r>
              <w:rPr>
                <w:rFonts w:hint="eastAsia" w:ascii="方正仿宋_GBK" w:hAnsi="方正仿宋_GBK" w:eastAsia="方正仿宋_GBK" w:cs="方正仿宋_GBK"/>
                <w:color w:val="auto"/>
                <w:sz w:val="28"/>
                <w:szCs w:val="28"/>
                <w:highlight w:val="none"/>
                <w:lang w:eastAsia="zh-CN"/>
              </w:rPr>
              <w:t>项目</w:t>
            </w:r>
          </w:p>
        </w:tc>
        <w:tc>
          <w:tcPr>
            <w:tcW w:w="1560" w:type="dxa"/>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baseline"/>
              <w:rPr>
                <w:rFonts w:hint="eastAsia" w:ascii="方正仿宋_GBK" w:hAnsi="方正仿宋_GBK" w:eastAsia="方正仿宋_GBK" w:cs="方正仿宋_GBK"/>
                <w:color w:val="auto"/>
                <w:sz w:val="28"/>
                <w:szCs w:val="28"/>
                <w:highlight w:val="none"/>
                <w:vertAlign w:val="baseline"/>
              </w:rPr>
            </w:pPr>
            <w:r>
              <w:rPr>
                <w:rFonts w:hint="eastAsia" w:ascii="方正仿宋_GBK" w:hAnsi="方正仿宋_GBK" w:eastAsia="方正仿宋_GBK" w:cs="方正仿宋_GBK"/>
                <w:color w:val="auto"/>
                <w:sz w:val="28"/>
                <w:szCs w:val="28"/>
                <w:highlight w:val="none"/>
                <w:lang w:eastAsia="zh-CN"/>
              </w:rPr>
              <w:t>项目通过整合政府和社会资源，建立居家养老助残服务</w:t>
            </w:r>
            <w:r>
              <w:rPr>
                <w:rFonts w:hint="eastAsia" w:ascii="方正仿宋_GBK" w:hAnsi="方正仿宋_GBK" w:eastAsia="方正仿宋_GBK" w:cs="方正仿宋_GBK"/>
                <w:color w:val="auto"/>
                <w:sz w:val="28"/>
                <w:szCs w:val="28"/>
                <w:highlight w:val="none"/>
              </w:rPr>
              <w:t>“平安通”</w:t>
            </w:r>
            <w:r>
              <w:rPr>
                <w:rFonts w:hint="eastAsia" w:ascii="方正仿宋_GBK" w:hAnsi="方正仿宋_GBK" w:eastAsia="方正仿宋_GBK" w:cs="方正仿宋_GBK"/>
                <w:color w:val="auto"/>
                <w:sz w:val="28"/>
                <w:szCs w:val="28"/>
                <w:highlight w:val="none"/>
                <w:lang w:eastAsia="zh-CN"/>
              </w:rPr>
              <w:t>服务平台，为老年人、残疾人提供全天候紧急支援、医疗急救、主动关怀、情绪支援、政策咨询、信息查询、资源链接与转介等服务。</w:t>
            </w:r>
          </w:p>
        </w:tc>
        <w:tc>
          <w:tcPr>
            <w:tcW w:w="4110" w:type="dxa"/>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baseline"/>
              <w:rPr>
                <w:rFonts w:hint="eastAsia" w:ascii="方正仿宋_GBK" w:hAnsi="方正仿宋_GBK" w:eastAsia="方正仿宋_GBK" w:cs="方正仿宋_GBK"/>
                <w:color w:val="auto"/>
                <w:sz w:val="28"/>
                <w:szCs w:val="28"/>
                <w:highlight w:val="none"/>
                <w:lang w:eastAsia="zh-CN"/>
              </w:rPr>
            </w:pPr>
            <w:r>
              <w:rPr>
                <w:rFonts w:hint="eastAsia" w:ascii="方正仿宋_GBK" w:hAnsi="方正仿宋_GBK" w:eastAsia="方正仿宋_GBK" w:cs="方正仿宋_GBK"/>
                <w:color w:val="auto"/>
                <w:sz w:val="28"/>
                <w:szCs w:val="28"/>
                <w:highlight w:val="none"/>
                <w:lang w:eastAsia="zh-CN"/>
              </w:rPr>
              <w:t>（1）60周岁及以上分散供养特困人员；</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baseline"/>
              <w:rPr>
                <w:rFonts w:hint="eastAsia" w:ascii="方正仿宋_GBK" w:hAnsi="方正仿宋_GBK" w:eastAsia="方正仿宋_GBK" w:cs="方正仿宋_GBK"/>
                <w:color w:val="auto"/>
                <w:sz w:val="28"/>
                <w:szCs w:val="28"/>
                <w:highlight w:val="none"/>
                <w:lang w:eastAsia="zh-CN"/>
              </w:rPr>
            </w:pPr>
            <w:r>
              <w:rPr>
                <w:rFonts w:hint="eastAsia" w:ascii="方正仿宋_GBK" w:hAnsi="方正仿宋_GBK" w:eastAsia="方正仿宋_GBK" w:cs="方正仿宋_GBK"/>
                <w:color w:val="auto"/>
                <w:sz w:val="28"/>
                <w:szCs w:val="28"/>
                <w:highlight w:val="none"/>
                <w:lang w:eastAsia="zh-CN"/>
              </w:rPr>
              <w:t>（2）低保、低收入家庭中60周岁以上的下列人员：①独居老年人（指无配偶、无子女，或配偶、子女半年及以上没有共同居住，下同）；②纯老家庭成员（指全部家庭成员年龄均为60周岁以上，下同）；③重度残疾人（含一至四级重度残疾军人，不含重度听力残疾人；</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baseline"/>
              <w:rPr>
                <w:rFonts w:hint="eastAsia" w:ascii="方正仿宋_GBK" w:hAnsi="方正仿宋_GBK" w:eastAsia="方正仿宋_GBK" w:cs="方正仿宋_GBK"/>
                <w:color w:val="auto"/>
                <w:sz w:val="28"/>
                <w:szCs w:val="28"/>
                <w:highlight w:val="none"/>
                <w:lang w:eastAsia="zh-CN"/>
              </w:rPr>
            </w:pPr>
            <w:r>
              <w:rPr>
                <w:rFonts w:hint="eastAsia" w:ascii="方正仿宋_GBK" w:hAnsi="方正仿宋_GBK" w:eastAsia="方正仿宋_GBK" w:cs="方正仿宋_GBK"/>
                <w:color w:val="auto"/>
                <w:sz w:val="28"/>
                <w:szCs w:val="28"/>
                <w:highlight w:val="none"/>
                <w:lang w:eastAsia="zh-CN"/>
              </w:rPr>
              <w:t>（3）90周岁及以上老年人；</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baseline"/>
              <w:rPr>
                <w:rFonts w:hint="eastAsia" w:ascii="方正仿宋_GBK" w:hAnsi="方正仿宋_GBK" w:eastAsia="方正仿宋_GBK" w:cs="方正仿宋_GBK"/>
                <w:color w:val="auto"/>
                <w:sz w:val="28"/>
                <w:szCs w:val="28"/>
                <w:highlight w:val="none"/>
                <w:lang w:eastAsia="zh-CN"/>
              </w:rPr>
            </w:pPr>
            <w:r>
              <w:rPr>
                <w:rFonts w:hint="eastAsia" w:ascii="方正仿宋_GBK" w:hAnsi="方正仿宋_GBK" w:eastAsia="方正仿宋_GBK" w:cs="方正仿宋_GBK"/>
                <w:color w:val="auto"/>
                <w:sz w:val="28"/>
                <w:szCs w:val="28"/>
                <w:highlight w:val="none"/>
                <w:lang w:eastAsia="zh-CN"/>
              </w:rPr>
              <w:t>（4）80-89周岁的下列人员：①独居老年人；②纯老家庭成员；③失能（经评估认定为中度、重度失能）、失独老年人；</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baseline"/>
              <w:rPr>
                <w:rFonts w:hint="eastAsia" w:ascii="方正仿宋_GBK" w:hAnsi="方正仿宋_GBK" w:eastAsia="方正仿宋_GBK" w:cs="方正仿宋_GBK"/>
                <w:color w:val="auto"/>
                <w:sz w:val="28"/>
                <w:szCs w:val="28"/>
                <w:highlight w:val="none"/>
                <w:lang w:eastAsia="zh-CN"/>
              </w:rPr>
            </w:pPr>
            <w:r>
              <w:rPr>
                <w:rFonts w:hint="eastAsia" w:ascii="方正仿宋_GBK" w:hAnsi="方正仿宋_GBK" w:eastAsia="方正仿宋_GBK" w:cs="方正仿宋_GBK"/>
                <w:color w:val="auto"/>
                <w:sz w:val="28"/>
                <w:szCs w:val="28"/>
                <w:highlight w:val="none"/>
                <w:lang w:eastAsia="zh-CN"/>
              </w:rPr>
              <w:t>（5）经评估认定，且由镇街、村居委会审核同意的农村留守老年人、其他困难的老年人及残疾人（含一至四级重度残疾军人）</w:t>
            </w:r>
          </w:p>
        </w:tc>
        <w:tc>
          <w:tcPr>
            <w:tcW w:w="1140" w:type="dxa"/>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baseline"/>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鹤山市沙坪街道、古劳镇、桃源镇、龙口镇、鹤城镇、共和镇、址山镇、宅梧镇、双合镇及相应的村、社区</w:t>
            </w:r>
          </w:p>
        </w:tc>
        <w:tc>
          <w:tcPr>
            <w:tcW w:w="1014" w:type="dxa"/>
            <w:vAlign w:val="top"/>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baseline"/>
              <w:rPr>
                <w:rFonts w:hint="default"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sz w:val="28"/>
                <w:szCs w:val="28"/>
                <w:highlight w:val="none"/>
                <w:lang w:eastAsia="zh-CN"/>
              </w:rPr>
              <w:t>202</w:t>
            </w:r>
            <w:r>
              <w:rPr>
                <w:rFonts w:hint="eastAsia" w:ascii="方正仿宋_GBK" w:hAnsi="方正仿宋_GBK" w:eastAsia="方正仿宋_GBK" w:cs="方正仿宋_GBK"/>
                <w:color w:val="auto"/>
                <w:sz w:val="28"/>
                <w:szCs w:val="28"/>
                <w:highlight w:val="none"/>
                <w:lang w:val="en-US" w:eastAsia="zh-CN"/>
              </w:rPr>
              <w:t>3</w:t>
            </w:r>
            <w:r>
              <w:rPr>
                <w:rFonts w:hint="eastAsia" w:ascii="方正仿宋_GBK" w:hAnsi="方正仿宋_GBK" w:eastAsia="方正仿宋_GBK" w:cs="方正仿宋_GBK"/>
                <w:color w:val="auto"/>
                <w:sz w:val="28"/>
                <w:szCs w:val="28"/>
                <w:highlight w:val="none"/>
                <w:lang w:eastAsia="zh-CN"/>
              </w:rPr>
              <w:t>年</w:t>
            </w:r>
            <w:r>
              <w:rPr>
                <w:rFonts w:hint="eastAsia" w:ascii="方正仿宋_GBK" w:hAnsi="方正仿宋_GBK" w:eastAsia="方正仿宋_GBK" w:cs="方正仿宋_GBK"/>
                <w:bCs/>
                <w:color w:val="auto"/>
                <w:sz w:val="28"/>
                <w:szCs w:val="28"/>
                <w:highlight w:val="none"/>
                <w:lang w:val="en-US" w:eastAsia="zh-CN"/>
              </w:rPr>
              <w:t>服务人数达到2750人</w:t>
            </w:r>
            <w:r>
              <w:rPr>
                <w:rFonts w:hint="eastAsia" w:ascii="方正仿宋_GBK" w:hAnsi="方正仿宋_GBK" w:eastAsia="方正仿宋_GBK" w:cs="方正仿宋_GBK"/>
                <w:color w:val="auto"/>
                <w:sz w:val="28"/>
                <w:szCs w:val="28"/>
                <w:highlight w:val="none"/>
                <w:lang w:eastAsia="zh-CN"/>
              </w:rPr>
              <w:t>。力争</w:t>
            </w:r>
            <w:r>
              <w:rPr>
                <w:rFonts w:hint="eastAsia" w:ascii="方正仿宋_GBK" w:hAnsi="方正仿宋_GBK" w:eastAsia="方正仿宋_GBK" w:cs="方正仿宋_GBK"/>
                <w:color w:val="auto"/>
                <w:sz w:val="28"/>
                <w:szCs w:val="28"/>
                <w:highlight w:val="none"/>
                <w:lang w:val="en-US" w:eastAsia="zh-CN"/>
              </w:rPr>
              <w:t>2025年覆盖全市符合条件政府资助对象。</w:t>
            </w:r>
          </w:p>
        </w:tc>
      </w:tr>
    </w:tbl>
    <w:p>
      <w:pPr>
        <w:pStyle w:val="36"/>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outlineLvl w:val="2"/>
        <w:rPr>
          <w:rStyle w:val="37"/>
          <w:rFonts w:hint="default" w:ascii="方正仿宋_GBK" w:hAnsi="方正仿宋_GBK" w:eastAsia="方正仿宋_GBK" w:cs="方正仿宋_GBK"/>
          <w:color w:val="auto"/>
          <w:kern w:val="0"/>
          <w:sz w:val="32"/>
          <w:szCs w:val="32"/>
          <w:highlight w:val="none"/>
          <w:lang w:val="en-US" w:eastAsia="zh-CN" w:bidi="ar"/>
        </w:rPr>
      </w:pPr>
      <w:r>
        <w:rPr>
          <w:rFonts w:hint="eastAsia" w:ascii="方正仿宋_GBK" w:hAnsi="方正仿宋_GBK" w:eastAsia="方正仿宋_GBK" w:cs="方正仿宋_GBK"/>
          <w:i w:val="0"/>
          <w:caps w:val="0"/>
          <w:color w:val="auto"/>
          <w:spacing w:val="0"/>
          <w:kern w:val="0"/>
          <w:sz w:val="32"/>
          <w:szCs w:val="32"/>
          <w:highlight w:val="none"/>
          <w:lang w:val="en-US" w:eastAsia="zh-CN" w:bidi="ar"/>
        </w:rPr>
        <w:t>营造智慧适老服务场景。坚持传统服务方式与智能化服务创新并行，聚焦公共服务、政务服务、生活服务等方面涉及老年人的高频事项和服务场景，切实解决老年人运用智能技术困难。强化线下服务渠道，完善必要的为老人工服务；优化线上服务模式，加强老年人身份信息归集和数据打通。建立健全“智慧助老”常态化工作机制，广泛动员各方力量为老年人提供智能培训服务，重点发挥社区老年大学等在智能技术培训中的重要作用，引导老年人正确认识和学习网络信息、智能技术。</w:t>
      </w:r>
    </w:p>
    <w:p>
      <w:pPr>
        <w:pStyle w:val="36"/>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3" w:firstLineChars="200"/>
        <w:textAlignment w:val="auto"/>
        <w:outlineLvl w:val="2"/>
        <w:rPr>
          <w:rFonts w:hint="eastAsia" w:ascii="方正楷体_GBK" w:hAnsi="方正楷体_GBK" w:eastAsia="方正楷体_GBK" w:cs="方正楷体_GBK"/>
          <w:color w:val="auto"/>
          <w:sz w:val="32"/>
          <w:szCs w:val="32"/>
          <w:highlight w:val="none"/>
          <w:lang w:val="en-US" w:eastAsia="zh-CN"/>
        </w:rPr>
      </w:pPr>
      <w:r>
        <w:rPr>
          <w:rStyle w:val="37"/>
          <w:rFonts w:hint="eastAsia" w:ascii="方正仿宋_GBK" w:hAnsi="方正仿宋_GBK" w:eastAsia="方正仿宋_GBK" w:cs="方正仿宋_GBK"/>
          <w:color w:val="auto"/>
          <w:kern w:val="0"/>
          <w:sz w:val="32"/>
          <w:szCs w:val="32"/>
          <w:highlight w:val="none"/>
          <w:lang w:val="en-US" w:eastAsia="zh-CN" w:bidi="ar"/>
        </w:rPr>
        <w:t>14.完善老年人关爱服务体系</w:t>
      </w:r>
      <w:r>
        <w:rPr>
          <w:rFonts w:hint="eastAsia" w:ascii="方正仿宋_GBK" w:hAnsi="方正仿宋_GBK" w:eastAsia="方正仿宋_GBK" w:cs="方正仿宋_GBK"/>
          <w:b/>
          <w:bCs/>
          <w:color w:val="auto"/>
          <w:sz w:val="32"/>
          <w:szCs w:val="32"/>
          <w:highlight w:val="none"/>
          <w:lang w:val="en-US" w:eastAsia="zh-CN"/>
        </w:rPr>
        <w:t>。</w:t>
      </w:r>
      <w:r>
        <w:rPr>
          <w:rFonts w:hint="eastAsia" w:ascii="方正仿宋_GBK" w:hAnsi="方正仿宋_GBK" w:eastAsia="方正仿宋_GBK" w:cs="方正仿宋_GBK"/>
          <w:color w:val="auto"/>
          <w:sz w:val="32"/>
          <w:szCs w:val="32"/>
          <w:highlight w:val="none"/>
          <w:lang w:val="en-US" w:eastAsia="zh-CN"/>
        </w:rPr>
        <w:t>定期开展居家社区老年人探访活动，重视防范和及时发现意外风险，重点关注空巢、留守、失能、重残、计划生育特殊家庭等特殊困难老年人。完善农村留守老年人关爱服务体系，健全农村留守老年人信息数据库。健全“社工+志愿者”联动服务机制，支持社工机构、心理咨询机构为老年人提供精神慰藉、心理疏导和生活支持等专业化服务，鼓励志愿服务组织和慈善组织为老年人提供身心关爱、照料支持和生活陪伴等多样化服务。聚焦涉及老年人的高频事项和服务场景，坚持传统服务方式与智能化服务创新并行，线上服务便利老年人使用，线下渠道优化手续流程，切实解决老年人运用智能技术困难，打破老年人面临的“数字鸿沟”。重视珍惜老年人的知识、技能、经验和优良品德，发挥老年人的专长和作用，鼓励其在自愿和量力而行的情况下，从事传播文化和科技知识、参与科技开发与应用、兴办社会公益事业等活动。</w:t>
      </w:r>
    </w:p>
    <w:p>
      <w:pPr>
        <w:pStyle w:val="5"/>
        <w:keepNext/>
        <w:keepLines/>
        <w:pageBreakBefore w:val="0"/>
        <w:widowControl w:val="0"/>
        <w:kinsoku/>
        <w:wordWrap/>
        <w:overflowPunct/>
        <w:topLinePunct w:val="0"/>
        <w:autoSpaceDE/>
        <w:autoSpaceDN/>
        <w:bidi w:val="0"/>
        <w:adjustRightInd w:val="0"/>
        <w:snapToGrid w:val="0"/>
        <w:spacing w:before="0" w:after="0" w:line="560" w:lineRule="exact"/>
        <w:ind w:firstLine="643" w:firstLineChars="200"/>
        <w:jc w:val="both"/>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bCs/>
          <w:color w:val="auto"/>
          <w:kern w:val="2"/>
          <w:sz w:val="32"/>
          <w:szCs w:val="32"/>
          <w:highlight w:val="none"/>
          <w:lang w:val="en-US" w:eastAsia="zh-CN" w:bidi="ar-SA"/>
        </w:rPr>
        <w:t>15.健全养老社会保障制度体系。</w:t>
      </w:r>
      <w:r>
        <w:rPr>
          <w:rFonts w:hint="eastAsia" w:ascii="方正仿宋_GBK" w:hAnsi="方正仿宋_GBK" w:eastAsia="方正仿宋_GBK" w:cs="方正仿宋_GBK"/>
          <w:b w:val="0"/>
          <w:bCs w:val="0"/>
          <w:color w:val="auto"/>
          <w:kern w:val="2"/>
          <w:sz w:val="32"/>
          <w:szCs w:val="32"/>
          <w:highlight w:val="none"/>
          <w:lang w:val="en-US" w:eastAsia="zh-CN" w:bidi="ar-SA"/>
        </w:rPr>
        <w:t>探索构建以基本养老保险为基础、以企业（职业）年金为补充、与个人储蓄性及税收递延型养老保险和其他商业保险相衔接的“三支柱”多层次养老保险体系。到2025年，基本养老保险参保率达到95%以上。落实机关事业单位养老保险关系转移接续政策，健全养老保险关系转移接续后待遇衔接机制。完善企业年金备案，扩大企业年金覆盖面。巩固和推进机关事业单位职业年金实账积累。完善城乡居民基本养老保险制度，适时提高最低缴费档次。完善被征地农民社会保障制度，引导符合条件的被征地农民参加企业职工养老保险。</w:t>
      </w:r>
    </w:p>
    <w:p>
      <w:pPr>
        <w:pStyle w:val="5"/>
        <w:keepNext/>
        <w:keepLines/>
        <w:pageBreakBefore w:val="0"/>
        <w:widowControl w:val="0"/>
        <w:kinsoku/>
        <w:wordWrap/>
        <w:overflowPunct/>
        <w:topLinePunct w:val="0"/>
        <w:autoSpaceDE/>
        <w:autoSpaceDN/>
        <w:bidi w:val="0"/>
        <w:adjustRightInd w:val="0"/>
        <w:snapToGrid w:val="0"/>
        <w:spacing w:before="0" w:after="0" w:line="560" w:lineRule="exact"/>
        <w:ind w:firstLine="643" w:firstLineChars="200"/>
        <w:textAlignment w:val="auto"/>
        <w:rPr>
          <w:rStyle w:val="37"/>
          <w:rFonts w:hint="eastAsia" w:ascii="方正仿宋_GBK" w:hAnsi="方正仿宋_GBK" w:eastAsia="方正仿宋_GBK" w:cs="方正仿宋_GBK"/>
          <w:b/>
          <w:color w:val="auto"/>
          <w:kern w:val="0"/>
          <w:sz w:val="32"/>
          <w:szCs w:val="32"/>
          <w:highlight w:val="none"/>
          <w:lang w:val="en-US" w:eastAsia="zh-CN" w:bidi="ar"/>
        </w:rPr>
      </w:pPr>
      <w:r>
        <w:rPr>
          <w:rFonts w:hint="eastAsia" w:ascii="方正楷体_GBK" w:hAnsi="方正楷体_GBK" w:eastAsia="方正楷体_GBK" w:cs="方正楷体_GBK"/>
          <w:sz w:val="32"/>
          <w:szCs w:val="32"/>
          <w:highlight w:val="none"/>
          <w:lang w:val="en-US" w:eastAsia="zh-CN"/>
        </w:rPr>
        <w:t>五、发展壮大养老服务产业</w:t>
      </w:r>
    </w:p>
    <w:p>
      <w:pPr>
        <w:pStyle w:val="2"/>
        <w:keepNext w:val="0"/>
        <w:keepLines w:val="0"/>
        <w:pageBreakBefore w:val="0"/>
        <w:widowControl w:val="0"/>
        <w:numPr>
          <w:ilvl w:val="0"/>
          <w:numId w:val="0"/>
        </w:numPr>
        <w:tabs>
          <w:tab w:val="left" w:pos="3256"/>
        </w:tabs>
        <w:kinsoku/>
        <w:wordWrap/>
        <w:overflowPunct/>
        <w:topLinePunct w:val="0"/>
        <w:autoSpaceDE/>
        <w:autoSpaceDN/>
        <w:bidi w:val="0"/>
        <w:adjustRightInd w:val="0"/>
        <w:snapToGrid w:val="0"/>
        <w:spacing w:line="560" w:lineRule="exact"/>
        <w:ind w:firstLine="643" w:firstLineChars="200"/>
        <w:textAlignment w:val="baseline"/>
        <w:rPr>
          <w:rFonts w:hint="eastAsia" w:ascii="方正仿宋_GBK" w:hAnsi="方正仿宋_GBK" w:eastAsia="方正仿宋_GBK" w:cs="方正仿宋_GBK"/>
          <w:i w:val="0"/>
          <w:caps w:val="0"/>
          <w:color w:val="auto"/>
          <w:spacing w:val="0"/>
          <w:kern w:val="0"/>
          <w:sz w:val="32"/>
          <w:szCs w:val="32"/>
          <w:highlight w:val="none"/>
          <w:lang w:val="en-US" w:eastAsia="zh-CN" w:bidi="ar"/>
        </w:rPr>
      </w:pPr>
      <w:r>
        <w:rPr>
          <w:rStyle w:val="37"/>
          <w:rFonts w:hint="eastAsia" w:ascii="方正仿宋_GBK" w:hAnsi="方正仿宋_GBK" w:eastAsia="方正仿宋_GBK" w:cs="方正仿宋_GBK"/>
          <w:color w:val="auto"/>
          <w:kern w:val="0"/>
          <w:sz w:val="32"/>
          <w:szCs w:val="32"/>
          <w:highlight w:val="none"/>
          <w:lang w:val="en-US" w:eastAsia="zh-CN" w:bidi="ar"/>
        </w:rPr>
        <w:t>16.推动养老服务业态融合发展</w:t>
      </w:r>
      <w:r>
        <w:rPr>
          <w:rFonts w:hint="eastAsia" w:ascii="方正仿宋_GBK" w:hAnsi="方正仿宋_GBK" w:eastAsia="方正仿宋_GBK" w:cs="方正仿宋_GBK"/>
          <w:b/>
          <w:bCs/>
          <w:i w:val="0"/>
          <w:caps w:val="0"/>
          <w:color w:val="auto"/>
          <w:spacing w:val="0"/>
          <w:kern w:val="0"/>
          <w:sz w:val="32"/>
          <w:szCs w:val="32"/>
          <w:highlight w:val="none"/>
          <w:lang w:val="en-US" w:eastAsia="zh-CN" w:bidi="ar"/>
        </w:rPr>
        <w:t>。</w:t>
      </w:r>
      <w:r>
        <w:rPr>
          <w:rFonts w:hint="eastAsia" w:ascii="方正仿宋_GBK" w:hAnsi="方正仿宋_GBK" w:eastAsia="方正仿宋_GBK" w:cs="方正仿宋_GBK"/>
          <w:i w:val="0"/>
          <w:caps w:val="0"/>
          <w:color w:val="auto"/>
          <w:spacing w:val="0"/>
          <w:kern w:val="0"/>
          <w:sz w:val="32"/>
          <w:szCs w:val="32"/>
          <w:highlight w:val="none"/>
          <w:lang w:val="en-US" w:eastAsia="zh-CN" w:bidi="ar"/>
        </w:rPr>
        <w:t>结合《江门华侨华人文化交流合作重要平台三年行动计划（2021-2023年）及工作清单的通知》，依托雁鸣湖畔养老养生公寓，搭建与港澳养老机构、组织交流互动平台，提升服务标准，解决港澳长者跨境养老的壁垒，探索和建立旅居养老标准化建设要求、服务流程、管理体系，形成标准化方案，探索建立“中医药+主题旅店”养老模式，构建以“中医药文化+功能检测+检后管理+主题旅店”为主综合型康养服务。吸引港澳及省外老人到鹤山来，组织我市老人走出去。整合周边资源，建设旅居康养服务联盟，为粤港澳大湾区老人提供更为丰富、更高标准的养老服务。</w:t>
      </w:r>
    </w:p>
    <w:p>
      <w:pPr>
        <w:pStyle w:val="2"/>
        <w:keepNext w:val="0"/>
        <w:keepLines w:val="0"/>
        <w:pageBreakBefore w:val="0"/>
        <w:widowControl w:val="0"/>
        <w:numPr>
          <w:ilvl w:val="0"/>
          <w:numId w:val="0"/>
        </w:numPr>
        <w:tabs>
          <w:tab w:val="left" w:pos="3256"/>
        </w:tabs>
        <w:kinsoku/>
        <w:wordWrap/>
        <w:overflowPunct/>
        <w:topLinePunct w:val="0"/>
        <w:autoSpaceDE/>
        <w:autoSpaceDN/>
        <w:bidi w:val="0"/>
        <w:adjustRightInd w:val="0"/>
        <w:snapToGrid w:val="0"/>
        <w:spacing w:line="560" w:lineRule="exact"/>
        <w:ind w:firstLine="643" w:firstLineChars="200"/>
        <w:textAlignment w:val="baseline"/>
        <w:rPr>
          <w:rFonts w:hint="eastAsia" w:ascii="方正仿宋_GBK" w:hAnsi="方正仿宋_GBK" w:eastAsia="方正仿宋_GBK" w:cs="方正仿宋_GBK"/>
          <w:i w:val="0"/>
          <w:caps w:val="0"/>
          <w:color w:val="auto"/>
          <w:spacing w:val="0"/>
          <w:kern w:val="0"/>
          <w:sz w:val="32"/>
          <w:szCs w:val="32"/>
          <w:highlight w:val="none"/>
          <w:lang w:val="en-US" w:eastAsia="zh-CN" w:bidi="ar"/>
        </w:rPr>
      </w:pPr>
      <w:r>
        <w:rPr>
          <w:rStyle w:val="37"/>
          <w:rFonts w:hint="eastAsia" w:ascii="方正仿宋_GBK" w:hAnsi="方正仿宋_GBK" w:eastAsia="方正仿宋_GBK" w:cs="方正仿宋_GBK"/>
          <w:color w:val="auto"/>
          <w:kern w:val="0"/>
          <w:sz w:val="32"/>
          <w:szCs w:val="32"/>
          <w:highlight w:val="none"/>
          <w:lang w:val="en-US" w:eastAsia="zh-CN" w:bidi="ar"/>
        </w:rPr>
        <w:t>17.扩大新型养老服务消费</w:t>
      </w:r>
      <w:r>
        <w:rPr>
          <w:rFonts w:hint="eastAsia" w:ascii="方正仿宋_GBK" w:hAnsi="方正仿宋_GBK" w:eastAsia="方正仿宋_GBK" w:cs="方正仿宋_GBK"/>
          <w:b/>
          <w:bCs/>
          <w:i w:val="0"/>
          <w:caps w:val="0"/>
          <w:color w:val="auto"/>
          <w:spacing w:val="0"/>
          <w:kern w:val="0"/>
          <w:sz w:val="32"/>
          <w:szCs w:val="32"/>
          <w:highlight w:val="none"/>
          <w:lang w:val="en-US" w:eastAsia="zh-CN" w:bidi="ar"/>
        </w:rPr>
        <w:t>。</w:t>
      </w:r>
      <w:r>
        <w:rPr>
          <w:rFonts w:hint="eastAsia" w:ascii="方正仿宋_GBK" w:hAnsi="方正仿宋_GBK" w:eastAsia="方正仿宋_GBK" w:cs="方正仿宋_GBK"/>
          <w:i w:val="0"/>
          <w:caps w:val="0"/>
          <w:color w:val="auto"/>
          <w:spacing w:val="0"/>
          <w:kern w:val="0"/>
          <w:sz w:val="32"/>
          <w:szCs w:val="32"/>
          <w:highlight w:val="none"/>
          <w:lang w:val="en-US" w:eastAsia="zh-CN" w:bidi="ar"/>
        </w:rPr>
        <w:t>积极推进养老服务领域供给性改革，重点开发适合老年人消费使用的新产品。引导社区、养老机构、老年大学设置针对老年人的智能信息技术培训课程，满足老年人智能化消费需求。正确引导老年人的消费观念和消费行为，促进老年消费市场的繁荣和发展。增强老年人权益保障。开展老年人产品和服务消费领域侵权行为专项整治，严厉打击面向老年人的假冒伪劣商品制售行为，严厉查处向老年人欺诈销售各类产品和服务的违法行为。</w:t>
      </w:r>
    </w:p>
    <w:p>
      <w:pPr>
        <w:pStyle w:val="36"/>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3"/>
        <w:textAlignment w:val="auto"/>
        <w:outlineLvl w:val="2"/>
        <w:rPr>
          <w:rStyle w:val="37"/>
          <w:rFonts w:hint="eastAsia" w:ascii="方正仿宋_GBK" w:hAnsi="方正仿宋_GBK" w:eastAsia="方正仿宋_GBK" w:cs="方正仿宋_GBK"/>
          <w:color w:val="auto"/>
          <w:kern w:val="0"/>
          <w:sz w:val="32"/>
          <w:szCs w:val="32"/>
          <w:highlight w:val="none"/>
          <w:lang w:val="en-US" w:eastAsia="zh-CN" w:bidi="ar"/>
        </w:rPr>
      </w:pPr>
      <w:r>
        <w:rPr>
          <w:rStyle w:val="37"/>
          <w:rFonts w:hint="eastAsia" w:ascii="方正仿宋_GBK" w:hAnsi="方正仿宋_GBK" w:eastAsia="方正仿宋_GBK" w:cs="方正仿宋_GBK"/>
          <w:color w:val="auto"/>
          <w:kern w:val="0"/>
          <w:sz w:val="32"/>
          <w:szCs w:val="32"/>
          <w:highlight w:val="none"/>
          <w:lang w:val="en-US" w:eastAsia="zh-CN" w:bidi="ar"/>
        </w:rPr>
        <w:t>18.提升老年人消费能力</w:t>
      </w:r>
      <w:r>
        <w:rPr>
          <w:rFonts w:hint="eastAsia" w:ascii="方正仿宋_GBK" w:hAnsi="方正仿宋_GBK" w:eastAsia="方正仿宋_GBK" w:cs="方正仿宋_GBK"/>
          <w:b/>
          <w:bCs/>
          <w:i w:val="0"/>
          <w:caps w:val="0"/>
          <w:color w:val="auto"/>
          <w:spacing w:val="0"/>
          <w:kern w:val="0"/>
          <w:sz w:val="32"/>
          <w:szCs w:val="32"/>
          <w:highlight w:val="none"/>
          <w:lang w:val="en-US" w:eastAsia="zh-CN" w:bidi="ar"/>
        </w:rPr>
        <w:t>。</w:t>
      </w:r>
      <w:r>
        <w:rPr>
          <w:rFonts w:hint="eastAsia" w:ascii="方正仿宋_GBK" w:hAnsi="方正仿宋_GBK" w:eastAsia="方正仿宋_GBK" w:cs="方正仿宋_GBK"/>
          <w:color w:val="auto"/>
          <w:sz w:val="32"/>
          <w:szCs w:val="32"/>
          <w:highlight w:val="none"/>
          <w:lang w:val="en-US" w:eastAsia="zh-CN"/>
        </w:rPr>
        <w:t>全面落实基本养老服务补贴制度。优化完善高龄津贴制度，推行</w:t>
      </w:r>
      <w:r>
        <w:rPr>
          <w:rFonts w:hint="eastAsia" w:ascii="方正仿宋_GBK" w:hAnsi="方正仿宋_GBK" w:eastAsia="方正仿宋_GBK" w:cs="方正仿宋_GBK"/>
          <w:color w:val="auto"/>
          <w:sz w:val="32"/>
          <w:szCs w:val="32"/>
          <w:highlight w:val="none"/>
          <w:lang w:val="zh-CN" w:eastAsia="zh-CN"/>
        </w:rPr>
        <w:t>经济困难的高龄、失能老人照护补贴制度，</w:t>
      </w:r>
      <w:r>
        <w:rPr>
          <w:rFonts w:hint="eastAsia" w:ascii="方正仿宋_GBK" w:hAnsi="方正仿宋_GBK" w:eastAsia="方正仿宋_GBK" w:cs="方正仿宋_GBK"/>
          <w:color w:val="auto"/>
          <w:sz w:val="32"/>
          <w:szCs w:val="32"/>
          <w:highlight w:val="none"/>
          <w:lang w:val="en-US" w:eastAsia="zh-CN"/>
        </w:rPr>
        <w:t>推动与残疾人两项补贴、社会救助等政策进一步衔接，完善补贴方式方法，提升精准度和有效性。</w:t>
      </w:r>
      <w:r>
        <w:rPr>
          <w:rFonts w:hint="eastAsia" w:ascii="方正仿宋_GBK" w:hAnsi="方正仿宋_GBK" w:eastAsia="方正仿宋_GBK" w:cs="方正仿宋_GBK"/>
          <w:color w:val="auto"/>
          <w:sz w:val="32"/>
          <w:szCs w:val="32"/>
          <w:highlight w:val="none"/>
          <w:lang w:val="zh-CN" w:eastAsia="zh-CN"/>
        </w:rPr>
        <w:t>充分发挥补贴政策的带动作用，转变政府服务供给方式，</w:t>
      </w:r>
      <w:r>
        <w:rPr>
          <w:rFonts w:hint="eastAsia" w:ascii="方正仿宋_GBK" w:hAnsi="方正仿宋_GBK" w:eastAsia="方正仿宋_GBK" w:cs="方正仿宋_GBK"/>
          <w:color w:val="auto"/>
          <w:sz w:val="32"/>
          <w:szCs w:val="32"/>
          <w:highlight w:val="none"/>
          <w:lang w:val="en-US" w:eastAsia="zh-CN"/>
        </w:rPr>
        <w:t>刺激养老服务市场有效供给。建立长期照护服务体系。</w:t>
      </w:r>
      <w:r>
        <w:rPr>
          <w:rFonts w:hint="eastAsia" w:ascii="方正仿宋_GBK" w:hAnsi="方正仿宋_GBK" w:eastAsia="方正仿宋_GBK" w:cs="方正仿宋_GBK"/>
          <w:sz w:val="32"/>
          <w:szCs w:val="32"/>
          <w:highlight w:val="none"/>
          <w:lang w:val="en-US" w:eastAsia="zh-CN"/>
        </w:rPr>
        <w:t>按照上级部门部署，</w:t>
      </w:r>
      <w:r>
        <w:rPr>
          <w:rFonts w:hint="eastAsia" w:ascii="方正仿宋_GBK" w:hAnsi="方正仿宋_GBK" w:eastAsia="方正仿宋_GBK" w:cs="方正仿宋_GBK"/>
          <w:color w:val="auto"/>
          <w:sz w:val="32"/>
          <w:szCs w:val="32"/>
          <w:highlight w:val="none"/>
          <w:lang w:val="en-US" w:eastAsia="zh-CN"/>
        </w:rPr>
        <w:t>积极探索长期照护保险制度，增强老年人接受护理照料的支付能力。开展老年人能力评估，评估结果与领取补贴、接受基本养老服务挂钩。</w:t>
      </w:r>
      <w:bookmarkEnd w:id="3"/>
    </w:p>
    <w:p>
      <w:pPr>
        <w:pStyle w:val="2"/>
        <w:keepNext w:val="0"/>
        <w:keepLines w:val="0"/>
        <w:pageBreakBefore w:val="0"/>
        <w:widowControl w:val="0"/>
        <w:numPr>
          <w:ilvl w:val="0"/>
          <w:numId w:val="0"/>
        </w:numPr>
        <w:tabs>
          <w:tab w:val="left" w:pos="3256"/>
        </w:tabs>
        <w:kinsoku/>
        <w:wordWrap/>
        <w:overflowPunct/>
        <w:topLinePunct w:val="0"/>
        <w:autoSpaceDE/>
        <w:autoSpaceDN/>
        <w:bidi w:val="0"/>
        <w:adjustRightInd w:val="0"/>
        <w:snapToGrid w:val="0"/>
        <w:spacing w:line="560" w:lineRule="exact"/>
        <w:ind w:firstLine="643" w:firstLineChars="200"/>
        <w:textAlignment w:val="baseline"/>
        <w:rPr>
          <w:rFonts w:hint="eastAsia" w:ascii="方正楷体_GBK" w:hAnsi="方正楷体_GBK" w:eastAsia="方正楷体_GBK" w:cs="方正楷体_GBK"/>
          <w:color w:val="auto"/>
          <w:sz w:val="32"/>
          <w:szCs w:val="32"/>
          <w:highlight w:val="none"/>
          <w:lang w:val="en-US" w:eastAsia="zh-CN"/>
        </w:rPr>
      </w:pPr>
      <w:r>
        <w:rPr>
          <w:rStyle w:val="37"/>
          <w:rFonts w:hint="eastAsia" w:ascii="方正仿宋_GBK" w:hAnsi="方正仿宋_GBK" w:eastAsia="方正仿宋_GBK" w:cs="方正仿宋_GBK"/>
          <w:color w:val="auto"/>
          <w:kern w:val="0"/>
          <w:sz w:val="32"/>
          <w:szCs w:val="32"/>
          <w:highlight w:val="none"/>
          <w:lang w:val="en-US" w:eastAsia="zh-CN" w:bidi="ar"/>
        </w:rPr>
        <w:t>六、</w:t>
      </w:r>
      <w:r>
        <w:rPr>
          <w:rFonts w:hint="eastAsia" w:ascii="方正楷体_GBK" w:hAnsi="方正楷体_GBK" w:eastAsia="方正楷体_GBK" w:cs="方正楷体_GBK"/>
          <w:b/>
          <w:bCs/>
          <w:kern w:val="2"/>
          <w:sz w:val="32"/>
          <w:szCs w:val="32"/>
          <w:highlight w:val="none"/>
          <w:lang w:val="en-US" w:eastAsia="zh-CN" w:bidi="ar-SA"/>
        </w:rPr>
        <w:t>强化养老服务发展资源要素保障</w:t>
      </w:r>
    </w:p>
    <w:p>
      <w:pPr>
        <w:pStyle w:val="2"/>
        <w:keepNext w:val="0"/>
        <w:keepLines w:val="0"/>
        <w:pageBreakBefore w:val="0"/>
        <w:widowControl w:val="0"/>
        <w:numPr>
          <w:ilvl w:val="0"/>
          <w:numId w:val="0"/>
        </w:numPr>
        <w:tabs>
          <w:tab w:val="left" w:pos="3256"/>
        </w:tabs>
        <w:kinsoku/>
        <w:wordWrap/>
        <w:overflowPunct/>
        <w:topLinePunct w:val="0"/>
        <w:autoSpaceDE/>
        <w:autoSpaceDN/>
        <w:bidi w:val="0"/>
        <w:adjustRightInd w:val="0"/>
        <w:snapToGrid w:val="0"/>
        <w:spacing w:line="560" w:lineRule="exact"/>
        <w:ind w:firstLine="643" w:firstLineChars="200"/>
        <w:textAlignment w:val="baseline"/>
        <w:rPr>
          <w:rFonts w:hint="default" w:ascii="方正仿宋_GBK" w:hAnsi="方正仿宋_GBK" w:eastAsia="方正仿宋_GBK" w:cs="方正仿宋_GBK"/>
          <w:b/>
          <w:bCs/>
          <w:i w:val="0"/>
          <w:caps w:val="0"/>
          <w:color w:val="auto"/>
          <w:spacing w:val="0"/>
          <w:kern w:val="0"/>
          <w:sz w:val="32"/>
          <w:szCs w:val="32"/>
          <w:highlight w:val="none"/>
          <w:lang w:val="en-US" w:eastAsia="zh-CN" w:bidi="ar"/>
        </w:rPr>
      </w:pPr>
      <w:r>
        <w:rPr>
          <w:rFonts w:hint="eastAsia" w:ascii="方正仿宋_GBK" w:hAnsi="方正仿宋_GBK" w:eastAsia="方正仿宋_GBK" w:cs="方正仿宋_GBK"/>
          <w:b/>
          <w:bCs/>
          <w:i w:val="0"/>
          <w:caps w:val="0"/>
          <w:color w:val="auto"/>
          <w:spacing w:val="0"/>
          <w:kern w:val="0"/>
          <w:sz w:val="32"/>
          <w:szCs w:val="32"/>
          <w:highlight w:val="none"/>
          <w:lang w:val="en-US" w:eastAsia="zh-CN" w:bidi="ar"/>
        </w:rPr>
        <w:t>（一）强化人才支撑</w:t>
      </w:r>
    </w:p>
    <w:p>
      <w:pPr>
        <w:pStyle w:val="2"/>
        <w:keepNext w:val="0"/>
        <w:keepLines w:val="0"/>
        <w:pageBreakBefore w:val="0"/>
        <w:widowControl w:val="0"/>
        <w:numPr>
          <w:ilvl w:val="0"/>
          <w:numId w:val="0"/>
        </w:numPr>
        <w:tabs>
          <w:tab w:val="left" w:pos="3256"/>
        </w:tabs>
        <w:kinsoku/>
        <w:wordWrap/>
        <w:overflowPunct/>
        <w:topLinePunct w:val="0"/>
        <w:autoSpaceDE/>
        <w:autoSpaceDN/>
        <w:bidi w:val="0"/>
        <w:adjustRightInd w:val="0"/>
        <w:snapToGrid w:val="0"/>
        <w:spacing w:line="560" w:lineRule="exact"/>
        <w:ind w:firstLine="643" w:firstLineChars="200"/>
        <w:textAlignment w:val="baseline"/>
        <w:rPr>
          <w:rStyle w:val="37"/>
          <w:rFonts w:hint="eastAsia" w:ascii="方正仿宋_GBK" w:hAnsi="方正仿宋_GBK" w:eastAsia="方正仿宋_GBK" w:cs="方正仿宋_GBK"/>
          <w:color w:val="auto"/>
          <w:kern w:val="0"/>
          <w:sz w:val="32"/>
          <w:szCs w:val="32"/>
          <w:highlight w:val="none"/>
          <w:lang w:val="en-US" w:eastAsia="zh-CN" w:bidi="ar"/>
        </w:rPr>
      </w:pPr>
      <w:r>
        <w:rPr>
          <w:rFonts w:hint="eastAsia" w:ascii="方正仿宋_GBK" w:hAnsi="方正仿宋_GBK" w:eastAsia="方正仿宋_GBK" w:cs="方正仿宋_GBK"/>
          <w:b/>
          <w:bCs/>
          <w:i w:val="0"/>
          <w:caps w:val="0"/>
          <w:color w:val="auto"/>
          <w:spacing w:val="0"/>
          <w:kern w:val="0"/>
          <w:sz w:val="32"/>
          <w:szCs w:val="32"/>
          <w:highlight w:val="none"/>
          <w:lang w:val="en-US" w:eastAsia="zh-CN" w:bidi="ar"/>
        </w:rPr>
        <w:t>19.加强养老服务人才培训。</w:t>
      </w:r>
      <w:r>
        <w:rPr>
          <w:rFonts w:hint="eastAsia" w:ascii="方正仿宋_GBK" w:hAnsi="方正仿宋_GBK" w:eastAsia="方正仿宋_GBK" w:cs="方正仿宋_GBK"/>
          <w:i w:val="0"/>
          <w:caps w:val="0"/>
          <w:color w:val="auto"/>
          <w:spacing w:val="0"/>
          <w:kern w:val="0"/>
          <w:sz w:val="32"/>
          <w:szCs w:val="32"/>
          <w:highlight w:val="none"/>
          <w:lang w:val="en-US" w:eastAsia="zh-CN" w:bidi="ar"/>
        </w:rPr>
        <w:t>提升职业技能水平，常态化开展养老护理员岗前培训、在岗轮训、转岗培训，强化养老护理员实际操作技能训练和综合能力素质培训，建设职业化、规范化、专业化的养老护理员队伍。支持行业学会协会、培训机构等主体按照评价规范开展标准化培训。加强养老服务行业就业指导服务，大力培养和引进养老服务专业人才。同步加强健康管理师、社会工作者、营养配餐师、心理咨询师、中医康复等养老服务专业人才的建设和培养。全市每年培训各类养老服务从业人员不少于250人次，实现培训规模和培训水平整体提升。到2025年，全市累计培训养老服务从业人员不少于1270人次。</w:t>
      </w:r>
    </w:p>
    <w:p>
      <w:pPr>
        <w:pStyle w:val="2"/>
        <w:keepNext w:val="0"/>
        <w:keepLines w:val="0"/>
        <w:pageBreakBefore w:val="0"/>
        <w:widowControl w:val="0"/>
        <w:numPr>
          <w:ilvl w:val="0"/>
          <w:numId w:val="0"/>
        </w:numPr>
        <w:tabs>
          <w:tab w:val="left" w:pos="3256"/>
        </w:tabs>
        <w:kinsoku/>
        <w:wordWrap/>
        <w:overflowPunct/>
        <w:topLinePunct w:val="0"/>
        <w:autoSpaceDE/>
        <w:autoSpaceDN/>
        <w:bidi w:val="0"/>
        <w:adjustRightInd w:val="0"/>
        <w:snapToGrid w:val="0"/>
        <w:spacing w:line="560" w:lineRule="exact"/>
        <w:ind w:firstLine="643" w:firstLineChars="200"/>
        <w:textAlignment w:val="baseline"/>
        <w:rPr>
          <w:rFonts w:hint="eastAsia" w:ascii="方正仿宋_GBK" w:hAnsi="方正仿宋_GBK" w:eastAsia="方正仿宋_GBK" w:cs="方正仿宋_GBK"/>
          <w:i w:val="0"/>
          <w:caps w:val="0"/>
          <w:color w:val="auto"/>
          <w:spacing w:val="0"/>
          <w:kern w:val="0"/>
          <w:sz w:val="32"/>
          <w:szCs w:val="32"/>
          <w:highlight w:val="none"/>
          <w:lang w:val="en-US" w:eastAsia="zh-CN" w:bidi="ar"/>
        </w:rPr>
      </w:pPr>
      <w:r>
        <w:rPr>
          <w:rFonts w:hint="eastAsia" w:ascii="方正仿宋_GBK" w:hAnsi="方正仿宋_GBK" w:eastAsia="方正仿宋_GBK" w:cs="方正仿宋_GBK"/>
          <w:b/>
          <w:bCs/>
          <w:i w:val="0"/>
          <w:caps w:val="0"/>
          <w:color w:val="auto"/>
          <w:spacing w:val="0"/>
          <w:kern w:val="0"/>
          <w:sz w:val="32"/>
          <w:szCs w:val="32"/>
          <w:highlight w:val="none"/>
          <w:lang w:val="en-US" w:eastAsia="zh-CN" w:bidi="ar"/>
        </w:rPr>
        <w:t>20.建立养老护理人员薪酬激励机制。</w:t>
      </w:r>
      <w:r>
        <w:rPr>
          <w:rFonts w:hint="eastAsia" w:ascii="方正仿宋_GBK" w:hAnsi="方正仿宋_GBK" w:eastAsia="方正仿宋_GBK" w:cs="方正仿宋_GBK"/>
          <w:i w:val="0"/>
          <w:caps w:val="0"/>
          <w:color w:val="auto"/>
          <w:spacing w:val="0"/>
          <w:kern w:val="0"/>
          <w:sz w:val="32"/>
          <w:szCs w:val="32"/>
          <w:highlight w:val="none"/>
          <w:lang w:val="en-US" w:eastAsia="zh-CN" w:bidi="ar"/>
        </w:rPr>
        <w:t>畅通养老服务从业人员职业技能等级发展通道、拓宽职业发展空间，建立健全以品德、能力和业绩为导向的养老服务人员职业技能评价制度。推广与职业技能等级配套的薪酬激励机制，推动养老机构建立养老护理员薪酬待遇、护理服务价格与职业技能等级挂钩制度，推动职业技能等级与工资收入、福利待遇、岗位晋升、服务价格等同步提升，建立合理、激励、竞争性并存的养老服务从业人员薪酬指导体系。</w:t>
      </w:r>
    </w:p>
    <w:p>
      <w:pPr>
        <w:pStyle w:val="2"/>
        <w:keepNext w:val="0"/>
        <w:keepLines w:val="0"/>
        <w:pageBreakBefore w:val="0"/>
        <w:widowControl w:val="0"/>
        <w:numPr>
          <w:ilvl w:val="0"/>
          <w:numId w:val="0"/>
        </w:numPr>
        <w:tabs>
          <w:tab w:val="left" w:pos="3256"/>
        </w:tabs>
        <w:kinsoku/>
        <w:wordWrap/>
        <w:overflowPunct/>
        <w:topLinePunct w:val="0"/>
        <w:autoSpaceDE/>
        <w:autoSpaceDN/>
        <w:bidi w:val="0"/>
        <w:adjustRightInd w:val="0"/>
        <w:snapToGrid w:val="0"/>
        <w:spacing w:line="560" w:lineRule="exact"/>
        <w:ind w:firstLine="643" w:firstLineChars="200"/>
        <w:textAlignment w:val="baseline"/>
        <w:rPr>
          <w:rFonts w:hint="eastAsia" w:ascii="方正仿宋_GBK" w:hAnsi="方正仿宋_GBK" w:eastAsia="方正仿宋_GBK" w:cs="方正仿宋_GBK"/>
          <w:i w:val="0"/>
          <w:caps w:val="0"/>
          <w:color w:val="auto"/>
          <w:spacing w:val="0"/>
          <w:kern w:val="0"/>
          <w:sz w:val="32"/>
          <w:szCs w:val="32"/>
          <w:highlight w:val="none"/>
          <w:lang w:val="en-US" w:eastAsia="zh-CN" w:bidi="ar"/>
        </w:rPr>
      </w:pPr>
      <w:r>
        <w:rPr>
          <w:rFonts w:hint="eastAsia" w:ascii="方正仿宋_GBK" w:hAnsi="方正仿宋_GBK" w:eastAsia="方正仿宋_GBK" w:cs="方正仿宋_GBK"/>
          <w:b/>
          <w:bCs/>
          <w:i w:val="0"/>
          <w:caps w:val="0"/>
          <w:color w:val="auto"/>
          <w:spacing w:val="0"/>
          <w:kern w:val="0"/>
          <w:sz w:val="32"/>
          <w:szCs w:val="32"/>
          <w:highlight w:val="none"/>
          <w:lang w:val="en-US" w:eastAsia="zh-CN" w:bidi="ar"/>
        </w:rPr>
        <w:t>21.推动医护人员从事医养结合服务。</w:t>
      </w:r>
      <w:r>
        <w:rPr>
          <w:rFonts w:hint="eastAsia" w:ascii="方正仿宋_GBK" w:hAnsi="方正仿宋_GBK" w:eastAsia="方正仿宋_GBK" w:cs="方正仿宋_GBK"/>
          <w:i w:val="0"/>
          <w:caps w:val="0"/>
          <w:color w:val="auto"/>
          <w:spacing w:val="0"/>
          <w:kern w:val="0"/>
          <w:sz w:val="32"/>
          <w:szCs w:val="32"/>
          <w:highlight w:val="none"/>
          <w:lang w:val="en-US" w:eastAsia="zh-CN" w:bidi="ar"/>
        </w:rPr>
        <w:t>落实医师执业地点区域注册制度，鼓励医护人员从事医养结合工作。鼓励退休医务人员到医养结合机构执业。鼓励在职医护人员到养老机构设置的医疗机构多点执业，支持符合条件的医师、护士在养老机构内开办诊所、护理站。</w:t>
      </w:r>
    </w:p>
    <w:p>
      <w:pPr>
        <w:pStyle w:val="2"/>
        <w:keepNext w:val="0"/>
        <w:keepLines w:val="0"/>
        <w:pageBreakBefore w:val="0"/>
        <w:widowControl w:val="0"/>
        <w:numPr>
          <w:ilvl w:val="0"/>
          <w:numId w:val="0"/>
        </w:numPr>
        <w:tabs>
          <w:tab w:val="left" w:pos="3256"/>
        </w:tabs>
        <w:kinsoku/>
        <w:wordWrap/>
        <w:overflowPunct/>
        <w:topLinePunct w:val="0"/>
        <w:autoSpaceDE/>
        <w:autoSpaceDN/>
        <w:bidi w:val="0"/>
        <w:adjustRightInd w:val="0"/>
        <w:snapToGrid w:val="0"/>
        <w:spacing w:line="560" w:lineRule="exact"/>
        <w:ind w:firstLine="643" w:firstLineChars="200"/>
        <w:textAlignment w:val="baseline"/>
        <w:rPr>
          <w:rFonts w:hint="eastAsia" w:ascii="方正仿宋_GBK" w:hAnsi="方正仿宋_GBK" w:eastAsia="方正仿宋_GBK" w:cs="方正仿宋_GBK"/>
          <w:i w:val="0"/>
          <w:caps w:val="0"/>
          <w:color w:val="auto"/>
          <w:spacing w:val="0"/>
          <w:kern w:val="0"/>
          <w:sz w:val="32"/>
          <w:szCs w:val="32"/>
          <w:highlight w:val="none"/>
          <w:lang w:val="en-US" w:eastAsia="zh-CN" w:bidi="ar"/>
        </w:rPr>
      </w:pPr>
      <w:r>
        <w:rPr>
          <w:rFonts w:hint="eastAsia" w:ascii="方正仿宋_GBK" w:hAnsi="方正仿宋_GBK" w:eastAsia="方正仿宋_GBK" w:cs="方正仿宋_GBK"/>
          <w:b/>
          <w:bCs/>
          <w:i w:val="0"/>
          <w:caps w:val="0"/>
          <w:color w:val="auto"/>
          <w:spacing w:val="0"/>
          <w:kern w:val="0"/>
          <w:sz w:val="32"/>
          <w:szCs w:val="32"/>
          <w:highlight w:val="none"/>
          <w:lang w:val="en-US" w:eastAsia="zh-CN" w:bidi="ar"/>
        </w:rPr>
        <w:t>22.建立养老服务行业就业创业机制。</w:t>
      </w:r>
      <w:r>
        <w:rPr>
          <w:rFonts w:hint="eastAsia" w:ascii="方正仿宋_GBK" w:hAnsi="方正仿宋_GBK" w:eastAsia="方正仿宋_GBK" w:cs="方正仿宋_GBK"/>
          <w:i w:val="0"/>
          <w:caps w:val="0"/>
          <w:color w:val="auto"/>
          <w:spacing w:val="0"/>
          <w:kern w:val="0"/>
          <w:sz w:val="32"/>
          <w:szCs w:val="32"/>
          <w:highlight w:val="none"/>
          <w:lang w:val="en-US" w:eastAsia="zh-CN" w:bidi="ar"/>
        </w:rPr>
        <w:t>结合政府购买基层公共管理和社会服务，注重在镇（街）、村（社区）等基层一线开发养老服务岗位，优先吸纳城镇就业困难人员、农村转移劳动力和应届高校毕业生就业。对招用就业困难人员并依法缴纳社会保险费的养老服务组织，按照规定给予岗位补贴、社会保险补贴等支持。对自主创办养老服务企业的就业困难人员以及在校和毕业五年内的高等学校、职业院校（含技工院校）学生，可给予一次性创业资助。对在养老服务组织连续从事康复护理等养老服务工作达到规定年限的高等学校、职业院校（含技工学校）毕业生，可给予入职奖励或者补贴。探索出台就业补贴政策，推动和吸引高等院校毕业生从事养老服务工作。</w:t>
      </w:r>
    </w:p>
    <w:p>
      <w:pPr>
        <w:pStyle w:val="2"/>
        <w:keepNext w:val="0"/>
        <w:keepLines w:val="0"/>
        <w:pageBreakBefore w:val="0"/>
        <w:widowControl w:val="0"/>
        <w:numPr>
          <w:ilvl w:val="0"/>
          <w:numId w:val="0"/>
        </w:numPr>
        <w:tabs>
          <w:tab w:val="left" w:pos="3256"/>
        </w:tabs>
        <w:kinsoku/>
        <w:wordWrap/>
        <w:overflowPunct/>
        <w:topLinePunct w:val="0"/>
        <w:autoSpaceDE/>
        <w:autoSpaceDN/>
        <w:bidi w:val="0"/>
        <w:adjustRightInd w:val="0"/>
        <w:snapToGrid w:val="0"/>
        <w:spacing w:line="560" w:lineRule="exact"/>
        <w:ind w:firstLine="643" w:firstLineChars="200"/>
        <w:textAlignment w:val="baseline"/>
        <w:rPr>
          <w:rFonts w:hint="eastAsia" w:ascii="方正仿宋_GBK" w:hAnsi="方正仿宋_GBK" w:eastAsia="方正仿宋_GBK" w:cs="方正仿宋_GBK"/>
          <w:i w:val="0"/>
          <w:caps w:val="0"/>
          <w:color w:val="auto"/>
          <w:spacing w:val="0"/>
          <w:kern w:val="0"/>
          <w:sz w:val="32"/>
          <w:szCs w:val="32"/>
          <w:highlight w:val="none"/>
          <w:lang w:val="en-US" w:eastAsia="zh-CN" w:bidi="ar"/>
        </w:rPr>
      </w:pPr>
      <w:r>
        <w:rPr>
          <w:rFonts w:hint="eastAsia" w:ascii="方正仿宋_GBK" w:hAnsi="方正仿宋_GBK" w:eastAsia="方正仿宋_GBK" w:cs="方正仿宋_GBK"/>
          <w:b/>
          <w:bCs/>
          <w:i w:val="0"/>
          <w:caps w:val="0"/>
          <w:color w:val="auto"/>
          <w:spacing w:val="0"/>
          <w:kern w:val="0"/>
          <w:sz w:val="32"/>
          <w:szCs w:val="32"/>
          <w:highlight w:val="none"/>
          <w:lang w:val="en-US" w:eastAsia="zh-CN" w:bidi="ar"/>
        </w:rPr>
        <w:t>23. 加强养老服务行业信用体系管理。</w:t>
      </w:r>
      <w:r>
        <w:rPr>
          <w:rFonts w:hint="eastAsia" w:ascii="方正仿宋_GBK" w:hAnsi="方正仿宋_GBK" w:eastAsia="方正仿宋_GBK" w:cs="方正仿宋_GBK"/>
          <w:i w:val="0"/>
          <w:caps w:val="0"/>
          <w:color w:val="auto"/>
          <w:spacing w:val="0"/>
          <w:kern w:val="0"/>
          <w:sz w:val="32"/>
          <w:szCs w:val="32"/>
          <w:highlight w:val="none"/>
          <w:lang w:val="en-US" w:eastAsia="zh-CN" w:bidi="ar"/>
        </w:rPr>
        <w:t>推进养老服务从业人员信息库建设，对养老服务从业人员进行统一登记管理，将从业人员登记管理信息纳入综合为老服务平台。推动成立行业自律组织，建立行业性社会组织开展从业人员诚信体系建设和综合服务评价。</w:t>
      </w:r>
    </w:p>
    <w:tbl>
      <w:tblPr>
        <w:tblStyle w:val="19"/>
        <w:tblW w:w="8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2"/>
        <w:gridCol w:w="1300"/>
        <w:gridCol w:w="1250"/>
        <w:gridCol w:w="1217"/>
        <w:gridCol w:w="1400"/>
        <w:gridCol w:w="1412"/>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8776" w:type="dxa"/>
            <w:gridSpan w:val="7"/>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b/>
                <w:bCs/>
                <w:color w:val="auto"/>
                <w:sz w:val="28"/>
                <w:szCs w:val="28"/>
                <w:highlight w:val="none"/>
                <w:lang w:eastAsia="zh-CN"/>
              </w:rPr>
              <w:t>专栏</w:t>
            </w:r>
            <w:r>
              <w:rPr>
                <w:rFonts w:hint="eastAsia" w:ascii="方正仿宋_GBK" w:hAnsi="方正仿宋_GBK" w:eastAsia="方正仿宋_GBK" w:cs="方正仿宋_GBK"/>
                <w:b/>
                <w:bCs/>
                <w:color w:val="auto"/>
                <w:sz w:val="28"/>
                <w:szCs w:val="28"/>
                <w:highlight w:val="none"/>
                <w:lang w:val="en-US" w:eastAsia="zh-CN"/>
              </w:rPr>
              <w:t>8：“十四五”期间开展养老服务培训目标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atLeast"/>
          <w:jc w:val="center"/>
        </w:trPr>
        <w:tc>
          <w:tcPr>
            <w:tcW w:w="1042" w:type="dxa"/>
            <w:vAlign w:val="center"/>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年度</w:t>
            </w:r>
          </w:p>
        </w:tc>
        <w:tc>
          <w:tcPr>
            <w:tcW w:w="1300" w:type="dxa"/>
            <w:vAlign w:val="center"/>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专业技能培训（场次）</w:t>
            </w:r>
          </w:p>
        </w:tc>
        <w:tc>
          <w:tcPr>
            <w:tcW w:w="1250" w:type="dxa"/>
            <w:vAlign w:val="center"/>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参与</w:t>
            </w:r>
            <w:r>
              <w:rPr>
                <w:rFonts w:hint="eastAsia" w:ascii="方正仿宋_GBK" w:hAnsi="方正仿宋_GBK" w:eastAsia="方正仿宋_GBK" w:cs="方正仿宋_GBK"/>
                <w:color w:val="auto"/>
                <w:sz w:val="28"/>
                <w:szCs w:val="28"/>
                <w:highlight w:val="none"/>
                <w:lang w:eastAsia="zh-CN"/>
              </w:rPr>
              <w:t>目标</w:t>
            </w:r>
            <w:r>
              <w:rPr>
                <w:rFonts w:hint="eastAsia" w:ascii="方正仿宋_GBK" w:hAnsi="方正仿宋_GBK" w:eastAsia="方正仿宋_GBK" w:cs="方正仿宋_GBK"/>
                <w:color w:val="auto"/>
                <w:sz w:val="28"/>
                <w:szCs w:val="28"/>
                <w:highlight w:val="none"/>
              </w:rPr>
              <w:t>人次</w:t>
            </w:r>
          </w:p>
        </w:tc>
        <w:tc>
          <w:tcPr>
            <w:tcW w:w="1217" w:type="dxa"/>
            <w:vAlign w:val="center"/>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职业道德培训（场次）</w:t>
            </w:r>
          </w:p>
        </w:tc>
        <w:tc>
          <w:tcPr>
            <w:tcW w:w="1400" w:type="dxa"/>
            <w:vAlign w:val="center"/>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参与</w:t>
            </w:r>
            <w:r>
              <w:rPr>
                <w:rFonts w:hint="eastAsia" w:ascii="方正仿宋_GBK" w:hAnsi="方正仿宋_GBK" w:eastAsia="方正仿宋_GBK" w:cs="方正仿宋_GBK"/>
                <w:color w:val="auto"/>
                <w:sz w:val="28"/>
                <w:szCs w:val="28"/>
                <w:highlight w:val="none"/>
                <w:lang w:eastAsia="zh-CN"/>
              </w:rPr>
              <w:t>目标</w:t>
            </w:r>
            <w:r>
              <w:rPr>
                <w:rFonts w:hint="eastAsia" w:ascii="方正仿宋_GBK" w:hAnsi="方正仿宋_GBK" w:eastAsia="方正仿宋_GBK" w:cs="方正仿宋_GBK"/>
                <w:color w:val="auto"/>
                <w:sz w:val="28"/>
                <w:szCs w:val="28"/>
                <w:highlight w:val="none"/>
              </w:rPr>
              <w:t>人次</w:t>
            </w:r>
          </w:p>
        </w:tc>
        <w:tc>
          <w:tcPr>
            <w:tcW w:w="1412" w:type="dxa"/>
            <w:vAlign w:val="center"/>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安全及应急培训（场次）</w:t>
            </w:r>
          </w:p>
        </w:tc>
        <w:tc>
          <w:tcPr>
            <w:tcW w:w="115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参与</w:t>
            </w:r>
            <w:r>
              <w:rPr>
                <w:rFonts w:hint="eastAsia" w:ascii="方正仿宋_GBK" w:hAnsi="方正仿宋_GBK" w:eastAsia="方正仿宋_GBK" w:cs="方正仿宋_GBK"/>
                <w:color w:val="auto"/>
                <w:sz w:val="28"/>
                <w:szCs w:val="28"/>
                <w:highlight w:val="none"/>
                <w:lang w:eastAsia="zh-CN"/>
              </w:rPr>
              <w:t>目标</w:t>
            </w:r>
            <w:r>
              <w:rPr>
                <w:rFonts w:hint="eastAsia" w:ascii="方正仿宋_GBK" w:hAnsi="方正仿宋_GBK" w:eastAsia="方正仿宋_GBK" w:cs="方正仿宋_GBK"/>
                <w:color w:val="auto"/>
                <w:sz w:val="28"/>
                <w:szCs w:val="28"/>
                <w:highlight w:val="none"/>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2" w:type="dxa"/>
            <w:vAlign w:val="center"/>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20</w:t>
            </w:r>
            <w:r>
              <w:rPr>
                <w:rFonts w:hint="eastAsia" w:ascii="方正仿宋_GBK" w:hAnsi="方正仿宋_GBK" w:eastAsia="方正仿宋_GBK" w:cs="方正仿宋_GBK"/>
                <w:color w:val="auto"/>
                <w:sz w:val="28"/>
                <w:szCs w:val="28"/>
                <w:highlight w:val="none"/>
                <w:lang w:val="en-US" w:eastAsia="zh-CN"/>
              </w:rPr>
              <w:t>21</w:t>
            </w:r>
          </w:p>
        </w:tc>
        <w:tc>
          <w:tcPr>
            <w:tcW w:w="1300"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2</w:t>
            </w:r>
          </w:p>
        </w:tc>
        <w:tc>
          <w:tcPr>
            <w:tcW w:w="1250"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50</w:t>
            </w:r>
          </w:p>
        </w:tc>
        <w:tc>
          <w:tcPr>
            <w:tcW w:w="1217"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w:t>
            </w:r>
          </w:p>
        </w:tc>
        <w:tc>
          <w:tcPr>
            <w:tcW w:w="1400"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50</w:t>
            </w:r>
          </w:p>
        </w:tc>
        <w:tc>
          <w:tcPr>
            <w:tcW w:w="1412"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w:t>
            </w:r>
          </w:p>
        </w:tc>
        <w:tc>
          <w:tcPr>
            <w:tcW w:w="115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2" w:type="dxa"/>
            <w:vAlign w:val="center"/>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20</w:t>
            </w:r>
            <w:r>
              <w:rPr>
                <w:rFonts w:hint="eastAsia" w:ascii="方正仿宋_GBK" w:hAnsi="方正仿宋_GBK" w:eastAsia="方正仿宋_GBK" w:cs="方正仿宋_GBK"/>
                <w:color w:val="auto"/>
                <w:sz w:val="28"/>
                <w:szCs w:val="28"/>
                <w:highlight w:val="none"/>
                <w:lang w:val="en-US" w:eastAsia="zh-CN"/>
              </w:rPr>
              <w:t>22</w:t>
            </w:r>
          </w:p>
        </w:tc>
        <w:tc>
          <w:tcPr>
            <w:tcW w:w="1300"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2</w:t>
            </w:r>
          </w:p>
        </w:tc>
        <w:tc>
          <w:tcPr>
            <w:tcW w:w="1250"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100</w:t>
            </w:r>
          </w:p>
        </w:tc>
        <w:tc>
          <w:tcPr>
            <w:tcW w:w="1217"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w:t>
            </w:r>
          </w:p>
        </w:tc>
        <w:tc>
          <w:tcPr>
            <w:tcW w:w="1400"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80</w:t>
            </w:r>
          </w:p>
        </w:tc>
        <w:tc>
          <w:tcPr>
            <w:tcW w:w="1412"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w:t>
            </w:r>
          </w:p>
        </w:tc>
        <w:tc>
          <w:tcPr>
            <w:tcW w:w="115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2" w:type="dxa"/>
            <w:vAlign w:val="center"/>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20</w:t>
            </w:r>
            <w:r>
              <w:rPr>
                <w:rFonts w:hint="eastAsia" w:ascii="方正仿宋_GBK" w:hAnsi="方正仿宋_GBK" w:eastAsia="方正仿宋_GBK" w:cs="方正仿宋_GBK"/>
                <w:color w:val="auto"/>
                <w:sz w:val="28"/>
                <w:szCs w:val="28"/>
                <w:highlight w:val="none"/>
                <w:lang w:val="en-US" w:eastAsia="zh-CN"/>
              </w:rPr>
              <w:t>23</w:t>
            </w:r>
          </w:p>
        </w:tc>
        <w:tc>
          <w:tcPr>
            <w:tcW w:w="1300"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2</w:t>
            </w:r>
          </w:p>
        </w:tc>
        <w:tc>
          <w:tcPr>
            <w:tcW w:w="1250"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100</w:t>
            </w:r>
          </w:p>
        </w:tc>
        <w:tc>
          <w:tcPr>
            <w:tcW w:w="1217"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w:t>
            </w:r>
          </w:p>
        </w:tc>
        <w:tc>
          <w:tcPr>
            <w:tcW w:w="1400"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80</w:t>
            </w:r>
          </w:p>
        </w:tc>
        <w:tc>
          <w:tcPr>
            <w:tcW w:w="1412"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w:t>
            </w:r>
          </w:p>
        </w:tc>
        <w:tc>
          <w:tcPr>
            <w:tcW w:w="115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2" w:type="dxa"/>
            <w:vAlign w:val="center"/>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20</w:t>
            </w:r>
            <w:r>
              <w:rPr>
                <w:rFonts w:hint="eastAsia" w:ascii="方正仿宋_GBK" w:hAnsi="方正仿宋_GBK" w:eastAsia="方正仿宋_GBK" w:cs="方正仿宋_GBK"/>
                <w:color w:val="auto"/>
                <w:sz w:val="28"/>
                <w:szCs w:val="28"/>
                <w:highlight w:val="none"/>
                <w:lang w:val="en-US" w:eastAsia="zh-CN"/>
              </w:rPr>
              <w:t>24</w:t>
            </w:r>
          </w:p>
        </w:tc>
        <w:tc>
          <w:tcPr>
            <w:tcW w:w="1300"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2</w:t>
            </w:r>
          </w:p>
        </w:tc>
        <w:tc>
          <w:tcPr>
            <w:tcW w:w="1250"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100</w:t>
            </w:r>
          </w:p>
        </w:tc>
        <w:tc>
          <w:tcPr>
            <w:tcW w:w="1217"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w:t>
            </w:r>
          </w:p>
        </w:tc>
        <w:tc>
          <w:tcPr>
            <w:tcW w:w="1400"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100</w:t>
            </w:r>
          </w:p>
        </w:tc>
        <w:tc>
          <w:tcPr>
            <w:tcW w:w="1412"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w:t>
            </w:r>
          </w:p>
        </w:tc>
        <w:tc>
          <w:tcPr>
            <w:tcW w:w="115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2" w:type="dxa"/>
            <w:vAlign w:val="center"/>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202</w:t>
            </w:r>
            <w:r>
              <w:rPr>
                <w:rFonts w:hint="eastAsia" w:ascii="方正仿宋_GBK" w:hAnsi="方正仿宋_GBK" w:eastAsia="方正仿宋_GBK" w:cs="方正仿宋_GBK"/>
                <w:color w:val="auto"/>
                <w:sz w:val="28"/>
                <w:szCs w:val="28"/>
                <w:highlight w:val="none"/>
                <w:lang w:val="en-US" w:eastAsia="zh-CN"/>
              </w:rPr>
              <w:t>5</w:t>
            </w:r>
          </w:p>
        </w:tc>
        <w:tc>
          <w:tcPr>
            <w:tcW w:w="1300"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2</w:t>
            </w:r>
          </w:p>
        </w:tc>
        <w:tc>
          <w:tcPr>
            <w:tcW w:w="1250"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100</w:t>
            </w:r>
          </w:p>
        </w:tc>
        <w:tc>
          <w:tcPr>
            <w:tcW w:w="1217"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w:t>
            </w:r>
          </w:p>
        </w:tc>
        <w:tc>
          <w:tcPr>
            <w:tcW w:w="1400"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100</w:t>
            </w:r>
          </w:p>
        </w:tc>
        <w:tc>
          <w:tcPr>
            <w:tcW w:w="1412"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w:t>
            </w:r>
          </w:p>
        </w:tc>
        <w:tc>
          <w:tcPr>
            <w:tcW w:w="115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100</w:t>
            </w:r>
          </w:p>
        </w:tc>
      </w:tr>
    </w:tbl>
    <w:p>
      <w:pPr>
        <w:pStyle w:val="2"/>
        <w:keepNext w:val="0"/>
        <w:keepLines w:val="0"/>
        <w:pageBreakBefore w:val="0"/>
        <w:widowControl w:val="0"/>
        <w:numPr>
          <w:ilvl w:val="0"/>
          <w:numId w:val="0"/>
        </w:numPr>
        <w:tabs>
          <w:tab w:val="left" w:pos="3256"/>
        </w:tabs>
        <w:kinsoku/>
        <w:wordWrap/>
        <w:overflowPunct/>
        <w:topLinePunct w:val="0"/>
        <w:autoSpaceDE/>
        <w:autoSpaceDN/>
        <w:bidi w:val="0"/>
        <w:adjustRightInd w:val="0"/>
        <w:snapToGrid w:val="0"/>
        <w:spacing w:line="560" w:lineRule="exact"/>
        <w:ind w:firstLine="643" w:firstLineChars="200"/>
        <w:textAlignment w:val="baseline"/>
        <w:rPr>
          <w:rStyle w:val="37"/>
          <w:rFonts w:hint="eastAsia" w:ascii="方正仿宋_GBK" w:hAnsi="方正仿宋_GBK" w:eastAsia="方正仿宋_GBK" w:cs="方正仿宋_GBK"/>
          <w:color w:val="auto"/>
          <w:kern w:val="0"/>
          <w:sz w:val="32"/>
          <w:szCs w:val="32"/>
          <w:highlight w:val="none"/>
          <w:lang w:val="en-US" w:eastAsia="zh-CN" w:bidi="ar"/>
        </w:rPr>
      </w:pPr>
      <w:r>
        <w:rPr>
          <w:rStyle w:val="37"/>
          <w:rFonts w:hint="eastAsia" w:ascii="方正仿宋_GBK" w:hAnsi="方正仿宋_GBK" w:eastAsia="方正仿宋_GBK" w:cs="方正仿宋_GBK"/>
          <w:color w:val="auto"/>
          <w:kern w:val="0"/>
          <w:sz w:val="32"/>
          <w:szCs w:val="32"/>
          <w:highlight w:val="none"/>
          <w:lang w:val="en-US" w:eastAsia="zh-CN" w:bidi="ar"/>
        </w:rPr>
        <w:t>（二）推进医养结合</w:t>
      </w:r>
    </w:p>
    <w:p>
      <w:pPr>
        <w:pStyle w:val="2"/>
        <w:keepNext w:val="0"/>
        <w:keepLines w:val="0"/>
        <w:pageBreakBefore w:val="0"/>
        <w:widowControl w:val="0"/>
        <w:numPr>
          <w:ilvl w:val="0"/>
          <w:numId w:val="0"/>
        </w:numPr>
        <w:tabs>
          <w:tab w:val="left" w:pos="3256"/>
        </w:tabs>
        <w:kinsoku/>
        <w:wordWrap/>
        <w:overflowPunct/>
        <w:topLinePunct w:val="0"/>
        <w:autoSpaceDE/>
        <w:autoSpaceDN/>
        <w:bidi w:val="0"/>
        <w:adjustRightInd w:val="0"/>
        <w:snapToGrid w:val="0"/>
        <w:spacing w:line="560" w:lineRule="exact"/>
        <w:ind w:firstLine="643" w:firstLineChars="200"/>
        <w:textAlignment w:val="baseline"/>
        <w:rPr>
          <w:rFonts w:hint="eastAsia" w:ascii="方正仿宋_GBK" w:hAnsi="方正仿宋_GBK" w:eastAsia="方正仿宋_GBK" w:cs="方正仿宋_GBK"/>
          <w:i w:val="0"/>
          <w:caps w:val="0"/>
          <w:color w:val="auto"/>
          <w:spacing w:val="0"/>
          <w:kern w:val="0"/>
          <w:sz w:val="32"/>
          <w:szCs w:val="32"/>
          <w:highlight w:val="none"/>
          <w:lang w:val="en-US" w:eastAsia="zh-CN" w:bidi="ar"/>
        </w:rPr>
      </w:pPr>
      <w:r>
        <w:rPr>
          <w:rStyle w:val="37"/>
          <w:rFonts w:hint="eastAsia" w:ascii="方正仿宋_GBK" w:hAnsi="方正仿宋_GBK" w:eastAsia="方正仿宋_GBK" w:cs="方正仿宋_GBK"/>
          <w:color w:val="auto"/>
          <w:kern w:val="0"/>
          <w:sz w:val="32"/>
          <w:szCs w:val="32"/>
          <w:highlight w:val="none"/>
          <w:lang w:val="en-US" w:eastAsia="zh-CN" w:bidi="ar"/>
        </w:rPr>
        <w:t>24.落实简化医养结合机构审批流程</w:t>
      </w:r>
      <w:r>
        <w:rPr>
          <w:rFonts w:hint="eastAsia" w:ascii="方正仿宋_GBK" w:hAnsi="方正仿宋_GBK" w:eastAsia="方正仿宋_GBK" w:cs="方正仿宋_GBK"/>
          <w:b/>
          <w:bCs/>
          <w:color w:val="auto"/>
          <w:spacing w:val="6"/>
          <w:sz w:val="32"/>
          <w:szCs w:val="32"/>
          <w:highlight w:val="none"/>
          <w:lang w:val="en-US" w:eastAsia="zh-CN"/>
        </w:rPr>
        <w:t>。</w:t>
      </w:r>
      <w:r>
        <w:rPr>
          <w:rFonts w:hint="eastAsia" w:ascii="方正仿宋_GBK" w:hAnsi="方正仿宋_GBK" w:eastAsia="方正仿宋_GBK" w:cs="方正仿宋_GBK"/>
          <w:i w:val="0"/>
          <w:caps w:val="0"/>
          <w:color w:val="auto"/>
          <w:spacing w:val="0"/>
          <w:kern w:val="0"/>
          <w:sz w:val="32"/>
          <w:szCs w:val="32"/>
          <w:highlight w:val="none"/>
          <w:lang w:val="en-US" w:eastAsia="zh-CN" w:bidi="ar"/>
        </w:rPr>
        <w:t>对养老机构内设诊所、卫生所（室）、医务室、护理站，取消行政审批，实行备案管理，具备法人资格的医疗机构可通过变更登记事项或经营范围开展养老服务。健全养老机构与医疗卫生机构预约就诊、双向转诊等合作机制，基本构建养老、医疗、照护、康复、临终关怀等服务衔接补充的一体化服务模式。将养老机构内设符合条件的医疗机构纳入城乡居民基本医疗保险定点结算范围。</w:t>
      </w:r>
    </w:p>
    <w:p>
      <w:pPr>
        <w:pStyle w:val="2"/>
        <w:keepNext w:val="0"/>
        <w:keepLines w:val="0"/>
        <w:pageBreakBefore w:val="0"/>
        <w:widowControl w:val="0"/>
        <w:numPr>
          <w:ilvl w:val="0"/>
          <w:numId w:val="0"/>
        </w:numPr>
        <w:tabs>
          <w:tab w:val="left" w:pos="3256"/>
        </w:tabs>
        <w:kinsoku/>
        <w:wordWrap/>
        <w:overflowPunct/>
        <w:topLinePunct w:val="0"/>
        <w:autoSpaceDE/>
        <w:autoSpaceDN/>
        <w:bidi w:val="0"/>
        <w:adjustRightInd w:val="0"/>
        <w:snapToGrid w:val="0"/>
        <w:spacing w:line="560" w:lineRule="exact"/>
        <w:ind w:firstLine="667" w:firstLineChars="200"/>
        <w:textAlignment w:val="baseline"/>
        <w:rPr>
          <w:rFonts w:hint="eastAsia" w:ascii="方正仿宋_GBK" w:hAnsi="方正仿宋_GBK" w:eastAsia="方正仿宋_GBK" w:cs="方正仿宋_GBK"/>
          <w:i w:val="0"/>
          <w:caps w:val="0"/>
          <w:color w:val="auto"/>
          <w:spacing w:val="0"/>
          <w:kern w:val="0"/>
          <w:sz w:val="32"/>
          <w:szCs w:val="32"/>
          <w:highlight w:val="none"/>
          <w:lang w:val="en-US" w:eastAsia="zh-CN" w:bidi="ar"/>
        </w:rPr>
      </w:pPr>
      <w:r>
        <w:rPr>
          <w:rFonts w:hint="eastAsia" w:ascii="方正仿宋_GBK" w:hAnsi="方正仿宋_GBK" w:eastAsia="方正仿宋_GBK" w:cs="方正仿宋_GBK"/>
          <w:b/>
          <w:bCs/>
          <w:color w:val="auto"/>
          <w:spacing w:val="6"/>
          <w:sz w:val="32"/>
          <w:szCs w:val="32"/>
          <w:highlight w:val="none"/>
          <w:lang w:val="en-US" w:eastAsia="zh-CN"/>
        </w:rPr>
        <w:t>25.支持多种模式发展医养结合服务。</w:t>
      </w:r>
      <w:r>
        <w:rPr>
          <w:rFonts w:hint="eastAsia" w:ascii="方正仿宋_GBK" w:hAnsi="方正仿宋_GBK" w:eastAsia="方正仿宋_GBK" w:cs="方正仿宋_GBK"/>
          <w:i w:val="0"/>
          <w:caps w:val="0"/>
          <w:color w:val="auto"/>
          <w:spacing w:val="0"/>
          <w:kern w:val="0"/>
          <w:sz w:val="32"/>
          <w:szCs w:val="32"/>
          <w:highlight w:val="none"/>
          <w:lang w:val="en-US" w:eastAsia="zh-CN" w:bidi="ar"/>
        </w:rPr>
        <w:t xml:space="preserve">在养老机构中加强老年病医院、康复医院、护理院和中医院等建设，养老机构举办二级及以下特定医疗机构的，设置审批与执业登记“两证合一”。推动医疗卫生机构设立养老机构或开展养老服务，在老年康复医院、护理院、临终关怀机构和综合医院等机构中加强老年病科室建设。推动具备条件的卫生院运营管理敬老院，实现“两院一体”。依托有条件的养老机构探索开展认知障碍服务项目及临终关怀专项服务，力争到2025年，全市建有至少1所提供临终关怀服务的专业机构。 </w:t>
      </w:r>
    </w:p>
    <w:p>
      <w:pPr>
        <w:pStyle w:val="2"/>
        <w:keepNext w:val="0"/>
        <w:keepLines w:val="0"/>
        <w:pageBreakBefore w:val="0"/>
        <w:widowControl w:val="0"/>
        <w:numPr>
          <w:ilvl w:val="0"/>
          <w:numId w:val="0"/>
        </w:numPr>
        <w:tabs>
          <w:tab w:val="left" w:pos="3256"/>
        </w:tabs>
        <w:kinsoku/>
        <w:wordWrap/>
        <w:overflowPunct/>
        <w:topLinePunct w:val="0"/>
        <w:autoSpaceDE/>
        <w:autoSpaceDN/>
        <w:bidi w:val="0"/>
        <w:adjustRightInd w:val="0"/>
        <w:snapToGrid w:val="0"/>
        <w:spacing w:line="560" w:lineRule="exact"/>
        <w:ind w:firstLine="667" w:firstLineChars="200"/>
        <w:textAlignment w:val="baseline"/>
        <w:rPr>
          <w:rFonts w:hint="default" w:ascii="方正仿宋_GBK" w:hAnsi="方正仿宋_GBK" w:eastAsia="方正仿宋_GBK" w:cs="方正仿宋_GBK"/>
          <w:i w:val="0"/>
          <w:caps w:val="0"/>
          <w:color w:val="auto"/>
          <w:spacing w:val="0"/>
          <w:kern w:val="0"/>
          <w:sz w:val="32"/>
          <w:szCs w:val="32"/>
          <w:highlight w:val="none"/>
          <w:lang w:val="en-US" w:eastAsia="zh-CN" w:bidi="ar"/>
        </w:rPr>
      </w:pPr>
      <w:r>
        <w:rPr>
          <w:rFonts w:hint="eastAsia" w:ascii="方正仿宋_GBK" w:hAnsi="方正仿宋_GBK" w:eastAsia="方正仿宋_GBK" w:cs="方正仿宋_GBK"/>
          <w:b/>
          <w:bCs/>
          <w:color w:val="auto"/>
          <w:spacing w:val="6"/>
          <w:sz w:val="32"/>
          <w:szCs w:val="32"/>
          <w:highlight w:val="none"/>
          <w:lang w:val="en-US" w:eastAsia="zh-CN"/>
        </w:rPr>
        <w:t>26.推进养老机构照护服务能力建设。</w:t>
      </w:r>
      <w:r>
        <w:rPr>
          <w:rFonts w:hint="eastAsia" w:ascii="方正仿宋_GBK" w:hAnsi="方正仿宋_GBK" w:eastAsia="方正仿宋_GBK" w:cs="方正仿宋_GBK"/>
          <w:i w:val="0"/>
          <w:caps w:val="0"/>
          <w:color w:val="auto"/>
          <w:spacing w:val="0"/>
          <w:kern w:val="0"/>
          <w:sz w:val="32"/>
          <w:szCs w:val="32"/>
          <w:highlight w:val="none"/>
          <w:lang w:val="en-US" w:eastAsia="zh-CN" w:bidi="ar"/>
        </w:rPr>
        <w:t>提高养老机构护理型床位和认知障碍照护床位建设，推动实现失能特困老年人专业照护服务全覆盖，到2025年，全市建有至少1家具有医养结合功能的县级特困人员供养服务设施（敬老院）。推动农村医疗卫生机构利用现有富余床位开设康复、护理床位。探索对养老机构开设护理型床位提供补助。到2022年，基层医疗卫生机构护理床位占比达到30%；到2025年，全市二级及以上综合性医院设置老年医学科比例达到100%。到2025年，所有医疗机构开设为老年人提供挂号、就医等便利服务的绿色通道，基本构建养老、医疗、照护、康复、临终关怀等服务衔接补充的“医养结合”一体化服务模式。</w:t>
      </w:r>
    </w:p>
    <w:p>
      <w:pPr>
        <w:pStyle w:val="2"/>
        <w:keepNext w:val="0"/>
        <w:keepLines w:val="0"/>
        <w:pageBreakBefore w:val="0"/>
        <w:widowControl w:val="0"/>
        <w:numPr>
          <w:ilvl w:val="0"/>
          <w:numId w:val="0"/>
        </w:numPr>
        <w:tabs>
          <w:tab w:val="left" w:pos="3256"/>
        </w:tabs>
        <w:kinsoku/>
        <w:wordWrap/>
        <w:overflowPunct/>
        <w:topLinePunct w:val="0"/>
        <w:autoSpaceDE/>
        <w:autoSpaceDN/>
        <w:bidi w:val="0"/>
        <w:adjustRightInd w:val="0"/>
        <w:snapToGrid w:val="0"/>
        <w:spacing w:line="560" w:lineRule="exact"/>
        <w:ind w:firstLine="667" w:firstLineChars="200"/>
        <w:textAlignment w:val="baseline"/>
        <w:rPr>
          <w:rFonts w:hint="eastAsia" w:ascii="方正仿宋_GBK" w:hAnsi="方正仿宋_GBK" w:eastAsia="方正仿宋_GBK" w:cs="方正仿宋_GBK"/>
          <w:i w:val="0"/>
          <w:caps w:val="0"/>
          <w:color w:val="auto"/>
          <w:spacing w:val="0"/>
          <w:kern w:val="0"/>
          <w:sz w:val="32"/>
          <w:szCs w:val="32"/>
          <w:highlight w:val="none"/>
          <w:lang w:val="en-US" w:eastAsia="zh-CN" w:bidi="ar"/>
        </w:rPr>
      </w:pPr>
      <w:r>
        <w:rPr>
          <w:rFonts w:hint="eastAsia" w:ascii="方正仿宋_GBK" w:hAnsi="方正仿宋_GBK" w:eastAsia="方正仿宋_GBK" w:cs="方正仿宋_GBK"/>
          <w:b/>
          <w:bCs/>
          <w:color w:val="auto"/>
          <w:spacing w:val="6"/>
          <w:sz w:val="32"/>
          <w:szCs w:val="32"/>
          <w:highlight w:val="none"/>
          <w:lang w:val="en-US" w:eastAsia="zh-CN"/>
        </w:rPr>
        <w:t>27.发展“养老+商保”照护保障项目。</w:t>
      </w:r>
      <w:r>
        <w:rPr>
          <w:rFonts w:hint="eastAsia" w:ascii="方正仿宋_GBK" w:hAnsi="方正仿宋_GBK" w:eastAsia="方正仿宋_GBK" w:cs="方正仿宋_GBK"/>
          <w:i w:val="0"/>
          <w:caps w:val="0"/>
          <w:color w:val="auto"/>
          <w:spacing w:val="0"/>
          <w:kern w:val="0"/>
          <w:sz w:val="32"/>
          <w:szCs w:val="32"/>
          <w:highlight w:val="none"/>
          <w:lang w:val="en-US" w:eastAsia="zh-CN" w:bidi="ar"/>
        </w:rPr>
        <w:t>实施江门市医养结合补充保险“邑康保”项目，全额资助鹤山市户籍60周岁及以上特殊困难老年人参保“邑康保”，通过定点养老服务机构服务提升失能老年人照护服务水平。</w:t>
      </w:r>
    </w:p>
    <w:p>
      <w:pPr>
        <w:pStyle w:val="2"/>
        <w:keepNext w:val="0"/>
        <w:keepLines w:val="0"/>
        <w:pageBreakBefore w:val="0"/>
        <w:widowControl w:val="0"/>
        <w:numPr>
          <w:ilvl w:val="0"/>
          <w:numId w:val="0"/>
        </w:numPr>
        <w:tabs>
          <w:tab w:val="left" w:pos="3256"/>
        </w:tabs>
        <w:kinsoku/>
        <w:wordWrap/>
        <w:overflowPunct/>
        <w:topLinePunct w:val="0"/>
        <w:autoSpaceDE/>
        <w:autoSpaceDN/>
        <w:bidi w:val="0"/>
        <w:adjustRightInd w:val="0"/>
        <w:snapToGrid w:val="0"/>
        <w:spacing w:line="560" w:lineRule="exact"/>
        <w:ind w:firstLine="667" w:firstLineChars="200"/>
        <w:textAlignment w:val="baseline"/>
        <w:rPr>
          <w:rFonts w:hint="default" w:ascii="方正仿宋_GBK" w:hAnsi="方正仿宋_GBK" w:eastAsia="方正仿宋_GBK" w:cs="方正仿宋_GBK"/>
          <w:i w:val="0"/>
          <w:caps w:val="0"/>
          <w:color w:val="auto"/>
          <w:spacing w:val="0"/>
          <w:kern w:val="0"/>
          <w:sz w:val="32"/>
          <w:szCs w:val="32"/>
          <w:highlight w:val="none"/>
          <w:lang w:val="en-US" w:eastAsia="zh-CN" w:bidi="ar"/>
        </w:rPr>
      </w:pPr>
      <w:r>
        <w:rPr>
          <w:rFonts w:hint="eastAsia" w:ascii="方正仿宋_GBK" w:hAnsi="方正仿宋_GBK" w:eastAsia="方正仿宋_GBK" w:cs="方正仿宋_GBK"/>
          <w:b/>
          <w:bCs/>
          <w:color w:val="auto"/>
          <w:spacing w:val="6"/>
          <w:sz w:val="32"/>
          <w:szCs w:val="32"/>
          <w:highlight w:val="none"/>
          <w:lang w:val="en-US" w:eastAsia="zh-CN"/>
        </w:rPr>
        <w:t>28.</w:t>
      </w:r>
      <w:r>
        <w:rPr>
          <w:rFonts w:hint="default" w:ascii="方正仿宋_GBK" w:hAnsi="方正仿宋_GBK" w:eastAsia="方正仿宋_GBK" w:cs="方正仿宋_GBK"/>
          <w:b/>
          <w:bCs/>
          <w:color w:val="auto"/>
          <w:spacing w:val="6"/>
          <w:sz w:val="32"/>
          <w:szCs w:val="32"/>
          <w:highlight w:val="none"/>
          <w:lang w:val="en-US" w:eastAsia="zh-CN"/>
        </w:rPr>
        <w:t>加强基层医疗卫生机构与社区养老服务机构规划建设。</w:t>
      </w:r>
      <w:r>
        <w:rPr>
          <w:rFonts w:hint="default" w:ascii="方正仿宋_GBK" w:hAnsi="方正仿宋_GBK" w:eastAsia="方正仿宋_GBK" w:cs="方正仿宋_GBK"/>
          <w:i w:val="0"/>
          <w:caps w:val="0"/>
          <w:color w:val="auto"/>
          <w:spacing w:val="0"/>
          <w:kern w:val="0"/>
          <w:sz w:val="32"/>
          <w:szCs w:val="32"/>
          <w:highlight w:val="none"/>
          <w:lang w:val="en-US" w:eastAsia="zh-CN" w:bidi="ar"/>
        </w:rPr>
        <w:t>整合社区养老服务机构与基层医疗卫生机构在场地、人力、服务等方面的资源，加强合作，实现基层医疗卫生机构与社区养老服务机构的有效对接。推动新建基层医疗卫生机构与养老服务机构、卫生院与敬老院等统筹规划、毗邻建设，推动改建、扩建一批居家社区医养结合服务设施，重点为失能老年人提供集中或居家医养结合服务。大力发展中医药康养服务，推广“中医院+社区基层卫生院+居家养老”模式。</w:t>
      </w:r>
    </w:p>
    <w:p>
      <w:pPr>
        <w:pStyle w:val="2"/>
        <w:keepNext w:val="0"/>
        <w:keepLines w:val="0"/>
        <w:pageBreakBefore w:val="0"/>
        <w:widowControl w:val="0"/>
        <w:numPr>
          <w:ilvl w:val="0"/>
          <w:numId w:val="0"/>
        </w:numPr>
        <w:tabs>
          <w:tab w:val="left" w:pos="3256"/>
        </w:tabs>
        <w:kinsoku/>
        <w:wordWrap/>
        <w:overflowPunct/>
        <w:topLinePunct w:val="0"/>
        <w:autoSpaceDE/>
        <w:autoSpaceDN/>
        <w:bidi w:val="0"/>
        <w:adjustRightInd w:val="0"/>
        <w:snapToGrid w:val="0"/>
        <w:spacing w:line="560" w:lineRule="exact"/>
        <w:ind w:firstLine="667" w:firstLineChars="200"/>
        <w:jc w:val="both"/>
        <w:textAlignment w:val="baseline"/>
        <w:rPr>
          <w:rFonts w:hint="eastAsia" w:ascii="方正仿宋_GBK" w:hAnsi="方正仿宋_GBK" w:eastAsia="方正仿宋_GBK" w:cs="方正仿宋_GBK"/>
          <w:i w:val="0"/>
          <w:caps w:val="0"/>
          <w:color w:val="auto"/>
          <w:spacing w:val="0"/>
          <w:kern w:val="0"/>
          <w:sz w:val="32"/>
          <w:szCs w:val="32"/>
          <w:highlight w:val="none"/>
          <w:lang w:val="en-US" w:eastAsia="zh-CN" w:bidi="ar"/>
        </w:rPr>
      </w:pPr>
      <w:r>
        <w:rPr>
          <w:rFonts w:hint="eastAsia" w:ascii="方正仿宋_GBK" w:hAnsi="方正仿宋_GBK" w:eastAsia="方正仿宋_GBK" w:cs="方正仿宋_GBK"/>
          <w:b/>
          <w:bCs/>
          <w:color w:val="auto"/>
          <w:spacing w:val="6"/>
          <w:sz w:val="32"/>
          <w:szCs w:val="32"/>
          <w:highlight w:val="none"/>
          <w:lang w:val="en-US" w:eastAsia="zh-CN"/>
        </w:rPr>
        <w:t>29</w:t>
      </w:r>
      <w:r>
        <w:rPr>
          <w:rFonts w:hint="default" w:ascii="方正仿宋_GBK" w:hAnsi="方正仿宋_GBK" w:eastAsia="方正仿宋_GBK" w:cs="方正仿宋_GBK"/>
          <w:b/>
          <w:bCs/>
          <w:color w:val="auto"/>
          <w:spacing w:val="6"/>
          <w:sz w:val="32"/>
          <w:szCs w:val="32"/>
          <w:highlight w:val="none"/>
          <w:lang w:val="en-US" w:eastAsia="zh-CN"/>
        </w:rPr>
        <w:t>.丰富</w:t>
      </w:r>
      <w:r>
        <w:rPr>
          <w:rFonts w:hint="eastAsia" w:ascii="方正仿宋_GBK" w:hAnsi="方正仿宋_GBK" w:eastAsia="方正仿宋_GBK" w:cs="方正仿宋_GBK"/>
          <w:b/>
          <w:bCs/>
          <w:color w:val="auto"/>
          <w:spacing w:val="6"/>
          <w:sz w:val="32"/>
          <w:szCs w:val="32"/>
          <w:highlight w:val="none"/>
          <w:lang w:val="en-US" w:eastAsia="zh-CN"/>
        </w:rPr>
        <w:t>社区医养</w:t>
      </w:r>
      <w:r>
        <w:rPr>
          <w:rFonts w:hint="default" w:ascii="方正仿宋_GBK" w:hAnsi="方正仿宋_GBK" w:eastAsia="方正仿宋_GBK" w:cs="方正仿宋_GBK"/>
          <w:b/>
          <w:bCs/>
          <w:color w:val="auto"/>
          <w:spacing w:val="6"/>
          <w:sz w:val="32"/>
          <w:szCs w:val="32"/>
          <w:highlight w:val="none"/>
          <w:lang w:val="en-US" w:eastAsia="zh-CN"/>
        </w:rPr>
        <w:t>服务内容。</w:t>
      </w:r>
      <w:r>
        <w:rPr>
          <w:rFonts w:hint="default" w:ascii="方正仿宋_GBK" w:hAnsi="方正仿宋_GBK" w:eastAsia="方正仿宋_GBK" w:cs="方正仿宋_GBK"/>
          <w:i w:val="0"/>
          <w:caps w:val="0"/>
          <w:color w:val="auto"/>
          <w:spacing w:val="0"/>
          <w:kern w:val="0"/>
          <w:sz w:val="32"/>
          <w:szCs w:val="32"/>
          <w:highlight w:val="none"/>
          <w:lang w:val="en-US" w:eastAsia="zh-CN" w:bidi="ar"/>
        </w:rPr>
        <w:t>依托基层医疗卫生机构开展护理服务，大力推进家庭病床建设，聚焦为失能老年人提供适宜、持续的长期照护服务。扩大家庭病床病种范围，做实家庭医生签约服务，推进“互联网+护理”便捷服务。发展居家养老助残服务“平安通”平台，链接医疗机构资源，通过“互联网+护理”等方式，推动医疗机构医务工作者为符合条件的居家高龄、失能、失智老年人提供家庭病床、巡诊等医疗服务。依托有条件的居家社区养老服务站点、养老机构探索开展认知障碍专项服务，制定相应服务设施、服务规范、人员培训等标准，力争到202</w:t>
      </w:r>
      <w:r>
        <w:rPr>
          <w:rFonts w:hint="eastAsia" w:ascii="方正仿宋_GBK" w:hAnsi="方正仿宋_GBK" w:eastAsia="方正仿宋_GBK" w:cs="方正仿宋_GBK"/>
          <w:i w:val="0"/>
          <w:caps w:val="0"/>
          <w:color w:val="auto"/>
          <w:spacing w:val="0"/>
          <w:kern w:val="0"/>
          <w:sz w:val="32"/>
          <w:szCs w:val="32"/>
          <w:highlight w:val="none"/>
          <w:lang w:val="en-US" w:eastAsia="zh-CN" w:bidi="ar"/>
        </w:rPr>
        <w:t>5</w:t>
      </w:r>
      <w:r>
        <w:rPr>
          <w:rFonts w:hint="default" w:ascii="方正仿宋_GBK" w:hAnsi="方正仿宋_GBK" w:eastAsia="方正仿宋_GBK" w:cs="方正仿宋_GBK"/>
          <w:i w:val="0"/>
          <w:caps w:val="0"/>
          <w:color w:val="auto"/>
          <w:spacing w:val="0"/>
          <w:kern w:val="0"/>
          <w:sz w:val="32"/>
          <w:szCs w:val="32"/>
          <w:highlight w:val="none"/>
          <w:lang w:val="en-US" w:eastAsia="zh-CN" w:bidi="ar"/>
        </w:rPr>
        <w:t>年，</w:t>
      </w:r>
      <w:r>
        <w:rPr>
          <w:rFonts w:hint="eastAsia" w:ascii="方正仿宋_GBK" w:hAnsi="方正仿宋_GBK" w:eastAsia="方正仿宋_GBK" w:cs="方正仿宋_GBK"/>
          <w:i w:val="0"/>
          <w:caps w:val="0"/>
          <w:color w:val="auto"/>
          <w:spacing w:val="0"/>
          <w:kern w:val="0"/>
          <w:sz w:val="32"/>
          <w:szCs w:val="32"/>
          <w:highlight w:val="none"/>
          <w:lang w:val="en-US" w:eastAsia="zh-CN" w:bidi="ar"/>
        </w:rPr>
        <w:t>全市</w:t>
      </w:r>
      <w:r>
        <w:rPr>
          <w:rFonts w:hint="default" w:ascii="方正仿宋_GBK" w:hAnsi="方正仿宋_GBK" w:eastAsia="方正仿宋_GBK" w:cs="方正仿宋_GBK"/>
          <w:i w:val="0"/>
          <w:caps w:val="0"/>
          <w:color w:val="auto"/>
          <w:spacing w:val="0"/>
          <w:kern w:val="0"/>
          <w:sz w:val="32"/>
          <w:szCs w:val="32"/>
          <w:highlight w:val="none"/>
          <w:lang w:val="en-US" w:eastAsia="zh-CN" w:bidi="ar"/>
        </w:rPr>
        <w:t>建有至少1所提供认知障碍服务的专业机构</w:t>
      </w:r>
      <w:r>
        <w:rPr>
          <w:rFonts w:hint="eastAsia" w:ascii="方正仿宋_GBK" w:hAnsi="方正仿宋_GBK" w:eastAsia="方正仿宋_GBK" w:cs="方正仿宋_GBK"/>
          <w:i w:val="0"/>
          <w:caps w:val="0"/>
          <w:color w:val="auto"/>
          <w:spacing w:val="0"/>
          <w:kern w:val="0"/>
          <w:sz w:val="32"/>
          <w:szCs w:val="32"/>
          <w:highlight w:val="none"/>
          <w:lang w:val="en-US" w:eastAsia="zh-CN" w:bidi="ar"/>
        </w:rPr>
        <w:t>。</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820" w:type="dxa"/>
            <w:vAlign w:val="center"/>
          </w:tcPr>
          <w:p>
            <w:pPr>
              <w:pStyle w:val="2"/>
              <w:keepNext w:val="0"/>
              <w:keepLines w:val="0"/>
              <w:pageBreakBefore w:val="0"/>
              <w:widowControl w:val="0"/>
              <w:numPr>
                <w:ilvl w:val="0"/>
                <w:numId w:val="0"/>
              </w:numPr>
              <w:tabs>
                <w:tab w:val="left" w:pos="3256"/>
              </w:tabs>
              <w:kinsoku/>
              <w:wordWrap/>
              <w:overflowPunct/>
              <w:topLinePunct w:val="0"/>
              <w:autoSpaceDE/>
              <w:autoSpaceDN/>
              <w:bidi w:val="0"/>
              <w:adjustRightInd w:val="0"/>
              <w:snapToGrid w:val="0"/>
              <w:spacing w:line="560" w:lineRule="exact"/>
              <w:jc w:val="center"/>
              <w:textAlignment w:val="baseline"/>
              <w:rPr>
                <w:rFonts w:hint="eastAsia" w:ascii="方正仿宋_GBK" w:hAnsi="方正仿宋_GBK" w:eastAsia="方正仿宋_GBK" w:cs="方正仿宋_GBK"/>
                <w:i w:val="0"/>
                <w:caps w:val="0"/>
                <w:color w:val="auto"/>
                <w:spacing w:val="0"/>
                <w:kern w:val="0"/>
                <w:sz w:val="24"/>
                <w:szCs w:val="24"/>
                <w:highlight w:val="none"/>
                <w:vertAlign w:val="baseline"/>
                <w:lang w:val="en-US" w:eastAsia="zh-CN" w:bidi="ar"/>
              </w:rPr>
            </w:pPr>
            <w:r>
              <w:rPr>
                <w:rFonts w:hint="eastAsia" w:ascii="方正仿宋_GBK" w:hAnsi="方正仿宋_GBK" w:eastAsia="方正仿宋_GBK" w:cs="方正仿宋_GBK"/>
                <w:b/>
                <w:bCs/>
                <w:color w:val="auto"/>
                <w:sz w:val="28"/>
                <w:szCs w:val="28"/>
                <w:highlight w:val="none"/>
                <w:lang w:eastAsia="zh-CN"/>
              </w:rPr>
              <w:t>专栏</w:t>
            </w:r>
            <w:r>
              <w:rPr>
                <w:rFonts w:hint="eastAsia" w:ascii="方正仿宋_GBK" w:hAnsi="方正仿宋_GBK" w:eastAsia="方正仿宋_GBK" w:cs="方正仿宋_GBK"/>
                <w:b/>
                <w:bCs/>
                <w:color w:val="auto"/>
                <w:sz w:val="28"/>
                <w:szCs w:val="28"/>
                <w:highlight w:val="none"/>
                <w:lang w:val="en-US" w:eastAsia="zh-CN"/>
              </w:rPr>
              <w:t>9：“十四五”期间鹤山市医养结合医疗卫生机构建设目标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5" w:hRule="atLeast"/>
          <w:jc w:val="center"/>
        </w:trPr>
        <w:tc>
          <w:tcPr>
            <w:tcW w:w="8820" w:type="dxa"/>
            <w:vAlign w:val="center"/>
          </w:tcPr>
          <w:p>
            <w:pPr>
              <w:pStyle w:val="2"/>
              <w:keepNext w:val="0"/>
              <w:keepLines w:val="0"/>
              <w:pageBreakBefore w:val="0"/>
              <w:widowControl w:val="0"/>
              <w:numPr>
                <w:ilvl w:val="0"/>
                <w:numId w:val="0"/>
              </w:numPr>
              <w:tabs>
                <w:tab w:val="left" w:pos="3256"/>
              </w:tabs>
              <w:kinsoku/>
              <w:wordWrap/>
              <w:overflowPunct/>
              <w:topLinePunct w:val="0"/>
              <w:autoSpaceDE/>
              <w:autoSpaceDN/>
              <w:bidi w:val="0"/>
              <w:adjustRightInd w:val="0"/>
              <w:snapToGrid w:val="0"/>
              <w:spacing w:line="560" w:lineRule="exact"/>
              <w:jc w:val="left"/>
              <w:textAlignment w:val="baseline"/>
              <w:rPr>
                <w:rFonts w:hint="eastAsia" w:ascii="方正仿宋_GBK" w:hAnsi="方正仿宋_GBK" w:eastAsia="方正仿宋_GBK" w:cs="方正仿宋_GBK"/>
                <w:i w:val="0"/>
                <w:caps w:val="0"/>
                <w:color w:val="auto"/>
                <w:spacing w:val="0"/>
                <w:kern w:val="0"/>
                <w:sz w:val="28"/>
                <w:szCs w:val="28"/>
                <w:highlight w:val="none"/>
                <w:vertAlign w:val="baseline"/>
                <w:lang w:val="en-US" w:eastAsia="zh-CN" w:bidi="ar"/>
              </w:rPr>
            </w:pPr>
            <w:r>
              <w:rPr>
                <w:rFonts w:hint="eastAsia" w:ascii="方正仿宋_GBK" w:hAnsi="方正仿宋_GBK" w:eastAsia="方正仿宋_GBK" w:cs="方正仿宋_GBK"/>
                <w:i w:val="0"/>
                <w:caps w:val="0"/>
                <w:color w:val="auto"/>
                <w:spacing w:val="0"/>
                <w:kern w:val="0"/>
                <w:sz w:val="28"/>
                <w:szCs w:val="28"/>
                <w:highlight w:val="none"/>
                <w:vertAlign w:val="baseline"/>
                <w:lang w:val="en-US" w:eastAsia="zh-CN" w:bidi="ar"/>
              </w:rPr>
              <w:t>1.到2025年，全市建有至少1家具有医养结合功能的县级特困人员供养服务设施（敬老院）</w:t>
            </w:r>
          </w:p>
          <w:p>
            <w:pPr>
              <w:pStyle w:val="2"/>
              <w:keepNext w:val="0"/>
              <w:keepLines w:val="0"/>
              <w:pageBreakBefore w:val="0"/>
              <w:widowControl w:val="0"/>
              <w:numPr>
                <w:ilvl w:val="0"/>
                <w:numId w:val="0"/>
              </w:numPr>
              <w:tabs>
                <w:tab w:val="left" w:pos="3256"/>
              </w:tabs>
              <w:kinsoku/>
              <w:wordWrap/>
              <w:overflowPunct/>
              <w:topLinePunct w:val="0"/>
              <w:autoSpaceDE/>
              <w:autoSpaceDN/>
              <w:bidi w:val="0"/>
              <w:adjustRightInd w:val="0"/>
              <w:snapToGrid w:val="0"/>
              <w:spacing w:line="560" w:lineRule="exact"/>
              <w:jc w:val="left"/>
              <w:textAlignment w:val="baseline"/>
              <w:rPr>
                <w:rFonts w:hint="eastAsia" w:ascii="方正仿宋_GBK" w:hAnsi="方正仿宋_GBK" w:eastAsia="方正仿宋_GBK" w:cs="方正仿宋_GBK"/>
                <w:i w:val="0"/>
                <w:caps w:val="0"/>
                <w:color w:val="auto"/>
                <w:spacing w:val="0"/>
                <w:kern w:val="0"/>
                <w:sz w:val="28"/>
                <w:szCs w:val="28"/>
                <w:highlight w:val="none"/>
                <w:lang w:val="en-US" w:eastAsia="zh-CN" w:bidi="ar"/>
              </w:rPr>
            </w:pPr>
            <w:r>
              <w:rPr>
                <w:rFonts w:hint="eastAsia" w:ascii="方正仿宋_GBK" w:hAnsi="方正仿宋_GBK" w:eastAsia="方正仿宋_GBK" w:cs="方正仿宋_GBK"/>
                <w:i w:val="0"/>
                <w:caps w:val="0"/>
                <w:color w:val="auto"/>
                <w:spacing w:val="0"/>
                <w:kern w:val="0"/>
                <w:sz w:val="28"/>
                <w:szCs w:val="28"/>
                <w:highlight w:val="none"/>
                <w:vertAlign w:val="baseline"/>
                <w:lang w:val="en-US" w:eastAsia="zh-CN" w:bidi="ar"/>
              </w:rPr>
              <w:t>2.</w:t>
            </w:r>
            <w:r>
              <w:rPr>
                <w:rFonts w:hint="eastAsia" w:ascii="方正仿宋_GBK" w:hAnsi="方正仿宋_GBK" w:eastAsia="方正仿宋_GBK" w:cs="方正仿宋_GBK"/>
                <w:i w:val="0"/>
                <w:caps w:val="0"/>
                <w:color w:val="auto"/>
                <w:spacing w:val="0"/>
                <w:kern w:val="0"/>
                <w:sz w:val="28"/>
                <w:szCs w:val="28"/>
                <w:highlight w:val="none"/>
                <w:lang w:val="en-US" w:eastAsia="zh-CN" w:bidi="ar"/>
              </w:rPr>
              <w:t>到2022年，基层医疗卫生机构护理床位占比达到30%；到2025年，全市二级及以上综合性医院设置老年医学科比例达到100%；</w:t>
            </w:r>
          </w:p>
          <w:p>
            <w:pPr>
              <w:pStyle w:val="2"/>
              <w:keepNext w:val="0"/>
              <w:keepLines w:val="0"/>
              <w:pageBreakBefore w:val="0"/>
              <w:widowControl w:val="0"/>
              <w:numPr>
                <w:ilvl w:val="0"/>
                <w:numId w:val="0"/>
              </w:numPr>
              <w:tabs>
                <w:tab w:val="left" w:pos="3256"/>
              </w:tabs>
              <w:kinsoku/>
              <w:wordWrap/>
              <w:overflowPunct/>
              <w:topLinePunct w:val="0"/>
              <w:autoSpaceDE/>
              <w:autoSpaceDN/>
              <w:bidi w:val="0"/>
              <w:adjustRightInd w:val="0"/>
              <w:snapToGrid w:val="0"/>
              <w:spacing w:line="560" w:lineRule="exact"/>
              <w:jc w:val="left"/>
              <w:textAlignment w:val="baseline"/>
              <w:rPr>
                <w:rFonts w:hint="eastAsia" w:ascii="方正仿宋_GBK" w:hAnsi="方正仿宋_GBK" w:eastAsia="方正仿宋_GBK" w:cs="方正仿宋_GBK"/>
                <w:i w:val="0"/>
                <w:caps w:val="0"/>
                <w:color w:val="auto"/>
                <w:spacing w:val="0"/>
                <w:kern w:val="0"/>
                <w:sz w:val="28"/>
                <w:szCs w:val="28"/>
                <w:highlight w:val="none"/>
                <w:lang w:val="en-US" w:eastAsia="zh-CN" w:bidi="ar"/>
              </w:rPr>
            </w:pPr>
            <w:r>
              <w:rPr>
                <w:rFonts w:hint="eastAsia" w:ascii="方正仿宋_GBK" w:hAnsi="方正仿宋_GBK" w:eastAsia="方正仿宋_GBK" w:cs="方正仿宋_GBK"/>
                <w:i w:val="0"/>
                <w:caps w:val="0"/>
                <w:color w:val="auto"/>
                <w:spacing w:val="0"/>
                <w:kern w:val="0"/>
                <w:sz w:val="28"/>
                <w:szCs w:val="28"/>
                <w:highlight w:val="none"/>
                <w:lang w:val="en-US" w:eastAsia="zh-CN" w:bidi="ar"/>
              </w:rPr>
              <w:t>3.力争到2025年，全市建有至少1所提供临终关怀服务的专业机构；</w:t>
            </w:r>
          </w:p>
          <w:p>
            <w:pPr>
              <w:pStyle w:val="2"/>
              <w:keepNext w:val="0"/>
              <w:keepLines w:val="0"/>
              <w:pageBreakBefore w:val="0"/>
              <w:widowControl w:val="0"/>
              <w:numPr>
                <w:ilvl w:val="0"/>
                <w:numId w:val="0"/>
              </w:numPr>
              <w:tabs>
                <w:tab w:val="left" w:pos="3256"/>
              </w:tabs>
              <w:kinsoku/>
              <w:wordWrap/>
              <w:overflowPunct/>
              <w:topLinePunct w:val="0"/>
              <w:autoSpaceDE/>
              <w:autoSpaceDN/>
              <w:bidi w:val="0"/>
              <w:adjustRightInd w:val="0"/>
              <w:snapToGrid w:val="0"/>
              <w:spacing w:line="560" w:lineRule="exact"/>
              <w:jc w:val="left"/>
              <w:textAlignment w:val="baseline"/>
              <w:rPr>
                <w:rFonts w:hint="eastAsia" w:ascii="方正仿宋_GBK" w:hAnsi="方正仿宋_GBK" w:eastAsia="方正仿宋_GBK" w:cs="方正仿宋_GBK"/>
                <w:i w:val="0"/>
                <w:caps w:val="0"/>
                <w:color w:val="auto"/>
                <w:spacing w:val="0"/>
                <w:kern w:val="0"/>
                <w:sz w:val="28"/>
                <w:szCs w:val="28"/>
                <w:highlight w:val="none"/>
                <w:lang w:val="en-US" w:eastAsia="zh-CN" w:bidi="ar"/>
              </w:rPr>
            </w:pPr>
            <w:r>
              <w:rPr>
                <w:rFonts w:hint="eastAsia" w:ascii="方正仿宋_GBK" w:hAnsi="方正仿宋_GBK" w:eastAsia="方正仿宋_GBK" w:cs="方正仿宋_GBK"/>
                <w:i w:val="0"/>
                <w:caps w:val="0"/>
                <w:color w:val="auto"/>
                <w:spacing w:val="0"/>
                <w:kern w:val="0"/>
                <w:sz w:val="28"/>
                <w:szCs w:val="28"/>
                <w:highlight w:val="none"/>
                <w:lang w:val="en-US" w:eastAsia="zh-CN" w:bidi="ar"/>
              </w:rPr>
              <w:t>4.力争到2025年，全市建有至少1所提供认知障碍服务的专业机构；</w:t>
            </w:r>
          </w:p>
          <w:p>
            <w:pPr>
              <w:pStyle w:val="2"/>
              <w:keepNext w:val="0"/>
              <w:keepLines w:val="0"/>
              <w:pageBreakBefore w:val="0"/>
              <w:widowControl w:val="0"/>
              <w:numPr>
                <w:ilvl w:val="0"/>
                <w:numId w:val="0"/>
              </w:numPr>
              <w:tabs>
                <w:tab w:val="left" w:pos="3256"/>
              </w:tabs>
              <w:kinsoku/>
              <w:wordWrap/>
              <w:overflowPunct/>
              <w:topLinePunct w:val="0"/>
              <w:autoSpaceDE/>
              <w:autoSpaceDN/>
              <w:bidi w:val="0"/>
              <w:adjustRightInd w:val="0"/>
              <w:snapToGrid w:val="0"/>
              <w:spacing w:line="560" w:lineRule="exact"/>
              <w:jc w:val="left"/>
              <w:textAlignment w:val="baseline"/>
              <w:rPr>
                <w:rFonts w:hint="eastAsia" w:ascii="方正仿宋_GBK" w:hAnsi="方正仿宋_GBK" w:eastAsia="方正仿宋_GBK" w:cs="方正仿宋_GBK"/>
                <w:i w:val="0"/>
                <w:caps w:val="0"/>
                <w:color w:val="auto"/>
                <w:spacing w:val="0"/>
                <w:kern w:val="0"/>
                <w:sz w:val="28"/>
                <w:szCs w:val="28"/>
                <w:highlight w:val="none"/>
                <w:lang w:val="en-US" w:eastAsia="zh-CN" w:bidi="ar"/>
              </w:rPr>
            </w:pPr>
            <w:r>
              <w:rPr>
                <w:rFonts w:hint="eastAsia" w:ascii="方正仿宋_GBK" w:hAnsi="方正仿宋_GBK" w:eastAsia="方正仿宋_GBK" w:cs="方正仿宋_GBK"/>
                <w:i w:val="0"/>
                <w:caps w:val="0"/>
                <w:color w:val="auto"/>
                <w:spacing w:val="0"/>
                <w:kern w:val="0"/>
                <w:sz w:val="28"/>
                <w:szCs w:val="28"/>
                <w:highlight w:val="none"/>
                <w:lang w:val="en-US" w:eastAsia="zh-CN" w:bidi="ar"/>
              </w:rPr>
              <w:t>5.实施江门市医养结合补充保险“邑康保”项目。</w:t>
            </w:r>
          </w:p>
          <w:p>
            <w:pPr>
              <w:pStyle w:val="2"/>
              <w:keepNext w:val="0"/>
              <w:keepLines w:val="0"/>
              <w:pageBreakBefore w:val="0"/>
              <w:widowControl w:val="0"/>
              <w:numPr>
                <w:ilvl w:val="0"/>
                <w:numId w:val="0"/>
              </w:numPr>
              <w:tabs>
                <w:tab w:val="left" w:pos="3256"/>
              </w:tabs>
              <w:kinsoku/>
              <w:wordWrap/>
              <w:overflowPunct/>
              <w:topLinePunct w:val="0"/>
              <w:autoSpaceDE/>
              <w:autoSpaceDN/>
              <w:bidi w:val="0"/>
              <w:adjustRightInd w:val="0"/>
              <w:snapToGrid w:val="0"/>
              <w:spacing w:line="560" w:lineRule="exact"/>
              <w:jc w:val="left"/>
              <w:textAlignment w:val="baseline"/>
              <w:rPr>
                <w:rFonts w:hint="default" w:ascii="方正仿宋_GBK" w:hAnsi="方正仿宋_GBK" w:eastAsia="方正仿宋_GBK" w:cs="方正仿宋_GBK"/>
                <w:i w:val="0"/>
                <w:caps w:val="0"/>
                <w:color w:val="auto"/>
                <w:spacing w:val="0"/>
                <w:kern w:val="0"/>
                <w:sz w:val="28"/>
                <w:szCs w:val="28"/>
                <w:highlight w:val="none"/>
                <w:lang w:val="en-US" w:eastAsia="zh-CN" w:bidi="ar"/>
              </w:rPr>
            </w:pPr>
            <w:r>
              <w:rPr>
                <w:rFonts w:hint="eastAsia" w:ascii="方正仿宋_GBK" w:hAnsi="方正仿宋_GBK" w:eastAsia="方正仿宋_GBK" w:cs="方正仿宋_GBK"/>
                <w:i w:val="0"/>
                <w:caps w:val="0"/>
                <w:color w:val="auto"/>
                <w:spacing w:val="0"/>
                <w:kern w:val="0"/>
                <w:sz w:val="28"/>
                <w:szCs w:val="28"/>
                <w:highlight w:val="none"/>
                <w:vertAlign w:val="baseline"/>
                <w:lang w:val="en-US" w:eastAsia="zh-CN" w:bidi="ar"/>
              </w:rPr>
              <w:t>6.建设共和镇养老服务中心，完善双合镇卫生院康泰缘服务中心。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Style w:val="37"/>
          <w:rFonts w:hint="eastAsia" w:ascii="方正仿宋_GBK" w:hAnsi="方正仿宋_GBK" w:eastAsia="方正仿宋_GBK" w:cs="方正仿宋_GBK"/>
          <w:color w:val="auto"/>
          <w:kern w:val="0"/>
          <w:sz w:val="32"/>
          <w:szCs w:val="32"/>
          <w:highlight w:val="none"/>
          <w:lang w:val="en-US" w:eastAsia="zh-CN" w:bidi="ar"/>
        </w:rPr>
      </w:pPr>
      <w:r>
        <w:rPr>
          <w:rStyle w:val="37"/>
          <w:rFonts w:hint="eastAsia" w:ascii="方正仿宋_GBK" w:hAnsi="方正仿宋_GBK" w:eastAsia="方正仿宋_GBK" w:cs="方正仿宋_GBK"/>
          <w:color w:val="auto"/>
          <w:kern w:val="0"/>
          <w:sz w:val="32"/>
          <w:szCs w:val="32"/>
          <w:highlight w:val="none"/>
          <w:lang w:val="en-US" w:eastAsia="zh-CN" w:bidi="ar"/>
        </w:rPr>
        <w:t>（三）加强政策支持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方正仿宋_GBK" w:hAnsi="方正仿宋_GBK" w:eastAsia="方正仿宋_GBK" w:cs="方正仿宋_GBK"/>
          <w:color w:val="auto"/>
          <w:kern w:val="2"/>
          <w:sz w:val="32"/>
          <w:szCs w:val="32"/>
          <w:highlight w:val="none"/>
          <w:lang w:val="en-US" w:eastAsia="zh-CN" w:bidi="ar-SA"/>
        </w:rPr>
      </w:pPr>
      <w:r>
        <w:rPr>
          <w:rFonts w:hint="eastAsia" w:ascii="方正仿宋_GBK" w:hAnsi="方正仿宋_GBK" w:eastAsia="方正仿宋_GBK" w:cs="方正仿宋_GBK"/>
          <w:b/>
          <w:bCs/>
          <w:color w:val="auto"/>
          <w:kern w:val="2"/>
          <w:sz w:val="32"/>
          <w:szCs w:val="32"/>
          <w:highlight w:val="none"/>
          <w:lang w:val="en-US" w:eastAsia="zh-CN" w:bidi="ar-SA"/>
        </w:rPr>
        <w:t>30.加大财税支持。</w:t>
      </w:r>
      <w:r>
        <w:rPr>
          <w:rFonts w:hint="eastAsia" w:ascii="方正仿宋_GBK" w:hAnsi="方正仿宋_GBK" w:eastAsia="方正仿宋_GBK" w:cs="方正仿宋_GBK"/>
          <w:color w:val="auto"/>
          <w:kern w:val="2"/>
          <w:sz w:val="32"/>
          <w:szCs w:val="32"/>
          <w:highlight w:val="none"/>
          <w:lang w:val="en-US" w:eastAsia="zh-CN" w:bidi="ar-SA"/>
        </w:rPr>
        <w:t>完善财政投入机制，发挥财政资金在支持养老服务发展方面的促进示范作用，落实税费优惠政策。落实养老体系市、镇（街）两级财政预算保障，市本级社会福利的彩票公益金55%以上用于支持养老服务发展。落实民办社会福利机构扶持优惠政策。加快落实养老服务机构减降税费优惠，保障为社区提供养老服务的机构，按规定在增值税、企业所得税、契税、房产税、城镇土地使用税、不动产登记费等方面享受优惠，养老服务机构服务场所用电、用水、用气享受居民价格政策。</w:t>
      </w:r>
    </w:p>
    <w:p>
      <w:pPr>
        <w:pStyle w:val="2"/>
        <w:rPr>
          <w:rFonts w:hint="default"/>
          <w:highlight w:val="none"/>
          <w:lang w:val="en-US" w:eastAsia="zh-CN"/>
        </w:rPr>
      </w:pPr>
      <w:r>
        <w:rPr>
          <w:rFonts w:hint="eastAsia"/>
          <w:highlight w:val="none"/>
          <w:lang w:val="en-US" w:eastAsia="zh-CN"/>
        </w:rPr>
        <w:t xml:space="preserve"> </w:t>
      </w:r>
      <w:r>
        <w:rPr>
          <w:rFonts w:hint="eastAsia" w:ascii="方正仿宋_GBK" w:hAnsi="方正仿宋_GBK" w:eastAsia="方正仿宋_GBK" w:cs="方正仿宋_GBK"/>
          <w:b/>
          <w:bCs/>
          <w:color w:val="auto"/>
          <w:kern w:val="2"/>
          <w:sz w:val="32"/>
          <w:szCs w:val="32"/>
          <w:highlight w:val="none"/>
          <w:lang w:val="en-US" w:eastAsia="zh-CN" w:bidi="ar-SA"/>
        </w:rPr>
        <w:t>31.大力发展银发经济。</w:t>
      </w:r>
      <w:r>
        <w:rPr>
          <w:rFonts w:hint="eastAsia" w:ascii="方正仿宋_GBK" w:hAnsi="方正仿宋_GBK" w:eastAsia="方正仿宋_GBK" w:cs="方正仿宋_GBK"/>
          <w:color w:val="auto"/>
          <w:kern w:val="2"/>
          <w:sz w:val="32"/>
          <w:szCs w:val="32"/>
          <w:highlight w:val="none"/>
          <w:lang w:val="en-US" w:eastAsia="zh-CN" w:bidi="ar-SA"/>
        </w:rPr>
        <w:t>发展壮大老年用品产业，促进养老服务产业升级。健全养老服务市场规范和行业标准，确保养老服务和产品质量，营造安全、便利、诚信的养老服务消费环境。大力推动“养老+行业”多元融合，促进养老与文化、教育、体育、家政、医疗、保险、旅游等行业全面融合发展，探索发展旅居养老、文化养老、健康养老、养生养老等新兴业态，为老年人提供多样化、多选择的产品和服务。</w:t>
      </w:r>
    </w:p>
    <w:p>
      <w:pPr>
        <w:pStyle w:val="5"/>
        <w:keepNext/>
        <w:keepLines/>
        <w:pageBreakBefore w:val="0"/>
        <w:widowControl w:val="0"/>
        <w:kinsoku/>
        <w:wordWrap/>
        <w:overflowPunct/>
        <w:topLinePunct w:val="0"/>
        <w:autoSpaceDE/>
        <w:autoSpaceDN/>
        <w:bidi w:val="0"/>
        <w:adjustRightInd w:val="0"/>
        <w:snapToGrid w:val="0"/>
        <w:spacing w:before="0" w:after="0" w:line="560" w:lineRule="exact"/>
        <w:ind w:firstLine="643" w:firstLineChars="200"/>
        <w:textAlignment w:val="auto"/>
        <w:rPr>
          <w:rFonts w:hint="eastAsia" w:ascii="方正楷体_GBK" w:hAnsi="方正楷体_GBK" w:eastAsia="方正楷体_GBK" w:cs="方正楷体_GBK"/>
          <w:color w:val="auto"/>
          <w:sz w:val="32"/>
          <w:szCs w:val="32"/>
          <w:highlight w:val="none"/>
          <w:lang w:val="en-US" w:eastAsia="zh-CN"/>
        </w:rPr>
      </w:pPr>
      <w:r>
        <w:rPr>
          <w:rFonts w:hint="eastAsia" w:ascii="方正楷体_GBK" w:hAnsi="方正楷体_GBK" w:eastAsia="方正楷体_GBK" w:cs="方正楷体_GBK"/>
          <w:color w:val="auto"/>
          <w:sz w:val="32"/>
          <w:szCs w:val="32"/>
          <w:highlight w:val="none"/>
          <w:lang w:val="en-US" w:eastAsia="zh-CN"/>
        </w:rPr>
        <w:t>七、建立健全养老服务监管机制</w:t>
      </w:r>
    </w:p>
    <w:p>
      <w:pPr>
        <w:pStyle w:val="2"/>
        <w:keepNext w:val="0"/>
        <w:keepLines w:val="0"/>
        <w:pageBreakBefore w:val="0"/>
        <w:widowControl w:val="0"/>
        <w:numPr>
          <w:ilvl w:val="0"/>
          <w:numId w:val="0"/>
        </w:numPr>
        <w:tabs>
          <w:tab w:val="left" w:pos="3256"/>
        </w:tabs>
        <w:kinsoku/>
        <w:wordWrap/>
        <w:overflowPunct/>
        <w:topLinePunct w:val="0"/>
        <w:autoSpaceDE/>
        <w:autoSpaceDN/>
        <w:bidi w:val="0"/>
        <w:adjustRightInd w:val="0"/>
        <w:snapToGrid w:val="0"/>
        <w:spacing w:line="560" w:lineRule="exact"/>
        <w:ind w:firstLine="643" w:firstLineChars="200"/>
        <w:textAlignment w:val="baseline"/>
        <w:rPr>
          <w:rFonts w:hint="eastAsia" w:ascii="方正仿宋_GBK" w:hAnsi="方正仿宋_GBK" w:eastAsia="方正仿宋_GBK" w:cs="方正仿宋_GBK"/>
          <w:b w:val="0"/>
          <w:bCs w:val="0"/>
          <w:color w:val="auto"/>
          <w:sz w:val="32"/>
          <w:szCs w:val="32"/>
          <w:highlight w:val="none"/>
          <w:lang w:val="en-US" w:eastAsia="zh-CN"/>
        </w:rPr>
      </w:pPr>
      <w:r>
        <w:rPr>
          <w:rStyle w:val="37"/>
          <w:rFonts w:hint="eastAsia" w:ascii="方正仿宋_GBK" w:hAnsi="方正仿宋_GBK" w:eastAsia="方正仿宋_GBK" w:cs="方正仿宋_GBK"/>
          <w:b/>
          <w:color w:val="auto"/>
          <w:kern w:val="0"/>
          <w:sz w:val="32"/>
          <w:szCs w:val="32"/>
          <w:highlight w:val="none"/>
          <w:lang w:val="en-US" w:eastAsia="zh-CN" w:bidi="ar"/>
        </w:rPr>
        <w:t>32.聚焦养老服务监管重点领域</w:t>
      </w:r>
      <w:r>
        <w:rPr>
          <w:rFonts w:hint="eastAsia" w:ascii="方正仿宋_GBK" w:hAnsi="方正仿宋_GBK" w:eastAsia="方正仿宋_GBK" w:cs="方正仿宋_GBK"/>
          <w:b/>
          <w:bCs/>
          <w:color w:val="auto"/>
          <w:spacing w:val="6"/>
          <w:sz w:val="32"/>
          <w:szCs w:val="32"/>
          <w:highlight w:val="none"/>
          <w:lang w:val="en-US" w:eastAsia="zh-CN"/>
        </w:rPr>
        <w:t>。</w:t>
      </w:r>
      <w:r>
        <w:rPr>
          <w:rFonts w:hint="eastAsia" w:ascii="方正仿宋_GBK" w:hAnsi="方正仿宋_GBK" w:eastAsia="方正仿宋_GBK" w:cs="方正仿宋_GBK"/>
          <w:b w:val="0"/>
          <w:bCs w:val="0"/>
          <w:color w:val="auto"/>
          <w:sz w:val="32"/>
          <w:szCs w:val="32"/>
          <w:highlight w:val="none"/>
          <w:lang w:val="en-US" w:eastAsia="zh-CN"/>
        </w:rPr>
        <w:t>深化养老服务领域“放管服”改革，全面加强养老服务市场“宽进严管”，建立健全政府主导、机构主责、部门协同、行业自律、社会监督的养老服务综合监管制度。</w:t>
      </w:r>
      <w:r>
        <w:rPr>
          <w:rFonts w:hint="eastAsia" w:ascii="方正仿宋_GBK" w:hAnsi="方正仿宋_GBK" w:eastAsia="方正仿宋_GBK" w:cs="方正仿宋_GBK"/>
          <w:b w:val="0"/>
          <w:bCs w:val="0"/>
          <w:color w:val="auto"/>
          <w:sz w:val="32"/>
          <w:szCs w:val="32"/>
          <w:highlight w:val="none"/>
          <w:lang w:val="zh-CN" w:eastAsia="zh-CN"/>
        </w:rPr>
        <w:t>聚焦老年人生命财产安全和服务质量，</w:t>
      </w:r>
      <w:r>
        <w:rPr>
          <w:rFonts w:hint="eastAsia" w:ascii="方正仿宋_GBK" w:hAnsi="方正仿宋_GBK" w:eastAsia="方正仿宋_GBK" w:cs="方正仿宋_GBK"/>
          <w:b w:val="0"/>
          <w:bCs w:val="0"/>
          <w:color w:val="auto"/>
          <w:sz w:val="32"/>
          <w:szCs w:val="32"/>
          <w:highlight w:val="none"/>
          <w:lang w:val="en-US" w:eastAsia="zh-CN"/>
        </w:rPr>
        <w:t>主动防范化解养老服务机构在建筑、消防、资金、人员、食品、医疗卫生等方面的风险隐患，及时化解潜在的重大安全风险。加强对运营秩序的监督检查，依法打击无证无照从事养老服务的行为，及时制止并依法查处各类未注册营业执照以市场主体名义或未登记备案以社会服务机构名义开展的养老服务活动及其举办主体。加强对涉及资金的审计检查，对养老服务机构合法合规使用财政资金情况及其真实性、准确性和效益性进行跟踪审计，依法打击弄虚作假、骗取补贴、挤占挪用等违法违规行为；加强养老服务机构预收费监管，依法打击以养老服务名义进行非法集资的活动。开展老年人产品和服务消费领域侵权行为专项整治，严厉查处面向老年人的假冒伪劣商品制售、产品服务欺诈销售等违法行为。广泛开展老年人识骗防骗宣传教育活动，提升老年人抵御欺诈销售意识。</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3" w:firstLineChars="200"/>
        <w:textAlignment w:val="auto"/>
        <w:outlineLvl w:val="2"/>
        <w:rPr>
          <w:rFonts w:hint="eastAsia" w:ascii="方正仿宋_GBK" w:hAnsi="方正仿宋_GBK" w:eastAsia="方正仿宋_GBK" w:cs="方正仿宋_GBK"/>
          <w:color w:val="auto"/>
          <w:spacing w:val="6"/>
          <w:kern w:val="2"/>
          <w:sz w:val="32"/>
          <w:szCs w:val="32"/>
          <w:highlight w:val="none"/>
          <w:lang w:val="en-US" w:eastAsia="zh-CN" w:bidi="ar-SA"/>
        </w:rPr>
      </w:pPr>
      <w:r>
        <w:rPr>
          <w:rStyle w:val="37"/>
          <w:rFonts w:hint="eastAsia" w:ascii="方正仿宋_GBK" w:hAnsi="方正仿宋_GBK" w:eastAsia="方正仿宋_GBK" w:cs="方正仿宋_GBK"/>
          <w:color w:val="auto"/>
          <w:kern w:val="0"/>
          <w:sz w:val="32"/>
          <w:szCs w:val="32"/>
          <w:highlight w:val="none"/>
          <w:lang w:val="en-US" w:eastAsia="zh-CN" w:bidi="ar"/>
        </w:rPr>
        <w:t>33.创新养老服务监管方式</w:t>
      </w:r>
      <w:r>
        <w:rPr>
          <w:rFonts w:hint="eastAsia" w:ascii="方正仿宋_GBK" w:hAnsi="方正仿宋_GBK" w:eastAsia="方正仿宋_GBK" w:cs="方正仿宋_GBK"/>
          <w:color w:val="auto"/>
          <w:spacing w:val="6"/>
          <w:kern w:val="2"/>
          <w:sz w:val="32"/>
          <w:szCs w:val="32"/>
          <w:highlight w:val="none"/>
          <w:lang w:val="en-US" w:eastAsia="zh-CN" w:bidi="ar-SA"/>
        </w:rPr>
        <w:t>。依法落实属地监管职责，不断加强对养老机构的指导、监督管理力度，构建以“双随机、一公开”、日常监督检查为基本手段、以重点监管为补充、以标准规范和信用监管为基础的新型监管机制，坚持规范监管、公正执法。推进养老服务领域社会信用体系建设。建立健全守信联合激励和失信联合惩戒机制，依法依规对守信主体提供优惠政策和便利条件，对存在严重失信行为的养老服务机构及人员实施联合惩戒。</w:t>
      </w:r>
      <w:r>
        <w:rPr>
          <w:rFonts w:hint="eastAsia" w:ascii="方正仿宋_GBK" w:hAnsi="方正仿宋_GBK" w:eastAsia="方正仿宋_GBK" w:cs="方正仿宋_GBK"/>
          <w:color w:val="auto"/>
          <w:spacing w:val="6"/>
          <w:kern w:val="2"/>
          <w:sz w:val="32"/>
          <w:szCs w:val="32"/>
          <w:highlight w:val="none"/>
          <w:u w:val="none"/>
          <w:lang w:val="en-US" w:eastAsia="zh-CN" w:bidi="ar-SA"/>
        </w:rPr>
        <w:t>探索开展养老服务机构公共信用综合评价，根据评价结果建立养老服务机构信用等级，并作为养老机构等级评定和采取差异化监管措施的重要依据。</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3" w:firstLineChars="200"/>
        <w:textAlignment w:val="auto"/>
        <w:outlineLvl w:val="2"/>
        <w:rPr>
          <w:rFonts w:hint="eastAsia" w:ascii="方正仿宋_GBK" w:hAnsi="方正仿宋_GBK" w:eastAsia="方正仿宋_GBK" w:cs="方正仿宋_GBK"/>
          <w:color w:val="auto"/>
          <w:sz w:val="32"/>
          <w:szCs w:val="32"/>
          <w:highlight w:val="none"/>
        </w:rPr>
      </w:pPr>
      <w:r>
        <w:rPr>
          <w:rStyle w:val="37"/>
          <w:rFonts w:hint="eastAsia" w:ascii="方正仿宋_GBK" w:hAnsi="方正仿宋_GBK" w:eastAsia="方正仿宋_GBK" w:cs="方正仿宋_GBK"/>
          <w:color w:val="auto"/>
          <w:kern w:val="0"/>
          <w:sz w:val="32"/>
          <w:szCs w:val="32"/>
          <w:highlight w:val="none"/>
          <w:lang w:val="en-US" w:eastAsia="zh-CN" w:bidi="ar"/>
        </w:rPr>
        <w:t>34.提升养老服务领域应急管理水平</w:t>
      </w:r>
      <w:r>
        <w:rPr>
          <w:rFonts w:hint="eastAsia" w:ascii="方正仿宋_GBK" w:hAnsi="方正仿宋_GBK" w:eastAsia="方正仿宋_GBK" w:cs="方正仿宋_GBK"/>
          <w:b/>
          <w:bCs/>
          <w:color w:val="auto"/>
          <w:spacing w:val="6"/>
          <w:kern w:val="2"/>
          <w:sz w:val="32"/>
          <w:szCs w:val="32"/>
          <w:highlight w:val="none"/>
          <w:lang w:val="en-US" w:eastAsia="zh-CN" w:bidi="ar-SA"/>
        </w:rPr>
        <w:t>。</w:t>
      </w:r>
      <w:r>
        <w:rPr>
          <w:rFonts w:hint="eastAsia" w:ascii="方正仿宋_GBK" w:hAnsi="方正仿宋_GBK" w:eastAsia="方正仿宋_GBK" w:cs="方正仿宋_GBK"/>
          <w:color w:val="auto"/>
          <w:spacing w:val="6"/>
          <w:kern w:val="2"/>
          <w:sz w:val="32"/>
          <w:szCs w:val="32"/>
          <w:highlight w:val="none"/>
          <w:lang w:val="en-US" w:eastAsia="zh-CN" w:bidi="ar-SA"/>
        </w:rPr>
        <w:t>加强突发事件应对，引导养老服务机构增强风险防范意识和应对处置能力。推进养老服务突发事件应急管理机制建设，强化系统规范的突发事件应急管理程序，强化分级分类的安全风险监测预警，强化传染性突发公共卫生事件的预防控制，强化快速响应的救援支援处置，全面提升养老服务领域突发事件监测预警、应急处置、应急救援、恢复重建等应急管理能力。加大养老服务机构开展传染病疫情防控工作力度，坚持预防为主，探索建立预防养老机构院感工作机制，精心落实老年人个人防护的各项措施。突出抓好常态化疫情防控工作，落实养老服务机构传染病疫情防控报告制度，并在有关部门和机构指导下采取卫生处理、隔离等预防控制措施。</w:t>
      </w:r>
      <w:r>
        <w:rPr>
          <w:rFonts w:hint="eastAsia" w:ascii="方正仿宋_GBK" w:hAnsi="方正仿宋_GBK" w:eastAsia="方正仿宋_GBK" w:cs="方正仿宋_GBK"/>
          <w:color w:val="auto"/>
          <w:sz w:val="32"/>
          <w:szCs w:val="32"/>
          <w:highlight w:val="none"/>
        </w:rPr>
        <w:br w:type="page"/>
      </w:r>
    </w:p>
    <w:p>
      <w:pPr>
        <w:pStyle w:val="4"/>
        <w:pageBreakBefore w:val="0"/>
        <w:kinsoku/>
        <w:wordWrap/>
        <w:overflowPunct/>
        <w:topLinePunct w:val="0"/>
        <w:autoSpaceDE/>
        <w:autoSpaceDN/>
        <w:bidi w:val="0"/>
        <w:spacing w:line="560" w:lineRule="exact"/>
        <w:jc w:val="center"/>
        <w:rPr>
          <w:rFonts w:hint="eastAsia" w:ascii="方正黑体_GBK" w:hAnsi="方正黑体_GBK" w:eastAsia="方正黑体_GBK" w:cs="方正黑体_GBK"/>
          <w:color w:val="auto"/>
          <w:sz w:val="44"/>
          <w:szCs w:val="44"/>
          <w:highlight w:val="none"/>
        </w:rPr>
      </w:pPr>
      <w:r>
        <w:rPr>
          <w:rFonts w:hint="eastAsia" w:ascii="方正黑体_GBK" w:hAnsi="方正黑体_GBK" w:eastAsia="方正黑体_GBK" w:cs="方正黑体_GBK"/>
          <w:color w:val="auto"/>
          <w:sz w:val="44"/>
          <w:szCs w:val="44"/>
          <w:highlight w:val="none"/>
        </w:rPr>
        <w:t>第五章 保障措施</w:t>
      </w:r>
    </w:p>
    <w:p>
      <w:pPr>
        <w:pStyle w:val="9"/>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方正仿宋_GBK" w:hAnsi="方正仿宋_GBK" w:eastAsia="方正仿宋_GBK" w:cs="方正仿宋_GBK"/>
          <w:color w:val="auto"/>
          <w:sz w:val="32"/>
          <w:szCs w:val="32"/>
          <w:highlight w:val="none"/>
          <w:lang w:val="en-US" w:eastAsia="zh-CN"/>
        </w:rPr>
      </w:pPr>
      <w:r>
        <w:rPr>
          <w:rStyle w:val="33"/>
          <w:rFonts w:hint="eastAsia" w:ascii="方正仿宋_GBK" w:hAnsi="方正仿宋_GBK" w:eastAsia="方正仿宋_GBK" w:cs="方正仿宋_GBK"/>
          <w:color w:val="auto"/>
          <w:sz w:val="32"/>
          <w:szCs w:val="32"/>
          <w:highlight w:val="none"/>
        </w:rPr>
        <w:t>一</w:t>
      </w:r>
      <w:r>
        <w:rPr>
          <w:rStyle w:val="33"/>
          <w:rFonts w:hint="eastAsia" w:ascii="方正仿宋_GBK" w:hAnsi="方正仿宋_GBK" w:eastAsia="方正仿宋_GBK" w:cs="方正仿宋_GBK"/>
          <w:color w:val="auto"/>
          <w:sz w:val="32"/>
          <w:szCs w:val="32"/>
          <w:highlight w:val="none"/>
          <w:lang w:eastAsia="zh-CN"/>
        </w:rPr>
        <w:t>、</w:t>
      </w:r>
      <w:r>
        <w:rPr>
          <w:rStyle w:val="33"/>
          <w:rFonts w:hint="eastAsia" w:ascii="方正仿宋_GBK" w:hAnsi="方正仿宋_GBK" w:eastAsia="方正仿宋_GBK" w:cs="方正仿宋_GBK"/>
          <w:color w:val="auto"/>
          <w:sz w:val="32"/>
          <w:szCs w:val="32"/>
          <w:highlight w:val="none"/>
        </w:rPr>
        <w:t>加强组织领导</w:t>
      </w:r>
      <w:r>
        <w:rPr>
          <w:rFonts w:hint="eastAsia" w:ascii="方正仿宋_GBK" w:hAnsi="方正仿宋_GBK" w:eastAsia="方正仿宋_GBK" w:cs="方正仿宋_GBK"/>
          <w:b/>
          <w:color w:val="auto"/>
          <w:sz w:val="32"/>
          <w:szCs w:val="32"/>
          <w:highlight w:val="none"/>
        </w:rPr>
        <w:t>。</w:t>
      </w:r>
      <w:r>
        <w:rPr>
          <w:rFonts w:hint="eastAsia" w:ascii="方正仿宋_GBK" w:hAnsi="方正仿宋_GBK" w:eastAsia="方正仿宋_GBK" w:cs="方正仿宋_GBK"/>
          <w:color w:val="auto"/>
          <w:sz w:val="32"/>
          <w:szCs w:val="32"/>
          <w:highlight w:val="none"/>
          <w:lang w:val="en-US" w:eastAsia="zh-CN"/>
        </w:rPr>
        <w:t>各部门要提高政治站位，充分认识积极应对人口老龄化、推动养老服务高质量发展的重要性，进一步健全党委领导、政府主导、社会协同、市场参与的养老服务工作机制。建立养老服务联席工作会议制度，加强工作领导、明确责任分工，</w:t>
      </w:r>
      <w:r>
        <w:rPr>
          <w:rFonts w:hint="eastAsia" w:ascii="方正仿宋_GBK" w:hAnsi="方正仿宋_GBK" w:eastAsia="方正仿宋_GBK" w:cs="方正仿宋_GBK"/>
          <w:color w:val="auto"/>
          <w:sz w:val="32"/>
          <w:szCs w:val="32"/>
          <w:highlight w:val="none"/>
        </w:rPr>
        <w:t>建立</w:t>
      </w:r>
      <w:r>
        <w:rPr>
          <w:rFonts w:hint="eastAsia" w:ascii="方正仿宋_GBK" w:hAnsi="方正仿宋_GBK" w:eastAsia="方正仿宋_GBK" w:cs="方正仿宋_GBK"/>
          <w:color w:val="auto"/>
          <w:sz w:val="32"/>
          <w:szCs w:val="32"/>
          <w:highlight w:val="none"/>
          <w:lang w:val="en-US" w:eastAsia="zh-CN"/>
        </w:rPr>
        <w:t>市</w:t>
      </w:r>
      <w:r>
        <w:rPr>
          <w:rFonts w:hint="eastAsia" w:ascii="方正仿宋_GBK" w:hAnsi="方正仿宋_GBK" w:eastAsia="方正仿宋_GBK" w:cs="方正仿宋_GBK"/>
          <w:color w:val="auto"/>
          <w:sz w:val="32"/>
          <w:szCs w:val="32"/>
          <w:highlight w:val="none"/>
        </w:rPr>
        <w:t>、镇街、村居上下联动，各相关部门左右协调的工作机制，整合社会各方力量和资源，</w:t>
      </w:r>
      <w:r>
        <w:rPr>
          <w:rFonts w:hint="eastAsia" w:ascii="方正仿宋_GBK" w:hAnsi="方正仿宋_GBK" w:eastAsia="方正仿宋_GBK" w:cs="方正仿宋_GBK"/>
          <w:color w:val="auto"/>
          <w:sz w:val="32"/>
          <w:szCs w:val="32"/>
          <w:highlight w:val="none"/>
          <w:lang w:val="en-US" w:eastAsia="zh-CN"/>
        </w:rPr>
        <w:t>确保如期完成规划设置的目标任务。</w:t>
      </w:r>
    </w:p>
    <w:p>
      <w:pPr>
        <w:pStyle w:val="9"/>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方正仿宋_GBK" w:hAnsi="方正仿宋_GBK" w:eastAsia="方正仿宋_GBK" w:cs="方正仿宋_GBK"/>
          <w:b/>
          <w:bCs/>
          <w:color w:val="auto"/>
          <w:sz w:val="32"/>
          <w:szCs w:val="32"/>
          <w:highlight w:val="none"/>
          <w:lang w:val="en-US" w:eastAsia="zh-CN"/>
        </w:rPr>
      </w:pPr>
      <w:r>
        <w:rPr>
          <w:rStyle w:val="33"/>
          <w:rFonts w:hint="eastAsia" w:ascii="方正仿宋_GBK" w:hAnsi="方正仿宋_GBK" w:eastAsia="方正仿宋_GBK" w:cs="方正仿宋_GBK"/>
          <w:color w:val="auto"/>
          <w:sz w:val="32"/>
          <w:szCs w:val="32"/>
          <w:highlight w:val="none"/>
          <w:lang w:val="en-US" w:eastAsia="zh-CN"/>
        </w:rPr>
        <w:t>二、强化合力推进</w:t>
      </w:r>
      <w:r>
        <w:rPr>
          <w:rFonts w:hint="eastAsia" w:ascii="方正仿宋_GBK" w:hAnsi="方正仿宋_GBK" w:eastAsia="方正仿宋_GBK" w:cs="方正仿宋_GBK"/>
          <w:b/>
          <w:bCs/>
          <w:color w:val="auto"/>
          <w:sz w:val="32"/>
          <w:szCs w:val="32"/>
          <w:highlight w:val="none"/>
          <w:lang w:val="en-US" w:eastAsia="zh-CN"/>
        </w:rPr>
        <w:t>。</w:t>
      </w:r>
      <w:r>
        <w:rPr>
          <w:rFonts w:hint="eastAsia" w:ascii="方正仿宋_GBK" w:hAnsi="方正仿宋_GBK" w:eastAsia="方正仿宋_GBK" w:cs="方正仿宋_GBK"/>
          <w:color w:val="auto"/>
          <w:sz w:val="32"/>
          <w:szCs w:val="32"/>
          <w:highlight w:val="none"/>
          <w:lang w:val="en-US" w:eastAsia="zh-CN"/>
        </w:rPr>
        <w:t>民政部门切实履行监督管理、行业规范、业务指导职责。发展改革部门将养老服务业发展纳入经济社会发展规划、专项规划和区域规划，支持养老服务设施建设。财政部门积极调整公共财政支出结构，对养老服务业发展给予财力保障。卫健、医疗保障、人力资源和社会保障等部门制定医养融合发展的政策措施。教育、自然资源、住房城乡建设、税务、金融、市场监督等部门各司其职、通力合作，及时解决养老服务业发展中遇到的问题，形成齐抓共管、整体推进的工作格局，确保规划内容落实到位。</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方正仿宋_GBK" w:hAnsi="方正仿宋_GBK" w:eastAsia="方正仿宋_GBK" w:cs="方正仿宋_GBK"/>
          <w:color w:val="auto"/>
          <w:sz w:val="32"/>
          <w:szCs w:val="32"/>
          <w:highlight w:val="none"/>
          <w:lang w:val="en-US" w:eastAsia="zh-CN"/>
        </w:rPr>
      </w:pPr>
      <w:r>
        <w:rPr>
          <w:rStyle w:val="33"/>
          <w:rFonts w:hint="eastAsia" w:ascii="方正仿宋_GBK" w:hAnsi="方正仿宋_GBK" w:eastAsia="方正仿宋_GBK" w:cs="方正仿宋_GBK"/>
          <w:color w:val="auto"/>
          <w:sz w:val="32"/>
          <w:szCs w:val="32"/>
          <w:highlight w:val="none"/>
          <w:lang w:val="en-US" w:eastAsia="zh-CN"/>
        </w:rPr>
        <w:t>三、加大资金投入</w:t>
      </w:r>
      <w:r>
        <w:rPr>
          <w:rFonts w:hint="eastAsia" w:ascii="方正仿宋_GBK" w:hAnsi="方正仿宋_GBK" w:eastAsia="方正仿宋_GBK" w:cs="方正仿宋_GBK"/>
          <w:b/>
          <w:color w:val="auto"/>
          <w:sz w:val="32"/>
          <w:szCs w:val="32"/>
          <w:highlight w:val="none"/>
        </w:rPr>
        <w:t>。</w:t>
      </w:r>
      <w:r>
        <w:rPr>
          <w:rFonts w:hint="eastAsia" w:ascii="方正仿宋_GBK" w:hAnsi="方正仿宋_GBK" w:eastAsia="方正仿宋_GBK" w:cs="方正仿宋_GBK"/>
          <w:color w:val="auto"/>
          <w:sz w:val="32"/>
          <w:szCs w:val="32"/>
          <w:highlight w:val="none"/>
          <w:lang w:val="en-US" w:eastAsia="zh-CN"/>
        </w:rPr>
        <w:t>根据市经济发展状况和工作实际，充分发挥公共财政投入的主渠道作用，探索建立投入保障机制和资金增长机制。将高龄津贴、养老服务体系建设（长者食堂补助）、平安通等养老项目纳入公共财政预算，并建立合理的适应老年需求的增长机制。综合利用福利彩票公益金、残疾人保障金、项目化社会捐赠资金支持社区养老服务事业发展。建立多元投入机制。充分发挥政府投资的引导作用，进一步激发各类社会主体共同参与养老服务。</w:t>
      </w:r>
    </w:p>
    <w:p>
      <w:pPr>
        <w:pStyle w:val="9"/>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方正仿宋_GBK" w:hAnsi="方正仿宋_GBK" w:eastAsia="方正仿宋_GBK" w:cs="方正仿宋_GBK"/>
          <w:color w:val="auto"/>
          <w:sz w:val="32"/>
          <w:szCs w:val="32"/>
          <w:highlight w:val="none"/>
          <w:lang w:val="en-US" w:eastAsia="zh-CN"/>
        </w:rPr>
      </w:pPr>
      <w:r>
        <w:rPr>
          <w:rStyle w:val="33"/>
          <w:rFonts w:hint="eastAsia" w:ascii="方正仿宋_GBK" w:hAnsi="方正仿宋_GBK" w:eastAsia="方正仿宋_GBK" w:cs="方正仿宋_GBK"/>
          <w:color w:val="auto"/>
          <w:sz w:val="32"/>
          <w:szCs w:val="32"/>
          <w:highlight w:val="none"/>
          <w:lang w:val="en-US" w:eastAsia="zh-CN"/>
        </w:rPr>
        <w:t>四、深化改革创新</w:t>
      </w:r>
      <w:r>
        <w:rPr>
          <w:rFonts w:hint="eastAsia" w:ascii="方正仿宋_GBK" w:hAnsi="方正仿宋_GBK" w:eastAsia="方正仿宋_GBK" w:cs="方正仿宋_GBK"/>
          <w:b/>
          <w:bCs/>
          <w:color w:val="auto"/>
          <w:sz w:val="32"/>
          <w:szCs w:val="32"/>
          <w:highlight w:val="none"/>
          <w:lang w:val="en-US" w:eastAsia="zh-CN"/>
        </w:rPr>
        <w:t>。</w:t>
      </w:r>
      <w:r>
        <w:rPr>
          <w:rFonts w:hint="eastAsia" w:ascii="方正仿宋_GBK" w:hAnsi="方正仿宋_GBK" w:eastAsia="方正仿宋_GBK" w:cs="方正仿宋_GBK"/>
          <w:color w:val="auto"/>
          <w:sz w:val="32"/>
          <w:szCs w:val="32"/>
          <w:highlight w:val="none"/>
          <w:lang w:val="en-US" w:eastAsia="zh-CN"/>
        </w:rPr>
        <w:t>巩固现有成果，创造一批养老服务典型经营和先进做法。</w:t>
      </w:r>
      <w:r>
        <w:rPr>
          <w:rFonts w:hint="eastAsia" w:ascii="方正仿宋_GBK" w:hAnsi="方正仿宋_GBK" w:eastAsia="方正仿宋_GBK" w:cs="方正仿宋_GBK"/>
          <w:color w:val="auto"/>
          <w:sz w:val="32"/>
          <w:szCs w:val="32"/>
          <w:highlight w:val="none"/>
        </w:rPr>
        <w:t>在全</w:t>
      </w:r>
      <w:r>
        <w:rPr>
          <w:rFonts w:hint="eastAsia" w:ascii="方正仿宋_GBK" w:hAnsi="方正仿宋_GBK" w:eastAsia="方正仿宋_GBK" w:cs="方正仿宋_GBK"/>
          <w:color w:val="auto"/>
          <w:sz w:val="32"/>
          <w:szCs w:val="32"/>
          <w:highlight w:val="none"/>
          <w:lang w:val="en-US" w:eastAsia="zh-CN"/>
        </w:rPr>
        <w:t>市</w:t>
      </w:r>
      <w:r>
        <w:rPr>
          <w:rFonts w:hint="eastAsia" w:ascii="方正仿宋_GBK" w:hAnsi="方正仿宋_GBK" w:eastAsia="方正仿宋_GBK" w:cs="方正仿宋_GBK"/>
          <w:color w:val="auto"/>
          <w:sz w:val="32"/>
          <w:szCs w:val="32"/>
          <w:highlight w:val="none"/>
        </w:rPr>
        <w:t>遴选有工作基础、综合实力强、有条件的地区，规划建设一批特色鲜明、示范性强的社区居家养老服务、机构养老服务试点项目，原则上一镇（街）一站，一村（居）一点。积极向先进省、市学习养老服务经验，解决工作中的疑难问题，民政部门要会同相关部门及时总结推广好的经验和做法，完善相关政策措施。</w:t>
      </w:r>
      <w:r>
        <w:rPr>
          <w:rFonts w:hint="eastAsia" w:ascii="方正仿宋_GBK" w:hAnsi="方正仿宋_GBK" w:eastAsia="方正仿宋_GBK" w:cs="方正仿宋_GBK"/>
          <w:color w:val="auto"/>
          <w:sz w:val="32"/>
          <w:szCs w:val="32"/>
          <w:highlight w:val="none"/>
          <w:lang w:val="en-US" w:eastAsia="zh-CN"/>
        </w:rPr>
        <w:t>继续深化“放管服”改革，进一步改善养老服务领域营商环境。</w:t>
      </w:r>
    </w:p>
    <w:p>
      <w:pPr>
        <w:pStyle w:val="9"/>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方正仿宋_GBK" w:hAnsi="方正仿宋_GBK" w:eastAsia="方正仿宋_GBK" w:cs="方正仿宋_GBK"/>
          <w:color w:val="auto"/>
          <w:sz w:val="32"/>
          <w:szCs w:val="32"/>
          <w:highlight w:val="none"/>
        </w:rPr>
      </w:pPr>
      <w:r>
        <w:rPr>
          <w:rStyle w:val="33"/>
          <w:rFonts w:hint="eastAsia" w:ascii="方正仿宋_GBK" w:hAnsi="方正仿宋_GBK" w:eastAsia="方正仿宋_GBK" w:cs="方正仿宋_GBK"/>
          <w:color w:val="auto"/>
          <w:sz w:val="32"/>
          <w:szCs w:val="32"/>
          <w:highlight w:val="none"/>
          <w:lang w:val="en-US" w:eastAsia="zh-CN"/>
        </w:rPr>
        <w:t>五、强化监管评估。</w:t>
      </w:r>
      <w:r>
        <w:rPr>
          <w:rFonts w:hint="eastAsia" w:ascii="方正仿宋_GBK" w:hAnsi="方正仿宋_GBK" w:eastAsia="方正仿宋_GBK" w:cs="方正仿宋_GBK"/>
          <w:color w:val="auto"/>
          <w:sz w:val="32"/>
          <w:szCs w:val="32"/>
          <w:highlight w:val="none"/>
          <w:lang w:val="en-US" w:eastAsia="zh-CN"/>
        </w:rPr>
        <w:t>养老服务业“十四五”发展规划是全市养老服务今后一个时期发展的总纲和任务，各部门应当结合自身实际制定具体规划和年度计划，加强对规划实施情况的评估考核，对涉及约束性指标和兜底保障、基本养老服务等政府履责要求的，进一步细化责任主体，严格跟踪考核机制，建立“年度评价、中期评估、总结评估”的养老服务规划评价闭环。在规划实施过程中自觉接受人大监督，并充分采纳群众意见，集思广益、群策群力。动员各方面的力量，灵活采取各种方式落实规划任务，及时调整执行偏差，确保规划目标顺利完成。</w:t>
      </w:r>
    </w:p>
    <w:sectPr>
      <w:footerReference r:id="rId3" w:type="default"/>
      <w:pgSz w:w="11906" w:h="16838"/>
      <w:pgMar w:top="1701" w:right="1576" w:bottom="1440" w:left="1633"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swiss"/>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p>
  <w:p>
    <w:pPr>
      <w:pStyle w:val="12"/>
      <w:jc w:val="both"/>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g3MjRjZDMwZjU1OGNlZGU2NTkyYjNhNThmMDM2MTUifQ=="/>
  </w:docVars>
  <w:rsids>
    <w:rsidRoot w:val="322D4105"/>
    <w:rsid w:val="00016A45"/>
    <w:rsid w:val="00016FA4"/>
    <w:rsid w:val="00020C88"/>
    <w:rsid w:val="0003750F"/>
    <w:rsid w:val="00051DD3"/>
    <w:rsid w:val="00060287"/>
    <w:rsid w:val="00060597"/>
    <w:rsid w:val="000633C5"/>
    <w:rsid w:val="000643A3"/>
    <w:rsid w:val="00071364"/>
    <w:rsid w:val="00075CC6"/>
    <w:rsid w:val="000804A9"/>
    <w:rsid w:val="0008485B"/>
    <w:rsid w:val="00093092"/>
    <w:rsid w:val="000A11BA"/>
    <w:rsid w:val="000B0BCD"/>
    <w:rsid w:val="000B44DF"/>
    <w:rsid w:val="000C4772"/>
    <w:rsid w:val="000D1036"/>
    <w:rsid w:val="000E6AE9"/>
    <w:rsid w:val="000F69B1"/>
    <w:rsid w:val="000F7282"/>
    <w:rsid w:val="001010D9"/>
    <w:rsid w:val="00113B26"/>
    <w:rsid w:val="00114A10"/>
    <w:rsid w:val="001220B5"/>
    <w:rsid w:val="00125DCD"/>
    <w:rsid w:val="00127C93"/>
    <w:rsid w:val="00137083"/>
    <w:rsid w:val="00147C9B"/>
    <w:rsid w:val="001619A5"/>
    <w:rsid w:val="001708E6"/>
    <w:rsid w:val="001774F5"/>
    <w:rsid w:val="0018072A"/>
    <w:rsid w:val="001815AE"/>
    <w:rsid w:val="00181A1D"/>
    <w:rsid w:val="001B2228"/>
    <w:rsid w:val="001B5659"/>
    <w:rsid w:val="001D7E77"/>
    <w:rsid w:val="002155D3"/>
    <w:rsid w:val="00224820"/>
    <w:rsid w:val="0023432E"/>
    <w:rsid w:val="0023660B"/>
    <w:rsid w:val="00246871"/>
    <w:rsid w:val="00252694"/>
    <w:rsid w:val="00257145"/>
    <w:rsid w:val="00267A2A"/>
    <w:rsid w:val="00272B54"/>
    <w:rsid w:val="00275542"/>
    <w:rsid w:val="00277CD3"/>
    <w:rsid w:val="00285369"/>
    <w:rsid w:val="002A75FB"/>
    <w:rsid w:val="002B16C1"/>
    <w:rsid w:val="002B28F4"/>
    <w:rsid w:val="002C621E"/>
    <w:rsid w:val="002D5DD8"/>
    <w:rsid w:val="002E62AF"/>
    <w:rsid w:val="002E6F57"/>
    <w:rsid w:val="002F512F"/>
    <w:rsid w:val="00310E15"/>
    <w:rsid w:val="00316533"/>
    <w:rsid w:val="0034396C"/>
    <w:rsid w:val="00347699"/>
    <w:rsid w:val="00373A83"/>
    <w:rsid w:val="003B67D0"/>
    <w:rsid w:val="003D5CFA"/>
    <w:rsid w:val="003E2938"/>
    <w:rsid w:val="003E3CCB"/>
    <w:rsid w:val="00406EE1"/>
    <w:rsid w:val="00420F69"/>
    <w:rsid w:val="004216A7"/>
    <w:rsid w:val="00432CFE"/>
    <w:rsid w:val="00432F9F"/>
    <w:rsid w:val="00433642"/>
    <w:rsid w:val="004704E5"/>
    <w:rsid w:val="004704EC"/>
    <w:rsid w:val="0047307B"/>
    <w:rsid w:val="00491DCD"/>
    <w:rsid w:val="0049201E"/>
    <w:rsid w:val="004A4C6D"/>
    <w:rsid w:val="004A64A9"/>
    <w:rsid w:val="004B1ACB"/>
    <w:rsid w:val="004C1D33"/>
    <w:rsid w:val="004C378D"/>
    <w:rsid w:val="004C78D1"/>
    <w:rsid w:val="004D299F"/>
    <w:rsid w:val="004E3911"/>
    <w:rsid w:val="00504E2D"/>
    <w:rsid w:val="0052077E"/>
    <w:rsid w:val="00540946"/>
    <w:rsid w:val="0054671B"/>
    <w:rsid w:val="00547ED3"/>
    <w:rsid w:val="00551107"/>
    <w:rsid w:val="00552D67"/>
    <w:rsid w:val="005611CC"/>
    <w:rsid w:val="00561BD6"/>
    <w:rsid w:val="00573ABE"/>
    <w:rsid w:val="005758B4"/>
    <w:rsid w:val="00583AA3"/>
    <w:rsid w:val="005A01F7"/>
    <w:rsid w:val="005E21C3"/>
    <w:rsid w:val="00617199"/>
    <w:rsid w:val="00624358"/>
    <w:rsid w:val="0063270F"/>
    <w:rsid w:val="00633CE6"/>
    <w:rsid w:val="00640DB5"/>
    <w:rsid w:val="006510A0"/>
    <w:rsid w:val="00651B79"/>
    <w:rsid w:val="00657417"/>
    <w:rsid w:val="00660A52"/>
    <w:rsid w:val="00680B4B"/>
    <w:rsid w:val="00681310"/>
    <w:rsid w:val="006842FB"/>
    <w:rsid w:val="00684ABC"/>
    <w:rsid w:val="00684CB8"/>
    <w:rsid w:val="00684DC1"/>
    <w:rsid w:val="0068616C"/>
    <w:rsid w:val="00690B45"/>
    <w:rsid w:val="006926D1"/>
    <w:rsid w:val="006A069F"/>
    <w:rsid w:val="006C507F"/>
    <w:rsid w:val="006C7CD4"/>
    <w:rsid w:val="006D2240"/>
    <w:rsid w:val="006D5555"/>
    <w:rsid w:val="006E5F22"/>
    <w:rsid w:val="006E7982"/>
    <w:rsid w:val="006F4353"/>
    <w:rsid w:val="006F7333"/>
    <w:rsid w:val="00700D15"/>
    <w:rsid w:val="00714030"/>
    <w:rsid w:val="00716874"/>
    <w:rsid w:val="00733087"/>
    <w:rsid w:val="00754809"/>
    <w:rsid w:val="00772B8F"/>
    <w:rsid w:val="007912AF"/>
    <w:rsid w:val="00793627"/>
    <w:rsid w:val="007A3360"/>
    <w:rsid w:val="007C270B"/>
    <w:rsid w:val="007D2BC6"/>
    <w:rsid w:val="007D7E99"/>
    <w:rsid w:val="007E42EB"/>
    <w:rsid w:val="007E5D3A"/>
    <w:rsid w:val="007F318E"/>
    <w:rsid w:val="007F7C95"/>
    <w:rsid w:val="007F7D9C"/>
    <w:rsid w:val="00805340"/>
    <w:rsid w:val="00817CC1"/>
    <w:rsid w:val="0082665B"/>
    <w:rsid w:val="00844E8D"/>
    <w:rsid w:val="00845DAE"/>
    <w:rsid w:val="00846CCF"/>
    <w:rsid w:val="00853086"/>
    <w:rsid w:val="00853968"/>
    <w:rsid w:val="00863B2A"/>
    <w:rsid w:val="00867BD9"/>
    <w:rsid w:val="0087246B"/>
    <w:rsid w:val="00882A41"/>
    <w:rsid w:val="008A2CAE"/>
    <w:rsid w:val="008A49A1"/>
    <w:rsid w:val="008B4E8C"/>
    <w:rsid w:val="008B688B"/>
    <w:rsid w:val="008B70A1"/>
    <w:rsid w:val="008C43FB"/>
    <w:rsid w:val="008C5161"/>
    <w:rsid w:val="008C76A5"/>
    <w:rsid w:val="008D2915"/>
    <w:rsid w:val="008F10E5"/>
    <w:rsid w:val="008F2D30"/>
    <w:rsid w:val="00914AC7"/>
    <w:rsid w:val="0091772C"/>
    <w:rsid w:val="009253F3"/>
    <w:rsid w:val="00930638"/>
    <w:rsid w:val="0093226F"/>
    <w:rsid w:val="009522BC"/>
    <w:rsid w:val="0096174E"/>
    <w:rsid w:val="00962844"/>
    <w:rsid w:val="0096575A"/>
    <w:rsid w:val="00971DE4"/>
    <w:rsid w:val="009747A1"/>
    <w:rsid w:val="00986C60"/>
    <w:rsid w:val="00990CF3"/>
    <w:rsid w:val="009B7E7E"/>
    <w:rsid w:val="009C1021"/>
    <w:rsid w:val="009D232F"/>
    <w:rsid w:val="009E78C5"/>
    <w:rsid w:val="009F5861"/>
    <w:rsid w:val="00A010CD"/>
    <w:rsid w:val="00A123BC"/>
    <w:rsid w:val="00A1496C"/>
    <w:rsid w:val="00A2285F"/>
    <w:rsid w:val="00A27FB4"/>
    <w:rsid w:val="00A3427C"/>
    <w:rsid w:val="00A36141"/>
    <w:rsid w:val="00A47610"/>
    <w:rsid w:val="00A6193B"/>
    <w:rsid w:val="00A61EF6"/>
    <w:rsid w:val="00A66CBB"/>
    <w:rsid w:val="00A729A7"/>
    <w:rsid w:val="00A750EB"/>
    <w:rsid w:val="00A863E2"/>
    <w:rsid w:val="00AA1CB2"/>
    <w:rsid w:val="00AC1D36"/>
    <w:rsid w:val="00AE5334"/>
    <w:rsid w:val="00AF52D2"/>
    <w:rsid w:val="00AF587C"/>
    <w:rsid w:val="00B01067"/>
    <w:rsid w:val="00B35F8F"/>
    <w:rsid w:val="00B4133E"/>
    <w:rsid w:val="00B4164D"/>
    <w:rsid w:val="00B50074"/>
    <w:rsid w:val="00B541D7"/>
    <w:rsid w:val="00B54DCD"/>
    <w:rsid w:val="00B677F8"/>
    <w:rsid w:val="00B849B0"/>
    <w:rsid w:val="00B8527E"/>
    <w:rsid w:val="00B86DC5"/>
    <w:rsid w:val="00BA4ED3"/>
    <w:rsid w:val="00C31949"/>
    <w:rsid w:val="00C32CD4"/>
    <w:rsid w:val="00C46AF3"/>
    <w:rsid w:val="00C50B22"/>
    <w:rsid w:val="00C57F93"/>
    <w:rsid w:val="00C60B6A"/>
    <w:rsid w:val="00C62FD9"/>
    <w:rsid w:val="00C8015E"/>
    <w:rsid w:val="00C8142B"/>
    <w:rsid w:val="00C920D8"/>
    <w:rsid w:val="00CA05EC"/>
    <w:rsid w:val="00CC1CD0"/>
    <w:rsid w:val="00CC2A30"/>
    <w:rsid w:val="00CD1ED1"/>
    <w:rsid w:val="00CD24FC"/>
    <w:rsid w:val="00CE1A49"/>
    <w:rsid w:val="00CE59C7"/>
    <w:rsid w:val="00CF608B"/>
    <w:rsid w:val="00CF6148"/>
    <w:rsid w:val="00CF6C8C"/>
    <w:rsid w:val="00D03746"/>
    <w:rsid w:val="00D06128"/>
    <w:rsid w:val="00D06815"/>
    <w:rsid w:val="00D1007F"/>
    <w:rsid w:val="00D273F6"/>
    <w:rsid w:val="00D45734"/>
    <w:rsid w:val="00D53928"/>
    <w:rsid w:val="00D56FA1"/>
    <w:rsid w:val="00D6414B"/>
    <w:rsid w:val="00D70E6F"/>
    <w:rsid w:val="00D747D2"/>
    <w:rsid w:val="00D81ADB"/>
    <w:rsid w:val="00D85F30"/>
    <w:rsid w:val="00D911D6"/>
    <w:rsid w:val="00D975BA"/>
    <w:rsid w:val="00DA4928"/>
    <w:rsid w:val="00DB4E69"/>
    <w:rsid w:val="00DC3F75"/>
    <w:rsid w:val="00DC48AC"/>
    <w:rsid w:val="00DC6965"/>
    <w:rsid w:val="00DD64BD"/>
    <w:rsid w:val="00DE2D43"/>
    <w:rsid w:val="00E03854"/>
    <w:rsid w:val="00E15688"/>
    <w:rsid w:val="00E201A8"/>
    <w:rsid w:val="00E21C29"/>
    <w:rsid w:val="00E40B2C"/>
    <w:rsid w:val="00E52C02"/>
    <w:rsid w:val="00E5315C"/>
    <w:rsid w:val="00E539A2"/>
    <w:rsid w:val="00E60FF4"/>
    <w:rsid w:val="00E637B9"/>
    <w:rsid w:val="00E72102"/>
    <w:rsid w:val="00E736CF"/>
    <w:rsid w:val="00E92D5A"/>
    <w:rsid w:val="00E9368F"/>
    <w:rsid w:val="00E9454F"/>
    <w:rsid w:val="00E96533"/>
    <w:rsid w:val="00EA4E35"/>
    <w:rsid w:val="00EB4C13"/>
    <w:rsid w:val="00ED2429"/>
    <w:rsid w:val="00ED2602"/>
    <w:rsid w:val="00ED2824"/>
    <w:rsid w:val="00F0159C"/>
    <w:rsid w:val="00F03E98"/>
    <w:rsid w:val="00F13C86"/>
    <w:rsid w:val="00F150AB"/>
    <w:rsid w:val="00F21BD2"/>
    <w:rsid w:val="00F2326A"/>
    <w:rsid w:val="00F40C5B"/>
    <w:rsid w:val="00F43CDD"/>
    <w:rsid w:val="00F4662C"/>
    <w:rsid w:val="00F56657"/>
    <w:rsid w:val="00F810D7"/>
    <w:rsid w:val="00F84681"/>
    <w:rsid w:val="00F94BE6"/>
    <w:rsid w:val="00FB0CB8"/>
    <w:rsid w:val="00FB58F7"/>
    <w:rsid w:val="00FC43A4"/>
    <w:rsid w:val="00FF77FC"/>
    <w:rsid w:val="010D4C8F"/>
    <w:rsid w:val="01454A5B"/>
    <w:rsid w:val="01687836"/>
    <w:rsid w:val="01826538"/>
    <w:rsid w:val="0187473F"/>
    <w:rsid w:val="01D54BFB"/>
    <w:rsid w:val="01F3521E"/>
    <w:rsid w:val="02010296"/>
    <w:rsid w:val="026E56DA"/>
    <w:rsid w:val="02C35A8C"/>
    <w:rsid w:val="02EA7FD8"/>
    <w:rsid w:val="033755DF"/>
    <w:rsid w:val="0354377E"/>
    <w:rsid w:val="039C1A78"/>
    <w:rsid w:val="03AB7B39"/>
    <w:rsid w:val="03C07382"/>
    <w:rsid w:val="04043174"/>
    <w:rsid w:val="04284E13"/>
    <w:rsid w:val="045436E8"/>
    <w:rsid w:val="046E2796"/>
    <w:rsid w:val="04AB3B8E"/>
    <w:rsid w:val="04C76384"/>
    <w:rsid w:val="054151A7"/>
    <w:rsid w:val="05C2253D"/>
    <w:rsid w:val="05C42B8B"/>
    <w:rsid w:val="05DF415B"/>
    <w:rsid w:val="05E6739B"/>
    <w:rsid w:val="06124886"/>
    <w:rsid w:val="0662384B"/>
    <w:rsid w:val="06626067"/>
    <w:rsid w:val="06B06A8A"/>
    <w:rsid w:val="07465E38"/>
    <w:rsid w:val="077400CD"/>
    <w:rsid w:val="07B73869"/>
    <w:rsid w:val="07DE06C1"/>
    <w:rsid w:val="07FF0E7E"/>
    <w:rsid w:val="07FF12C2"/>
    <w:rsid w:val="084C2E71"/>
    <w:rsid w:val="08543080"/>
    <w:rsid w:val="086473E2"/>
    <w:rsid w:val="086A1FB2"/>
    <w:rsid w:val="0871074D"/>
    <w:rsid w:val="089044E9"/>
    <w:rsid w:val="08A728CF"/>
    <w:rsid w:val="08C42BDE"/>
    <w:rsid w:val="08D16D06"/>
    <w:rsid w:val="08E04023"/>
    <w:rsid w:val="08E521B2"/>
    <w:rsid w:val="09073C4B"/>
    <w:rsid w:val="095D3055"/>
    <w:rsid w:val="0A0C0CB1"/>
    <w:rsid w:val="0A253D87"/>
    <w:rsid w:val="0A3D794F"/>
    <w:rsid w:val="0A6239DB"/>
    <w:rsid w:val="0A851186"/>
    <w:rsid w:val="0ACB6F4F"/>
    <w:rsid w:val="0AFA72BB"/>
    <w:rsid w:val="0B375D94"/>
    <w:rsid w:val="0BD940D8"/>
    <w:rsid w:val="0BF40F20"/>
    <w:rsid w:val="0C02467F"/>
    <w:rsid w:val="0C0C652D"/>
    <w:rsid w:val="0C244AFD"/>
    <w:rsid w:val="0C5343FD"/>
    <w:rsid w:val="0C58784F"/>
    <w:rsid w:val="0C761BDC"/>
    <w:rsid w:val="0C7707BA"/>
    <w:rsid w:val="0CCA7A28"/>
    <w:rsid w:val="0D012472"/>
    <w:rsid w:val="0D216C50"/>
    <w:rsid w:val="0D505F74"/>
    <w:rsid w:val="0D6423B2"/>
    <w:rsid w:val="0DFC02DA"/>
    <w:rsid w:val="0E294D31"/>
    <w:rsid w:val="0E3803DF"/>
    <w:rsid w:val="0E4B23BA"/>
    <w:rsid w:val="0E76177D"/>
    <w:rsid w:val="0E9144CA"/>
    <w:rsid w:val="0E96310F"/>
    <w:rsid w:val="0EB93DF1"/>
    <w:rsid w:val="0ED134F6"/>
    <w:rsid w:val="0F585826"/>
    <w:rsid w:val="0F631140"/>
    <w:rsid w:val="0F9A5906"/>
    <w:rsid w:val="0FCE5F07"/>
    <w:rsid w:val="0FD51400"/>
    <w:rsid w:val="1027125A"/>
    <w:rsid w:val="1032149E"/>
    <w:rsid w:val="10591211"/>
    <w:rsid w:val="10B23B37"/>
    <w:rsid w:val="10C95854"/>
    <w:rsid w:val="10DF2A48"/>
    <w:rsid w:val="10E602E7"/>
    <w:rsid w:val="1118613B"/>
    <w:rsid w:val="115B565E"/>
    <w:rsid w:val="116819FC"/>
    <w:rsid w:val="11A04882"/>
    <w:rsid w:val="11A27059"/>
    <w:rsid w:val="11B167D5"/>
    <w:rsid w:val="11BD3629"/>
    <w:rsid w:val="126B0582"/>
    <w:rsid w:val="126C74B5"/>
    <w:rsid w:val="127864B0"/>
    <w:rsid w:val="12973B23"/>
    <w:rsid w:val="12B553AA"/>
    <w:rsid w:val="12DB168F"/>
    <w:rsid w:val="12E2188F"/>
    <w:rsid w:val="12FD5978"/>
    <w:rsid w:val="1363068E"/>
    <w:rsid w:val="13A35102"/>
    <w:rsid w:val="13AF0BDB"/>
    <w:rsid w:val="13AF35C0"/>
    <w:rsid w:val="13B33385"/>
    <w:rsid w:val="13C57B9D"/>
    <w:rsid w:val="13D12F09"/>
    <w:rsid w:val="13D36231"/>
    <w:rsid w:val="140F0FDA"/>
    <w:rsid w:val="144F7069"/>
    <w:rsid w:val="14634486"/>
    <w:rsid w:val="14666ED1"/>
    <w:rsid w:val="14862427"/>
    <w:rsid w:val="148D1316"/>
    <w:rsid w:val="149C1580"/>
    <w:rsid w:val="14D64C74"/>
    <w:rsid w:val="150C079D"/>
    <w:rsid w:val="151334EA"/>
    <w:rsid w:val="15302E5B"/>
    <w:rsid w:val="155A1547"/>
    <w:rsid w:val="157D377E"/>
    <w:rsid w:val="15A64197"/>
    <w:rsid w:val="15A97B1A"/>
    <w:rsid w:val="15B2547D"/>
    <w:rsid w:val="15C947BC"/>
    <w:rsid w:val="15D2128E"/>
    <w:rsid w:val="15E467F7"/>
    <w:rsid w:val="15FE078D"/>
    <w:rsid w:val="16005522"/>
    <w:rsid w:val="160202FE"/>
    <w:rsid w:val="160D7A72"/>
    <w:rsid w:val="16185BC4"/>
    <w:rsid w:val="162C583E"/>
    <w:rsid w:val="165754AD"/>
    <w:rsid w:val="168357F5"/>
    <w:rsid w:val="16893D4B"/>
    <w:rsid w:val="16A05750"/>
    <w:rsid w:val="16A270F2"/>
    <w:rsid w:val="171802DE"/>
    <w:rsid w:val="172D70F6"/>
    <w:rsid w:val="172E6172"/>
    <w:rsid w:val="17396D24"/>
    <w:rsid w:val="174310A0"/>
    <w:rsid w:val="174519F9"/>
    <w:rsid w:val="17EB00E1"/>
    <w:rsid w:val="183228E4"/>
    <w:rsid w:val="18421C56"/>
    <w:rsid w:val="18586266"/>
    <w:rsid w:val="186D7697"/>
    <w:rsid w:val="188127A3"/>
    <w:rsid w:val="1885074C"/>
    <w:rsid w:val="188A386F"/>
    <w:rsid w:val="188F0957"/>
    <w:rsid w:val="18BE39CB"/>
    <w:rsid w:val="18CF6494"/>
    <w:rsid w:val="19046298"/>
    <w:rsid w:val="1929678E"/>
    <w:rsid w:val="193D649A"/>
    <w:rsid w:val="19504EE3"/>
    <w:rsid w:val="195A66B6"/>
    <w:rsid w:val="196102D5"/>
    <w:rsid w:val="196B3EA8"/>
    <w:rsid w:val="196B4716"/>
    <w:rsid w:val="19730838"/>
    <w:rsid w:val="19891225"/>
    <w:rsid w:val="198D591F"/>
    <w:rsid w:val="19B935B7"/>
    <w:rsid w:val="19CB23B8"/>
    <w:rsid w:val="19DA3B7E"/>
    <w:rsid w:val="19EB0816"/>
    <w:rsid w:val="19FC069E"/>
    <w:rsid w:val="1A0546AF"/>
    <w:rsid w:val="1A3A62B0"/>
    <w:rsid w:val="1A3C3000"/>
    <w:rsid w:val="1A4D4E86"/>
    <w:rsid w:val="1A5166C9"/>
    <w:rsid w:val="1A5C42A8"/>
    <w:rsid w:val="1A7A53B0"/>
    <w:rsid w:val="1A9A2300"/>
    <w:rsid w:val="1AA84695"/>
    <w:rsid w:val="1B0A2F89"/>
    <w:rsid w:val="1B175C8C"/>
    <w:rsid w:val="1B2C5B10"/>
    <w:rsid w:val="1B7E160A"/>
    <w:rsid w:val="1BCF4D2B"/>
    <w:rsid w:val="1BE877CD"/>
    <w:rsid w:val="1C3B449A"/>
    <w:rsid w:val="1C534F07"/>
    <w:rsid w:val="1C9D7405"/>
    <w:rsid w:val="1CB81327"/>
    <w:rsid w:val="1CC46930"/>
    <w:rsid w:val="1CFA1594"/>
    <w:rsid w:val="1D48081E"/>
    <w:rsid w:val="1DBA4F7E"/>
    <w:rsid w:val="1DC41975"/>
    <w:rsid w:val="1DEB0A3D"/>
    <w:rsid w:val="1DFF2482"/>
    <w:rsid w:val="1E165F1B"/>
    <w:rsid w:val="1EAA73B3"/>
    <w:rsid w:val="1EB852A9"/>
    <w:rsid w:val="1EC26703"/>
    <w:rsid w:val="1ECF5CD8"/>
    <w:rsid w:val="1F1019EE"/>
    <w:rsid w:val="1F234701"/>
    <w:rsid w:val="1F271BF4"/>
    <w:rsid w:val="1F5F4F7E"/>
    <w:rsid w:val="1F88407A"/>
    <w:rsid w:val="1F8C54CD"/>
    <w:rsid w:val="1FB41E02"/>
    <w:rsid w:val="1FC7623B"/>
    <w:rsid w:val="1FC83EC1"/>
    <w:rsid w:val="1FE55012"/>
    <w:rsid w:val="1FF12F70"/>
    <w:rsid w:val="200E784F"/>
    <w:rsid w:val="20185475"/>
    <w:rsid w:val="204502E6"/>
    <w:rsid w:val="207460B1"/>
    <w:rsid w:val="20C65D66"/>
    <w:rsid w:val="20E13AB7"/>
    <w:rsid w:val="20E2371B"/>
    <w:rsid w:val="21042264"/>
    <w:rsid w:val="212517CC"/>
    <w:rsid w:val="214A12AB"/>
    <w:rsid w:val="2158792F"/>
    <w:rsid w:val="21763E63"/>
    <w:rsid w:val="21786F4B"/>
    <w:rsid w:val="217E24A0"/>
    <w:rsid w:val="21E81052"/>
    <w:rsid w:val="221D0D6A"/>
    <w:rsid w:val="221E3587"/>
    <w:rsid w:val="222733A8"/>
    <w:rsid w:val="222C54E8"/>
    <w:rsid w:val="223E0305"/>
    <w:rsid w:val="22453BA2"/>
    <w:rsid w:val="228A7CE8"/>
    <w:rsid w:val="229B66BB"/>
    <w:rsid w:val="22A31365"/>
    <w:rsid w:val="22AC64ED"/>
    <w:rsid w:val="22C14553"/>
    <w:rsid w:val="22E03E44"/>
    <w:rsid w:val="22EB6F6C"/>
    <w:rsid w:val="23027EE4"/>
    <w:rsid w:val="2331285C"/>
    <w:rsid w:val="2378262C"/>
    <w:rsid w:val="238166D6"/>
    <w:rsid w:val="238471EA"/>
    <w:rsid w:val="23850749"/>
    <w:rsid w:val="23A6613D"/>
    <w:rsid w:val="23BE6D68"/>
    <w:rsid w:val="23C92F48"/>
    <w:rsid w:val="23D8396B"/>
    <w:rsid w:val="24094C88"/>
    <w:rsid w:val="243B2915"/>
    <w:rsid w:val="24534BC7"/>
    <w:rsid w:val="246072F4"/>
    <w:rsid w:val="249D12EE"/>
    <w:rsid w:val="250E645C"/>
    <w:rsid w:val="25544708"/>
    <w:rsid w:val="255B3F58"/>
    <w:rsid w:val="25946D3B"/>
    <w:rsid w:val="25A034AF"/>
    <w:rsid w:val="25A37BF6"/>
    <w:rsid w:val="25B6298A"/>
    <w:rsid w:val="25CE425F"/>
    <w:rsid w:val="25EA5F44"/>
    <w:rsid w:val="260F1CB4"/>
    <w:rsid w:val="261E48A8"/>
    <w:rsid w:val="263563BE"/>
    <w:rsid w:val="26407E20"/>
    <w:rsid w:val="2642670A"/>
    <w:rsid w:val="26500C1F"/>
    <w:rsid w:val="26AE7E9F"/>
    <w:rsid w:val="26BB7D3E"/>
    <w:rsid w:val="26E64B4E"/>
    <w:rsid w:val="270E3F30"/>
    <w:rsid w:val="271527DB"/>
    <w:rsid w:val="27417A30"/>
    <w:rsid w:val="274A2BCA"/>
    <w:rsid w:val="276404E9"/>
    <w:rsid w:val="27A1212A"/>
    <w:rsid w:val="27A460F5"/>
    <w:rsid w:val="27A72C93"/>
    <w:rsid w:val="27B54BA0"/>
    <w:rsid w:val="27BC58FE"/>
    <w:rsid w:val="27CC579C"/>
    <w:rsid w:val="27F20D28"/>
    <w:rsid w:val="27FD657D"/>
    <w:rsid w:val="280253D0"/>
    <w:rsid w:val="28070B0A"/>
    <w:rsid w:val="281F5A22"/>
    <w:rsid w:val="2848203C"/>
    <w:rsid w:val="28605909"/>
    <w:rsid w:val="28CA1856"/>
    <w:rsid w:val="28DE3D33"/>
    <w:rsid w:val="2900014B"/>
    <w:rsid w:val="295D5FAA"/>
    <w:rsid w:val="29600E2C"/>
    <w:rsid w:val="29836EA2"/>
    <w:rsid w:val="29AB7D8B"/>
    <w:rsid w:val="29B81A52"/>
    <w:rsid w:val="29D87922"/>
    <w:rsid w:val="2A1357A6"/>
    <w:rsid w:val="2A5378CC"/>
    <w:rsid w:val="2A6D6D2A"/>
    <w:rsid w:val="2A95250A"/>
    <w:rsid w:val="2A955517"/>
    <w:rsid w:val="2A9C5F48"/>
    <w:rsid w:val="2AD20A83"/>
    <w:rsid w:val="2AF227EA"/>
    <w:rsid w:val="2B386A51"/>
    <w:rsid w:val="2B5341A7"/>
    <w:rsid w:val="2B5951F0"/>
    <w:rsid w:val="2B711F17"/>
    <w:rsid w:val="2BD67280"/>
    <w:rsid w:val="2BD852AB"/>
    <w:rsid w:val="2BD876F5"/>
    <w:rsid w:val="2BF63BB2"/>
    <w:rsid w:val="2C520BD9"/>
    <w:rsid w:val="2C95620E"/>
    <w:rsid w:val="2CA17943"/>
    <w:rsid w:val="2CCE5008"/>
    <w:rsid w:val="2CCF5BF3"/>
    <w:rsid w:val="2CE22C96"/>
    <w:rsid w:val="2D160AFE"/>
    <w:rsid w:val="2D271AD0"/>
    <w:rsid w:val="2D4A5D90"/>
    <w:rsid w:val="2D5A4C42"/>
    <w:rsid w:val="2D6B1E14"/>
    <w:rsid w:val="2D8E6AE4"/>
    <w:rsid w:val="2DDE5F8B"/>
    <w:rsid w:val="2E2C19D7"/>
    <w:rsid w:val="2E342143"/>
    <w:rsid w:val="2E71389E"/>
    <w:rsid w:val="2E815AD3"/>
    <w:rsid w:val="2F261FAE"/>
    <w:rsid w:val="2F3B3CC1"/>
    <w:rsid w:val="2F3C16DA"/>
    <w:rsid w:val="2F3D501A"/>
    <w:rsid w:val="2F621E1A"/>
    <w:rsid w:val="2F7737F3"/>
    <w:rsid w:val="2F86523C"/>
    <w:rsid w:val="2FBD33BB"/>
    <w:rsid w:val="2FEF1E18"/>
    <w:rsid w:val="304C7E61"/>
    <w:rsid w:val="307A7DAC"/>
    <w:rsid w:val="30A5792F"/>
    <w:rsid w:val="30BA09FB"/>
    <w:rsid w:val="30C2376F"/>
    <w:rsid w:val="30CE1C18"/>
    <w:rsid w:val="30D85257"/>
    <w:rsid w:val="31303641"/>
    <w:rsid w:val="31912AC9"/>
    <w:rsid w:val="31DB3FF9"/>
    <w:rsid w:val="32055B6A"/>
    <w:rsid w:val="32137542"/>
    <w:rsid w:val="322D4105"/>
    <w:rsid w:val="323D4672"/>
    <w:rsid w:val="326956A0"/>
    <w:rsid w:val="327C0C81"/>
    <w:rsid w:val="328C6FAD"/>
    <w:rsid w:val="32EB3845"/>
    <w:rsid w:val="32F557B4"/>
    <w:rsid w:val="32FC2924"/>
    <w:rsid w:val="33700226"/>
    <w:rsid w:val="337F3D93"/>
    <w:rsid w:val="33D247B2"/>
    <w:rsid w:val="33E631BE"/>
    <w:rsid w:val="33E739B8"/>
    <w:rsid w:val="342D2063"/>
    <w:rsid w:val="34577E56"/>
    <w:rsid w:val="345E4BE5"/>
    <w:rsid w:val="34BA1455"/>
    <w:rsid w:val="34BE2390"/>
    <w:rsid w:val="34D1379B"/>
    <w:rsid w:val="34D206AA"/>
    <w:rsid w:val="34DB48B8"/>
    <w:rsid w:val="34F40C43"/>
    <w:rsid w:val="35250736"/>
    <w:rsid w:val="352C6260"/>
    <w:rsid w:val="357A4D33"/>
    <w:rsid w:val="35D66DD6"/>
    <w:rsid w:val="35FD2D1B"/>
    <w:rsid w:val="36152D3C"/>
    <w:rsid w:val="361D7E21"/>
    <w:rsid w:val="363619C7"/>
    <w:rsid w:val="363925D9"/>
    <w:rsid w:val="36416E5F"/>
    <w:rsid w:val="3647378A"/>
    <w:rsid w:val="364C5F74"/>
    <w:rsid w:val="365A4FC1"/>
    <w:rsid w:val="367E523E"/>
    <w:rsid w:val="36822193"/>
    <w:rsid w:val="36A92F31"/>
    <w:rsid w:val="36AF0BDB"/>
    <w:rsid w:val="36D90841"/>
    <w:rsid w:val="36FF2794"/>
    <w:rsid w:val="3700216B"/>
    <w:rsid w:val="370276FA"/>
    <w:rsid w:val="371C1F09"/>
    <w:rsid w:val="375F33F1"/>
    <w:rsid w:val="377B3165"/>
    <w:rsid w:val="379B0981"/>
    <w:rsid w:val="37C34E7C"/>
    <w:rsid w:val="38100FD4"/>
    <w:rsid w:val="382C1401"/>
    <w:rsid w:val="38681419"/>
    <w:rsid w:val="387A3382"/>
    <w:rsid w:val="38985ACA"/>
    <w:rsid w:val="389F13AC"/>
    <w:rsid w:val="38AF72B3"/>
    <w:rsid w:val="38C420A7"/>
    <w:rsid w:val="38C74B99"/>
    <w:rsid w:val="38E27595"/>
    <w:rsid w:val="39E210F9"/>
    <w:rsid w:val="39E74720"/>
    <w:rsid w:val="39E80EC0"/>
    <w:rsid w:val="3A002C8A"/>
    <w:rsid w:val="3A0E27E1"/>
    <w:rsid w:val="3A132460"/>
    <w:rsid w:val="3A4E01AD"/>
    <w:rsid w:val="3A53445D"/>
    <w:rsid w:val="3A882342"/>
    <w:rsid w:val="3A9479A4"/>
    <w:rsid w:val="3AA77E80"/>
    <w:rsid w:val="3AC714CF"/>
    <w:rsid w:val="3B044B42"/>
    <w:rsid w:val="3B4105FC"/>
    <w:rsid w:val="3B493837"/>
    <w:rsid w:val="3B52306C"/>
    <w:rsid w:val="3B611089"/>
    <w:rsid w:val="3B6A1E20"/>
    <w:rsid w:val="3B6E19D8"/>
    <w:rsid w:val="3B910C44"/>
    <w:rsid w:val="3C1C0592"/>
    <w:rsid w:val="3C516CC1"/>
    <w:rsid w:val="3C5847AA"/>
    <w:rsid w:val="3C9F6621"/>
    <w:rsid w:val="3CB53A2C"/>
    <w:rsid w:val="3CE079D3"/>
    <w:rsid w:val="3CF92703"/>
    <w:rsid w:val="3CFA38C6"/>
    <w:rsid w:val="3D036A78"/>
    <w:rsid w:val="3D0B5F69"/>
    <w:rsid w:val="3D105E2A"/>
    <w:rsid w:val="3D140FA3"/>
    <w:rsid w:val="3D1A24A8"/>
    <w:rsid w:val="3D412BB2"/>
    <w:rsid w:val="3D61709F"/>
    <w:rsid w:val="3D897FD2"/>
    <w:rsid w:val="3D912D0A"/>
    <w:rsid w:val="3DA70804"/>
    <w:rsid w:val="3DB04F0C"/>
    <w:rsid w:val="3DFD29A6"/>
    <w:rsid w:val="3E112313"/>
    <w:rsid w:val="3E2D2639"/>
    <w:rsid w:val="3E300F4C"/>
    <w:rsid w:val="3E3D171A"/>
    <w:rsid w:val="3E410AE4"/>
    <w:rsid w:val="3E6476C3"/>
    <w:rsid w:val="3E650C61"/>
    <w:rsid w:val="3E8B3D4C"/>
    <w:rsid w:val="3E943D51"/>
    <w:rsid w:val="3E9E7BF0"/>
    <w:rsid w:val="3ED30DB8"/>
    <w:rsid w:val="3F78613C"/>
    <w:rsid w:val="3FA3509C"/>
    <w:rsid w:val="3FB23563"/>
    <w:rsid w:val="3FF2267E"/>
    <w:rsid w:val="40011F26"/>
    <w:rsid w:val="400E0DAE"/>
    <w:rsid w:val="40331CE0"/>
    <w:rsid w:val="408F2671"/>
    <w:rsid w:val="409D1EB1"/>
    <w:rsid w:val="40AA56DE"/>
    <w:rsid w:val="40DD6897"/>
    <w:rsid w:val="40FF4FCB"/>
    <w:rsid w:val="411A2C84"/>
    <w:rsid w:val="412067A0"/>
    <w:rsid w:val="41352649"/>
    <w:rsid w:val="417E0F81"/>
    <w:rsid w:val="41801629"/>
    <w:rsid w:val="41B07122"/>
    <w:rsid w:val="41D20053"/>
    <w:rsid w:val="41E719A3"/>
    <w:rsid w:val="42242320"/>
    <w:rsid w:val="422A268A"/>
    <w:rsid w:val="42481CF7"/>
    <w:rsid w:val="425055C3"/>
    <w:rsid w:val="42505BFA"/>
    <w:rsid w:val="427252F9"/>
    <w:rsid w:val="428D3507"/>
    <w:rsid w:val="42AE784B"/>
    <w:rsid w:val="42B51BFD"/>
    <w:rsid w:val="42BA0E68"/>
    <w:rsid w:val="42BF43BA"/>
    <w:rsid w:val="43562ADC"/>
    <w:rsid w:val="438D657F"/>
    <w:rsid w:val="43907D8D"/>
    <w:rsid w:val="44041D3B"/>
    <w:rsid w:val="443127E6"/>
    <w:rsid w:val="443461B7"/>
    <w:rsid w:val="44360E5C"/>
    <w:rsid w:val="444B6F0B"/>
    <w:rsid w:val="446036AF"/>
    <w:rsid w:val="44D073E8"/>
    <w:rsid w:val="44FC7513"/>
    <w:rsid w:val="45982A11"/>
    <w:rsid w:val="459C3AC6"/>
    <w:rsid w:val="45B2270B"/>
    <w:rsid w:val="45C767DD"/>
    <w:rsid w:val="45D03C5F"/>
    <w:rsid w:val="45F94373"/>
    <w:rsid w:val="45FD44BC"/>
    <w:rsid w:val="460D1B0C"/>
    <w:rsid w:val="46100242"/>
    <w:rsid w:val="462618C5"/>
    <w:rsid w:val="465A7F6E"/>
    <w:rsid w:val="46A36894"/>
    <w:rsid w:val="46C07857"/>
    <w:rsid w:val="46CB3712"/>
    <w:rsid w:val="46EE63EF"/>
    <w:rsid w:val="46F64735"/>
    <w:rsid w:val="479A2B98"/>
    <w:rsid w:val="47A872E3"/>
    <w:rsid w:val="47BC438A"/>
    <w:rsid w:val="47C12495"/>
    <w:rsid w:val="47DB65E0"/>
    <w:rsid w:val="47EB552C"/>
    <w:rsid w:val="481D4CD3"/>
    <w:rsid w:val="482C21D5"/>
    <w:rsid w:val="4849385B"/>
    <w:rsid w:val="484D5F67"/>
    <w:rsid w:val="48612C47"/>
    <w:rsid w:val="48906E13"/>
    <w:rsid w:val="48B45F87"/>
    <w:rsid w:val="48C576B0"/>
    <w:rsid w:val="48C72E11"/>
    <w:rsid w:val="48D97EEB"/>
    <w:rsid w:val="49300AEA"/>
    <w:rsid w:val="49370B31"/>
    <w:rsid w:val="493A3CB4"/>
    <w:rsid w:val="49431385"/>
    <w:rsid w:val="494C45B6"/>
    <w:rsid w:val="49753A90"/>
    <w:rsid w:val="498923AC"/>
    <w:rsid w:val="49904846"/>
    <w:rsid w:val="49AB09DF"/>
    <w:rsid w:val="49CF1161"/>
    <w:rsid w:val="49E24CD8"/>
    <w:rsid w:val="49E54B4B"/>
    <w:rsid w:val="49F96A35"/>
    <w:rsid w:val="4A30015B"/>
    <w:rsid w:val="4A5C0ABE"/>
    <w:rsid w:val="4A7C1F87"/>
    <w:rsid w:val="4A7E341F"/>
    <w:rsid w:val="4AB661F1"/>
    <w:rsid w:val="4AE91781"/>
    <w:rsid w:val="4AED26CE"/>
    <w:rsid w:val="4B090ED8"/>
    <w:rsid w:val="4B4C4B80"/>
    <w:rsid w:val="4B725B9F"/>
    <w:rsid w:val="4B783F8B"/>
    <w:rsid w:val="4BDE7517"/>
    <w:rsid w:val="4BF759F2"/>
    <w:rsid w:val="4C1B7F6E"/>
    <w:rsid w:val="4C207508"/>
    <w:rsid w:val="4C5E0E4F"/>
    <w:rsid w:val="4C892930"/>
    <w:rsid w:val="4C995F4E"/>
    <w:rsid w:val="4CB243E1"/>
    <w:rsid w:val="4CF237DA"/>
    <w:rsid w:val="4CFE0587"/>
    <w:rsid w:val="4D1B4BF6"/>
    <w:rsid w:val="4D1B722B"/>
    <w:rsid w:val="4D2F0A63"/>
    <w:rsid w:val="4D7C623F"/>
    <w:rsid w:val="4D8A359A"/>
    <w:rsid w:val="4DA92355"/>
    <w:rsid w:val="4DB94E2E"/>
    <w:rsid w:val="4E131D00"/>
    <w:rsid w:val="4E223471"/>
    <w:rsid w:val="4E362315"/>
    <w:rsid w:val="4E584C84"/>
    <w:rsid w:val="4E741ED0"/>
    <w:rsid w:val="4EA43A1B"/>
    <w:rsid w:val="4EB62A4C"/>
    <w:rsid w:val="4EBD06E3"/>
    <w:rsid w:val="4EC32CBB"/>
    <w:rsid w:val="4F1722F7"/>
    <w:rsid w:val="4F1F43F5"/>
    <w:rsid w:val="4F804513"/>
    <w:rsid w:val="4F896088"/>
    <w:rsid w:val="4FAA2B3A"/>
    <w:rsid w:val="4FC43821"/>
    <w:rsid w:val="4FD14CD4"/>
    <w:rsid w:val="4FDE325D"/>
    <w:rsid w:val="500C613C"/>
    <w:rsid w:val="501E37EE"/>
    <w:rsid w:val="502505A4"/>
    <w:rsid w:val="509A2975"/>
    <w:rsid w:val="50DD7E98"/>
    <w:rsid w:val="511F69F4"/>
    <w:rsid w:val="51315C39"/>
    <w:rsid w:val="518126A5"/>
    <w:rsid w:val="519707E9"/>
    <w:rsid w:val="51B61A8B"/>
    <w:rsid w:val="51D719E2"/>
    <w:rsid w:val="52071443"/>
    <w:rsid w:val="52195BA8"/>
    <w:rsid w:val="52251AD4"/>
    <w:rsid w:val="523A04D8"/>
    <w:rsid w:val="524E70C2"/>
    <w:rsid w:val="52595881"/>
    <w:rsid w:val="526079B1"/>
    <w:rsid w:val="52CB7AF6"/>
    <w:rsid w:val="531F4BD1"/>
    <w:rsid w:val="53367F96"/>
    <w:rsid w:val="5364483A"/>
    <w:rsid w:val="537401DE"/>
    <w:rsid w:val="53811779"/>
    <w:rsid w:val="53A36341"/>
    <w:rsid w:val="53B41778"/>
    <w:rsid w:val="53B571B4"/>
    <w:rsid w:val="53CF0730"/>
    <w:rsid w:val="53D14AAF"/>
    <w:rsid w:val="53D2507A"/>
    <w:rsid w:val="53EC76D4"/>
    <w:rsid w:val="53F32262"/>
    <w:rsid w:val="54112301"/>
    <w:rsid w:val="542F552D"/>
    <w:rsid w:val="54424E4C"/>
    <w:rsid w:val="54525AA3"/>
    <w:rsid w:val="546351FE"/>
    <w:rsid w:val="5471010A"/>
    <w:rsid w:val="5482266A"/>
    <w:rsid w:val="54A056B6"/>
    <w:rsid w:val="54C50FE0"/>
    <w:rsid w:val="54FB3324"/>
    <w:rsid w:val="5501496A"/>
    <w:rsid w:val="55253C1F"/>
    <w:rsid w:val="55333692"/>
    <w:rsid w:val="553A0609"/>
    <w:rsid w:val="55682E56"/>
    <w:rsid w:val="557A28BA"/>
    <w:rsid w:val="55C11C29"/>
    <w:rsid w:val="55C24AC8"/>
    <w:rsid w:val="55C70C38"/>
    <w:rsid w:val="55F7157C"/>
    <w:rsid w:val="55FC5E73"/>
    <w:rsid w:val="561A34E3"/>
    <w:rsid w:val="56462000"/>
    <w:rsid w:val="566738A0"/>
    <w:rsid w:val="56846571"/>
    <w:rsid w:val="569E41E4"/>
    <w:rsid w:val="56E32B00"/>
    <w:rsid w:val="56E92D80"/>
    <w:rsid w:val="57341025"/>
    <w:rsid w:val="574667C0"/>
    <w:rsid w:val="576D18CD"/>
    <w:rsid w:val="57727232"/>
    <w:rsid w:val="5784243C"/>
    <w:rsid w:val="57996412"/>
    <w:rsid w:val="57B572B3"/>
    <w:rsid w:val="57D46450"/>
    <w:rsid w:val="57D73417"/>
    <w:rsid w:val="57EB6225"/>
    <w:rsid w:val="58222DAE"/>
    <w:rsid w:val="58270A4A"/>
    <w:rsid w:val="583B614D"/>
    <w:rsid w:val="585D0BD4"/>
    <w:rsid w:val="587011E2"/>
    <w:rsid w:val="58A00B3E"/>
    <w:rsid w:val="58C6432E"/>
    <w:rsid w:val="58C74FDC"/>
    <w:rsid w:val="58C87FF1"/>
    <w:rsid w:val="58CA764F"/>
    <w:rsid w:val="58F15E2B"/>
    <w:rsid w:val="58F71AEC"/>
    <w:rsid w:val="593E4586"/>
    <w:rsid w:val="59692E1C"/>
    <w:rsid w:val="59955B00"/>
    <w:rsid w:val="59993E35"/>
    <w:rsid w:val="59B06ECC"/>
    <w:rsid w:val="59BB0FC8"/>
    <w:rsid w:val="59E05E99"/>
    <w:rsid w:val="59ED1953"/>
    <w:rsid w:val="59FB00B6"/>
    <w:rsid w:val="59FE5684"/>
    <w:rsid w:val="5A443D90"/>
    <w:rsid w:val="5A4D58FF"/>
    <w:rsid w:val="5A70190C"/>
    <w:rsid w:val="5A805B0A"/>
    <w:rsid w:val="5A8B2679"/>
    <w:rsid w:val="5AA85FFE"/>
    <w:rsid w:val="5ACF62F5"/>
    <w:rsid w:val="5AD65E5C"/>
    <w:rsid w:val="5B427153"/>
    <w:rsid w:val="5B502106"/>
    <w:rsid w:val="5B5F032B"/>
    <w:rsid w:val="5BA52B3D"/>
    <w:rsid w:val="5BC02C8B"/>
    <w:rsid w:val="5BC45FC0"/>
    <w:rsid w:val="5C1926BC"/>
    <w:rsid w:val="5C9F5710"/>
    <w:rsid w:val="5CC15592"/>
    <w:rsid w:val="5CE329E1"/>
    <w:rsid w:val="5D227A80"/>
    <w:rsid w:val="5D3339BE"/>
    <w:rsid w:val="5D347E58"/>
    <w:rsid w:val="5D590323"/>
    <w:rsid w:val="5D6C036B"/>
    <w:rsid w:val="5D923009"/>
    <w:rsid w:val="5D926B43"/>
    <w:rsid w:val="5DBC3336"/>
    <w:rsid w:val="5DD748DD"/>
    <w:rsid w:val="5DE74E6C"/>
    <w:rsid w:val="5DF61F72"/>
    <w:rsid w:val="5E2409F5"/>
    <w:rsid w:val="5E660EDB"/>
    <w:rsid w:val="5E8D7FDA"/>
    <w:rsid w:val="5E9858EF"/>
    <w:rsid w:val="5EA42163"/>
    <w:rsid w:val="5EB920E2"/>
    <w:rsid w:val="5EDD1910"/>
    <w:rsid w:val="5EE04BB8"/>
    <w:rsid w:val="5F04518C"/>
    <w:rsid w:val="5F0B2C9B"/>
    <w:rsid w:val="5F180F96"/>
    <w:rsid w:val="5F2627B9"/>
    <w:rsid w:val="5F79590E"/>
    <w:rsid w:val="5F911F08"/>
    <w:rsid w:val="5FC14EFD"/>
    <w:rsid w:val="5FD26B66"/>
    <w:rsid w:val="60254F81"/>
    <w:rsid w:val="60310C7C"/>
    <w:rsid w:val="60384F12"/>
    <w:rsid w:val="60435098"/>
    <w:rsid w:val="60567AD9"/>
    <w:rsid w:val="60804D3F"/>
    <w:rsid w:val="60CC59CB"/>
    <w:rsid w:val="60FC636B"/>
    <w:rsid w:val="612660A5"/>
    <w:rsid w:val="613709E3"/>
    <w:rsid w:val="6151141E"/>
    <w:rsid w:val="61722B3F"/>
    <w:rsid w:val="6182292A"/>
    <w:rsid w:val="61C53E13"/>
    <w:rsid w:val="61CA3250"/>
    <w:rsid w:val="622007B8"/>
    <w:rsid w:val="627156EC"/>
    <w:rsid w:val="62A154D9"/>
    <w:rsid w:val="62AA0255"/>
    <w:rsid w:val="62BA5A5F"/>
    <w:rsid w:val="62DA63F9"/>
    <w:rsid w:val="62E72F2E"/>
    <w:rsid w:val="632334C3"/>
    <w:rsid w:val="63300907"/>
    <w:rsid w:val="6344336F"/>
    <w:rsid w:val="63550121"/>
    <w:rsid w:val="635D1336"/>
    <w:rsid w:val="63723AA1"/>
    <w:rsid w:val="639926E5"/>
    <w:rsid w:val="63A23524"/>
    <w:rsid w:val="63C575FA"/>
    <w:rsid w:val="640B2074"/>
    <w:rsid w:val="640E515F"/>
    <w:rsid w:val="641E51B4"/>
    <w:rsid w:val="64450314"/>
    <w:rsid w:val="644665A5"/>
    <w:rsid w:val="64553B02"/>
    <w:rsid w:val="64671EC0"/>
    <w:rsid w:val="647259D1"/>
    <w:rsid w:val="64805709"/>
    <w:rsid w:val="64A36166"/>
    <w:rsid w:val="64BE37EE"/>
    <w:rsid w:val="64BF2BF8"/>
    <w:rsid w:val="64C74B8C"/>
    <w:rsid w:val="64E07D0C"/>
    <w:rsid w:val="65551CB2"/>
    <w:rsid w:val="656D228B"/>
    <w:rsid w:val="65AA45DE"/>
    <w:rsid w:val="65CE324B"/>
    <w:rsid w:val="65D23CA9"/>
    <w:rsid w:val="65FC516D"/>
    <w:rsid w:val="662C39C8"/>
    <w:rsid w:val="664408C2"/>
    <w:rsid w:val="66953250"/>
    <w:rsid w:val="66B2418B"/>
    <w:rsid w:val="66B35D41"/>
    <w:rsid w:val="66CD7CAB"/>
    <w:rsid w:val="66E156A4"/>
    <w:rsid w:val="673F13A8"/>
    <w:rsid w:val="67762C5A"/>
    <w:rsid w:val="677B1DC1"/>
    <w:rsid w:val="679C61A8"/>
    <w:rsid w:val="682338DA"/>
    <w:rsid w:val="682670A7"/>
    <w:rsid w:val="686A57F4"/>
    <w:rsid w:val="686F0ED6"/>
    <w:rsid w:val="688065AF"/>
    <w:rsid w:val="68B3163F"/>
    <w:rsid w:val="68B82F1B"/>
    <w:rsid w:val="68DD62FD"/>
    <w:rsid w:val="69437CD3"/>
    <w:rsid w:val="69596176"/>
    <w:rsid w:val="69715EAB"/>
    <w:rsid w:val="698F64F4"/>
    <w:rsid w:val="69DA218B"/>
    <w:rsid w:val="6A066A02"/>
    <w:rsid w:val="6A16113C"/>
    <w:rsid w:val="6A1B5BB2"/>
    <w:rsid w:val="6A3A6264"/>
    <w:rsid w:val="6A560150"/>
    <w:rsid w:val="6A792EA1"/>
    <w:rsid w:val="6A7959E8"/>
    <w:rsid w:val="6A9E1CBF"/>
    <w:rsid w:val="6AA11994"/>
    <w:rsid w:val="6ABC7372"/>
    <w:rsid w:val="6AEA7C8A"/>
    <w:rsid w:val="6AF12F2B"/>
    <w:rsid w:val="6B0E42B3"/>
    <w:rsid w:val="6B280CA4"/>
    <w:rsid w:val="6B344535"/>
    <w:rsid w:val="6B4D67B1"/>
    <w:rsid w:val="6B6801F8"/>
    <w:rsid w:val="6BA86A63"/>
    <w:rsid w:val="6BAE25B4"/>
    <w:rsid w:val="6BBD7EB2"/>
    <w:rsid w:val="6BC4309E"/>
    <w:rsid w:val="6BFA00DB"/>
    <w:rsid w:val="6C385739"/>
    <w:rsid w:val="6C670C36"/>
    <w:rsid w:val="6CA478A0"/>
    <w:rsid w:val="6CC80137"/>
    <w:rsid w:val="6CE811E8"/>
    <w:rsid w:val="6D086ED7"/>
    <w:rsid w:val="6D4C1889"/>
    <w:rsid w:val="6D7E663B"/>
    <w:rsid w:val="6D9C140F"/>
    <w:rsid w:val="6DC00853"/>
    <w:rsid w:val="6DC37CA0"/>
    <w:rsid w:val="6DDC5FEF"/>
    <w:rsid w:val="6DF2697F"/>
    <w:rsid w:val="6E240D90"/>
    <w:rsid w:val="6E2C22B2"/>
    <w:rsid w:val="6E3750C5"/>
    <w:rsid w:val="6E393F83"/>
    <w:rsid w:val="6E3F46CC"/>
    <w:rsid w:val="6E627197"/>
    <w:rsid w:val="6E6F727F"/>
    <w:rsid w:val="6E74363E"/>
    <w:rsid w:val="6E7D4D37"/>
    <w:rsid w:val="6E8F4CBF"/>
    <w:rsid w:val="6ED6567C"/>
    <w:rsid w:val="6EE8132F"/>
    <w:rsid w:val="6F21311C"/>
    <w:rsid w:val="6F3E4302"/>
    <w:rsid w:val="6F5278C9"/>
    <w:rsid w:val="6F881522"/>
    <w:rsid w:val="6FDB2D9D"/>
    <w:rsid w:val="6FDC0338"/>
    <w:rsid w:val="701A100B"/>
    <w:rsid w:val="701E26D2"/>
    <w:rsid w:val="70745CC2"/>
    <w:rsid w:val="708141F5"/>
    <w:rsid w:val="70FA32DC"/>
    <w:rsid w:val="71040D3A"/>
    <w:rsid w:val="710A559C"/>
    <w:rsid w:val="71317A20"/>
    <w:rsid w:val="713952F0"/>
    <w:rsid w:val="713E452D"/>
    <w:rsid w:val="7148395B"/>
    <w:rsid w:val="71870893"/>
    <w:rsid w:val="71951611"/>
    <w:rsid w:val="71A91716"/>
    <w:rsid w:val="71D76A8E"/>
    <w:rsid w:val="72215AE9"/>
    <w:rsid w:val="7244764E"/>
    <w:rsid w:val="7247080B"/>
    <w:rsid w:val="727A55B2"/>
    <w:rsid w:val="729723C8"/>
    <w:rsid w:val="72AC1AF1"/>
    <w:rsid w:val="72C25180"/>
    <w:rsid w:val="72C6146E"/>
    <w:rsid w:val="72CE7313"/>
    <w:rsid w:val="72DC6DCE"/>
    <w:rsid w:val="72E701C1"/>
    <w:rsid w:val="73210637"/>
    <w:rsid w:val="73311A79"/>
    <w:rsid w:val="73813536"/>
    <w:rsid w:val="73822360"/>
    <w:rsid w:val="73A8396B"/>
    <w:rsid w:val="73C9400B"/>
    <w:rsid w:val="73CD74CB"/>
    <w:rsid w:val="73E8291F"/>
    <w:rsid w:val="74003696"/>
    <w:rsid w:val="74185FD6"/>
    <w:rsid w:val="743D61DA"/>
    <w:rsid w:val="7445176C"/>
    <w:rsid w:val="747203C6"/>
    <w:rsid w:val="7476258E"/>
    <w:rsid w:val="74955D2B"/>
    <w:rsid w:val="74A57FB7"/>
    <w:rsid w:val="74B116EF"/>
    <w:rsid w:val="74D57148"/>
    <w:rsid w:val="75256005"/>
    <w:rsid w:val="75313AA1"/>
    <w:rsid w:val="753E76F7"/>
    <w:rsid w:val="754107AC"/>
    <w:rsid w:val="754B31A6"/>
    <w:rsid w:val="755600A7"/>
    <w:rsid w:val="75711CE2"/>
    <w:rsid w:val="75CA23A6"/>
    <w:rsid w:val="75EC5C91"/>
    <w:rsid w:val="75F4035E"/>
    <w:rsid w:val="76160D42"/>
    <w:rsid w:val="764F4CA6"/>
    <w:rsid w:val="76881C41"/>
    <w:rsid w:val="76AB0A6E"/>
    <w:rsid w:val="76BA33FA"/>
    <w:rsid w:val="76C25AB5"/>
    <w:rsid w:val="76CC2257"/>
    <w:rsid w:val="773B790E"/>
    <w:rsid w:val="77681858"/>
    <w:rsid w:val="777271A3"/>
    <w:rsid w:val="77DC4459"/>
    <w:rsid w:val="77F5036E"/>
    <w:rsid w:val="77FD3BA6"/>
    <w:rsid w:val="77FF2645"/>
    <w:rsid w:val="782D2F68"/>
    <w:rsid w:val="78726E63"/>
    <w:rsid w:val="78754C17"/>
    <w:rsid w:val="788C0D77"/>
    <w:rsid w:val="78915BE9"/>
    <w:rsid w:val="789F4DA8"/>
    <w:rsid w:val="78B158D0"/>
    <w:rsid w:val="78B43B66"/>
    <w:rsid w:val="78B50C1C"/>
    <w:rsid w:val="78D449E2"/>
    <w:rsid w:val="78D44C45"/>
    <w:rsid w:val="79757E47"/>
    <w:rsid w:val="79A53194"/>
    <w:rsid w:val="79B260B5"/>
    <w:rsid w:val="79B650E3"/>
    <w:rsid w:val="79DD5579"/>
    <w:rsid w:val="79E01A79"/>
    <w:rsid w:val="79F53E07"/>
    <w:rsid w:val="7A071266"/>
    <w:rsid w:val="7A3563CF"/>
    <w:rsid w:val="7A385FF7"/>
    <w:rsid w:val="7A4154A8"/>
    <w:rsid w:val="7A513813"/>
    <w:rsid w:val="7A55245C"/>
    <w:rsid w:val="7A6B0B77"/>
    <w:rsid w:val="7AAB0E6A"/>
    <w:rsid w:val="7B006C35"/>
    <w:rsid w:val="7B0321EC"/>
    <w:rsid w:val="7B05466C"/>
    <w:rsid w:val="7B1B71F9"/>
    <w:rsid w:val="7B3D0649"/>
    <w:rsid w:val="7B450D6E"/>
    <w:rsid w:val="7B555CC6"/>
    <w:rsid w:val="7B75438D"/>
    <w:rsid w:val="7BE81FC4"/>
    <w:rsid w:val="7C4062EA"/>
    <w:rsid w:val="7C5461B0"/>
    <w:rsid w:val="7C6529AE"/>
    <w:rsid w:val="7C6B2060"/>
    <w:rsid w:val="7C7654BC"/>
    <w:rsid w:val="7C7B7C1A"/>
    <w:rsid w:val="7C817B2E"/>
    <w:rsid w:val="7C90666A"/>
    <w:rsid w:val="7CEF79AD"/>
    <w:rsid w:val="7D3A273C"/>
    <w:rsid w:val="7D5137FB"/>
    <w:rsid w:val="7D8E3CBC"/>
    <w:rsid w:val="7DCC7DC4"/>
    <w:rsid w:val="7E024D2B"/>
    <w:rsid w:val="7E1D4172"/>
    <w:rsid w:val="7E20338B"/>
    <w:rsid w:val="7E525B7E"/>
    <w:rsid w:val="7E6D2265"/>
    <w:rsid w:val="7E8555A9"/>
    <w:rsid w:val="7E8633F5"/>
    <w:rsid w:val="7EBA4E3B"/>
    <w:rsid w:val="7F5F2137"/>
    <w:rsid w:val="7F8C5F11"/>
    <w:rsid w:val="7FE82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0"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32"/>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3"/>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7"/>
    <w:unhideWhenUsed/>
    <w:qFormat/>
    <w:uiPriority w:val="0"/>
    <w:pPr>
      <w:keepNext/>
      <w:keepLines/>
      <w:spacing w:before="260" w:after="260" w:line="416" w:lineRule="auto"/>
      <w:outlineLvl w:val="2"/>
    </w:pPr>
    <w:rPr>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 21"/>
    <w:basedOn w:val="3"/>
    <w:qFormat/>
    <w:uiPriority w:val="0"/>
    <w:pPr>
      <w:spacing w:line="360" w:lineRule="auto"/>
    </w:pPr>
    <w:rPr>
      <w:rFonts w:eastAsia="宋体"/>
      <w:sz w:val="24"/>
    </w:rPr>
  </w:style>
  <w:style w:type="paragraph" w:customStyle="1" w:styleId="3">
    <w:name w:val="Body Text Indent1"/>
    <w:basedOn w:val="1"/>
    <w:qFormat/>
    <w:uiPriority w:val="0"/>
    <w:pPr>
      <w:spacing w:line="150" w:lineRule="atLeast"/>
      <w:ind w:firstLine="420" w:firstLineChars="200"/>
      <w:textAlignment w:val="baseline"/>
    </w:pPr>
  </w:style>
  <w:style w:type="paragraph" w:styleId="7">
    <w:name w:val="Normal Indent"/>
    <w:next w:val="1"/>
    <w:qFormat/>
    <w:uiPriority w:val="0"/>
    <w:pPr>
      <w:widowControl w:val="0"/>
      <w:ind w:firstLine="420"/>
      <w:jc w:val="both"/>
    </w:pPr>
    <w:rPr>
      <w:rFonts w:ascii="等线" w:hAnsi="等线" w:eastAsia="等线" w:cs="黑体"/>
      <w:kern w:val="2"/>
      <w:sz w:val="21"/>
      <w:szCs w:val="22"/>
      <w:lang w:val="en-US" w:eastAsia="zh-CN" w:bidi="ar-SA"/>
    </w:rPr>
  </w:style>
  <w:style w:type="paragraph" w:styleId="8">
    <w:name w:val="annotation text"/>
    <w:basedOn w:val="1"/>
    <w:qFormat/>
    <w:uiPriority w:val="0"/>
    <w:pPr>
      <w:jc w:val="left"/>
    </w:pPr>
  </w:style>
  <w:style w:type="paragraph" w:styleId="9">
    <w:name w:val="Body Text"/>
    <w:basedOn w:val="1"/>
    <w:qFormat/>
    <w:uiPriority w:val="1"/>
    <w:rPr>
      <w:rFonts w:ascii="Arial Unicode MS" w:hAnsi="Arial Unicode MS" w:eastAsia="Arial Unicode MS" w:cs="Arial Unicode MS"/>
      <w:sz w:val="32"/>
      <w:szCs w:val="32"/>
      <w:lang w:val="zh-CN" w:bidi="zh-CN"/>
    </w:rPr>
  </w:style>
  <w:style w:type="paragraph" w:styleId="10">
    <w:name w:val="toc 3"/>
    <w:basedOn w:val="1"/>
    <w:next w:val="1"/>
    <w:qFormat/>
    <w:uiPriority w:val="39"/>
    <w:pPr>
      <w:ind w:left="840" w:leftChars="400"/>
    </w:pPr>
  </w:style>
  <w:style w:type="paragraph" w:styleId="11">
    <w:name w:val="Balloon Text"/>
    <w:basedOn w:val="1"/>
    <w:link w:val="29"/>
    <w:qFormat/>
    <w:uiPriority w:val="0"/>
    <w:rPr>
      <w:sz w:val="18"/>
      <w:szCs w:val="18"/>
    </w:rPr>
  </w:style>
  <w:style w:type="paragraph" w:styleId="12">
    <w:name w:val="footer"/>
    <w:basedOn w:val="1"/>
    <w:link w:val="31"/>
    <w:qFormat/>
    <w:uiPriority w:val="99"/>
    <w:pPr>
      <w:tabs>
        <w:tab w:val="center" w:pos="4153"/>
        <w:tab w:val="right" w:pos="8306"/>
      </w:tabs>
      <w:snapToGrid w:val="0"/>
      <w:jc w:val="left"/>
    </w:pPr>
    <w:rPr>
      <w:sz w:val="18"/>
      <w:szCs w:val="18"/>
    </w:rPr>
  </w:style>
  <w:style w:type="paragraph" w:styleId="13">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footnote text"/>
    <w:basedOn w:val="1"/>
    <w:unhideWhenUsed/>
    <w:qFormat/>
    <w:uiPriority w:val="99"/>
    <w:pPr>
      <w:snapToGrid w:val="0"/>
      <w:jc w:val="left"/>
    </w:pPr>
    <w:rPr>
      <w:sz w:val="18"/>
      <w:szCs w:val="18"/>
    </w:rPr>
  </w:style>
  <w:style w:type="paragraph" w:styleId="16">
    <w:name w:val="toc 2"/>
    <w:basedOn w:val="1"/>
    <w:next w:val="1"/>
    <w:qFormat/>
    <w:uiPriority w:val="39"/>
    <w:pPr>
      <w:ind w:left="420" w:leftChars="200"/>
    </w:pPr>
  </w:style>
  <w:style w:type="paragraph" w:styleId="17">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0"/>
    <w:rPr>
      <w:b/>
    </w:rPr>
  </w:style>
  <w:style w:type="character" w:styleId="22">
    <w:name w:val="Emphasis"/>
    <w:basedOn w:val="20"/>
    <w:qFormat/>
    <w:uiPriority w:val="0"/>
    <w:rPr>
      <w:i/>
    </w:rPr>
  </w:style>
  <w:style w:type="character" w:styleId="23">
    <w:name w:val="Hyperlink"/>
    <w:basedOn w:val="20"/>
    <w:unhideWhenUsed/>
    <w:qFormat/>
    <w:uiPriority w:val="99"/>
    <w:rPr>
      <w:color w:val="0563C1" w:themeColor="hyperlink"/>
      <w:u w:val="single"/>
      <w14:textFill>
        <w14:solidFill>
          <w14:schemeClr w14:val="hlink"/>
        </w14:solidFill>
      </w14:textFill>
    </w:rPr>
  </w:style>
  <w:style w:type="character" w:styleId="24">
    <w:name w:val="footnote reference"/>
    <w:basedOn w:val="20"/>
    <w:unhideWhenUsed/>
    <w:qFormat/>
    <w:uiPriority w:val="0"/>
    <w:rPr>
      <w:vertAlign w:val="superscript"/>
    </w:rPr>
  </w:style>
  <w:style w:type="paragraph" w:customStyle="1" w:styleId="25">
    <w:name w:val="Body Text First Indent 2"/>
    <w:basedOn w:val="26"/>
    <w:qFormat/>
    <w:uiPriority w:val="0"/>
    <w:pPr>
      <w:widowControl w:val="0"/>
      <w:spacing w:line="360" w:lineRule="auto"/>
      <w:ind w:firstLine="420" w:firstLineChars="200"/>
      <w:jc w:val="both"/>
      <w:textAlignment w:val="baseline"/>
    </w:pPr>
    <w:rPr>
      <w:rFonts w:ascii="Times New Roman" w:hAnsi="Times New Roman" w:eastAsia="宋体" w:cs="Times New Roman"/>
      <w:kern w:val="2"/>
      <w:sz w:val="24"/>
      <w:lang w:val="en-US" w:eastAsia="zh-CN" w:bidi="ar-SA"/>
    </w:rPr>
  </w:style>
  <w:style w:type="paragraph" w:customStyle="1" w:styleId="26">
    <w:name w:val="Body Text Indent"/>
    <w:qFormat/>
    <w:uiPriority w:val="0"/>
    <w:pPr>
      <w:widowControl w:val="0"/>
      <w:spacing w:line="150" w:lineRule="atLeast"/>
      <w:ind w:firstLine="420" w:firstLineChars="200"/>
      <w:jc w:val="both"/>
      <w:textAlignment w:val="baseline"/>
    </w:pPr>
    <w:rPr>
      <w:rFonts w:ascii="Times New Roman" w:hAnsi="Times New Roman" w:eastAsia="宋体" w:cs="Times New Roman"/>
      <w:kern w:val="2"/>
      <w:sz w:val="21"/>
      <w:lang w:val="en-US" w:eastAsia="zh-CN" w:bidi="ar-SA"/>
    </w:rPr>
  </w:style>
  <w:style w:type="paragraph" w:styleId="27">
    <w:name w:val="No Spacing"/>
    <w:qFormat/>
    <w:uiPriority w:val="1"/>
    <w:pPr>
      <w:widowControl w:val="0"/>
      <w:jc w:val="both"/>
    </w:pPr>
    <w:rPr>
      <w:rFonts w:ascii="等线" w:hAnsi="等线" w:eastAsia="等线" w:cs="宋体"/>
      <w:kern w:val="2"/>
      <w:sz w:val="21"/>
      <w:szCs w:val="22"/>
      <w:lang w:val="en-US" w:eastAsia="zh-CN" w:bidi="ar-SA"/>
    </w:rPr>
  </w:style>
  <w:style w:type="character" w:customStyle="1" w:styleId="28">
    <w:name w:val="fontstyle01"/>
    <w:basedOn w:val="20"/>
    <w:qFormat/>
    <w:uiPriority w:val="0"/>
    <w:rPr>
      <w:rFonts w:hint="eastAsia" w:ascii="仿宋_GB2312" w:eastAsia="仿宋_GB2312"/>
      <w:color w:val="000000"/>
      <w:sz w:val="32"/>
      <w:szCs w:val="32"/>
    </w:rPr>
  </w:style>
  <w:style w:type="character" w:customStyle="1" w:styleId="29">
    <w:name w:val="批注框文本 字符"/>
    <w:basedOn w:val="20"/>
    <w:link w:val="11"/>
    <w:qFormat/>
    <w:uiPriority w:val="0"/>
    <w:rPr>
      <w:rFonts w:asciiTheme="minorHAnsi" w:hAnsiTheme="minorHAnsi" w:eastAsiaTheme="minorEastAsia" w:cstheme="minorBidi"/>
      <w:kern w:val="2"/>
      <w:sz w:val="18"/>
      <w:szCs w:val="18"/>
    </w:rPr>
  </w:style>
  <w:style w:type="character" w:customStyle="1" w:styleId="30">
    <w:name w:val="页眉 字符"/>
    <w:basedOn w:val="20"/>
    <w:link w:val="13"/>
    <w:qFormat/>
    <w:uiPriority w:val="0"/>
    <w:rPr>
      <w:rFonts w:asciiTheme="minorHAnsi" w:hAnsiTheme="minorHAnsi" w:eastAsiaTheme="minorEastAsia" w:cstheme="minorBidi"/>
      <w:kern w:val="2"/>
      <w:sz w:val="18"/>
      <w:szCs w:val="18"/>
    </w:rPr>
  </w:style>
  <w:style w:type="character" w:customStyle="1" w:styleId="31">
    <w:name w:val="页脚 字符"/>
    <w:basedOn w:val="20"/>
    <w:link w:val="12"/>
    <w:qFormat/>
    <w:uiPriority w:val="99"/>
    <w:rPr>
      <w:rFonts w:asciiTheme="minorHAnsi" w:hAnsiTheme="minorHAnsi" w:eastAsiaTheme="minorEastAsia" w:cstheme="minorBidi"/>
      <w:kern w:val="2"/>
      <w:sz w:val="18"/>
      <w:szCs w:val="18"/>
    </w:rPr>
  </w:style>
  <w:style w:type="character" w:customStyle="1" w:styleId="32">
    <w:name w:val="标题 1 字符"/>
    <w:basedOn w:val="20"/>
    <w:link w:val="4"/>
    <w:qFormat/>
    <w:uiPriority w:val="0"/>
    <w:rPr>
      <w:rFonts w:asciiTheme="minorHAnsi" w:hAnsiTheme="minorHAnsi" w:eastAsiaTheme="minorEastAsia" w:cstheme="minorBidi"/>
      <w:b/>
      <w:bCs/>
      <w:kern w:val="44"/>
      <w:sz w:val="44"/>
      <w:szCs w:val="44"/>
    </w:rPr>
  </w:style>
  <w:style w:type="character" w:customStyle="1" w:styleId="33">
    <w:name w:val="标题 2 字符"/>
    <w:basedOn w:val="20"/>
    <w:link w:val="5"/>
    <w:qFormat/>
    <w:uiPriority w:val="0"/>
    <w:rPr>
      <w:rFonts w:asciiTheme="majorHAnsi" w:hAnsiTheme="majorHAnsi" w:eastAsiaTheme="majorEastAsia" w:cstheme="majorBidi"/>
      <w:b/>
      <w:bCs/>
      <w:kern w:val="2"/>
      <w:sz w:val="32"/>
      <w:szCs w:val="32"/>
    </w:rPr>
  </w:style>
  <w:style w:type="character" w:customStyle="1" w:styleId="34">
    <w:name w:val="标题 3 字符"/>
    <w:basedOn w:val="20"/>
    <w:link w:val="6"/>
    <w:qFormat/>
    <w:uiPriority w:val="0"/>
    <w:rPr>
      <w:rFonts w:asciiTheme="minorHAnsi" w:hAnsiTheme="minorHAnsi" w:eastAsiaTheme="minorEastAsia" w:cstheme="minorBidi"/>
      <w:b/>
      <w:bCs/>
      <w:kern w:val="2"/>
      <w:sz w:val="32"/>
      <w:szCs w:val="32"/>
    </w:rPr>
  </w:style>
  <w:style w:type="paragraph" w:customStyle="1" w:styleId="35">
    <w:name w:val="TOC Heading"/>
    <w:basedOn w:val="4"/>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36">
    <w:name w:val="列出段落1"/>
    <w:basedOn w:val="1"/>
    <w:qFormat/>
    <w:uiPriority w:val="34"/>
    <w:pPr>
      <w:ind w:firstLine="420" w:firstLineChars="200"/>
    </w:pPr>
  </w:style>
  <w:style w:type="character" w:customStyle="1" w:styleId="37">
    <w:name w:val="标题 3 Char"/>
    <w:link w:val="6"/>
    <w:qFormat/>
    <w:uiPriority w:val="0"/>
    <w:rPr>
      <w:b/>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56D7E8-2489-49EA-AB99-81EAD82B4169}">
  <ds:schemaRefs/>
</ds:datastoreItem>
</file>

<file path=docProps/app.xml><?xml version="1.0" encoding="utf-8"?>
<Properties xmlns="http://schemas.openxmlformats.org/officeDocument/2006/extended-properties" xmlns:vt="http://schemas.openxmlformats.org/officeDocument/2006/docPropsVTypes">
  <Template>Normal</Template>
  <Pages>42</Pages>
  <Words>19804</Words>
  <Characters>20653</Characters>
  <Lines>80</Lines>
  <Paragraphs>22</Paragraphs>
  <TotalTime>5</TotalTime>
  <ScaleCrop>false</ScaleCrop>
  <LinksUpToDate>false</LinksUpToDate>
  <CharactersWithSpaces>20862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2021-04-22T09:45:00Z</dcterms:created>
  <dc:creator>Administrator</dc:creator>
  <cp:lastModifiedBy>kunyi</cp:lastModifiedBy>
  <cp:lastPrinted>2022-03-02T07:27:00Z</cp:lastPrinted>
  <dcterms:modified xsi:type="dcterms:W3CDTF">2023-03-31T03:10:55Z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0C1864A0B4544509B2A796312F7C5B80</vt:lpwstr>
  </property>
</Properties>
</file>